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3D78C1" w14:textId="77777777" w:rsidR="00017161" w:rsidRDefault="0001716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17161" w14:paraId="4EF0EAF1" w14:textId="77777777">
        <w:trPr>
          <w:trHeight w:val="290"/>
        </w:trPr>
        <w:tc>
          <w:tcPr>
            <w:tcW w:w="20934" w:type="dxa"/>
            <w:gridSpan w:val="2"/>
            <w:tcBorders>
              <w:top w:val="nil"/>
              <w:left w:val="nil"/>
              <w:right w:val="nil"/>
            </w:tcBorders>
          </w:tcPr>
          <w:p w14:paraId="374E3917" w14:textId="77777777" w:rsidR="00017161" w:rsidRDefault="00017161">
            <w:pPr>
              <w:pStyle w:val="Heading2"/>
              <w:jc w:val="left"/>
              <w:rPr>
                <w:rFonts w:ascii="Arial" w:eastAsia="Arial" w:hAnsi="Arial" w:cs="Arial"/>
                <w:b w:val="0"/>
                <w:bCs w:val="0"/>
                <w:sz w:val="28"/>
                <w:szCs w:val="28"/>
              </w:rPr>
            </w:pPr>
          </w:p>
        </w:tc>
      </w:tr>
      <w:tr w:rsidR="00017161" w14:paraId="2A7E455B" w14:textId="77777777">
        <w:trPr>
          <w:trHeight w:val="290"/>
        </w:trPr>
        <w:tc>
          <w:tcPr>
            <w:tcW w:w="5167" w:type="dxa"/>
          </w:tcPr>
          <w:p w14:paraId="0B71F340" w14:textId="77777777" w:rsidR="00017161" w:rsidRDefault="0056278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D8D8D9B" w14:textId="77777777" w:rsidR="00017161" w:rsidRDefault="00133D45">
            <w:pPr>
              <w:rPr>
                <w:rFonts w:ascii="Arial" w:eastAsia="Arial" w:hAnsi="Arial" w:cs="Arial"/>
                <w:color w:val="0000FF"/>
                <w:sz w:val="20"/>
                <w:szCs w:val="20"/>
              </w:rPr>
            </w:pPr>
            <w:hyperlink r:id="rId7">
              <w:r w:rsidR="0056278A">
                <w:rPr>
                  <w:rFonts w:ascii="Arial" w:eastAsia="Arial" w:hAnsi="Arial" w:cs="Arial"/>
                  <w:b/>
                  <w:bCs/>
                  <w:color w:val="0000FF"/>
                  <w:sz w:val="20"/>
                  <w:szCs w:val="20"/>
                  <w:u w:val="single"/>
                </w:rPr>
                <w:t>Asian Journal of Advanced Research and Reports</w:t>
              </w:r>
            </w:hyperlink>
            <w:r w:rsidR="0056278A">
              <w:rPr>
                <w:rFonts w:ascii="Arial" w:eastAsia="Arial" w:hAnsi="Arial" w:cs="Arial"/>
                <w:b/>
                <w:bCs/>
                <w:color w:val="0000FF"/>
                <w:sz w:val="20"/>
                <w:szCs w:val="20"/>
              </w:rPr>
              <w:t xml:space="preserve"> </w:t>
            </w:r>
          </w:p>
        </w:tc>
      </w:tr>
      <w:tr w:rsidR="00017161" w14:paraId="5E3BD841" w14:textId="77777777">
        <w:trPr>
          <w:trHeight w:val="290"/>
        </w:trPr>
        <w:tc>
          <w:tcPr>
            <w:tcW w:w="5167" w:type="dxa"/>
          </w:tcPr>
          <w:p w14:paraId="493789ED" w14:textId="77777777" w:rsidR="00017161" w:rsidRDefault="0056278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2B32914" w14:textId="77777777" w:rsidR="00017161" w:rsidRDefault="0056278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Ms_AJARR_151860</w:t>
            </w:r>
          </w:p>
        </w:tc>
      </w:tr>
      <w:tr w:rsidR="00017161" w14:paraId="4D2760E4" w14:textId="77777777">
        <w:trPr>
          <w:trHeight w:val="650"/>
        </w:trPr>
        <w:tc>
          <w:tcPr>
            <w:tcW w:w="5167" w:type="dxa"/>
          </w:tcPr>
          <w:p w14:paraId="38E41659" w14:textId="77777777" w:rsidR="00017161" w:rsidRDefault="0056278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13A1AEB" w14:textId="77777777" w:rsidR="00017161" w:rsidRDefault="00A428C8">
            <w:pPr>
              <w:pBdr>
                <w:top w:val="nil"/>
                <w:left w:val="nil"/>
                <w:bottom w:val="nil"/>
                <w:right w:val="nil"/>
                <w:between w:val="nil"/>
              </w:pBdr>
              <w:rPr>
                <w:rFonts w:ascii="Arial" w:eastAsia="Arial" w:hAnsi="Arial" w:cs="Arial"/>
                <w:i/>
                <w:iCs/>
                <w:color w:val="000000"/>
              </w:rPr>
            </w:pPr>
            <w:r w:rsidRPr="00162B12">
              <w:rPr>
                <w:rFonts w:ascii="Arial" w:hAnsi="Arial" w:cs="Arial"/>
                <w:b/>
                <w:sz w:val="20"/>
                <w:szCs w:val="28"/>
              </w:rPr>
              <w:t>EVALUATING HOW EXPLAINABLE AI-DRIVEN FINANCIAL AND CLINICAL RISK MODELS IMPROVE GLOBAL MATERNAL, NEONATAL AND MENTAL HEALTH OUTCOMES IN RESOURCE-LIMITED SETTINGS</w:t>
            </w:r>
          </w:p>
        </w:tc>
      </w:tr>
      <w:tr w:rsidR="00017161" w14:paraId="7D6F7EDC" w14:textId="77777777">
        <w:trPr>
          <w:trHeight w:val="332"/>
        </w:trPr>
        <w:tc>
          <w:tcPr>
            <w:tcW w:w="5167" w:type="dxa"/>
          </w:tcPr>
          <w:p w14:paraId="7ABCFB84" w14:textId="77777777" w:rsidR="00017161" w:rsidRDefault="0056278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F09FE59" w14:textId="77777777" w:rsidR="00017161" w:rsidRDefault="00017161">
            <w:pPr>
              <w:pBdr>
                <w:top w:val="nil"/>
                <w:left w:val="nil"/>
                <w:bottom w:val="nil"/>
                <w:right w:val="nil"/>
                <w:between w:val="nil"/>
              </w:pBdr>
              <w:rPr>
                <w:rFonts w:ascii="Arial" w:eastAsia="Arial" w:hAnsi="Arial" w:cs="Arial"/>
                <w:color w:val="000000"/>
                <w:sz w:val="20"/>
                <w:szCs w:val="20"/>
              </w:rPr>
            </w:pPr>
          </w:p>
        </w:tc>
      </w:tr>
    </w:tbl>
    <w:p w14:paraId="3962B8A8" w14:textId="77777777" w:rsidR="00017161" w:rsidRDefault="00017161">
      <w:pPr>
        <w:pBdr>
          <w:top w:val="nil"/>
          <w:left w:val="nil"/>
          <w:bottom w:val="nil"/>
          <w:right w:val="nil"/>
          <w:between w:val="nil"/>
        </w:pBdr>
        <w:jc w:val="both"/>
        <w:rPr>
          <w:rFonts w:ascii="Arial" w:eastAsia="Arial" w:hAnsi="Arial" w:cs="Arial"/>
          <w:color w:val="000000"/>
          <w:sz w:val="20"/>
          <w:szCs w:val="20"/>
          <w:u w:val="single"/>
        </w:rPr>
      </w:pPr>
    </w:p>
    <w:p w14:paraId="30C6FDF5" w14:textId="0167CBFA" w:rsidR="00017161" w:rsidRDefault="00017161">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17161" w14:paraId="1EC2D82D" w14:textId="77777777">
        <w:tc>
          <w:tcPr>
            <w:tcW w:w="21150" w:type="dxa"/>
            <w:gridSpan w:val="3"/>
            <w:tcBorders>
              <w:top w:val="nil"/>
              <w:left w:val="nil"/>
              <w:right w:val="nil"/>
            </w:tcBorders>
          </w:tcPr>
          <w:p w14:paraId="5D098036" w14:textId="77777777" w:rsidR="00017161" w:rsidRDefault="0056278A">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50887A26" w14:textId="77777777" w:rsidR="00017161" w:rsidRDefault="00017161">
            <w:pPr>
              <w:rPr>
                <w:sz w:val="20"/>
                <w:szCs w:val="20"/>
              </w:rPr>
            </w:pPr>
          </w:p>
        </w:tc>
      </w:tr>
      <w:tr w:rsidR="00017161" w14:paraId="5DA647C1" w14:textId="77777777">
        <w:tc>
          <w:tcPr>
            <w:tcW w:w="5351" w:type="dxa"/>
          </w:tcPr>
          <w:p w14:paraId="33EBFE0E" w14:textId="77777777" w:rsidR="00017161" w:rsidRDefault="00017161">
            <w:pPr>
              <w:pStyle w:val="Heading2"/>
              <w:jc w:val="left"/>
              <w:rPr>
                <w:rFonts w:ascii="Times New Roman" w:eastAsia="Times New Roman" w:hAnsi="Times New Roman" w:cs="Times New Roman"/>
              </w:rPr>
            </w:pPr>
          </w:p>
        </w:tc>
        <w:tc>
          <w:tcPr>
            <w:tcW w:w="9357" w:type="dxa"/>
          </w:tcPr>
          <w:p w14:paraId="7F7E3267" w14:textId="77777777" w:rsidR="00017161" w:rsidRDefault="0056278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27609906" w14:textId="77777777" w:rsidR="00017161" w:rsidRDefault="0056278A">
            <w:pPr>
              <w:rPr>
                <w:sz w:val="20"/>
                <w:szCs w:val="20"/>
              </w:rPr>
            </w:pPr>
            <w:r>
              <w:rPr>
                <w:b/>
                <w:bCs/>
                <w:sz w:val="20"/>
                <w:szCs w:val="20"/>
                <w:highlight w:val="yellow"/>
              </w:rPr>
              <w:t>Artificial Intelligence (AI) generated or assisted review comments are strictly prohibited during peer review.</w:t>
            </w:r>
          </w:p>
          <w:p w14:paraId="3FDB3B8B" w14:textId="77777777" w:rsidR="00017161" w:rsidRDefault="00017161"/>
        </w:tc>
        <w:tc>
          <w:tcPr>
            <w:tcW w:w="6442" w:type="dxa"/>
          </w:tcPr>
          <w:p w14:paraId="58881E75" w14:textId="77777777" w:rsidR="00017161" w:rsidRDefault="0056278A">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79055BF9" w14:textId="77777777" w:rsidR="00017161" w:rsidRDefault="00017161">
            <w:pPr>
              <w:pStyle w:val="Heading2"/>
              <w:jc w:val="left"/>
              <w:rPr>
                <w:rFonts w:ascii="Times New Roman" w:eastAsia="Times New Roman" w:hAnsi="Times New Roman" w:cs="Times New Roman"/>
                <w:b w:val="0"/>
                <w:bCs w:val="0"/>
              </w:rPr>
            </w:pPr>
          </w:p>
        </w:tc>
      </w:tr>
      <w:tr w:rsidR="00017161" w14:paraId="7516212D" w14:textId="77777777">
        <w:trPr>
          <w:trHeight w:val="1264"/>
        </w:trPr>
        <w:tc>
          <w:tcPr>
            <w:tcW w:w="5351" w:type="dxa"/>
          </w:tcPr>
          <w:p w14:paraId="4F1BB152" w14:textId="77777777" w:rsidR="00017161" w:rsidRDefault="0056278A">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746E7A71" w14:textId="77777777" w:rsidR="00017161" w:rsidRDefault="00017161">
            <w:pPr>
              <w:ind w:left="360"/>
              <w:rPr>
                <w:sz w:val="20"/>
                <w:szCs w:val="20"/>
              </w:rPr>
            </w:pPr>
          </w:p>
        </w:tc>
        <w:tc>
          <w:tcPr>
            <w:tcW w:w="9357" w:type="dxa"/>
          </w:tcPr>
          <w:p w14:paraId="4D5C3138" w14:textId="77777777" w:rsidR="00017161" w:rsidRDefault="0056278A">
            <w:pPr>
              <w:pBdr>
                <w:top w:val="nil"/>
                <w:left w:val="nil"/>
                <w:bottom w:val="nil"/>
                <w:right w:val="nil"/>
                <w:between w:val="nil"/>
              </w:pBdr>
              <w:rPr>
                <w:b/>
                <w:bCs/>
                <w:i/>
                <w:iCs/>
                <w:color w:val="000000"/>
                <w:sz w:val="22"/>
                <w:szCs w:val="22"/>
              </w:rPr>
            </w:pPr>
            <w:r>
              <w:rPr>
                <w:b/>
                <w:bCs/>
                <w:i/>
                <w:iCs/>
                <w:sz w:val="22"/>
                <w:szCs w:val="22"/>
              </w:rPr>
              <w:t xml:space="preserve">This manuscript addresses a critical and timely gap in global health research by integrating explainable artificial intelligence with both clinical and financial risk </w:t>
            </w:r>
            <w:proofErr w:type="spellStart"/>
            <w:r>
              <w:rPr>
                <w:b/>
                <w:bCs/>
                <w:i/>
                <w:iCs/>
                <w:sz w:val="22"/>
                <w:szCs w:val="22"/>
              </w:rPr>
              <w:t>modeling</w:t>
            </w:r>
            <w:proofErr w:type="spellEnd"/>
            <w:r>
              <w:rPr>
                <w:b/>
                <w:bCs/>
                <w:i/>
                <w:iCs/>
                <w:sz w:val="22"/>
                <w:szCs w:val="22"/>
              </w:rPr>
              <w:t xml:space="preserve"> for maternal, neonatal, and perinatal mental health outcomes in resource-limited settings. By explicitly incorporating explainability, the study advances beyond predictive accuracy to address trust, transparency, and real-world </w:t>
            </w:r>
            <w:proofErr w:type="spellStart"/>
            <w:proofErr w:type="gramStart"/>
            <w:r>
              <w:rPr>
                <w:b/>
                <w:bCs/>
                <w:i/>
                <w:iCs/>
                <w:sz w:val="22"/>
                <w:szCs w:val="22"/>
              </w:rPr>
              <w:t>applicability,key</w:t>
            </w:r>
            <w:proofErr w:type="spellEnd"/>
            <w:proofErr w:type="gramEnd"/>
            <w:r>
              <w:rPr>
                <w:b/>
                <w:bCs/>
                <w:i/>
                <w:iCs/>
                <w:sz w:val="22"/>
                <w:szCs w:val="22"/>
              </w:rPr>
              <w:t xml:space="preserve"> barriers to AI adoption in low- and middle-income countries. The combined assessment of clinical risk, financial vulnerability, and explainability offers a novel, equity-oriented framework that is directly relevant to clinicians, policymakers, and health system planners. The findings contribute meaningful empirical evidence to the evolving discourse on responsible and ethical AI deployment in high-stakes healthcare </w:t>
            </w:r>
            <w:proofErr w:type="spellStart"/>
            <w:proofErr w:type="gramStart"/>
            <w:r>
              <w:rPr>
                <w:b/>
                <w:bCs/>
                <w:i/>
                <w:iCs/>
                <w:sz w:val="22"/>
                <w:szCs w:val="22"/>
              </w:rPr>
              <w:t>environments.This</w:t>
            </w:r>
            <w:proofErr w:type="spellEnd"/>
            <w:proofErr w:type="gramEnd"/>
            <w:r>
              <w:rPr>
                <w:b/>
                <w:bCs/>
                <w:i/>
                <w:iCs/>
                <w:sz w:val="22"/>
                <w:szCs w:val="22"/>
              </w:rPr>
              <w:t xml:space="preserve"> manuscript addresses a critical and timely gap in global health research by integrating explainable artificial intelligence with both clinical and financial risk </w:t>
            </w:r>
            <w:proofErr w:type="spellStart"/>
            <w:r>
              <w:rPr>
                <w:b/>
                <w:bCs/>
                <w:i/>
                <w:iCs/>
                <w:sz w:val="22"/>
                <w:szCs w:val="22"/>
              </w:rPr>
              <w:t>modeling</w:t>
            </w:r>
            <w:proofErr w:type="spellEnd"/>
            <w:r>
              <w:rPr>
                <w:b/>
                <w:bCs/>
                <w:i/>
                <w:iCs/>
                <w:sz w:val="22"/>
                <w:szCs w:val="22"/>
              </w:rPr>
              <w:t xml:space="preserve"> for maternal, neonatal, and perinatal mental health outcomes in resource-limited settings. By explicitly incorporating explainability, the study advances beyond predictive accuracy to address trust, transparency, and real-world </w:t>
            </w:r>
            <w:proofErr w:type="spellStart"/>
            <w:proofErr w:type="gramStart"/>
            <w:r>
              <w:rPr>
                <w:b/>
                <w:bCs/>
                <w:i/>
                <w:iCs/>
                <w:sz w:val="22"/>
                <w:szCs w:val="22"/>
              </w:rPr>
              <w:t>applicability,key</w:t>
            </w:r>
            <w:proofErr w:type="spellEnd"/>
            <w:proofErr w:type="gramEnd"/>
            <w:r>
              <w:rPr>
                <w:b/>
                <w:bCs/>
                <w:i/>
                <w:iCs/>
                <w:sz w:val="22"/>
                <w:szCs w:val="22"/>
              </w:rPr>
              <w:t xml:space="preserve"> barriers to AI adoption in low- and middle-income countries. The combined assessment of clinical risk, financial vulnerability, and explainability offers a novel, equity-oriented framework that is directly relevant to clinicians, policymakers, and health system planners. The findings contribute meaningful empirical evidence to the evolving discourse on responsible and ethical AI deployment in high-stakes healthcare environments.</w:t>
            </w:r>
          </w:p>
        </w:tc>
        <w:tc>
          <w:tcPr>
            <w:tcW w:w="6442" w:type="dxa"/>
          </w:tcPr>
          <w:p w14:paraId="64D90809" w14:textId="6D500E99" w:rsidR="00017161" w:rsidRDefault="000C7CB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017161" w14:paraId="720C620F" w14:textId="77777777">
        <w:trPr>
          <w:trHeight w:val="1262"/>
        </w:trPr>
        <w:tc>
          <w:tcPr>
            <w:tcW w:w="5351" w:type="dxa"/>
          </w:tcPr>
          <w:p w14:paraId="6D03A85E" w14:textId="77777777" w:rsidR="00017161" w:rsidRDefault="0056278A">
            <w:pPr>
              <w:ind w:left="360"/>
              <w:rPr>
                <w:sz w:val="20"/>
                <w:szCs w:val="20"/>
              </w:rPr>
            </w:pPr>
            <w:r>
              <w:rPr>
                <w:b/>
                <w:bCs/>
                <w:sz w:val="20"/>
                <w:szCs w:val="20"/>
              </w:rPr>
              <w:t>Is the title of the article suitable?</w:t>
            </w:r>
          </w:p>
          <w:p w14:paraId="405F0314" w14:textId="77777777" w:rsidR="00017161" w:rsidRDefault="0056278A">
            <w:pPr>
              <w:ind w:left="360"/>
              <w:rPr>
                <w:sz w:val="20"/>
                <w:szCs w:val="20"/>
              </w:rPr>
            </w:pPr>
            <w:r>
              <w:rPr>
                <w:b/>
                <w:bCs/>
                <w:sz w:val="20"/>
                <w:szCs w:val="20"/>
              </w:rPr>
              <w:t>(If not please suggest an alternative title)</w:t>
            </w:r>
          </w:p>
          <w:p w14:paraId="1805E385" w14:textId="77777777" w:rsidR="00017161" w:rsidRDefault="00017161">
            <w:pPr>
              <w:pStyle w:val="Heading2"/>
              <w:jc w:val="left"/>
              <w:rPr>
                <w:rFonts w:ascii="Times New Roman" w:eastAsia="Times New Roman" w:hAnsi="Times New Roman" w:cs="Times New Roman"/>
                <w:u w:val="single"/>
              </w:rPr>
            </w:pPr>
          </w:p>
        </w:tc>
        <w:tc>
          <w:tcPr>
            <w:tcW w:w="9357" w:type="dxa"/>
          </w:tcPr>
          <w:p w14:paraId="34F62335" w14:textId="77777777" w:rsidR="00017161" w:rsidRDefault="0056278A">
            <w:pPr>
              <w:ind w:left="360"/>
              <w:rPr>
                <w:rFonts w:ascii="Times" w:eastAsia="Times" w:hAnsi="Times" w:cs="Times"/>
                <w:b/>
                <w:bCs/>
                <w:i/>
                <w:iCs/>
                <w:sz w:val="20"/>
                <w:szCs w:val="20"/>
              </w:rPr>
            </w:pPr>
            <w:r>
              <w:rPr>
                <w:rFonts w:ascii="Times" w:eastAsia="Times" w:hAnsi="Times" w:cs="Times"/>
                <w:b/>
                <w:bCs/>
                <w:i/>
                <w:iCs/>
                <w:sz w:val="20"/>
                <w:szCs w:val="20"/>
              </w:rPr>
              <w:t>Yes, the title is appropriate and accurately reflects the scope, methodology, and objectives of the study. It clearly conveys the focus on explainable AI, integrated financial and clinical risk models, global maternal, neonatal, and mental health outcomes, and resource-limited settings. No alternative title is necessary.</w:t>
            </w:r>
          </w:p>
        </w:tc>
        <w:tc>
          <w:tcPr>
            <w:tcW w:w="6442" w:type="dxa"/>
          </w:tcPr>
          <w:p w14:paraId="61B18371" w14:textId="6A98DB60" w:rsidR="00017161" w:rsidRDefault="000C7CB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017161" w14:paraId="51161B09" w14:textId="77777777">
        <w:trPr>
          <w:trHeight w:val="1262"/>
        </w:trPr>
        <w:tc>
          <w:tcPr>
            <w:tcW w:w="5351" w:type="dxa"/>
          </w:tcPr>
          <w:p w14:paraId="601ADBBF" w14:textId="77777777" w:rsidR="00017161" w:rsidRDefault="0056278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016D29CC" w14:textId="77777777" w:rsidR="00017161" w:rsidRDefault="00017161">
            <w:pPr>
              <w:pStyle w:val="Heading2"/>
              <w:jc w:val="left"/>
              <w:rPr>
                <w:rFonts w:ascii="Times New Roman" w:eastAsia="Times New Roman" w:hAnsi="Times New Roman" w:cs="Times New Roman"/>
                <w:u w:val="single"/>
              </w:rPr>
            </w:pPr>
          </w:p>
        </w:tc>
        <w:tc>
          <w:tcPr>
            <w:tcW w:w="9357" w:type="dxa"/>
          </w:tcPr>
          <w:p w14:paraId="53E930CE" w14:textId="77777777" w:rsidR="00017161" w:rsidRDefault="0056278A">
            <w:pPr>
              <w:ind w:left="360"/>
              <w:rPr>
                <w:rFonts w:ascii="Times" w:eastAsia="Times" w:hAnsi="Times" w:cs="Times"/>
                <w:b/>
                <w:bCs/>
                <w:i/>
                <w:iCs/>
                <w:sz w:val="20"/>
                <w:szCs w:val="20"/>
              </w:rPr>
            </w:pPr>
            <w:r>
              <w:rPr>
                <w:rFonts w:ascii="Times" w:eastAsia="Times" w:hAnsi="Times" w:cs="Times"/>
                <w:b/>
                <w:bCs/>
                <w:i/>
                <w:iCs/>
                <w:sz w:val="20"/>
                <w:szCs w:val="20"/>
              </w:rPr>
              <w:t>The abstract is comprehensive and well-structured, clearly outlining the background, objectives, methodology, key results, and implications of the study. It appropriately highlights the role of explainability, model performance metrics, and integrated risk profiling. No major additions or deletions are required. Minor stylistic tightening could be considered to enhance clarity, but the content is complete and informative.</w:t>
            </w:r>
          </w:p>
        </w:tc>
        <w:tc>
          <w:tcPr>
            <w:tcW w:w="6442" w:type="dxa"/>
          </w:tcPr>
          <w:p w14:paraId="3402236F" w14:textId="477D7219" w:rsidR="00017161" w:rsidRDefault="009413C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017161" w14:paraId="55FB152B" w14:textId="77777777">
        <w:trPr>
          <w:trHeight w:val="704"/>
        </w:trPr>
        <w:tc>
          <w:tcPr>
            <w:tcW w:w="5351" w:type="dxa"/>
          </w:tcPr>
          <w:p w14:paraId="58180D92" w14:textId="77777777" w:rsidR="00017161" w:rsidRDefault="0056278A">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2DCD8A0F" w14:textId="77777777" w:rsidR="00017161" w:rsidRDefault="0056278A">
            <w:pPr>
              <w:pBdr>
                <w:top w:val="nil"/>
                <w:left w:val="nil"/>
                <w:bottom w:val="nil"/>
                <w:right w:val="nil"/>
                <w:between w:val="nil"/>
              </w:pBdr>
              <w:rPr>
                <w:b/>
                <w:bCs/>
                <w:i/>
                <w:iCs/>
                <w:color w:val="000000"/>
                <w:sz w:val="20"/>
                <w:szCs w:val="20"/>
                <w:u w:val="single"/>
              </w:rPr>
            </w:pPr>
            <w:r>
              <w:rPr>
                <w:b/>
                <w:bCs/>
                <w:i/>
                <w:iCs/>
                <w:sz w:val="20"/>
                <w:szCs w:val="20"/>
                <w:u w:val="single"/>
              </w:rPr>
              <w:t>Yes, the manuscript is scientifically sound. The study design, analytical methods, validation techniques, and performance metrics are appropriate and aligned with current standards in health systems research and applied machine learning. The results are coherent, internally consistent, and supported by established clinical and socioeconomic evidence, strengthening the scientific credibility of the conclusions.</w:t>
            </w:r>
          </w:p>
        </w:tc>
        <w:tc>
          <w:tcPr>
            <w:tcW w:w="6442" w:type="dxa"/>
          </w:tcPr>
          <w:p w14:paraId="41362A21" w14:textId="7933A14E" w:rsidR="00017161" w:rsidRDefault="009413C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017161" w14:paraId="62ED56F0" w14:textId="77777777">
        <w:trPr>
          <w:trHeight w:val="703"/>
        </w:trPr>
        <w:tc>
          <w:tcPr>
            <w:tcW w:w="5351" w:type="dxa"/>
          </w:tcPr>
          <w:p w14:paraId="1C680304" w14:textId="77777777" w:rsidR="00017161" w:rsidRDefault="0056278A">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5D48759C" w14:textId="77777777" w:rsidR="00017161" w:rsidRDefault="0056278A">
            <w:pPr>
              <w:pBdr>
                <w:top w:val="nil"/>
                <w:left w:val="nil"/>
                <w:bottom w:val="nil"/>
                <w:right w:val="nil"/>
                <w:between w:val="nil"/>
              </w:pBdr>
              <w:rPr>
                <w:b/>
                <w:bCs/>
                <w:i/>
                <w:iCs/>
                <w:color w:val="000000"/>
                <w:sz w:val="20"/>
                <w:szCs w:val="20"/>
              </w:rPr>
            </w:pPr>
            <w:r>
              <w:rPr>
                <w:b/>
                <w:bCs/>
                <w:i/>
                <w:iCs/>
                <w:sz w:val="20"/>
                <w:szCs w:val="20"/>
              </w:rPr>
              <w:t>The reference list is extensive, relevant, and includes a strong representation of recent and authoritative sources, particularly from 2018–2025. It adequately covers explainable AI, maternal and neonatal health, mental health, health financing, and equity considerations. No additional references are strictly necessary, though minor consolidation of duplicate citations could improve clarity.</w:t>
            </w:r>
          </w:p>
        </w:tc>
        <w:tc>
          <w:tcPr>
            <w:tcW w:w="6442" w:type="dxa"/>
          </w:tcPr>
          <w:p w14:paraId="3FD4D49D" w14:textId="18499D2C" w:rsidR="00017161" w:rsidRDefault="009413C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017161" w14:paraId="1F2A3BDC" w14:textId="77777777">
        <w:trPr>
          <w:trHeight w:val="386"/>
        </w:trPr>
        <w:tc>
          <w:tcPr>
            <w:tcW w:w="5351" w:type="dxa"/>
          </w:tcPr>
          <w:p w14:paraId="462D0F1A" w14:textId="77777777" w:rsidR="00017161" w:rsidRDefault="0056278A">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49A93116" w14:textId="77777777" w:rsidR="00017161" w:rsidRDefault="00017161">
            <w:pPr>
              <w:rPr>
                <w:sz w:val="20"/>
                <w:szCs w:val="20"/>
              </w:rPr>
            </w:pPr>
          </w:p>
        </w:tc>
        <w:tc>
          <w:tcPr>
            <w:tcW w:w="9357" w:type="dxa"/>
          </w:tcPr>
          <w:p w14:paraId="7ACCEE42" w14:textId="77777777" w:rsidR="00017161" w:rsidRDefault="0056278A">
            <w:pPr>
              <w:rPr>
                <w:b/>
                <w:bCs/>
                <w:i/>
                <w:iCs/>
                <w:sz w:val="20"/>
                <w:szCs w:val="20"/>
              </w:rPr>
            </w:pPr>
            <w:r>
              <w:rPr>
                <w:b/>
                <w:bCs/>
                <w:i/>
                <w:iCs/>
                <w:sz w:val="20"/>
                <w:szCs w:val="20"/>
              </w:rPr>
              <w:t>Yes, the language is appropriate for scholarly communication. The manuscript is clearly written, academically structured, and uses discipline-appropriate terminology. Minor grammatical and stylistic refinements may enhance readability, but these do not detract from comprehension or scientific rigor.</w:t>
            </w:r>
          </w:p>
        </w:tc>
        <w:tc>
          <w:tcPr>
            <w:tcW w:w="6442" w:type="dxa"/>
          </w:tcPr>
          <w:p w14:paraId="22DD4EF1" w14:textId="7C9557D3" w:rsidR="00017161" w:rsidRDefault="009413C6">
            <w:pPr>
              <w:rPr>
                <w:sz w:val="20"/>
                <w:szCs w:val="20"/>
              </w:rPr>
            </w:pPr>
            <w:r>
              <w:rPr>
                <w:sz w:val="20"/>
                <w:szCs w:val="20"/>
              </w:rPr>
              <w:t>Noted</w:t>
            </w:r>
          </w:p>
        </w:tc>
      </w:tr>
      <w:tr w:rsidR="00017161" w14:paraId="55B574B6" w14:textId="77777777">
        <w:trPr>
          <w:trHeight w:val="1178"/>
        </w:trPr>
        <w:tc>
          <w:tcPr>
            <w:tcW w:w="5351" w:type="dxa"/>
          </w:tcPr>
          <w:p w14:paraId="32472543" w14:textId="77777777" w:rsidR="00017161" w:rsidRDefault="0056278A">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6E6D59F9" w14:textId="77777777" w:rsidR="00017161" w:rsidRDefault="00017161">
            <w:pPr>
              <w:pStyle w:val="Heading2"/>
              <w:jc w:val="left"/>
              <w:rPr>
                <w:rFonts w:ascii="Times New Roman" w:eastAsia="Times New Roman" w:hAnsi="Times New Roman" w:cs="Times New Roman"/>
                <w:b w:val="0"/>
                <w:bCs w:val="0"/>
              </w:rPr>
            </w:pPr>
          </w:p>
        </w:tc>
        <w:tc>
          <w:tcPr>
            <w:tcW w:w="9357" w:type="dxa"/>
          </w:tcPr>
          <w:p w14:paraId="74218F1A" w14:textId="77777777" w:rsidR="00017161" w:rsidRDefault="0056278A">
            <w:pPr>
              <w:pBdr>
                <w:top w:val="nil"/>
                <w:left w:val="nil"/>
                <w:bottom w:val="nil"/>
                <w:right w:val="nil"/>
                <w:between w:val="nil"/>
              </w:pBdr>
              <w:rPr>
                <w:sz w:val="20"/>
                <w:szCs w:val="20"/>
              </w:rPr>
            </w:pPr>
            <w:r>
              <w:rPr>
                <w:sz w:val="20"/>
                <w:szCs w:val="20"/>
              </w:rPr>
              <w:t>This is a well-conceptualized and methodologically robust study with strong policy and implementation relevance. The integration of explainability as both a technical and sociotechnical construct is a particular strength. The manuscript would be of interest to a broad interdisciplinary audience spanning global health, health economics, clinical epidemiology, and artificial intelligence.</w:t>
            </w:r>
          </w:p>
          <w:p w14:paraId="467BDD25" w14:textId="77777777" w:rsidR="00CD2DE7" w:rsidRDefault="00CD2DE7">
            <w:pPr>
              <w:pBdr>
                <w:top w:val="nil"/>
                <w:left w:val="nil"/>
                <w:bottom w:val="nil"/>
                <w:right w:val="nil"/>
                <w:between w:val="nil"/>
              </w:pBdr>
              <w:rPr>
                <w:color w:val="000000"/>
                <w:sz w:val="20"/>
                <w:szCs w:val="20"/>
              </w:rPr>
            </w:pPr>
          </w:p>
          <w:p w14:paraId="18DFA24B" w14:textId="77777777" w:rsidR="00CD2DE7" w:rsidRDefault="00CD2DE7">
            <w:pPr>
              <w:pBdr>
                <w:top w:val="nil"/>
                <w:left w:val="nil"/>
                <w:bottom w:val="nil"/>
                <w:right w:val="nil"/>
                <w:between w:val="nil"/>
              </w:pBdr>
              <w:rPr>
                <w:color w:val="000000"/>
                <w:sz w:val="20"/>
                <w:szCs w:val="20"/>
              </w:rPr>
            </w:pPr>
          </w:p>
          <w:p w14:paraId="5661E685" w14:textId="77777777" w:rsidR="00CD2DE7" w:rsidRDefault="00CD2DE7">
            <w:pPr>
              <w:pBdr>
                <w:top w:val="nil"/>
                <w:left w:val="nil"/>
                <w:bottom w:val="nil"/>
                <w:right w:val="nil"/>
                <w:between w:val="nil"/>
              </w:pBdr>
              <w:rPr>
                <w:color w:val="000000"/>
                <w:sz w:val="20"/>
                <w:szCs w:val="20"/>
              </w:rPr>
            </w:pPr>
            <w:r w:rsidRPr="00CD2DE7">
              <w:rPr>
                <w:color w:val="000000"/>
                <w:sz w:val="20"/>
                <w:szCs w:val="20"/>
              </w:rPr>
              <w:t xml:space="preserve">The manuscript requires minor revisions primarily to enhance clarity, precision, and presentation rather than to address any substantive scientific limitations. Specifically, minor language polishing is recommended to improve sentence flow and reduce occasional redundancy, particularly in the Introduction and Discussion sections where closely related concepts are reiterated. A careful editorial review should be undertaken to standardize terminology (e.g., consistent use of MNMH/MCH and Explainable AI/XAI) and to correct minor grammatical inconsistencies. Additionally, consolidation of duplicate references and uniform formatting of citations will strengthen the reference section. Finally, slight tightening of the abstract and clearer </w:t>
            </w:r>
            <w:proofErr w:type="spellStart"/>
            <w:r w:rsidRPr="00CD2DE7">
              <w:rPr>
                <w:color w:val="000000"/>
                <w:sz w:val="20"/>
                <w:szCs w:val="20"/>
              </w:rPr>
              <w:t>labeling</w:t>
            </w:r>
            <w:proofErr w:type="spellEnd"/>
            <w:r w:rsidRPr="00CD2DE7">
              <w:rPr>
                <w:color w:val="000000"/>
                <w:sz w:val="20"/>
                <w:szCs w:val="20"/>
              </w:rPr>
              <w:t xml:space="preserve"> and cross-referencing of figures would further improve readability and alignment with journal style requirements, without altering the study’s methodology, results, or conclusions.</w:t>
            </w:r>
          </w:p>
          <w:p w14:paraId="04D55CE7" w14:textId="77777777" w:rsidR="00D011EB" w:rsidRDefault="00D011EB">
            <w:pPr>
              <w:pBdr>
                <w:top w:val="nil"/>
                <w:left w:val="nil"/>
                <w:bottom w:val="nil"/>
                <w:right w:val="nil"/>
                <w:between w:val="nil"/>
              </w:pBdr>
              <w:rPr>
                <w:color w:val="000000"/>
                <w:sz w:val="20"/>
                <w:szCs w:val="20"/>
              </w:rPr>
            </w:pPr>
          </w:p>
          <w:p w14:paraId="0859C291" w14:textId="77777777" w:rsidR="00D011EB" w:rsidRDefault="00D011EB" w:rsidP="00D011EB">
            <w:pPr>
              <w:spacing w:before="240" w:after="240"/>
              <w:rPr>
                <w:sz w:val="20"/>
                <w:szCs w:val="20"/>
                <w:u w:val="single"/>
              </w:rPr>
            </w:pPr>
            <w:r>
              <w:rPr>
                <w:sz w:val="20"/>
                <w:szCs w:val="20"/>
                <w:u w:val="single"/>
              </w:rPr>
              <w:t>The manuscript is strong in its conceptual framing, methodology, and relevance. Only minor revisions related to language polishing and minor reference consolidation are suggested.</w:t>
            </w:r>
          </w:p>
          <w:p w14:paraId="7689F470" w14:textId="77777777" w:rsidR="00D011EB" w:rsidRDefault="00D011EB">
            <w:pPr>
              <w:pBdr>
                <w:top w:val="nil"/>
                <w:left w:val="nil"/>
                <w:bottom w:val="nil"/>
                <w:right w:val="nil"/>
                <w:between w:val="nil"/>
              </w:pBdr>
              <w:rPr>
                <w:color w:val="000000"/>
                <w:sz w:val="20"/>
                <w:szCs w:val="20"/>
              </w:rPr>
            </w:pPr>
          </w:p>
        </w:tc>
        <w:tc>
          <w:tcPr>
            <w:tcW w:w="6442" w:type="dxa"/>
          </w:tcPr>
          <w:p w14:paraId="25735CA2" w14:textId="1085EA80" w:rsidR="00017161" w:rsidRDefault="009413C6">
            <w:pPr>
              <w:rPr>
                <w:sz w:val="20"/>
                <w:szCs w:val="20"/>
              </w:rPr>
            </w:pPr>
            <w:r>
              <w:rPr>
                <w:sz w:val="20"/>
                <w:szCs w:val="20"/>
              </w:rPr>
              <w:t xml:space="preserve">Ok </w:t>
            </w:r>
            <w:bookmarkStart w:id="0" w:name="_GoBack"/>
            <w:bookmarkEnd w:id="0"/>
          </w:p>
        </w:tc>
      </w:tr>
    </w:tbl>
    <w:p w14:paraId="2D4B5D5C" w14:textId="77777777" w:rsidR="00017161" w:rsidRDefault="00017161">
      <w:pPr>
        <w:pBdr>
          <w:top w:val="nil"/>
          <w:left w:val="nil"/>
          <w:bottom w:val="nil"/>
          <w:right w:val="nil"/>
          <w:between w:val="nil"/>
        </w:pBdr>
        <w:jc w:val="both"/>
        <w:rPr>
          <w:color w:val="000000"/>
          <w:sz w:val="20"/>
          <w:szCs w:val="20"/>
          <w:u w:val="single"/>
        </w:rPr>
      </w:pPr>
    </w:p>
    <w:p w14:paraId="3F4953D6" w14:textId="77777777" w:rsidR="00017161" w:rsidRDefault="00017161">
      <w:pPr>
        <w:pBdr>
          <w:top w:val="nil"/>
          <w:left w:val="nil"/>
          <w:bottom w:val="nil"/>
          <w:right w:val="nil"/>
          <w:between w:val="nil"/>
        </w:pBdr>
        <w:jc w:val="both"/>
        <w:rPr>
          <w:color w:val="000000"/>
          <w:sz w:val="20"/>
          <w:szCs w:val="20"/>
          <w:u w:val="single"/>
        </w:rPr>
      </w:pPr>
    </w:p>
    <w:p w14:paraId="7B22022B" w14:textId="77777777" w:rsidR="00017161" w:rsidRDefault="00017161">
      <w:pPr>
        <w:pBdr>
          <w:top w:val="nil"/>
          <w:left w:val="nil"/>
          <w:bottom w:val="nil"/>
          <w:right w:val="nil"/>
          <w:between w:val="nil"/>
        </w:pBdr>
        <w:jc w:val="both"/>
        <w:rPr>
          <w:color w:val="000000"/>
          <w:sz w:val="20"/>
          <w:szCs w:val="20"/>
          <w:u w:val="single"/>
        </w:rPr>
      </w:pPr>
    </w:p>
    <w:p w14:paraId="62BA2C1F" w14:textId="77777777" w:rsidR="00017161" w:rsidRDefault="00017161">
      <w:pPr>
        <w:pBdr>
          <w:top w:val="nil"/>
          <w:left w:val="nil"/>
          <w:bottom w:val="nil"/>
          <w:right w:val="nil"/>
          <w:between w:val="nil"/>
        </w:pBdr>
        <w:jc w:val="both"/>
        <w:rPr>
          <w:color w:val="000000"/>
          <w:sz w:val="20"/>
          <w:szCs w:val="20"/>
          <w:u w:val="single"/>
        </w:rPr>
      </w:pPr>
    </w:p>
    <w:p w14:paraId="1B3B8EE2" w14:textId="77777777" w:rsidR="00017161" w:rsidRDefault="00017161">
      <w:pPr>
        <w:pBdr>
          <w:top w:val="nil"/>
          <w:left w:val="nil"/>
          <w:bottom w:val="nil"/>
          <w:right w:val="nil"/>
          <w:between w:val="nil"/>
        </w:pBdr>
        <w:jc w:val="both"/>
        <w:rPr>
          <w:color w:val="000000"/>
          <w:sz w:val="20"/>
          <w:szCs w:val="20"/>
          <w:u w:val="single"/>
        </w:rPr>
      </w:pPr>
    </w:p>
    <w:p w14:paraId="56E543F9" w14:textId="77777777" w:rsidR="00017161" w:rsidRDefault="00017161">
      <w:pPr>
        <w:pBdr>
          <w:top w:val="nil"/>
          <w:left w:val="nil"/>
          <w:bottom w:val="nil"/>
          <w:right w:val="nil"/>
          <w:between w:val="nil"/>
        </w:pBdr>
        <w:jc w:val="both"/>
        <w:rPr>
          <w:color w:val="000000"/>
          <w:sz w:val="20"/>
          <w:szCs w:val="20"/>
          <w:u w:val="single"/>
        </w:rPr>
      </w:pPr>
    </w:p>
    <w:p w14:paraId="346D996D" w14:textId="77777777" w:rsidR="00017161" w:rsidRDefault="00017161">
      <w:pPr>
        <w:pBdr>
          <w:top w:val="nil"/>
          <w:left w:val="nil"/>
          <w:bottom w:val="nil"/>
          <w:right w:val="nil"/>
          <w:between w:val="nil"/>
        </w:pBdr>
        <w:jc w:val="both"/>
        <w:rPr>
          <w:color w:val="000000"/>
          <w:sz w:val="20"/>
          <w:szCs w:val="20"/>
          <w:u w:val="single"/>
        </w:rPr>
      </w:pPr>
    </w:p>
    <w:p w14:paraId="6BA3A8A3" w14:textId="77777777" w:rsidR="00017161" w:rsidRDefault="00017161">
      <w:pPr>
        <w:pBdr>
          <w:top w:val="nil"/>
          <w:left w:val="nil"/>
          <w:bottom w:val="nil"/>
          <w:right w:val="nil"/>
          <w:between w:val="nil"/>
        </w:pBdr>
        <w:jc w:val="both"/>
        <w:rPr>
          <w:color w:val="000000"/>
          <w:sz w:val="20"/>
          <w:szCs w:val="20"/>
          <w:u w:val="single"/>
        </w:rPr>
      </w:pPr>
    </w:p>
    <w:p w14:paraId="00895E58" w14:textId="77777777" w:rsidR="00017161" w:rsidRDefault="00017161">
      <w:pPr>
        <w:pBdr>
          <w:top w:val="nil"/>
          <w:left w:val="nil"/>
          <w:bottom w:val="nil"/>
          <w:right w:val="nil"/>
          <w:between w:val="nil"/>
        </w:pBdr>
        <w:jc w:val="both"/>
        <w:rPr>
          <w:color w:val="000000"/>
          <w:sz w:val="20"/>
          <w:szCs w:val="20"/>
          <w:u w:val="single"/>
        </w:rPr>
      </w:pPr>
    </w:p>
    <w:p w14:paraId="30F50374" w14:textId="77777777" w:rsidR="00017161" w:rsidRDefault="00017161">
      <w:pPr>
        <w:pBdr>
          <w:top w:val="nil"/>
          <w:left w:val="nil"/>
          <w:bottom w:val="nil"/>
          <w:right w:val="nil"/>
          <w:between w:val="nil"/>
        </w:pBdr>
        <w:jc w:val="both"/>
        <w:rPr>
          <w:color w:val="000000"/>
          <w:sz w:val="20"/>
          <w:szCs w:val="20"/>
          <w:u w:val="single"/>
        </w:rPr>
      </w:pPr>
    </w:p>
    <w:p w14:paraId="4292366F" w14:textId="77777777" w:rsidR="00017161" w:rsidRDefault="00017161">
      <w:pPr>
        <w:pBdr>
          <w:top w:val="nil"/>
          <w:left w:val="nil"/>
          <w:bottom w:val="nil"/>
          <w:right w:val="nil"/>
          <w:between w:val="nil"/>
        </w:pBdr>
        <w:jc w:val="both"/>
        <w:rPr>
          <w:color w:val="000000"/>
          <w:sz w:val="20"/>
          <w:szCs w:val="20"/>
          <w:u w:val="single"/>
        </w:rPr>
      </w:pPr>
    </w:p>
    <w:p w14:paraId="7E3F15A0" w14:textId="77777777" w:rsidR="00017161" w:rsidRDefault="00017161">
      <w:pPr>
        <w:pBdr>
          <w:top w:val="nil"/>
          <w:left w:val="nil"/>
          <w:bottom w:val="nil"/>
          <w:right w:val="nil"/>
          <w:between w:val="nil"/>
        </w:pBdr>
        <w:jc w:val="both"/>
        <w:rPr>
          <w:color w:val="000000"/>
          <w:sz w:val="20"/>
          <w:szCs w:val="20"/>
          <w:u w:val="single"/>
        </w:rPr>
      </w:pPr>
    </w:p>
    <w:p w14:paraId="552DA6CA" w14:textId="77777777" w:rsidR="00017161" w:rsidRDefault="00017161">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017161" w14:paraId="1042D344"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3648366" w14:textId="77777777" w:rsidR="00017161" w:rsidRDefault="0056278A">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5211CF19" w14:textId="77777777" w:rsidR="00017161" w:rsidRDefault="00017161">
            <w:pPr>
              <w:pBdr>
                <w:top w:val="nil"/>
                <w:left w:val="nil"/>
                <w:bottom w:val="nil"/>
                <w:right w:val="nil"/>
                <w:between w:val="nil"/>
              </w:pBdr>
              <w:rPr>
                <w:color w:val="000000"/>
                <w:sz w:val="20"/>
                <w:szCs w:val="20"/>
                <w:u w:val="single"/>
              </w:rPr>
            </w:pPr>
          </w:p>
        </w:tc>
      </w:tr>
      <w:tr w:rsidR="00017161" w14:paraId="24C81536" w14:textId="77777777">
        <w:trPr>
          <w:trHeight w:val="935"/>
        </w:trPr>
        <w:tc>
          <w:tcPr>
            <w:tcW w:w="6831" w:type="dxa"/>
            <w:tcMar>
              <w:top w:w="0" w:type="dxa"/>
              <w:left w:w="108" w:type="dxa"/>
              <w:bottom w:w="0" w:type="dxa"/>
              <w:right w:w="108" w:type="dxa"/>
            </w:tcMar>
            <w:vAlign w:val="center"/>
          </w:tcPr>
          <w:p w14:paraId="6EAFA1BB" w14:textId="77777777" w:rsidR="00017161" w:rsidRDefault="00017161">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62DC6E74" w14:textId="77777777" w:rsidR="00017161" w:rsidRDefault="0056278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3D864B28" w14:textId="77777777" w:rsidR="00017161" w:rsidRDefault="0056278A">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63FE1066" w14:textId="77777777" w:rsidR="00017161" w:rsidRDefault="00017161">
            <w:pPr>
              <w:pStyle w:val="Heading2"/>
              <w:jc w:val="left"/>
              <w:rPr>
                <w:rFonts w:ascii="Times New Roman" w:eastAsia="Times New Roman" w:hAnsi="Times New Roman" w:cs="Times New Roman"/>
                <w:b w:val="0"/>
                <w:bCs w:val="0"/>
              </w:rPr>
            </w:pPr>
          </w:p>
        </w:tc>
      </w:tr>
      <w:tr w:rsidR="00017161" w14:paraId="1BCAB84F" w14:textId="77777777">
        <w:trPr>
          <w:trHeight w:val="697"/>
        </w:trPr>
        <w:tc>
          <w:tcPr>
            <w:tcW w:w="6831" w:type="dxa"/>
            <w:tcMar>
              <w:top w:w="0" w:type="dxa"/>
              <w:left w:w="108" w:type="dxa"/>
              <w:bottom w:w="0" w:type="dxa"/>
              <w:right w:w="108" w:type="dxa"/>
            </w:tcMar>
            <w:vAlign w:val="center"/>
          </w:tcPr>
          <w:p w14:paraId="2AE291A2" w14:textId="77777777" w:rsidR="00017161" w:rsidRDefault="0056278A">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50F9C599" w14:textId="77777777" w:rsidR="00017161" w:rsidRDefault="00017161">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191E5EF1" w14:textId="77777777" w:rsidR="00017161" w:rsidRDefault="0056278A">
            <w:pPr>
              <w:pBdr>
                <w:top w:val="nil"/>
                <w:left w:val="nil"/>
                <w:bottom w:val="nil"/>
                <w:right w:val="nil"/>
                <w:between w:val="nil"/>
              </w:pBdr>
              <w:rPr>
                <w:b/>
                <w:bCs/>
                <w:color w:val="000000"/>
                <w:sz w:val="34"/>
                <w:szCs w:val="34"/>
              </w:rPr>
            </w:pPr>
            <w:r>
              <w:rPr>
                <w:b/>
                <w:bCs/>
                <w:i/>
                <w:iCs/>
                <w:sz w:val="34"/>
                <w:szCs w:val="34"/>
                <w:u w:val="single"/>
              </w:rPr>
              <w:t>No. The manuscript adequately addresses ethical considerations. Ethical approval was obtained, informed consent was secured from participants, and data confidentiality and anonymity were maintained in accordance with established ethical standards for human subject research.</w:t>
            </w:r>
          </w:p>
          <w:p w14:paraId="3D2D0DA8" w14:textId="77777777" w:rsidR="00017161" w:rsidRDefault="00017161">
            <w:pPr>
              <w:pBdr>
                <w:top w:val="nil"/>
                <w:left w:val="nil"/>
                <w:bottom w:val="nil"/>
                <w:right w:val="nil"/>
                <w:between w:val="nil"/>
              </w:pBdr>
              <w:rPr>
                <w:color w:val="000000"/>
                <w:sz w:val="20"/>
                <w:szCs w:val="20"/>
              </w:rPr>
            </w:pPr>
          </w:p>
        </w:tc>
        <w:tc>
          <w:tcPr>
            <w:tcW w:w="5677" w:type="dxa"/>
            <w:vAlign w:val="center"/>
          </w:tcPr>
          <w:p w14:paraId="0471B22A" w14:textId="77777777" w:rsidR="00017161" w:rsidRDefault="00017161">
            <w:pPr>
              <w:rPr>
                <w:sz w:val="20"/>
                <w:szCs w:val="20"/>
              </w:rPr>
            </w:pPr>
          </w:p>
          <w:p w14:paraId="18CC975A" w14:textId="77777777" w:rsidR="00017161" w:rsidRDefault="00017161">
            <w:pPr>
              <w:rPr>
                <w:sz w:val="20"/>
                <w:szCs w:val="20"/>
              </w:rPr>
            </w:pPr>
          </w:p>
          <w:p w14:paraId="7BD723F8" w14:textId="77777777" w:rsidR="00017161" w:rsidRDefault="00017161">
            <w:pPr>
              <w:rPr>
                <w:sz w:val="20"/>
                <w:szCs w:val="20"/>
              </w:rPr>
            </w:pPr>
          </w:p>
          <w:p w14:paraId="078BDDDA" w14:textId="77777777" w:rsidR="00017161" w:rsidRDefault="00017161">
            <w:pPr>
              <w:pBdr>
                <w:top w:val="nil"/>
                <w:left w:val="nil"/>
                <w:bottom w:val="nil"/>
                <w:right w:val="nil"/>
                <w:between w:val="nil"/>
              </w:pBdr>
              <w:rPr>
                <w:color w:val="000000"/>
                <w:sz w:val="20"/>
                <w:szCs w:val="20"/>
              </w:rPr>
            </w:pPr>
          </w:p>
        </w:tc>
      </w:tr>
    </w:tbl>
    <w:p w14:paraId="75CD5530" w14:textId="77777777" w:rsidR="00017161" w:rsidRDefault="00017161">
      <w:pPr>
        <w:pBdr>
          <w:top w:val="nil"/>
          <w:left w:val="nil"/>
          <w:bottom w:val="nil"/>
          <w:right w:val="nil"/>
          <w:between w:val="nil"/>
        </w:pBdr>
        <w:jc w:val="both"/>
        <w:rPr>
          <w:rFonts w:ascii="Arial" w:eastAsia="Arial" w:hAnsi="Arial" w:cs="Arial"/>
          <w:color w:val="000000"/>
          <w:sz w:val="20"/>
          <w:szCs w:val="20"/>
        </w:rPr>
      </w:pPr>
    </w:p>
    <w:sectPr w:rsidR="00017161">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0BBD25" w14:textId="77777777" w:rsidR="00133D45" w:rsidRDefault="00133D45">
      <w:r>
        <w:separator/>
      </w:r>
    </w:p>
  </w:endnote>
  <w:endnote w:type="continuationSeparator" w:id="0">
    <w:p w14:paraId="7F2ECCB9" w14:textId="77777777" w:rsidR="00133D45" w:rsidRDefault="00133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00AB7916-68EA-4FC9-9BD0-DF279E9F1AF8}"/>
    <w:embedBold r:id="rId2" w:fontKey="{D17D5EBA-3936-4E20-A849-5A85942B8199}"/>
  </w:font>
  <w:font w:name="Arimo">
    <w:charset w:val="00"/>
    <w:family w:val="auto"/>
    <w:pitch w:val="default"/>
    <w:embedBold r:id="rId3" w:fontKey="{DBE95783-5B6B-415A-8354-67B2A7EB8EED}"/>
  </w:font>
  <w:font w:name="Helvetica">
    <w:panose1 w:val="020B0604020202020204"/>
    <w:charset w:val="00"/>
    <w:family w:val="swiss"/>
    <w:pitch w:val="variable"/>
    <w:sig w:usb0="00000003" w:usb1="00000000" w:usb2="00000000" w:usb3="00000000" w:csb0="00000001" w:csb1="00000000"/>
    <w:embedRegular r:id="rId4" w:fontKey="{734CD135-B5D0-4184-8F76-74D299F37C5C}"/>
    <w:embedBold r:id="rId5" w:fontKey="{1C4073FE-5B43-4670-8370-5A1425F343DE}"/>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4AE5232B-87F7-4F8E-8F9D-9A29C4D12AA2}"/>
  </w:font>
  <w:font w:name="Georgia">
    <w:panose1 w:val="02040502050405020303"/>
    <w:charset w:val="00"/>
    <w:family w:val="roman"/>
    <w:pitch w:val="variable"/>
    <w:sig w:usb0="00000287" w:usb1="00000000" w:usb2="00000000" w:usb3="00000000" w:csb0="0000009F" w:csb1="00000000"/>
    <w:embedItalic r:id="rId7" w:fontKey="{CC4C12B4-9865-48B7-B641-FA25143C869A}"/>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BoldItalic r:id="rId8" w:fontKey="{F612AD37-6903-4B59-97E4-5D772D4F1AA3}"/>
  </w:font>
  <w:font w:name="Cambria">
    <w:panose1 w:val="02040503050406030204"/>
    <w:charset w:val="00"/>
    <w:family w:val="roman"/>
    <w:pitch w:val="variable"/>
    <w:sig w:usb0="E00006FF" w:usb1="420024FF" w:usb2="02000000" w:usb3="00000000" w:csb0="0000019F" w:csb1="00000000"/>
    <w:embedRegular r:id="rId9" w:fontKey="{D78A5788-D568-41A7-BA0E-D21576727C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5906C0" w14:textId="77777777" w:rsidR="00017161" w:rsidRDefault="0056278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750236" w14:textId="77777777" w:rsidR="00133D45" w:rsidRDefault="00133D45">
      <w:r>
        <w:separator/>
      </w:r>
    </w:p>
  </w:footnote>
  <w:footnote w:type="continuationSeparator" w:id="0">
    <w:p w14:paraId="40FB2322" w14:textId="77777777" w:rsidR="00133D45" w:rsidRDefault="00133D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B0734F" w14:textId="77777777" w:rsidR="00017161" w:rsidRDefault="00017161">
    <w:pPr>
      <w:spacing w:after="280"/>
      <w:jc w:val="center"/>
      <w:rPr>
        <w:rFonts w:ascii="Arial" w:eastAsia="Arial" w:hAnsi="Arial" w:cs="Arial"/>
        <w:color w:val="003399"/>
        <w:u w:val="single"/>
      </w:rPr>
    </w:pPr>
  </w:p>
  <w:p w14:paraId="094471B3" w14:textId="77777777" w:rsidR="00017161" w:rsidRDefault="0056278A">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7161"/>
    <w:rsid w:val="00017161"/>
    <w:rsid w:val="000C7CB8"/>
    <w:rsid w:val="00133D45"/>
    <w:rsid w:val="002D6B38"/>
    <w:rsid w:val="003A4F3A"/>
    <w:rsid w:val="0056278A"/>
    <w:rsid w:val="006E1943"/>
    <w:rsid w:val="006F45DD"/>
    <w:rsid w:val="009413C6"/>
    <w:rsid w:val="00964E0B"/>
    <w:rsid w:val="009A3211"/>
    <w:rsid w:val="00A428C8"/>
    <w:rsid w:val="00CD2DE7"/>
    <w:rsid w:val="00D011EB"/>
    <w:rsid w:val="00D06161"/>
    <w:rsid w:val="00FE25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91FC54"/>
  <w15:docId w15:val="{2309D6B8-A1F5-4B0E-A4B8-83D598ECB0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5369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arr.com/index.php/AJA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3DsocPTsmfLWL3XK8nieMKcclg==">CgMxLjAyDmguMTZkbTkybXo5aDRxMgxoLnZ0NHQycnZvZDEyDmguZjJxcXNoa2h0NGl2Mg5oLjJna241czIya3NtbjgAciExNWluQkVxOG8xUVU5YmZ2UVVwQUw4blcyNk5iV1BnMVg=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Pages>
  <Words>1029</Words>
  <Characters>5869</Characters>
  <Application>Microsoft Office Word</Application>
  <DocSecurity>0</DocSecurity>
  <Lines>48</Lines>
  <Paragraphs>13</Paragraphs>
  <ScaleCrop>false</ScaleCrop>
  <Company/>
  <LinksUpToDate>false</LinksUpToDate>
  <CharactersWithSpaces>6885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1158</cp:lastModifiedBy>
  <cp:revision>22</cp:revision>
  <dcterms:created xsi:type="dcterms:W3CDTF">2011-08-01T09:21:00Z</dcterms:created>
  <dcterms:modified xsi:type="dcterms:W3CDTF">2026-01-28T05:30:00Z</dcterms:modified>
</cp:coreProperties>
</file>