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F32" w:rsidRDefault="00000000">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Effects of </w:t>
      </w:r>
      <w:r>
        <w:rPr>
          <w:rFonts w:ascii="Times New Roman" w:hAnsi="Times New Roman" w:cs="Times New Roman"/>
          <w:b/>
          <w:i/>
          <w:sz w:val="24"/>
          <w:szCs w:val="24"/>
        </w:rPr>
        <w:t>Azadirachta indica</w:t>
      </w:r>
      <w:r>
        <w:rPr>
          <w:rFonts w:ascii="Times New Roman" w:hAnsi="Times New Roman" w:cs="Times New Roman"/>
          <w:b/>
          <w:sz w:val="24"/>
          <w:szCs w:val="24"/>
        </w:rPr>
        <w:t xml:space="preserve"> on Serum liver function test parameters and  physical obesity markers  in high-fat diet induced obesity in albino rats</w:t>
      </w:r>
      <w:r>
        <w:rPr>
          <w:rFonts w:ascii="Times New Roman" w:hAnsi="Times New Roman" w:cs="Times New Roman"/>
          <w:sz w:val="24"/>
          <w:szCs w:val="24"/>
        </w:rPr>
        <w:t>.</w:t>
      </w:r>
    </w:p>
    <w:p w:rsidR="00CC4F32" w:rsidRDefault="00000000">
      <w:pPr>
        <w:spacing w:after="0" w:line="240" w:lineRule="auto"/>
        <w:jc w:val="both"/>
        <w:rPr>
          <w:rFonts w:ascii="Times New Roman" w:hAnsi="Times New Roman" w:cs="Times New Roman"/>
          <w:sz w:val="24"/>
          <w:vertAlign w:val="superscript"/>
        </w:rPr>
      </w:pPr>
      <w:r>
        <w:rPr>
          <w:rFonts w:ascii="Times New Roman" w:hAnsi="Times New Roman" w:cs="Times New Roman"/>
          <w:sz w:val="24"/>
        </w:rPr>
        <w:t>*Anafi, O.H.</w:t>
      </w:r>
      <w:r>
        <w:rPr>
          <w:rFonts w:ascii="Times New Roman" w:hAnsi="Times New Roman" w:cs="Times New Roman"/>
          <w:sz w:val="24"/>
          <w:vertAlign w:val="superscript"/>
        </w:rPr>
        <w:t xml:space="preserve"> 1</w:t>
      </w:r>
      <w:r>
        <w:rPr>
          <w:rFonts w:ascii="Times New Roman" w:hAnsi="Times New Roman" w:cs="Times New Roman"/>
          <w:sz w:val="24"/>
        </w:rPr>
        <w:t>,</w:t>
      </w:r>
      <w:r>
        <w:rPr>
          <w:rFonts w:ascii="Times New Roman" w:hAnsi="Times New Roman" w:cs="Times New Roman"/>
          <w:sz w:val="24"/>
          <w:vertAlign w:val="superscript"/>
        </w:rPr>
        <w:t xml:space="preserve"> </w:t>
      </w:r>
      <w:r>
        <w:rPr>
          <w:rFonts w:ascii="Times New Roman" w:hAnsi="Times New Roman" w:cs="Times New Roman"/>
          <w:sz w:val="24"/>
        </w:rPr>
        <w:t>Sahabi S. M.</w:t>
      </w:r>
      <w:r>
        <w:rPr>
          <w:rFonts w:ascii="Times New Roman" w:hAnsi="Times New Roman" w:cs="Times New Roman"/>
          <w:sz w:val="24"/>
          <w:vertAlign w:val="superscript"/>
        </w:rPr>
        <w:t xml:space="preserve"> 2</w:t>
      </w:r>
      <w:r>
        <w:rPr>
          <w:rFonts w:ascii="Times New Roman" w:hAnsi="Times New Roman" w:cs="Times New Roman"/>
          <w:sz w:val="24"/>
        </w:rPr>
        <w:t>,</w:t>
      </w:r>
      <w:r>
        <w:rPr>
          <w:rFonts w:ascii="Times New Roman" w:hAnsi="Times New Roman" w:cs="Times New Roman"/>
          <w:sz w:val="24"/>
          <w:vertAlign w:val="superscript"/>
        </w:rPr>
        <w:t xml:space="preserve"> M. </w:t>
      </w:r>
      <w:r>
        <w:rPr>
          <w:rFonts w:ascii="Times New Roman" w:hAnsi="Times New Roman" w:cs="Times New Roman"/>
          <w:sz w:val="24"/>
        </w:rPr>
        <w:t>S. Abubakar S. M.</w:t>
      </w:r>
      <w:r>
        <w:rPr>
          <w:rFonts w:ascii="Times New Roman" w:hAnsi="Times New Roman" w:cs="Times New Roman"/>
          <w:sz w:val="24"/>
          <w:vertAlign w:val="superscript"/>
        </w:rPr>
        <w:t>3</w:t>
      </w:r>
      <w:r>
        <w:rPr>
          <w:rFonts w:ascii="Times New Roman" w:hAnsi="Times New Roman" w:cs="Times New Roman"/>
          <w:sz w:val="24"/>
        </w:rPr>
        <w:t xml:space="preserve"> ,</w:t>
      </w:r>
      <w:r>
        <w:rPr>
          <w:rFonts w:ascii="Times New Roman" w:hAnsi="Times New Roman" w:cs="Times New Roman"/>
          <w:sz w:val="24"/>
          <w:vertAlign w:val="superscript"/>
        </w:rPr>
        <w:t xml:space="preserve">  </w:t>
      </w:r>
    </w:p>
    <w:p w:rsidR="00CC4F32" w:rsidRDefault="00000000">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vertAlign w:val="superscript"/>
        </w:rPr>
        <w:t>1</w:t>
      </w:r>
      <w:r>
        <w:rPr>
          <w:rFonts w:ascii="Times New Roman" w:hAnsi="Times New Roman" w:cs="Times New Roman"/>
          <w:sz w:val="24"/>
        </w:rPr>
        <w:t>Department of Histopathology, Medical Laboratory Sciences, University Teaching Hospital, Ilorin Kwara state</w:t>
      </w:r>
      <w:r w:rsidR="009B3FE8">
        <w:rPr>
          <w:rFonts w:ascii="Times New Roman" w:hAnsi="Times New Roman" w:cs="Times New Roman"/>
          <w:sz w:val="24"/>
        </w:rPr>
        <w:t xml:space="preserve">, </w:t>
      </w:r>
      <w:r w:rsidR="009B3FE8" w:rsidRPr="009B3FE8">
        <w:rPr>
          <w:rFonts w:ascii="Times New Roman" w:hAnsi="Times New Roman" w:cs="Times New Roman"/>
          <w:sz w:val="24"/>
        </w:rPr>
        <w:t>Nigeria</w:t>
      </w:r>
    </w:p>
    <w:p w:rsidR="00CC4F32" w:rsidRDefault="00000000">
      <w:pPr>
        <w:spacing w:after="0" w:line="240" w:lineRule="auto"/>
        <w:jc w:val="both"/>
        <w:rPr>
          <w:rFonts w:ascii="Times New Roman" w:hAnsi="Times New Roman" w:cs="Times New Roman"/>
          <w:sz w:val="24"/>
        </w:rPr>
      </w:pPr>
      <w:r>
        <w:rPr>
          <w:rFonts w:ascii="Times New Roman" w:hAnsi="Times New Roman" w:cs="Times New Roman"/>
          <w:sz w:val="24"/>
          <w:vertAlign w:val="superscript"/>
        </w:rPr>
        <w:t>2</w:t>
      </w:r>
      <w:r>
        <w:rPr>
          <w:rFonts w:ascii="Times New Roman" w:hAnsi="Times New Roman" w:cs="Times New Roman"/>
          <w:sz w:val="24"/>
        </w:rPr>
        <w:t xml:space="preserve">Department of Morbid Anatomy and Forensic Medicine, Usmanu Danfodiyo University Teaching Hospital, </w:t>
      </w:r>
      <w:proofErr w:type="gramStart"/>
      <w:r>
        <w:rPr>
          <w:rFonts w:ascii="Times New Roman" w:hAnsi="Times New Roman" w:cs="Times New Roman"/>
          <w:sz w:val="24"/>
        </w:rPr>
        <w:t xml:space="preserve">Sokoto </w:t>
      </w:r>
      <w:r w:rsidR="00464643">
        <w:rPr>
          <w:rFonts w:ascii="Times New Roman" w:hAnsi="Times New Roman" w:cs="Times New Roman"/>
          <w:sz w:val="24"/>
        </w:rPr>
        <w:t>,</w:t>
      </w:r>
      <w:proofErr w:type="gramEnd"/>
      <w:r w:rsidR="00464643">
        <w:rPr>
          <w:rFonts w:ascii="Times New Roman" w:hAnsi="Times New Roman" w:cs="Times New Roman"/>
          <w:sz w:val="24"/>
        </w:rPr>
        <w:t xml:space="preserve"> </w:t>
      </w:r>
      <w:r w:rsidR="00464643" w:rsidRPr="00464643">
        <w:rPr>
          <w:rFonts w:ascii="Times New Roman" w:hAnsi="Times New Roman" w:cs="Times New Roman"/>
          <w:sz w:val="24"/>
        </w:rPr>
        <w:t>Nigeria</w:t>
      </w:r>
    </w:p>
    <w:p w:rsidR="00CC4F32" w:rsidRDefault="00000000">
      <w:pPr>
        <w:spacing w:after="0" w:line="240" w:lineRule="auto"/>
        <w:jc w:val="both"/>
        <w:rPr>
          <w:rFonts w:ascii="Times New Roman" w:hAnsi="Times New Roman" w:cs="Times New Roman"/>
          <w:sz w:val="24"/>
        </w:rPr>
      </w:pPr>
      <w:r>
        <w:rPr>
          <w:rFonts w:ascii="Times New Roman" w:hAnsi="Times New Roman" w:cs="Times New Roman"/>
          <w:sz w:val="24"/>
          <w:vertAlign w:val="superscript"/>
        </w:rPr>
        <w:t>3</w:t>
      </w:r>
      <w:r>
        <w:rPr>
          <w:rFonts w:ascii="Times New Roman" w:hAnsi="Times New Roman" w:cs="Times New Roman"/>
          <w:sz w:val="24"/>
        </w:rPr>
        <w:t xml:space="preserve">Department of Pathology Faculty of Veternary Medicine, Usmanu </w:t>
      </w:r>
      <w:proofErr w:type="spellStart"/>
      <w:r>
        <w:rPr>
          <w:rFonts w:ascii="Times New Roman" w:hAnsi="Times New Roman" w:cs="Times New Roman"/>
          <w:sz w:val="24"/>
        </w:rPr>
        <w:t>Danfodiyo</w:t>
      </w:r>
      <w:proofErr w:type="spellEnd"/>
      <w:r>
        <w:rPr>
          <w:rFonts w:ascii="Times New Roman" w:hAnsi="Times New Roman" w:cs="Times New Roman"/>
          <w:sz w:val="24"/>
        </w:rPr>
        <w:t xml:space="preserve"> University, Sokoto</w:t>
      </w:r>
      <w:r w:rsidR="00464643">
        <w:rPr>
          <w:rFonts w:ascii="Times New Roman" w:hAnsi="Times New Roman" w:cs="Times New Roman"/>
          <w:sz w:val="24"/>
        </w:rPr>
        <w:t xml:space="preserve">, </w:t>
      </w:r>
      <w:r w:rsidR="00464643" w:rsidRPr="00464643">
        <w:rPr>
          <w:rFonts w:ascii="Times New Roman" w:hAnsi="Times New Roman" w:cs="Times New Roman"/>
          <w:sz w:val="24"/>
        </w:rPr>
        <w:t>Nigeria</w:t>
      </w:r>
    </w:p>
    <w:p w:rsidR="00CC4F32" w:rsidRDefault="00CC4F32">
      <w:pPr>
        <w:spacing w:after="0" w:line="240" w:lineRule="auto"/>
        <w:jc w:val="both"/>
        <w:rPr>
          <w:rFonts w:ascii="Times New Roman" w:hAnsi="Times New Roman" w:cs="Times New Roman"/>
          <w:sz w:val="24"/>
        </w:rPr>
      </w:pPr>
    </w:p>
    <w:p w:rsidR="00CC4F32" w:rsidRDefault="00CC4F32">
      <w:pPr>
        <w:spacing w:after="0" w:line="240" w:lineRule="auto"/>
        <w:jc w:val="both"/>
        <w:rPr>
          <w:rFonts w:ascii="Times New Roman" w:hAnsi="Times New Roman" w:cs="Times New Roman"/>
          <w:sz w:val="24"/>
          <w:vertAlign w:val="superscript"/>
        </w:rPr>
      </w:pPr>
    </w:p>
    <w:p w:rsidR="00CC4F32" w:rsidRDefault="00000000">
      <w:pPr>
        <w:spacing w:line="240" w:lineRule="auto"/>
        <w:jc w:val="both"/>
        <w:rPr>
          <w:rFonts w:ascii="Times New Roman" w:hAnsi="Times New Roman" w:cs="Times New Roman"/>
          <w:b/>
          <w:sz w:val="24"/>
          <w:vertAlign w:val="superscript"/>
        </w:rPr>
      </w:pPr>
      <w:r>
        <w:rPr>
          <w:rFonts w:ascii="Times New Roman" w:hAnsi="Times New Roman" w:cs="Times New Roman"/>
          <w:b/>
          <w:sz w:val="24"/>
        </w:rPr>
        <w:t xml:space="preserve">*Corresponding Author Contact: </w:t>
      </w:r>
      <w:hyperlink r:id="rId7" w:history="1">
        <w:r w:rsidR="00907074" w:rsidRPr="00313E04">
          <w:rPr>
            <w:rStyle w:val="Hyperlink"/>
            <w:rFonts w:ascii="Times New Roman" w:hAnsi="Times New Roman" w:cs="Times New Roman"/>
            <w:b/>
            <w:sz w:val="24"/>
          </w:rPr>
          <w:t>anafihamed@hotmail.com</w:t>
        </w:r>
      </w:hyperlink>
      <w:r w:rsidR="00907074">
        <w:rPr>
          <w:rFonts w:ascii="Times New Roman" w:hAnsi="Times New Roman" w:cs="Times New Roman"/>
          <w:b/>
          <w:sz w:val="24"/>
        </w:rPr>
        <w:t xml:space="preserve"> </w:t>
      </w:r>
      <w:r>
        <w:rPr>
          <w:rFonts w:ascii="Times New Roman" w:hAnsi="Times New Roman" w:cs="Times New Roman"/>
          <w:b/>
          <w:sz w:val="24"/>
        </w:rPr>
        <w:t xml:space="preserve"> +2348062889865.</w:t>
      </w:r>
    </w:p>
    <w:p w:rsidR="00CC4F32"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CC4F32" w:rsidRDefault="000000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Obesity is a serious health challenge worldwide and is associated with various comorbidities, including dyslipidemia, type 2 diabetes and cardiovascular disease. Obesity is a challenging clinical condition to treat, because of their complex environmental components and efforts to develop innovative anti-obesity drugs with benefits for metabolic syndrome have been recently intensified</w:t>
      </w:r>
    </w:p>
    <w:p w:rsidR="00CC4F32" w:rsidRDefault="000000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Aim</w:t>
      </w:r>
      <w:r>
        <w:rPr>
          <w:rFonts w:ascii="Times New Roman" w:hAnsi="Times New Roman" w:cs="Times New Roman"/>
          <w:sz w:val="24"/>
          <w:szCs w:val="24"/>
        </w:rPr>
        <w:t xml:space="preserve">: The study was designed to evaluate the effect of </w:t>
      </w:r>
      <w:r>
        <w:rPr>
          <w:rFonts w:ascii="Times New Roman" w:hAnsi="Times New Roman" w:cs="Times New Roman"/>
          <w:i/>
          <w:sz w:val="24"/>
          <w:szCs w:val="24"/>
        </w:rPr>
        <w:t xml:space="preserve">A. indica </w:t>
      </w:r>
      <w:r>
        <w:rPr>
          <w:rFonts w:ascii="Times New Roman" w:hAnsi="Times New Roman" w:cs="Times New Roman"/>
          <w:sz w:val="24"/>
          <w:szCs w:val="24"/>
        </w:rPr>
        <w:t xml:space="preserve">aqueous leaf extract on the biochemical and anthropometric parameters of high fat diet induced obesity in albino rats. </w:t>
      </w:r>
    </w:p>
    <w:p w:rsidR="00CC4F32" w:rsidRPr="00F37518" w:rsidRDefault="000000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Methodology:</w:t>
      </w:r>
      <w:r>
        <w:rPr>
          <w:rFonts w:ascii="Times New Roman" w:hAnsi="Times New Roman" w:cs="Times New Roman"/>
          <w:sz w:val="24"/>
          <w:szCs w:val="24"/>
        </w:rPr>
        <w:t xml:space="preserve"> </w:t>
      </w:r>
      <w:r w:rsidRPr="00F37518">
        <w:rPr>
          <w:rFonts w:ascii="Times New Roman" w:hAnsi="Times New Roman" w:cs="Times New Roman"/>
          <w:sz w:val="24"/>
          <w:szCs w:val="24"/>
        </w:rPr>
        <w:t xml:space="preserve">The obesity condition was induced in the rats by feeding them with high-fat diet for 12 weeks. At the 7th week of diet feeding, the obese rats were treated with the aqueous leaf extract of </w:t>
      </w:r>
      <w:r w:rsidRPr="00F37518">
        <w:rPr>
          <w:rFonts w:ascii="Times New Roman" w:hAnsi="Times New Roman" w:cs="Times New Roman"/>
          <w:i/>
          <w:iCs/>
          <w:sz w:val="24"/>
          <w:szCs w:val="24"/>
        </w:rPr>
        <w:t>A. indica</w:t>
      </w:r>
      <w:r w:rsidRPr="00F37518">
        <w:rPr>
          <w:rFonts w:ascii="Times New Roman" w:hAnsi="Times New Roman" w:cs="Times New Roman"/>
          <w:sz w:val="24"/>
          <w:szCs w:val="24"/>
        </w:rPr>
        <w:t xml:space="preserve"> at 100 and 200 mg/kg/day, respectively, that continued for six weeks. At the end of the treatment period, body mass index, abdominal circumference, thoracic circumference, leeindex, feeding efficiency, energy intake, food and water consumption, body weight gain and specific mass gain were determined. Alanine aminotransferase (ALT), Aspartate aminotransferase (AST), Alkaline aminotransferase (ALP) and Total protein and Albumin were determined, Triglyceride, Total cholesterol, LDL-Cholesterol, VLDL and HDL were determined.</w:t>
      </w:r>
    </w:p>
    <w:p w:rsidR="00CC4F32" w:rsidRPr="00F37518" w:rsidRDefault="00000000">
      <w:pPr>
        <w:spacing w:after="0" w:line="240" w:lineRule="auto"/>
        <w:jc w:val="both"/>
        <w:rPr>
          <w:rFonts w:ascii="Times New Roman" w:hAnsi="Times New Roman" w:cs="Times New Roman"/>
          <w:sz w:val="24"/>
          <w:szCs w:val="24"/>
        </w:rPr>
      </w:pPr>
      <w:r w:rsidRPr="00F37518">
        <w:rPr>
          <w:rFonts w:ascii="Times New Roman" w:hAnsi="Times New Roman" w:cs="Times New Roman"/>
          <w:b/>
          <w:sz w:val="24"/>
          <w:szCs w:val="24"/>
        </w:rPr>
        <w:t>Result</w:t>
      </w:r>
      <w:r w:rsidRPr="00F37518">
        <w:rPr>
          <w:rFonts w:ascii="Times New Roman" w:hAnsi="Times New Roman" w:cs="Times New Roman"/>
          <w:sz w:val="24"/>
          <w:szCs w:val="24"/>
        </w:rPr>
        <w:t xml:space="preserve">: The results showed that the body mass index, body weight, specific body mass, organ weight of the liver, %relative organ weight, lee index, energy intake, % feeding efficiency, food consumption, water intake  were significantly decreased in the treated groups compared to high-fat diet group animals. Serum Triglycerides, Total cholesterol, LDL-Cholesterol and VLDL-Cholesterol were significantly decreased while HDL-Cholesterol was elevated in the treated groups in a dose-dependent manner as compared to the HFD group. Alanine aminotransferase (ALT), Aspartate aminotransferase (AST),Alkaline phosphatase (ALP) and Total and direct bilirubin levels  were  significantly reduced in the treated groups while decrease in total protein and albumin levels in the HFD group showed no significant difference in the treated groups. </w:t>
      </w:r>
    </w:p>
    <w:p w:rsidR="00CC4F32" w:rsidRDefault="00000000">
      <w:pPr>
        <w:spacing w:after="0" w:line="240" w:lineRule="auto"/>
        <w:jc w:val="both"/>
        <w:rPr>
          <w:rFonts w:ascii="SimSun" w:eastAsia="Times New Roman" w:hAnsi="SimSun"/>
          <w:sz w:val="24"/>
          <w:szCs w:val="24"/>
          <w:lang w:eastAsia="en-GB"/>
        </w:rPr>
      </w:pPr>
      <w:r w:rsidRPr="00F37518">
        <w:rPr>
          <w:rFonts w:ascii="Times New Roman" w:hAnsi="Times New Roman" w:cs="Times New Roman"/>
          <w:b/>
          <w:sz w:val="24"/>
          <w:szCs w:val="24"/>
        </w:rPr>
        <w:t>Conclusion</w:t>
      </w:r>
      <w:r w:rsidRPr="00F37518">
        <w:rPr>
          <w:rFonts w:ascii="Times New Roman" w:hAnsi="Times New Roman" w:cs="Times New Roman"/>
          <w:sz w:val="24"/>
          <w:szCs w:val="24"/>
        </w:rPr>
        <w:t xml:space="preserve">: These results confirmed the effect of </w:t>
      </w:r>
      <w:r w:rsidRPr="00F37518">
        <w:rPr>
          <w:rFonts w:ascii="Times New Roman" w:hAnsi="Times New Roman" w:cs="Times New Roman"/>
          <w:i/>
          <w:iCs/>
          <w:sz w:val="24"/>
          <w:szCs w:val="24"/>
        </w:rPr>
        <w:t>Azadirachta indica</w:t>
      </w:r>
      <w:r w:rsidRPr="00F37518">
        <w:rPr>
          <w:rFonts w:ascii="Times New Roman" w:hAnsi="Times New Roman" w:cs="Times New Roman"/>
          <w:sz w:val="24"/>
          <w:szCs w:val="24"/>
        </w:rPr>
        <w:t xml:space="preserve"> extract in obesity as indicated </w:t>
      </w:r>
      <w:r w:rsidRPr="00F37518">
        <w:rPr>
          <w:rFonts w:ascii="Times New Roman" w:eastAsia="Times New Roman" w:hAnsi="Times New Roman" w:cs="Times New Roman"/>
          <w:sz w:val="24"/>
          <w:szCs w:val="24"/>
          <w:lang w:eastAsia="en-GB"/>
        </w:rPr>
        <w:t>by improvement of some anthropometrical parameters, amelioration of the dyslipidemia, restoration of liver enzyme</w:t>
      </w:r>
      <w:r>
        <w:rPr>
          <w:rFonts w:ascii="SimSun" w:eastAsia="Times New Roman" w:hAnsi="SimSun"/>
          <w:sz w:val="24"/>
          <w:szCs w:val="24"/>
          <w:lang w:eastAsia="en-GB"/>
        </w:rPr>
        <w:t>.</w:t>
      </w:r>
    </w:p>
    <w:p w:rsidR="00CC4F32" w:rsidRDefault="00000000">
      <w:pPr>
        <w:spacing w:line="240" w:lineRule="auto"/>
        <w:jc w:val="both"/>
        <w:rPr>
          <w:rFonts w:ascii="Times New Roman" w:hAnsi="Times New Roman" w:cs="Times New Roman"/>
          <w:sz w:val="24"/>
          <w:szCs w:val="24"/>
        </w:rPr>
      </w:pPr>
      <w:r>
        <w:rPr>
          <w:rFonts w:ascii="SimSun" w:eastAsia="Times New Roman" w:hAnsi="SimSun"/>
          <w:b/>
          <w:sz w:val="24"/>
          <w:szCs w:val="24"/>
          <w:lang w:eastAsia="en-GB"/>
        </w:rPr>
        <w:t>Keywords</w:t>
      </w:r>
      <w:r>
        <w:rPr>
          <w:rFonts w:ascii="SimSun" w:eastAsia="Times New Roman" w:hAnsi="SimSun"/>
          <w:sz w:val="24"/>
          <w:szCs w:val="24"/>
          <w:lang w:eastAsia="en-GB"/>
        </w:rPr>
        <w:t xml:space="preserve">: </w:t>
      </w:r>
      <w:r>
        <w:rPr>
          <w:rFonts w:ascii="Times New Roman" w:hAnsi="Times New Roman" w:cs="Times New Roman"/>
          <w:i/>
          <w:sz w:val="24"/>
          <w:szCs w:val="24"/>
        </w:rPr>
        <w:t>Azadirachta indica</w:t>
      </w:r>
      <w:r>
        <w:rPr>
          <w:rFonts w:ascii="Times New Roman" w:hAnsi="Times New Roman" w:cs="Times New Roman"/>
          <w:sz w:val="24"/>
          <w:szCs w:val="24"/>
        </w:rPr>
        <w:t>, Anthropometric, Biochemical Parameters, High-fat diet and Obesity.</w:t>
      </w:r>
    </w:p>
    <w:p w:rsidR="00CC4F32" w:rsidRDefault="00CC4F32">
      <w:pPr>
        <w:spacing w:line="240" w:lineRule="auto"/>
        <w:jc w:val="both"/>
        <w:rPr>
          <w:rFonts w:ascii="Times New Roman" w:hAnsi="Times New Roman" w:cs="Times New Roman"/>
          <w:sz w:val="24"/>
          <w:szCs w:val="24"/>
        </w:rPr>
      </w:pPr>
    </w:p>
    <w:p w:rsidR="00CC4F32" w:rsidRDefault="00CC4F32">
      <w:pPr>
        <w:pStyle w:val="ListParagraph"/>
        <w:numPr>
          <w:ilvl w:val="0"/>
          <w:numId w:val="1"/>
        </w:numPr>
        <w:spacing w:after="0" w:line="240" w:lineRule="auto"/>
        <w:rPr>
          <w:rFonts w:ascii="Times New Roman" w:hAnsi="Times New Roman" w:cs="Times New Roman"/>
          <w:b/>
          <w:sz w:val="24"/>
          <w:szCs w:val="24"/>
        </w:rPr>
        <w:sectPr w:rsidR="00CC4F32">
          <w:footerReference w:type="default" r:id="rId8"/>
          <w:pgSz w:w="12240" w:h="15840"/>
          <w:pgMar w:top="1440" w:right="1440" w:bottom="1440" w:left="1440" w:header="720" w:footer="720" w:gutter="0"/>
          <w:cols w:space="720"/>
          <w:docGrid w:linePitch="360"/>
        </w:sectPr>
      </w:pPr>
    </w:p>
    <w:p w:rsidR="00CC4F32" w:rsidRDefault="00000000">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CC4F32" w:rsidRDefault="0000000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disease burden from overweight and obesity has continued to increase globally WHO, [1] The World Health Organization [1] reported that overweight and obese persons nearly tripled between 1975 and 2016 WHO, [1]. Recently, Ng </w:t>
      </w:r>
      <w:r>
        <w:rPr>
          <w:rFonts w:ascii="Times New Roman" w:hAnsi="Times New Roman" w:cs="Times New Roman"/>
          <w:i/>
          <w:sz w:val="24"/>
          <w:szCs w:val="24"/>
        </w:rPr>
        <w:t>et al.</w:t>
      </w:r>
      <w:r>
        <w:rPr>
          <w:rFonts w:ascii="Times New Roman" w:hAnsi="Times New Roman" w:cs="Times New Roman"/>
          <w:sz w:val="24"/>
          <w:szCs w:val="24"/>
        </w:rPr>
        <w:t xml:space="preserve"> [2] reported that the prevalence of overweight and obesity increased significantly worldwide in children and young adults between 1980 and 2013 [2]. In 2016, more than 1.9 billion adults aged 18years or more were overweight, with 650 million obese. Obesity and overweight are strongly linked with several cardio-metabolic disorders including high blood pressure, high blood glucose, insulin resistance, high blood cholesterols, coronary heart disease, stroke and cancers [3].The prevalence of overweight varies widely across different settings in Nigeria, ranging from 1.9% in Egbeda, Oyo State, a rural setting in South-west Nigeria [4], to 53.3% in Katsina, North-west Nigeria [4]. From all data points, the pooled crude prevalence of overweight persons in Nigeria was 25.0% (95% CI: 20.4–29.6). The prevalence in women was slightly higher at 25.5% (17.1–34.0) compared to men at 25.2% (18.0–32.4).The prevalence was highest in South-east (33.0%, 26.4–40.0). Although, both the North-east and North- west had limited data points, the prevalence of From all studies, the highest prevalence of obesity was reported in Umuahia, Abia State, South-east Nigeria in 2012 at 33.7% [5], with the lowest rate recorded in Kano, North-west Nigeria in 2013 at 0.84% [6]. The pooled (from all data points) crude prevalence of obesity in Nigeria was 14.3 (95% CI: 12.0–15.5).As observed among over- weight persons, the prevalence was higher among women (19.8%, 13.9–25.6) compared to the pooled rate in men (12.9%, 9.1–16.7) [6]. </w:t>
      </w:r>
    </w:p>
    <w:p w:rsidR="00CC4F32"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Dietary fat intake often has been claimed as responsible for the increase in adiposity. </w:t>
      </w:r>
      <w:r>
        <w:rPr>
          <w:rFonts w:ascii="Times New Roman" w:hAnsi="Times New Roman" w:cs="Times New Roman"/>
          <w:sz w:val="24"/>
          <w:szCs w:val="24"/>
        </w:rPr>
        <w:t>Human studies have shown that high-fat diets ($30% of energy from fat) can easily induce obesity [7, 8, 9, 10, 11]  Epidemiological studies conducted in countries such as China, Canada and the USA have shown that, when the average amount of fat in the diet increases, the incidence of obesity also increases [12, 13, 14, 15]. This has led to a worldwide effort to decrease the amount of fat in the human diet. Diets rich in fat not only induce obesity in humans but also make animals obese [16, 17, 18]. In both rats [19, 20] and mice [20, 21]  a positive relationship has been found between the level of fat in the diet and body weight or fat gain. In the scientiﬁc literature it was ﬁrst shown that rats consuming diets containing high proportions of fat gained weight faster than those on diets containing minimal amounts of fat [22].</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Azadirachta indica</w:t>
      </w:r>
      <w:r>
        <w:rPr>
          <w:rFonts w:ascii="Times New Roman" w:hAnsi="Times New Roman" w:cs="Times New Roman"/>
          <w:sz w:val="24"/>
          <w:szCs w:val="24"/>
        </w:rPr>
        <w:t xml:space="preserve"> known as neem in English, </w:t>
      </w:r>
      <w:r>
        <w:rPr>
          <w:rFonts w:ascii="Times New Roman" w:hAnsi="Times New Roman" w:cs="Times New Roman"/>
          <w:i/>
          <w:iCs/>
          <w:sz w:val="24"/>
          <w:szCs w:val="24"/>
        </w:rPr>
        <w:t xml:space="preserve">Dogonyaro or Dalbejiya </w:t>
      </w:r>
      <w:r>
        <w:rPr>
          <w:rFonts w:ascii="Times New Roman" w:hAnsi="Times New Roman" w:cs="Times New Roman"/>
          <w:sz w:val="24"/>
          <w:szCs w:val="24"/>
        </w:rPr>
        <w:t xml:space="preserve"> in Hausa, </w:t>
      </w:r>
      <w:r>
        <w:rPr>
          <w:rFonts w:ascii="Times New Roman" w:hAnsi="Times New Roman" w:cs="Times New Roman"/>
          <w:i/>
          <w:iCs/>
          <w:sz w:val="24"/>
          <w:szCs w:val="24"/>
        </w:rPr>
        <w:t>Ogwuakuma</w:t>
      </w:r>
      <w:r>
        <w:rPr>
          <w:rFonts w:ascii="Times New Roman" w:hAnsi="Times New Roman" w:cs="Times New Roman"/>
          <w:sz w:val="24"/>
          <w:szCs w:val="24"/>
        </w:rPr>
        <w:t xml:space="preserve"> in Igbo, is the most widely cultivated species of the family Meliaceae and sub-family: Meliodeae, which is a native to tropical South–East Asia [23]. This tree is a fast-growing and was used by the ancient times as a medicinal plant [24] It is now widely cultivated and has become accepted in many locations in the tropics, especially in Nigeria. It is perennial true with quality of timber which has now been promoted for its traditional and industrial uses It is already an important crop in India, which stands first in neem seed production [25].</w:t>
      </w:r>
    </w:p>
    <w:p w:rsidR="00CC4F32" w:rsidRDefault="000000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2.0 </w:t>
      </w:r>
      <w:r>
        <w:rPr>
          <w:rFonts w:ascii="Times New Roman" w:hAnsi="Times New Roman" w:cs="Times New Roman"/>
          <w:b/>
          <w:bCs/>
          <w:sz w:val="24"/>
          <w:szCs w:val="24"/>
        </w:rPr>
        <w:t>MATERIALS AND METHOD</w:t>
      </w:r>
    </w:p>
    <w:p w:rsidR="00CC4F32" w:rsidRDefault="0000000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2.1 PLANT COLLECTION AND IDENTIFICATION</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Plant was collected from herbarium department of Pharmacognosy and identified at  department of Pharmacognosy, Faculty of Pharmaceutical Sciences, Usmanu Danfodiyo University Sokoto with specimen voucher number of PCG/UDUS/Meli/0001</w:t>
      </w:r>
    </w:p>
    <w:p w:rsidR="00CC4F32" w:rsidRDefault="0000000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 PLANT EXTRACTION</w:t>
      </w:r>
      <w:r>
        <w:rPr>
          <w:rFonts w:ascii="Times New Roman" w:hAnsi="Times New Roman" w:cs="Times New Roman"/>
          <w:sz w:val="24"/>
          <w:szCs w:val="24"/>
        </w:rPr>
        <w:t>:</w:t>
      </w:r>
    </w:p>
    <w:p w:rsidR="00CC4F32" w:rsidRDefault="00000000">
      <w:pPr>
        <w:pStyle w:val="Default"/>
        <w:jc w:val="both"/>
      </w:pPr>
      <w:r>
        <w:lastRenderedPageBreak/>
        <w:t xml:space="preserve">Fresh leaf </w:t>
      </w:r>
      <w:r>
        <w:rPr>
          <w:i/>
          <w:iCs/>
        </w:rPr>
        <w:t xml:space="preserve">of A. indica </w:t>
      </w:r>
      <w:r>
        <w:t xml:space="preserve">was collected and air-dried at room temperature over a period of two weeks. It was grinded manually into powder using mortar and pestle. Four-hundred gram of powder was weighed and dissolved in 2L distilled water. The solution was left overnight with periodic stirring and filtered using Whattman filter paper and then the filtrate was evaporated at 55̊C in water bath as described by Majekodunmi </w:t>
      </w:r>
      <w:r>
        <w:rPr>
          <w:i/>
          <w:iCs/>
        </w:rPr>
        <w:t xml:space="preserve">et al. </w:t>
      </w:r>
      <w:r>
        <w:t>[26].The resultant   powder  weighed 40.5g and gave  10.1%  as percentage yielded.</w:t>
      </w:r>
    </w:p>
    <w:p w:rsidR="00CC4F32" w:rsidRDefault="00CC4F32">
      <w:pPr>
        <w:pStyle w:val="Default"/>
        <w:jc w:val="both"/>
      </w:pPr>
    </w:p>
    <w:p w:rsidR="00CC4F32" w:rsidRDefault="00CC4F32">
      <w:pPr>
        <w:pStyle w:val="Default"/>
        <w:jc w:val="both"/>
      </w:pPr>
    </w:p>
    <w:p w:rsidR="00CC4F32" w:rsidRDefault="0000000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2.3. PROCUREMENT OF ANIMAL</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total number of 42 healthy wistar albino rats were purchased from Animal Facility of the Faculty of Pharmaceutical Sciences Ahmadu Bello University, Zaria, weighing 165-175g and kept in a well-ventilated cage in the Animal House, Faculty of Pharmaceutical Sciences, Usmanu Danfodiyo University Sokoto. They were allowed to acclimatize for two weeks with free access to water and food before beginning of experimental protocol. The age of animal (wistar rats) was four (4) weeks when the study began. The age of wistar rats when sacrificed was sixteen (16) weeks.</w:t>
      </w:r>
    </w:p>
    <w:p w:rsidR="00CC4F32"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2.4 INDUCTION OF OBESITY AND EXPERIMENTAL DESIGN</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total number of 30 healthy wistar albino rats were used. After the acclimatization period, animals were divided into two groups. First group consisted of six rats were given water ad libitum and were fed a standard rat chow with  crude protein-13%, fat-8%,crude fibre-15%,calcium-0.9%, phosphorus-0.34% in 25kg of chow during 12 weeks of experimental period and serve as lean control. The other twenty-four rats in second group were received water </w:t>
      </w:r>
      <w:r>
        <w:rPr>
          <w:rFonts w:ascii="Times New Roman" w:hAnsi="Times New Roman" w:cs="Times New Roman"/>
          <w:i/>
          <w:iCs/>
          <w:sz w:val="24"/>
          <w:szCs w:val="24"/>
        </w:rPr>
        <w:t xml:space="preserve">ad libitum </w:t>
      </w:r>
      <w:r>
        <w:rPr>
          <w:rFonts w:ascii="Times New Roman" w:hAnsi="Times New Roman" w:cs="Times New Roman"/>
          <w:sz w:val="24"/>
          <w:szCs w:val="24"/>
        </w:rPr>
        <w:t xml:space="preserve">and were administered orally with high-fat diet in the dose 10ml/kg body weight daily </w:t>
      </w:r>
      <w:r>
        <w:t xml:space="preserve">[27], </w:t>
      </w:r>
      <w:r>
        <w:rPr>
          <w:rFonts w:ascii="Times New Roman" w:hAnsi="Times New Roman" w:cs="Times New Roman"/>
          <w:sz w:val="24"/>
          <w:szCs w:val="24"/>
        </w:rPr>
        <w:t xml:space="preserve">of mixture of melted pig fat and </w:t>
      </w:r>
      <w:r>
        <w:rPr>
          <w:rFonts w:ascii="Times New Roman" w:hAnsi="Times New Roman" w:cs="Times New Roman"/>
          <w:sz w:val="24"/>
          <w:szCs w:val="24"/>
        </w:rPr>
        <w:t xml:space="preserve">hydrogenated vegetable oil in 3:2 ratio respectively </w:t>
      </w:r>
      <w:r>
        <w:t xml:space="preserve">[28] </w:t>
      </w:r>
      <w:r>
        <w:rPr>
          <w:rFonts w:ascii="Times New Roman" w:hAnsi="Times New Roman" w:cs="Times New Roman"/>
          <w:sz w:val="24"/>
          <w:szCs w:val="24"/>
        </w:rPr>
        <w:t xml:space="preserve">and also fed with a standard rat chow. After six week of diet feeding, the animals were randomly assigned into 4groups (six rats per group including replicate) as follows. Group one in which the rats were continued fed a High-fat diet, for induction of obesity </w:t>
      </w:r>
      <w:r>
        <w:t xml:space="preserve">[29] </w:t>
      </w:r>
      <w:r>
        <w:rPr>
          <w:rFonts w:ascii="Times New Roman" w:hAnsi="Times New Roman" w:cs="Times New Roman"/>
          <w:sz w:val="24"/>
          <w:szCs w:val="24"/>
        </w:rPr>
        <w:t xml:space="preserve">for other 6weeksand served as obese control group, group two and three in which rats were fed a HFD for 6 weeks and were orally administered with </w:t>
      </w:r>
      <w:r>
        <w:rPr>
          <w:rFonts w:ascii="Times New Roman" w:hAnsi="Times New Roman" w:cs="Times New Roman"/>
          <w:i/>
          <w:iCs/>
          <w:sz w:val="24"/>
          <w:szCs w:val="24"/>
        </w:rPr>
        <w:t xml:space="preserve">A. indica </w:t>
      </w:r>
      <w:r>
        <w:rPr>
          <w:rFonts w:ascii="Times New Roman" w:hAnsi="Times New Roman" w:cs="Times New Roman"/>
          <w:sz w:val="24"/>
          <w:szCs w:val="24"/>
        </w:rPr>
        <w:t xml:space="preserve">extract in a doses of 100mg/kg b.w, and 200mg/kg b.w </w:t>
      </w:r>
      <w:r>
        <w:t xml:space="preserve">[30] </w:t>
      </w:r>
      <w:r>
        <w:rPr>
          <w:rFonts w:ascii="Times New Roman" w:hAnsi="Times New Roman" w:cs="Times New Roman"/>
          <w:sz w:val="24"/>
          <w:szCs w:val="24"/>
        </w:rPr>
        <w:t xml:space="preserve">respectively daily for another 6 weeks. Group four in which the rats were fed a HFD for 6weeks and were orally administered a standard drug simvastatin in a dose of 1.8mg/kg body weight daily </w:t>
      </w:r>
      <w:r>
        <w:t xml:space="preserve">[30] </w:t>
      </w:r>
      <w:r>
        <w:rPr>
          <w:rFonts w:ascii="Times New Roman" w:hAnsi="Times New Roman" w:cs="Times New Roman"/>
          <w:sz w:val="24"/>
          <w:szCs w:val="24"/>
        </w:rPr>
        <w:t>for another six weeks. The body weight and food intake of the rats were recorded every week throughout the experimental period</w:t>
      </w:r>
    </w:p>
    <w:p w:rsidR="00CC4F32" w:rsidRDefault="0000000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2.5 ETHICAL CONSIDERATION/APPROVAL</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protocol of this study was approved by the Ethics and Research Committee of Department of Pharmacy, Usmanu Danfodiyo University Sokoto with ethical clearance reference number as PTAC/Ai/OT/ 006-18.</w:t>
      </w:r>
    </w:p>
    <w:p w:rsidR="00CC4F32" w:rsidRDefault="00CC4F32">
      <w:pPr>
        <w:autoSpaceDE w:val="0"/>
        <w:autoSpaceDN w:val="0"/>
        <w:adjustRightInd w:val="0"/>
        <w:spacing w:after="0" w:line="240" w:lineRule="auto"/>
        <w:jc w:val="both"/>
        <w:rPr>
          <w:rFonts w:ascii="Times New Roman" w:hAnsi="Times New Roman" w:cs="Times New Roman"/>
          <w:sz w:val="24"/>
          <w:szCs w:val="24"/>
        </w:rPr>
      </w:pPr>
    </w:p>
    <w:p w:rsidR="00CC4F32" w:rsidRDefault="00000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2.6 ANTHROPOMETRICAL DETERMINATIONS</w:t>
      </w:r>
    </w:p>
    <w:p w:rsidR="00CC4F32" w:rsidRDefault="0000000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The abdominal circumference(AC)(cm)(Immediately anterior to the forefoot), Thoracic Circumference(TC)(cm) (immediately behind the foreleg),body length(nose-to-anus or nose-anus length).Lee index, Food consumption (g/day),Energy intake (kJ/day), FE (%) and BMI (g/cm2) were calculated as follows: Body mass index (BMI) = body weight(g)/length2 (cm2) Lee index = cube root of body weight (g) / nose-to-anus length (cm) (</w:t>
      </w:r>
      <w:r>
        <w:t>[30]</w:t>
      </w:r>
      <w:r>
        <w:rPr>
          <w:rFonts w:ascii="Times New Roman" w:hAnsi="Times New Roman" w:cs="Times New Roman"/>
          <w:sz w:val="24"/>
          <w:szCs w:val="24"/>
        </w:rPr>
        <w:t xml:space="preserve">, Energy intake (kJ/day) = mean food consumption x dietary metabolizable energy, % Feed efficiency (FE; %)=(mean </w:t>
      </w:r>
      <w:r>
        <w:rPr>
          <w:rFonts w:ascii="Times New Roman" w:hAnsi="Times New Roman" w:cs="Times New Roman"/>
          <w:sz w:val="24"/>
          <w:szCs w:val="24"/>
        </w:rPr>
        <w:lastRenderedPageBreak/>
        <w:t>body weight gain ×100)/energy intake were determined in all rats at the end of experimental period (12weeks) the measurements were made in anaesthetized rats.</w:t>
      </w:r>
    </w:p>
    <w:p w:rsidR="00CC4F32" w:rsidRDefault="0000000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2.7 EUTHANISATION AND COLLECTION OF SAMPLES</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six weeks of the treatment period, the animals were fasted overnight and then sacrificed with the aid of chloroform vapour anaesthesia in an enclosed transparent jar. Blood samples were collected by cardiac puncture into plain bottle and allowed to clot. The serum was separated and used for biochemical analysis.</w:t>
      </w:r>
    </w:p>
    <w:p w:rsidR="00CC4F32" w:rsidRDefault="00CC4F32">
      <w:pPr>
        <w:autoSpaceDE w:val="0"/>
        <w:autoSpaceDN w:val="0"/>
        <w:adjustRightInd w:val="0"/>
        <w:spacing w:after="0" w:line="240" w:lineRule="auto"/>
        <w:jc w:val="both"/>
        <w:rPr>
          <w:rFonts w:ascii="Times New Roman" w:hAnsi="Times New Roman" w:cs="Times New Roman"/>
          <w:sz w:val="24"/>
          <w:szCs w:val="24"/>
        </w:rPr>
      </w:pPr>
    </w:p>
    <w:p w:rsidR="00CC4F32" w:rsidRDefault="00CC4F32">
      <w:pPr>
        <w:autoSpaceDE w:val="0"/>
        <w:autoSpaceDN w:val="0"/>
        <w:adjustRightInd w:val="0"/>
        <w:spacing w:after="0" w:line="240" w:lineRule="auto"/>
        <w:jc w:val="both"/>
        <w:rPr>
          <w:rFonts w:ascii="Times New Roman" w:hAnsi="Times New Roman" w:cs="Times New Roman"/>
          <w:sz w:val="24"/>
          <w:szCs w:val="24"/>
        </w:rPr>
      </w:pPr>
    </w:p>
    <w:p w:rsidR="00CC4F32" w:rsidRDefault="0000000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LABORATORY ANALYSIS  </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blood serum for biochemical parameters was analysed for the measurement of  total cholesterol, triglyceride, high density lipoprotein-cholesterol(HDL-C), using enzymatic colorimetric method. Low Density Lipoprotein-Cholesterol(LDL-C) was calculated by Friedwald formulae </w:t>
      </w:r>
      <w:r>
        <w:t xml:space="preserve">[31] </w:t>
      </w:r>
      <w:r>
        <w:rPr>
          <w:rFonts w:ascii="Times New Roman" w:hAnsi="Times New Roman" w:cs="Times New Roman"/>
          <w:sz w:val="24"/>
          <w:szCs w:val="24"/>
        </w:rPr>
        <w:t xml:space="preserve">LDL-C=TC-(HDL-C + TG/5).Very Low Density Lipoprotein Cholesterol(VLDL-C):VLDL-C=TG/5.Also,activities of serum alanine aminotransferase (ALT), aspartate aminotransferase (AST) was carried out </w:t>
      </w:r>
      <w:r>
        <w:rPr>
          <w:rFonts w:ascii="Times New Roman" w:hAnsi="Times New Roman" w:cs="Times New Roman"/>
          <w:bCs/>
          <w:sz w:val="24"/>
          <w:szCs w:val="24"/>
        </w:rPr>
        <w:t>using colorimetric method</w:t>
      </w:r>
      <w:r>
        <w:rPr>
          <w:rFonts w:ascii="Times New Roman" w:hAnsi="Times New Roman" w:cs="Times New Roman"/>
          <w:sz w:val="24"/>
          <w:szCs w:val="24"/>
        </w:rPr>
        <w:t xml:space="preserve">, alkaline phosphatase (ALP)  was done using modified Bowers and Mc Comb Method </w:t>
      </w:r>
      <w:r>
        <w:t xml:space="preserve">[32]. </w:t>
      </w:r>
      <w:r>
        <w:rPr>
          <w:rFonts w:ascii="Times New Roman" w:hAnsi="Times New Roman" w:cs="Times New Roman"/>
          <w:sz w:val="24"/>
          <w:szCs w:val="24"/>
        </w:rPr>
        <w:t xml:space="preserve">Total protein was determined using the Biuret method of Henry </w:t>
      </w:r>
      <w:r>
        <w:rPr>
          <w:rFonts w:ascii="Times New Roman" w:hAnsi="Times New Roman" w:cs="Times New Roman"/>
          <w:i/>
          <w:iCs/>
          <w:sz w:val="24"/>
          <w:szCs w:val="24"/>
        </w:rPr>
        <w:t>et al</w:t>
      </w:r>
      <w:r>
        <w:rPr>
          <w:rFonts w:ascii="Times New Roman" w:hAnsi="Times New Roman" w:cs="Times New Roman"/>
          <w:sz w:val="24"/>
          <w:szCs w:val="24"/>
        </w:rPr>
        <w:t xml:space="preserve"> </w:t>
      </w:r>
      <w:r>
        <w:t>[33].</w:t>
      </w:r>
      <w:r>
        <w:rPr>
          <w:rFonts w:ascii="Times New Roman" w:hAnsi="Times New Roman" w:cs="Times New Roman"/>
          <w:sz w:val="24"/>
          <w:szCs w:val="24"/>
        </w:rPr>
        <w:t xml:space="preserve"> The concentration of albumin was determined as described by Grant and Kacchman. </w:t>
      </w:r>
      <w:r>
        <w:t>[34]</w:t>
      </w:r>
      <w:r>
        <w:rPr>
          <w:rFonts w:ascii="Times New Roman" w:hAnsi="Times New Roman" w:cs="Times New Roman"/>
          <w:sz w:val="24"/>
          <w:szCs w:val="24"/>
        </w:rPr>
        <w:t>. All measurements were done using spectrophotometer including total and direct bilirubin.</w:t>
      </w:r>
    </w:p>
    <w:p w:rsidR="00CC4F32" w:rsidRDefault="0000000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2.9 DATA ANALYSIS</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values were expressed as mean ± standard error of the mean (SEM). The data were subjected to analysis of variance (ANOVA) model. A value of p&lt; 0.05 was </w:t>
      </w:r>
      <w:r>
        <w:rPr>
          <w:rFonts w:ascii="Times New Roman" w:hAnsi="Times New Roman" w:cs="Times New Roman"/>
          <w:sz w:val="24"/>
          <w:szCs w:val="24"/>
        </w:rPr>
        <w:t xml:space="preserve">considered to be statistically significant. The statistical analyses were performed using SPSS statistical software version. </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2.10</w:t>
      </w:r>
      <w:r>
        <w:rPr>
          <w:rFonts w:ascii="Times New Roman" w:hAnsi="Times New Roman" w:cs="Times New Roman"/>
          <w:sz w:val="24"/>
          <w:szCs w:val="24"/>
        </w:rPr>
        <w:t xml:space="preserve"> </w:t>
      </w:r>
      <w:r>
        <w:rPr>
          <w:rFonts w:ascii="Times New Roman" w:hAnsi="Times New Roman" w:cs="Times New Roman"/>
          <w:b/>
          <w:sz w:val="24"/>
          <w:szCs w:val="24"/>
        </w:rPr>
        <w:t>RESULT</w:t>
      </w:r>
    </w:p>
    <w:p w:rsidR="00CC4F32" w:rsidRDefault="00000000">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No significant difference was observed in the initial body weight. There was significant increase in the final body weight , liver weight, % relative organ weight, body weight gain, specific rate of body mass gain of the HFD group after 12weekswhen compare with NC group (P&lt;0.05).However, the increases in these parameters were significantly reversed in  HFD group treated with HDG,LDG of </w:t>
      </w:r>
      <w:r>
        <w:rPr>
          <w:rFonts w:ascii="Times New Roman" w:hAnsi="Times New Roman" w:cs="Times New Roman"/>
          <w:i/>
          <w:iCs/>
          <w:color w:val="000000"/>
          <w:sz w:val="24"/>
          <w:szCs w:val="24"/>
        </w:rPr>
        <w:t xml:space="preserve">A. indica </w:t>
      </w:r>
      <w:r>
        <w:rPr>
          <w:rFonts w:ascii="Times New Roman" w:hAnsi="Times New Roman" w:cs="Times New Roman"/>
          <w:color w:val="000000"/>
          <w:sz w:val="24"/>
          <w:szCs w:val="24"/>
        </w:rPr>
        <w:t>for 6-weeks when compared to  HFD group (P&lt;0.05) with the similar result with 1.8mg/kg simvastatin standard drug .</w:t>
      </w:r>
      <w:r>
        <w:rPr>
          <w:rFonts w:ascii="Times New Roman" w:eastAsia="Times New Roman" w:hAnsi="Times New Roman" w:cs="Times New Roman"/>
          <w:sz w:val="24"/>
          <w:szCs w:val="24"/>
          <w:lang w:eastAsia="en-GB"/>
        </w:rPr>
        <w:t xml:space="preserve">It was also  observed that there was significant increase(p&lt;0.05) in average </w:t>
      </w:r>
      <w:hyperlink r:id="rId9" w:tgtFrame="_blank" w:tooltip="Find more articles at http://www.scialert.net/asci/result.php?searchin=Keywords&amp;cat=&amp;ascicat=ALL&amp;Submit=Search&amp;keyword=food+intake (food intake)" w:history="1">
        <w:r>
          <w:rPr>
            <w:rFonts w:ascii="Times New Roman" w:eastAsia="Times New Roman" w:hAnsi="Times New Roman" w:cs="Times New Roman"/>
            <w:color w:val="000000"/>
            <w:sz w:val="24"/>
            <w:szCs w:val="24"/>
            <w:lang w:eastAsia="en-GB"/>
          </w:rPr>
          <w:t>food intake ,water intake</w:t>
        </w:r>
      </w:hyperlink>
      <w:r>
        <w:rPr>
          <w:rFonts w:ascii="Times New Roman" w:eastAsia="Times New Roman" w:hAnsi="Times New Roman" w:cs="Times New Roman"/>
          <w:sz w:val="24"/>
          <w:szCs w:val="24"/>
          <w:lang w:eastAsia="en-GB"/>
        </w:rPr>
        <w:t xml:space="preserve">, %feeding efficiency, energy intake of obese rats after 12 weeks when compared with that in normal control rats. In contrast, the increases in these parameters  were significantly reversed in HFD group rats treated with aqueous leaf extract of </w:t>
      </w:r>
      <w:r>
        <w:rPr>
          <w:rFonts w:ascii="Times New Roman" w:eastAsia="Times New Roman" w:hAnsi="Times New Roman" w:cs="Times New Roman"/>
          <w:i/>
          <w:iCs/>
          <w:sz w:val="24"/>
          <w:szCs w:val="24"/>
          <w:lang w:eastAsia="en-GB"/>
        </w:rPr>
        <w:t xml:space="preserve">Azadirachta indica </w:t>
      </w:r>
      <w:r>
        <w:rPr>
          <w:rFonts w:ascii="Times New Roman" w:eastAsia="Times New Roman" w:hAnsi="Times New Roman" w:cs="Times New Roman"/>
          <w:sz w:val="24"/>
          <w:szCs w:val="24"/>
          <w:lang w:eastAsia="en-GB"/>
        </w:rPr>
        <w:t>after 12weeks when compared with that of obese rats</w:t>
      </w:r>
      <w:r>
        <w:rPr>
          <w:rFonts w:ascii="Times New Roman" w:hAnsi="Times New Roman" w:cs="Times New Roman"/>
          <w:color w:val="000000"/>
          <w:sz w:val="24"/>
          <w:szCs w:val="24"/>
        </w:rPr>
        <w:t xml:space="preserve">(p&lt;0.05).The similar observation was observed with the group received simvastatin standard drug. </w:t>
      </w:r>
      <w:r>
        <w:rPr>
          <w:rFonts w:ascii="Times New Roman" w:hAnsi="Times New Roman" w:cs="Times New Roman"/>
          <w:sz w:val="24"/>
          <w:szCs w:val="24"/>
        </w:rPr>
        <w:t xml:space="preserve">Moreso, </w:t>
      </w:r>
      <w:r>
        <w:rPr>
          <w:rFonts w:ascii="Times New Roman" w:eastAsia="Times New Roman" w:hAnsi="Times New Roman" w:cs="Times New Roman"/>
          <w:sz w:val="24"/>
          <w:szCs w:val="24"/>
          <w:lang w:eastAsia="en-GB"/>
        </w:rPr>
        <w:t>Thoracic Circumference (TC), Abdominal Circumferences (AC),</w:t>
      </w:r>
      <w:r>
        <w:rPr>
          <w:rFonts w:ascii="Times New Roman" w:hAnsi="Times New Roman" w:cs="Times New Roman"/>
          <w:sz w:val="24"/>
          <w:szCs w:val="24"/>
        </w:rPr>
        <w:t>Lee index, BMI(g/cm²)</w:t>
      </w:r>
      <w:r>
        <w:rPr>
          <w:rFonts w:ascii="Times New Roman" w:eastAsia="Times New Roman" w:hAnsi="Times New Roman" w:cs="Times New Roman"/>
          <w:sz w:val="24"/>
          <w:szCs w:val="24"/>
          <w:lang w:eastAsia="en-GB"/>
        </w:rPr>
        <w:t xml:space="preserve">of obese group with HFD showed significant increases when compared with normal control(p&lt;0.05).However, there was significant decrease (p&lt;0.05) in these anthropometrical parameters  of obese rats treated with HDG,LDG of aqueous leaf extract of </w:t>
      </w:r>
      <w:r>
        <w:rPr>
          <w:rFonts w:ascii="Times New Roman" w:eastAsia="Times New Roman" w:hAnsi="Times New Roman" w:cs="Times New Roman"/>
          <w:i/>
          <w:iCs/>
          <w:sz w:val="24"/>
          <w:szCs w:val="24"/>
          <w:lang w:eastAsia="en-GB"/>
        </w:rPr>
        <w:t xml:space="preserve">A. indica </w:t>
      </w:r>
      <w:r>
        <w:rPr>
          <w:rFonts w:ascii="Times New Roman" w:eastAsia="Times New Roman" w:hAnsi="Times New Roman" w:cs="Times New Roman"/>
          <w:sz w:val="24"/>
          <w:szCs w:val="24"/>
          <w:lang w:eastAsia="en-GB"/>
        </w:rPr>
        <w:t>and this is closed to the group received 1.8mg/kg of simvastatin when compared with obese control rats. No significant difference was observed in body length among the group.</w:t>
      </w:r>
    </w:p>
    <w:p w:rsidR="00CC4F32" w:rsidRDefault="00CC4F32">
      <w:pPr>
        <w:autoSpaceDE w:val="0"/>
        <w:autoSpaceDN w:val="0"/>
        <w:adjustRightInd w:val="0"/>
        <w:spacing w:after="0" w:line="240" w:lineRule="auto"/>
        <w:jc w:val="both"/>
        <w:rPr>
          <w:rFonts w:ascii="Times New Roman" w:hAnsi="Times New Roman" w:cs="Times New Roman"/>
          <w:color w:val="000000"/>
          <w:sz w:val="24"/>
          <w:szCs w:val="24"/>
        </w:rPr>
        <w:sectPr w:rsidR="00CC4F32">
          <w:type w:val="continuous"/>
          <w:pgSz w:w="12240" w:h="15840"/>
          <w:pgMar w:top="1440" w:right="1440" w:bottom="1440" w:left="1440" w:header="720" w:footer="720" w:gutter="0"/>
          <w:cols w:num="2" w:space="720"/>
          <w:docGrid w:linePitch="360"/>
        </w:sectPr>
      </w:pPr>
    </w:p>
    <w:p w:rsidR="00CC4F32" w:rsidRDefault="00CC4F32">
      <w:pPr>
        <w:autoSpaceDE w:val="0"/>
        <w:autoSpaceDN w:val="0"/>
        <w:adjustRightInd w:val="0"/>
        <w:spacing w:after="0" w:line="240" w:lineRule="auto"/>
        <w:jc w:val="both"/>
        <w:rPr>
          <w:rFonts w:ascii="Times New Roman" w:hAnsi="Times New Roman" w:cs="Times New Roman"/>
          <w:color w:val="000000"/>
          <w:sz w:val="24"/>
          <w:szCs w:val="24"/>
        </w:rPr>
      </w:pPr>
    </w:p>
    <w:p w:rsidR="00CC4F32" w:rsidRDefault="00000000">
      <w:pPr>
        <w:spacing w:beforeLines="20" w:before="48" w:afterLines="20" w:after="48" w:line="240" w:lineRule="auto"/>
        <w:ind w:right="144"/>
        <w:rPr>
          <w:rFonts w:ascii="Times New Roman" w:hAnsi="Times New Roman" w:cs="Times New Roman"/>
        </w:rPr>
      </w:pPr>
      <w:r>
        <w:rPr>
          <w:rFonts w:ascii="Times New Roman" w:hAnsi="Times New Roman" w:cs="Times New Roman"/>
        </w:rPr>
        <w:lastRenderedPageBreak/>
        <w:t xml:space="preserve">Table 1: </w:t>
      </w:r>
      <w:r>
        <w:rPr>
          <w:rFonts w:ascii="Times New Roman" w:eastAsia="Times New Roman" w:hAnsi="Times New Roman" w:cs="Times New Roman"/>
          <w:lang w:eastAsia="en-GB"/>
        </w:rPr>
        <w:t>Illustrates</w:t>
      </w:r>
      <w:r>
        <w:rPr>
          <w:rFonts w:ascii="Times New Roman" w:hAnsi="Times New Roman" w:cs="Times New Roman"/>
        </w:rPr>
        <w:t xml:space="preserve"> the </w:t>
      </w:r>
      <w:r>
        <w:rPr>
          <w:rFonts w:ascii="Times New Roman" w:eastAsia="Times New Roman" w:hAnsi="Times New Roman" w:cs="Times New Roman"/>
          <w:lang w:eastAsia="en-GB"/>
        </w:rPr>
        <w:t xml:space="preserve">effect of </w:t>
      </w:r>
      <w:r>
        <w:rPr>
          <w:rFonts w:ascii="Times New Roman" w:eastAsia="Times New Roman" w:hAnsi="Times New Roman" w:cs="Times New Roman"/>
          <w:i/>
          <w:iCs/>
          <w:lang w:eastAsia="en-GB"/>
        </w:rPr>
        <w:t xml:space="preserve">Azadirachta indica </w:t>
      </w:r>
      <w:r>
        <w:rPr>
          <w:rFonts w:ascii="Times New Roman" w:eastAsia="Times New Roman" w:hAnsi="Times New Roman" w:cs="Times New Roman"/>
          <w:lang w:eastAsia="en-GB"/>
        </w:rPr>
        <w:t>aqueous leaf extract on anthropometrical parameters of wistar albino rats after 12weeks.</w:t>
      </w:r>
    </w:p>
    <w:tbl>
      <w:tblPr>
        <w:tblStyle w:val="Style1"/>
        <w:tblW w:w="5000" w:type="pct"/>
        <w:tblBorders>
          <w:top w:val="single" w:sz="4" w:space="0" w:color="auto"/>
          <w:bottom w:val="single" w:sz="4" w:space="0" w:color="auto"/>
        </w:tblBorders>
        <w:tblLook w:val="04A0" w:firstRow="1" w:lastRow="0" w:firstColumn="1" w:lastColumn="0" w:noHBand="0" w:noVBand="1"/>
      </w:tblPr>
      <w:tblGrid>
        <w:gridCol w:w="1336"/>
        <w:gridCol w:w="2006"/>
        <w:gridCol w:w="1770"/>
        <w:gridCol w:w="1488"/>
        <w:gridCol w:w="1488"/>
        <w:gridCol w:w="1488"/>
      </w:tblGrid>
      <w:tr w:rsidR="00CC4F32" w:rsidRPr="00597FEA" w:rsidTr="00597FEA">
        <w:tc>
          <w:tcPr>
            <w:tcW w:w="685" w:type="pct"/>
            <w:tcBorders>
              <w:top w:val="single" w:sz="4" w:space="0" w:color="auto"/>
              <w:bottom w:val="single" w:sz="4" w:space="0" w:color="auto"/>
            </w:tcBorders>
          </w:tcPr>
          <w:p w:rsidR="00CC4F32" w:rsidRPr="00597FEA" w:rsidRDefault="00000000">
            <w:pPr>
              <w:rPr>
                <w:b/>
                <w:dstrike w:val="0"/>
              </w:rPr>
            </w:pPr>
            <w:r w:rsidRPr="00597FEA">
              <w:rPr>
                <w:b/>
                <w:dstrike w:val="0"/>
                <w:noProof/>
              </w:rPr>
              <mc:AlternateContent>
                <mc:Choice Requires="wps">
                  <w:drawing>
                    <wp:anchor distT="0" distB="0" distL="0" distR="0" simplePos="0" relativeHeight="251658752" behindDoc="0" locked="0" layoutInCell="1" allowOverlap="1">
                      <wp:simplePos x="0" y="0"/>
                      <wp:positionH relativeFrom="column">
                        <wp:posOffset>74295</wp:posOffset>
                      </wp:positionH>
                      <wp:positionV relativeFrom="paragraph">
                        <wp:posOffset>-4445</wp:posOffset>
                      </wp:positionV>
                      <wp:extent cx="6626859" cy="22225"/>
                      <wp:effectExtent l="9525" t="10160" r="12065" b="5715"/>
                      <wp:wrapNone/>
                      <wp:docPr id="10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6859" cy="222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609C46F" id="_x0000_t32" coordsize="21600,21600" o:spt="32" o:oned="t" path="m,l21600,21600e" filled="f">
                      <v:path arrowok="t" fillok="f" o:connecttype="none"/>
                      <o:lock v:ext="edit" shapetype="t"/>
                    </v:shapetype>
                    <v:shape id="Straight Arrow Connector 3" o:spid="_x0000_s1026" type="#_x0000_t32" style="position:absolute;margin-left:5.85pt;margin-top:-.35pt;width:521.8pt;height:1.7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">
                      <o:lock v:ext="edit" shapetype="f"/>
                    </v:shape>
                  </w:pict>
                </mc:Fallback>
              </mc:AlternateContent>
            </w:r>
            <w:r w:rsidRPr="00597FEA">
              <w:rPr>
                <w:b/>
                <w:dstrike w:val="0"/>
              </w:rPr>
              <w:t>Parameters</w:t>
            </w:r>
          </w:p>
        </w:tc>
        <w:tc>
          <w:tcPr>
            <w:tcW w:w="761" w:type="pct"/>
            <w:tcBorders>
              <w:top w:val="single" w:sz="4" w:space="0" w:color="auto"/>
              <w:bottom w:val="single" w:sz="4" w:space="0" w:color="auto"/>
            </w:tcBorders>
          </w:tcPr>
          <w:p w:rsidR="00CC4F32" w:rsidRPr="00597FEA" w:rsidRDefault="00000000">
            <w:pPr>
              <w:rPr>
                <w:b/>
                <w:dstrike w:val="0"/>
              </w:rPr>
            </w:pPr>
            <w:r w:rsidRPr="00597FEA">
              <w:rPr>
                <w:b/>
                <w:dstrike w:val="0"/>
              </w:rPr>
              <w:t xml:space="preserve">  Control</w:t>
            </w:r>
          </w:p>
        </w:tc>
        <w:tc>
          <w:tcPr>
            <w:tcW w:w="837" w:type="pct"/>
            <w:tcBorders>
              <w:top w:val="single" w:sz="4" w:space="0" w:color="auto"/>
              <w:bottom w:val="single" w:sz="4" w:space="0" w:color="auto"/>
            </w:tcBorders>
          </w:tcPr>
          <w:p w:rsidR="00CC4F32" w:rsidRPr="00597FEA" w:rsidRDefault="00000000">
            <w:pPr>
              <w:rPr>
                <w:b/>
                <w:dstrike w:val="0"/>
              </w:rPr>
            </w:pPr>
            <w:r w:rsidRPr="00597FEA">
              <w:rPr>
                <w:b/>
                <w:dstrike w:val="0"/>
              </w:rPr>
              <w:t xml:space="preserve">   HFD</w:t>
            </w:r>
          </w:p>
        </w:tc>
        <w:tc>
          <w:tcPr>
            <w:tcW w:w="723" w:type="pct"/>
            <w:tcBorders>
              <w:top w:val="single" w:sz="4" w:space="0" w:color="auto"/>
              <w:bottom w:val="single" w:sz="4" w:space="0" w:color="auto"/>
            </w:tcBorders>
          </w:tcPr>
          <w:p w:rsidR="00CC4F32" w:rsidRPr="00597FEA" w:rsidRDefault="00000000">
            <w:pPr>
              <w:rPr>
                <w:b/>
                <w:dstrike w:val="0"/>
              </w:rPr>
            </w:pPr>
            <w:r w:rsidRPr="00597FEA">
              <w:rPr>
                <w:b/>
                <w:dstrike w:val="0"/>
              </w:rPr>
              <w:t>Simvastatin</w:t>
            </w:r>
          </w:p>
        </w:tc>
        <w:tc>
          <w:tcPr>
            <w:tcW w:w="761" w:type="pct"/>
            <w:tcBorders>
              <w:top w:val="single" w:sz="4" w:space="0" w:color="auto"/>
              <w:bottom w:val="single" w:sz="4" w:space="0" w:color="auto"/>
            </w:tcBorders>
          </w:tcPr>
          <w:p w:rsidR="00CC4F32" w:rsidRPr="00597FEA" w:rsidRDefault="00000000">
            <w:pPr>
              <w:rPr>
                <w:b/>
                <w:dstrike w:val="0"/>
              </w:rPr>
            </w:pPr>
            <w:r w:rsidRPr="00597FEA">
              <w:rPr>
                <w:b/>
                <w:dstrike w:val="0"/>
              </w:rPr>
              <w:t xml:space="preserve">  LDG                      </w:t>
            </w:r>
          </w:p>
        </w:tc>
        <w:tc>
          <w:tcPr>
            <w:tcW w:w="1234" w:type="pct"/>
            <w:tcBorders>
              <w:top w:val="single" w:sz="4" w:space="0" w:color="auto"/>
              <w:bottom w:val="single" w:sz="4" w:space="0" w:color="auto"/>
            </w:tcBorders>
          </w:tcPr>
          <w:p w:rsidR="00CC4F32" w:rsidRPr="00597FEA" w:rsidRDefault="00000000">
            <w:pPr>
              <w:rPr>
                <w:b/>
                <w:dstrike w:val="0"/>
              </w:rPr>
            </w:pPr>
            <w:r w:rsidRPr="00597FEA">
              <w:rPr>
                <w:b/>
                <w:dstrike w:val="0"/>
              </w:rPr>
              <w:t xml:space="preserve">   HDG</w:t>
            </w:r>
          </w:p>
        </w:tc>
      </w:tr>
      <w:tr w:rsidR="00CC4F32" w:rsidRPr="00597FEA" w:rsidTr="00597FEA">
        <w:trPr>
          <w:trHeight w:val="539"/>
        </w:trPr>
        <w:tc>
          <w:tcPr>
            <w:tcW w:w="685" w:type="pct"/>
            <w:tcBorders>
              <w:top w:val="single" w:sz="4" w:space="0" w:color="auto"/>
            </w:tcBorders>
          </w:tcPr>
          <w:p w:rsidR="00CC4F32" w:rsidRPr="00597FEA" w:rsidRDefault="00000000">
            <w:pPr>
              <w:rPr>
                <w:dstrike w:val="0"/>
                <w:color w:val="010205"/>
                <w:vertAlign w:val="superscript"/>
              </w:rPr>
            </w:pPr>
            <w:r w:rsidRPr="00597FEA">
              <w:rPr>
                <w:dstrike w:val="0"/>
                <w:noProof/>
              </w:rPr>
              <mc:AlternateContent>
                <mc:Choice Requires="wps">
                  <w:drawing>
                    <wp:anchor distT="0" distB="0" distL="0" distR="0" simplePos="0" relativeHeight="251655680" behindDoc="0" locked="0" layoutInCell="1" allowOverlap="1">
                      <wp:simplePos x="0" y="0"/>
                      <wp:positionH relativeFrom="column">
                        <wp:posOffset>127635</wp:posOffset>
                      </wp:positionH>
                      <wp:positionV relativeFrom="paragraph">
                        <wp:posOffset>1270</wp:posOffset>
                      </wp:positionV>
                      <wp:extent cx="6626859" cy="22225"/>
                      <wp:effectExtent l="5715" t="12065" r="6350" b="13334"/>
                      <wp:wrapNone/>
                      <wp:docPr id="10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6859" cy="222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0D0316F" id="Straight Arrow Connector 2" o:spid="_x0000_s1026" type="#_x0000_t32" style="position:absolute;margin-left:10.05pt;margin-top:.1pt;width:521.8pt;height:1.7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">
                      <o:lock v:ext="edit" shapetype="f"/>
                    </v:shape>
                  </w:pict>
                </mc:Fallback>
              </mc:AlternateContent>
            </w:r>
            <w:r w:rsidRPr="00597FEA">
              <w:rPr>
                <w:dstrike w:val="0"/>
              </w:rPr>
              <w:t>IBW(</w:t>
            </w:r>
            <w:proofErr w:type="gramStart"/>
            <w:r w:rsidRPr="00597FEA">
              <w:rPr>
                <w:dstrike w:val="0"/>
              </w:rPr>
              <w:t xml:space="preserve">g)   </w:t>
            </w:r>
            <w:proofErr w:type="gramEnd"/>
            <w:r w:rsidRPr="00597FEA">
              <w:rPr>
                <w:dstrike w:val="0"/>
              </w:rPr>
              <w:t xml:space="preserve">                  </w:t>
            </w:r>
          </w:p>
        </w:tc>
        <w:tc>
          <w:tcPr>
            <w:tcW w:w="761" w:type="pct"/>
            <w:tcBorders>
              <w:top w:val="single" w:sz="4" w:space="0" w:color="auto"/>
            </w:tcBorders>
          </w:tcPr>
          <w:p w:rsidR="00CC4F32" w:rsidRPr="00597FEA" w:rsidRDefault="00000000">
            <w:pPr>
              <w:rPr>
                <w:dstrike w:val="0"/>
              </w:rPr>
            </w:pPr>
            <w:r w:rsidRPr="00597FEA">
              <w:rPr>
                <w:dstrike w:val="0"/>
                <w:color w:val="010205"/>
              </w:rPr>
              <w:t>172.83±.0.44</w:t>
            </w:r>
            <w:r w:rsidRPr="00597FEA">
              <w:rPr>
                <w:dstrike w:val="0"/>
                <w:color w:val="010205"/>
                <w:vertAlign w:val="superscript"/>
              </w:rPr>
              <w:t xml:space="preserve">a   </w:t>
            </w:r>
          </w:p>
        </w:tc>
        <w:tc>
          <w:tcPr>
            <w:tcW w:w="837" w:type="pct"/>
            <w:tcBorders>
              <w:top w:val="single" w:sz="4" w:space="0" w:color="auto"/>
            </w:tcBorders>
          </w:tcPr>
          <w:p w:rsidR="00CC4F32" w:rsidRPr="00597FEA" w:rsidRDefault="00000000">
            <w:pPr>
              <w:rPr>
                <w:dstrike w:val="0"/>
              </w:rPr>
            </w:pPr>
            <w:r w:rsidRPr="00597FEA">
              <w:rPr>
                <w:dstrike w:val="0"/>
                <w:color w:val="010205"/>
              </w:rPr>
              <w:t>173.23±0.41</w:t>
            </w:r>
            <w:r w:rsidRPr="00597FEA">
              <w:rPr>
                <w:dstrike w:val="0"/>
                <w:color w:val="010205"/>
                <w:vertAlign w:val="superscript"/>
              </w:rPr>
              <w:t>b</w:t>
            </w:r>
          </w:p>
        </w:tc>
        <w:tc>
          <w:tcPr>
            <w:tcW w:w="723" w:type="pct"/>
            <w:tcBorders>
              <w:top w:val="single" w:sz="4" w:space="0" w:color="auto"/>
            </w:tcBorders>
          </w:tcPr>
          <w:p w:rsidR="00CC4F32" w:rsidRPr="00597FEA" w:rsidRDefault="00000000">
            <w:pPr>
              <w:rPr>
                <w:dstrike w:val="0"/>
              </w:rPr>
            </w:pPr>
            <w:r w:rsidRPr="00597FEA">
              <w:rPr>
                <w:dstrike w:val="0"/>
                <w:color w:val="010205"/>
              </w:rPr>
              <w:t>173.23±0.41</w:t>
            </w:r>
            <w:r w:rsidRPr="00597FEA">
              <w:rPr>
                <w:dstrike w:val="0"/>
                <w:color w:val="010205"/>
                <w:vertAlign w:val="superscript"/>
              </w:rPr>
              <w:t>b</w:t>
            </w:r>
          </w:p>
        </w:tc>
        <w:tc>
          <w:tcPr>
            <w:tcW w:w="761" w:type="pct"/>
            <w:tcBorders>
              <w:top w:val="single" w:sz="4" w:space="0" w:color="auto"/>
            </w:tcBorders>
          </w:tcPr>
          <w:p w:rsidR="00CC4F32" w:rsidRPr="00597FEA" w:rsidRDefault="00000000">
            <w:pPr>
              <w:rPr>
                <w:dstrike w:val="0"/>
              </w:rPr>
            </w:pPr>
            <w:r w:rsidRPr="00597FEA">
              <w:rPr>
                <w:dstrike w:val="0"/>
                <w:color w:val="010205"/>
              </w:rPr>
              <w:t>173.06±.0.40</w:t>
            </w:r>
            <w:r w:rsidRPr="00597FEA">
              <w:rPr>
                <w:dstrike w:val="0"/>
                <w:color w:val="010205"/>
                <w:vertAlign w:val="superscript"/>
              </w:rPr>
              <w:t>d</w:t>
            </w:r>
          </w:p>
        </w:tc>
        <w:tc>
          <w:tcPr>
            <w:tcW w:w="1234" w:type="pct"/>
            <w:tcBorders>
              <w:top w:val="single" w:sz="4" w:space="0" w:color="auto"/>
            </w:tcBorders>
          </w:tcPr>
          <w:p w:rsidR="00CC4F32" w:rsidRPr="00597FEA" w:rsidRDefault="00000000">
            <w:pPr>
              <w:rPr>
                <w:dstrike w:val="0"/>
              </w:rPr>
            </w:pPr>
            <w:r w:rsidRPr="00597FEA">
              <w:rPr>
                <w:dstrike w:val="0"/>
                <w:color w:val="010205"/>
              </w:rPr>
              <w:t>173.03±.0.27</w:t>
            </w:r>
            <w:r w:rsidRPr="00597FEA">
              <w:rPr>
                <w:dstrike w:val="0"/>
                <w:color w:val="010205"/>
                <w:vertAlign w:val="superscript"/>
              </w:rPr>
              <w:t>e</w:t>
            </w:r>
          </w:p>
        </w:tc>
      </w:tr>
      <w:tr w:rsidR="00CC4F32" w:rsidRPr="00597FEA" w:rsidTr="00597FEA">
        <w:tc>
          <w:tcPr>
            <w:tcW w:w="685" w:type="pct"/>
          </w:tcPr>
          <w:p w:rsidR="00CC4F32" w:rsidRPr="00597FEA" w:rsidRDefault="00000000">
            <w:pPr>
              <w:rPr>
                <w:dstrike w:val="0"/>
              </w:rPr>
            </w:pPr>
            <w:r w:rsidRPr="00597FEA">
              <w:rPr>
                <w:dstrike w:val="0"/>
              </w:rPr>
              <w:t>FBW(</w:t>
            </w:r>
            <w:proofErr w:type="gramStart"/>
            <w:r w:rsidRPr="00597FEA">
              <w:rPr>
                <w:dstrike w:val="0"/>
              </w:rPr>
              <w:t xml:space="preserve">g)   </w:t>
            </w:r>
            <w:proofErr w:type="gramEnd"/>
          </w:p>
        </w:tc>
        <w:tc>
          <w:tcPr>
            <w:tcW w:w="761" w:type="pct"/>
          </w:tcPr>
          <w:p w:rsidR="00CC4F32" w:rsidRPr="00597FEA" w:rsidRDefault="00000000">
            <w:pPr>
              <w:rPr>
                <w:dstrike w:val="0"/>
              </w:rPr>
            </w:pPr>
            <w:r w:rsidRPr="00597FEA">
              <w:rPr>
                <w:rFonts w:ascii="SimSun" w:hAnsi="SimSun"/>
                <w:dstrike w:val="0"/>
                <w:color w:val="010205"/>
              </w:rPr>
              <w:t>233.50±.0.28</w:t>
            </w:r>
            <w:proofErr w:type="gramStart"/>
            <w:r w:rsidRPr="00597FEA">
              <w:rPr>
                <w:rFonts w:ascii="SimSun" w:hAnsi="SimSun"/>
                <w:dstrike w:val="0"/>
                <w:color w:val="010205"/>
              </w:rPr>
              <w:t>ª,b</w:t>
            </w:r>
            <w:proofErr w:type="gramEnd"/>
            <w:r w:rsidRPr="00597FEA">
              <w:rPr>
                <w:rFonts w:ascii="SimSun" w:hAnsi="SimSun"/>
                <w:dstrike w:val="0"/>
                <w:color w:val="010205"/>
              </w:rPr>
              <w:t>,c,</w:t>
            </w:r>
          </w:p>
        </w:tc>
        <w:tc>
          <w:tcPr>
            <w:tcW w:w="837" w:type="pct"/>
          </w:tcPr>
          <w:p w:rsidR="00CC4F32" w:rsidRPr="00597FEA" w:rsidRDefault="00000000">
            <w:pPr>
              <w:rPr>
                <w:dstrike w:val="0"/>
              </w:rPr>
            </w:pPr>
            <w:r w:rsidRPr="00597FEA">
              <w:rPr>
                <w:rFonts w:ascii="SimSun" w:hAnsi="SimSun"/>
                <w:dstrike w:val="0"/>
                <w:color w:val="010205"/>
              </w:rPr>
              <w:t>303.13±0.24</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w:t>
            </w:r>
            <w:proofErr w:type="gramStart"/>
            <w:r w:rsidRPr="00597FEA">
              <w:rPr>
                <w:rFonts w:ascii="SimSun" w:hAnsi="SimSun"/>
                <w:dstrike w:val="0"/>
                <w:color w:val="010205"/>
                <w:vertAlign w:val="superscript"/>
              </w:rPr>
              <w:t>c,d</w:t>
            </w:r>
            <w:proofErr w:type="gramEnd"/>
          </w:p>
        </w:tc>
        <w:tc>
          <w:tcPr>
            <w:tcW w:w="723" w:type="pct"/>
          </w:tcPr>
          <w:p w:rsidR="00CC4F32" w:rsidRPr="00597FEA" w:rsidRDefault="00000000">
            <w:pPr>
              <w:rPr>
                <w:dstrike w:val="0"/>
              </w:rPr>
            </w:pPr>
            <w:r w:rsidRPr="00597FEA">
              <w:rPr>
                <w:rFonts w:ascii="SimSun" w:hAnsi="SimSun"/>
                <w:dstrike w:val="0"/>
                <w:color w:val="010205"/>
              </w:rPr>
              <w:t>181.10±.0.</w:t>
            </w:r>
            <w:proofErr w:type="gramStart"/>
            <w:r w:rsidRPr="00597FEA">
              <w:rPr>
                <w:rFonts w:ascii="SimSun" w:hAnsi="SimSun"/>
                <w:dstrike w:val="0"/>
                <w:color w:val="010205"/>
              </w:rPr>
              <w:t>1,</w:t>
            </w:r>
            <w:r w:rsidRPr="00597FEA">
              <w:rPr>
                <w:rFonts w:ascii="SimSun" w:hAnsi="SimSun"/>
                <w:dstrike w:val="0"/>
                <w:color w:val="010205"/>
                <w:vertAlign w:val="superscript"/>
              </w:rPr>
              <w:t>b</w:t>
            </w:r>
            <w:proofErr w:type="gramEnd"/>
          </w:p>
        </w:tc>
        <w:tc>
          <w:tcPr>
            <w:tcW w:w="761" w:type="pct"/>
          </w:tcPr>
          <w:p w:rsidR="00CC4F32" w:rsidRPr="00597FEA" w:rsidRDefault="00000000">
            <w:pPr>
              <w:rPr>
                <w:dstrike w:val="0"/>
              </w:rPr>
            </w:pPr>
            <w:r w:rsidRPr="00597FEA">
              <w:rPr>
                <w:rFonts w:ascii="SimSun" w:hAnsi="SimSun"/>
                <w:dstrike w:val="0"/>
                <w:color w:val="010205"/>
              </w:rPr>
              <w:t>216.90±3.05</w:t>
            </w:r>
            <w:r w:rsidRPr="00597FEA">
              <w:rPr>
                <w:rFonts w:ascii="SimSun" w:hAnsi="SimSun"/>
                <w:dstrike w:val="0"/>
                <w:color w:val="010205"/>
                <w:vertAlign w:val="superscript"/>
              </w:rPr>
              <w:t>c</w:t>
            </w:r>
          </w:p>
        </w:tc>
        <w:tc>
          <w:tcPr>
            <w:tcW w:w="1234" w:type="pct"/>
          </w:tcPr>
          <w:p w:rsidR="00CC4F32" w:rsidRPr="00597FEA" w:rsidRDefault="00000000">
            <w:pPr>
              <w:rPr>
                <w:rFonts w:ascii="SimSun" w:hAnsi="SimSun"/>
                <w:dstrike w:val="0"/>
                <w:color w:val="010205"/>
              </w:rPr>
            </w:pPr>
            <w:r w:rsidRPr="00597FEA">
              <w:rPr>
                <w:rFonts w:ascii="SimSun" w:hAnsi="SimSun"/>
                <w:dstrike w:val="0"/>
                <w:color w:val="010205"/>
              </w:rPr>
              <w:t>193.53±</w:t>
            </w:r>
            <w:proofErr w:type="gramStart"/>
            <w:r w:rsidRPr="00597FEA">
              <w:rPr>
                <w:rFonts w:ascii="SimSun" w:hAnsi="SimSun"/>
                <w:dstrike w:val="0"/>
                <w:color w:val="010205"/>
              </w:rPr>
              <w:t>0..</w:t>
            </w:r>
            <w:proofErr w:type="gramEnd"/>
            <w:r w:rsidRPr="00597FEA">
              <w:rPr>
                <w:rFonts w:ascii="SimSun" w:hAnsi="SimSun"/>
                <w:dstrike w:val="0"/>
                <w:color w:val="010205"/>
              </w:rPr>
              <w:t>27</w:t>
            </w:r>
            <w:r w:rsidRPr="00597FEA">
              <w:rPr>
                <w:rFonts w:ascii="SimSun" w:hAnsi="SimSun"/>
                <w:dstrike w:val="0"/>
                <w:color w:val="010205"/>
                <w:vertAlign w:val="superscript"/>
              </w:rPr>
              <w:t>d</w:t>
            </w:r>
          </w:p>
          <w:p w:rsidR="00CC4F32" w:rsidRPr="00597FEA" w:rsidRDefault="00CC4F32">
            <w:pPr>
              <w:rPr>
                <w:dstrike w:val="0"/>
              </w:rPr>
            </w:pPr>
          </w:p>
        </w:tc>
      </w:tr>
      <w:tr w:rsidR="00CC4F32" w:rsidRPr="00597FEA" w:rsidTr="00597FEA">
        <w:tc>
          <w:tcPr>
            <w:tcW w:w="685" w:type="pct"/>
          </w:tcPr>
          <w:p w:rsidR="00CC4F32" w:rsidRPr="00597FEA" w:rsidRDefault="00000000">
            <w:pPr>
              <w:rPr>
                <w:rFonts w:ascii="SimSun" w:hAnsi="SimSun"/>
                <w:dstrike w:val="0"/>
                <w:color w:val="010205"/>
              </w:rPr>
            </w:pPr>
            <w:proofErr w:type="gramStart"/>
            <w:r w:rsidRPr="00597FEA">
              <w:rPr>
                <w:dstrike w:val="0"/>
              </w:rPr>
              <w:t>AFI(</w:t>
            </w:r>
            <w:proofErr w:type="gramEnd"/>
            <w:r w:rsidRPr="00597FEA">
              <w:rPr>
                <w:dstrike w:val="0"/>
              </w:rPr>
              <w:t xml:space="preserve">g/day               </w:t>
            </w:r>
          </w:p>
          <w:p w:rsidR="00CC4F32" w:rsidRPr="00597FEA" w:rsidRDefault="00CC4F32">
            <w:pPr>
              <w:rPr>
                <w:dstrike w:val="0"/>
              </w:rPr>
            </w:pPr>
          </w:p>
        </w:tc>
        <w:tc>
          <w:tcPr>
            <w:tcW w:w="761" w:type="pct"/>
          </w:tcPr>
          <w:p w:rsidR="00CC4F32" w:rsidRPr="00597FEA" w:rsidRDefault="00000000">
            <w:pPr>
              <w:rPr>
                <w:dstrike w:val="0"/>
              </w:rPr>
            </w:pPr>
            <w:r w:rsidRPr="00597FEA">
              <w:rPr>
                <w:rFonts w:ascii="SimSun" w:hAnsi="SimSun"/>
                <w:dstrike w:val="0"/>
                <w:color w:val="010205"/>
              </w:rPr>
              <w:t>110.00±</w:t>
            </w:r>
            <w:proofErr w:type="gramStart"/>
            <w:r w:rsidRPr="00597FEA">
              <w:rPr>
                <w:rFonts w:ascii="SimSun" w:hAnsi="SimSun"/>
                <w:dstrike w:val="0"/>
                <w:color w:val="010205"/>
              </w:rPr>
              <w:t>0..</w:t>
            </w:r>
            <w:proofErr w:type="gramEnd"/>
            <w:r w:rsidRPr="00597FEA">
              <w:rPr>
                <w:rFonts w:ascii="SimSun" w:hAnsi="SimSun"/>
                <w:dstrike w:val="0"/>
                <w:color w:val="010205"/>
              </w:rPr>
              <w:t>57ª</w:t>
            </w:r>
          </w:p>
        </w:tc>
        <w:tc>
          <w:tcPr>
            <w:tcW w:w="837" w:type="pct"/>
          </w:tcPr>
          <w:p w:rsidR="00CC4F32" w:rsidRPr="00597FEA" w:rsidRDefault="00000000">
            <w:pPr>
              <w:rPr>
                <w:dstrike w:val="0"/>
              </w:rPr>
            </w:pPr>
            <w:r w:rsidRPr="00597FEA">
              <w:rPr>
                <w:rFonts w:ascii="SimSun" w:hAnsi="SimSun"/>
                <w:dstrike w:val="0"/>
                <w:color w:val="010205"/>
              </w:rPr>
              <w:t>123.50±.0.26</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w:t>
            </w:r>
            <w:proofErr w:type="gramStart"/>
            <w:r w:rsidRPr="00597FEA">
              <w:rPr>
                <w:rFonts w:ascii="SimSun" w:hAnsi="SimSun"/>
                <w:dstrike w:val="0"/>
                <w:color w:val="010205"/>
                <w:vertAlign w:val="superscript"/>
              </w:rPr>
              <w:t>c,d</w:t>
            </w:r>
            <w:proofErr w:type="gramEnd"/>
          </w:p>
        </w:tc>
        <w:tc>
          <w:tcPr>
            <w:tcW w:w="723" w:type="pct"/>
          </w:tcPr>
          <w:p w:rsidR="00CC4F32" w:rsidRPr="00597FEA" w:rsidRDefault="00000000">
            <w:pPr>
              <w:rPr>
                <w:dstrike w:val="0"/>
              </w:rPr>
            </w:pPr>
            <w:r w:rsidRPr="00597FEA">
              <w:rPr>
                <w:rFonts w:ascii="SimSun" w:hAnsi="SimSun"/>
                <w:dstrike w:val="0"/>
                <w:color w:val="010205"/>
              </w:rPr>
              <w:t>91.00±1.52</w:t>
            </w:r>
            <w:r w:rsidRPr="00597FEA">
              <w:rPr>
                <w:rFonts w:ascii="SimSun" w:hAnsi="SimSun"/>
                <w:dstrike w:val="0"/>
                <w:color w:val="010205"/>
                <w:vertAlign w:val="superscript"/>
              </w:rPr>
              <w:t>b</w:t>
            </w:r>
          </w:p>
        </w:tc>
        <w:tc>
          <w:tcPr>
            <w:tcW w:w="761" w:type="pct"/>
          </w:tcPr>
          <w:p w:rsidR="00CC4F32" w:rsidRPr="00597FEA" w:rsidRDefault="00000000">
            <w:pPr>
              <w:rPr>
                <w:dstrike w:val="0"/>
              </w:rPr>
            </w:pPr>
            <w:r w:rsidRPr="00597FEA">
              <w:rPr>
                <w:rFonts w:ascii="SimSun" w:hAnsi="SimSun"/>
                <w:dstrike w:val="0"/>
                <w:color w:val="010205"/>
              </w:rPr>
              <w:t>101.00±.0.57</w:t>
            </w:r>
            <w:r w:rsidRPr="00597FEA">
              <w:rPr>
                <w:rFonts w:ascii="SimSun" w:hAnsi="SimSun"/>
                <w:dstrike w:val="0"/>
                <w:color w:val="010205"/>
                <w:vertAlign w:val="superscript"/>
              </w:rPr>
              <w:t>c</w:t>
            </w:r>
          </w:p>
        </w:tc>
        <w:tc>
          <w:tcPr>
            <w:tcW w:w="1234" w:type="pct"/>
          </w:tcPr>
          <w:p w:rsidR="00CC4F32" w:rsidRPr="00597FEA" w:rsidRDefault="00000000">
            <w:pPr>
              <w:rPr>
                <w:dstrike w:val="0"/>
              </w:rPr>
            </w:pPr>
            <w:r w:rsidRPr="00597FEA">
              <w:rPr>
                <w:rFonts w:ascii="SimSun" w:hAnsi="SimSun"/>
                <w:dstrike w:val="0"/>
                <w:color w:val="010205"/>
              </w:rPr>
              <w:t>98.50±0.28</w:t>
            </w:r>
            <w:r w:rsidRPr="00597FEA">
              <w:rPr>
                <w:rFonts w:ascii="SimSun" w:hAnsi="SimSun"/>
                <w:dstrike w:val="0"/>
                <w:color w:val="010205"/>
                <w:vertAlign w:val="superscript"/>
              </w:rPr>
              <w:t>d</w:t>
            </w:r>
          </w:p>
        </w:tc>
      </w:tr>
      <w:tr w:rsidR="00CC4F32" w:rsidRPr="00597FEA" w:rsidTr="00597FEA">
        <w:tc>
          <w:tcPr>
            <w:tcW w:w="685" w:type="pct"/>
          </w:tcPr>
          <w:p w:rsidR="00CC4F32" w:rsidRPr="00597FEA" w:rsidRDefault="00000000">
            <w:pPr>
              <w:rPr>
                <w:dstrike w:val="0"/>
                <w:color w:val="010205"/>
                <w:vertAlign w:val="superscript"/>
              </w:rPr>
            </w:pPr>
            <w:proofErr w:type="gramStart"/>
            <w:r w:rsidRPr="00597FEA">
              <w:rPr>
                <w:dstrike w:val="0"/>
              </w:rPr>
              <w:t>WI(</w:t>
            </w:r>
            <w:proofErr w:type="gramEnd"/>
            <w:r w:rsidRPr="00597FEA">
              <w:rPr>
                <w:dstrike w:val="0"/>
              </w:rPr>
              <w:t xml:space="preserve">ml/day)            </w:t>
            </w:r>
          </w:p>
          <w:p w:rsidR="00CC4F32" w:rsidRPr="00597FEA" w:rsidRDefault="00CC4F32">
            <w:pPr>
              <w:rPr>
                <w:dstrike w:val="0"/>
              </w:rPr>
            </w:pPr>
          </w:p>
        </w:tc>
        <w:tc>
          <w:tcPr>
            <w:tcW w:w="761" w:type="pct"/>
          </w:tcPr>
          <w:p w:rsidR="00CC4F32" w:rsidRPr="00597FEA" w:rsidRDefault="00000000">
            <w:pPr>
              <w:rPr>
                <w:dstrike w:val="0"/>
              </w:rPr>
            </w:pPr>
            <w:r w:rsidRPr="00597FEA">
              <w:rPr>
                <w:dstrike w:val="0"/>
                <w:color w:val="010205"/>
              </w:rPr>
              <w:t>226.00±0.57</w:t>
            </w:r>
            <w:proofErr w:type="gramStart"/>
            <w:r w:rsidRPr="00597FEA">
              <w:rPr>
                <w:dstrike w:val="0"/>
                <w:color w:val="010205"/>
              </w:rPr>
              <w:t>ª,</w:t>
            </w:r>
            <w:r w:rsidRPr="00597FEA">
              <w:rPr>
                <w:dstrike w:val="0"/>
                <w:color w:val="010205"/>
                <w:vertAlign w:val="superscript"/>
              </w:rPr>
              <w:t>b</w:t>
            </w:r>
            <w:proofErr w:type="gramEnd"/>
            <w:r w:rsidRPr="00597FEA">
              <w:rPr>
                <w:dstrike w:val="0"/>
                <w:color w:val="010205"/>
                <w:vertAlign w:val="superscript"/>
              </w:rPr>
              <w:t>,</w:t>
            </w:r>
            <w:proofErr w:type="gramStart"/>
            <w:r w:rsidRPr="00597FEA">
              <w:rPr>
                <w:dstrike w:val="0"/>
                <w:color w:val="010205"/>
                <w:vertAlign w:val="superscript"/>
              </w:rPr>
              <w:t>c,d</w:t>
            </w:r>
            <w:proofErr w:type="gramEnd"/>
          </w:p>
        </w:tc>
        <w:tc>
          <w:tcPr>
            <w:tcW w:w="837" w:type="pct"/>
          </w:tcPr>
          <w:p w:rsidR="00CC4F32" w:rsidRPr="00597FEA" w:rsidRDefault="00000000">
            <w:pPr>
              <w:rPr>
                <w:dstrike w:val="0"/>
              </w:rPr>
            </w:pPr>
            <w:r w:rsidRPr="00597FEA">
              <w:rPr>
                <w:dstrike w:val="0"/>
                <w:color w:val="010205"/>
              </w:rPr>
              <w:t>378.00±14.04</w:t>
            </w:r>
            <w:proofErr w:type="gramStart"/>
            <w:r w:rsidRPr="00597FEA">
              <w:rPr>
                <w:dstrike w:val="0"/>
                <w:color w:val="010205"/>
                <w:vertAlign w:val="superscript"/>
              </w:rPr>
              <w:t>a,b</w:t>
            </w:r>
            <w:proofErr w:type="gramEnd"/>
            <w:r w:rsidRPr="00597FEA">
              <w:rPr>
                <w:dstrike w:val="0"/>
                <w:color w:val="010205"/>
                <w:vertAlign w:val="superscript"/>
              </w:rPr>
              <w:t>,</w:t>
            </w:r>
            <w:proofErr w:type="gramStart"/>
            <w:r w:rsidRPr="00597FEA">
              <w:rPr>
                <w:dstrike w:val="0"/>
                <w:color w:val="010205"/>
                <w:vertAlign w:val="superscript"/>
              </w:rPr>
              <w:t>c,d</w:t>
            </w:r>
            <w:proofErr w:type="gramEnd"/>
          </w:p>
        </w:tc>
        <w:tc>
          <w:tcPr>
            <w:tcW w:w="723" w:type="pct"/>
          </w:tcPr>
          <w:p w:rsidR="00CC4F32" w:rsidRPr="00597FEA" w:rsidRDefault="00000000">
            <w:pPr>
              <w:rPr>
                <w:dstrike w:val="0"/>
              </w:rPr>
            </w:pPr>
            <w:r w:rsidRPr="00597FEA">
              <w:rPr>
                <w:dstrike w:val="0"/>
                <w:color w:val="010205"/>
              </w:rPr>
              <w:t>163.33±8.81</w:t>
            </w:r>
            <w:r w:rsidRPr="00597FEA">
              <w:rPr>
                <w:dstrike w:val="0"/>
                <w:color w:val="010205"/>
                <w:vertAlign w:val="superscript"/>
              </w:rPr>
              <w:t xml:space="preserve"> b</w:t>
            </w:r>
          </w:p>
        </w:tc>
        <w:tc>
          <w:tcPr>
            <w:tcW w:w="761" w:type="pct"/>
          </w:tcPr>
          <w:p w:rsidR="00CC4F32" w:rsidRPr="00597FEA" w:rsidRDefault="00000000">
            <w:pPr>
              <w:rPr>
                <w:dstrike w:val="0"/>
              </w:rPr>
            </w:pPr>
            <w:r w:rsidRPr="00597FEA">
              <w:rPr>
                <w:dstrike w:val="0"/>
                <w:color w:val="010205"/>
              </w:rPr>
              <w:t>183.33±3.33</w:t>
            </w:r>
            <w:r w:rsidRPr="00597FEA">
              <w:rPr>
                <w:dstrike w:val="0"/>
                <w:color w:val="010205"/>
                <w:vertAlign w:val="superscript"/>
              </w:rPr>
              <w:t>c</w:t>
            </w:r>
          </w:p>
        </w:tc>
        <w:tc>
          <w:tcPr>
            <w:tcW w:w="1234" w:type="pct"/>
          </w:tcPr>
          <w:p w:rsidR="00CC4F32" w:rsidRPr="00597FEA" w:rsidRDefault="00000000">
            <w:pPr>
              <w:rPr>
                <w:dstrike w:val="0"/>
              </w:rPr>
            </w:pPr>
            <w:r w:rsidRPr="00597FEA">
              <w:rPr>
                <w:dstrike w:val="0"/>
                <w:color w:val="010205"/>
              </w:rPr>
              <w:t>178.00±5.50</w:t>
            </w:r>
            <w:r w:rsidRPr="00597FEA">
              <w:rPr>
                <w:dstrike w:val="0"/>
                <w:color w:val="010205"/>
                <w:vertAlign w:val="superscript"/>
              </w:rPr>
              <w:t>d</w:t>
            </w:r>
          </w:p>
        </w:tc>
      </w:tr>
      <w:tr w:rsidR="00CC4F32" w:rsidRPr="00597FEA" w:rsidTr="00597FEA">
        <w:tc>
          <w:tcPr>
            <w:tcW w:w="685" w:type="pct"/>
          </w:tcPr>
          <w:p w:rsidR="00CC4F32" w:rsidRPr="00597FEA" w:rsidRDefault="00000000">
            <w:pPr>
              <w:rPr>
                <w:dstrike w:val="0"/>
                <w:color w:val="010205"/>
                <w:vertAlign w:val="superscript"/>
              </w:rPr>
            </w:pPr>
            <w:proofErr w:type="gramStart"/>
            <w:r w:rsidRPr="00597FEA">
              <w:rPr>
                <w:dstrike w:val="0"/>
              </w:rPr>
              <w:t>TC(</w:t>
            </w:r>
            <w:proofErr w:type="gramEnd"/>
            <w:r w:rsidRPr="00597FEA">
              <w:rPr>
                <w:dstrike w:val="0"/>
              </w:rPr>
              <w:t xml:space="preserve">cm)                 </w:t>
            </w:r>
          </w:p>
          <w:p w:rsidR="00CC4F32" w:rsidRPr="00597FEA" w:rsidRDefault="00CC4F32">
            <w:pPr>
              <w:rPr>
                <w:dstrike w:val="0"/>
              </w:rPr>
            </w:pPr>
          </w:p>
        </w:tc>
        <w:tc>
          <w:tcPr>
            <w:tcW w:w="761" w:type="pct"/>
          </w:tcPr>
          <w:p w:rsidR="00CC4F32" w:rsidRPr="00597FEA" w:rsidRDefault="00000000">
            <w:pPr>
              <w:rPr>
                <w:dstrike w:val="0"/>
              </w:rPr>
            </w:pPr>
            <w:r w:rsidRPr="00597FEA">
              <w:rPr>
                <w:dstrike w:val="0"/>
                <w:color w:val="010205"/>
              </w:rPr>
              <w:t>12.00±0.00</w:t>
            </w:r>
            <w:proofErr w:type="gramStart"/>
            <w:r w:rsidRPr="00597FEA">
              <w:rPr>
                <w:dstrike w:val="0"/>
                <w:color w:val="010205"/>
              </w:rPr>
              <w:t>ª,</w:t>
            </w:r>
            <w:r w:rsidRPr="00597FEA">
              <w:rPr>
                <w:dstrike w:val="0"/>
                <w:color w:val="010205"/>
                <w:vertAlign w:val="superscript"/>
              </w:rPr>
              <w:t>b</w:t>
            </w:r>
            <w:proofErr w:type="gramEnd"/>
            <w:r w:rsidRPr="00597FEA">
              <w:rPr>
                <w:dstrike w:val="0"/>
                <w:color w:val="010205"/>
                <w:vertAlign w:val="superscript"/>
              </w:rPr>
              <w:t>,</w:t>
            </w:r>
            <w:proofErr w:type="gramStart"/>
            <w:r w:rsidRPr="00597FEA">
              <w:rPr>
                <w:dstrike w:val="0"/>
                <w:color w:val="010205"/>
                <w:vertAlign w:val="superscript"/>
              </w:rPr>
              <w:t>c,d</w:t>
            </w:r>
            <w:proofErr w:type="gramEnd"/>
          </w:p>
        </w:tc>
        <w:tc>
          <w:tcPr>
            <w:tcW w:w="837" w:type="pct"/>
          </w:tcPr>
          <w:p w:rsidR="00CC4F32" w:rsidRPr="00597FEA" w:rsidRDefault="00000000">
            <w:pPr>
              <w:rPr>
                <w:dstrike w:val="0"/>
              </w:rPr>
            </w:pPr>
            <w:r w:rsidRPr="00597FEA">
              <w:rPr>
                <w:dstrike w:val="0"/>
              </w:rPr>
              <w:t>15.00±0.00</w:t>
            </w:r>
            <w:proofErr w:type="gramStart"/>
            <w:r w:rsidRPr="00597FEA">
              <w:rPr>
                <w:dstrike w:val="0"/>
                <w:vertAlign w:val="superscript"/>
              </w:rPr>
              <w:t>a,b</w:t>
            </w:r>
            <w:proofErr w:type="gramEnd"/>
            <w:r w:rsidRPr="00597FEA">
              <w:rPr>
                <w:dstrike w:val="0"/>
                <w:vertAlign w:val="superscript"/>
              </w:rPr>
              <w:t>,</w:t>
            </w:r>
            <w:proofErr w:type="gramStart"/>
            <w:r w:rsidRPr="00597FEA">
              <w:rPr>
                <w:dstrike w:val="0"/>
                <w:vertAlign w:val="superscript"/>
              </w:rPr>
              <w:t>c,d</w:t>
            </w:r>
            <w:proofErr w:type="gramEnd"/>
          </w:p>
        </w:tc>
        <w:tc>
          <w:tcPr>
            <w:tcW w:w="723" w:type="pct"/>
          </w:tcPr>
          <w:p w:rsidR="00CC4F32" w:rsidRPr="00597FEA" w:rsidRDefault="00000000">
            <w:pPr>
              <w:rPr>
                <w:dstrike w:val="0"/>
              </w:rPr>
            </w:pPr>
            <w:r w:rsidRPr="00597FEA">
              <w:rPr>
                <w:dstrike w:val="0"/>
              </w:rPr>
              <w:t>9.33±0.33</w:t>
            </w:r>
            <w:r w:rsidRPr="00597FEA">
              <w:rPr>
                <w:dstrike w:val="0"/>
                <w:vertAlign w:val="superscript"/>
              </w:rPr>
              <w:t>b</w:t>
            </w:r>
          </w:p>
        </w:tc>
        <w:tc>
          <w:tcPr>
            <w:tcW w:w="761" w:type="pct"/>
          </w:tcPr>
          <w:p w:rsidR="00CC4F32" w:rsidRPr="00597FEA" w:rsidRDefault="00000000">
            <w:pPr>
              <w:rPr>
                <w:dstrike w:val="0"/>
              </w:rPr>
            </w:pPr>
            <w:r w:rsidRPr="00597FEA">
              <w:rPr>
                <w:dstrike w:val="0"/>
              </w:rPr>
              <w:t>9.33±0</w:t>
            </w:r>
            <w:r w:rsidRPr="00597FEA">
              <w:rPr>
                <w:dstrike w:val="0"/>
                <w:color w:val="010205"/>
              </w:rPr>
              <w:t>.57</w:t>
            </w:r>
            <w:r w:rsidRPr="00597FEA">
              <w:rPr>
                <w:dstrike w:val="0"/>
                <w:color w:val="010205"/>
                <w:vertAlign w:val="superscript"/>
              </w:rPr>
              <w:t>c</w:t>
            </w:r>
          </w:p>
        </w:tc>
        <w:tc>
          <w:tcPr>
            <w:tcW w:w="1234" w:type="pct"/>
          </w:tcPr>
          <w:p w:rsidR="00CC4F32" w:rsidRPr="00597FEA" w:rsidRDefault="00000000">
            <w:pPr>
              <w:rPr>
                <w:dstrike w:val="0"/>
              </w:rPr>
            </w:pPr>
            <w:r w:rsidRPr="00597FEA">
              <w:rPr>
                <w:dstrike w:val="0"/>
                <w:color w:val="010205"/>
              </w:rPr>
              <w:t>11.33±0.33</w:t>
            </w:r>
            <w:r w:rsidRPr="00597FEA">
              <w:rPr>
                <w:dstrike w:val="0"/>
                <w:color w:val="010205"/>
                <w:vertAlign w:val="superscript"/>
              </w:rPr>
              <w:t>d</w:t>
            </w:r>
          </w:p>
        </w:tc>
      </w:tr>
      <w:tr w:rsidR="00CC4F32" w:rsidRPr="00597FEA" w:rsidTr="00597FEA">
        <w:trPr>
          <w:trHeight w:val="584"/>
        </w:trPr>
        <w:tc>
          <w:tcPr>
            <w:tcW w:w="685" w:type="pct"/>
          </w:tcPr>
          <w:p w:rsidR="00CC4F32" w:rsidRPr="00597FEA" w:rsidRDefault="00000000">
            <w:pPr>
              <w:rPr>
                <w:dstrike w:val="0"/>
              </w:rPr>
            </w:pPr>
            <w:proofErr w:type="gramStart"/>
            <w:r w:rsidRPr="00597FEA">
              <w:rPr>
                <w:dstrike w:val="0"/>
              </w:rPr>
              <w:t>AC(</w:t>
            </w:r>
            <w:proofErr w:type="gramEnd"/>
            <w:r w:rsidRPr="00597FEA">
              <w:rPr>
                <w:dstrike w:val="0"/>
              </w:rPr>
              <w:t xml:space="preserve">cm)                  </w:t>
            </w:r>
          </w:p>
        </w:tc>
        <w:tc>
          <w:tcPr>
            <w:tcW w:w="761" w:type="pct"/>
          </w:tcPr>
          <w:p w:rsidR="00CC4F32" w:rsidRPr="00597FEA" w:rsidRDefault="00000000">
            <w:pPr>
              <w:rPr>
                <w:dstrike w:val="0"/>
              </w:rPr>
            </w:pPr>
            <w:r w:rsidRPr="00597FEA">
              <w:rPr>
                <w:dstrike w:val="0"/>
              </w:rPr>
              <w:t>15.00±0.00</w:t>
            </w:r>
            <w:proofErr w:type="gramStart"/>
            <w:r w:rsidRPr="00597FEA">
              <w:rPr>
                <w:dstrike w:val="0"/>
              </w:rPr>
              <w:t>ª,</w:t>
            </w:r>
            <w:r w:rsidRPr="00597FEA">
              <w:rPr>
                <w:dstrike w:val="0"/>
                <w:vertAlign w:val="superscript"/>
              </w:rPr>
              <w:t>b</w:t>
            </w:r>
            <w:proofErr w:type="gramEnd"/>
            <w:r w:rsidRPr="00597FEA">
              <w:rPr>
                <w:dstrike w:val="0"/>
                <w:vertAlign w:val="superscript"/>
              </w:rPr>
              <w:t>,</w:t>
            </w:r>
            <w:proofErr w:type="gramStart"/>
            <w:r w:rsidRPr="00597FEA">
              <w:rPr>
                <w:dstrike w:val="0"/>
                <w:vertAlign w:val="superscript"/>
              </w:rPr>
              <w:t>c,d</w:t>
            </w:r>
            <w:proofErr w:type="gramEnd"/>
          </w:p>
        </w:tc>
        <w:tc>
          <w:tcPr>
            <w:tcW w:w="837" w:type="pct"/>
          </w:tcPr>
          <w:p w:rsidR="00CC4F32" w:rsidRPr="00597FEA" w:rsidRDefault="00000000">
            <w:pPr>
              <w:rPr>
                <w:dstrike w:val="0"/>
              </w:rPr>
            </w:pPr>
            <w:r w:rsidRPr="00597FEA">
              <w:rPr>
                <w:dstrike w:val="0"/>
              </w:rPr>
              <w:t xml:space="preserve">18.00±0.00 </w:t>
            </w:r>
            <w:proofErr w:type="gramStart"/>
            <w:r w:rsidRPr="00597FEA">
              <w:rPr>
                <w:dstrike w:val="0"/>
                <w:vertAlign w:val="superscript"/>
              </w:rPr>
              <w:t>a,b</w:t>
            </w:r>
            <w:proofErr w:type="gramEnd"/>
            <w:r w:rsidRPr="00597FEA">
              <w:rPr>
                <w:dstrike w:val="0"/>
                <w:vertAlign w:val="superscript"/>
              </w:rPr>
              <w:t>,</w:t>
            </w:r>
            <w:proofErr w:type="gramStart"/>
            <w:r w:rsidRPr="00597FEA">
              <w:rPr>
                <w:dstrike w:val="0"/>
                <w:vertAlign w:val="superscript"/>
              </w:rPr>
              <w:t>c,d</w:t>
            </w:r>
            <w:proofErr w:type="gramEnd"/>
          </w:p>
        </w:tc>
        <w:tc>
          <w:tcPr>
            <w:tcW w:w="723" w:type="pct"/>
          </w:tcPr>
          <w:p w:rsidR="00CC4F32" w:rsidRPr="00597FEA" w:rsidRDefault="00000000">
            <w:pPr>
              <w:rPr>
                <w:dstrike w:val="0"/>
              </w:rPr>
            </w:pPr>
            <w:r w:rsidRPr="00597FEA">
              <w:rPr>
                <w:dstrike w:val="0"/>
              </w:rPr>
              <w:t>13.00±0.00</w:t>
            </w:r>
            <w:r w:rsidRPr="00597FEA">
              <w:rPr>
                <w:dstrike w:val="0"/>
                <w:vertAlign w:val="superscript"/>
              </w:rPr>
              <w:t xml:space="preserve"> b     </w:t>
            </w:r>
          </w:p>
        </w:tc>
        <w:tc>
          <w:tcPr>
            <w:tcW w:w="761" w:type="pct"/>
          </w:tcPr>
          <w:p w:rsidR="00CC4F32" w:rsidRPr="00597FEA" w:rsidRDefault="00000000">
            <w:pPr>
              <w:rPr>
                <w:dstrike w:val="0"/>
              </w:rPr>
            </w:pPr>
            <w:r w:rsidRPr="00597FEA">
              <w:rPr>
                <w:dstrike w:val="0"/>
              </w:rPr>
              <w:t>14.00±0.00</w:t>
            </w:r>
            <w:r w:rsidRPr="00597FEA">
              <w:rPr>
                <w:dstrike w:val="0"/>
                <w:vertAlign w:val="superscript"/>
              </w:rPr>
              <w:t>c</w:t>
            </w:r>
          </w:p>
        </w:tc>
        <w:tc>
          <w:tcPr>
            <w:tcW w:w="1234" w:type="pct"/>
          </w:tcPr>
          <w:p w:rsidR="00CC4F32" w:rsidRPr="00597FEA" w:rsidRDefault="00000000">
            <w:pPr>
              <w:rPr>
                <w:dstrike w:val="0"/>
                <w:color w:val="010205"/>
                <w:vertAlign w:val="superscript"/>
              </w:rPr>
            </w:pPr>
            <w:r w:rsidRPr="00597FEA">
              <w:rPr>
                <w:dstrike w:val="0"/>
                <w:color w:val="010205"/>
              </w:rPr>
              <w:t>13.33±0.33</w:t>
            </w:r>
            <w:r w:rsidRPr="00597FEA">
              <w:rPr>
                <w:dstrike w:val="0"/>
                <w:color w:val="010205"/>
                <w:vertAlign w:val="superscript"/>
              </w:rPr>
              <w:t>d</w:t>
            </w:r>
          </w:p>
          <w:p w:rsidR="00CC4F32" w:rsidRPr="00597FEA" w:rsidRDefault="00CC4F32">
            <w:pPr>
              <w:rPr>
                <w:dstrike w:val="0"/>
              </w:rPr>
            </w:pPr>
          </w:p>
        </w:tc>
      </w:tr>
      <w:tr w:rsidR="00CC4F32" w:rsidRPr="00597FEA" w:rsidTr="00597FEA">
        <w:tc>
          <w:tcPr>
            <w:tcW w:w="685" w:type="pct"/>
          </w:tcPr>
          <w:p w:rsidR="00CC4F32" w:rsidRPr="00597FEA" w:rsidRDefault="00000000">
            <w:pPr>
              <w:rPr>
                <w:dstrike w:val="0"/>
              </w:rPr>
            </w:pPr>
            <w:proofErr w:type="gramStart"/>
            <w:r w:rsidRPr="00597FEA">
              <w:rPr>
                <w:dstrike w:val="0"/>
              </w:rPr>
              <w:t>BL(</w:t>
            </w:r>
            <w:proofErr w:type="gramEnd"/>
            <w:r w:rsidRPr="00597FEA">
              <w:rPr>
                <w:dstrike w:val="0"/>
              </w:rPr>
              <w:t xml:space="preserve">cm)                  </w:t>
            </w:r>
          </w:p>
          <w:p w:rsidR="00CC4F32" w:rsidRPr="00597FEA" w:rsidRDefault="00CC4F32">
            <w:pPr>
              <w:rPr>
                <w:dstrike w:val="0"/>
              </w:rPr>
            </w:pPr>
          </w:p>
        </w:tc>
        <w:tc>
          <w:tcPr>
            <w:tcW w:w="761" w:type="pct"/>
          </w:tcPr>
          <w:p w:rsidR="00CC4F32" w:rsidRPr="00597FEA" w:rsidRDefault="00000000">
            <w:pPr>
              <w:rPr>
                <w:dstrike w:val="0"/>
              </w:rPr>
            </w:pPr>
            <w:r w:rsidRPr="00597FEA">
              <w:rPr>
                <w:rFonts w:ascii="SimSun" w:hAnsi="SimSun"/>
                <w:dstrike w:val="0"/>
                <w:color w:val="010205"/>
              </w:rPr>
              <w:t>21.00±0.57ª</w:t>
            </w:r>
          </w:p>
        </w:tc>
        <w:tc>
          <w:tcPr>
            <w:tcW w:w="837" w:type="pct"/>
          </w:tcPr>
          <w:p w:rsidR="00CC4F32" w:rsidRPr="00597FEA" w:rsidRDefault="00000000">
            <w:pPr>
              <w:rPr>
                <w:dstrike w:val="0"/>
              </w:rPr>
            </w:pPr>
            <w:r w:rsidRPr="00597FEA">
              <w:rPr>
                <w:rFonts w:ascii="SimSun" w:hAnsi="SimSun"/>
                <w:dstrike w:val="0"/>
              </w:rPr>
              <w:t xml:space="preserve">21.00±0.57b                     </w:t>
            </w:r>
          </w:p>
        </w:tc>
        <w:tc>
          <w:tcPr>
            <w:tcW w:w="723" w:type="pct"/>
          </w:tcPr>
          <w:p w:rsidR="00CC4F32" w:rsidRPr="00597FEA" w:rsidRDefault="00000000">
            <w:pPr>
              <w:rPr>
                <w:dstrike w:val="0"/>
              </w:rPr>
            </w:pPr>
            <w:r w:rsidRPr="00597FEA">
              <w:rPr>
                <w:rFonts w:ascii="SimSun" w:hAnsi="SimSun"/>
                <w:dstrike w:val="0"/>
              </w:rPr>
              <w:t>21.00±0.00</w:t>
            </w:r>
            <w:r w:rsidRPr="00597FEA">
              <w:rPr>
                <w:rFonts w:ascii="SimSun" w:hAnsi="SimSun"/>
                <w:dstrike w:val="0"/>
                <w:vertAlign w:val="superscript"/>
              </w:rPr>
              <w:t>c</w:t>
            </w:r>
          </w:p>
        </w:tc>
        <w:tc>
          <w:tcPr>
            <w:tcW w:w="761" w:type="pct"/>
          </w:tcPr>
          <w:p w:rsidR="00CC4F32" w:rsidRPr="00597FEA" w:rsidRDefault="00000000">
            <w:pPr>
              <w:rPr>
                <w:dstrike w:val="0"/>
              </w:rPr>
            </w:pPr>
            <w:r w:rsidRPr="00597FEA">
              <w:rPr>
                <w:rFonts w:ascii="SimSun" w:hAnsi="SimSun"/>
                <w:dstrike w:val="0"/>
              </w:rPr>
              <w:t xml:space="preserve">20.00±0.00d         </w:t>
            </w:r>
          </w:p>
        </w:tc>
        <w:tc>
          <w:tcPr>
            <w:tcW w:w="1234" w:type="pct"/>
          </w:tcPr>
          <w:p w:rsidR="00CC4F32" w:rsidRPr="00597FEA" w:rsidRDefault="00000000">
            <w:pPr>
              <w:rPr>
                <w:rFonts w:ascii="SimSun" w:hAnsi="SimSun"/>
                <w:dstrike w:val="0"/>
              </w:rPr>
            </w:pPr>
            <w:r w:rsidRPr="00597FEA">
              <w:rPr>
                <w:rFonts w:ascii="SimSun" w:hAnsi="SimSun"/>
                <w:dstrike w:val="0"/>
              </w:rPr>
              <w:t>21.33±0.33</w:t>
            </w:r>
            <w:r w:rsidRPr="00597FEA">
              <w:rPr>
                <w:rFonts w:ascii="SimSun" w:hAnsi="SimSun"/>
                <w:dstrike w:val="0"/>
                <w:vertAlign w:val="superscript"/>
              </w:rPr>
              <w:t>e</w:t>
            </w:r>
          </w:p>
          <w:p w:rsidR="00CC4F32" w:rsidRPr="00597FEA" w:rsidRDefault="00CC4F32">
            <w:pPr>
              <w:rPr>
                <w:dstrike w:val="0"/>
              </w:rPr>
            </w:pPr>
          </w:p>
        </w:tc>
      </w:tr>
      <w:tr w:rsidR="00CC4F32" w:rsidRPr="00597FEA" w:rsidTr="00597FEA">
        <w:tc>
          <w:tcPr>
            <w:tcW w:w="685" w:type="pct"/>
          </w:tcPr>
          <w:p w:rsidR="00CC4F32" w:rsidRPr="00597FEA" w:rsidRDefault="00000000">
            <w:pPr>
              <w:rPr>
                <w:dstrike w:val="0"/>
              </w:rPr>
            </w:pPr>
            <w:proofErr w:type="gramStart"/>
            <w:r w:rsidRPr="00597FEA">
              <w:rPr>
                <w:dstrike w:val="0"/>
              </w:rPr>
              <w:t>LI(</w:t>
            </w:r>
            <w:proofErr w:type="gramEnd"/>
            <w:r w:rsidRPr="00597FEA">
              <w:rPr>
                <w:dstrike w:val="0"/>
              </w:rPr>
              <w:t xml:space="preserve">cm)                   </w:t>
            </w:r>
          </w:p>
          <w:p w:rsidR="00CC4F32" w:rsidRPr="00597FEA" w:rsidRDefault="00CC4F32">
            <w:pPr>
              <w:rPr>
                <w:dstrike w:val="0"/>
              </w:rPr>
            </w:pPr>
          </w:p>
        </w:tc>
        <w:tc>
          <w:tcPr>
            <w:tcW w:w="761" w:type="pct"/>
          </w:tcPr>
          <w:p w:rsidR="00CC4F32" w:rsidRPr="00597FEA" w:rsidRDefault="00000000">
            <w:pPr>
              <w:rPr>
                <w:dstrike w:val="0"/>
              </w:rPr>
            </w:pPr>
            <w:r w:rsidRPr="00597FEA">
              <w:rPr>
                <w:rFonts w:ascii="SimSun" w:hAnsi="SimSun"/>
                <w:dstrike w:val="0"/>
                <w:color w:val="010205"/>
              </w:rPr>
              <w:t>2.23±0.02</w:t>
            </w:r>
            <w:proofErr w:type="gramStart"/>
            <w:r w:rsidRPr="00597FEA">
              <w:rPr>
                <w:rFonts w:ascii="SimSun" w:hAnsi="SimSun"/>
                <w:dstrike w:val="0"/>
                <w:color w:val="010205"/>
                <w:vertAlign w:val="superscript"/>
              </w:rPr>
              <w:t>ª,b</w:t>
            </w:r>
            <w:proofErr w:type="gramEnd"/>
            <w:r w:rsidRPr="00597FEA">
              <w:rPr>
                <w:rFonts w:ascii="SimSun" w:hAnsi="SimSun"/>
                <w:dstrike w:val="0"/>
                <w:color w:val="010205"/>
                <w:vertAlign w:val="superscript"/>
              </w:rPr>
              <w:t>,d</w:t>
            </w:r>
          </w:p>
        </w:tc>
        <w:tc>
          <w:tcPr>
            <w:tcW w:w="837" w:type="pct"/>
          </w:tcPr>
          <w:p w:rsidR="00CC4F32" w:rsidRPr="00597FEA" w:rsidRDefault="00000000">
            <w:pPr>
              <w:rPr>
                <w:dstrike w:val="0"/>
              </w:rPr>
            </w:pPr>
            <w:r w:rsidRPr="00597FEA">
              <w:rPr>
                <w:rFonts w:ascii="SimSun" w:hAnsi="SimSun"/>
                <w:dstrike w:val="0"/>
                <w:color w:val="010205"/>
              </w:rPr>
              <w:t>2.43±0.026</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w:t>
            </w:r>
            <w:proofErr w:type="gramStart"/>
            <w:r w:rsidRPr="00597FEA">
              <w:rPr>
                <w:rFonts w:ascii="SimSun" w:hAnsi="SimSun"/>
                <w:dstrike w:val="0"/>
                <w:color w:val="010205"/>
                <w:vertAlign w:val="superscript"/>
              </w:rPr>
              <w:t>c,d</w:t>
            </w:r>
            <w:proofErr w:type="gramEnd"/>
          </w:p>
        </w:tc>
        <w:tc>
          <w:tcPr>
            <w:tcW w:w="723" w:type="pct"/>
          </w:tcPr>
          <w:p w:rsidR="00CC4F32" w:rsidRPr="00597FEA" w:rsidRDefault="00000000">
            <w:pPr>
              <w:rPr>
                <w:dstrike w:val="0"/>
              </w:rPr>
            </w:pPr>
            <w:r w:rsidRPr="00597FEA">
              <w:rPr>
                <w:rFonts w:ascii="SimSun" w:hAnsi="SimSun"/>
                <w:dstrike w:val="0"/>
                <w:color w:val="010205"/>
              </w:rPr>
              <w:t>2.05±0.00</w:t>
            </w:r>
            <w:r w:rsidRPr="00597FEA">
              <w:rPr>
                <w:rFonts w:ascii="SimSun" w:hAnsi="SimSun"/>
                <w:dstrike w:val="0"/>
                <w:color w:val="010205"/>
                <w:vertAlign w:val="superscript"/>
              </w:rPr>
              <w:t>b</w:t>
            </w:r>
          </w:p>
        </w:tc>
        <w:tc>
          <w:tcPr>
            <w:tcW w:w="761" w:type="pct"/>
          </w:tcPr>
          <w:p w:rsidR="00CC4F32" w:rsidRPr="00597FEA" w:rsidRDefault="00000000">
            <w:pPr>
              <w:rPr>
                <w:dstrike w:val="0"/>
              </w:rPr>
            </w:pPr>
            <w:r w:rsidRPr="00597FEA">
              <w:rPr>
                <w:rFonts w:ascii="SimSun" w:hAnsi="SimSun"/>
                <w:dstrike w:val="0"/>
              </w:rPr>
              <w:t xml:space="preserve">2.22±0.00 c                  </w:t>
            </w:r>
          </w:p>
        </w:tc>
        <w:tc>
          <w:tcPr>
            <w:tcW w:w="1234" w:type="pct"/>
          </w:tcPr>
          <w:p w:rsidR="00CC4F32" w:rsidRPr="00597FEA" w:rsidRDefault="00000000">
            <w:pPr>
              <w:rPr>
                <w:rFonts w:ascii="SimSun" w:hAnsi="SimSun"/>
                <w:dstrike w:val="0"/>
              </w:rPr>
            </w:pPr>
            <w:r w:rsidRPr="00597FEA">
              <w:rPr>
                <w:rFonts w:ascii="SimSun" w:hAnsi="SimSun"/>
                <w:dstrike w:val="0"/>
                <w:color w:val="010205"/>
              </w:rPr>
              <w:t>2.08±0.010</w:t>
            </w:r>
            <w:r w:rsidRPr="00597FEA">
              <w:rPr>
                <w:rFonts w:ascii="SimSun" w:hAnsi="SimSun"/>
                <w:dstrike w:val="0"/>
                <w:vertAlign w:val="superscript"/>
              </w:rPr>
              <w:t>d</w:t>
            </w:r>
          </w:p>
          <w:p w:rsidR="00CC4F32" w:rsidRPr="00597FEA" w:rsidRDefault="00CC4F32">
            <w:pPr>
              <w:rPr>
                <w:dstrike w:val="0"/>
              </w:rPr>
            </w:pPr>
          </w:p>
        </w:tc>
      </w:tr>
      <w:tr w:rsidR="00CC4F32" w:rsidRPr="00597FEA" w:rsidTr="00597FEA">
        <w:tc>
          <w:tcPr>
            <w:tcW w:w="685" w:type="pct"/>
          </w:tcPr>
          <w:p w:rsidR="00CC4F32" w:rsidRPr="00597FEA" w:rsidRDefault="00000000">
            <w:pPr>
              <w:rPr>
                <w:dstrike w:val="0"/>
              </w:rPr>
            </w:pPr>
            <w:r w:rsidRPr="00597FEA">
              <w:rPr>
                <w:dstrike w:val="0"/>
              </w:rPr>
              <w:t>OW (</w:t>
            </w:r>
            <w:proofErr w:type="gramStart"/>
            <w:r w:rsidRPr="00597FEA">
              <w:rPr>
                <w:dstrike w:val="0"/>
              </w:rPr>
              <w:t xml:space="preserve">g)   </w:t>
            </w:r>
            <w:proofErr w:type="gramEnd"/>
          </w:p>
        </w:tc>
        <w:tc>
          <w:tcPr>
            <w:tcW w:w="761" w:type="pct"/>
          </w:tcPr>
          <w:p w:rsidR="00CC4F32" w:rsidRPr="00597FEA" w:rsidRDefault="00000000">
            <w:pPr>
              <w:rPr>
                <w:dstrike w:val="0"/>
              </w:rPr>
            </w:pPr>
            <w:r w:rsidRPr="00597FEA">
              <w:rPr>
                <w:rFonts w:ascii="SimSun" w:hAnsi="SimSun"/>
                <w:dstrike w:val="0"/>
                <w:color w:val="010205"/>
              </w:rPr>
              <w:t>9.66±0.33</w:t>
            </w:r>
            <w:proofErr w:type="gramStart"/>
            <w:r w:rsidRPr="00597FEA">
              <w:rPr>
                <w:rFonts w:ascii="SimSun" w:hAnsi="SimSun"/>
                <w:dstrike w:val="0"/>
                <w:color w:val="010205"/>
                <w:vertAlign w:val="superscript"/>
              </w:rPr>
              <w:t>a,b</w:t>
            </w:r>
            <w:proofErr w:type="gramEnd"/>
          </w:p>
        </w:tc>
        <w:tc>
          <w:tcPr>
            <w:tcW w:w="837" w:type="pct"/>
          </w:tcPr>
          <w:p w:rsidR="00CC4F32" w:rsidRPr="00597FEA" w:rsidRDefault="00000000">
            <w:pPr>
              <w:rPr>
                <w:dstrike w:val="0"/>
              </w:rPr>
            </w:pPr>
            <w:r w:rsidRPr="00597FEA">
              <w:rPr>
                <w:rFonts w:ascii="SimSun" w:hAnsi="SimSun"/>
                <w:dstrike w:val="0"/>
              </w:rPr>
              <w:t xml:space="preserve">13.66±0.3 </w:t>
            </w:r>
            <w:proofErr w:type="gramStart"/>
            <w:r w:rsidRPr="00597FEA">
              <w:rPr>
                <w:rFonts w:ascii="SimSun" w:hAnsi="SimSun"/>
                <w:dstrike w:val="0"/>
                <w:vertAlign w:val="superscript"/>
              </w:rPr>
              <w:t>a,b</w:t>
            </w:r>
            <w:proofErr w:type="gramEnd"/>
            <w:r w:rsidRPr="00597FEA">
              <w:rPr>
                <w:rFonts w:ascii="SimSun" w:hAnsi="SimSun"/>
                <w:dstrike w:val="0"/>
                <w:vertAlign w:val="superscript"/>
              </w:rPr>
              <w:t>,</w:t>
            </w:r>
            <w:proofErr w:type="gramStart"/>
            <w:r w:rsidRPr="00597FEA">
              <w:rPr>
                <w:rFonts w:ascii="SimSun" w:hAnsi="SimSun"/>
                <w:dstrike w:val="0"/>
                <w:vertAlign w:val="superscript"/>
              </w:rPr>
              <w:t>c,d</w:t>
            </w:r>
            <w:proofErr w:type="gramEnd"/>
          </w:p>
        </w:tc>
        <w:tc>
          <w:tcPr>
            <w:tcW w:w="723" w:type="pct"/>
          </w:tcPr>
          <w:p w:rsidR="00CC4F32" w:rsidRPr="00597FEA" w:rsidRDefault="00000000">
            <w:pPr>
              <w:rPr>
                <w:dstrike w:val="0"/>
              </w:rPr>
            </w:pPr>
            <w:r w:rsidRPr="00597FEA">
              <w:rPr>
                <w:rFonts w:ascii="SimSun" w:hAnsi="SimSun"/>
                <w:dstrike w:val="0"/>
              </w:rPr>
              <w:t xml:space="preserve">8.00±0.57c                      </w:t>
            </w:r>
          </w:p>
        </w:tc>
        <w:tc>
          <w:tcPr>
            <w:tcW w:w="761" w:type="pct"/>
          </w:tcPr>
          <w:p w:rsidR="00CC4F32" w:rsidRPr="00597FEA" w:rsidRDefault="00000000">
            <w:pPr>
              <w:rPr>
                <w:dstrike w:val="0"/>
              </w:rPr>
            </w:pPr>
            <w:r w:rsidRPr="00597FEA">
              <w:rPr>
                <w:rFonts w:ascii="SimSun" w:hAnsi="SimSun"/>
                <w:dstrike w:val="0"/>
              </w:rPr>
              <w:t xml:space="preserve">7.66±0.33 </w:t>
            </w:r>
            <w:r w:rsidRPr="00597FEA">
              <w:rPr>
                <w:rFonts w:ascii="SimSun" w:hAnsi="SimSun"/>
                <w:dstrike w:val="0"/>
                <w:vertAlign w:val="superscript"/>
              </w:rPr>
              <w:t>b</w:t>
            </w:r>
          </w:p>
        </w:tc>
        <w:tc>
          <w:tcPr>
            <w:tcW w:w="1234" w:type="pct"/>
          </w:tcPr>
          <w:p w:rsidR="00CC4F32" w:rsidRPr="00597FEA" w:rsidRDefault="00000000">
            <w:pPr>
              <w:rPr>
                <w:rFonts w:ascii="SimSun" w:hAnsi="SimSun"/>
                <w:dstrike w:val="0"/>
              </w:rPr>
            </w:pPr>
            <w:r w:rsidRPr="00597FEA">
              <w:rPr>
                <w:rFonts w:ascii="SimSun" w:hAnsi="SimSun"/>
                <w:dstrike w:val="0"/>
              </w:rPr>
              <w:t>8.00±0.57</w:t>
            </w:r>
            <w:r w:rsidRPr="00597FEA">
              <w:rPr>
                <w:rFonts w:ascii="SimSun" w:hAnsi="SimSun"/>
                <w:dstrike w:val="0"/>
                <w:vertAlign w:val="superscript"/>
              </w:rPr>
              <w:t>d</w:t>
            </w:r>
          </w:p>
          <w:p w:rsidR="00CC4F32" w:rsidRPr="00597FEA" w:rsidRDefault="00CC4F32">
            <w:pPr>
              <w:rPr>
                <w:dstrike w:val="0"/>
              </w:rPr>
            </w:pPr>
          </w:p>
        </w:tc>
      </w:tr>
      <w:tr w:rsidR="00CC4F32" w:rsidRPr="00597FEA" w:rsidTr="00597FEA">
        <w:tc>
          <w:tcPr>
            <w:tcW w:w="685" w:type="pct"/>
          </w:tcPr>
          <w:p w:rsidR="00CC4F32" w:rsidRPr="00597FEA" w:rsidRDefault="00000000">
            <w:pPr>
              <w:rPr>
                <w:dstrike w:val="0"/>
              </w:rPr>
            </w:pPr>
            <w:r w:rsidRPr="00597FEA">
              <w:rPr>
                <w:dstrike w:val="0"/>
              </w:rPr>
              <w:t xml:space="preserve">(ROW)%            </w:t>
            </w:r>
          </w:p>
        </w:tc>
        <w:tc>
          <w:tcPr>
            <w:tcW w:w="761" w:type="pct"/>
          </w:tcPr>
          <w:p w:rsidR="00CC4F32" w:rsidRPr="00597FEA" w:rsidRDefault="00000000">
            <w:pPr>
              <w:rPr>
                <w:dstrike w:val="0"/>
              </w:rPr>
            </w:pPr>
            <w:r w:rsidRPr="00597FEA">
              <w:rPr>
                <w:rFonts w:ascii="SimSun" w:hAnsi="SimSun"/>
                <w:dstrike w:val="0"/>
              </w:rPr>
              <w:t>4.13±0</w:t>
            </w:r>
            <w:r w:rsidRPr="00597FEA">
              <w:rPr>
                <w:rFonts w:ascii="SimSun" w:hAnsi="SimSun"/>
                <w:dstrike w:val="0"/>
                <w:color w:val="010205"/>
              </w:rPr>
              <w:t xml:space="preserve">.16a                          </w:t>
            </w:r>
          </w:p>
        </w:tc>
        <w:tc>
          <w:tcPr>
            <w:tcW w:w="837" w:type="pct"/>
          </w:tcPr>
          <w:p w:rsidR="00CC4F32" w:rsidRPr="00597FEA" w:rsidRDefault="00000000">
            <w:pPr>
              <w:rPr>
                <w:dstrike w:val="0"/>
              </w:rPr>
            </w:pPr>
            <w:r w:rsidRPr="00597FEA">
              <w:rPr>
                <w:rFonts w:ascii="SimSun" w:hAnsi="SimSun"/>
                <w:dstrike w:val="0"/>
                <w:color w:val="010205"/>
              </w:rPr>
              <w:t xml:space="preserve">4.50±0.10b                                           </w:t>
            </w:r>
          </w:p>
        </w:tc>
        <w:tc>
          <w:tcPr>
            <w:tcW w:w="723" w:type="pct"/>
          </w:tcPr>
          <w:p w:rsidR="00CC4F32" w:rsidRPr="00597FEA" w:rsidRDefault="00000000">
            <w:pPr>
              <w:rPr>
                <w:dstrike w:val="0"/>
              </w:rPr>
            </w:pPr>
            <w:r w:rsidRPr="00597FEA">
              <w:rPr>
                <w:rFonts w:ascii="SimSun" w:hAnsi="SimSun"/>
                <w:dstrike w:val="0"/>
                <w:color w:val="010205"/>
              </w:rPr>
              <w:t xml:space="preserve">4.23±0.16c               </w:t>
            </w:r>
          </w:p>
        </w:tc>
        <w:tc>
          <w:tcPr>
            <w:tcW w:w="761" w:type="pct"/>
          </w:tcPr>
          <w:p w:rsidR="00CC4F32" w:rsidRPr="00597FEA" w:rsidRDefault="00000000">
            <w:pPr>
              <w:rPr>
                <w:dstrike w:val="0"/>
              </w:rPr>
            </w:pPr>
            <w:r w:rsidRPr="00597FEA">
              <w:rPr>
                <w:rFonts w:ascii="SimSun" w:hAnsi="SimSun"/>
                <w:dstrike w:val="0"/>
                <w:color w:val="010205"/>
              </w:rPr>
              <w:t>3.63±0.26</w:t>
            </w:r>
            <w:r w:rsidRPr="00597FEA">
              <w:rPr>
                <w:rFonts w:ascii="SimSun" w:hAnsi="SimSun"/>
                <w:dstrike w:val="0"/>
                <w:color w:val="010205"/>
                <w:vertAlign w:val="superscript"/>
              </w:rPr>
              <w:t>d</w:t>
            </w:r>
          </w:p>
        </w:tc>
        <w:tc>
          <w:tcPr>
            <w:tcW w:w="1234" w:type="pct"/>
          </w:tcPr>
          <w:p w:rsidR="00CC4F32" w:rsidRPr="00597FEA" w:rsidRDefault="00000000">
            <w:pPr>
              <w:rPr>
                <w:rFonts w:ascii="SimSun" w:hAnsi="SimSun"/>
                <w:dstrike w:val="0"/>
                <w:color w:val="010205"/>
              </w:rPr>
            </w:pPr>
            <w:r w:rsidRPr="00597FEA">
              <w:rPr>
                <w:rFonts w:ascii="SimSun" w:hAnsi="SimSun"/>
                <w:dstrike w:val="0"/>
                <w:color w:val="010205"/>
              </w:rPr>
              <w:t>4.10±0.28</w:t>
            </w:r>
            <w:r w:rsidRPr="00597FEA">
              <w:rPr>
                <w:rFonts w:ascii="SimSun" w:hAnsi="SimSun"/>
                <w:dstrike w:val="0"/>
                <w:color w:val="010205"/>
                <w:vertAlign w:val="superscript"/>
              </w:rPr>
              <w:t>e</w:t>
            </w:r>
          </w:p>
          <w:p w:rsidR="00CC4F32" w:rsidRPr="00597FEA" w:rsidRDefault="00CC4F32">
            <w:pPr>
              <w:rPr>
                <w:dstrike w:val="0"/>
              </w:rPr>
            </w:pPr>
          </w:p>
        </w:tc>
      </w:tr>
      <w:tr w:rsidR="00CC4F32" w:rsidRPr="00597FEA" w:rsidTr="00597FEA">
        <w:tc>
          <w:tcPr>
            <w:tcW w:w="685" w:type="pct"/>
          </w:tcPr>
          <w:p w:rsidR="00CC4F32" w:rsidRPr="00597FEA" w:rsidRDefault="00000000">
            <w:pPr>
              <w:rPr>
                <w:dstrike w:val="0"/>
              </w:rPr>
            </w:pPr>
            <w:r w:rsidRPr="00597FEA">
              <w:rPr>
                <w:dstrike w:val="0"/>
              </w:rPr>
              <w:t>EI(KJ/</w:t>
            </w:r>
            <w:proofErr w:type="gramStart"/>
            <w:r w:rsidRPr="00597FEA">
              <w:rPr>
                <w:dstrike w:val="0"/>
              </w:rPr>
              <w:t xml:space="preserve">day)   </w:t>
            </w:r>
            <w:proofErr w:type="gramEnd"/>
          </w:p>
        </w:tc>
        <w:tc>
          <w:tcPr>
            <w:tcW w:w="761" w:type="pct"/>
          </w:tcPr>
          <w:p w:rsidR="00CC4F32" w:rsidRPr="00597FEA" w:rsidRDefault="00000000">
            <w:pPr>
              <w:rPr>
                <w:dstrike w:val="0"/>
              </w:rPr>
            </w:pPr>
            <w:r w:rsidRPr="00597FEA">
              <w:rPr>
                <w:rFonts w:ascii="SimSun" w:hAnsi="SimSun"/>
                <w:dstrike w:val="0"/>
                <w:color w:val="010205"/>
              </w:rPr>
              <w:t>1195.700±6.27</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w:t>
            </w:r>
            <w:proofErr w:type="gramStart"/>
            <w:r w:rsidRPr="00597FEA">
              <w:rPr>
                <w:rFonts w:ascii="SimSun" w:hAnsi="SimSun"/>
                <w:dstrike w:val="0"/>
                <w:color w:val="010205"/>
                <w:vertAlign w:val="superscript"/>
              </w:rPr>
              <w:t>c,d</w:t>
            </w:r>
            <w:proofErr w:type="gramEnd"/>
            <w:r w:rsidRPr="00597FEA">
              <w:rPr>
                <w:rFonts w:ascii="SimSun" w:hAnsi="SimSun"/>
                <w:dstrike w:val="0"/>
                <w:color w:val="010205"/>
                <w:vertAlign w:val="superscript"/>
              </w:rPr>
              <w:t xml:space="preserve">                </w:t>
            </w:r>
          </w:p>
        </w:tc>
        <w:tc>
          <w:tcPr>
            <w:tcW w:w="837" w:type="pct"/>
          </w:tcPr>
          <w:p w:rsidR="00CC4F32" w:rsidRPr="00597FEA" w:rsidRDefault="00000000">
            <w:pPr>
              <w:rPr>
                <w:dstrike w:val="0"/>
              </w:rPr>
            </w:pPr>
            <w:r w:rsidRPr="00597FEA">
              <w:rPr>
                <w:rFonts w:ascii="SimSun" w:hAnsi="SimSun"/>
                <w:dstrike w:val="0"/>
                <w:color w:val="010205"/>
              </w:rPr>
              <w:t>1338.82±2.37</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w:t>
            </w:r>
            <w:proofErr w:type="gramStart"/>
            <w:r w:rsidRPr="00597FEA">
              <w:rPr>
                <w:rFonts w:ascii="SimSun" w:hAnsi="SimSun"/>
                <w:dstrike w:val="0"/>
                <w:color w:val="010205"/>
                <w:vertAlign w:val="superscript"/>
              </w:rPr>
              <w:t>c,d</w:t>
            </w:r>
            <w:proofErr w:type="gramEnd"/>
          </w:p>
        </w:tc>
        <w:tc>
          <w:tcPr>
            <w:tcW w:w="723" w:type="pct"/>
          </w:tcPr>
          <w:p w:rsidR="00CC4F32" w:rsidRPr="00597FEA" w:rsidRDefault="00000000">
            <w:pPr>
              <w:rPr>
                <w:dstrike w:val="0"/>
              </w:rPr>
            </w:pPr>
            <w:r w:rsidRPr="00597FEA">
              <w:rPr>
                <w:rFonts w:ascii="SimSun" w:hAnsi="SimSun"/>
                <w:dstrike w:val="0"/>
                <w:color w:val="010205"/>
              </w:rPr>
              <w:t>989.17±16.60</w:t>
            </w:r>
            <w:r w:rsidRPr="00597FEA">
              <w:rPr>
                <w:rFonts w:ascii="SimSun" w:hAnsi="SimSun"/>
                <w:dstrike w:val="0"/>
                <w:color w:val="010205"/>
                <w:vertAlign w:val="superscript"/>
              </w:rPr>
              <w:t>b</w:t>
            </w:r>
          </w:p>
        </w:tc>
        <w:tc>
          <w:tcPr>
            <w:tcW w:w="761" w:type="pct"/>
          </w:tcPr>
          <w:p w:rsidR="00CC4F32" w:rsidRPr="00597FEA" w:rsidRDefault="00000000">
            <w:pPr>
              <w:rPr>
                <w:dstrike w:val="0"/>
              </w:rPr>
            </w:pPr>
            <w:r w:rsidRPr="00597FEA">
              <w:rPr>
                <w:rFonts w:ascii="SimSun" w:hAnsi="SimSun"/>
                <w:dstrike w:val="0"/>
                <w:color w:val="010205"/>
              </w:rPr>
              <w:t>1097.87±6.27</w:t>
            </w:r>
            <w:r w:rsidRPr="00597FEA">
              <w:rPr>
                <w:rFonts w:ascii="SimSun" w:hAnsi="SimSun"/>
                <w:dstrike w:val="0"/>
                <w:vertAlign w:val="superscript"/>
              </w:rPr>
              <w:t>c</w:t>
            </w:r>
          </w:p>
        </w:tc>
        <w:tc>
          <w:tcPr>
            <w:tcW w:w="1234" w:type="pct"/>
          </w:tcPr>
          <w:p w:rsidR="00CC4F32" w:rsidRPr="00597FEA" w:rsidRDefault="00000000">
            <w:pPr>
              <w:rPr>
                <w:rFonts w:ascii="SimSun" w:hAnsi="SimSun"/>
                <w:dstrike w:val="0"/>
                <w:color w:val="010205"/>
              </w:rPr>
            </w:pPr>
            <w:r w:rsidRPr="00597FEA">
              <w:rPr>
                <w:rFonts w:ascii="SimSun" w:hAnsi="SimSun"/>
                <w:dstrike w:val="0"/>
                <w:color w:val="010205"/>
              </w:rPr>
              <w:t>1070.69±3.13</w:t>
            </w:r>
            <w:r w:rsidRPr="00597FEA">
              <w:rPr>
                <w:rFonts w:ascii="SimSun" w:hAnsi="SimSun"/>
                <w:dstrike w:val="0"/>
                <w:color w:val="010205"/>
                <w:vertAlign w:val="superscript"/>
              </w:rPr>
              <w:t>d</w:t>
            </w:r>
          </w:p>
          <w:p w:rsidR="00CC4F32" w:rsidRPr="00597FEA" w:rsidRDefault="00CC4F32">
            <w:pPr>
              <w:rPr>
                <w:dstrike w:val="0"/>
              </w:rPr>
            </w:pPr>
          </w:p>
        </w:tc>
      </w:tr>
      <w:tr w:rsidR="00CC4F32" w:rsidRPr="00597FEA" w:rsidTr="00597FEA">
        <w:tc>
          <w:tcPr>
            <w:tcW w:w="685" w:type="pct"/>
          </w:tcPr>
          <w:p w:rsidR="00CC4F32" w:rsidRPr="00597FEA" w:rsidRDefault="00000000">
            <w:pPr>
              <w:rPr>
                <w:dstrike w:val="0"/>
              </w:rPr>
            </w:pPr>
            <w:r w:rsidRPr="00597FEA">
              <w:rPr>
                <w:dstrike w:val="0"/>
              </w:rPr>
              <w:t xml:space="preserve">BWG(g/day)  </w:t>
            </w:r>
          </w:p>
        </w:tc>
        <w:tc>
          <w:tcPr>
            <w:tcW w:w="761" w:type="pct"/>
          </w:tcPr>
          <w:p w:rsidR="00CC4F32" w:rsidRPr="00597FEA" w:rsidRDefault="00000000">
            <w:pPr>
              <w:rPr>
                <w:dstrike w:val="0"/>
              </w:rPr>
            </w:pPr>
            <w:r w:rsidRPr="00597FEA">
              <w:rPr>
                <w:rFonts w:ascii="SimSun" w:hAnsi="SimSun"/>
                <w:dstrike w:val="0"/>
                <w:color w:val="010205"/>
              </w:rPr>
              <w:t>5.46±0.06</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w:t>
            </w:r>
            <w:proofErr w:type="gramStart"/>
            <w:r w:rsidRPr="00597FEA">
              <w:rPr>
                <w:rFonts w:ascii="SimSun" w:hAnsi="SimSun"/>
                <w:dstrike w:val="0"/>
                <w:color w:val="010205"/>
                <w:vertAlign w:val="superscript"/>
              </w:rPr>
              <w:t>c,d</w:t>
            </w:r>
            <w:proofErr w:type="gramEnd"/>
          </w:p>
        </w:tc>
        <w:tc>
          <w:tcPr>
            <w:tcW w:w="837" w:type="pct"/>
          </w:tcPr>
          <w:p w:rsidR="00CC4F32" w:rsidRPr="00597FEA" w:rsidRDefault="00000000">
            <w:pPr>
              <w:rPr>
                <w:dstrike w:val="0"/>
              </w:rPr>
            </w:pPr>
            <w:r w:rsidRPr="00597FEA">
              <w:rPr>
                <w:rFonts w:ascii="SimSun" w:hAnsi="SimSun"/>
                <w:dstrike w:val="0"/>
                <w:color w:val="010205"/>
              </w:rPr>
              <w:t>11.66±.033</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w:t>
            </w:r>
            <w:proofErr w:type="gramStart"/>
            <w:r w:rsidRPr="00597FEA">
              <w:rPr>
                <w:rFonts w:ascii="SimSun" w:hAnsi="SimSun"/>
                <w:dstrike w:val="0"/>
                <w:color w:val="010205"/>
                <w:vertAlign w:val="superscript"/>
              </w:rPr>
              <w:t>c,d</w:t>
            </w:r>
            <w:proofErr w:type="gramEnd"/>
          </w:p>
        </w:tc>
        <w:tc>
          <w:tcPr>
            <w:tcW w:w="723" w:type="pct"/>
          </w:tcPr>
          <w:p w:rsidR="00CC4F32" w:rsidRPr="00597FEA" w:rsidRDefault="00000000">
            <w:pPr>
              <w:rPr>
                <w:dstrike w:val="0"/>
              </w:rPr>
            </w:pPr>
            <w:r w:rsidRPr="00597FEA">
              <w:rPr>
                <w:rFonts w:ascii="SimSun" w:hAnsi="SimSun"/>
                <w:dstrike w:val="0"/>
                <w:color w:val="010205"/>
              </w:rPr>
              <w:t xml:space="preserve">0.67±.046 </w:t>
            </w:r>
            <w:r w:rsidRPr="00597FEA">
              <w:rPr>
                <w:rFonts w:ascii="SimSun" w:hAnsi="SimSun"/>
                <w:dstrike w:val="0"/>
                <w:color w:val="010205"/>
                <w:vertAlign w:val="superscript"/>
              </w:rPr>
              <w:t>b</w:t>
            </w:r>
          </w:p>
        </w:tc>
        <w:tc>
          <w:tcPr>
            <w:tcW w:w="761" w:type="pct"/>
          </w:tcPr>
          <w:p w:rsidR="00CC4F32" w:rsidRPr="00597FEA" w:rsidRDefault="00000000">
            <w:pPr>
              <w:rPr>
                <w:dstrike w:val="0"/>
              </w:rPr>
            </w:pPr>
            <w:r w:rsidRPr="00597FEA">
              <w:rPr>
                <w:rFonts w:ascii="SimSun" w:hAnsi="SimSun"/>
                <w:dstrike w:val="0"/>
                <w:color w:val="010205"/>
              </w:rPr>
              <w:t xml:space="preserve">4.16±.066c                          </w:t>
            </w:r>
          </w:p>
        </w:tc>
        <w:tc>
          <w:tcPr>
            <w:tcW w:w="1234" w:type="pct"/>
          </w:tcPr>
          <w:p w:rsidR="00CC4F32" w:rsidRPr="00597FEA" w:rsidRDefault="00000000">
            <w:pPr>
              <w:rPr>
                <w:rFonts w:ascii="SimSun" w:hAnsi="SimSun"/>
                <w:dstrike w:val="0"/>
                <w:color w:val="010205"/>
              </w:rPr>
            </w:pPr>
            <w:r w:rsidRPr="00597FEA">
              <w:rPr>
                <w:rFonts w:ascii="SimSun" w:hAnsi="SimSun"/>
                <w:dstrike w:val="0"/>
                <w:color w:val="010205"/>
              </w:rPr>
              <w:t>1.83±.033</w:t>
            </w:r>
            <w:r w:rsidRPr="00597FEA">
              <w:rPr>
                <w:rFonts w:ascii="SimSun" w:hAnsi="SimSun"/>
                <w:dstrike w:val="0"/>
                <w:color w:val="010205"/>
                <w:vertAlign w:val="superscript"/>
              </w:rPr>
              <w:t>d</w:t>
            </w:r>
          </w:p>
          <w:p w:rsidR="00CC4F32" w:rsidRPr="00597FEA" w:rsidRDefault="00CC4F32">
            <w:pPr>
              <w:rPr>
                <w:dstrike w:val="0"/>
              </w:rPr>
            </w:pPr>
          </w:p>
        </w:tc>
      </w:tr>
      <w:tr w:rsidR="00CC4F32" w:rsidRPr="00597FEA" w:rsidTr="00597FEA">
        <w:tc>
          <w:tcPr>
            <w:tcW w:w="685" w:type="pct"/>
          </w:tcPr>
          <w:p w:rsidR="00CC4F32" w:rsidRPr="00597FEA" w:rsidRDefault="00000000">
            <w:pPr>
              <w:rPr>
                <w:dstrike w:val="0"/>
              </w:rPr>
            </w:pPr>
            <w:r w:rsidRPr="00597FEA">
              <w:rPr>
                <w:dstrike w:val="0"/>
              </w:rPr>
              <w:lastRenderedPageBreak/>
              <w:t>SRBMG(g/</w:t>
            </w:r>
            <w:proofErr w:type="gramStart"/>
            <w:r w:rsidRPr="00597FEA">
              <w:rPr>
                <w:dstrike w:val="0"/>
              </w:rPr>
              <w:t xml:space="preserve">kg)   </w:t>
            </w:r>
            <w:proofErr w:type="gramEnd"/>
          </w:p>
        </w:tc>
        <w:tc>
          <w:tcPr>
            <w:tcW w:w="761" w:type="pct"/>
          </w:tcPr>
          <w:p w:rsidR="00CC4F32" w:rsidRPr="00597FEA" w:rsidRDefault="00000000">
            <w:pPr>
              <w:rPr>
                <w:dstrike w:val="0"/>
              </w:rPr>
            </w:pPr>
            <w:r w:rsidRPr="00597FEA">
              <w:rPr>
                <w:rFonts w:ascii="SimSun" w:hAnsi="SimSun"/>
                <w:dstrike w:val="0"/>
                <w:color w:val="010205"/>
              </w:rPr>
              <w:t>3.88±.060</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w:t>
            </w:r>
            <w:proofErr w:type="gramStart"/>
            <w:r w:rsidRPr="00597FEA">
              <w:rPr>
                <w:rFonts w:ascii="SimSun" w:hAnsi="SimSun"/>
                <w:dstrike w:val="0"/>
                <w:color w:val="010205"/>
                <w:vertAlign w:val="superscript"/>
              </w:rPr>
              <w:t>c,d</w:t>
            </w:r>
            <w:proofErr w:type="gramEnd"/>
          </w:p>
        </w:tc>
        <w:tc>
          <w:tcPr>
            <w:tcW w:w="837" w:type="pct"/>
          </w:tcPr>
          <w:p w:rsidR="00CC4F32" w:rsidRPr="00597FEA" w:rsidRDefault="00000000">
            <w:pPr>
              <w:rPr>
                <w:dstrike w:val="0"/>
              </w:rPr>
            </w:pPr>
            <w:r w:rsidRPr="00597FEA">
              <w:rPr>
                <w:rFonts w:ascii="SimSun" w:hAnsi="SimSun"/>
                <w:dstrike w:val="0"/>
                <w:color w:val="010205"/>
              </w:rPr>
              <w:t>8.27±0.020</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w:t>
            </w:r>
            <w:proofErr w:type="gramStart"/>
            <w:r w:rsidRPr="00597FEA">
              <w:rPr>
                <w:rFonts w:ascii="SimSun" w:hAnsi="SimSun"/>
                <w:dstrike w:val="0"/>
                <w:color w:val="010205"/>
                <w:vertAlign w:val="superscript"/>
              </w:rPr>
              <w:t>c,d</w:t>
            </w:r>
            <w:proofErr w:type="gramEnd"/>
            <w:r w:rsidRPr="00597FEA">
              <w:rPr>
                <w:rFonts w:ascii="SimSun" w:hAnsi="SimSun"/>
                <w:dstrike w:val="0"/>
                <w:color w:val="010205"/>
                <w:vertAlign w:val="superscript"/>
              </w:rPr>
              <w:t xml:space="preserve"> </w:t>
            </w:r>
          </w:p>
        </w:tc>
        <w:tc>
          <w:tcPr>
            <w:tcW w:w="723" w:type="pct"/>
          </w:tcPr>
          <w:p w:rsidR="00CC4F32" w:rsidRPr="00597FEA" w:rsidRDefault="00000000">
            <w:pPr>
              <w:rPr>
                <w:dstrike w:val="0"/>
              </w:rPr>
            </w:pPr>
            <w:r w:rsidRPr="00597FEA">
              <w:rPr>
                <w:rFonts w:ascii="SimSun" w:hAnsi="SimSun"/>
                <w:dstrike w:val="0"/>
                <w:color w:val="010205"/>
              </w:rPr>
              <w:t>0.48±.034</w:t>
            </w:r>
            <w:r w:rsidRPr="00597FEA">
              <w:rPr>
                <w:rFonts w:ascii="SimSun" w:hAnsi="SimSun"/>
                <w:dstrike w:val="0"/>
                <w:vertAlign w:val="superscript"/>
              </w:rPr>
              <w:t>b</w:t>
            </w:r>
          </w:p>
        </w:tc>
        <w:tc>
          <w:tcPr>
            <w:tcW w:w="761" w:type="pct"/>
          </w:tcPr>
          <w:p w:rsidR="00CC4F32" w:rsidRPr="00597FEA" w:rsidRDefault="00000000">
            <w:pPr>
              <w:rPr>
                <w:dstrike w:val="0"/>
              </w:rPr>
            </w:pPr>
            <w:r w:rsidRPr="00597FEA">
              <w:rPr>
                <w:rFonts w:ascii="SimSun" w:hAnsi="SimSun"/>
                <w:dstrike w:val="0"/>
                <w:color w:val="010205"/>
              </w:rPr>
              <w:t xml:space="preserve">2.96±0.041c                </w:t>
            </w:r>
          </w:p>
        </w:tc>
        <w:tc>
          <w:tcPr>
            <w:tcW w:w="1234" w:type="pct"/>
          </w:tcPr>
          <w:p w:rsidR="00CC4F32" w:rsidRPr="00597FEA" w:rsidRDefault="00000000">
            <w:pPr>
              <w:rPr>
                <w:rFonts w:ascii="SimSun" w:hAnsi="SimSun"/>
                <w:dstrike w:val="0"/>
                <w:color w:val="010205"/>
              </w:rPr>
            </w:pPr>
            <w:r w:rsidRPr="00597FEA">
              <w:rPr>
                <w:rFonts w:ascii="SimSun" w:hAnsi="SimSun"/>
                <w:dstrike w:val="0"/>
                <w:color w:val="010205"/>
              </w:rPr>
              <w:t xml:space="preserve">1.31±0.032 </w:t>
            </w:r>
            <w:r w:rsidRPr="00597FEA">
              <w:rPr>
                <w:rFonts w:ascii="SimSun" w:hAnsi="SimSun"/>
                <w:dstrike w:val="0"/>
                <w:color w:val="010205"/>
                <w:vertAlign w:val="superscript"/>
              </w:rPr>
              <w:t>d</w:t>
            </w:r>
          </w:p>
          <w:p w:rsidR="00CC4F32" w:rsidRPr="00597FEA" w:rsidRDefault="00CC4F32">
            <w:pPr>
              <w:rPr>
                <w:dstrike w:val="0"/>
              </w:rPr>
            </w:pPr>
          </w:p>
        </w:tc>
      </w:tr>
      <w:tr w:rsidR="00CC4F32" w:rsidRPr="00597FEA" w:rsidTr="00597FEA">
        <w:tc>
          <w:tcPr>
            <w:tcW w:w="685" w:type="pct"/>
          </w:tcPr>
          <w:p w:rsidR="00CC4F32" w:rsidRPr="00597FEA" w:rsidRDefault="00000000">
            <w:pPr>
              <w:rPr>
                <w:dstrike w:val="0"/>
              </w:rPr>
            </w:pPr>
            <w:proofErr w:type="gramStart"/>
            <w:r w:rsidRPr="00597FEA">
              <w:rPr>
                <w:dstrike w:val="0"/>
              </w:rPr>
              <w:t xml:space="preserve">FE(%)   </w:t>
            </w:r>
            <w:proofErr w:type="gramEnd"/>
            <w:r w:rsidRPr="00597FEA">
              <w:rPr>
                <w:dstrike w:val="0"/>
              </w:rPr>
              <w:t xml:space="preserve">               </w:t>
            </w:r>
          </w:p>
        </w:tc>
        <w:tc>
          <w:tcPr>
            <w:tcW w:w="761" w:type="pct"/>
          </w:tcPr>
          <w:p w:rsidR="00CC4F32" w:rsidRPr="00597FEA" w:rsidRDefault="00000000">
            <w:pPr>
              <w:rPr>
                <w:dstrike w:val="0"/>
              </w:rPr>
            </w:pPr>
            <w:r w:rsidRPr="00597FEA">
              <w:rPr>
                <w:dstrike w:val="0"/>
                <w:color w:val="010205"/>
              </w:rPr>
              <w:t>1.90±0.029</w:t>
            </w:r>
            <w:proofErr w:type="gramStart"/>
            <w:r w:rsidRPr="00597FEA">
              <w:rPr>
                <w:dstrike w:val="0"/>
                <w:color w:val="010205"/>
                <w:vertAlign w:val="superscript"/>
              </w:rPr>
              <w:t>a,b</w:t>
            </w:r>
            <w:proofErr w:type="gramEnd"/>
            <w:r w:rsidRPr="00597FEA">
              <w:rPr>
                <w:dstrike w:val="0"/>
                <w:color w:val="010205"/>
                <w:vertAlign w:val="superscript"/>
              </w:rPr>
              <w:t>,</w:t>
            </w:r>
            <w:proofErr w:type="gramStart"/>
            <w:r w:rsidRPr="00597FEA">
              <w:rPr>
                <w:dstrike w:val="0"/>
                <w:color w:val="010205"/>
                <w:vertAlign w:val="superscript"/>
              </w:rPr>
              <w:t>c,d</w:t>
            </w:r>
            <w:proofErr w:type="gramEnd"/>
          </w:p>
        </w:tc>
        <w:tc>
          <w:tcPr>
            <w:tcW w:w="837" w:type="pct"/>
          </w:tcPr>
          <w:p w:rsidR="00CC4F32" w:rsidRPr="00597FEA" w:rsidRDefault="00000000">
            <w:pPr>
              <w:rPr>
                <w:dstrike w:val="0"/>
              </w:rPr>
            </w:pPr>
            <w:r w:rsidRPr="00597FEA">
              <w:rPr>
                <w:dstrike w:val="0"/>
                <w:color w:val="010205"/>
              </w:rPr>
              <w:t>3.61±0.015</w:t>
            </w:r>
            <w:proofErr w:type="gramStart"/>
            <w:r w:rsidRPr="00597FEA">
              <w:rPr>
                <w:dstrike w:val="0"/>
                <w:color w:val="010205"/>
                <w:vertAlign w:val="superscript"/>
              </w:rPr>
              <w:t>a,b</w:t>
            </w:r>
            <w:proofErr w:type="gramEnd"/>
            <w:r w:rsidRPr="00597FEA">
              <w:rPr>
                <w:dstrike w:val="0"/>
                <w:color w:val="010205"/>
                <w:vertAlign w:val="superscript"/>
              </w:rPr>
              <w:t>,</w:t>
            </w:r>
            <w:proofErr w:type="gramStart"/>
            <w:r w:rsidRPr="00597FEA">
              <w:rPr>
                <w:dstrike w:val="0"/>
                <w:color w:val="010205"/>
                <w:vertAlign w:val="superscript"/>
              </w:rPr>
              <w:t>c,d</w:t>
            </w:r>
            <w:proofErr w:type="gramEnd"/>
            <w:r w:rsidRPr="00597FEA">
              <w:rPr>
                <w:dstrike w:val="0"/>
                <w:color w:val="010205"/>
                <w:vertAlign w:val="superscript"/>
              </w:rPr>
              <w:t xml:space="preserve"> </w:t>
            </w:r>
          </w:p>
        </w:tc>
        <w:tc>
          <w:tcPr>
            <w:tcW w:w="723" w:type="pct"/>
          </w:tcPr>
          <w:p w:rsidR="00CC4F32" w:rsidRPr="00597FEA" w:rsidRDefault="00000000">
            <w:pPr>
              <w:rPr>
                <w:dstrike w:val="0"/>
              </w:rPr>
            </w:pPr>
            <w:r w:rsidRPr="00597FEA">
              <w:rPr>
                <w:dstrike w:val="0"/>
                <w:color w:val="010205"/>
              </w:rPr>
              <w:t>0.28±0.026</w:t>
            </w:r>
            <w:r w:rsidRPr="00597FEA">
              <w:rPr>
                <w:dstrike w:val="0"/>
                <w:color w:val="010205"/>
                <w:vertAlign w:val="superscript"/>
              </w:rPr>
              <w:t xml:space="preserve"> b </w:t>
            </w:r>
          </w:p>
        </w:tc>
        <w:tc>
          <w:tcPr>
            <w:tcW w:w="761" w:type="pct"/>
          </w:tcPr>
          <w:p w:rsidR="00CC4F32" w:rsidRPr="00597FEA" w:rsidRDefault="00000000">
            <w:pPr>
              <w:rPr>
                <w:dstrike w:val="0"/>
              </w:rPr>
            </w:pPr>
            <w:r w:rsidRPr="00597FEA">
              <w:rPr>
                <w:dstrike w:val="0"/>
                <w:color w:val="010205"/>
              </w:rPr>
              <w:t xml:space="preserve">1.58±0.026c                       </w:t>
            </w:r>
          </w:p>
        </w:tc>
        <w:tc>
          <w:tcPr>
            <w:tcW w:w="1234" w:type="pct"/>
          </w:tcPr>
          <w:p w:rsidR="00CC4F32" w:rsidRPr="00597FEA" w:rsidRDefault="00000000">
            <w:pPr>
              <w:rPr>
                <w:dstrike w:val="0"/>
              </w:rPr>
            </w:pPr>
            <w:r w:rsidRPr="00597FEA">
              <w:rPr>
                <w:dstrike w:val="0"/>
                <w:color w:val="010205"/>
              </w:rPr>
              <w:t>0.71±0.010</w:t>
            </w:r>
            <w:r w:rsidRPr="00597FEA">
              <w:rPr>
                <w:dstrike w:val="0"/>
                <w:vertAlign w:val="superscript"/>
              </w:rPr>
              <w:t>d</w:t>
            </w:r>
          </w:p>
          <w:p w:rsidR="00CC4F32" w:rsidRPr="00597FEA" w:rsidRDefault="00CC4F32">
            <w:pPr>
              <w:rPr>
                <w:dstrike w:val="0"/>
              </w:rPr>
            </w:pPr>
          </w:p>
        </w:tc>
      </w:tr>
      <w:tr w:rsidR="00CC4F32" w:rsidRPr="00597FEA" w:rsidTr="00597FEA">
        <w:tc>
          <w:tcPr>
            <w:tcW w:w="685" w:type="pct"/>
          </w:tcPr>
          <w:p w:rsidR="00CC4F32" w:rsidRPr="00597FEA" w:rsidRDefault="00000000">
            <w:pPr>
              <w:rPr>
                <w:dstrike w:val="0"/>
              </w:rPr>
            </w:pPr>
            <w:r w:rsidRPr="00597FEA">
              <w:rPr>
                <w:dstrike w:val="0"/>
                <w:noProof/>
              </w:rPr>
              <mc:AlternateContent>
                <mc:Choice Requires="wps">
                  <w:drawing>
                    <wp:anchor distT="0" distB="0" distL="0" distR="0" simplePos="0" relativeHeight="251661824" behindDoc="0" locked="0" layoutInCell="1" allowOverlap="1">
                      <wp:simplePos x="0" y="0"/>
                      <wp:positionH relativeFrom="column">
                        <wp:posOffset>40005</wp:posOffset>
                      </wp:positionH>
                      <wp:positionV relativeFrom="paragraph">
                        <wp:posOffset>389255</wp:posOffset>
                      </wp:positionV>
                      <wp:extent cx="6626859" cy="22225"/>
                      <wp:effectExtent l="13334" t="8890" r="8255" b="6985"/>
                      <wp:wrapNone/>
                      <wp:docPr id="10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6859" cy="222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3628374" id="Straight Arrow Connector 1" o:spid="_x0000_s1026" type="#_x0000_t32" style="position:absolute;margin-left:3.15pt;margin-top:30.65pt;width:521.8pt;height:1.7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">
                      <o:lock v:ext="edit" shapetype="f"/>
                    </v:shape>
                  </w:pict>
                </mc:Fallback>
              </mc:AlternateContent>
            </w:r>
            <w:r w:rsidRPr="00597FEA">
              <w:rPr>
                <w:dstrike w:val="0"/>
              </w:rPr>
              <w:t>BMI(g/cm</w:t>
            </w:r>
            <w:proofErr w:type="gramStart"/>
            <w:r w:rsidRPr="00597FEA">
              <w:rPr>
                <w:dstrike w:val="0"/>
              </w:rPr>
              <w:t xml:space="preserve">²)   </w:t>
            </w:r>
            <w:proofErr w:type="gramEnd"/>
          </w:p>
        </w:tc>
        <w:tc>
          <w:tcPr>
            <w:tcW w:w="761" w:type="pct"/>
          </w:tcPr>
          <w:p w:rsidR="00CC4F32" w:rsidRPr="00597FEA" w:rsidRDefault="00000000">
            <w:pPr>
              <w:rPr>
                <w:dstrike w:val="0"/>
              </w:rPr>
            </w:pPr>
            <w:r w:rsidRPr="00597FEA">
              <w:rPr>
                <w:dstrike w:val="0"/>
                <w:color w:val="010205"/>
              </w:rPr>
              <w:t>0.53±0.028</w:t>
            </w:r>
            <w:proofErr w:type="gramStart"/>
            <w:r w:rsidRPr="00597FEA">
              <w:rPr>
                <w:dstrike w:val="0"/>
                <w:color w:val="010205"/>
                <w:vertAlign w:val="superscript"/>
              </w:rPr>
              <w:t>a,b</w:t>
            </w:r>
            <w:proofErr w:type="gramEnd"/>
          </w:p>
        </w:tc>
        <w:tc>
          <w:tcPr>
            <w:tcW w:w="837" w:type="pct"/>
          </w:tcPr>
          <w:p w:rsidR="00CC4F32" w:rsidRPr="00597FEA" w:rsidRDefault="00000000">
            <w:pPr>
              <w:rPr>
                <w:dstrike w:val="0"/>
              </w:rPr>
            </w:pPr>
            <w:r w:rsidRPr="00597FEA">
              <w:rPr>
                <w:dstrike w:val="0"/>
                <w:color w:val="010205"/>
              </w:rPr>
              <w:t>0.6933±0.037</w:t>
            </w:r>
            <w:proofErr w:type="gramStart"/>
            <w:r w:rsidRPr="00597FEA">
              <w:rPr>
                <w:dstrike w:val="0"/>
                <w:color w:val="010205"/>
                <w:vertAlign w:val="superscript"/>
              </w:rPr>
              <w:t>a,b</w:t>
            </w:r>
            <w:proofErr w:type="gramEnd"/>
            <w:r w:rsidRPr="00597FEA">
              <w:rPr>
                <w:dstrike w:val="0"/>
                <w:color w:val="010205"/>
                <w:vertAlign w:val="superscript"/>
              </w:rPr>
              <w:t>,</w:t>
            </w:r>
            <w:proofErr w:type="gramStart"/>
            <w:r w:rsidRPr="00597FEA">
              <w:rPr>
                <w:dstrike w:val="0"/>
                <w:color w:val="010205"/>
                <w:vertAlign w:val="superscript"/>
              </w:rPr>
              <w:t>c,d</w:t>
            </w:r>
            <w:proofErr w:type="gramEnd"/>
          </w:p>
        </w:tc>
        <w:tc>
          <w:tcPr>
            <w:tcW w:w="723" w:type="pct"/>
          </w:tcPr>
          <w:p w:rsidR="00CC4F32" w:rsidRPr="00597FEA" w:rsidRDefault="00000000">
            <w:pPr>
              <w:rPr>
                <w:dstrike w:val="0"/>
              </w:rPr>
            </w:pPr>
            <w:r w:rsidRPr="00597FEA">
              <w:rPr>
                <w:dstrike w:val="0"/>
                <w:color w:val="010205"/>
              </w:rPr>
              <w:t>0.41±0.00</w:t>
            </w:r>
            <w:r w:rsidRPr="00597FEA">
              <w:rPr>
                <w:dstrike w:val="0"/>
                <w:color w:val="010205"/>
                <w:vertAlign w:val="superscript"/>
              </w:rPr>
              <w:t xml:space="preserve"> b</w:t>
            </w:r>
          </w:p>
        </w:tc>
        <w:tc>
          <w:tcPr>
            <w:tcW w:w="761" w:type="pct"/>
          </w:tcPr>
          <w:p w:rsidR="00CC4F32" w:rsidRPr="00597FEA" w:rsidRDefault="00000000">
            <w:pPr>
              <w:rPr>
                <w:dstrike w:val="0"/>
              </w:rPr>
            </w:pPr>
            <w:r w:rsidRPr="00597FEA">
              <w:rPr>
                <w:dstrike w:val="0"/>
                <w:color w:val="010205"/>
              </w:rPr>
              <w:t>0.55±0.0033</w:t>
            </w:r>
            <w:r w:rsidRPr="00597FEA">
              <w:rPr>
                <w:dstrike w:val="0"/>
                <w:color w:val="010205"/>
                <w:vertAlign w:val="superscript"/>
              </w:rPr>
              <w:t xml:space="preserve">c </w:t>
            </w:r>
          </w:p>
        </w:tc>
        <w:tc>
          <w:tcPr>
            <w:tcW w:w="1234" w:type="pct"/>
          </w:tcPr>
          <w:p w:rsidR="00CC4F32" w:rsidRPr="00597FEA" w:rsidRDefault="00000000">
            <w:pPr>
              <w:rPr>
                <w:dstrike w:val="0"/>
                <w:color w:val="010205"/>
              </w:rPr>
            </w:pPr>
            <w:r w:rsidRPr="00597FEA">
              <w:rPr>
                <w:dstrike w:val="0"/>
                <w:color w:val="010205"/>
              </w:rPr>
              <w:t>0.4400±0.00</w:t>
            </w:r>
            <w:r w:rsidRPr="00597FEA">
              <w:rPr>
                <w:dstrike w:val="0"/>
                <w:color w:val="010205"/>
                <w:vertAlign w:val="superscript"/>
              </w:rPr>
              <w:t>d</w:t>
            </w:r>
          </w:p>
          <w:p w:rsidR="00CC4F32" w:rsidRPr="00597FEA" w:rsidRDefault="00CC4F32">
            <w:pPr>
              <w:rPr>
                <w:dstrike w:val="0"/>
              </w:rPr>
            </w:pPr>
          </w:p>
        </w:tc>
      </w:tr>
    </w:tbl>
    <w:p w:rsidR="00CC4F32" w:rsidRDefault="00000000">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Values are presented as mean ± Standard Error of the Mean. Values with the same superscript in the same row are significantly different (p&lt; 0.05).</w:t>
      </w:r>
    </w:p>
    <w:p w:rsidR="00CC4F32" w:rsidRDefault="00000000">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Key: HFD=High fat diet, HDG=High dose group, LDG=Low dose group, AC=Abdominal circumference, TC=Thoracic circumference, BMI=Body mass index, IBW=Initial Body Weight, FBW= Final body weight, AFI=Average food intake, WI=Water intake, BL=Body length, LI=Lee index, OW=Organ weight, ROW=Relative organ weight, EI=Energy intake. BWG=Body weight gain, SRBMG=Specific rate of body mass gain, FE=Feeding efficiency, SHS=Score of hepatic steatosis. </w:t>
      </w:r>
    </w:p>
    <w:p w:rsidR="00CC4F32" w:rsidRDefault="00000000">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CC4F3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2: Show effect of treatment with </w:t>
      </w:r>
      <w:r>
        <w:rPr>
          <w:rFonts w:ascii="Times New Roman" w:hAnsi="Times New Roman" w:cs="Times New Roman"/>
          <w:i/>
          <w:iCs/>
          <w:sz w:val="24"/>
          <w:szCs w:val="24"/>
        </w:rPr>
        <w:t>A. indica</w:t>
      </w:r>
      <w:r>
        <w:rPr>
          <w:rFonts w:ascii="Times New Roman" w:hAnsi="Times New Roman" w:cs="Times New Roman"/>
          <w:sz w:val="24"/>
          <w:szCs w:val="24"/>
        </w:rPr>
        <w:t xml:space="preserve"> on lipid profile of wistar albino rats</w:t>
      </w:r>
    </w:p>
    <w:tbl>
      <w:tblPr>
        <w:tblStyle w:val="PlainTable21"/>
        <w:tblW w:w="0" w:type="auto"/>
        <w:tblBorders>
          <w:top w:val="none" w:sz="0" w:space="0" w:color="auto"/>
          <w:bottom w:val="none" w:sz="0" w:space="0" w:color="auto"/>
        </w:tblBorders>
        <w:tblLayout w:type="fixed"/>
        <w:tblLook w:val="04A0" w:firstRow="1" w:lastRow="0" w:firstColumn="1" w:lastColumn="0" w:noHBand="0" w:noVBand="1"/>
      </w:tblPr>
      <w:tblGrid>
        <w:gridCol w:w="1638"/>
        <w:gridCol w:w="1639"/>
        <w:gridCol w:w="1731"/>
        <w:gridCol w:w="1414"/>
        <w:gridCol w:w="1517"/>
        <w:gridCol w:w="1637"/>
      </w:tblGrid>
      <w:tr w:rsidR="00CC4F32" w:rsidTr="00CC4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bottom w:val="single" w:sz="4" w:space="0" w:color="auto"/>
            </w:tcBorders>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Parameters</w:t>
            </w:r>
          </w:p>
        </w:tc>
        <w:tc>
          <w:tcPr>
            <w:tcW w:w="1639" w:type="dxa"/>
            <w:tcBorders>
              <w:top w:val="single" w:sz="4" w:space="0" w:color="auto"/>
              <w:bottom w:val="single" w:sz="4" w:space="0" w:color="auto"/>
            </w:tcBorders>
          </w:tcPr>
          <w:p w:rsidR="00CC4F32"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Control</w:t>
            </w:r>
          </w:p>
        </w:tc>
        <w:tc>
          <w:tcPr>
            <w:tcW w:w="1731" w:type="dxa"/>
            <w:tcBorders>
              <w:top w:val="single" w:sz="4" w:space="0" w:color="auto"/>
              <w:bottom w:val="single" w:sz="4" w:space="0" w:color="auto"/>
            </w:tcBorders>
          </w:tcPr>
          <w:p w:rsidR="00CC4F32"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fat diet</w:t>
            </w:r>
          </w:p>
        </w:tc>
        <w:tc>
          <w:tcPr>
            <w:tcW w:w="1414" w:type="dxa"/>
            <w:tcBorders>
              <w:top w:val="single" w:sz="4" w:space="0" w:color="auto"/>
              <w:bottom w:val="single" w:sz="4" w:space="0" w:color="auto"/>
            </w:tcBorders>
          </w:tcPr>
          <w:p w:rsidR="00CC4F32"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Simvastatin</w:t>
            </w:r>
          </w:p>
        </w:tc>
        <w:tc>
          <w:tcPr>
            <w:tcW w:w="1517" w:type="dxa"/>
            <w:tcBorders>
              <w:top w:val="single" w:sz="4" w:space="0" w:color="auto"/>
              <w:bottom w:val="single" w:sz="4" w:space="0" w:color="auto"/>
            </w:tcBorders>
          </w:tcPr>
          <w:p w:rsidR="00CC4F32"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Low dose</w:t>
            </w:r>
          </w:p>
        </w:tc>
        <w:tc>
          <w:tcPr>
            <w:tcW w:w="1637" w:type="dxa"/>
            <w:tcBorders>
              <w:top w:val="single" w:sz="4" w:space="0" w:color="auto"/>
              <w:bottom w:val="single" w:sz="4" w:space="0" w:color="auto"/>
            </w:tcBorders>
          </w:tcPr>
          <w:p w:rsidR="00CC4F32" w:rsidRDefault="000000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dose</w:t>
            </w:r>
          </w:p>
        </w:tc>
      </w:tr>
      <w:tr w:rsidR="00CC4F32" w:rsidTr="00CC4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bottom w:val="none" w:sz="0" w:space="0" w:color="auto"/>
            </w:tcBorders>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TC(mg/dl)</w:t>
            </w:r>
          </w:p>
        </w:tc>
        <w:tc>
          <w:tcPr>
            <w:tcW w:w="1639" w:type="dxa"/>
            <w:tcBorders>
              <w:top w:val="single" w:sz="4" w:space="0" w:color="auto"/>
              <w:bottom w:val="none" w:sz="0"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89.90±0.057</w:t>
            </w:r>
            <w:r>
              <w:rPr>
                <w:rFonts w:ascii="Times New Roman" w:hAnsi="Times New Roman" w:cs="Times New Roman"/>
                <w:color w:val="010205"/>
                <w:sz w:val="24"/>
                <w:szCs w:val="24"/>
                <w:vertAlign w:val="superscript"/>
              </w:rPr>
              <w:t>a</w:t>
            </w:r>
            <w:r>
              <w:rPr>
                <w:rFonts w:ascii="Times New Roman" w:hAnsi="Times New Roman" w:cs="Times New Roman"/>
                <w:color w:val="010205"/>
                <w:sz w:val="24"/>
                <w:szCs w:val="24"/>
              </w:rPr>
              <w:t>,</w:t>
            </w:r>
            <w:r>
              <w:rPr>
                <w:rFonts w:ascii="Times New Roman" w:hAnsi="Times New Roman" w:cs="Times New Roman"/>
                <w:color w:val="010205"/>
                <w:sz w:val="24"/>
                <w:szCs w:val="24"/>
                <w:vertAlign w:val="superscript"/>
              </w:rPr>
              <w:t>b,c,d</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31" w:type="dxa"/>
            <w:tcBorders>
              <w:top w:val="single" w:sz="4" w:space="0" w:color="auto"/>
              <w:bottom w:val="none" w:sz="0"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128.46±0.29</w:t>
            </w:r>
            <w:r>
              <w:rPr>
                <w:rFonts w:ascii="Times New Roman" w:hAnsi="Times New Roman" w:cs="Times New Roman"/>
                <w:color w:val="010205"/>
                <w:sz w:val="24"/>
                <w:szCs w:val="24"/>
                <w:vertAlign w:val="superscript"/>
              </w:rPr>
              <w:t>a,b,c,d</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4" w:type="dxa"/>
            <w:tcBorders>
              <w:top w:val="single" w:sz="4" w:space="0" w:color="auto"/>
              <w:bottom w:val="none" w:sz="0"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92.13±0.35 </w:t>
            </w:r>
            <w:r>
              <w:rPr>
                <w:rFonts w:ascii="Times New Roman" w:hAnsi="Times New Roman" w:cs="Times New Roman"/>
                <w:color w:val="010205"/>
                <w:sz w:val="24"/>
                <w:szCs w:val="24"/>
                <w:vertAlign w:val="superscript"/>
              </w:rPr>
              <w:t>b</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7" w:type="dxa"/>
            <w:tcBorders>
              <w:top w:val="single" w:sz="4" w:space="0" w:color="auto"/>
              <w:bottom w:val="none" w:sz="0"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95.86±0.18 </w:t>
            </w:r>
            <w:r>
              <w:rPr>
                <w:rFonts w:ascii="Times New Roman" w:hAnsi="Times New Roman" w:cs="Times New Roman"/>
                <w:color w:val="010205"/>
                <w:sz w:val="24"/>
                <w:szCs w:val="24"/>
                <w:vertAlign w:val="superscript"/>
              </w:rPr>
              <w:t xml:space="preserve"> c</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7" w:type="dxa"/>
            <w:tcBorders>
              <w:top w:val="single" w:sz="4" w:space="0" w:color="auto"/>
              <w:bottom w:val="none" w:sz="0"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93.96±0.08 </w:t>
            </w:r>
            <w:r>
              <w:rPr>
                <w:rFonts w:ascii="Times New Roman" w:hAnsi="Times New Roman" w:cs="Times New Roman"/>
                <w:color w:val="010205"/>
                <w:sz w:val="24"/>
                <w:szCs w:val="24"/>
                <w:vertAlign w:val="superscript"/>
              </w:rPr>
              <w:t>d</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4F32" w:rsidTr="00CC4F32">
        <w:tc>
          <w:tcPr>
            <w:cnfStyle w:val="001000000000" w:firstRow="0" w:lastRow="0" w:firstColumn="1" w:lastColumn="0" w:oddVBand="0" w:evenVBand="0" w:oddHBand="0" w:evenHBand="0" w:firstRowFirstColumn="0" w:firstRowLastColumn="0" w:lastRowFirstColumn="0" w:lastRowLastColumn="0"/>
            <w:tcW w:w="1638" w:type="dxa"/>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TG(mg/dl)</w:t>
            </w:r>
          </w:p>
        </w:tc>
        <w:tc>
          <w:tcPr>
            <w:tcW w:w="1639" w:type="dxa"/>
          </w:tcPr>
          <w:p w:rsidR="00CC4F32"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111.96±0.088</w:t>
            </w:r>
            <w:r>
              <w:rPr>
                <w:rFonts w:ascii="Times New Roman" w:hAnsi="Times New Roman" w:cs="Times New Roman"/>
                <w:color w:val="010205"/>
                <w:sz w:val="24"/>
                <w:szCs w:val="24"/>
                <w:vertAlign w:val="superscript"/>
              </w:rPr>
              <w:t>a,b,d</w:t>
            </w:r>
          </w:p>
        </w:tc>
        <w:tc>
          <w:tcPr>
            <w:tcW w:w="1731" w:type="dxa"/>
          </w:tcPr>
          <w:p w:rsidR="00CC4F32"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141.43±0.29</w:t>
            </w:r>
            <w:r>
              <w:rPr>
                <w:rFonts w:ascii="Times New Roman" w:hAnsi="Times New Roman" w:cs="Times New Roman"/>
                <w:color w:val="010205"/>
                <w:sz w:val="24"/>
                <w:szCs w:val="24"/>
                <w:vertAlign w:val="superscript"/>
              </w:rPr>
              <w:t>a,b,c,d</w:t>
            </w:r>
          </w:p>
        </w:tc>
        <w:tc>
          <w:tcPr>
            <w:tcW w:w="1414" w:type="dxa"/>
          </w:tcPr>
          <w:p w:rsidR="00CC4F32"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110.13±0.13</w:t>
            </w:r>
            <w:r>
              <w:rPr>
                <w:rFonts w:ascii="Times New Roman" w:hAnsi="Times New Roman" w:cs="Times New Roman"/>
                <w:color w:val="010205"/>
                <w:sz w:val="24"/>
                <w:szCs w:val="24"/>
                <w:vertAlign w:val="superscript"/>
              </w:rPr>
              <w:t>b</w:t>
            </w:r>
          </w:p>
          <w:p w:rsidR="00CC4F32" w:rsidRDefault="00CC4F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CC4F32" w:rsidRDefault="00CC4F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7" w:type="dxa"/>
          </w:tcPr>
          <w:p w:rsidR="00CC4F32"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111.96±0.088</w:t>
            </w:r>
            <w:r>
              <w:rPr>
                <w:rFonts w:ascii="Times New Roman" w:hAnsi="Times New Roman" w:cs="Times New Roman"/>
                <w:color w:val="010205"/>
                <w:sz w:val="24"/>
                <w:szCs w:val="24"/>
                <w:vertAlign w:val="superscript"/>
              </w:rPr>
              <w:t>c</w:t>
            </w:r>
          </w:p>
          <w:p w:rsidR="00CC4F32" w:rsidRDefault="00CC4F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7" w:type="dxa"/>
          </w:tcPr>
          <w:p w:rsidR="00CC4F32"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109.033±0.088</w:t>
            </w:r>
            <w:r>
              <w:rPr>
                <w:rFonts w:ascii="Times New Roman" w:hAnsi="Times New Roman" w:cs="Times New Roman"/>
                <w:color w:val="010205"/>
                <w:sz w:val="24"/>
                <w:szCs w:val="24"/>
                <w:vertAlign w:val="superscript"/>
              </w:rPr>
              <w:t>d</w:t>
            </w:r>
          </w:p>
          <w:p w:rsidR="00CC4F32" w:rsidRDefault="00CC4F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4F32" w:rsidTr="00CC4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bottom w:val="none" w:sz="0" w:space="0" w:color="auto"/>
            </w:tcBorders>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HDL(mg/dl)</w:t>
            </w:r>
          </w:p>
        </w:tc>
        <w:tc>
          <w:tcPr>
            <w:tcW w:w="1639" w:type="dxa"/>
            <w:tcBorders>
              <w:top w:val="none" w:sz="0" w:space="0" w:color="auto"/>
              <w:bottom w:val="none" w:sz="0"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24.00±0.11</w:t>
            </w:r>
            <w:r>
              <w:rPr>
                <w:rFonts w:ascii="Times New Roman" w:hAnsi="Times New Roman" w:cs="Times New Roman"/>
                <w:color w:val="010205"/>
                <w:sz w:val="24"/>
                <w:szCs w:val="24"/>
                <w:vertAlign w:val="superscript"/>
              </w:rPr>
              <w:t>a,c</w:t>
            </w:r>
          </w:p>
        </w:tc>
        <w:tc>
          <w:tcPr>
            <w:tcW w:w="1731" w:type="dxa"/>
            <w:tcBorders>
              <w:top w:val="none" w:sz="0" w:space="0" w:color="auto"/>
              <w:bottom w:val="none" w:sz="0"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21.13±0.40 </w:t>
            </w:r>
            <w:r>
              <w:rPr>
                <w:rFonts w:ascii="Times New Roman" w:hAnsi="Times New Roman" w:cs="Times New Roman"/>
                <w:color w:val="010205"/>
                <w:sz w:val="24"/>
                <w:szCs w:val="24"/>
                <w:vertAlign w:val="superscript"/>
              </w:rPr>
              <w:t>a ,b,c,d</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4" w:type="dxa"/>
            <w:tcBorders>
              <w:top w:val="none" w:sz="0" w:space="0" w:color="auto"/>
              <w:bottom w:val="none" w:sz="0"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22.96±0.08</w:t>
            </w:r>
            <w:r>
              <w:rPr>
                <w:rFonts w:ascii="Times New Roman" w:hAnsi="Times New Roman" w:cs="Times New Roman"/>
                <w:color w:val="010205"/>
                <w:sz w:val="24"/>
                <w:szCs w:val="24"/>
                <w:vertAlign w:val="superscript"/>
              </w:rPr>
              <w:t xml:space="preserve"> b</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7" w:type="dxa"/>
            <w:tcBorders>
              <w:top w:val="none" w:sz="0" w:space="0" w:color="auto"/>
              <w:bottom w:val="none" w:sz="0"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25.96±0.088 </w:t>
            </w:r>
            <w:r>
              <w:rPr>
                <w:rFonts w:ascii="Times New Roman" w:hAnsi="Times New Roman" w:cs="Times New Roman"/>
                <w:color w:val="010205"/>
                <w:sz w:val="24"/>
                <w:szCs w:val="24"/>
                <w:vertAlign w:val="superscript"/>
              </w:rPr>
              <w:t xml:space="preserve"> c</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7" w:type="dxa"/>
            <w:tcBorders>
              <w:top w:val="none" w:sz="0" w:space="0" w:color="auto"/>
              <w:bottom w:val="none" w:sz="0"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24.00±0.11</w:t>
            </w:r>
            <w:r>
              <w:rPr>
                <w:rFonts w:ascii="Times New Roman" w:hAnsi="Times New Roman" w:cs="Times New Roman"/>
                <w:color w:val="010205"/>
                <w:sz w:val="24"/>
                <w:szCs w:val="24"/>
                <w:vertAlign w:val="superscript"/>
              </w:rPr>
              <w:t>d</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4F32" w:rsidTr="00CC4F32">
        <w:tc>
          <w:tcPr>
            <w:cnfStyle w:val="001000000000" w:firstRow="0" w:lastRow="0" w:firstColumn="1" w:lastColumn="0" w:oddVBand="0" w:evenVBand="0" w:oddHBand="0" w:evenHBand="0" w:firstRowFirstColumn="0" w:firstRowLastColumn="0" w:lastRowFirstColumn="0" w:lastRowLastColumn="0"/>
            <w:tcW w:w="1638" w:type="dxa"/>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LDL(mg/dl)</w:t>
            </w:r>
          </w:p>
        </w:tc>
        <w:tc>
          <w:tcPr>
            <w:tcW w:w="1639" w:type="dxa"/>
          </w:tcPr>
          <w:p w:rsidR="00CC4F32"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43.63±0.23</w:t>
            </w:r>
            <w:r>
              <w:rPr>
                <w:rFonts w:ascii="Times New Roman" w:hAnsi="Times New Roman" w:cs="Times New Roman"/>
                <w:color w:val="010205"/>
                <w:sz w:val="24"/>
                <w:szCs w:val="24"/>
                <w:vertAlign w:val="superscript"/>
              </w:rPr>
              <w:t>a,c,d</w:t>
            </w:r>
          </w:p>
        </w:tc>
        <w:tc>
          <w:tcPr>
            <w:tcW w:w="1731" w:type="dxa"/>
          </w:tcPr>
          <w:p w:rsidR="00CC4F32"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78.20±0.75 </w:t>
            </w:r>
            <w:r>
              <w:rPr>
                <w:rFonts w:ascii="Times New Roman" w:hAnsi="Times New Roman" w:cs="Times New Roman"/>
                <w:color w:val="010205"/>
                <w:sz w:val="24"/>
                <w:szCs w:val="24"/>
                <w:vertAlign w:val="superscript"/>
              </w:rPr>
              <w:t>a,b,c,d</w:t>
            </w:r>
          </w:p>
          <w:p w:rsidR="00CC4F32" w:rsidRDefault="00CC4F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4" w:type="dxa"/>
          </w:tcPr>
          <w:p w:rsidR="00CC4F32"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46.80±0.56 </w:t>
            </w:r>
            <w:r>
              <w:rPr>
                <w:rFonts w:ascii="Times New Roman" w:hAnsi="Times New Roman" w:cs="Times New Roman"/>
                <w:color w:val="010205"/>
                <w:sz w:val="24"/>
                <w:szCs w:val="24"/>
                <w:vertAlign w:val="superscript"/>
              </w:rPr>
              <w:t xml:space="preserve"> b</w:t>
            </w:r>
          </w:p>
          <w:p w:rsidR="00CC4F32" w:rsidRDefault="00CC4F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7" w:type="dxa"/>
          </w:tcPr>
          <w:p w:rsidR="00CC4F32"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47.63±0.31</w:t>
            </w:r>
            <w:r>
              <w:rPr>
                <w:rFonts w:ascii="Times New Roman" w:hAnsi="Times New Roman" w:cs="Times New Roman"/>
                <w:color w:val="010205"/>
                <w:sz w:val="24"/>
                <w:szCs w:val="24"/>
                <w:vertAlign w:val="superscript"/>
              </w:rPr>
              <w:t>c</w:t>
            </w:r>
          </w:p>
          <w:p w:rsidR="00CC4F32" w:rsidRDefault="00CC4F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7" w:type="dxa"/>
          </w:tcPr>
          <w:p w:rsidR="00CC4F32" w:rsidRDefault="000000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47.76±0.433</w:t>
            </w:r>
            <w:r>
              <w:rPr>
                <w:rFonts w:ascii="Times New Roman" w:hAnsi="Times New Roman" w:cs="Times New Roman"/>
                <w:sz w:val="24"/>
                <w:szCs w:val="24"/>
                <w:vertAlign w:val="superscript"/>
              </w:rPr>
              <w:t xml:space="preserve"> d</w:t>
            </w:r>
          </w:p>
        </w:tc>
      </w:tr>
      <w:tr w:rsidR="00CC4F32" w:rsidTr="00CC4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bottom w:val="single" w:sz="4" w:space="0" w:color="auto"/>
            </w:tcBorders>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VLDL(mg/dl)</w:t>
            </w:r>
          </w:p>
        </w:tc>
        <w:tc>
          <w:tcPr>
            <w:tcW w:w="1639" w:type="dxa"/>
            <w:tcBorders>
              <w:top w:val="none" w:sz="0" w:space="0" w:color="auto"/>
              <w:bottom w:val="single" w:sz="4"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22.33±.066</w:t>
            </w:r>
            <w:r>
              <w:rPr>
                <w:rFonts w:ascii="Times New Roman" w:hAnsi="Times New Roman" w:cs="Times New Roman"/>
                <w:color w:val="010205"/>
                <w:sz w:val="24"/>
                <w:szCs w:val="24"/>
                <w:vertAlign w:val="superscript"/>
              </w:rPr>
              <w:t>a</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31" w:type="dxa"/>
            <w:tcBorders>
              <w:top w:val="none" w:sz="0" w:space="0" w:color="auto"/>
              <w:bottom w:val="single" w:sz="4"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28.56±0.218</w:t>
            </w:r>
            <w:r>
              <w:rPr>
                <w:rFonts w:ascii="Times New Roman" w:hAnsi="Times New Roman" w:cs="Times New Roman"/>
                <w:color w:val="010205"/>
                <w:sz w:val="24"/>
                <w:szCs w:val="24"/>
                <w:vertAlign w:val="superscript"/>
              </w:rPr>
              <w:t>a,b,c,d</w:t>
            </w:r>
          </w:p>
        </w:tc>
        <w:tc>
          <w:tcPr>
            <w:tcW w:w="1414" w:type="dxa"/>
            <w:tcBorders>
              <w:top w:val="none" w:sz="0" w:space="0" w:color="auto"/>
              <w:bottom w:val="single" w:sz="4"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22.03±0.033</w:t>
            </w:r>
            <w:r>
              <w:rPr>
                <w:rFonts w:ascii="Times New Roman" w:hAnsi="Times New Roman" w:cs="Times New Roman"/>
                <w:color w:val="010205"/>
                <w:sz w:val="24"/>
                <w:szCs w:val="24"/>
                <w:vertAlign w:val="superscript"/>
              </w:rPr>
              <w:t>b</w:t>
            </w:r>
          </w:p>
        </w:tc>
        <w:tc>
          <w:tcPr>
            <w:tcW w:w="1517" w:type="dxa"/>
            <w:tcBorders>
              <w:top w:val="none" w:sz="0" w:space="0" w:color="auto"/>
              <w:bottom w:val="single" w:sz="4"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22.40±0.00 </w:t>
            </w:r>
            <w:r>
              <w:rPr>
                <w:rFonts w:ascii="Times New Roman" w:hAnsi="Times New Roman" w:cs="Times New Roman"/>
                <w:color w:val="010205"/>
                <w:sz w:val="24"/>
                <w:szCs w:val="24"/>
                <w:vertAlign w:val="superscript"/>
              </w:rPr>
              <w:t>c</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7" w:type="dxa"/>
            <w:tcBorders>
              <w:top w:val="none" w:sz="0" w:space="0" w:color="auto"/>
              <w:bottom w:val="single" w:sz="4" w:space="0" w:color="auto"/>
            </w:tcBorders>
          </w:tcPr>
          <w:p w:rsidR="00CC4F32" w:rsidRDefault="000000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21.53±0.26 </w:t>
            </w:r>
            <w:r>
              <w:rPr>
                <w:rFonts w:ascii="Times New Roman" w:hAnsi="Times New Roman" w:cs="Times New Roman"/>
                <w:color w:val="010205"/>
                <w:sz w:val="24"/>
                <w:szCs w:val="24"/>
                <w:vertAlign w:val="superscript"/>
              </w:rPr>
              <w:t>d</w:t>
            </w:r>
          </w:p>
          <w:p w:rsidR="00CC4F32" w:rsidRDefault="00CC4F3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CC4F32" w:rsidRDefault="00CC4F32">
      <w:pPr>
        <w:autoSpaceDE w:val="0"/>
        <w:autoSpaceDN w:val="0"/>
        <w:adjustRightInd w:val="0"/>
        <w:spacing w:after="0" w:line="240" w:lineRule="auto"/>
        <w:jc w:val="both"/>
        <w:rPr>
          <w:rFonts w:ascii="Times New Roman" w:hAnsi="Times New Roman" w:cs="Times New Roman"/>
          <w:sz w:val="24"/>
          <w:szCs w:val="24"/>
        </w:rPr>
      </w:pP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Key: TC=Total cholesterol, TG=Triglyceride, HDL=High density lipoprotein, LDL=Low density lipoprotein, VLDL=Very low density lipoprotein</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Values are presented as mean ± Standard Error of the Mean. Values with the same superscript in the same row are significantly different (p&lt; 0.05).</w:t>
      </w:r>
    </w:p>
    <w:p w:rsidR="00CC4F32" w:rsidRDefault="00CC4F32">
      <w:pPr>
        <w:autoSpaceDE w:val="0"/>
        <w:autoSpaceDN w:val="0"/>
        <w:adjustRightInd w:val="0"/>
        <w:spacing w:after="0" w:line="240" w:lineRule="auto"/>
        <w:jc w:val="both"/>
        <w:rPr>
          <w:rFonts w:ascii="Times New Roman" w:hAnsi="Times New Roman" w:cs="Times New Roman"/>
          <w:sz w:val="24"/>
          <w:szCs w:val="24"/>
        </w:rPr>
      </w:pPr>
    </w:p>
    <w:p w:rsidR="00CC4F32" w:rsidRDefault="0000000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3: Show effect of </w:t>
      </w:r>
      <w:r>
        <w:rPr>
          <w:rFonts w:ascii="Times New Roman" w:hAnsi="Times New Roman" w:cs="Times New Roman"/>
          <w:i/>
          <w:iCs/>
          <w:sz w:val="24"/>
          <w:szCs w:val="24"/>
        </w:rPr>
        <w:t>A. indica</w:t>
      </w:r>
      <w:r>
        <w:rPr>
          <w:rFonts w:ascii="Times New Roman" w:hAnsi="Times New Roman" w:cs="Times New Roman"/>
          <w:sz w:val="24"/>
          <w:szCs w:val="24"/>
        </w:rPr>
        <w:t xml:space="preserve"> on serum AST, ALT, ALP, Total Bilirubin, Albumin, Direct bilirubin, Total protein.</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1472"/>
        <w:gridCol w:w="232"/>
        <w:gridCol w:w="1323"/>
        <w:gridCol w:w="623"/>
        <w:gridCol w:w="932"/>
        <w:gridCol w:w="373"/>
        <w:gridCol w:w="114"/>
        <w:gridCol w:w="1293"/>
        <w:gridCol w:w="1396"/>
      </w:tblGrid>
      <w:tr w:rsidR="00CC4F32">
        <w:tc>
          <w:tcPr>
            <w:tcW w:w="1818" w:type="dxa"/>
            <w:tcBorders>
              <w:top w:val="single" w:sz="4" w:space="0" w:color="auto"/>
              <w:bottom w:val="single" w:sz="4" w:space="0" w:color="auto"/>
            </w:tcBorders>
          </w:tcPr>
          <w:p w:rsidR="00CC4F32" w:rsidRDefault="00000000">
            <w:pPr>
              <w:jc w:val="both"/>
              <w:rPr>
                <w:rFonts w:ascii="Times New Roman" w:hAnsi="Times New Roman" w:cs="Times New Roman"/>
                <w:b/>
                <w:sz w:val="24"/>
                <w:szCs w:val="24"/>
              </w:rPr>
            </w:pPr>
            <w:r>
              <w:rPr>
                <w:rFonts w:ascii="Times New Roman" w:hAnsi="Times New Roman" w:cs="Times New Roman"/>
                <w:b/>
                <w:sz w:val="24"/>
                <w:szCs w:val="24"/>
              </w:rPr>
              <w:t>Parameters</w:t>
            </w:r>
          </w:p>
        </w:tc>
        <w:tc>
          <w:tcPr>
            <w:tcW w:w="1472" w:type="dxa"/>
            <w:tcBorders>
              <w:top w:val="single" w:sz="4" w:space="0" w:color="auto"/>
              <w:bottom w:val="single" w:sz="4" w:space="0" w:color="auto"/>
            </w:tcBorders>
          </w:tcPr>
          <w:p w:rsidR="00CC4F32" w:rsidRDefault="00000000">
            <w:pPr>
              <w:jc w:val="both"/>
              <w:rPr>
                <w:rFonts w:ascii="Times New Roman" w:hAnsi="Times New Roman" w:cs="Times New Roman"/>
                <w:b/>
                <w:sz w:val="24"/>
                <w:szCs w:val="24"/>
              </w:rPr>
            </w:pPr>
            <w:r>
              <w:rPr>
                <w:rFonts w:ascii="Times New Roman" w:hAnsi="Times New Roman" w:cs="Times New Roman"/>
                <w:b/>
                <w:sz w:val="24"/>
                <w:szCs w:val="24"/>
              </w:rPr>
              <w:t>Control</w:t>
            </w:r>
          </w:p>
        </w:tc>
        <w:tc>
          <w:tcPr>
            <w:tcW w:w="1555" w:type="dxa"/>
            <w:gridSpan w:val="2"/>
            <w:tcBorders>
              <w:top w:val="single" w:sz="4" w:space="0" w:color="auto"/>
              <w:bottom w:val="single" w:sz="4" w:space="0" w:color="auto"/>
            </w:tcBorders>
          </w:tcPr>
          <w:p w:rsidR="00CC4F32" w:rsidRDefault="00000000">
            <w:pPr>
              <w:jc w:val="both"/>
              <w:rPr>
                <w:rFonts w:ascii="Times New Roman" w:hAnsi="Times New Roman" w:cs="Times New Roman"/>
                <w:b/>
                <w:sz w:val="24"/>
                <w:szCs w:val="24"/>
              </w:rPr>
            </w:pPr>
            <w:r>
              <w:rPr>
                <w:rFonts w:ascii="Times New Roman" w:hAnsi="Times New Roman" w:cs="Times New Roman"/>
                <w:b/>
                <w:sz w:val="24"/>
                <w:szCs w:val="24"/>
              </w:rPr>
              <w:t>High-fat diet</w:t>
            </w:r>
          </w:p>
        </w:tc>
        <w:tc>
          <w:tcPr>
            <w:tcW w:w="1555" w:type="dxa"/>
            <w:gridSpan w:val="2"/>
            <w:tcBorders>
              <w:top w:val="single" w:sz="4" w:space="0" w:color="auto"/>
              <w:bottom w:val="single" w:sz="4" w:space="0" w:color="auto"/>
            </w:tcBorders>
          </w:tcPr>
          <w:p w:rsidR="00CC4F32" w:rsidRDefault="00000000">
            <w:pPr>
              <w:jc w:val="both"/>
              <w:rPr>
                <w:rFonts w:ascii="Times New Roman" w:hAnsi="Times New Roman" w:cs="Times New Roman"/>
                <w:b/>
                <w:sz w:val="24"/>
                <w:szCs w:val="24"/>
              </w:rPr>
            </w:pPr>
            <w:r>
              <w:rPr>
                <w:rFonts w:ascii="Times New Roman" w:hAnsi="Times New Roman" w:cs="Times New Roman"/>
                <w:b/>
                <w:sz w:val="24"/>
                <w:szCs w:val="24"/>
              </w:rPr>
              <w:t>Simvastatin</w:t>
            </w:r>
          </w:p>
        </w:tc>
        <w:tc>
          <w:tcPr>
            <w:tcW w:w="487" w:type="dxa"/>
            <w:gridSpan w:val="2"/>
            <w:tcBorders>
              <w:top w:val="single" w:sz="4" w:space="0" w:color="auto"/>
              <w:bottom w:val="single" w:sz="4" w:space="0" w:color="auto"/>
            </w:tcBorders>
          </w:tcPr>
          <w:p w:rsidR="00CC4F32" w:rsidRDefault="00CC4F32">
            <w:pPr>
              <w:jc w:val="both"/>
              <w:rPr>
                <w:rFonts w:ascii="Times New Roman" w:hAnsi="Times New Roman" w:cs="Times New Roman"/>
                <w:b/>
                <w:sz w:val="24"/>
                <w:szCs w:val="24"/>
              </w:rPr>
            </w:pPr>
          </w:p>
        </w:tc>
        <w:tc>
          <w:tcPr>
            <w:tcW w:w="2689" w:type="dxa"/>
            <w:gridSpan w:val="2"/>
            <w:tcBorders>
              <w:top w:val="single" w:sz="4" w:space="0" w:color="auto"/>
              <w:bottom w:val="single" w:sz="4" w:space="0" w:color="auto"/>
            </w:tcBorders>
          </w:tcPr>
          <w:p w:rsidR="00CC4F32" w:rsidRDefault="00000000">
            <w:pPr>
              <w:jc w:val="both"/>
              <w:rPr>
                <w:rFonts w:ascii="Times New Roman" w:hAnsi="Times New Roman" w:cs="Times New Roman"/>
                <w:b/>
                <w:sz w:val="24"/>
                <w:szCs w:val="24"/>
              </w:rPr>
            </w:pPr>
            <w:r>
              <w:rPr>
                <w:rFonts w:ascii="Times New Roman" w:hAnsi="Times New Roman" w:cs="Times New Roman"/>
                <w:b/>
                <w:sz w:val="24"/>
                <w:szCs w:val="24"/>
              </w:rPr>
              <w:t>Low dose      High dose</w:t>
            </w:r>
          </w:p>
        </w:tc>
      </w:tr>
      <w:tr w:rsidR="00CC4F32">
        <w:tc>
          <w:tcPr>
            <w:tcW w:w="1818" w:type="dxa"/>
            <w:tcBorders>
              <w:top w:val="single" w:sz="4" w:space="0" w:color="auto"/>
            </w:tcBorders>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ALT(IU/L)</w:t>
            </w:r>
          </w:p>
        </w:tc>
        <w:tc>
          <w:tcPr>
            <w:tcW w:w="1704" w:type="dxa"/>
            <w:gridSpan w:val="2"/>
            <w:tcBorders>
              <w:top w:val="single" w:sz="4" w:space="0" w:color="auto"/>
            </w:tcBorders>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77.83±0.16</w:t>
            </w:r>
            <w:r>
              <w:rPr>
                <w:rFonts w:ascii="Times New Roman" w:hAnsi="Times New Roman" w:cs="Times New Roman"/>
                <w:color w:val="010205"/>
                <w:sz w:val="24"/>
                <w:szCs w:val="24"/>
                <w:vertAlign w:val="superscript"/>
              </w:rPr>
              <w:t>a,b,c,d</w:t>
            </w:r>
          </w:p>
          <w:p w:rsidR="00CC4F32" w:rsidRDefault="00CC4F32">
            <w:pPr>
              <w:jc w:val="both"/>
              <w:rPr>
                <w:rFonts w:ascii="Times New Roman" w:hAnsi="Times New Roman" w:cs="Times New Roman"/>
                <w:sz w:val="24"/>
                <w:szCs w:val="24"/>
              </w:rPr>
            </w:pPr>
          </w:p>
        </w:tc>
        <w:tc>
          <w:tcPr>
            <w:tcW w:w="1323" w:type="dxa"/>
            <w:tcBorders>
              <w:top w:val="single" w:sz="4" w:space="0" w:color="auto"/>
            </w:tcBorders>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177.86±0.18 </w:t>
            </w:r>
            <w:r>
              <w:rPr>
                <w:rFonts w:ascii="Times New Roman" w:hAnsi="Times New Roman" w:cs="Times New Roman"/>
                <w:color w:val="010205"/>
                <w:sz w:val="24"/>
                <w:szCs w:val="24"/>
                <w:vertAlign w:val="superscript"/>
              </w:rPr>
              <w:t>a,b,c,d</w:t>
            </w:r>
          </w:p>
          <w:p w:rsidR="00CC4F32" w:rsidRDefault="00CC4F32">
            <w:pPr>
              <w:jc w:val="both"/>
              <w:rPr>
                <w:rFonts w:ascii="Times New Roman" w:hAnsi="Times New Roman" w:cs="Times New Roman"/>
                <w:sz w:val="24"/>
                <w:szCs w:val="24"/>
              </w:rPr>
            </w:pPr>
          </w:p>
        </w:tc>
        <w:tc>
          <w:tcPr>
            <w:tcW w:w="1555" w:type="dxa"/>
            <w:gridSpan w:val="2"/>
            <w:tcBorders>
              <w:top w:val="single" w:sz="4" w:space="0" w:color="auto"/>
            </w:tcBorders>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130.53±0.29 </w:t>
            </w:r>
            <w:r>
              <w:rPr>
                <w:rFonts w:ascii="Times New Roman" w:hAnsi="Times New Roman" w:cs="Times New Roman"/>
                <w:color w:val="010205"/>
                <w:sz w:val="24"/>
                <w:szCs w:val="24"/>
                <w:vertAlign w:val="superscript"/>
              </w:rPr>
              <w:t>b</w:t>
            </w:r>
          </w:p>
          <w:p w:rsidR="00CC4F32" w:rsidRDefault="00CC4F32">
            <w:pPr>
              <w:jc w:val="both"/>
              <w:rPr>
                <w:rFonts w:ascii="Times New Roman" w:hAnsi="Times New Roman" w:cs="Times New Roman"/>
                <w:sz w:val="24"/>
                <w:szCs w:val="24"/>
              </w:rPr>
            </w:pPr>
          </w:p>
        </w:tc>
        <w:tc>
          <w:tcPr>
            <w:tcW w:w="373" w:type="dxa"/>
            <w:tcBorders>
              <w:top w:val="single" w:sz="4" w:space="0" w:color="auto"/>
            </w:tcBorders>
          </w:tcPr>
          <w:p w:rsidR="00CC4F32" w:rsidRDefault="00CC4F32">
            <w:pPr>
              <w:jc w:val="both"/>
              <w:rPr>
                <w:rFonts w:ascii="Times New Roman" w:hAnsi="Times New Roman" w:cs="Times New Roman"/>
                <w:sz w:val="24"/>
                <w:szCs w:val="24"/>
              </w:rPr>
            </w:pPr>
          </w:p>
        </w:tc>
        <w:tc>
          <w:tcPr>
            <w:tcW w:w="2803" w:type="dxa"/>
            <w:gridSpan w:val="3"/>
            <w:tcBorders>
              <w:top w:val="single" w:sz="4" w:space="0" w:color="auto"/>
            </w:tcBorders>
          </w:tcPr>
          <w:p w:rsidR="00CC4F32" w:rsidRDefault="00000000">
            <w:pPr>
              <w:jc w:val="both"/>
              <w:rPr>
                <w:rFonts w:ascii="Times New Roman" w:hAnsi="Times New Roman" w:cs="Times New Roman"/>
                <w:color w:val="010205"/>
                <w:sz w:val="24"/>
                <w:szCs w:val="24"/>
              </w:rPr>
            </w:pPr>
            <w:r>
              <w:rPr>
                <w:rFonts w:ascii="Times New Roman" w:hAnsi="Times New Roman" w:cs="Times New Roman"/>
                <w:color w:val="010205"/>
                <w:sz w:val="24"/>
                <w:szCs w:val="24"/>
              </w:rPr>
              <w:t>1323±29</w:t>
            </w:r>
            <w:r>
              <w:rPr>
                <w:rFonts w:ascii="Times New Roman" w:hAnsi="Times New Roman" w:cs="Times New Roman"/>
                <w:color w:val="010205"/>
                <w:sz w:val="24"/>
                <w:szCs w:val="24"/>
                <w:vertAlign w:val="superscript"/>
              </w:rPr>
              <w:t xml:space="preserve">c          </w:t>
            </w:r>
            <w:r>
              <w:rPr>
                <w:rFonts w:ascii="Times New Roman" w:hAnsi="Times New Roman" w:cs="Times New Roman"/>
                <w:color w:val="010205"/>
                <w:sz w:val="24"/>
                <w:szCs w:val="24"/>
              </w:rPr>
              <w:t xml:space="preserve">110.00±0.00 </w:t>
            </w:r>
            <w:r>
              <w:rPr>
                <w:rFonts w:ascii="Times New Roman" w:hAnsi="Times New Roman" w:cs="Times New Roman"/>
                <w:color w:val="010205"/>
                <w:sz w:val="24"/>
                <w:szCs w:val="24"/>
                <w:vertAlign w:val="superscript"/>
              </w:rPr>
              <w:t xml:space="preserve">d </w:t>
            </w:r>
          </w:p>
          <w:p w:rsidR="00CC4F32" w:rsidRDefault="00CC4F32">
            <w:pPr>
              <w:jc w:val="both"/>
              <w:rPr>
                <w:rFonts w:ascii="Times New Roman" w:hAnsi="Times New Roman" w:cs="Times New Roman"/>
                <w:sz w:val="24"/>
                <w:szCs w:val="24"/>
              </w:rPr>
            </w:pPr>
          </w:p>
        </w:tc>
      </w:tr>
      <w:tr w:rsidR="00CC4F32">
        <w:tc>
          <w:tcPr>
            <w:tcW w:w="1818" w:type="dxa"/>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AST(IU/L)</w:t>
            </w:r>
          </w:p>
        </w:tc>
        <w:tc>
          <w:tcPr>
            <w:tcW w:w="1704"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134.30±0.35</w:t>
            </w:r>
            <w:r>
              <w:rPr>
                <w:rFonts w:ascii="Times New Roman" w:hAnsi="Times New Roman" w:cs="Times New Roman"/>
                <w:color w:val="010205"/>
                <w:sz w:val="24"/>
                <w:szCs w:val="24"/>
                <w:vertAlign w:val="superscript"/>
              </w:rPr>
              <w:t>a,b,c,d</w:t>
            </w:r>
          </w:p>
          <w:p w:rsidR="00CC4F32" w:rsidRDefault="00CC4F32">
            <w:pPr>
              <w:jc w:val="both"/>
              <w:rPr>
                <w:rFonts w:ascii="Times New Roman" w:hAnsi="Times New Roman" w:cs="Times New Roman"/>
                <w:sz w:val="24"/>
                <w:szCs w:val="24"/>
              </w:rPr>
            </w:pPr>
          </w:p>
        </w:tc>
        <w:tc>
          <w:tcPr>
            <w:tcW w:w="1946"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235.56±0.33 </w:t>
            </w:r>
            <w:r>
              <w:rPr>
                <w:rFonts w:ascii="Times New Roman" w:hAnsi="Times New Roman" w:cs="Times New Roman"/>
                <w:color w:val="010205"/>
                <w:sz w:val="24"/>
                <w:szCs w:val="24"/>
                <w:vertAlign w:val="superscript"/>
              </w:rPr>
              <w:t>a ,b,c,d</w:t>
            </w:r>
          </w:p>
          <w:p w:rsidR="00CC4F32" w:rsidRDefault="00CC4F32">
            <w:pPr>
              <w:jc w:val="both"/>
              <w:rPr>
                <w:rFonts w:ascii="Times New Roman" w:hAnsi="Times New Roman" w:cs="Times New Roman"/>
                <w:sz w:val="24"/>
                <w:szCs w:val="24"/>
              </w:rPr>
            </w:pPr>
          </w:p>
        </w:tc>
        <w:tc>
          <w:tcPr>
            <w:tcW w:w="1305"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177.00±0.1</w:t>
            </w:r>
            <w:r>
              <w:rPr>
                <w:rFonts w:ascii="Times New Roman" w:hAnsi="Times New Roman" w:cs="Times New Roman"/>
                <w:color w:val="010205"/>
                <w:sz w:val="24"/>
                <w:szCs w:val="24"/>
                <w:vertAlign w:val="superscript"/>
              </w:rPr>
              <w:t>b</w:t>
            </w:r>
          </w:p>
          <w:p w:rsidR="00CC4F32" w:rsidRDefault="00CC4F32">
            <w:pPr>
              <w:jc w:val="both"/>
              <w:rPr>
                <w:rFonts w:ascii="Times New Roman" w:hAnsi="Times New Roman" w:cs="Times New Roman"/>
                <w:sz w:val="24"/>
                <w:szCs w:val="24"/>
              </w:rPr>
            </w:pPr>
          </w:p>
        </w:tc>
        <w:tc>
          <w:tcPr>
            <w:tcW w:w="1407" w:type="dxa"/>
            <w:gridSpan w:val="2"/>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218.10±0.7</w:t>
            </w:r>
            <w:r>
              <w:rPr>
                <w:rFonts w:ascii="Times New Roman" w:hAnsi="Times New Roman" w:cs="Times New Roman"/>
                <w:color w:val="010205"/>
                <w:sz w:val="24"/>
                <w:szCs w:val="24"/>
                <w:vertAlign w:val="superscript"/>
              </w:rPr>
              <w:t>c</w:t>
            </w:r>
          </w:p>
          <w:p w:rsidR="00CC4F32" w:rsidRDefault="00CC4F32">
            <w:pPr>
              <w:jc w:val="both"/>
              <w:rPr>
                <w:rFonts w:ascii="Times New Roman" w:hAnsi="Times New Roman" w:cs="Times New Roman"/>
                <w:sz w:val="24"/>
                <w:szCs w:val="24"/>
              </w:rPr>
            </w:pPr>
          </w:p>
        </w:tc>
        <w:tc>
          <w:tcPr>
            <w:tcW w:w="1396" w:type="dxa"/>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196.23±0.3 </w:t>
            </w:r>
            <w:r>
              <w:rPr>
                <w:rFonts w:ascii="Times New Roman" w:hAnsi="Times New Roman" w:cs="Times New Roman"/>
                <w:color w:val="010205"/>
                <w:sz w:val="24"/>
                <w:szCs w:val="24"/>
                <w:vertAlign w:val="superscript"/>
              </w:rPr>
              <w:t>d</w:t>
            </w:r>
          </w:p>
          <w:p w:rsidR="00CC4F32" w:rsidRDefault="00CC4F32">
            <w:pPr>
              <w:jc w:val="both"/>
              <w:rPr>
                <w:rFonts w:ascii="Times New Roman" w:hAnsi="Times New Roman" w:cs="Times New Roman"/>
                <w:sz w:val="24"/>
                <w:szCs w:val="24"/>
              </w:rPr>
            </w:pPr>
          </w:p>
        </w:tc>
      </w:tr>
      <w:tr w:rsidR="00CC4F32">
        <w:tc>
          <w:tcPr>
            <w:tcW w:w="1818" w:type="dxa"/>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ALP(IU/L)</w:t>
            </w:r>
          </w:p>
        </w:tc>
        <w:tc>
          <w:tcPr>
            <w:tcW w:w="1704" w:type="dxa"/>
            <w:gridSpan w:val="2"/>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219.90±0.15</w:t>
            </w:r>
            <w:r>
              <w:rPr>
                <w:rFonts w:ascii="Times New Roman" w:hAnsi="Times New Roman" w:cs="Times New Roman"/>
                <w:color w:val="010205"/>
                <w:sz w:val="24"/>
                <w:szCs w:val="24"/>
                <w:vertAlign w:val="superscript"/>
              </w:rPr>
              <w:t>a,b,c,d</w:t>
            </w:r>
          </w:p>
          <w:p w:rsidR="00CC4F32" w:rsidRDefault="00CC4F32">
            <w:pPr>
              <w:jc w:val="both"/>
              <w:rPr>
                <w:rFonts w:ascii="Times New Roman" w:hAnsi="Times New Roman" w:cs="Times New Roman"/>
                <w:sz w:val="24"/>
                <w:szCs w:val="24"/>
              </w:rPr>
            </w:pPr>
          </w:p>
        </w:tc>
        <w:tc>
          <w:tcPr>
            <w:tcW w:w="1946"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379.9±0.033 </w:t>
            </w:r>
            <w:r>
              <w:rPr>
                <w:rFonts w:ascii="Times New Roman" w:hAnsi="Times New Roman" w:cs="Times New Roman"/>
                <w:color w:val="010205"/>
                <w:sz w:val="24"/>
                <w:szCs w:val="24"/>
                <w:vertAlign w:val="superscript"/>
              </w:rPr>
              <w:t>a,b,c,d</w:t>
            </w:r>
          </w:p>
          <w:p w:rsidR="00CC4F32" w:rsidRDefault="00CC4F32">
            <w:pPr>
              <w:jc w:val="both"/>
              <w:rPr>
                <w:rFonts w:ascii="Times New Roman" w:hAnsi="Times New Roman" w:cs="Times New Roman"/>
                <w:sz w:val="24"/>
                <w:szCs w:val="24"/>
              </w:rPr>
            </w:pPr>
          </w:p>
        </w:tc>
        <w:tc>
          <w:tcPr>
            <w:tcW w:w="1305"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276.23±0.4</w:t>
            </w:r>
            <w:r>
              <w:rPr>
                <w:rFonts w:ascii="Times New Roman" w:hAnsi="Times New Roman" w:cs="Times New Roman"/>
                <w:color w:val="010205"/>
                <w:sz w:val="24"/>
                <w:szCs w:val="24"/>
                <w:vertAlign w:val="superscript"/>
              </w:rPr>
              <w:t>b</w:t>
            </w:r>
          </w:p>
          <w:p w:rsidR="00CC4F32" w:rsidRDefault="00CC4F32">
            <w:pPr>
              <w:jc w:val="both"/>
              <w:rPr>
                <w:rFonts w:ascii="Times New Roman" w:hAnsi="Times New Roman" w:cs="Times New Roman"/>
                <w:sz w:val="24"/>
                <w:szCs w:val="24"/>
              </w:rPr>
            </w:pPr>
          </w:p>
        </w:tc>
        <w:tc>
          <w:tcPr>
            <w:tcW w:w="1407"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309.63±0.8</w:t>
            </w:r>
            <w:r>
              <w:rPr>
                <w:rFonts w:ascii="Times New Roman" w:hAnsi="Times New Roman" w:cs="Times New Roman"/>
                <w:color w:val="010205"/>
                <w:sz w:val="24"/>
                <w:szCs w:val="24"/>
                <w:vertAlign w:val="superscript"/>
              </w:rPr>
              <w:t>c</w:t>
            </w:r>
          </w:p>
          <w:p w:rsidR="00CC4F32" w:rsidRDefault="00CC4F32">
            <w:pPr>
              <w:jc w:val="both"/>
              <w:rPr>
                <w:rFonts w:ascii="Times New Roman" w:hAnsi="Times New Roman" w:cs="Times New Roman"/>
                <w:sz w:val="24"/>
                <w:szCs w:val="24"/>
              </w:rPr>
            </w:pPr>
          </w:p>
        </w:tc>
        <w:tc>
          <w:tcPr>
            <w:tcW w:w="1396" w:type="dxa"/>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259.30±0.5</w:t>
            </w:r>
            <w:r>
              <w:rPr>
                <w:rFonts w:ascii="Times New Roman" w:hAnsi="Times New Roman" w:cs="Times New Roman"/>
                <w:color w:val="010205"/>
                <w:sz w:val="24"/>
                <w:szCs w:val="24"/>
                <w:vertAlign w:val="superscript"/>
              </w:rPr>
              <w:t>d</w:t>
            </w:r>
          </w:p>
          <w:p w:rsidR="00CC4F32" w:rsidRDefault="00CC4F32">
            <w:pPr>
              <w:jc w:val="both"/>
              <w:rPr>
                <w:rFonts w:ascii="Times New Roman" w:hAnsi="Times New Roman" w:cs="Times New Roman"/>
                <w:sz w:val="24"/>
                <w:szCs w:val="24"/>
              </w:rPr>
            </w:pPr>
          </w:p>
        </w:tc>
      </w:tr>
      <w:tr w:rsidR="00CC4F32">
        <w:tc>
          <w:tcPr>
            <w:tcW w:w="1818" w:type="dxa"/>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Total Bilirubin(mg/dl)</w:t>
            </w:r>
          </w:p>
        </w:tc>
        <w:tc>
          <w:tcPr>
            <w:tcW w:w="1704"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0.54±0.0057</w:t>
            </w:r>
            <w:r>
              <w:rPr>
                <w:rFonts w:ascii="Times New Roman" w:hAnsi="Times New Roman" w:cs="Times New Roman"/>
                <w:color w:val="010205"/>
                <w:sz w:val="24"/>
                <w:szCs w:val="24"/>
                <w:vertAlign w:val="superscript"/>
              </w:rPr>
              <w:t>a,b,c,d</w:t>
            </w:r>
          </w:p>
          <w:p w:rsidR="00CC4F32" w:rsidRDefault="00CC4F32">
            <w:pPr>
              <w:jc w:val="both"/>
              <w:rPr>
                <w:rFonts w:ascii="Times New Roman" w:hAnsi="Times New Roman" w:cs="Times New Roman"/>
                <w:sz w:val="24"/>
                <w:szCs w:val="24"/>
              </w:rPr>
            </w:pPr>
          </w:p>
        </w:tc>
        <w:tc>
          <w:tcPr>
            <w:tcW w:w="1946"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2.20±0.0057 </w:t>
            </w:r>
            <w:r>
              <w:rPr>
                <w:rFonts w:ascii="Times New Roman" w:hAnsi="Times New Roman" w:cs="Times New Roman"/>
                <w:color w:val="010205"/>
                <w:sz w:val="24"/>
                <w:szCs w:val="24"/>
                <w:vertAlign w:val="superscript"/>
              </w:rPr>
              <w:t>a,b,c,d</w:t>
            </w:r>
          </w:p>
          <w:p w:rsidR="00CC4F32" w:rsidRDefault="00CC4F32">
            <w:pPr>
              <w:jc w:val="both"/>
              <w:rPr>
                <w:rFonts w:ascii="Times New Roman" w:hAnsi="Times New Roman" w:cs="Times New Roman"/>
                <w:sz w:val="24"/>
                <w:szCs w:val="24"/>
              </w:rPr>
            </w:pPr>
          </w:p>
        </w:tc>
        <w:tc>
          <w:tcPr>
            <w:tcW w:w="1305"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0.97±0.003 </w:t>
            </w:r>
            <w:r>
              <w:rPr>
                <w:rFonts w:ascii="Times New Roman" w:hAnsi="Times New Roman" w:cs="Times New Roman"/>
                <w:color w:val="010205"/>
                <w:sz w:val="24"/>
                <w:szCs w:val="24"/>
                <w:vertAlign w:val="superscript"/>
              </w:rPr>
              <w:t>b</w:t>
            </w:r>
          </w:p>
          <w:p w:rsidR="00CC4F32" w:rsidRDefault="00CC4F32">
            <w:pPr>
              <w:jc w:val="both"/>
              <w:rPr>
                <w:rFonts w:ascii="Times New Roman" w:hAnsi="Times New Roman" w:cs="Times New Roman"/>
                <w:sz w:val="24"/>
                <w:szCs w:val="24"/>
              </w:rPr>
            </w:pPr>
          </w:p>
        </w:tc>
        <w:tc>
          <w:tcPr>
            <w:tcW w:w="1407"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1.793±0.033</w:t>
            </w:r>
            <w:r>
              <w:rPr>
                <w:rFonts w:ascii="Times New Roman" w:hAnsi="Times New Roman" w:cs="Times New Roman"/>
                <w:color w:val="010205"/>
                <w:sz w:val="24"/>
                <w:szCs w:val="24"/>
                <w:vertAlign w:val="superscript"/>
              </w:rPr>
              <w:t>c</w:t>
            </w:r>
          </w:p>
          <w:p w:rsidR="00CC4F32" w:rsidRDefault="00CC4F32">
            <w:pPr>
              <w:jc w:val="both"/>
              <w:rPr>
                <w:rFonts w:ascii="Times New Roman" w:hAnsi="Times New Roman" w:cs="Times New Roman"/>
                <w:sz w:val="24"/>
                <w:szCs w:val="24"/>
              </w:rPr>
            </w:pPr>
          </w:p>
        </w:tc>
        <w:tc>
          <w:tcPr>
            <w:tcW w:w="1396" w:type="dxa"/>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1.37±0.003</w:t>
            </w:r>
            <w:r>
              <w:rPr>
                <w:rFonts w:ascii="Times New Roman" w:hAnsi="Times New Roman" w:cs="Times New Roman"/>
                <w:color w:val="010205"/>
                <w:sz w:val="24"/>
                <w:szCs w:val="24"/>
                <w:vertAlign w:val="superscript"/>
              </w:rPr>
              <w:t>d</w:t>
            </w:r>
          </w:p>
          <w:p w:rsidR="00CC4F32" w:rsidRDefault="00CC4F32">
            <w:pPr>
              <w:jc w:val="both"/>
              <w:rPr>
                <w:rFonts w:ascii="Times New Roman" w:hAnsi="Times New Roman" w:cs="Times New Roman"/>
                <w:sz w:val="24"/>
                <w:szCs w:val="24"/>
              </w:rPr>
            </w:pPr>
          </w:p>
        </w:tc>
      </w:tr>
      <w:tr w:rsidR="00CC4F32">
        <w:tc>
          <w:tcPr>
            <w:tcW w:w="1818" w:type="dxa"/>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Direct Bilirubin(mg/dl)</w:t>
            </w:r>
          </w:p>
        </w:tc>
        <w:tc>
          <w:tcPr>
            <w:tcW w:w="1704"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0.026±0.0033</w:t>
            </w:r>
            <w:r>
              <w:rPr>
                <w:rFonts w:ascii="Times New Roman" w:hAnsi="Times New Roman" w:cs="Times New Roman"/>
                <w:color w:val="010205"/>
                <w:sz w:val="24"/>
                <w:szCs w:val="24"/>
                <w:vertAlign w:val="superscript"/>
              </w:rPr>
              <w:t>a,b,c,d</w:t>
            </w:r>
          </w:p>
          <w:p w:rsidR="00CC4F32" w:rsidRDefault="00CC4F32">
            <w:pPr>
              <w:jc w:val="both"/>
              <w:rPr>
                <w:rFonts w:ascii="Times New Roman" w:hAnsi="Times New Roman" w:cs="Times New Roman"/>
                <w:sz w:val="24"/>
                <w:szCs w:val="24"/>
              </w:rPr>
            </w:pPr>
          </w:p>
        </w:tc>
        <w:tc>
          <w:tcPr>
            <w:tcW w:w="1946" w:type="dxa"/>
            <w:gridSpan w:val="2"/>
          </w:tcPr>
          <w:p w:rsidR="00CC4F32" w:rsidRDefault="00000000">
            <w:pPr>
              <w:jc w:val="both"/>
              <w:rPr>
                <w:rFonts w:ascii="Times New Roman" w:hAnsi="Times New Roman" w:cs="Times New Roman"/>
                <w:sz w:val="24"/>
                <w:szCs w:val="24"/>
              </w:rPr>
            </w:pPr>
            <w:r>
              <w:rPr>
                <w:rFonts w:ascii="Times New Roman" w:hAnsi="Times New Roman" w:cs="Times New Roman"/>
                <w:color w:val="010205"/>
                <w:sz w:val="24"/>
                <w:szCs w:val="24"/>
              </w:rPr>
              <w:t xml:space="preserve">0.11±0.0057 </w:t>
            </w:r>
            <w:r>
              <w:rPr>
                <w:rFonts w:ascii="Times New Roman" w:hAnsi="Times New Roman" w:cs="Times New Roman"/>
                <w:color w:val="010205"/>
                <w:sz w:val="24"/>
                <w:szCs w:val="24"/>
                <w:vertAlign w:val="superscript"/>
              </w:rPr>
              <w:t>a ,b,c,d</w:t>
            </w:r>
          </w:p>
          <w:p w:rsidR="00CC4F32" w:rsidRDefault="00CC4F32">
            <w:pPr>
              <w:jc w:val="both"/>
              <w:rPr>
                <w:rFonts w:ascii="Times New Roman" w:hAnsi="Times New Roman" w:cs="Times New Roman"/>
                <w:sz w:val="24"/>
                <w:szCs w:val="24"/>
              </w:rPr>
            </w:pPr>
          </w:p>
        </w:tc>
        <w:tc>
          <w:tcPr>
            <w:tcW w:w="1305"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0.046±0.00 3</w:t>
            </w:r>
            <w:r>
              <w:rPr>
                <w:rFonts w:ascii="Times New Roman" w:hAnsi="Times New Roman" w:cs="Times New Roman"/>
                <w:color w:val="010205"/>
                <w:sz w:val="24"/>
                <w:szCs w:val="24"/>
                <w:vertAlign w:val="superscript"/>
              </w:rPr>
              <w:t>,b</w:t>
            </w:r>
          </w:p>
          <w:p w:rsidR="00CC4F32" w:rsidRDefault="00CC4F32">
            <w:pPr>
              <w:jc w:val="both"/>
              <w:rPr>
                <w:rFonts w:ascii="Times New Roman" w:hAnsi="Times New Roman" w:cs="Times New Roman"/>
                <w:sz w:val="24"/>
                <w:szCs w:val="24"/>
              </w:rPr>
            </w:pPr>
          </w:p>
        </w:tc>
        <w:tc>
          <w:tcPr>
            <w:tcW w:w="1407" w:type="dxa"/>
            <w:gridSpan w:val="2"/>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0.090±0.00</w:t>
            </w:r>
            <w:r>
              <w:rPr>
                <w:rFonts w:ascii="Times New Roman" w:hAnsi="Times New Roman" w:cs="Times New Roman"/>
                <w:color w:val="010205"/>
                <w:sz w:val="24"/>
                <w:szCs w:val="24"/>
                <w:vertAlign w:val="superscript"/>
              </w:rPr>
              <w:t>c</w:t>
            </w:r>
          </w:p>
          <w:p w:rsidR="00CC4F32" w:rsidRDefault="00CC4F32">
            <w:pPr>
              <w:jc w:val="both"/>
              <w:rPr>
                <w:rFonts w:ascii="Times New Roman" w:hAnsi="Times New Roman" w:cs="Times New Roman"/>
                <w:sz w:val="24"/>
                <w:szCs w:val="24"/>
              </w:rPr>
            </w:pPr>
          </w:p>
        </w:tc>
        <w:tc>
          <w:tcPr>
            <w:tcW w:w="1396" w:type="dxa"/>
          </w:tcPr>
          <w:p w:rsidR="00CC4F32" w:rsidRDefault="00000000">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0.063±0.033</w:t>
            </w:r>
            <w:r>
              <w:rPr>
                <w:rFonts w:ascii="Times New Roman" w:hAnsi="Times New Roman" w:cs="Times New Roman"/>
                <w:color w:val="010205"/>
                <w:sz w:val="24"/>
                <w:szCs w:val="24"/>
                <w:vertAlign w:val="superscript"/>
              </w:rPr>
              <w:t>d</w:t>
            </w:r>
          </w:p>
          <w:p w:rsidR="00CC4F32" w:rsidRDefault="00CC4F32">
            <w:pPr>
              <w:jc w:val="both"/>
              <w:rPr>
                <w:rFonts w:ascii="Times New Roman" w:hAnsi="Times New Roman" w:cs="Times New Roman"/>
                <w:sz w:val="24"/>
                <w:szCs w:val="24"/>
              </w:rPr>
            </w:pPr>
          </w:p>
        </w:tc>
      </w:tr>
      <w:tr w:rsidR="00CC4F32">
        <w:tc>
          <w:tcPr>
            <w:tcW w:w="1818" w:type="dxa"/>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Total protein(g/dl)</w:t>
            </w:r>
          </w:p>
        </w:tc>
        <w:tc>
          <w:tcPr>
            <w:tcW w:w="1704" w:type="dxa"/>
            <w:gridSpan w:val="2"/>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8.066±0.088</w:t>
            </w:r>
            <w:r>
              <w:rPr>
                <w:rFonts w:ascii="Times New Roman" w:hAnsi="Times New Roman" w:cs="Times New Roman"/>
                <w:color w:val="010205"/>
                <w:sz w:val="24"/>
                <w:szCs w:val="24"/>
                <w:vertAlign w:val="superscript"/>
              </w:rPr>
              <w:t>a,b,c,d</w:t>
            </w:r>
          </w:p>
        </w:tc>
        <w:tc>
          <w:tcPr>
            <w:tcW w:w="1946" w:type="dxa"/>
            <w:gridSpan w:val="2"/>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7.10±.057</w:t>
            </w:r>
            <w:r>
              <w:rPr>
                <w:rFonts w:ascii="Times New Roman" w:hAnsi="Times New Roman" w:cs="Times New Roman"/>
                <w:color w:val="010205"/>
                <w:sz w:val="24"/>
                <w:szCs w:val="24"/>
                <w:vertAlign w:val="superscript"/>
              </w:rPr>
              <w:t>b</w:t>
            </w:r>
          </w:p>
        </w:tc>
        <w:tc>
          <w:tcPr>
            <w:tcW w:w="1305" w:type="dxa"/>
            <w:gridSpan w:val="2"/>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 xml:space="preserve">7.42±.015 </w:t>
            </w:r>
            <w:r>
              <w:rPr>
                <w:rFonts w:ascii="Times New Roman" w:hAnsi="Times New Roman" w:cs="Times New Roman"/>
                <w:color w:val="010205"/>
                <w:sz w:val="24"/>
                <w:szCs w:val="24"/>
                <w:vertAlign w:val="superscript"/>
              </w:rPr>
              <w:t>c</w:t>
            </w:r>
          </w:p>
        </w:tc>
        <w:tc>
          <w:tcPr>
            <w:tcW w:w="1407" w:type="dxa"/>
            <w:gridSpan w:val="2"/>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7.28±.018</w:t>
            </w:r>
            <w:r>
              <w:rPr>
                <w:rFonts w:ascii="Times New Roman" w:hAnsi="Times New Roman" w:cs="Times New Roman"/>
                <w:color w:val="010205"/>
                <w:sz w:val="24"/>
                <w:szCs w:val="24"/>
                <w:vertAlign w:val="superscript"/>
              </w:rPr>
              <w:t xml:space="preserve"> d</w:t>
            </w:r>
          </w:p>
        </w:tc>
        <w:tc>
          <w:tcPr>
            <w:tcW w:w="1396" w:type="dxa"/>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 xml:space="preserve">7.033±.033 </w:t>
            </w:r>
            <w:r>
              <w:rPr>
                <w:rFonts w:ascii="Times New Roman" w:hAnsi="Times New Roman" w:cs="Times New Roman"/>
                <w:color w:val="010205"/>
                <w:sz w:val="24"/>
                <w:szCs w:val="24"/>
                <w:vertAlign w:val="superscript"/>
              </w:rPr>
              <w:t>e</w:t>
            </w:r>
          </w:p>
        </w:tc>
      </w:tr>
      <w:tr w:rsidR="00CC4F32">
        <w:trPr>
          <w:trHeight w:val="522"/>
        </w:trPr>
        <w:tc>
          <w:tcPr>
            <w:tcW w:w="1818" w:type="dxa"/>
            <w:tcBorders>
              <w:bottom w:val="single" w:sz="4" w:space="0" w:color="auto"/>
            </w:tcBorders>
          </w:tcPr>
          <w:p w:rsidR="00CC4F32" w:rsidRDefault="00000000">
            <w:pPr>
              <w:jc w:val="both"/>
              <w:rPr>
                <w:rFonts w:ascii="Times New Roman" w:hAnsi="Times New Roman" w:cs="Times New Roman"/>
                <w:sz w:val="24"/>
                <w:szCs w:val="24"/>
              </w:rPr>
            </w:pPr>
            <w:r>
              <w:rPr>
                <w:rFonts w:ascii="Times New Roman" w:hAnsi="Times New Roman" w:cs="Times New Roman"/>
                <w:sz w:val="24"/>
                <w:szCs w:val="24"/>
              </w:rPr>
              <w:t>Albumin(g/dl)</w:t>
            </w:r>
          </w:p>
        </w:tc>
        <w:tc>
          <w:tcPr>
            <w:tcW w:w="1704" w:type="dxa"/>
            <w:gridSpan w:val="2"/>
            <w:tcBorders>
              <w:bottom w:val="single" w:sz="4" w:space="0" w:color="auto"/>
            </w:tcBorders>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4.10±.057</w:t>
            </w:r>
            <w:r>
              <w:rPr>
                <w:rFonts w:ascii="Times New Roman" w:hAnsi="Times New Roman" w:cs="Times New Roman"/>
                <w:color w:val="010205"/>
                <w:sz w:val="24"/>
                <w:szCs w:val="24"/>
                <w:vertAlign w:val="superscript"/>
              </w:rPr>
              <w:t>a</w:t>
            </w:r>
          </w:p>
        </w:tc>
        <w:tc>
          <w:tcPr>
            <w:tcW w:w="1946" w:type="dxa"/>
            <w:gridSpan w:val="2"/>
            <w:tcBorders>
              <w:bottom w:val="single" w:sz="4" w:space="0" w:color="auto"/>
            </w:tcBorders>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4.20±.057</w:t>
            </w:r>
            <w:r>
              <w:rPr>
                <w:rFonts w:ascii="Times New Roman" w:hAnsi="Times New Roman" w:cs="Times New Roman"/>
                <w:color w:val="010205"/>
                <w:sz w:val="24"/>
                <w:szCs w:val="24"/>
                <w:vertAlign w:val="superscript"/>
              </w:rPr>
              <w:t>b</w:t>
            </w:r>
          </w:p>
          <w:p w:rsidR="00CC4F32" w:rsidRDefault="00CC4F32">
            <w:pPr>
              <w:jc w:val="right"/>
              <w:rPr>
                <w:rFonts w:ascii="Times New Roman" w:hAnsi="Times New Roman" w:cs="Times New Roman"/>
                <w:sz w:val="24"/>
                <w:szCs w:val="24"/>
              </w:rPr>
            </w:pPr>
          </w:p>
        </w:tc>
        <w:tc>
          <w:tcPr>
            <w:tcW w:w="1305" w:type="dxa"/>
            <w:gridSpan w:val="2"/>
            <w:tcBorders>
              <w:bottom w:val="single" w:sz="4" w:space="0" w:color="auto"/>
            </w:tcBorders>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4.10±.057</w:t>
            </w:r>
            <w:r>
              <w:rPr>
                <w:rFonts w:ascii="Times New Roman" w:hAnsi="Times New Roman" w:cs="Times New Roman"/>
                <w:color w:val="010205"/>
                <w:sz w:val="24"/>
                <w:szCs w:val="24"/>
                <w:vertAlign w:val="superscript"/>
              </w:rPr>
              <w:t>c</w:t>
            </w:r>
          </w:p>
        </w:tc>
        <w:tc>
          <w:tcPr>
            <w:tcW w:w="1407" w:type="dxa"/>
            <w:gridSpan w:val="2"/>
            <w:tcBorders>
              <w:bottom w:val="single" w:sz="4" w:space="0" w:color="auto"/>
            </w:tcBorders>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4.033±.088</w:t>
            </w:r>
            <w:r>
              <w:rPr>
                <w:rFonts w:ascii="Times New Roman" w:hAnsi="Times New Roman" w:cs="Times New Roman"/>
                <w:color w:val="010205"/>
                <w:sz w:val="24"/>
                <w:szCs w:val="24"/>
                <w:vertAlign w:val="superscript"/>
              </w:rPr>
              <w:t>d</w:t>
            </w:r>
          </w:p>
        </w:tc>
        <w:tc>
          <w:tcPr>
            <w:tcW w:w="1396" w:type="dxa"/>
            <w:tcBorders>
              <w:bottom w:val="single" w:sz="4" w:space="0" w:color="auto"/>
            </w:tcBorders>
          </w:tcPr>
          <w:p w:rsidR="00CC4F32" w:rsidRDefault="00000000">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4.083±.130</w:t>
            </w:r>
            <w:r>
              <w:rPr>
                <w:rFonts w:ascii="Times New Roman" w:hAnsi="Times New Roman" w:cs="Times New Roman"/>
                <w:color w:val="010205"/>
                <w:sz w:val="24"/>
                <w:szCs w:val="24"/>
                <w:vertAlign w:val="superscript"/>
              </w:rPr>
              <w:t>e</w:t>
            </w:r>
          </w:p>
          <w:p w:rsidR="00CC4F32" w:rsidRDefault="00CC4F32">
            <w:pPr>
              <w:jc w:val="both"/>
              <w:rPr>
                <w:rFonts w:ascii="Times New Roman" w:hAnsi="Times New Roman" w:cs="Times New Roman"/>
                <w:color w:val="010205"/>
                <w:sz w:val="24"/>
                <w:szCs w:val="24"/>
              </w:rPr>
            </w:pPr>
          </w:p>
        </w:tc>
      </w:tr>
    </w:tbl>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Key: ALT=Alanine amino transferase, AST=Aspartate amino transferase, ALP=Alkaline phosphatase. Values are presented as mean ± Standard Error of the Mean. Values with the same superscript in the same row are significantly different (p&lt; 0.05)</w:t>
      </w:r>
    </w:p>
    <w:p w:rsidR="00CC4F32" w:rsidRDefault="00CC4F32">
      <w:pPr>
        <w:autoSpaceDE w:val="0"/>
        <w:autoSpaceDN w:val="0"/>
        <w:adjustRightInd w:val="0"/>
        <w:spacing w:after="0" w:line="240" w:lineRule="auto"/>
        <w:jc w:val="both"/>
        <w:rPr>
          <w:rFonts w:ascii="Times New Roman" w:hAnsi="Times New Roman" w:cs="Times New Roman"/>
          <w:b/>
          <w:sz w:val="24"/>
          <w:szCs w:val="24"/>
        </w:rPr>
        <w:sectPr w:rsidR="00CC4F32">
          <w:type w:val="continuous"/>
          <w:pgSz w:w="12240" w:h="15840"/>
          <w:pgMar w:top="1440" w:right="1440" w:bottom="1440" w:left="1440" w:header="720" w:footer="720" w:gutter="0"/>
          <w:cols w:space="720"/>
          <w:docGrid w:linePitch="360"/>
        </w:sectPr>
      </w:pPr>
    </w:p>
    <w:p w:rsidR="00CC4F32" w:rsidRDefault="0000000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2.10 DISCUSSION</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Obesity induction via dietary means in animal models has been considered as the most popular reference among researchers due to its high similarity of mimicking the usual route of obesity occurrence in human. It is generally known that high-fat diet is one of the major factors causing obesity </w:t>
      </w:r>
      <w:r>
        <w:t xml:space="preserve">[34]. </w:t>
      </w:r>
      <w:r>
        <w:rPr>
          <w:rFonts w:ascii="Times New Roman" w:eastAsia="Times New Roman" w:hAnsi="Times New Roman" w:cs="Times New Roman"/>
          <w:sz w:val="24"/>
          <w:szCs w:val="24"/>
          <w:lang w:eastAsia="en-GB"/>
        </w:rPr>
        <w:t xml:space="preserve">In this  study, the potential effects of  </w:t>
      </w:r>
      <w:r>
        <w:rPr>
          <w:rFonts w:ascii="Times New Roman" w:eastAsia="Times New Roman" w:hAnsi="Times New Roman" w:cs="Times New Roman"/>
          <w:i/>
          <w:iCs/>
          <w:sz w:val="24"/>
          <w:szCs w:val="24"/>
          <w:lang w:eastAsia="en-GB"/>
        </w:rPr>
        <w:t xml:space="preserve">A. indica </w:t>
      </w:r>
      <w:r>
        <w:rPr>
          <w:rFonts w:ascii="Times New Roman" w:eastAsia="Times New Roman" w:hAnsi="Times New Roman" w:cs="Times New Roman"/>
          <w:sz w:val="24"/>
          <w:szCs w:val="24"/>
          <w:lang w:eastAsia="en-GB"/>
        </w:rPr>
        <w:t xml:space="preserve">on body weight, </w:t>
      </w:r>
      <w:hyperlink r:id="rId10" w:tgtFrame="_blank" w:tooltip="Find more articles at http://www.scialert.net/asci/result.php?searchin=Keywords&amp;cat=&amp;ascicat=ALL&amp;Submit=Search&amp;keyword=food+intake (food intake)" w:history="1">
        <w:r>
          <w:rPr>
            <w:rFonts w:ascii="Times New Roman" w:eastAsia="Times New Roman" w:hAnsi="Times New Roman" w:cs="Times New Roman"/>
            <w:color w:val="000000"/>
            <w:sz w:val="24"/>
            <w:szCs w:val="24"/>
            <w:lang w:eastAsia="en-GB"/>
          </w:rPr>
          <w:t>food intake</w:t>
        </w:r>
      </w:hyperlink>
      <w:r>
        <w:rPr>
          <w:rFonts w:ascii="Times New Roman" w:eastAsia="Times New Roman" w:hAnsi="Times New Roman" w:cs="Times New Roman"/>
          <w:sz w:val="24"/>
          <w:szCs w:val="24"/>
          <w:lang w:eastAsia="en-GB"/>
        </w:rPr>
        <w:t xml:space="preserve">, water intake, some other anthropometric parameters in rats, </w:t>
      </w:r>
      <w:hyperlink r:id="rId11" w:tgtFrame="_blank" w:tooltip="Find more articles at http://www.scialert.net/asci/result.php?searchin=Keywords&amp;cat=&amp;ascicat=ALL&amp;Submit=Search&amp;keyword=lipid+profile (lipid profile)" w:history="1">
        <w:r>
          <w:rPr>
            <w:rFonts w:ascii="Times New Roman" w:eastAsia="Times New Roman" w:hAnsi="Times New Roman" w:cs="Times New Roman"/>
            <w:color w:val="000000"/>
            <w:sz w:val="24"/>
            <w:szCs w:val="24"/>
            <w:lang w:eastAsia="en-GB"/>
          </w:rPr>
          <w:t>lipid profile</w:t>
        </w:r>
      </w:hyperlink>
      <w:r>
        <w:rPr>
          <w:rFonts w:ascii="Times New Roman" w:eastAsia="Times New Roman" w:hAnsi="Times New Roman" w:cs="Times New Roman"/>
          <w:sz w:val="24"/>
          <w:szCs w:val="24"/>
          <w:lang w:eastAsia="en-GB"/>
        </w:rPr>
        <w:t>, liver functions and histopathological studies of liver tissue in HFD-induced obese rats were investigated.</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animals in all the HFD-fed groups showed significantly higher body weight, dyslipidemia, and increased hepatic lipid accumulation than those fed with normal animal diet. These observations confirmed successful induction of obesity. This finding is in agreement with finding of </w:t>
      </w:r>
      <w:r>
        <w:t xml:space="preserve">[35], </w:t>
      </w:r>
      <w:r>
        <w:rPr>
          <w:rFonts w:ascii="Times New Roman" w:hAnsi="Times New Roman" w:cs="Times New Roman"/>
          <w:color w:val="000000"/>
          <w:sz w:val="24"/>
          <w:szCs w:val="24"/>
        </w:rPr>
        <w:t xml:space="preserve">who </w:t>
      </w:r>
      <w:r>
        <w:rPr>
          <w:rFonts w:ascii="Times New Roman" w:hAnsi="Times New Roman" w:cs="Times New Roman"/>
          <w:color w:val="000000"/>
          <w:sz w:val="24"/>
          <w:szCs w:val="24"/>
        </w:rPr>
        <w:t>induced obesity with high fat diet for 6 weeks and began the treatment at 7weeks for another 6 weeks making 12weeks.</w:t>
      </w:r>
    </w:p>
    <w:p w:rsidR="00CC4F32" w:rsidRDefault="00000000">
      <w:pPr>
        <w:tabs>
          <w:tab w:val="left" w:pos="3323"/>
        </w:tabs>
        <w:autoSpaceDE w:val="0"/>
        <w:autoSpaceDN w:val="0"/>
        <w:adjustRightInd w:val="0"/>
        <w:spacing w:after="0" w:line="240" w:lineRule="auto"/>
        <w:jc w:val="both"/>
      </w:pPr>
      <w:r>
        <w:rPr>
          <w:rFonts w:ascii="Times New Roman" w:hAnsi="Times New Roman" w:cs="Times New Roman"/>
          <w:sz w:val="24"/>
          <w:szCs w:val="24"/>
        </w:rPr>
        <w:t xml:space="preserve">The energy intake is an important factor in the regulation of body weight </w:t>
      </w:r>
      <w:r>
        <w:t xml:space="preserve">[36]. </w:t>
      </w:r>
      <w:r>
        <w:rPr>
          <w:rFonts w:ascii="Times New Roman" w:hAnsi="Times New Roman" w:cs="Times New Roman"/>
          <w:sz w:val="24"/>
          <w:szCs w:val="24"/>
        </w:rPr>
        <w:t xml:space="preserve">This study shows that HFD –induced obese rats had significant increase in  food consumption, water intake and energy intake  after 12weeks.This is in agreement with finding of Abdelaaty </w:t>
      </w:r>
      <w:r>
        <w:rPr>
          <w:rFonts w:ascii="Times New Roman" w:hAnsi="Times New Roman" w:cs="Times New Roman"/>
          <w:i/>
          <w:iCs/>
          <w:sz w:val="24"/>
          <w:szCs w:val="24"/>
        </w:rPr>
        <w:t xml:space="preserve">et al. </w:t>
      </w:r>
      <w:r>
        <w:t xml:space="preserve">[37] </w:t>
      </w:r>
      <w:r>
        <w:rPr>
          <w:rFonts w:ascii="Times New Roman" w:hAnsi="Times New Roman" w:cs="Times New Roman"/>
          <w:sz w:val="24"/>
          <w:szCs w:val="24"/>
        </w:rPr>
        <w:t xml:space="preserve">The rats in this group also  developed significant increase  in weight gain, specific body mass, % feeding efficiency and %relative organ weight. For this reason, intake of high fat foods could become major factors that contribute to obesity </w:t>
      </w:r>
      <w:r>
        <w:t xml:space="preserve">[38]. </w:t>
      </w:r>
      <w:r>
        <w:rPr>
          <w:rFonts w:ascii="Times New Roman" w:hAnsi="Times New Roman" w:cs="Times New Roman"/>
          <w:sz w:val="24"/>
          <w:szCs w:val="24"/>
        </w:rPr>
        <w:t>It also</w:t>
      </w:r>
      <w:r>
        <w:rPr>
          <w:rFonts w:ascii="Times New Roman" w:eastAsia="Times New Roman" w:hAnsi="Times New Roman" w:cs="Times New Roman"/>
          <w:sz w:val="24"/>
          <w:szCs w:val="24"/>
          <w:lang w:eastAsia="en-GB"/>
        </w:rPr>
        <w:t xml:space="preserve"> means that the total energy intake was higher in obese rats than that in the NC, </w:t>
      </w:r>
      <w:r>
        <w:rPr>
          <w:rFonts w:ascii="Times New Roman" w:hAnsi="Times New Roman" w:cs="Times New Roman"/>
          <w:sz w:val="24"/>
          <w:szCs w:val="24"/>
        </w:rPr>
        <w:t xml:space="preserve">confirming that obesity was the result of energy intake exceeding energy expenditure </w:t>
      </w:r>
      <w:r>
        <w:t xml:space="preserve">[39]. </w:t>
      </w:r>
      <w:r>
        <w:rPr>
          <w:rFonts w:ascii="Times New Roman" w:eastAsia="Times New Roman" w:hAnsi="Times New Roman" w:cs="Times New Roman"/>
          <w:sz w:val="24"/>
          <w:szCs w:val="24"/>
          <w:lang w:eastAsia="en-GB"/>
        </w:rPr>
        <w:t xml:space="preserve">This also indicates that diet is certainly of importance </w:t>
      </w:r>
      <w:r>
        <w:rPr>
          <w:rFonts w:ascii="Times New Roman" w:eastAsia="Times New Roman" w:hAnsi="Times New Roman" w:cs="Times New Roman"/>
          <w:sz w:val="24"/>
          <w:szCs w:val="24"/>
          <w:lang w:eastAsia="en-GB"/>
        </w:rPr>
        <w:lastRenderedPageBreak/>
        <w:t xml:space="preserve">to obesity </w:t>
      </w:r>
      <w:r>
        <w:t xml:space="preserve">[39]. </w:t>
      </w:r>
      <w:r>
        <w:rPr>
          <w:rFonts w:ascii="Times New Roman" w:hAnsi="Times New Roman" w:cs="Times New Roman"/>
          <w:sz w:val="24"/>
          <w:szCs w:val="24"/>
        </w:rPr>
        <w:t xml:space="preserve">Despite the higher energy intake in HFD-induced obese rats, no significant difference was observed in body length among the groups indicating that the increased body weight due to excessive energy intake was adipose tissue. Moreover, the body weights, food consumption, water intake, energy intake, weight gain, specific body mass, % feeding efficiency, %relative organ weight of the HFD group treated with </w:t>
      </w:r>
      <w:r>
        <w:rPr>
          <w:rFonts w:ascii="Times New Roman" w:hAnsi="Times New Roman" w:cs="Times New Roman"/>
          <w:i/>
          <w:iCs/>
          <w:sz w:val="24"/>
          <w:szCs w:val="24"/>
        </w:rPr>
        <w:t xml:space="preserve">A. indica </w:t>
      </w:r>
      <w:r>
        <w:rPr>
          <w:rFonts w:ascii="Times New Roman" w:hAnsi="Times New Roman" w:cs="Times New Roman"/>
          <w:sz w:val="24"/>
          <w:szCs w:val="24"/>
        </w:rPr>
        <w:t>were significantly decreased in a dose dependent manner as compared to the HFD group. Also,</w:t>
      </w:r>
      <w:r>
        <w:rPr>
          <w:rFonts w:ascii="Times New Roman" w:eastAsia="Times New Roman" w:hAnsi="Times New Roman" w:cs="Times New Roman"/>
          <w:sz w:val="24"/>
          <w:szCs w:val="24"/>
          <w:lang w:eastAsia="en-GB"/>
        </w:rPr>
        <w:t xml:space="preserve"> both TC and AC were significantly increased in obese rats. These results indicate that there was fat accumulation in the thoracic and abdominal regions due to high fat diet </w:t>
      </w:r>
      <w:r>
        <w:t xml:space="preserve">[40]. </w:t>
      </w:r>
      <w:r>
        <w:rPr>
          <w:rFonts w:ascii="Times New Roman" w:eastAsia="Times New Roman" w:hAnsi="Times New Roman" w:cs="Times New Roman"/>
          <w:sz w:val="24"/>
          <w:szCs w:val="24"/>
          <w:lang w:eastAsia="en-GB"/>
        </w:rPr>
        <w:t xml:space="preserve">In addition, Lee index and BMI showed significant increase in obese rats when compared with normal control rats. This shows that there were positive correlations between daily lipid intake and BMI as well as fat deposition in obesity </w:t>
      </w:r>
      <w:r>
        <w:t xml:space="preserve">[41]. </w:t>
      </w:r>
    </w:p>
    <w:p w:rsidR="00CC4F32" w:rsidRDefault="00000000">
      <w:pPr>
        <w:tabs>
          <w:tab w:val="left" w:pos="3323"/>
        </w:tabs>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Treatment of obese rats with different doses of extract resulted in a reduction in TC, AC, Lee index and BMI. These findings indicate that </w:t>
      </w:r>
      <w:r>
        <w:rPr>
          <w:rFonts w:ascii="Times New Roman" w:eastAsia="Times New Roman" w:hAnsi="Times New Roman" w:cs="Times New Roman"/>
          <w:i/>
          <w:iCs/>
          <w:sz w:val="24"/>
          <w:szCs w:val="24"/>
          <w:lang w:eastAsia="en-GB"/>
        </w:rPr>
        <w:t>A. indica</w:t>
      </w:r>
      <w:r>
        <w:rPr>
          <w:rFonts w:ascii="Times New Roman" w:eastAsia="Times New Roman" w:hAnsi="Times New Roman" w:cs="Times New Roman"/>
          <w:sz w:val="24"/>
          <w:szCs w:val="24"/>
          <w:lang w:eastAsia="en-GB"/>
        </w:rPr>
        <w:t xml:space="preserve"> extracts could reduce body fat percentage in obese rats. This might be explained by the capacity of </w:t>
      </w:r>
      <w:r>
        <w:rPr>
          <w:rFonts w:ascii="Times New Roman" w:eastAsia="Times New Roman" w:hAnsi="Times New Roman" w:cs="Times New Roman"/>
          <w:i/>
          <w:iCs/>
          <w:sz w:val="24"/>
          <w:szCs w:val="24"/>
          <w:lang w:eastAsia="en-GB"/>
        </w:rPr>
        <w:t>A. indica</w:t>
      </w:r>
      <w:r>
        <w:rPr>
          <w:rFonts w:ascii="Times New Roman" w:eastAsia="Times New Roman" w:hAnsi="Times New Roman" w:cs="Times New Roman"/>
          <w:sz w:val="24"/>
          <w:szCs w:val="24"/>
          <w:lang w:eastAsia="en-GB"/>
        </w:rPr>
        <w:t xml:space="preserve"> active ingredients to reduce the expression of sterol regulatory element binding protein 1 which inhibits lipid accumulation and expression of lipogenic genes, resulting in the reduction in body fat (</w:t>
      </w:r>
      <w:r>
        <w:t xml:space="preserve">[41]. </w:t>
      </w:r>
      <w:r>
        <w:rPr>
          <w:rFonts w:ascii="Times New Roman" w:eastAsia="Times New Roman" w:hAnsi="Times New Roman" w:cs="Times New Roman"/>
          <w:sz w:val="24"/>
          <w:szCs w:val="24"/>
          <w:lang w:eastAsia="en-GB"/>
        </w:rPr>
        <w:t xml:space="preserve"> </w:t>
      </w:r>
    </w:p>
    <w:p w:rsidR="00CC4F32" w:rsidRDefault="00000000">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results of this study revealed significant increase in serum total cholesterol, TG, LDL and VLDL levels in obese rats. While, significant depletion in serum HDL level was recorded in obese rats as compared to normal control rats. This is in line with </w:t>
      </w:r>
      <w:r>
        <w:rPr>
          <w:rFonts w:ascii="Times New Roman" w:hAnsi="Times New Roman" w:cs="Times New Roman"/>
          <w:sz w:val="24"/>
          <w:szCs w:val="24"/>
        </w:rPr>
        <w:t xml:space="preserve">Athesh </w:t>
      </w:r>
      <w:r>
        <w:rPr>
          <w:rFonts w:ascii="Times New Roman" w:hAnsi="Times New Roman" w:cs="Times New Roman"/>
          <w:i/>
          <w:iCs/>
          <w:sz w:val="24"/>
          <w:szCs w:val="24"/>
        </w:rPr>
        <w:t xml:space="preserve">et al. </w:t>
      </w:r>
      <w:r>
        <w:t xml:space="preserve">[42] </w:t>
      </w:r>
      <w:r>
        <w:rPr>
          <w:rFonts w:ascii="Times New Roman" w:hAnsi="Times New Roman" w:cs="Times New Roman"/>
          <w:sz w:val="24"/>
          <w:szCs w:val="24"/>
        </w:rPr>
        <w:t xml:space="preserve">and </w:t>
      </w:r>
      <w:hyperlink r:id="rId12" w:anchor="954224_ja" w:history="1">
        <w:r>
          <w:rPr>
            <w:rFonts w:ascii="Times New Roman" w:eastAsia="Times New Roman" w:hAnsi="Times New Roman" w:cs="Times New Roman"/>
            <w:sz w:val="24"/>
            <w:szCs w:val="24"/>
            <w:lang w:eastAsia="en-GB"/>
          </w:rPr>
          <w:t xml:space="preserve">Son </w:t>
        </w:r>
        <w:r>
          <w:rPr>
            <w:rFonts w:ascii="Times New Roman" w:eastAsia="Times New Roman" w:hAnsi="Times New Roman" w:cs="Times New Roman"/>
            <w:i/>
            <w:iCs/>
            <w:sz w:val="24"/>
            <w:szCs w:val="24"/>
            <w:lang w:eastAsia="en-GB"/>
          </w:rPr>
          <w:t>et al</w:t>
        </w:r>
        <w:r>
          <w:rPr>
            <w:rFonts w:ascii="Times New Roman" w:eastAsia="Times New Roman" w:hAnsi="Times New Roman" w:cs="Times New Roman"/>
            <w:sz w:val="24"/>
            <w:szCs w:val="24"/>
            <w:lang w:eastAsia="en-GB"/>
          </w:rPr>
          <w:t xml:space="preserve">. </w:t>
        </w:r>
        <w:r>
          <w:t xml:space="preserve">[43] </w:t>
        </w:r>
      </w:hyperlink>
      <w:r>
        <w:rPr>
          <w:rFonts w:ascii="Times New Roman" w:hAnsi="Times New Roman" w:cs="Times New Roman"/>
          <w:sz w:val="24"/>
          <w:szCs w:val="24"/>
        </w:rPr>
        <w:t xml:space="preserve"> findings. This also agrees with the fact that,</w:t>
      </w:r>
      <w:r>
        <w:rPr>
          <w:rFonts w:ascii="Times New Roman" w:eastAsia="Times New Roman" w:hAnsi="Times New Roman" w:cs="Times New Roman"/>
          <w:sz w:val="24"/>
          <w:szCs w:val="24"/>
          <w:lang w:eastAsia="en-GB"/>
        </w:rPr>
        <w:t xml:space="preserve"> lipids in adipose tissue are largely derived from circulating triglycerides especially during high-fat diet feeding and the </w:t>
      </w:r>
      <w:r>
        <w:rPr>
          <w:rFonts w:ascii="Times New Roman" w:eastAsia="Times New Roman" w:hAnsi="Times New Roman" w:cs="Times New Roman"/>
          <w:sz w:val="24"/>
          <w:szCs w:val="24"/>
          <w:lang w:eastAsia="en-GB"/>
        </w:rPr>
        <w:t>reduction in serum triglycerides leads to decreased adipose tissue mass.</w:t>
      </w:r>
    </w:p>
    <w:p w:rsidR="00CC4F32" w:rsidRDefault="00000000">
      <w:pPr>
        <w:autoSpaceDE w:val="0"/>
        <w:autoSpaceDN w:val="0"/>
        <w:adjustRightInd w:val="0"/>
        <w:spacing w:after="0" w:line="240" w:lineRule="auto"/>
        <w:jc w:val="both"/>
      </w:pPr>
      <w:r>
        <w:rPr>
          <w:rFonts w:ascii="Times New Roman" w:eastAsia="Times New Roman" w:hAnsi="Times New Roman" w:cs="Times New Roman"/>
          <w:sz w:val="24"/>
          <w:szCs w:val="24"/>
          <w:lang w:eastAsia="en-GB"/>
        </w:rPr>
        <w:t xml:space="preserve">Different doses of </w:t>
      </w:r>
      <w:r>
        <w:rPr>
          <w:rFonts w:ascii="Times New Roman" w:eastAsia="Times New Roman" w:hAnsi="Times New Roman" w:cs="Times New Roman"/>
          <w:i/>
          <w:iCs/>
          <w:sz w:val="24"/>
          <w:szCs w:val="24"/>
          <w:lang w:eastAsia="en-GB"/>
        </w:rPr>
        <w:t>A. indica</w:t>
      </w:r>
      <w:r>
        <w:rPr>
          <w:rFonts w:ascii="Times New Roman" w:eastAsia="Times New Roman" w:hAnsi="Times New Roman" w:cs="Times New Roman"/>
          <w:sz w:val="24"/>
          <w:szCs w:val="24"/>
          <w:lang w:eastAsia="en-GB"/>
        </w:rPr>
        <w:t xml:space="preserve"> extracts used in this study reduced serum total cholesterol, triglycerides, LDL level and increase serum HDL level in obese rats. This is similar to that of  standard drugs simvastatin used in reducing hepatic lipid parameters. </w:t>
      </w:r>
      <w:r>
        <w:rPr>
          <w:rFonts w:ascii="Times New Roman" w:eastAsia="Times New Roman" w:hAnsi="Times New Roman" w:cs="Times New Roman"/>
          <w:sz w:val="24"/>
          <w:szCs w:val="24"/>
        </w:rPr>
        <w:t xml:space="preserve">Increase in HDL could stimulate the reverse cholesterol transport from the blood stream to the liver </w:t>
      </w:r>
      <w:r>
        <w:t xml:space="preserve">[44]. </w:t>
      </w:r>
    </w:p>
    <w:p w:rsidR="00CC4F32" w:rsidRDefault="00000000">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Also, t</w:t>
      </w:r>
      <w:r>
        <w:rPr>
          <w:rFonts w:ascii="Times New Roman" w:eastAsia="Times New Roman" w:hAnsi="Times New Roman" w:cs="Times New Roman"/>
          <w:sz w:val="24"/>
          <w:szCs w:val="24"/>
          <w:lang w:eastAsia="en-GB"/>
        </w:rPr>
        <w:t xml:space="preserve">hese results indicate that the constitution of </w:t>
      </w:r>
      <w:r>
        <w:rPr>
          <w:rFonts w:ascii="Times New Roman" w:eastAsia="Times New Roman" w:hAnsi="Times New Roman" w:cs="Times New Roman"/>
          <w:i/>
          <w:sz w:val="24"/>
          <w:szCs w:val="24"/>
          <w:lang w:eastAsia="en-GB"/>
        </w:rPr>
        <w:t>A</w:t>
      </w:r>
      <w:r>
        <w:rPr>
          <w:rFonts w:ascii="Times New Roman" w:eastAsia="Times New Roman" w:hAnsi="Times New Roman" w:cs="Times New Roman"/>
          <w:i/>
          <w:iCs/>
          <w:sz w:val="24"/>
          <w:szCs w:val="24"/>
          <w:lang w:eastAsia="en-GB"/>
        </w:rPr>
        <w:t>. indica</w:t>
      </w:r>
      <w:r>
        <w:rPr>
          <w:rFonts w:ascii="Times New Roman" w:eastAsia="Times New Roman" w:hAnsi="Times New Roman" w:cs="Times New Roman"/>
          <w:sz w:val="24"/>
          <w:szCs w:val="24"/>
          <w:lang w:eastAsia="en-GB"/>
        </w:rPr>
        <w:t xml:space="preserve"> leaf plays an important role in improving blood </w:t>
      </w:r>
      <w:hyperlink r:id="rId13" w:tgtFrame="_blank" w:tooltip="Find more articles at http://www.scialert.net/asci/result.php?searchin=Keywords&amp;cat=&amp;ascicat=ALL&amp;Submit=Search&amp;keyword=lipid+profile (lipid profile)" w:history="1">
        <w:r>
          <w:rPr>
            <w:rFonts w:ascii="Times New Roman" w:eastAsia="Times New Roman" w:hAnsi="Times New Roman" w:cs="Times New Roman"/>
            <w:sz w:val="24"/>
            <w:szCs w:val="24"/>
            <w:lang w:eastAsia="en-GB"/>
          </w:rPr>
          <w:t>lipid profile</w:t>
        </w:r>
      </w:hyperlink>
      <w:r>
        <w:rPr>
          <w:rFonts w:ascii="Times New Roman" w:eastAsia="Times New Roman" w:hAnsi="Times New Roman" w:cs="Times New Roman"/>
          <w:sz w:val="24"/>
          <w:szCs w:val="24"/>
          <w:lang w:eastAsia="en-GB"/>
        </w:rPr>
        <w:t xml:space="preserve">. These results are in agreement with that of </w:t>
      </w:r>
      <w:r>
        <w:rPr>
          <w:rFonts w:ascii="Times New Roman" w:hAnsi="Times New Roman" w:cs="Times New Roman"/>
          <w:sz w:val="24"/>
          <w:szCs w:val="24"/>
        </w:rPr>
        <w:t xml:space="preserve">Chattopadhyay and Bandyopadhyay, </w:t>
      </w:r>
      <w:r>
        <w:t xml:space="preserve">[45]. </w:t>
      </w:r>
      <w:r>
        <w:rPr>
          <w:rFonts w:ascii="Times New Roman" w:eastAsia="Times New Roman" w:hAnsi="Times New Roman" w:cs="Times New Roman"/>
          <w:sz w:val="24"/>
          <w:szCs w:val="24"/>
          <w:lang w:eastAsia="en-GB"/>
        </w:rPr>
        <w:t xml:space="preserve">The possible hypocholesterolemic mechanisms of </w:t>
      </w:r>
      <w:r>
        <w:rPr>
          <w:rFonts w:ascii="Times New Roman" w:eastAsia="Times New Roman" w:hAnsi="Times New Roman" w:cs="Times New Roman"/>
          <w:i/>
          <w:iCs/>
          <w:sz w:val="24"/>
          <w:szCs w:val="24"/>
          <w:lang w:eastAsia="en-GB"/>
        </w:rPr>
        <w:t>A. indica</w:t>
      </w:r>
      <w:r>
        <w:rPr>
          <w:rFonts w:ascii="Times New Roman" w:eastAsia="Times New Roman" w:hAnsi="Times New Roman" w:cs="Times New Roman"/>
          <w:sz w:val="24"/>
          <w:szCs w:val="24"/>
          <w:lang w:eastAsia="en-GB"/>
        </w:rPr>
        <w:t xml:space="preserve"> were related to decreased cholesterol absorption or inhibition of the enterohepatic circulation of bile acids, due to the physico</w:t>
      </w:r>
      <w:hyperlink r:id="rId14" w:tgtFrame="_blank" w:tooltip="Find more articles at http://www.scialert.net/asci/result.php?searchin=Keywords&amp;cat=&amp;ascicat=ALL&amp;Submit=Search&amp;keyword=chemical+properties (chemical properties)" w:history="1">
        <w:r>
          <w:rPr>
            <w:rFonts w:ascii="Times New Roman" w:eastAsia="Times New Roman" w:hAnsi="Times New Roman" w:cs="Times New Roman"/>
            <w:sz w:val="24"/>
            <w:szCs w:val="24"/>
            <w:lang w:eastAsia="en-GB"/>
          </w:rPr>
          <w:t>chemical properties</w:t>
        </w:r>
      </w:hyperlink>
      <w:r>
        <w:t xml:space="preserve"> </w:t>
      </w:r>
      <w:r>
        <w:rPr>
          <w:rFonts w:ascii="Times New Roman" w:hAnsi="Times New Roman" w:cs="Times New Roman"/>
          <w:sz w:val="24"/>
          <w:szCs w:val="24"/>
        </w:rPr>
        <w:t xml:space="preserve">Chattopadhyay and  Bandyopadhyay </w:t>
      </w:r>
      <w:r>
        <w:t xml:space="preserve">[45]. </w:t>
      </w:r>
      <w:r>
        <w:rPr>
          <w:rFonts w:ascii="Times New Roman" w:eastAsia="Times New Roman" w:hAnsi="Times New Roman" w:cs="Times New Roman"/>
          <w:sz w:val="24"/>
          <w:szCs w:val="24"/>
          <w:lang w:eastAsia="en-GB"/>
        </w:rPr>
        <w:t xml:space="preserve">The hypotriglyceridemic effect of </w:t>
      </w:r>
      <w:r>
        <w:rPr>
          <w:rFonts w:ascii="Times New Roman" w:eastAsia="Times New Roman" w:hAnsi="Times New Roman" w:cs="Times New Roman"/>
          <w:i/>
          <w:iCs/>
          <w:sz w:val="24"/>
          <w:szCs w:val="24"/>
          <w:lang w:eastAsia="en-GB"/>
        </w:rPr>
        <w:t xml:space="preserve">A. indica </w:t>
      </w:r>
      <w:r>
        <w:rPr>
          <w:rFonts w:ascii="Times New Roman" w:eastAsia="Times New Roman" w:hAnsi="Times New Roman" w:cs="Times New Roman"/>
          <w:sz w:val="24"/>
          <w:szCs w:val="24"/>
          <w:lang w:eastAsia="en-GB"/>
        </w:rPr>
        <w:t xml:space="preserve">is consistent with a possible delay in the absorption of triglycerides and sugars from the small intestine </w:t>
      </w:r>
      <w:r>
        <w:rPr>
          <w:rFonts w:ascii="Times New Roman" w:eastAsia="Times New Roman" w:hAnsi="Times New Roman" w:cs="Times New Roman"/>
          <w:color w:val="000000"/>
          <w:sz w:val="24"/>
          <w:szCs w:val="24"/>
          <w:lang w:eastAsia="en-GB"/>
        </w:rPr>
        <w:t xml:space="preserve">due to its chemical compounds </w:t>
      </w:r>
      <w:r>
        <w:rPr>
          <w:rFonts w:ascii="Times New Roman" w:hAnsi="Times New Roman" w:cs="Times New Roman"/>
          <w:sz w:val="24"/>
          <w:szCs w:val="24"/>
        </w:rPr>
        <w:t xml:space="preserve">Chattopadhyay and Bandyopadhyay </w:t>
      </w:r>
      <w:r>
        <w:t>[45].</w:t>
      </w:r>
    </w:p>
    <w:p w:rsidR="00CC4F32" w:rsidRDefault="0000000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However, there was</w:t>
      </w:r>
      <w:r>
        <w:rPr>
          <w:rFonts w:ascii="Times New Roman" w:hAnsi="Times New Roman" w:cs="Times New Roman"/>
          <w:sz w:val="24"/>
          <w:szCs w:val="24"/>
        </w:rPr>
        <w:t xml:space="preserve"> significant increase in serum enzyme activities namely AST,ALT, ALP, total and direct bilirubin and slightly fall in total protein and  albumin levels in HFD-induced obese rats as compared with control. This has been attributed to damaged structural integrity of the liver and hepatocellular dysfunction </w:t>
      </w:r>
      <w:r>
        <w:t xml:space="preserve">[46]. </w:t>
      </w:r>
      <w:r>
        <w:rPr>
          <w:rFonts w:ascii="Times New Roman" w:hAnsi="Times New Roman" w:cs="Times New Roman"/>
          <w:sz w:val="24"/>
          <w:szCs w:val="24"/>
        </w:rPr>
        <w:t>This also agrees to the fact that, Total protein and albumin concentrations will be decreased by inadequate synthesis due to liver disease (Marshall, 2000).</w:t>
      </w:r>
      <w:r>
        <w:t xml:space="preserve"> [47]. </w:t>
      </w:r>
      <w:r>
        <w:rPr>
          <w:rFonts w:ascii="Times New Roman" w:eastAsia="SwiftNeueLTPro-Book" w:hAnsi="Times New Roman" w:cs="Times New Roman"/>
          <w:sz w:val="24"/>
          <w:szCs w:val="24"/>
        </w:rPr>
        <w:t xml:space="preserve">Reversion of these marker enzyme levels and total and direct bilirubin, towards the normal value by treatment of HFD-induced obese rats with </w:t>
      </w:r>
      <w:r>
        <w:rPr>
          <w:rFonts w:ascii="Times New Roman" w:eastAsia="SwiftNeueLTPro-Book" w:hAnsi="Times New Roman" w:cs="Times New Roman"/>
          <w:i/>
          <w:iCs/>
          <w:sz w:val="24"/>
          <w:szCs w:val="24"/>
        </w:rPr>
        <w:t>A. indica</w:t>
      </w:r>
      <w:r>
        <w:rPr>
          <w:rFonts w:ascii="Times New Roman" w:eastAsia="SwiftNeueLTPro-Book" w:hAnsi="Times New Roman" w:cs="Times New Roman"/>
          <w:sz w:val="24"/>
          <w:szCs w:val="24"/>
        </w:rPr>
        <w:t xml:space="preserve"> indicates the anti-obesity nature of this plant. </w:t>
      </w:r>
      <w:r>
        <w:rPr>
          <w:rFonts w:ascii="Times New Roman" w:hAnsi="Times New Roman" w:cs="Times New Roman"/>
          <w:sz w:val="24"/>
          <w:szCs w:val="24"/>
        </w:rPr>
        <w:t xml:space="preserve">This agrees with the fact that </w:t>
      </w:r>
      <w:r>
        <w:rPr>
          <w:rFonts w:ascii="Times New Roman" w:hAnsi="Times New Roman" w:cs="Times New Roman"/>
          <w:sz w:val="24"/>
          <w:szCs w:val="24"/>
        </w:rPr>
        <w:lastRenderedPageBreak/>
        <w:t xml:space="preserve">serum levels of transaminases return to normal with the healing of hepatic parenchyma and the regeneration of hepatocytes </w:t>
      </w:r>
      <w:r>
        <w:t xml:space="preserve">[48]. </w:t>
      </w:r>
      <w:r>
        <w:rPr>
          <w:rFonts w:ascii="Times New Roman" w:hAnsi="Times New Roman" w:cs="Times New Roman"/>
          <w:sz w:val="24"/>
          <w:szCs w:val="24"/>
        </w:rPr>
        <w:t>This observation was similar with the standard drug.</w:t>
      </w:r>
    </w:p>
    <w:p w:rsidR="00CC4F32" w:rsidRDefault="00000000">
      <w:pPr>
        <w:spacing w:after="0" w:line="240" w:lineRule="auto"/>
        <w:jc w:val="both"/>
      </w:pPr>
      <w:r>
        <w:rPr>
          <w:rFonts w:ascii="Times New Roman" w:hAnsi="Times New Roman" w:cs="Times New Roman"/>
          <w:sz w:val="24"/>
          <w:szCs w:val="24"/>
        </w:rPr>
        <w:t xml:space="preserve">The result of total protein and albumin concentrations were not affected by </w:t>
      </w:r>
      <w:r>
        <w:rPr>
          <w:rFonts w:ascii="Times New Roman" w:hAnsi="Times New Roman" w:cs="Times New Roman"/>
          <w:i/>
          <w:iCs/>
          <w:sz w:val="24"/>
          <w:szCs w:val="24"/>
        </w:rPr>
        <w:t>A. indica</w:t>
      </w:r>
      <w:r>
        <w:rPr>
          <w:rFonts w:ascii="Times New Roman" w:hAnsi="Times New Roman" w:cs="Times New Roman"/>
          <w:sz w:val="24"/>
          <w:szCs w:val="24"/>
        </w:rPr>
        <w:t xml:space="preserve"> in the treated group as compared to HFD-group. This is similar with Baliger </w:t>
      </w:r>
      <w:r>
        <w:rPr>
          <w:rFonts w:ascii="Times New Roman" w:hAnsi="Times New Roman" w:cs="Times New Roman"/>
          <w:i/>
          <w:iCs/>
          <w:sz w:val="24"/>
          <w:szCs w:val="24"/>
        </w:rPr>
        <w:t xml:space="preserve">et al. </w:t>
      </w:r>
      <w:r>
        <w:rPr>
          <w:rFonts w:ascii="Times New Roman" w:hAnsi="Times New Roman" w:cs="Times New Roman"/>
          <w:iCs/>
          <w:sz w:val="24"/>
          <w:szCs w:val="24"/>
        </w:rPr>
        <w:t>(</w:t>
      </w:r>
      <w:r>
        <w:t xml:space="preserve">[49] </w:t>
      </w:r>
      <w:r>
        <w:rPr>
          <w:rFonts w:ascii="Times New Roman" w:hAnsi="Times New Roman" w:cs="Times New Roman"/>
          <w:sz w:val="24"/>
          <w:szCs w:val="24"/>
        </w:rPr>
        <w:t xml:space="preserve">finding that recorded that the value of albumin was not affected by </w:t>
      </w:r>
      <w:r>
        <w:rPr>
          <w:rFonts w:ascii="Times New Roman" w:hAnsi="Times New Roman" w:cs="Times New Roman"/>
          <w:i/>
          <w:iCs/>
          <w:sz w:val="24"/>
          <w:szCs w:val="24"/>
        </w:rPr>
        <w:t>A. indica</w:t>
      </w:r>
      <w:r>
        <w:rPr>
          <w:rFonts w:ascii="Times New Roman" w:hAnsi="Times New Roman" w:cs="Times New Roman"/>
          <w:sz w:val="24"/>
          <w:szCs w:val="24"/>
        </w:rPr>
        <w:t xml:space="preserve">. leaf extract. Similar result was obtained on </w:t>
      </w:r>
      <w:r>
        <w:rPr>
          <w:rFonts w:ascii="Times New Roman" w:hAnsi="Times New Roman" w:cs="Times New Roman"/>
          <w:i/>
          <w:iCs/>
          <w:sz w:val="24"/>
          <w:szCs w:val="24"/>
        </w:rPr>
        <w:t xml:space="preserve">Centellaasiatica </w:t>
      </w:r>
      <w:r>
        <w:rPr>
          <w:rFonts w:ascii="Times New Roman" w:hAnsi="Times New Roman" w:cs="Times New Roman"/>
          <w:sz w:val="24"/>
          <w:szCs w:val="24"/>
        </w:rPr>
        <w:t>(</w:t>
      </w:r>
      <w:r>
        <w:t xml:space="preserve">[50]. </w:t>
      </w:r>
    </w:p>
    <w:p w:rsidR="00CC4F32" w:rsidRDefault="000000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2.11 CONCLUSION</w:t>
      </w:r>
    </w:p>
    <w:p w:rsidR="00CC4F32"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Oral administration of </w:t>
      </w:r>
      <w:r>
        <w:rPr>
          <w:rFonts w:ascii="Times New Roman" w:hAnsi="Times New Roman" w:cs="Times New Roman"/>
          <w:i/>
          <w:iCs/>
          <w:sz w:val="24"/>
          <w:szCs w:val="24"/>
        </w:rPr>
        <w:t xml:space="preserve">A. indica </w:t>
      </w:r>
      <w:r>
        <w:rPr>
          <w:rFonts w:ascii="Times New Roman" w:hAnsi="Times New Roman" w:cs="Times New Roman"/>
          <w:sz w:val="24"/>
          <w:szCs w:val="24"/>
        </w:rPr>
        <w:t>leaf extract to HFD-induced obese wistar rats conducted in this study has shown that this plant exhibited anti-obesity property</w:t>
      </w:r>
      <w:r>
        <w:rPr>
          <w:rFonts w:ascii="Times New Roman" w:eastAsia="Times New Roman" w:hAnsi="Times New Roman" w:cs="Times New Roman"/>
          <w:sz w:val="24"/>
          <w:szCs w:val="24"/>
          <w:lang w:eastAsia="en-GB"/>
        </w:rPr>
        <w:t xml:space="preserve"> and </w:t>
      </w:r>
      <w:r>
        <w:rPr>
          <w:rFonts w:ascii="Times New Roman" w:hAnsi="Times New Roman" w:cs="Times New Roman"/>
          <w:sz w:val="24"/>
          <w:szCs w:val="24"/>
        </w:rPr>
        <w:t xml:space="preserve">long-term consumption of </w:t>
      </w:r>
      <w:r>
        <w:rPr>
          <w:rFonts w:ascii="Times New Roman" w:hAnsi="Times New Roman" w:cs="Times New Roman"/>
          <w:i/>
          <w:iCs/>
          <w:sz w:val="24"/>
          <w:szCs w:val="24"/>
        </w:rPr>
        <w:t xml:space="preserve">A. indica </w:t>
      </w:r>
      <w:r>
        <w:rPr>
          <w:rFonts w:ascii="Times New Roman" w:hAnsi="Times New Roman" w:cs="Times New Roman"/>
          <w:sz w:val="24"/>
          <w:szCs w:val="24"/>
        </w:rPr>
        <w:t xml:space="preserve">may be useful in treating obesity. </w:t>
      </w:r>
      <w:r>
        <w:rPr>
          <w:rFonts w:ascii="Times New Roman" w:eastAsia="Times New Roman" w:hAnsi="Times New Roman" w:cs="Times New Roman"/>
          <w:sz w:val="24"/>
          <w:szCs w:val="24"/>
          <w:lang w:eastAsia="en-GB"/>
        </w:rPr>
        <w:t xml:space="preserve">The effect that was accompanied by improvement of some anthropometrical parameters, amelioration of the dyslipidemia, restoration of liver enzyme and reduction of hepatic lipid accumulation in high-fat diet-induced obesity in rats. Thus, </w:t>
      </w:r>
      <w:r>
        <w:rPr>
          <w:rFonts w:ascii="Times New Roman" w:eastAsia="Times New Roman" w:hAnsi="Times New Roman" w:cs="Times New Roman"/>
          <w:i/>
          <w:iCs/>
          <w:sz w:val="24"/>
          <w:szCs w:val="24"/>
          <w:lang w:eastAsia="en-GB"/>
        </w:rPr>
        <w:t>A. indica</w:t>
      </w:r>
      <w:r>
        <w:rPr>
          <w:rFonts w:ascii="Times New Roman" w:eastAsia="Times New Roman" w:hAnsi="Times New Roman" w:cs="Times New Roman"/>
          <w:sz w:val="24"/>
          <w:szCs w:val="24"/>
          <w:lang w:eastAsia="en-GB"/>
        </w:rPr>
        <w:t xml:space="preserve"> extracts, particularly, aqueous leaf</w:t>
      </w:r>
      <w:hyperlink r:id="rId15" w:tgtFrame="_blank" w:tooltip="Find more articles at http://www.scialert.net/asci/result.php?searchin=Keywords&amp;cat=&amp;ascicat=ALL&amp;Submit=Search&amp;keyword=ethanolic+extract (ethanolic extract)" w:history="1">
        <w:r>
          <w:rPr>
            <w:rFonts w:ascii="Times New Roman" w:eastAsia="Times New Roman" w:hAnsi="Times New Roman" w:cs="Times New Roman"/>
            <w:color w:val="000000"/>
            <w:sz w:val="24"/>
            <w:szCs w:val="24"/>
            <w:lang w:eastAsia="en-GB"/>
          </w:rPr>
          <w:t xml:space="preserve"> extract</w:t>
        </w:r>
      </w:hyperlink>
      <w:r>
        <w:rPr>
          <w:rFonts w:ascii="Times New Roman" w:eastAsia="Times New Roman" w:hAnsi="Times New Roman" w:cs="Times New Roman"/>
          <w:sz w:val="24"/>
          <w:szCs w:val="24"/>
          <w:lang w:eastAsia="en-GB"/>
        </w:rPr>
        <w:t xml:space="preserve">  may be useful for treating obesity</w:t>
      </w:r>
      <w:r>
        <w:rPr>
          <w:rFonts w:ascii="Times New Roman" w:hAnsi="Times New Roman" w:cs="Times New Roman"/>
          <w:sz w:val="24"/>
          <w:szCs w:val="24"/>
        </w:rPr>
        <w:t xml:space="preserve"> and related disorders.</w:t>
      </w:r>
    </w:p>
    <w:p w:rsidR="00CC4F32" w:rsidRDefault="0000000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World Health Organization (2018): Overweight and obesity. Geneva: World Health Organization.</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Ng M, Fleming T, Robinson M., Thomson B., Graetz, N., and Margono, C.,(2014):Global, regional, and national prevalence of overweight and obesity in children and adults during 1980-2013: a systematic analysis for the Global Burden of Disease Study 2013. Lancet. 2014; 384(9945):766–781.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Forouzanfar M. H, Afshin A, Alexander LT,( 2015); Global, regional, and national comparative risk assessment of 79 behavioural, environmental and occupational, and metabolic risks or </w:t>
      </w:r>
      <w:r>
        <w:rPr>
          <w:rFonts w:ascii="Times New Roman" w:hAnsi="Times New Roman" w:cs="Times New Roman"/>
          <w:sz w:val="24"/>
          <w:szCs w:val="24"/>
        </w:rPr>
        <w:t>clusters of risks, 1990-2015: a systematic analysis for the Global Burden of Disease Study 2015. Lancet.;388(10053):1659–1724.</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Davies Adeloye, Janet O. Ige-Elegbede, Martinsixtus Ezejimofor, Eyitayo O. Owolabi, Nnenna Ezeigwe, Chiamaka Omoyele, Rex G. Mpazanje, Mary T. Dewan, Emmanuel Agogo, Muktar A. Gadanya, Wondimagegnehu Alemu, Michael O. Harhay, Asa Auta &amp; Akindele O. Adebiyi (2021); Estimating the prevalence of overweight and obesity in Nigeria in 2020: a systematic review and meta-analysis, Annals of Medicine, 53:1, 495-507.</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Wahab KW, Sani MU, Yusuf BO,(2011):Prevalence and determinants of obesity–a cross-sectional study of an adult Northern Nigerian population. Int Arch Med.;4(1):10.</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Yusuf S, Mijinyawa M, and Musa B,;(2013) Overweight and obesity among adolescents in Kano, Nigeria. J Metab Syndr.;2:126.</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Jequier E (2002): Pathways to obesity. International Journal of  Obesity 26, S12–S17.</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Hill JO, Melanson EL and Wyatt HT (2000): Dietary fat intake and regulation of energy balance: implications for obesity. J Nutr 130, 284S–288S.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French S and Robinson T (2003): Fats and food intake. Curr Opin Clin Nutr Metab Care 6, 629–634.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Bray GA and Popkin BM (1998): Dietary fat intake does affect obesity. Am J Clin Nutr 68, 1157–1173.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Schrauwen P and Westerterp KR (2000): The role of high-fat diets and physical activity in the regulation of body weight. Br J Nutr 84, 417–427.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George V, Tremblay A,and Despres JP(1990): Effect of dietary fat content on total and regional adiposity in men and women. Int J Obes 14, 1085–1094.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Popkin BM, Keyou G,and Fengying Z,(1993) The nutrition transition in China: a cross-sectional analysis. Eur J Clin Nutr 47, 333–346.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Saris WHM, Astrup A, and Prentice AM,(2000) Randomized controlled trial of changes in dietary carbohydrate/fat ratio and simple vs complex carbohydrates on body weight and blood lipids: The CARMEN study. The Carbohydrate Ratio Management in European National diets. Int J Obes 24, 1310–1318.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Tucker LA and Kano MJ (1992): Dietary fat and body fat: a multivariate study of 205 adult females. Am J Clin Nutr 56, 616–622.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Rothwell NJ and Stock MJ (1984): The development of obesity in animals – the role of dietary factors. Clin Endocrinol Metab 13, 437–449.</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Buettner R, Scholmerich J and Bollheimer LC (2007): High- fat diets: modeling the metabolic disorders of human obesity in rodents. Obesity 15, 798–808.</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Warwick ZS and Schiffman SS (1992) Role of dietary fat in calorie intake and weight gain. Neurosci Biobehav Rev 16, 585–596.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Boozer CN, Schoenbach G and Atkinson RL (1995): Dietary fat and adiposity – a dose–response relationship in adult male rats fed isocalorically. Am J Physiol Endocrinol Metab 268, E546–E550.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Bourgeois F, Alexiu A and Lemonnier D (1983): Dietary- induced obesity: effect of dietary fats on adipose tissue cellularity in mice. Br J Nutr 49, 17–26.</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Takahashi M, Ikemoto S and Ezaki O (1999): Effect of the fat/carbohydrate ratio in the diet on obesity and oral glucose tolerance in C57BL/6J mice.J Nutr Sci Vitaminol(Tokyo), Oct;45(5):583-93.</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Deuel HJ Jr, Meserve ER, Straub E, Hendrick,C and Scheer B.T.(1947): The effect of fat level of the diet on general nutrition: I. Growth, reproduction and physical capacity of rats receiving diets containing various levels of cottonseed oil or margarine fat ad libitum. J Nutr 33, 569–582.</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Orsar, T. J., Tyowua, B. T. and Asemave, J.T. (2016): neem (</w:t>
      </w:r>
      <w:r>
        <w:rPr>
          <w:rFonts w:ascii="Times New Roman" w:hAnsi="Times New Roman" w:cs="Times New Roman"/>
          <w:i/>
          <w:iCs/>
          <w:sz w:val="24"/>
          <w:szCs w:val="24"/>
        </w:rPr>
        <w:t>azadirachtaindica</w:t>
      </w:r>
      <w:r>
        <w:rPr>
          <w:rFonts w:ascii="Times New Roman" w:hAnsi="Times New Roman" w:cs="Times New Roman"/>
          <w:sz w:val="24"/>
          <w:szCs w:val="24"/>
        </w:rPr>
        <w:t>a. juss) fruit yield determination in makurdi, Benue state, Nigeria</w:t>
      </w:r>
      <w:r>
        <w:rPr>
          <w:rFonts w:ascii="Times New Roman" w:hAnsi="Times New Roman" w:cs="Times New Roman"/>
          <w:i/>
          <w:iCs/>
          <w:sz w:val="24"/>
          <w:szCs w:val="24"/>
        </w:rPr>
        <w:t xml:space="preserve">. Journal of Research in </w:t>
      </w:r>
      <w:r>
        <w:rPr>
          <w:rFonts w:ascii="Times New Roman" w:hAnsi="Times New Roman" w:cs="Times New Roman"/>
          <w:i/>
          <w:iCs/>
          <w:sz w:val="24"/>
          <w:szCs w:val="24"/>
        </w:rPr>
        <w:tab/>
        <w:t xml:space="preserve">Forestry, Wildlife and Environment, </w:t>
      </w:r>
      <w:r>
        <w:rPr>
          <w:rFonts w:ascii="Times New Roman" w:hAnsi="Times New Roman" w:cs="Times New Roman"/>
          <w:sz w:val="24"/>
          <w:szCs w:val="24"/>
        </w:rPr>
        <w:t>8(2):145 – 156.</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Ogbuewu, I.P., Odoemenam, V.U.,Obiakonu, H.O., Opara, M. N., Emenalom, O.O.,Uchegbu, M.C.,Okoli, I.C., Esonu, B. O. and Oleoje, M.U.(2011): The Growing Importance of Neem (</w:t>
      </w:r>
      <w:r>
        <w:rPr>
          <w:rFonts w:ascii="Times New Roman" w:hAnsi="Times New Roman" w:cs="Times New Roman"/>
          <w:i/>
          <w:iCs/>
          <w:sz w:val="24"/>
          <w:szCs w:val="24"/>
        </w:rPr>
        <w:t>Azadirachtaindica</w:t>
      </w:r>
      <w:r>
        <w:rPr>
          <w:rFonts w:ascii="Times New Roman" w:hAnsi="Times New Roman" w:cs="Times New Roman"/>
          <w:sz w:val="24"/>
          <w:szCs w:val="24"/>
        </w:rPr>
        <w:t>A. Juss) in Agruculture, Industry, Medicine and Environment:</w:t>
      </w:r>
      <w:r>
        <w:rPr>
          <w:rFonts w:ascii="Times New Roman" w:hAnsi="Times New Roman" w:cs="Times New Roman"/>
          <w:i/>
          <w:iCs/>
          <w:sz w:val="24"/>
          <w:szCs w:val="24"/>
        </w:rPr>
        <w:t>AReviewResearch Journal of MedicinalPlant ,</w:t>
      </w:r>
      <w:r>
        <w:rPr>
          <w:rFonts w:ascii="Times New Roman" w:hAnsi="Times New Roman" w:cs="Times New Roman"/>
          <w:sz w:val="24"/>
          <w:szCs w:val="24"/>
        </w:rPr>
        <w:t xml:space="preserve">5(3):230-245.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eastAsia="OTNEJMQuadraat" w:hAnsi="Times New Roman" w:cs="Times New Roman"/>
          <w:sz w:val="24"/>
          <w:szCs w:val="24"/>
        </w:rPr>
        <w:t>Jeong, H. S., Kim, K. H., Lee, I. S., Park, J. Y., Kim, Y., Kim, K. S. and Jang, H. S.(2017) Ginkgolide A ameliorates non-alcoholic fatty liver diseases on high fat diet mice,</w:t>
      </w:r>
      <w:r>
        <w:rPr>
          <w:rFonts w:ascii="Times New Roman" w:eastAsia="OTNEJMQuadraat" w:hAnsi="Times New Roman" w:cs="Times New Roman"/>
          <w:i/>
          <w:iCs/>
          <w:sz w:val="24"/>
          <w:szCs w:val="24"/>
        </w:rPr>
        <w:t>Biomedicine and Pharmacotherapy</w:t>
      </w:r>
      <w:r>
        <w:rPr>
          <w:rFonts w:ascii="Times New Roman" w:eastAsia="OTNEJMQuadraat" w:hAnsi="Times New Roman" w:cs="Times New Roman"/>
          <w:sz w:val="24"/>
          <w:szCs w:val="24"/>
        </w:rPr>
        <w:t>, 88. 625-634</w:t>
      </w:r>
      <w:r>
        <w:rPr>
          <w:rFonts w:ascii="Times New Roman" w:eastAsia="OTNEJMQuadraat" w:hAnsi="Times New Roman" w:cs="Times New Roman"/>
          <w:i/>
          <w:iCs/>
          <w:sz w:val="24"/>
          <w:szCs w:val="24"/>
        </w:rPr>
        <w:t>.</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Majekodunmi, O. F., Zany, K., Olanyaga, I. E., Shi, L. E. and Melanhin, J. L.(1996):  Selective Toxicity Diterpene from Euphorbia Poisonic.</w:t>
      </w:r>
      <w:r>
        <w:rPr>
          <w:rFonts w:ascii="Times New Roman" w:hAnsi="Times New Roman" w:cs="Times New Roman"/>
          <w:i/>
          <w:iCs/>
          <w:sz w:val="24"/>
          <w:szCs w:val="24"/>
        </w:rPr>
        <w:t xml:space="preserve">Journal of Medicinal </w:t>
      </w:r>
      <w:r>
        <w:rPr>
          <w:rFonts w:ascii="Times New Roman" w:hAnsi="Times New Roman" w:cs="Times New Roman"/>
          <w:i/>
          <w:iCs/>
          <w:sz w:val="24"/>
          <w:szCs w:val="24"/>
        </w:rPr>
        <w:tab/>
        <w:t>Chemistry ,</w:t>
      </w:r>
      <w:r>
        <w:rPr>
          <w:rFonts w:ascii="Times New Roman" w:hAnsi="Times New Roman" w:cs="Times New Roman"/>
          <w:b/>
          <w:bCs/>
          <w:sz w:val="24"/>
          <w:szCs w:val="24"/>
        </w:rPr>
        <w:t>39:</w:t>
      </w:r>
      <w:r>
        <w:rPr>
          <w:rFonts w:ascii="Times New Roman" w:hAnsi="Times New Roman" w:cs="Times New Roman"/>
          <w:sz w:val="24"/>
          <w:szCs w:val="24"/>
        </w:rPr>
        <w:t>1005-1008.</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Ghibaudi L, Cook J, and Farley C(2002): Fat intake affects adiposity, comorbidity factors, and energy metabolism of Sprague–Dawley rats. Obes Res 10, 956–963.</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Shyamala, M.P., Venukumar ,M.R. and Latha ,M.S.(2003): Antioxidant potential of the Syzygiumaromaticum (Gaertn) Linn(Cloves) in rats fed with high fat </w:t>
      </w:r>
      <w:r>
        <w:rPr>
          <w:rFonts w:ascii="Times New Roman" w:hAnsi="Times New Roman" w:cs="Times New Roman"/>
          <w:sz w:val="24"/>
          <w:szCs w:val="24"/>
        </w:rPr>
        <w:lastRenderedPageBreak/>
        <w:t xml:space="preserve">diet. </w:t>
      </w:r>
      <w:r>
        <w:rPr>
          <w:rFonts w:ascii="Times New Roman" w:hAnsi="Times New Roman" w:cs="Times New Roman"/>
          <w:i/>
          <w:iCs/>
          <w:sz w:val="24"/>
          <w:szCs w:val="24"/>
        </w:rPr>
        <w:t>Indian Journal of pharmacology,</w:t>
      </w:r>
      <w:r>
        <w:rPr>
          <w:rFonts w:ascii="Times New Roman" w:hAnsi="Times New Roman" w:cs="Times New Roman"/>
          <w:sz w:val="24"/>
          <w:szCs w:val="24"/>
        </w:rPr>
        <w:t xml:space="preserve"> 35: 99-103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Jarinyaporn, N.,and Supaporn, W.(2016):</w:t>
      </w:r>
      <w:r>
        <w:rPr>
          <w:rFonts w:ascii="Times New Roman" w:hAnsi="Times New Roman" w:cs="Times New Roman"/>
          <w:sz w:val="24"/>
          <w:szCs w:val="24"/>
        </w:rPr>
        <w:t xml:space="preserve">Anti-lipogenic effect of Senna alata leaf extract in high-fat diet-induced obese mice, </w:t>
      </w:r>
      <w:r>
        <w:rPr>
          <w:rFonts w:ascii="Times New Roman" w:hAnsi="Times New Roman" w:cs="Times New Roman"/>
          <w:i/>
          <w:iCs/>
          <w:sz w:val="24"/>
          <w:szCs w:val="24"/>
        </w:rPr>
        <w:t>Asian Pacific Journal of Tropical Biomedicine</w:t>
      </w:r>
      <w:r>
        <w:rPr>
          <w:rFonts w:ascii="Times New Roman" w:hAnsi="Times New Roman" w:cs="Times New Roman"/>
          <w:sz w:val="24"/>
          <w:szCs w:val="24"/>
        </w:rPr>
        <w:t xml:space="preserve">; 6(3): 232–238.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i/>
          <w:iCs/>
          <w:sz w:val="24"/>
          <w:szCs w:val="24"/>
          <w:lang w:val="en-GB"/>
        </w:rPr>
      </w:pPr>
      <w:r>
        <w:rPr>
          <w:rFonts w:ascii="Times New Roman" w:hAnsi="Times New Roman" w:cs="Times New Roman"/>
          <w:sz w:val="24"/>
          <w:szCs w:val="24"/>
        </w:rPr>
        <w:t xml:space="preserve">Adekunle,A.S., Adelusi, T.I., Kamdem, J., Ishmael,A. and  Akintade,B.B(2016): Insulinomimetic, Antihyperlipidemic and Antioxidative Properties of </w:t>
      </w:r>
      <w:r>
        <w:rPr>
          <w:rFonts w:ascii="Times New Roman" w:hAnsi="Times New Roman" w:cs="Times New Roman"/>
          <w:i/>
          <w:iCs/>
          <w:sz w:val="24"/>
          <w:szCs w:val="24"/>
        </w:rPr>
        <w:t>Azadirachta</w:t>
      </w:r>
      <w:r>
        <w:rPr>
          <w:rFonts w:ascii="Times New Roman" w:hAnsi="Times New Roman" w:cs="Times New Roman"/>
          <w:i/>
          <w:iCs/>
          <w:sz w:val="24"/>
          <w:szCs w:val="24"/>
        </w:rPr>
        <w:tab/>
        <w:t>indica</w:t>
      </w:r>
      <w:r>
        <w:rPr>
          <w:rFonts w:ascii="Times New Roman" w:hAnsi="Times New Roman" w:cs="Times New Roman"/>
          <w:sz w:val="24"/>
          <w:szCs w:val="24"/>
        </w:rPr>
        <w:t>. Possible Mechanism of Action,</w:t>
      </w:r>
      <w:r>
        <w:rPr>
          <w:rFonts w:ascii="Times New Roman" w:hAnsi="Times New Roman" w:cs="Times New Roman"/>
          <w:i/>
          <w:iCs/>
          <w:sz w:val="24"/>
          <w:szCs w:val="24"/>
          <w:lang w:val="en-GB"/>
        </w:rPr>
        <w:t>British Journal of Medicine &amp; Medical Research,17(5): 1-11.</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Friedwald, W. T., Levy, R. J. and Fredrickson, D. S.(1972</w:t>
      </w:r>
      <w:r>
        <w:rPr>
          <w:rFonts w:ascii="Times New Roman" w:hAnsi="Times New Roman" w:cs="Times New Roman"/>
          <w:b/>
          <w:bCs/>
          <w:sz w:val="24"/>
          <w:szCs w:val="24"/>
        </w:rPr>
        <w:t>):</w:t>
      </w:r>
      <w:r>
        <w:rPr>
          <w:rFonts w:ascii="Times New Roman" w:hAnsi="Times New Roman" w:cs="Times New Roman"/>
          <w:sz w:val="24"/>
          <w:szCs w:val="24"/>
        </w:rPr>
        <w:t>Estimation of the concentration of low-density lipoprotein cholesterol in plasma without use of the preparative ultracentrifuge.</w:t>
      </w:r>
      <w:r>
        <w:rPr>
          <w:rFonts w:ascii="Times New Roman" w:hAnsi="Times New Roman" w:cs="Times New Roman"/>
          <w:i/>
          <w:iCs/>
          <w:sz w:val="24"/>
          <w:szCs w:val="24"/>
        </w:rPr>
        <w:t>Clinical Chemistry,</w:t>
      </w:r>
      <w:r>
        <w:rPr>
          <w:rFonts w:ascii="Times New Roman" w:hAnsi="Times New Roman" w:cs="Times New Roman"/>
          <w:sz w:val="24"/>
          <w:szCs w:val="24"/>
        </w:rPr>
        <w:t>18: 499-509.</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Bowers,   G. N. and McComb,  R. B.(1996):  A Continous Spectrophotometric Method for measuring the activity of serum alkaline </w:t>
      </w:r>
      <w:proofErr w:type="spellStart"/>
      <w:r>
        <w:rPr>
          <w:rFonts w:ascii="Times New Roman" w:hAnsi="Times New Roman" w:cs="Times New Roman"/>
          <w:sz w:val="24"/>
          <w:szCs w:val="24"/>
        </w:rPr>
        <w:t>phosphatise.</w:t>
      </w:r>
      <w:hyperlink r:id="rId16" w:tooltip="Clinical chemistry." w:history="1">
        <w:r>
          <w:rPr>
            <w:rStyle w:val="Hyperlink"/>
            <w:rFonts w:ascii="Times New Roman" w:hAnsi="Times New Roman" w:cs="Times New Roman"/>
            <w:i/>
            <w:iCs/>
            <w:color w:val="auto"/>
            <w:sz w:val="24"/>
            <w:szCs w:val="24"/>
          </w:rPr>
          <w:t>Clinical</w:t>
        </w:r>
        <w:proofErr w:type="spellEnd"/>
        <w:r>
          <w:rPr>
            <w:rStyle w:val="Hyperlink"/>
            <w:rFonts w:ascii="Times New Roman" w:hAnsi="Times New Roman" w:cs="Times New Roman"/>
            <w:i/>
            <w:iCs/>
            <w:color w:val="auto"/>
            <w:sz w:val="24"/>
            <w:szCs w:val="24"/>
          </w:rPr>
          <w:t xml:space="preserve"> Chemistry,</w:t>
        </w:r>
      </w:hyperlink>
      <w:r>
        <w:rPr>
          <w:rFonts w:ascii="Times New Roman" w:hAnsi="Times New Roman" w:cs="Times New Roman"/>
          <w:sz w:val="24"/>
          <w:szCs w:val="24"/>
        </w:rPr>
        <w:t xml:space="preserve"> 12(2):70-89.</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Henry,  R.  J.,  Cannon, D. C. and Winkleman, J. W. (1974): Clinical Chemistry, Principles and Techniques  Harper and Row,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edtion pp 309-320.</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Grant  G. H. and  Kacchman  J. F.  (1987): In: “Fundamental of Clinical Chemistry” (Tietz, N.W),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 W. B. Sauders Company, Philadelphia. pp.298-320.</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Khairunnuur, F., A, Zulkhairi, A.,Azrina, A.,Norhaizan ,M., E., Rasadah, M. A.,Zamree, M. S.,andKhairul, K. A.(2011): Antiobesity effect of </w:t>
      </w:r>
      <w:r>
        <w:rPr>
          <w:rFonts w:ascii="Times New Roman" w:hAnsi="Times New Roman" w:cs="Times New Roman"/>
          <w:i/>
          <w:iCs/>
          <w:sz w:val="24"/>
          <w:szCs w:val="24"/>
        </w:rPr>
        <w:t>Tamarindusindica</w:t>
      </w:r>
      <w:r>
        <w:rPr>
          <w:rFonts w:ascii="Times New Roman" w:hAnsi="Times New Roman" w:cs="Times New Roman"/>
          <w:sz w:val="24"/>
          <w:szCs w:val="24"/>
        </w:rPr>
        <w:t xml:space="preserve"> L. pulp </w:t>
      </w:r>
      <w:r>
        <w:rPr>
          <w:rFonts w:ascii="Times New Roman" w:hAnsi="Times New Roman" w:cs="Times New Roman"/>
          <w:sz w:val="24"/>
          <w:szCs w:val="24"/>
        </w:rPr>
        <w:tab/>
        <w:t xml:space="preserve">aqueous extract in high-fat diet-induced obese rats. </w:t>
      </w:r>
      <w:r>
        <w:rPr>
          <w:rFonts w:ascii="Times New Roman" w:hAnsi="Times New Roman" w:cs="Times New Roman"/>
          <w:i/>
          <w:iCs/>
          <w:color w:val="333333"/>
          <w:sz w:val="24"/>
          <w:szCs w:val="24"/>
        </w:rPr>
        <w:t>Journal of Natural Medicines</w:t>
      </w:r>
      <w:r>
        <w:rPr>
          <w:rFonts w:ascii="Times New Roman" w:hAnsi="Times New Roman" w:cs="Times New Roman"/>
          <w:color w:val="333333"/>
          <w:sz w:val="24"/>
          <w:szCs w:val="24"/>
        </w:rPr>
        <w:t>,</w:t>
      </w:r>
      <w:r>
        <w:rPr>
          <w:rFonts w:ascii="Times New Roman" w:hAnsi="Times New Roman" w:cs="Times New Roman"/>
          <w:sz w:val="24"/>
          <w:szCs w:val="24"/>
        </w:rPr>
        <w:tab/>
        <w:t>10:597-8</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Chicco, A., Bernal, C., Soria, A., Giangrossi, B.S. and Lombardo, Y. (1999) Dietary effects of partial or total substitution of sucrose for starch on glucose and lipid metabolism in dyslipidemic rats</w:t>
      </w:r>
      <w:r>
        <w:rPr>
          <w:rFonts w:ascii="Times New Roman" w:hAnsi="Times New Roman" w:cs="Times New Roman"/>
          <w:i/>
          <w:iCs/>
          <w:sz w:val="24"/>
          <w:szCs w:val="24"/>
        </w:rPr>
        <w:t>. Nutrition Research</w:t>
      </w:r>
      <w:r>
        <w:rPr>
          <w:rFonts w:ascii="Times New Roman" w:hAnsi="Times New Roman" w:cs="Times New Roman"/>
          <w:sz w:val="24"/>
          <w:szCs w:val="24"/>
        </w:rPr>
        <w:t>,19, 281–93.</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Abdelaaty, A., Shahat, H., Ahmed, F.,Hammouda, M. and Haider ,G.( 2012): Regulation of Obesity and Lipid Disorders by </w:t>
      </w:r>
      <w:r>
        <w:rPr>
          <w:rFonts w:ascii="Times New Roman" w:eastAsia="Times New Roman" w:hAnsi="Times New Roman" w:cs="Times New Roman"/>
          <w:i/>
          <w:iCs/>
          <w:sz w:val="24"/>
          <w:szCs w:val="24"/>
          <w:lang w:eastAsia="en-GB"/>
        </w:rPr>
        <w:t>Foeniculum vulgare</w:t>
      </w:r>
      <w:r>
        <w:rPr>
          <w:rFonts w:ascii="Times New Roman" w:eastAsia="Times New Roman" w:hAnsi="Times New Roman" w:cs="Times New Roman"/>
          <w:sz w:val="24"/>
          <w:szCs w:val="24"/>
          <w:lang w:eastAsia="en-GB"/>
        </w:rPr>
        <w:t xml:space="preserve"> Extracts and </w:t>
      </w:r>
      <w:r>
        <w:rPr>
          <w:rFonts w:ascii="Times New Roman" w:eastAsia="Times New Roman" w:hAnsi="Times New Roman" w:cs="Times New Roman"/>
          <w:sz w:val="24"/>
          <w:szCs w:val="24"/>
          <w:lang w:eastAsia="en-GB"/>
        </w:rPr>
        <w:tab/>
      </w:r>
      <w:r>
        <w:rPr>
          <w:rFonts w:ascii="Times New Roman" w:eastAsia="Times New Roman" w:hAnsi="Times New Roman" w:cs="Times New Roman"/>
          <w:i/>
          <w:iCs/>
          <w:sz w:val="24"/>
          <w:szCs w:val="24"/>
          <w:lang w:eastAsia="en-GB"/>
        </w:rPr>
        <w:t>Plantago ovata</w:t>
      </w:r>
      <w:r>
        <w:rPr>
          <w:rFonts w:ascii="Times New Roman" w:eastAsia="Times New Roman" w:hAnsi="Times New Roman" w:cs="Times New Roman"/>
          <w:sz w:val="24"/>
          <w:szCs w:val="24"/>
          <w:lang w:eastAsia="en-GB"/>
        </w:rPr>
        <w:t xml:space="preserve"> in High-fat Diet-induced Obese Rats. </w:t>
      </w:r>
      <w:r>
        <w:rPr>
          <w:rFonts w:ascii="Times New Roman" w:eastAsia="Times New Roman" w:hAnsi="Times New Roman" w:cs="Times New Roman"/>
          <w:i/>
          <w:iCs/>
          <w:sz w:val="24"/>
          <w:szCs w:val="24"/>
          <w:lang w:eastAsia="en-GB"/>
        </w:rPr>
        <w:t>American Journal of Food Technology;</w:t>
      </w:r>
      <w:r>
        <w:rPr>
          <w:rFonts w:ascii="Times New Roman" w:eastAsia="Times New Roman" w:hAnsi="Times New Roman" w:cs="Times New Roman"/>
          <w:sz w:val="24"/>
          <w:szCs w:val="24"/>
          <w:lang w:eastAsia="en-GB"/>
        </w:rPr>
        <w:t>7: 622-632.</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Afzan, N. R., Abdullah, S. Z. and Halim, H.(2012): “Repeated dose 28-days oral toxicity study of </w:t>
      </w:r>
      <w:r>
        <w:rPr>
          <w:rFonts w:ascii="Times New Roman" w:hAnsi="Times New Roman" w:cs="Times New Roman"/>
          <w:i/>
          <w:iCs/>
          <w:sz w:val="24"/>
          <w:szCs w:val="24"/>
        </w:rPr>
        <w:t xml:space="preserve">Carica papaya </w:t>
      </w:r>
      <w:r>
        <w:rPr>
          <w:rFonts w:ascii="Times New Roman" w:hAnsi="Times New Roman" w:cs="Times New Roman"/>
          <w:sz w:val="24"/>
          <w:szCs w:val="24"/>
        </w:rPr>
        <w:t xml:space="preserve">L. Leaf extract in Sprague Dawley rats,” </w:t>
      </w:r>
      <w:r>
        <w:rPr>
          <w:rFonts w:ascii="Times New Roman" w:hAnsi="Times New Roman" w:cs="Times New Roman"/>
          <w:i/>
          <w:iCs/>
          <w:sz w:val="24"/>
          <w:szCs w:val="24"/>
        </w:rPr>
        <w:t>Molecules</w:t>
      </w:r>
      <w:r>
        <w:rPr>
          <w:rFonts w:ascii="Times New Roman" w:hAnsi="Times New Roman" w:cs="Times New Roman"/>
          <w:sz w:val="24"/>
          <w:szCs w:val="24"/>
        </w:rPr>
        <w:t>, vol. 17, Acheson, K.J.(2004) Carbohydrate and weight control: where do we stand? Current Opinion in Clinical Nutritional Metabolism Care ,7, 485–92. no. 4, pp. 4326-4342</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eastAsia="OTNEJMQuadraat" w:hAnsi="Times New Roman" w:cs="Times New Roman"/>
          <w:sz w:val="24"/>
          <w:szCs w:val="24"/>
        </w:rPr>
        <w:t xml:space="preserve">Ghosh ,M.N.(2005): Fundamentals of experimental Pharmacology.Edn 3, Hilton and company, </w:t>
      </w:r>
      <w:r>
        <w:rPr>
          <w:rFonts w:ascii="Times New Roman" w:eastAsia="OTNEJMQuadraat" w:hAnsi="Times New Roman" w:cs="Times New Roman"/>
          <w:i/>
          <w:iCs/>
          <w:sz w:val="24"/>
          <w:szCs w:val="24"/>
        </w:rPr>
        <w:t>Calcutta</w:t>
      </w:r>
      <w:r>
        <w:rPr>
          <w:rFonts w:ascii="Times New Roman" w:eastAsia="OTNEJMQuadraat" w:hAnsi="Times New Roman" w:cs="Times New Roman"/>
          <w:sz w:val="24"/>
          <w:szCs w:val="24"/>
        </w:rPr>
        <w:t xml:space="preserve">: pp. 191-2011. </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Novelli, E.L.,  Diniz, C.M., Galhardi, G.M., Ebaid,M. and  Rodrigues,H.G.(2007):Anthropometrical parameters and markers of obesity in rats. </w:t>
      </w:r>
      <w:r>
        <w:rPr>
          <w:rFonts w:ascii="Times New Roman" w:eastAsia="Times New Roman" w:hAnsi="Times New Roman" w:cs="Times New Roman"/>
          <w:i/>
          <w:iCs/>
          <w:sz w:val="24"/>
          <w:szCs w:val="24"/>
          <w:lang w:eastAsia="en-GB"/>
        </w:rPr>
        <w:t>Laboratory Animal</w:t>
      </w:r>
      <w:r>
        <w:rPr>
          <w:rFonts w:ascii="Times New Roman" w:eastAsia="Times New Roman" w:hAnsi="Times New Roman" w:cs="Times New Roman"/>
          <w:sz w:val="24"/>
          <w:szCs w:val="24"/>
          <w:lang w:eastAsia="en-GB"/>
        </w:rPr>
        <w:t xml:space="preserve">, 41: 111-119. </w:t>
      </w:r>
    </w:p>
    <w:p w:rsidR="00CC4F32" w:rsidRDefault="00000000">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Rodrigues, A.,  Pereira, A.F., Vicente, J.A. , Brito, M.A., Bernardo,D. and  Mesquita,M.F. (2012):</w:t>
      </w:r>
      <w:bookmarkStart w:id="0" w:name="954187_ja"/>
      <w:bookmarkEnd w:id="0"/>
      <w:r>
        <w:rPr>
          <w:rFonts w:ascii="Times New Roman" w:eastAsia="Times New Roman" w:hAnsi="Times New Roman" w:cs="Times New Roman"/>
          <w:sz w:val="24"/>
          <w:szCs w:val="24"/>
          <w:lang w:eastAsia="en-GB"/>
        </w:rPr>
        <w:t xml:space="preserve">Food intake, body mass index and body fat mass in elderly. </w:t>
      </w:r>
      <w:r>
        <w:rPr>
          <w:rFonts w:ascii="Times New Roman" w:eastAsia="Times New Roman" w:hAnsi="Times New Roman" w:cs="Times New Roman"/>
          <w:i/>
          <w:iCs/>
          <w:sz w:val="24"/>
          <w:szCs w:val="24"/>
          <w:lang w:eastAsia="en-GB"/>
        </w:rPr>
        <w:t>Asian Journal of Clinical Nutrition,</w:t>
      </w:r>
      <w:r>
        <w:rPr>
          <w:rFonts w:ascii="Times New Roman" w:eastAsia="Times New Roman" w:hAnsi="Times New Roman" w:cs="Times New Roman"/>
          <w:sz w:val="24"/>
          <w:szCs w:val="24"/>
          <w:lang w:eastAsia="en-GB"/>
        </w:rPr>
        <w:t xml:space="preserve"> 4: 107-115.</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Athesh, K., karthiga, D.,and Brindha, P.(2012):Anti-obesity effect of aqueous fruit extract of </w:t>
      </w:r>
      <w:r>
        <w:rPr>
          <w:rFonts w:ascii="Times New Roman" w:hAnsi="Times New Roman" w:cs="Times New Roman"/>
          <w:i/>
          <w:iCs/>
          <w:sz w:val="24"/>
          <w:szCs w:val="24"/>
        </w:rPr>
        <w:t xml:space="preserve">carica papaya </w:t>
      </w:r>
      <w:r>
        <w:rPr>
          <w:rFonts w:ascii="Times New Roman" w:hAnsi="Times New Roman" w:cs="Times New Roman"/>
          <w:sz w:val="24"/>
          <w:szCs w:val="24"/>
        </w:rPr>
        <w:t>l. in rats fed on high fat cafeteria diet</w:t>
      </w:r>
      <w:r>
        <w:rPr>
          <w:rFonts w:ascii="Times New Roman" w:hAnsi="Times New Roman" w:cs="Times New Roman"/>
          <w:i/>
          <w:iCs/>
          <w:sz w:val="24"/>
          <w:szCs w:val="24"/>
        </w:rPr>
        <w:t xml:space="preserve">: International Journal of </w:t>
      </w:r>
      <w:r>
        <w:rPr>
          <w:rFonts w:ascii="Times New Roman" w:hAnsi="Times New Roman" w:cs="Times New Roman"/>
          <w:i/>
          <w:iCs/>
          <w:sz w:val="24"/>
          <w:szCs w:val="24"/>
        </w:rPr>
        <w:tab/>
        <w:t>Pharmacy and Pharmaceutical Sciences,</w:t>
      </w:r>
      <w:r>
        <w:rPr>
          <w:rFonts w:ascii="Times New Roman" w:hAnsi="Times New Roman" w:cs="Times New Roman"/>
          <w:sz w:val="24"/>
          <w:szCs w:val="24"/>
        </w:rPr>
        <w:t>Vol 4, Suppl 5.</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lastRenderedPageBreak/>
        <w:t>Son, E.J.,  Pal, P.K., Mandal, G.E., Hong, S.K., Kim,S, and  Lee,C.H.( 2012):</w:t>
      </w:r>
      <w:bookmarkStart w:id="1" w:name="954224_ja"/>
      <w:bookmarkEnd w:id="1"/>
      <w:r>
        <w:rPr>
          <w:rFonts w:ascii="Times New Roman" w:eastAsia="Times New Roman" w:hAnsi="Times New Roman" w:cs="Times New Roman"/>
          <w:sz w:val="24"/>
          <w:szCs w:val="24"/>
          <w:lang w:eastAsia="en-GB"/>
        </w:rPr>
        <w:t xml:space="preserve">Hypolipidaemic effect of processed sulfur, </w:t>
      </w:r>
      <w:r>
        <w:rPr>
          <w:rFonts w:ascii="Times New Roman" w:eastAsia="Times New Roman" w:hAnsi="Times New Roman" w:cs="Times New Roman"/>
          <w:i/>
          <w:iCs/>
          <w:sz w:val="24"/>
          <w:szCs w:val="24"/>
          <w:lang w:eastAsia="en-GB"/>
        </w:rPr>
        <w:t>Allium tuberosum</w:t>
      </w:r>
      <w:r>
        <w:rPr>
          <w:rFonts w:ascii="Times New Roman" w:eastAsia="Times New Roman" w:hAnsi="Times New Roman" w:cs="Times New Roman"/>
          <w:sz w:val="24"/>
          <w:szCs w:val="24"/>
          <w:lang w:eastAsia="en-GB"/>
        </w:rPr>
        <w:t xml:space="preserve">rottl. and fermented </w:t>
      </w:r>
      <w:r>
        <w:rPr>
          <w:rFonts w:ascii="Times New Roman" w:eastAsia="Times New Roman" w:hAnsi="Times New Roman" w:cs="Times New Roman"/>
          <w:i/>
          <w:iCs/>
          <w:sz w:val="24"/>
          <w:szCs w:val="24"/>
          <w:lang w:eastAsia="en-GB"/>
        </w:rPr>
        <w:t>Allium tuberosum</w:t>
      </w:r>
      <w:r>
        <w:rPr>
          <w:rFonts w:ascii="Times New Roman" w:eastAsia="Times New Roman" w:hAnsi="Times New Roman" w:cs="Times New Roman"/>
          <w:sz w:val="24"/>
          <w:szCs w:val="24"/>
          <w:lang w:eastAsia="en-GB"/>
        </w:rPr>
        <w:t xml:space="preserve">rottl. In rat. </w:t>
      </w:r>
      <w:r>
        <w:rPr>
          <w:rFonts w:ascii="Times New Roman" w:eastAsia="Times New Roman" w:hAnsi="Times New Roman" w:cs="Times New Roman"/>
          <w:i/>
          <w:iCs/>
          <w:sz w:val="24"/>
          <w:szCs w:val="24"/>
          <w:lang w:eastAsia="en-GB"/>
        </w:rPr>
        <w:t>Asian Journal ofAnimal Vetenary Advance</w:t>
      </w:r>
      <w:r>
        <w:rPr>
          <w:rFonts w:ascii="Times New Roman" w:eastAsia="Times New Roman" w:hAnsi="Times New Roman" w:cs="Times New Roman"/>
          <w:sz w:val="24"/>
          <w:szCs w:val="24"/>
          <w:lang w:eastAsia="en-GB"/>
        </w:rPr>
        <w:t>,7:812-821.</w:t>
      </w:r>
    </w:p>
    <w:p w:rsidR="00CC4F32" w:rsidRDefault="00000000">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Raveh, O.,  Pinchuk, M., Fainaru, A and  Lichtenberg,D.( 2001):</w:t>
      </w:r>
      <w:bookmarkStart w:id="2" w:name="72591_ja"/>
      <w:bookmarkEnd w:id="2"/>
      <w:r>
        <w:rPr>
          <w:rFonts w:ascii="Times New Roman" w:eastAsia="Times New Roman" w:hAnsi="Times New Roman" w:cs="Times New Roman"/>
          <w:sz w:val="24"/>
          <w:szCs w:val="24"/>
          <w:lang w:eastAsia="en-GB"/>
        </w:rPr>
        <w:t>Kinetics of lipid peroxidationin mixture of HDL and LDL, mutual effects. Free Radical</w:t>
      </w:r>
      <w:r>
        <w:rPr>
          <w:rFonts w:ascii="Times New Roman" w:eastAsia="Times New Roman" w:hAnsi="Times New Roman" w:cs="Times New Roman"/>
          <w:i/>
          <w:iCs/>
          <w:sz w:val="24"/>
          <w:szCs w:val="24"/>
          <w:lang w:eastAsia="en-GB"/>
        </w:rPr>
        <w:t>. Biology of Medicine,</w:t>
      </w:r>
      <w:r>
        <w:rPr>
          <w:rFonts w:ascii="Times New Roman" w:eastAsia="Times New Roman" w:hAnsi="Times New Roman" w:cs="Times New Roman"/>
          <w:sz w:val="24"/>
          <w:szCs w:val="24"/>
          <w:lang w:eastAsia="en-GB"/>
        </w:rPr>
        <w:t xml:space="preserve"> 31:1486-1497. </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Chattopadhyay, R.R and  Bandyopadhyay,M.(2005):Effect of </w:t>
      </w:r>
      <w:r>
        <w:rPr>
          <w:rFonts w:ascii="Times New Roman" w:hAnsi="Times New Roman" w:cs="Times New Roman"/>
          <w:i/>
          <w:iCs/>
          <w:sz w:val="24"/>
          <w:szCs w:val="24"/>
        </w:rPr>
        <w:t>Azadirachtaindica</w:t>
      </w:r>
      <w:r>
        <w:rPr>
          <w:rFonts w:ascii="Times New Roman" w:hAnsi="Times New Roman" w:cs="Times New Roman"/>
          <w:sz w:val="24"/>
          <w:szCs w:val="24"/>
        </w:rPr>
        <w:t xml:space="preserve">leaf </w:t>
      </w:r>
      <w:r>
        <w:rPr>
          <w:rFonts w:ascii="Times New Roman" w:hAnsi="Times New Roman" w:cs="Times New Roman"/>
          <w:sz w:val="24"/>
          <w:szCs w:val="24"/>
        </w:rPr>
        <w:tab/>
        <w:t xml:space="preserve">extract on serum lipid profile changes in normal and streptozotocin induced diabetic </w:t>
      </w:r>
      <w:r>
        <w:rPr>
          <w:rFonts w:ascii="Times New Roman" w:hAnsi="Times New Roman" w:cs="Times New Roman"/>
          <w:sz w:val="24"/>
          <w:szCs w:val="24"/>
        </w:rPr>
        <w:tab/>
        <w:t>rats ,</w:t>
      </w:r>
      <w:r>
        <w:rPr>
          <w:rFonts w:ascii="Times New Roman" w:hAnsi="Times New Roman" w:cs="Times New Roman"/>
          <w:i/>
          <w:iCs/>
          <w:sz w:val="24"/>
          <w:szCs w:val="24"/>
        </w:rPr>
        <w:t xml:space="preserve">African Journal of Biomedical Research, Vol. 8 ; </w:t>
      </w:r>
      <w:r>
        <w:rPr>
          <w:rFonts w:ascii="Times New Roman" w:hAnsi="Times New Roman" w:cs="Times New Roman"/>
          <w:sz w:val="24"/>
          <w:szCs w:val="24"/>
        </w:rPr>
        <w:t>101 – 104.</w:t>
      </w:r>
    </w:p>
    <w:p w:rsidR="00CC4F32" w:rsidRDefault="00000000">
      <w:pPr>
        <w:pStyle w:val="ListParagraph"/>
        <w:numPr>
          <w:ilvl w:val="0"/>
          <w:numId w:val="2"/>
        </w:numPr>
        <w:autoSpaceDE w:val="0"/>
        <w:autoSpaceDN w:val="0"/>
        <w:adjustRightInd w:val="0"/>
        <w:spacing w:after="0" w:line="240" w:lineRule="auto"/>
        <w:jc w:val="both"/>
        <w:rPr>
          <w:rFonts w:ascii="Times New Roman" w:eastAsia="SwiftNeueLTPro-Book" w:hAnsi="Times New Roman" w:cs="Times New Roman"/>
          <w:sz w:val="24"/>
          <w:szCs w:val="24"/>
        </w:rPr>
      </w:pPr>
      <w:r>
        <w:rPr>
          <w:rFonts w:ascii="Times New Roman" w:eastAsia="SwiftNeueLTPro-Book" w:hAnsi="Times New Roman" w:cs="Times New Roman"/>
          <w:sz w:val="24"/>
          <w:szCs w:val="24"/>
        </w:rPr>
        <w:t xml:space="preserve">Sallie, R., Tredger, J.M., and William, R. (1991): Drugs and liver. Biopharm.DrugDispos. </w:t>
      </w:r>
      <w:r>
        <w:rPr>
          <w:rFonts w:ascii="Times New Roman" w:eastAsia="SwiftNeueLTPro-Book" w:hAnsi="Times New Roman" w:cs="Times New Roman"/>
          <w:b/>
          <w:bCs/>
          <w:sz w:val="24"/>
          <w:szCs w:val="24"/>
        </w:rPr>
        <w:t>12</w:t>
      </w:r>
      <w:r>
        <w:rPr>
          <w:rFonts w:ascii="Times New Roman" w:eastAsia="SwiftNeueLTPro-Book" w:hAnsi="Times New Roman" w:cs="Times New Roman"/>
          <w:sz w:val="24"/>
          <w:szCs w:val="24"/>
        </w:rPr>
        <w:t xml:space="preserve">: 251–259. </w:t>
      </w:r>
    </w:p>
    <w:p w:rsidR="00CC4F32" w:rsidRDefault="0000000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Marshall, W.J. (2000): Clinical Chemistry (4</w:t>
      </w:r>
      <w:r>
        <w:rPr>
          <w:rFonts w:ascii="Times New Roman" w:hAnsi="Times New Roman" w:cs="Times New Roman"/>
          <w:sz w:val="24"/>
          <w:szCs w:val="24"/>
          <w:vertAlign w:val="superscript"/>
        </w:rPr>
        <w:t>t</w:t>
      </w:r>
      <w:r>
        <w:rPr>
          <w:rFonts w:ascii="Times New Roman" w:hAnsi="Times New Roman" w:cs="Times New Roman"/>
          <w:sz w:val="24"/>
          <w:szCs w:val="24"/>
        </w:rPr>
        <w:t>ed). Mosby, Edinburgh.</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Thabrew, M and Joice, P. A.(1987)  comparative study of the efficacy of Pavettaindica and Osbeckiaoctanda in the treatment of liver dysfunction. </w:t>
      </w:r>
      <w:r>
        <w:rPr>
          <w:rFonts w:ascii="Times New Roman" w:hAnsi="Times New Roman" w:cs="Times New Roman"/>
          <w:i/>
          <w:iCs/>
          <w:sz w:val="24"/>
          <w:szCs w:val="24"/>
        </w:rPr>
        <w:t>Planta Medical</w:t>
      </w:r>
      <w:r>
        <w:rPr>
          <w:rFonts w:ascii="Times New Roman" w:hAnsi="Times New Roman" w:cs="Times New Roman"/>
          <w:sz w:val="24"/>
          <w:szCs w:val="24"/>
        </w:rPr>
        <w:t>. 53, ,239–241</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Baligar, N. S., Aladakatti, R. H., Ahmed, H.  and Hiremath, M. B.(2014): Hepatoprotective activity of the neem-based constituentazadirachtin-A in carbon tetrachloride intoxicatedWistarrats,”</w:t>
      </w:r>
      <w:r>
        <w:rPr>
          <w:rFonts w:ascii="Times New Roman" w:hAnsi="Times New Roman" w:cs="Times New Roman"/>
          <w:i/>
          <w:iCs/>
          <w:sz w:val="24"/>
          <w:szCs w:val="24"/>
        </w:rPr>
        <w:t>Canadian Journal of Physiology and Pharmacology</w:t>
      </w:r>
      <w:r>
        <w:rPr>
          <w:rFonts w:ascii="Times New Roman" w:hAnsi="Times New Roman" w:cs="Times New Roman"/>
          <w:sz w:val="24"/>
          <w:szCs w:val="24"/>
        </w:rPr>
        <w:t xml:space="preserve">, 92(4): </w:t>
      </w:r>
      <w:r>
        <w:rPr>
          <w:rFonts w:ascii="Times New Roman" w:hAnsi="Times New Roman" w:cs="Times New Roman"/>
          <w:sz w:val="24"/>
          <w:szCs w:val="24"/>
        </w:rPr>
        <w:tab/>
        <w:t xml:space="preserve">267–277. </w:t>
      </w:r>
    </w:p>
    <w:p w:rsidR="00CC4F32"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Lucia, R.D., Sertie ,J.A.A., Camarco, E.A. and Panizza, S.(1997):Pharmacological and toxicological studies on </w:t>
      </w:r>
      <w:r>
        <w:rPr>
          <w:rFonts w:ascii="Times New Roman" w:hAnsi="Times New Roman" w:cs="Times New Roman"/>
          <w:i/>
          <w:iCs/>
          <w:sz w:val="24"/>
          <w:szCs w:val="24"/>
        </w:rPr>
        <w:t>Centellaasiatica</w:t>
      </w:r>
      <w:r>
        <w:rPr>
          <w:rFonts w:ascii="Times New Roman" w:hAnsi="Times New Roman" w:cs="Times New Roman"/>
          <w:sz w:val="24"/>
          <w:szCs w:val="24"/>
        </w:rPr>
        <w:t xml:space="preserve">extract. </w:t>
      </w:r>
      <w:r>
        <w:rPr>
          <w:rFonts w:ascii="Times New Roman" w:hAnsi="Times New Roman" w:cs="Times New Roman"/>
          <w:i/>
          <w:iCs/>
          <w:sz w:val="24"/>
          <w:szCs w:val="24"/>
        </w:rPr>
        <w:t>Fitoterapia,</w:t>
      </w:r>
      <w:r>
        <w:rPr>
          <w:rFonts w:ascii="Times New Roman" w:hAnsi="Times New Roman" w:cs="Times New Roman"/>
          <w:sz w:val="24"/>
          <w:szCs w:val="24"/>
        </w:rPr>
        <w:t xml:space="preserve">51: 413–416. </w:t>
      </w:r>
    </w:p>
    <w:p w:rsidR="00CC4F32" w:rsidRDefault="00CC4F32">
      <w:pPr>
        <w:spacing w:line="240" w:lineRule="auto"/>
        <w:jc w:val="both"/>
        <w:rPr>
          <w:rFonts w:ascii="Times New Roman" w:hAnsi="Times New Roman" w:cs="Times New Roman"/>
          <w:sz w:val="24"/>
          <w:szCs w:val="24"/>
        </w:rPr>
      </w:pPr>
    </w:p>
    <w:p w:rsidR="00CC4F32" w:rsidRDefault="00CC4F32">
      <w:pPr>
        <w:spacing w:line="240" w:lineRule="auto"/>
        <w:rPr>
          <w:sz w:val="36"/>
          <w:szCs w:val="36"/>
        </w:rPr>
        <w:sectPr w:rsidR="00CC4F32">
          <w:type w:val="continuous"/>
          <w:pgSz w:w="12240" w:h="15840"/>
          <w:pgMar w:top="1440" w:right="1440" w:bottom="1440" w:left="1440" w:header="720" w:footer="720" w:gutter="0"/>
          <w:cols w:num="2" w:space="720"/>
          <w:docGrid w:linePitch="360"/>
        </w:sectPr>
      </w:pPr>
    </w:p>
    <w:p w:rsidR="00CC4F32" w:rsidRDefault="00CC4F32">
      <w:pPr>
        <w:spacing w:line="240" w:lineRule="auto"/>
        <w:rPr>
          <w:sz w:val="36"/>
          <w:szCs w:val="36"/>
        </w:rPr>
      </w:pPr>
    </w:p>
    <w:sectPr w:rsidR="00CC4F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30D" w:rsidRDefault="005A030D">
      <w:pPr>
        <w:spacing w:after="0" w:line="240" w:lineRule="auto"/>
      </w:pPr>
      <w:r>
        <w:separator/>
      </w:r>
    </w:p>
  </w:endnote>
  <w:endnote w:type="continuationSeparator" w:id="0">
    <w:p w:rsidR="005A030D" w:rsidRDefault="005A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wiftNeueLTPro-Book">
    <w:altName w:val="MS Mincho"/>
    <w:charset w:val="80"/>
    <w:family w:val="auto"/>
    <w:pitch w:val="default"/>
    <w:sig w:usb0="00000001" w:usb1="08070000" w:usb2="00000010" w:usb3="00000000" w:csb0="00020000" w:csb1="00000000"/>
  </w:font>
  <w:font w:name="OTNEJMQuadraat">
    <w:altName w:val="MS Mincho"/>
    <w:charset w:val="80"/>
    <w:family w:val="roman"/>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F32" w:rsidRDefault="00000000">
    <w:pPr>
      <w:pStyle w:val="Footer"/>
      <w:jc w:val="center"/>
    </w:pPr>
    <w:r>
      <w:fldChar w:fldCharType="begin"/>
    </w:r>
    <w:r>
      <w:instrText xml:space="preserve"> PAGE   \* MERGEFORMAT </w:instrText>
    </w:r>
    <w:r>
      <w:fldChar w:fldCharType="separate"/>
    </w:r>
    <w:r>
      <w:rPr>
        <w:noProof/>
      </w:rPr>
      <w:t>9</w:t>
    </w:r>
    <w:r>
      <w:rPr>
        <w:noProof/>
      </w:rPr>
      <w:fldChar w:fldCharType="end"/>
    </w:r>
  </w:p>
  <w:p w:rsidR="00CC4F32" w:rsidRDefault="00CC4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30D" w:rsidRDefault="005A030D">
      <w:pPr>
        <w:spacing w:after="0" w:line="240" w:lineRule="auto"/>
      </w:pPr>
      <w:r>
        <w:separator/>
      </w:r>
    </w:p>
  </w:footnote>
  <w:footnote w:type="continuationSeparator" w:id="0">
    <w:p w:rsidR="005A030D" w:rsidRDefault="005A0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97AE5B54"/>
    <w:lvl w:ilvl="0" w:tplc="2EEEB59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1"/>
    <w:multiLevelType w:val="multilevel"/>
    <w:tmpl w:val="0720D2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03643770">
    <w:abstractNumId w:val="1"/>
  </w:num>
  <w:num w:numId="2" w16cid:durableId="202940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F32"/>
    <w:rsid w:val="00464643"/>
    <w:rsid w:val="00597FEA"/>
    <w:rsid w:val="005A030D"/>
    <w:rsid w:val="00907074"/>
    <w:rsid w:val="009B3FE8"/>
    <w:rsid w:val="00CC4F32"/>
    <w:rsid w:val="00EF5030"/>
    <w:rsid w:val="00F3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3436"/>
  <w15:docId w15:val="{BE969D6F-1D90-493E-A1F4-466907F7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59"/>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Normal"/>
    <w:uiPriority w:val="99"/>
    <w:qFormat/>
    <w:pPr>
      <w:spacing w:after="0" w:line="240" w:lineRule="auto"/>
    </w:pPr>
    <w:rPr>
      <w:rFonts w:ascii="Times New Roman" w:hAnsi="Times New Roman" w:cs="Times New Roman"/>
      <w:dstrike/>
      <w:sz w:val="28"/>
      <w:szCs w:val="28"/>
    </w:rPr>
    <w:tblPr/>
  </w:style>
  <w:style w:type="table" w:customStyle="1" w:styleId="PlainTable21">
    <w:name w:val="Plain Table 21"/>
    <w:basedOn w:val="TableNormal"/>
    <w:uiPriority w:val="42"/>
    <w:pPr>
      <w:spacing w:after="0" w:line="240" w:lineRule="auto"/>
    </w:pPr>
    <w:rPr>
      <w:rFonts w:eastAsia="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rPr>
      <w:color w:val="0000FF"/>
      <w:u w:val="single"/>
      <w:shd w:val="clear" w:color="auto" w:fill="auto"/>
    </w:rPr>
  </w:style>
  <w:style w:type="character" w:customStyle="1" w:styleId="EndnoteTextChar">
    <w:name w:val="Endnote Text Char"/>
    <w:basedOn w:val="DefaultParagraphFont"/>
    <w:link w:val="EndnoteText"/>
    <w:uiPriority w:val="99"/>
    <w:rPr>
      <w:rFonts w:eastAsia="SimSun"/>
      <w:sz w:val="20"/>
      <w:szCs w:val="20"/>
    </w:rPr>
  </w:style>
  <w:style w:type="paragraph" w:styleId="EndnoteText">
    <w:name w:val="endnote text"/>
    <w:basedOn w:val="Normal"/>
    <w:link w:val="EndnoteTextChar"/>
    <w:uiPriority w:val="99"/>
    <w:pPr>
      <w:spacing w:after="0" w:line="240" w:lineRule="auto"/>
    </w:pPr>
    <w:rPr>
      <w:rFonts w:eastAsia="SimSun"/>
      <w:sz w:val="20"/>
      <w:szCs w:val="20"/>
    </w:rPr>
  </w:style>
  <w:style w:type="character" w:customStyle="1" w:styleId="EndnoteTextChar1">
    <w:name w:val="Endnote Text Char1"/>
    <w:basedOn w:val="DefaultParagraphFont"/>
    <w:uiPriority w:val="99"/>
    <w:rPr>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sid w:val="00907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cialert.net/asci/result.php?searchin=Keywords&amp;cat=&amp;ascicat=ALL&amp;Submit=Search&amp;keyword=lipid+profi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afihamed@hotmail.com" TargetMode="External"/><Relationship Id="rId12" Type="http://schemas.openxmlformats.org/officeDocument/2006/relationships/hyperlink" Target="https://scialert.net/fulltext/?doi=ajft.2012.622.6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ubmed/49524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alert.net/asci/result.php?searchin=Keywords&amp;cat=&amp;ascicat=ALL&amp;Submit=Search&amp;keyword=lipid+profile" TargetMode="External"/><Relationship Id="rId5" Type="http://schemas.openxmlformats.org/officeDocument/2006/relationships/footnotes" Target="footnotes.xml"/><Relationship Id="rId15" Type="http://schemas.openxmlformats.org/officeDocument/2006/relationships/hyperlink" Target="http://www.scialert.net/asci/result.php?searchin=Keywords&amp;cat=&amp;ascicat=ALL&amp;Submit=Search&amp;keyword=ethanolic+extract" TargetMode="External"/><Relationship Id="rId10" Type="http://schemas.openxmlformats.org/officeDocument/2006/relationships/hyperlink" Target="http://www.scialert.net/asci/result.php?searchin=Keywords&amp;cat=&amp;ascicat=ALL&amp;Submit=Search&amp;keyword=food+intake" TargetMode="External"/><Relationship Id="rId4" Type="http://schemas.openxmlformats.org/officeDocument/2006/relationships/webSettings" Target="webSettings.xml"/><Relationship Id="rId9" Type="http://schemas.openxmlformats.org/officeDocument/2006/relationships/hyperlink" Target="http://www.scialert.net/asci/result.php?searchin=Keywords&amp;cat=&amp;ascicat=ALL&amp;Submit=Search&amp;keyword=food+intake" TargetMode="External"/><Relationship Id="rId14" Type="http://schemas.openxmlformats.org/officeDocument/2006/relationships/hyperlink" Target="http://www.scialert.net/asci/result.php?searchin=Keywords&amp;cat=&amp;ascicat=ALL&amp;Submit=Search&amp;keyword=chemical+prope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12</Pages>
  <Words>5374</Words>
  <Characters>30633</Characters>
  <Application>Microsoft Office Word</Application>
  <DocSecurity>0</DocSecurity>
  <Lines>255</Lines>
  <Paragraphs>71</Paragraphs>
  <ScaleCrop>false</ScaleCrop>
  <Company/>
  <LinksUpToDate>false</LinksUpToDate>
  <CharactersWithSpaces>35936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dc:creator>
  <cp:lastModifiedBy>SDI 91</cp:lastModifiedBy>
  <cp:revision>12</cp:revision>
  <dcterms:created xsi:type="dcterms:W3CDTF">2024-07-29T16:04:00Z</dcterms:created>
  <dcterms:modified xsi:type="dcterms:W3CDTF">2026-02-09T06:16:00Z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08034e393a3e4cf8b110298f45e4fe80</vt:lpwstr>
  </property>
</Properties>
</file>