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500856">
      <w:pPr>
        <w:spacing w:line="240" w:lineRule="auto"/>
        <w:rPr>
          <w:rFonts w:hint="default" w:ascii="Times New Roman" w:hAnsi="Times New Roman" w:cs="Times New Roman"/>
          <w:b w:val="0"/>
          <w:bCs w:val="0"/>
          <w:sz w:val="32"/>
          <w:szCs w:val="32"/>
          <w:highlight w:val="yellow"/>
        </w:rPr>
      </w:pPr>
      <w:bookmarkStart w:id="4" w:name="_GoBack"/>
      <w:bookmarkEnd w:id="4"/>
      <w:r>
        <w:rPr>
          <w:rFonts w:hint="default" w:ascii="Times New Roman" w:hAnsi="Times New Roman" w:cs="Times New Roman"/>
          <w:b w:val="0"/>
          <w:bCs w:val="0"/>
          <w:sz w:val="32"/>
          <w:szCs w:val="32"/>
          <w:highlight w:val="yellow"/>
          <w:lang w:val="en-GB"/>
        </w:rPr>
        <w:t xml:space="preserve">Antioxidant and Cytotoxicity Studies of the Petroleum fruit Extract of </w:t>
      </w:r>
      <w:r>
        <w:rPr>
          <w:rFonts w:hint="default" w:ascii="Times New Roman" w:hAnsi="Times New Roman" w:cs="Times New Roman"/>
          <w:b w:val="0"/>
          <w:bCs w:val="0"/>
          <w:i/>
          <w:sz w:val="32"/>
          <w:szCs w:val="32"/>
          <w:highlight w:val="yellow"/>
        </w:rPr>
        <w:t>Spondias mombin, Aegle marmelos, Limonia acidissima</w:t>
      </w:r>
      <w:r>
        <w:rPr>
          <w:rFonts w:hint="default" w:ascii="Times New Roman" w:hAnsi="Times New Roman" w:cs="Times New Roman"/>
          <w:b w:val="0"/>
          <w:bCs w:val="0"/>
          <w:sz w:val="32"/>
          <w:szCs w:val="32"/>
          <w:highlight w:val="yellow"/>
        </w:rPr>
        <w:t>, and Syzygium cumini</w:t>
      </w:r>
    </w:p>
    <w:p w14:paraId="6477F0FF">
      <w:pPr>
        <w:spacing w:line="360" w:lineRule="auto"/>
        <w:rPr>
          <w:rFonts w:ascii="Times New Roman" w:hAnsi="Times New Roman" w:cs="Times New Roman"/>
          <w:b/>
          <w:bCs/>
          <w:sz w:val="24"/>
          <w:szCs w:val="24"/>
        </w:rPr>
      </w:pPr>
    </w:p>
    <w:p w14:paraId="47FF951A">
      <w:pPr>
        <w:spacing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1B5C9A74">
      <w:pPr>
        <w:pStyle w:val="11"/>
        <w:bidi w:val="0"/>
        <w:spacing w:line="360" w:lineRule="auto"/>
        <w:rPr>
          <w:rFonts w:hint="default" w:ascii="Times New Roman" w:hAnsi="Times New Roman" w:cs="Times New Roman"/>
          <w:highlight w:val="yellow"/>
        </w:rPr>
      </w:pPr>
      <w:r>
        <w:rPr>
          <w:rFonts w:hint="default" w:ascii="Times New Roman" w:hAnsi="Times New Roman" w:cs="Times New Roman"/>
          <w:b/>
          <w:bCs/>
          <w:highlight w:val="yellow"/>
        </w:rPr>
        <w:t>Introduction:</w:t>
      </w:r>
      <w:r>
        <w:rPr>
          <w:rFonts w:hint="default" w:ascii="Times New Roman" w:hAnsi="Times New Roman" w:cs="Times New Roman"/>
          <w:highlight w:val="yellow"/>
        </w:rPr>
        <w:t> Oxidative stress is a key factor in numerous chronic diseases, driving the search for natural antioxidants from medicinal plants as alternatives to synthetic compounds. This study aimed to scientifically evaluate the in vitro antioxidant and cytotoxic potential of methanolic extracts from four traditionally used plants: Spondias mombin, Aegle marmelos, Limonia acidissima, and Syzygium cumini.</w:t>
      </w:r>
    </w:p>
    <w:p w14:paraId="3EA92A2C">
      <w:pPr>
        <w:pStyle w:val="11"/>
        <w:bidi w:val="0"/>
        <w:spacing w:line="360" w:lineRule="auto"/>
        <w:rPr>
          <w:rFonts w:hint="default" w:ascii="Times New Roman" w:hAnsi="Times New Roman" w:cs="Times New Roman"/>
          <w:highlight w:val="yellow"/>
        </w:rPr>
      </w:pPr>
    </w:p>
    <w:p w14:paraId="712F8455">
      <w:pPr>
        <w:pStyle w:val="11"/>
        <w:bidi w:val="0"/>
        <w:spacing w:line="360" w:lineRule="auto"/>
        <w:rPr>
          <w:rFonts w:hint="default" w:ascii="Times New Roman" w:hAnsi="Times New Roman" w:cs="Times New Roman"/>
          <w:highlight w:val="yellow"/>
        </w:rPr>
      </w:pPr>
      <w:r>
        <w:rPr>
          <w:rFonts w:hint="default" w:ascii="Times New Roman" w:hAnsi="Times New Roman" w:cs="Times New Roman"/>
          <w:b/>
          <w:bCs/>
          <w:highlight w:val="yellow"/>
        </w:rPr>
        <w:t>Methods:</w:t>
      </w:r>
      <w:r>
        <w:rPr>
          <w:rFonts w:hint="default" w:ascii="Times New Roman" w:hAnsi="Times New Roman" w:cs="Times New Roman"/>
          <w:highlight w:val="yellow"/>
        </w:rPr>
        <w:t> The antioxidant activity was evaluated using the DPPH radical scavenging assay, with butylated hydroxytoluene (BHT) as a standard. Cytotoxicity was assessed using the Brine Shrimp Lethality Assay (BSLA), with vincristine sulfate as a positive control. Dose-response curves were analyzed to determine half-maximal inhibitory and lethal concentrations (IC₅₀ and LC₅₀).</w:t>
      </w:r>
    </w:p>
    <w:p w14:paraId="3BF5DBF6">
      <w:pPr>
        <w:pStyle w:val="11"/>
        <w:bidi w:val="0"/>
        <w:spacing w:line="360" w:lineRule="auto"/>
        <w:rPr>
          <w:rFonts w:hint="default" w:ascii="Times New Roman" w:hAnsi="Times New Roman" w:cs="Times New Roman"/>
          <w:highlight w:val="yellow"/>
        </w:rPr>
      </w:pPr>
    </w:p>
    <w:p w14:paraId="1D8D3F8F">
      <w:pPr>
        <w:pStyle w:val="11"/>
        <w:bidi w:val="0"/>
        <w:spacing w:line="360" w:lineRule="auto"/>
        <w:rPr>
          <w:rFonts w:hint="default" w:ascii="Times New Roman" w:hAnsi="Times New Roman" w:cs="Times New Roman"/>
          <w:highlight w:val="yellow"/>
        </w:rPr>
      </w:pPr>
      <w:r>
        <w:rPr>
          <w:rFonts w:hint="default" w:ascii="Times New Roman" w:hAnsi="Times New Roman" w:cs="Times New Roman"/>
          <w:b/>
          <w:bCs/>
          <w:highlight w:val="yellow"/>
        </w:rPr>
        <w:t>Results:</w:t>
      </w:r>
      <w:r>
        <w:rPr>
          <w:rFonts w:hint="default" w:ascii="Times New Roman" w:hAnsi="Times New Roman" w:cs="Times New Roman"/>
          <w:highlight w:val="yellow"/>
        </w:rPr>
        <w:t> All extracts exhibited dose-dependent antioxidant activity. S. mombin, A. marmelos, and L. acidissima showed significant potency at low concentrations (3.125–50 µg/ml), surpassing BHT. S. mombin was the most potent antioxidant (IC₅₀ = 100.6 µg/ml), exceeding BHT (IC₅₀ = 120.2 µg/ml), while S. cumini was the least potent (IC₅₀ = 200.6 µg/ml). In contrast, the cytotoxicity profile revealed that S. mombin and S. cumini were highly toxic (LC₅₀ &lt; 0.78 µg/ml), comparable to vincristine. L. acidissima was the least cytotoxic extract.</w:t>
      </w:r>
    </w:p>
    <w:p w14:paraId="11C37D97">
      <w:pPr>
        <w:pStyle w:val="11"/>
        <w:bidi w:val="0"/>
        <w:spacing w:line="360" w:lineRule="auto"/>
        <w:rPr>
          <w:rFonts w:hint="default" w:ascii="Times New Roman" w:hAnsi="Times New Roman" w:cs="Times New Roman"/>
          <w:highlight w:val="yellow"/>
        </w:rPr>
      </w:pPr>
    </w:p>
    <w:p w14:paraId="55124F2F">
      <w:pPr>
        <w:pStyle w:val="11"/>
        <w:bidi w:val="0"/>
        <w:spacing w:line="360" w:lineRule="auto"/>
        <w:rPr>
          <w:rFonts w:hint="default" w:ascii="Times New Roman" w:hAnsi="Times New Roman" w:cs="Times New Roman"/>
          <w:highlight w:val="yellow"/>
        </w:rPr>
      </w:pPr>
      <w:r>
        <w:rPr>
          <w:rFonts w:hint="default" w:ascii="Times New Roman" w:hAnsi="Times New Roman" w:cs="Times New Roman"/>
          <w:b/>
          <w:bCs/>
          <w:highlight w:val="yellow"/>
        </w:rPr>
        <w:t>Conclusion: </w:t>
      </w:r>
      <w:r>
        <w:rPr>
          <w:rFonts w:hint="default" w:ascii="Times New Roman" w:hAnsi="Times New Roman" w:cs="Times New Roman"/>
          <w:highlight w:val="yellow"/>
        </w:rPr>
        <w:t xml:space="preserve">The integrated analysis suggests distinct therapeutic pathways. The potent antioxidant activity combined with low cytotoxicity makes L. acidissima a prime candidate for nutraceuticals. Conversely, the strong cytotoxicity and antioxidant capacity of S. mombin indicate high potential for anticancer research. A. marmelos offers a balanced profile for general therapeutics, while S. cumini's bioactivity likely involves mechanisms other than direct radical scavenging. </w:t>
      </w:r>
    </w:p>
    <w:p w14:paraId="7A34F48E">
      <w:pPr>
        <w:pStyle w:val="11"/>
        <w:bidi w:val="0"/>
        <w:spacing w:line="360" w:lineRule="auto"/>
        <w:rPr>
          <w:rFonts w:hint="default" w:ascii="Times New Roman" w:hAnsi="Times New Roman" w:cs="Times New Roman"/>
          <w:highlight w:val="yellow"/>
        </w:rPr>
      </w:pPr>
      <w:r>
        <w:rPr>
          <w:rFonts w:hint="default" w:ascii="Times New Roman" w:hAnsi="Times New Roman" w:cs="Times New Roman"/>
          <w:highlight w:val="yellow"/>
        </w:rPr>
        <w:t>These findings validate the traditional use of these plants and guide their application-specific development.</w:t>
      </w:r>
    </w:p>
    <w:p w14:paraId="58A4332F">
      <w:pPr>
        <w:spacing w:line="360" w:lineRule="auto"/>
        <w:rPr>
          <w:rFonts w:ascii="Times New Roman" w:hAnsi="Times New Roman" w:cs="Times New Roman"/>
          <w:sz w:val="24"/>
          <w:szCs w:val="24"/>
        </w:rPr>
      </w:pPr>
      <w:r>
        <w:rPr>
          <w:rFonts w:ascii="Times New Roman" w:hAnsi="Times New Roman" w:cs="Times New Roman"/>
          <w:b/>
          <w:bCs/>
          <w:sz w:val="24"/>
          <w:szCs w:val="24"/>
        </w:rPr>
        <w:t>Keywords:</w:t>
      </w:r>
      <w:r>
        <w:rPr>
          <w:rFonts w:ascii="Times New Roman" w:hAnsi="Times New Roman" w:cs="Times New Roman"/>
          <w:sz w:val="24"/>
          <w:szCs w:val="24"/>
        </w:rPr>
        <w:t xml:space="preserve"> Antioxidant Activity, Cytotoxicity, Spondias mombin, Limonia acidissima, DPPH Assay, Brine Shrimp Lethality Assay</w:t>
      </w:r>
    </w:p>
    <w:p w14:paraId="42A309BC">
      <w:pPr>
        <w:spacing w:line="360" w:lineRule="auto"/>
        <w:rPr>
          <w:rFonts w:ascii="Times New Roman" w:hAnsi="Times New Roman" w:cs="Times New Roman"/>
          <w:b/>
          <w:bCs/>
          <w:sz w:val="24"/>
          <w:szCs w:val="24"/>
        </w:rPr>
      </w:pPr>
    </w:p>
    <w:p w14:paraId="26D74E15">
      <w:pPr>
        <w:spacing w:line="360" w:lineRule="auto"/>
        <w:rPr>
          <w:rFonts w:ascii="Times New Roman" w:hAnsi="Times New Roman" w:cs="Times New Roman"/>
          <w:b/>
          <w:bCs/>
          <w:sz w:val="24"/>
          <w:szCs w:val="24"/>
        </w:rPr>
      </w:pPr>
      <w:r>
        <w:rPr>
          <w:rFonts w:ascii="Times New Roman" w:hAnsi="Times New Roman" w:cs="Times New Roman"/>
          <w:b/>
          <w:bCs/>
          <w:sz w:val="24"/>
          <w:szCs w:val="24"/>
        </w:rPr>
        <w:t>Introduction</w:t>
      </w:r>
    </w:p>
    <w:p w14:paraId="45485A1E">
      <w:pPr>
        <w:spacing w:line="360" w:lineRule="auto"/>
        <w:rPr>
          <w:rFonts w:ascii="Times New Roman" w:hAnsi="Times New Roman" w:cs="Times New Roman"/>
          <w:sz w:val="24"/>
          <w:szCs w:val="24"/>
        </w:rPr>
      </w:pPr>
      <w:r>
        <w:rPr>
          <w:rFonts w:ascii="Times New Roman" w:hAnsi="Times New Roman" w:cs="Times New Roman"/>
          <w:sz w:val="24"/>
          <w:szCs w:val="24"/>
        </w:rPr>
        <w:t>The global search for bioactive compounds from natural sources, particularly plants, has gained unprecedented momentum in recent decades. This resurgence is driven by the limitations of synthetic drugs, including side effects and rising resistance, coupled with a growing body of scientific evidence validating the pharmacological potential of ethnobotanical resources [1, 2]. Plants have long served as a cornerstone of traditional medicine systems worldwide, offering a vast repository of complex phytochemicals with diverse therapeutic activities, including antioxidant, antimicrobial, and anticancer properties [3, 4]. Among these, antioxidant activity is of paramount importance, as the neutralization of reactive oxygen species (ROS) and free radicals is a critical defense mechanism against oxidative stress—a key pathological contributor to chronic diseases such as cancer, diabetes, cardiovascular, and neurodegenerative disorders [5, 6].</w:t>
      </w:r>
    </w:p>
    <w:p w14:paraId="6C09C36E">
      <w:pPr>
        <w:spacing w:line="360" w:lineRule="auto"/>
        <w:rPr>
          <w:rFonts w:ascii="Times New Roman" w:hAnsi="Times New Roman" w:cs="Times New Roman"/>
          <w:sz w:val="24"/>
          <w:szCs w:val="24"/>
        </w:rPr>
      </w:pPr>
      <w:r>
        <w:rPr>
          <w:rFonts w:ascii="Times New Roman" w:hAnsi="Times New Roman" w:cs="Times New Roman"/>
          <w:sz w:val="24"/>
          <w:szCs w:val="24"/>
        </w:rPr>
        <w:t>Fruits, in particular, are rich sources of natural antioxidants, including phenolics, flavonoids, and vitamins, which can effectively donate hydrogen atoms or electrons to stabilize free radicals [7, 8]. The 2,2-diphenyl-1-picrylhydrazyl (DPPH) radical scavenging assay is a widely employed, robust method for the initial in vitro assessment of this antioxidant capacity, providing a rapid screen for potent extracts [9, 10]. However, while strong antioxidant activity is desirable for nutraceutical or preventive applications, it is only one facet of a plant's pharmacological profile. A comprehensive assessment must also evaluate potential toxicity. The Brine Shrimp Lethality Assay (BSLA) serves as a simple, reliable, and inexpensive preliminary tool for gauging general cytotoxicity and identifying extracts with potential bioactivity worthy of further investigation, including for anticancer leads [11, 12]. The correlation between antioxidant potency and cytotoxicity can provide invaluable insights for directing specific plant extracts towards their most suitable applications, be it as safe nutraceuticals or as sources of potent cytotoxic agents for oncology research [13].</w:t>
      </w:r>
    </w:p>
    <w:p w14:paraId="72EDF548">
      <w:pPr>
        <w:spacing w:line="360" w:lineRule="auto"/>
        <w:rPr>
          <w:rFonts w:ascii="Times New Roman" w:hAnsi="Times New Roman" w:cs="Times New Roman"/>
          <w:sz w:val="24"/>
          <w:szCs w:val="24"/>
        </w:rPr>
      </w:pPr>
      <w:r>
        <w:rPr>
          <w:rFonts w:ascii="Times New Roman" w:hAnsi="Times New Roman" w:cs="Times New Roman"/>
          <w:sz w:val="24"/>
          <w:szCs w:val="24"/>
        </w:rPr>
        <w:t>This study focuses on the multidisciplinary assessment of four fruit-bearing plants with significant ethnomedicinal history: Spondias mombin (Amtaor in Hindi, Hog Plum), Aegle marmelos (Bael), Limonia acidissima (Vilvam or Wood Apple), and Syzygium cumini (Jamun). These species are renowned in various traditional practices for treating ailments ranging from diarrhea and dysentery to diabetes and inflammatory conditions [14, 15, 16, 17]. Despite their traditional uses, a comparative analysis that directly correlates their in vitro antioxidant activity with their cytotoxicity profile is lacking.</w:t>
      </w:r>
    </w:p>
    <w:p w14:paraId="1D150508">
      <w:pPr>
        <w:spacing w:line="360" w:lineRule="auto"/>
        <w:rPr>
          <w:rFonts w:ascii="Times New Roman" w:hAnsi="Times New Roman" w:cs="Times New Roman"/>
          <w:sz w:val="24"/>
          <w:szCs w:val="24"/>
        </w:rPr>
      </w:pPr>
      <w:r>
        <w:rPr>
          <w:rFonts w:ascii="Times New Roman" w:hAnsi="Times New Roman" w:cs="Times New Roman"/>
          <w:sz w:val="24"/>
          <w:szCs w:val="24"/>
        </w:rPr>
        <w:t>Therefore, the present study was designed to systematically investigate and compare the pharmacological properties of methanolic extracts of these four fruits. The specific objectives were: (1) to quantitatively evaluate their in vitro antioxidant activity using the DPPH radical scavenging assay and compare their potency to the synthetic antioxidant Butylated Hydroxytoluene (BHT); (2) to assess their cytotoxicity using the Brine Shrimp Lethality Assay, using Vincristine sulfate as a positive control; and (3) to integrate these findings to propose evidence-based, potential applications for each plant, whether as a source of safe antioxidants or as a candidate for further anticancer research. By undertaking this dual-faceted approach, this work aims to bridge traditional knowledge with scientific validation and provide a clear framework for the targeted development of these medicinal plants.</w:t>
      </w:r>
    </w:p>
    <w:p w14:paraId="71F7EF89">
      <w:pPr>
        <w:spacing w:line="360" w:lineRule="auto"/>
        <w:rPr>
          <w:rFonts w:ascii="Times New Roman" w:hAnsi="Times New Roman" w:cs="Times New Roman"/>
          <w:sz w:val="24"/>
          <w:szCs w:val="24"/>
        </w:rPr>
      </w:pPr>
    </w:p>
    <w:p w14:paraId="077A45F6">
      <w:pPr>
        <w:spacing w:line="360" w:lineRule="auto"/>
        <w:rPr>
          <w:rFonts w:ascii="Times New Roman" w:hAnsi="Times New Roman" w:cs="Times New Roman"/>
          <w:b/>
          <w:bCs/>
          <w:sz w:val="24"/>
          <w:szCs w:val="24"/>
        </w:rPr>
      </w:pPr>
    </w:p>
    <w:p w14:paraId="213AACC8">
      <w:pPr>
        <w:spacing w:line="360" w:lineRule="auto"/>
        <w:rPr>
          <w:rFonts w:ascii="Times New Roman" w:hAnsi="Times New Roman" w:cs="Times New Roman"/>
          <w:b/>
          <w:bCs/>
          <w:sz w:val="24"/>
          <w:szCs w:val="24"/>
        </w:rPr>
      </w:pPr>
    </w:p>
    <w:p w14:paraId="2B1BFC57">
      <w:pPr>
        <w:spacing w:line="360" w:lineRule="auto"/>
        <w:rPr>
          <w:rFonts w:ascii="Times New Roman" w:hAnsi="Times New Roman" w:cs="Times New Roman"/>
          <w:b/>
          <w:bCs/>
          <w:sz w:val="24"/>
          <w:szCs w:val="24"/>
        </w:rPr>
      </w:pPr>
      <w:r>
        <w:rPr>
          <w:rFonts w:ascii="Times New Roman" w:hAnsi="Times New Roman" w:cs="Times New Roman"/>
          <w:b/>
          <w:bCs/>
          <w:sz w:val="24"/>
          <w:szCs w:val="24"/>
        </w:rPr>
        <w:t>Methodology</w:t>
      </w:r>
    </w:p>
    <w:p w14:paraId="5217BFA5">
      <w:pPr>
        <w:spacing w:line="360" w:lineRule="auto"/>
        <w:rPr>
          <w:rFonts w:ascii="Times New Roman" w:hAnsi="Times New Roman" w:cs="Times New Roman"/>
          <w:b/>
          <w:bCs/>
          <w:sz w:val="24"/>
          <w:szCs w:val="24"/>
        </w:rPr>
      </w:pPr>
    </w:p>
    <w:p w14:paraId="7ADD5108">
      <w:pPr>
        <w:spacing w:line="360" w:lineRule="auto"/>
        <w:rPr>
          <w:rFonts w:ascii="Times New Roman" w:hAnsi="Times New Roman" w:cs="Times New Roman"/>
          <w:b/>
          <w:bCs/>
          <w:sz w:val="24"/>
          <w:szCs w:val="24"/>
        </w:rPr>
      </w:pPr>
      <w:r>
        <w:rPr>
          <w:rFonts w:ascii="Times New Roman" w:hAnsi="Times New Roman" w:cs="Times New Roman"/>
          <w:b/>
          <w:bCs/>
          <w:sz w:val="24"/>
          <w:szCs w:val="24"/>
        </w:rPr>
        <w:t>DPPH Free Radical Scavenging Assay</w:t>
      </w:r>
    </w:p>
    <w:p w14:paraId="2FEC7251">
      <w:pPr>
        <w:spacing w:line="360" w:lineRule="auto"/>
        <w:rPr>
          <w:rFonts w:ascii="Times New Roman" w:hAnsi="Times New Roman" w:cs="Times New Roman"/>
          <w:sz w:val="24"/>
          <w:szCs w:val="24"/>
        </w:rPr>
      </w:pPr>
    </w:p>
    <w:p w14:paraId="64C1AFA3">
      <w:pPr>
        <w:spacing w:line="360" w:lineRule="auto"/>
        <w:rPr>
          <w:rFonts w:ascii="Times New Roman" w:hAnsi="Times New Roman" w:cs="Times New Roman"/>
          <w:sz w:val="24"/>
          <w:szCs w:val="24"/>
        </w:rPr>
      </w:pPr>
      <w:r>
        <w:rPr>
          <w:rFonts w:ascii="Times New Roman" w:hAnsi="Times New Roman" w:cs="Times New Roman"/>
          <w:sz w:val="24"/>
          <w:szCs w:val="24"/>
        </w:rPr>
        <w:t xml:space="preserve">The antioxidant potential of the </w:t>
      </w:r>
      <w:r>
        <w:rPr>
          <w:rFonts w:ascii="Times New Roman" w:hAnsi="Times New Roman" w:cs="Times New Roman"/>
          <w:sz w:val="24"/>
          <w:szCs w:val="24"/>
          <w:highlight w:val="yellow"/>
        </w:rPr>
        <w:t>petroleum ether</w:t>
      </w:r>
      <w:r>
        <w:rPr>
          <w:rFonts w:ascii="Times New Roman" w:hAnsi="Times New Roman" w:cs="Times New Roman"/>
          <w:sz w:val="24"/>
          <w:szCs w:val="24"/>
        </w:rPr>
        <w:t xml:space="preserve"> fractions from the leaves of Spondias mombin, Aegle marmelos, Limonia acidissima, and Syzygium cumini was assessed based on their ability to scavenge the stable free radical, 2,2-diphenyl-1-picrylhydrazyl (DPPH), following a modified method from Choi et al. (2000) and Desmarchelier et al. (1997). A </w:t>
      </w:r>
      <w:r>
        <w:rPr>
          <w:rFonts w:ascii="Times New Roman" w:hAnsi="Times New Roman" w:cs="Times New Roman"/>
          <w:sz w:val="24"/>
          <w:szCs w:val="24"/>
          <w:highlight w:val="yellow"/>
        </w:rPr>
        <w:t>petroleum ether</w:t>
      </w:r>
      <w:r>
        <w:rPr>
          <w:rFonts w:ascii="Times New Roman" w:hAnsi="Times New Roman" w:cs="Times New Roman"/>
          <w:sz w:val="24"/>
          <w:szCs w:val="24"/>
        </w:rPr>
        <w:t xml:space="preserve"> DPPH stock solution (20 µg/mL) was prepared fresh daily and stored in an amber bottle at room temperature to prevent photodegradation. The synthetic antioxidant, butylated hydroxytoluene (BHT), was used as a reference standard. Primary stock solutions (1000 µg/mL) of each plant fraction and BHT were prepared in </w:t>
      </w:r>
      <w:r>
        <w:rPr>
          <w:rFonts w:ascii="Times New Roman" w:hAnsi="Times New Roman" w:cs="Times New Roman"/>
          <w:sz w:val="24"/>
          <w:szCs w:val="24"/>
          <w:highlight w:val="yellow"/>
        </w:rPr>
        <w:t>petroleum ether</w:t>
      </w:r>
      <w:r>
        <w:rPr>
          <w:rFonts w:ascii="Times New Roman" w:hAnsi="Times New Roman" w:cs="Times New Roman"/>
          <w:sz w:val="24"/>
          <w:szCs w:val="24"/>
        </w:rPr>
        <w:t>. From these, a series of dilutions were made to obtain a concentration range of 0.977 to 500.0 µg/mL for the dose-response analysis.</w:t>
      </w:r>
    </w:p>
    <w:p w14:paraId="4784D7DF">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 xml:space="preserve">In a test tube, 2.0 mL of a sample at a specific concentration was combined with 3.0 mL of the </w:t>
      </w:r>
      <w:r>
        <w:rPr>
          <w:rFonts w:ascii="Times New Roman" w:hAnsi="Times New Roman" w:cs="Times New Roman"/>
          <w:sz w:val="24"/>
          <w:szCs w:val="24"/>
          <w:highlight w:val="yellow"/>
        </w:rPr>
        <w:t>petroleum ether</w:t>
      </w:r>
      <w:r>
        <w:rPr>
          <w:rFonts w:ascii="Times New Roman" w:hAnsi="Times New Roman" w:cs="Times New Roman"/>
          <w:sz w:val="24"/>
          <w:szCs w:val="24"/>
        </w:rPr>
        <w:t xml:space="preserve"> DPPH solution. The reaction mixture was vigorously vortexed and then allowed to stand in the dark for 30 minutes. After incubation, the decrease in absorbance was measured at 517 nm using a UV-Vis spectrophotometer, with pure </w:t>
      </w:r>
      <w:r>
        <w:rPr>
          <w:rFonts w:ascii="Times New Roman" w:hAnsi="Times New Roman" w:cs="Times New Roman"/>
          <w:sz w:val="24"/>
          <w:szCs w:val="24"/>
          <w:highlight w:val="yellow"/>
        </w:rPr>
        <w:t>petroleum ether</w:t>
      </w:r>
      <w:r>
        <w:rPr>
          <w:rFonts w:ascii="Times New Roman" w:hAnsi="Times New Roman" w:cs="Times New Roman"/>
          <w:sz w:val="24"/>
          <w:szCs w:val="24"/>
        </w:rPr>
        <w:t xml:space="preserve"> used as the blank.</w:t>
      </w:r>
      <w:r>
        <w:rPr>
          <w:rFonts w:hint="default" w:ascii="Times New Roman" w:hAnsi="Times New Roman" w:cs="Times New Roman"/>
          <w:sz w:val="24"/>
          <w:szCs w:val="24"/>
          <w:lang w:val="en-US"/>
        </w:rPr>
        <w:t xml:space="preserve"> </w:t>
      </w:r>
    </w:p>
    <w:p w14:paraId="100B71B8">
      <w:pPr>
        <w:spacing w:line="360" w:lineRule="auto"/>
        <w:rPr>
          <w:rFonts w:ascii="Times New Roman" w:hAnsi="Times New Roman" w:cs="Times New Roman"/>
          <w:sz w:val="24"/>
          <w:szCs w:val="24"/>
        </w:rPr>
      </w:pPr>
      <w:r>
        <w:rPr>
          <w:rFonts w:ascii="Times New Roman" w:hAnsi="Times New Roman" w:cs="Times New Roman"/>
          <w:b/>
          <w:bCs/>
          <w:sz w:val="24"/>
          <w:szCs w:val="24"/>
        </w:rPr>
        <w:t>Data Analysis: </w:t>
      </w:r>
      <w:r>
        <w:rPr>
          <w:rFonts w:ascii="Times New Roman" w:hAnsi="Times New Roman" w:cs="Times New Roman"/>
          <w:sz w:val="24"/>
          <w:szCs w:val="24"/>
        </w:rPr>
        <w:t>The DPPH radical scavenging activity for each concentration was expressed as the percentage of inhibition (I%), calculated by the formula:</w:t>
      </w:r>
      <w:r>
        <w:rPr>
          <w:rFonts w:ascii="Times New Roman" w:hAnsi="Times New Roman" w:cs="Times New Roman"/>
          <w:sz w:val="24"/>
          <w:szCs w:val="24"/>
        </w:rPr>
        <w:br w:type="textWrapping"/>
      </w:r>
      <w:r>
        <w:rPr>
          <w:rFonts w:ascii="Times New Roman" w:hAnsi="Times New Roman" w:cs="Times New Roman"/>
          <w:sz w:val="24"/>
          <w:szCs w:val="24"/>
        </w:rPr>
        <w:t>I% = (1 - A_sample / A_control) × 100</w:t>
      </w:r>
      <w:r>
        <w:rPr>
          <w:rFonts w:ascii="Times New Roman" w:hAnsi="Times New Roman" w:cs="Times New Roman"/>
          <w:sz w:val="24"/>
          <w:szCs w:val="24"/>
        </w:rPr>
        <w:br w:type="textWrapping"/>
      </w:r>
      <w:r>
        <w:rPr>
          <w:rFonts w:ascii="Times New Roman" w:hAnsi="Times New Roman" w:cs="Times New Roman"/>
          <w:sz w:val="24"/>
          <w:szCs w:val="24"/>
        </w:rPr>
        <w:t xml:space="preserve">Here, A_control represents the absorbance of the DPPH solution mixed with </w:t>
      </w:r>
      <w:r>
        <w:rPr>
          <w:rFonts w:ascii="Times New Roman" w:hAnsi="Times New Roman" w:cs="Times New Roman"/>
          <w:sz w:val="24"/>
          <w:szCs w:val="24"/>
          <w:highlight w:val="yellow"/>
        </w:rPr>
        <w:t>petroleum ether</w:t>
      </w:r>
      <w:r>
        <w:rPr>
          <w:rFonts w:ascii="Times New Roman" w:hAnsi="Times New Roman" w:cs="Times New Roman"/>
          <w:sz w:val="24"/>
          <w:szCs w:val="24"/>
        </w:rPr>
        <w:t xml:space="preserve"> instead of the sample. The effective concentration for 50% scavenging (IC₅₀) was determined for each sample by plotting the inhibition percentage against the corresponding concentration and performing a non-linear regression analysis.</w:t>
      </w:r>
    </w:p>
    <w:p w14:paraId="0717A6E6">
      <w:pPr>
        <w:spacing w:line="360" w:lineRule="auto"/>
        <w:rPr>
          <w:rFonts w:ascii="Times New Roman" w:hAnsi="Times New Roman" w:cs="Times New Roman"/>
          <w:sz w:val="24"/>
          <w:szCs w:val="24"/>
        </w:rPr>
      </w:pPr>
    </w:p>
    <w:p w14:paraId="3745E9CB">
      <w:pPr>
        <w:spacing w:line="360" w:lineRule="auto"/>
        <w:rPr>
          <w:rFonts w:ascii="Times New Roman" w:hAnsi="Times New Roman" w:cs="Times New Roman"/>
          <w:b/>
          <w:bCs/>
          <w:sz w:val="24"/>
          <w:szCs w:val="24"/>
        </w:rPr>
      </w:pPr>
      <w:r>
        <w:rPr>
          <w:rFonts w:ascii="Times New Roman" w:hAnsi="Times New Roman" w:cs="Times New Roman"/>
          <w:b/>
          <w:bCs/>
          <w:sz w:val="24"/>
          <w:szCs w:val="24"/>
        </w:rPr>
        <w:t>Cytotoxicity Assessment by Brine Shrimp Lethality Bioassay</w:t>
      </w:r>
    </w:p>
    <w:p w14:paraId="24015438">
      <w:pPr>
        <w:spacing w:line="360" w:lineRule="auto"/>
        <w:rPr>
          <w:rFonts w:ascii="Times New Roman" w:hAnsi="Times New Roman" w:cs="Times New Roman"/>
          <w:sz w:val="24"/>
          <w:szCs w:val="24"/>
        </w:rPr>
      </w:pPr>
    </w:p>
    <w:p w14:paraId="0FC8800E">
      <w:pPr>
        <w:spacing w:line="360" w:lineRule="auto"/>
        <w:rPr>
          <w:rFonts w:ascii="Times New Roman" w:hAnsi="Times New Roman" w:cs="Times New Roman"/>
          <w:sz w:val="24"/>
          <w:szCs w:val="24"/>
        </w:rPr>
      </w:pPr>
      <w:r>
        <w:rPr>
          <w:rFonts w:ascii="Times New Roman" w:hAnsi="Times New Roman" w:cs="Times New Roman"/>
          <w:sz w:val="24"/>
          <w:szCs w:val="24"/>
        </w:rPr>
        <w:t>The in vitro cytotoxic potential of the petroleum ether fractions from Spondias mombin, Aegle marmelos, Limonia acidissima, and Syzygium cumini was evaluated using the brine shrimp lethality assay (BSLA), a rapid and reliable preliminary toxicity screen.</w:t>
      </w:r>
    </w:p>
    <w:p w14:paraId="4F8CBFD1">
      <w:pPr>
        <w:spacing w:line="360" w:lineRule="auto"/>
        <w:rPr>
          <w:rFonts w:ascii="Times New Roman" w:hAnsi="Times New Roman" w:cs="Times New Roman"/>
          <w:sz w:val="24"/>
          <w:szCs w:val="24"/>
        </w:rPr>
      </w:pPr>
      <w:r>
        <w:rPr>
          <w:rFonts w:ascii="Times New Roman" w:hAnsi="Times New Roman" w:cs="Times New Roman"/>
          <w:sz w:val="24"/>
          <w:szCs w:val="24"/>
        </w:rPr>
        <w:t>A suspension of brine shrimp (Artemia salina) nauplii was prepared by hatching cysts in artificial seawater. Sample solutions were prepared by dissolving the plant fractions in dimethyl sulfoxide (DMSO) and then diluting with artificial seawater to achieve a final DMSO concentration of 1% (v/v). A series of test concentrations (0.78, 1.56, 3.13, 6.25, 12.5, 25, 50, 100, 200, and 400 µg/mL) were prepared from a primary stock solution. A control group, containing 1% DMSO in seawater, was run concurrently.</w:t>
      </w:r>
    </w:p>
    <w:p w14:paraId="0D553C21">
      <w:pPr>
        <w:spacing w:line="360" w:lineRule="auto"/>
        <w:rPr>
          <w:rFonts w:ascii="Times New Roman" w:hAnsi="Times New Roman" w:cs="Times New Roman"/>
          <w:sz w:val="24"/>
          <w:szCs w:val="24"/>
        </w:rPr>
      </w:pPr>
      <w:r>
        <w:rPr>
          <w:rFonts w:ascii="Times New Roman" w:hAnsi="Times New Roman" w:cs="Times New Roman"/>
          <w:sz w:val="24"/>
          <w:szCs w:val="24"/>
        </w:rPr>
        <w:t>For each concentration, ten actively swimming nauplii were transferred into test vials containing 5 mL of the sample solution. Each concentration was tested in triplicate. The vials were maintained under illumination for 24 hours at room temperature. After the incubation period, the number of surviving nauplii in each vial was counted. The percentage of mortality at each concentration was calculated after correcting for natural mortality in the control group using Abbott's formula.</w:t>
      </w:r>
    </w:p>
    <w:p w14:paraId="43AFBC34">
      <w:pPr>
        <w:spacing w:line="360" w:lineRule="auto"/>
        <w:rPr>
          <w:rFonts w:ascii="Times New Roman" w:hAnsi="Times New Roman" w:cs="Times New Roman"/>
          <w:sz w:val="24"/>
          <w:szCs w:val="24"/>
        </w:rPr>
      </w:pPr>
      <w:r>
        <w:rPr>
          <w:rFonts w:ascii="Times New Roman" w:hAnsi="Times New Roman" w:cs="Times New Roman"/>
          <w:sz w:val="24"/>
          <w:szCs w:val="24"/>
        </w:rPr>
        <w:t>The median lethal concentration (LC₅₀), defined as the concentration that causes 50% mortality of the nauplii after 24 hours, was determined by plotting the percentage mortality against the logarithm of the concentration and performing probit regression analysis. Following established criteria, plant extracts with an LC₅₀ value greater than 1000 µg/mL were considered non-toxic (inactive). The results demonstrated a clear concentration-dependent cytotoxic effect, with the highest tested concentration (400 µg/mL) resulting in 100% mortality, while no mortality was observed in the control group.</w:t>
      </w:r>
    </w:p>
    <w:p w14:paraId="50D80B60">
      <w:pPr>
        <w:spacing w:line="360" w:lineRule="auto"/>
        <w:rPr>
          <w:rFonts w:ascii="Times New Roman" w:hAnsi="Times New Roman" w:cs="Times New Roman"/>
          <w:sz w:val="24"/>
          <w:szCs w:val="24"/>
        </w:rPr>
      </w:pPr>
    </w:p>
    <w:p w14:paraId="1B0BF2A0">
      <w:pPr>
        <w:spacing w:line="360" w:lineRule="auto"/>
        <w:rPr>
          <w:rFonts w:ascii="Times New Roman" w:hAnsi="Times New Roman" w:cs="Times New Roman"/>
          <w:b/>
          <w:bCs/>
          <w:sz w:val="24"/>
          <w:szCs w:val="24"/>
        </w:rPr>
      </w:pPr>
    </w:p>
    <w:p w14:paraId="713DAF0B">
      <w:pPr>
        <w:spacing w:line="360" w:lineRule="auto"/>
        <w:rPr>
          <w:rFonts w:ascii="Times New Roman" w:hAnsi="Times New Roman" w:cs="Times New Roman"/>
          <w:b/>
          <w:bCs/>
          <w:sz w:val="24"/>
          <w:szCs w:val="24"/>
        </w:rPr>
      </w:pPr>
    </w:p>
    <w:p w14:paraId="1889E011">
      <w:pPr>
        <w:spacing w:line="360" w:lineRule="auto"/>
        <w:rPr>
          <w:rFonts w:ascii="Times New Roman" w:hAnsi="Times New Roman" w:cs="Times New Roman"/>
          <w:b/>
          <w:bCs/>
          <w:sz w:val="24"/>
          <w:szCs w:val="24"/>
        </w:rPr>
      </w:pPr>
    </w:p>
    <w:p w14:paraId="75ECE63E">
      <w:pPr>
        <w:spacing w:line="360" w:lineRule="auto"/>
        <w:rPr>
          <w:rFonts w:ascii="Times New Roman" w:hAnsi="Times New Roman" w:cs="Times New Roman"/>
          <w:b/>
          <w:bCs/>
          <w:sz w:val="24"/>
          <w:szCs w:val="24"/>
        </w:rPr>
      </w:pPr>
    </w:p>
    <w:p w14:paraId="1C6AF468">
      <w:pPr>
        <w:spacing w:line="360" w:lineRule="auto"/>
        <w:rPr>
          <w:rFonts w:ascii="Times New Roman" w:hAnsi="Times New Roman" w:cs="Times New Roman"/>
          <w:b/>
          <w:bCs/>
          <w:sz w:val="24"/>
          <w:szCs w:val="24"/>
        </w:rPr>
      </w:pPr>
    </w:p>
    <w:p w14:paraId="561D1D49">
      <w:pPr>
        <w:spacing w:line="360" w:lineRule="auto"/>
        <w:rPr>
          <w:rFonts w:ascii="Times New Roman" w:hAnsi="Times New Roman" w:cs="Times New Roman"/>
          <w:b/>
          <w:bCs/>
          <w:sz w:val="24"/>
          <w:szCs w:val="24"/>
        </w:rPr>
      </w:pPr>
    </w:p>
    <w:p w14:paraId="1618B271">
      <w:pPr>
        <w:spacing w:line="360" w:lineRule="auto"/>
        <w:rPr>
          <w:rFonts w:ascii="Times New Roman" w:hAnsi="Times New Roman" w:cs="Times New Roman"/>
          <w:b/>
          <w:bCs/>
          <w:sz w:val="24"/>
          <w:szCs w:val="24"/>
        </w:rPr>
      </w:pPr>
    </w:p>
    <w:p w14:paraId="6527D9D0">
      <w:pPr>
        <w:spacing w:line="360" w:lineRule="auto"/>
        <w:rPr>
          <w:rFonts w:ascii="Times New Roman" w:hAnsi="Times New Roman" w:cs="Times New Roman"/>
          <w:b/>
          <w:bCs/>
          <w:sz w:val="24"/>
          <w:szCs w:val="24"/>
        </w:rPr>
      </w:pPr>
    </w:p>
    <w:p w14:paraId="3A1A72A1">
      <w:pPr>
        <w:spacing w:line="360" w:lineRule="auto"/>
        <w:rPr>
          <w:rFonts w:ascii="Times New Roman" w:hAnsi="Times New Roman" w:cs="Times New Roman"/>
          <w:b/>
          <w:bCs/>
          <w:sz w:val="24"/>
          <w:szCs w:val="24"/>
        </w:rPr>
      </w:pPr>
    </w:p>
    <w:p w14:paraId="2C821243">
      <w:pPr>
        <w:spacing w:line="360" w:lineRule="auto"/>
        <w:rPr>
          <w:rFonts w:ascii="Times New Roman" w:hAnsi="Times New Roman" w:cs="Times New Roman"/>
          <w:b/>
          <w:bCs/>
          <w:sz w:val="24"/>
          <w:szCs w:val="24"/>
        </w:rPr>
      </w:pPr>
    </w:p>
    <w:p w14:paraId="7738E158">
      <w:pPr>
        <w:spacing w:line="360" w:lineRule="auto"/>
        <w:rPr>
          <w:rFonts w:ascii="Times New Roman" w:hAnsi="Times New Roman" w:cs="Times New Roman"/>
          <w:b/>
          <w:bCs/>
          <w:sz w:val="24"/>
          <w:szCs w:val="24"/>
        </w:rPr>
      </w:pPr>
    </w:p>
    <w:p w14:paraId="5FAB66BA">
      <w:pPr>
        <w:spacing w:line="360" w:lineRule="auto"/>
        <w:rPr>
          <w:rFonts w:ascii="Times New Roman" w:hAnsi="Times New Roman" w:cs="Times New Roman"/>
          <w:b/>
          <w:bCs/>
          <w:sz w:val="24"/>
          <w:szCs w:val="24"/>
        </w:rPr>
      </w:pPr>
    </w:p>
    <w:p w14:paraId="2C1F4A9A">
      <w:pPr>
        <w:spacing w:line="360" w:lineRule="auto"/>
        <w:rPr>
          <w:rFonts w:ascii="Times New Roman" w:hAnsi="Times New Roman" w:cs="Times New Roman"/>
          <w:b/>
          <w:bCs/>
          <w:sz w:val="24"/>
          <w:szCs w:val="24"/>
        </w:rPr>
      </w:pPr>
    </w:p>
    <w:p w14:paraId="3CE9800E">
      <w:pPr>
        <w:spacing w:line="360" w:lineRule="auto"/>
        <w:rPr>
          <w:rFonts w:ascii="Times New Roman" w:hAnsi="Times New Roman" w:cs="Times New Roman"/>
          <w:b/>
          <w:bCs/>
          <w:sz w:val="24"/>
          <w:szCs w:val="24"/>
        </w:rPr>
      </w:pPr>
    </w:p>
    <w:p w14:paraId="3E31C275">
      <w:pPr>
        <w:spacing w:line="360" w:lineRule="auto"/>
        <w:rPr>
          <w:rFonts w:ascii="Times New Roman" w:hAnsi="Times New Roman" w:cs="Times New Roman"/>
          <w:b/>
          <w:bCs/>
          <w:sz w:val="24"/>
          <w:szCs w:val="24"/>
        </w:rPr>
      </w:pPr>
    </w:p>
    <w:p w14:paraId="4D5AEE72">
      <w:pPr>
        <w:spacing w:line="360" w:lineRule="auto"/>
        <w:rPr>
          <w:rFonts w:ascii="Times New Roman" w:hAnsi="Times New Roman" w:cs="Times New Roman"/>
          <w:b/>
          <w:bCs/>
          <w:sz w:val="24"/>
          <w:szCs w:val="24"/>
        </w:rPr>
      </w:pPr>
    </w:p>
    <w:p w14:paraId="6715F6FD">
      <w:pPr>
        <w:spacing w:line="360" w:lineRule="auto"/>
        <w:rPr>
          <w:rFonts w:ascii="Times New Roman" w:hAnsi="Times New Roman" w:cs="Times New Roman"/>
          <w:b/>
          <w:bCs/>
          <w:sz w:val="24"/>
          <w:szCs w:val="24"/>
        </w:rPr>
      </w:pPr>
    </w:p>
    <w:p w14:paraId="7818F0D4">
      <w:pPr>
        <w:spacing w:line="360" w:lineRule="auto"/>
        <w:rPr>
          <w:rFonts w:ascii="Times New Roman" w:hAnsi="Times New Roman" w:cs="Times New Roman"/>
          <w:b/>
          <w:bCs/>
          <w:sz w:val="24"/>
          <w:szCs w:val="24"/>
        </w:rPr>
      </w:pPr>
    </w:p>
    <w:p w14:paraId="79B06A31">
      <w:pPr>
        <w:spacing w:line="360" w:lineRule="auto"/>
        <w:rPr>
          <w:rFonts w:ascii="Times New Roman" w:hAnsi="Times New Roman" w:cs="Times New Roman"/>
          <w:b/>
          <w:bCs/>
          <w:sz w:val="24"/>
          <w:szCs w:val="24"/>
        </w:rPr>
      </w:pPr>
    </w:p>
    <w:p w14:paraId="12F9CEFF">
      <w:pPr>
        <w:spacing w:line="360" w:lineRule="auto"/>
        <w:rPr>
          <w:rFonts w:ascii="Times New Roman" w:hAnsi="Times New Roman" w:cs="Times New Roman"/>
          <w:b/>
          <w:bCs/>
          <w:sz w:val="24"/>
          <w:szCs w:val="24"/>
        </w:rPr>
      </w:pPr>
    </w:p>
    <w:p w14:paraId="5BA70162">
      <w:pPr>
        <w:spacing w:line="360" w:lineRule="auto"/>
        <w:rPr>
          <w:rFonts w:ascii="Times New Roman" w:hAnsi="Times New Roman" w:cs="Times New Roman"/>
          <w:b/>
          <w:bCs/>
          <w:sz w:val="24"/>
          <w:szCs w:val="24"/>
        </w:rPr>
      </w:pPr>
    </w:p>
    <w:p w14:paraId="08BF6DF3">
      <w:pPr>
        <w:spacing w:line="360" w:lineRule="auto"/>
        <w:rPr>
          <w:rFonts w:ascii="Times New Roman" w:hAnsi="Times New Roman" w:cs="Times New Roman"/>
          <w:b/>
          <w:bCs/>
          <w:sz w:val="24"/>
          <w:szCs w:val="24"/>
        </w:rPr>
      </w:pPr>
    </w:p>
    <w:p w14:paraId="72E7C2D5">
      <w:pPr>
        <w:spacing w:line="360" w:lineRule="auto"/>
        <w:rPr>
          <w:rFonts w:ascii="Times New Roman" w:hAnsi="Times New Roman" w:cs="Times New Roman"/>
          <w:b/>
          <w:bCs/>
          <w:sz w:val="24"/>
          <w:szCs w:val="24"/>
        </w:rPr>
      </w:pPr>
    </w:p>
    <w:p w14:paraId="620574E1">
      <w:pPr>
        <w:spacing w:line="360" w:lineRule="auto"/>
        <w:rPr>
          <w:rFonts w:ascii="Times New Roman" w:hAnsi="Times New Roman" w:cs="Times New Roman"/>
          <w:b/>
          <w:bCs/>
          <w:sz w:val="24"/>
          <w:szCs w:val="24"/>
        </w:rPr>
      </w:pPr>
    </w:p>
    <w:p w14:paraId="2FEBB477">
      <w:pPr>
        <w:spacing w:line="360" w:lineRule="auto"/>
        <w:rPr>
          <w:rFonts w:ascii="Times New Roman" w:hAnsi="Times New Roman" w:cs="Times New Roman"/>
          <w:b/>
          <w:bCs/>
          <w:sz w:val="24"/>
          <w:szCs w:val="24"/>
        </w:rPr>
      </w:pPr>
    </w:p>
    <w:p w14:paraId="372FB5D0">
      <w:pPr>
        <w:spacing w:line="360" w:lineRule="auto"/>
        <w:rPr>
          <w:rFonts w:ascii="Times New Roman" w:hAnsi="Times New Roman" w:cs="Times New Roman"/>
          <w:b/>
          <w:bCs/>
          <w:sz w:val="24"/>
          <w:szCs w:val="24"/>
        </w:rPr>
      </w:pPr>
    </w:p>
    <w:p w14:paraId="65C00893">
      <w:pPr>
        <w:spacing w:line="360" w:lineRule="auto"/>
        <w:rPr>
          <w:rFonts w:ascii="Times New Roman" w:hAnsi="Times New Roman" w:cs="Times New Roman"/>
          <w:b/>
          <w:bCs/>
          <w:sz w:val="24"/>
          <w:szCs w:val="24"/>
        </w:rPr>
      </w:pPr>
    </w:p>
    <w:p w14:paraId="73A3931D">
      <w:pPr>
        <w:spacing w:line="360" w:lineRule="auto"/>
        <w:rPr>
          <w:rFonts w:ascii="Times New Roman" w:hAnsi="Times New Roman" w:cs="Times New Roman"/>
          <w:b/>
          <w:bCs/>
          <w:sz w:val="24"/>
          <w:szCs w:val="24"/>
        </w:rPr>
      </w:pPr>
      <w:r>
        <w:rPr>
          <w:rFonts w:ascii="Times New Roman" w:hAnsi="Times New Roman" w:cs="Times New Roman"/>
          <w:b/>
          <w:bCs/>
          <w:sz w:val="24"/>
          <w:szCs w:val="24"/>
        </w:rPr>
        <w:t>Results</w:t>
      </w:r>
    </w:p>
    <w:p w14:paraId="19287DFE">
      <w:pPr>
        <w:spacing w:line="360" w:lineRule="auto"/>
        <w:rPr>
          <w:rFonts w:ascii="Times New Roman" w:hAnsi="Times New Roman" w:cs="Times New Roman"/>
          <w:sz w:val="24"/>
          <w:szCs w:val="24"/>
        </w:rPr>
      </w:pPr>
    </w:p>
    <w:p w14:paraId="71B07E75">
      <w:pPr>
        <w:spacing w:line="360" w:lineRule="auto"/>
        <w:rPr>
          <w:rFonts w:ascii="Times New Roman" w:hAnsi="Times New Roman" w:cs="Times New Roman"/>
          <w:b/>
          <w:bCs/>
          <w:sz w:val="24"/>
          <w:szCs w:val="24"/>
        </w:rPr>
      </w:pPr>
      <w:r>
        <w:rPr>
          <w:rFonts w:ascii="Times New Roman" w:hAnsi="Times New Roman" w:cs="Times New Roman"/>
          <w:b/>
          <w:bCs/>
          <w:sz w:val="24"/>
          <w:szCs w:val="24"/>
        </w:rPr>
        <w:t>In Vitro Antioxidant Activity by DPPH Radical Scavenging Assay</w:t>
      </w:r>
    </w:p>
    <w:p w14:paraId="48840688">
      <w:pPr>
        <w:spacing w:line="360" w:lineRule="auto"/>
        <w:rPr>
          <w:rFonts w:ascii="Times New Roman" w:hAnsi="Times New Roman" w:cs="Times New Roman"/>
          <w:sz w:val="24"/>
          <w:szCs w:val="24"/>
        </w:rPr>
      </w:pPr>
    </w:p>
    <w:p w14:paraId="63378A1A">
      <w:pPr>
        <w:spacing w:line="360" w:lineRule="auto"/>
        <w:rPr>
          <w:rFonts w:ascii="Times New Roman" w:hAnsi="Times New Roman" w:cs="Times New Roman"/>
          <w:sz w:val="24"/>
          <w:szCs w:val="24"/>
        </w:rPr>
      </w:pPr>
      <w:r>
        <w:rPr>
          <w:rFonts w:ascii="Times New Roman" w:hAnsi="Times New Roman" w:cs="Times New Roman"/>
          <w:sz w:val="24"/>
          <w:szCs w:val="24"/>
        </w:rPr>
        <w:t xml:space="preserve">The antioxidant capacities of the </w:t>
      </w:r>
      <w:r>
        <w:rPr>
          <w:rFonts w:ascii="Times New Roman" w:hAnsi="Times New Roman" w:cs="Times New Roman"/>
          <w:sz w:val="24"/>
          <w:szCs w:val="24"/>
          <w:highlight w:val="yellow"/>
        </w:rPr>
        <w:t>petroleum ether</w:t>
      </w:r>
      <w:r>
        <w:rPr>
          <w:rFonts w:hint="default" w:ascii="Times New Roman" w:hAnsi="Times New Roman" w:cs="Times New Roman"/>
          <w:sz w:val="24"/>
          <w:szCs w:val="24"/>
          <w:highlight w:val="yellow"/>
          <w:lang w:val="en-US"/>
        </w:rPr>
        <w:t xml:space="preserve"> </w:t>
      </w:r>
      <w:r>
        <w:rPr>
          <w:rFonts w:ascii="Times New Roman" w:hAnsi="Times New Roman" w:cs="Times New Roman"/>
          <w:sz w:val="24"/>
          <w:szCs w:val="24"/>
        </w:rPr>
        <w:t>extracts of four plant species—Spondias mombin, Aegle marmelos, Limonia acidissima, and Syzygium cumini—were evaluated and compared against the synthetic antioxidant, Butylated Hydroxytoluene (BHT), using the DPPH (2,2-diphenyl-1-picrylhydrazyl) radical scavenging assay. The results, expressed as percentage radical scavenging activity across a concentration gradient (3.125 to 400 µg/ml), are summarized in Table 1.</w:t>
      </w:r>
    </w:p>
    <w:p w14:paraId="6D435CC0">
      <w:pPr>
        <w:spacing w:line="360" w:lineRule="auto"/>
        <w:rPr>
          <w:rFonts w:ascii="Times New Roman" w:hAnsi="Times New Roman" w:cs="Times New Roman"/>
          <w:sz w:val="24"/>
          <w:szCs w:val="24"/>
        </w:rPr>
      </w:pPr>
    </w:p>
    <w:p w14:paraId="113975E4">
      <w:pPr>
        <w:spacing w:line="360" w:lineRule="auto"/>
        <w:rPr>
          <w:rFonts w:ascii="Times New Roman" w:hAnsi="Times New Roman" w:cs="Times New Roman"/>
          <w:sz w:val="24"/>
          <w:szCs w:val="24"/>
        </w:rPr>
      </w:pPr>
      <w:r>
        <w:rPr>
          <w:rFonts w:ascii="Times New Roman" w:hAnsi="Times New Roman" w:cs="Times New Roman"/>
          <w:b/>
          <w:bCs/>
          <w:sz w:val="24"/>
          <w:szCs w:val="24"/>
        </w:rPr>
        <w:t>Table 1</w:t>
      </w:r>
      <w:r>
        <w:rPr>
          <w:rFonts w:ascii="Times New Roman" w:hAnsi="Times New Roman" w:cs="Times New Roman"/>
          <w:sz w:val="24"/>
          <w:szCs w:val="24"/>
        </w:rPr>
        <w:t>. DPPH radical scavenging activity of plant extracts and BHT.</w:t>
      </w:r>
    </w:p>
    <w:tbl>
      <w:tblPr>
        <w:tblStyle w:val="6"/>
        <w:tblW w:w="7205"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1"/>
        <w:gridCol w:w="1219"/>
        <w:gridCol w:w="1322"/>
        <w:gridCol w:w="1440"/>
        <w:gridCol w:w="1322"/>
        <w:gridCol w:w="841"/>
      </w:tblGrid>
      <w:tr w14:paraId="22C0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noWrap/>
            <w:vAlign w:val="center"/>
          </w:tcPr>
          <w:p w14:paraId="4D132E48">
            <w:pPr>
              <w:spacing w:line="360" w:lineRule="auto"/>
              <w:rPr>
                <w:rFonts w:ascii="Times New Roman" w:hAnsi="Times New Roman" w:cs="Times New Roman"/>
                <w:sz w:val="24"/>
                <w:szCs w:val="24"/>
              </w:rPr>
            </w:pPr>
            <w:r>
              <w:rPr>
                <w:rFonts w:ascii="Times New Roman" w:hAnsi="Times New Roman" w:cs="Times New Roman"/>
                <w:sz w:val="24"/>
                <w:szCs w:val="24"/>
              </w:rPr>
              <w:t xml:space="preserve">Conc. </w:t>
            </w:r>
          </w:p>
          <w:p w14:paraId="440696AB">
            <w:pPr>
              <w:spacing w:line="360" w:lineRule="auto"/>
              <w:rPr>
                <w:rFonts w:ascii="Times New Roman" w:hAnsi="Times New Roman" w:cs="Times New Roman"/>
                <w:sz w:val="24"/>
                <w:szCs w:val="24"/>
              </w:rPr>
            </w:pPr>
            <w:r>
              <w:rPr>
                <w:rFonts w:ascii="Times New Roman" w:hAnsi="Times New Roman" w:cs="Times New Roman"/>
                <w:sz w:val="24"/>
                <w:szCs w:val="24"/>
              </w:rPr>
              <w:t>(µg/ml)</w:t>
            </w:r>
          </w:p>
        </w:tc>
        <w:tc>
          <w:tcPr>
            <w:tcW w:w="0" w:type="auto"/>
            <w:noWrap/>
            <w:vAlign w:val="center"/>
          </w:tcPr>
          <w:p w14:paraId="3E664139">
            <w:pPr>
              <w:spacing w:line="360" w:lineRule="auto"/>
              <w:rPr>
                <w:rFonts w:ascii="Times New Roman" w:hAnsi="Times New Roman" w:cs="Times New Roman"/>
                <w:sz w:val="24"/>
                <w:szCs w:val="24"/>
              </w:rPr>
            </w:pPr>
            <w:r>
              <w:rPr>
                <w:rFonts w:ascii="Times New Roman" w:hAnsi="Times New Roman" w:cs="Times New Roman"/>
                <w:sz w:val="24"/>
                <w:szCs w:val="24"/>
              </w:rPr>
              <w:t xml:space="preserve">Spondias </w:t>
            </w:r>
          </w:p>
          <w:p w14:paraId="418449C3">
            <w:pPr>
              <w:spacing w:line="360" w:lineRule="auto"/>
              <w:rPr>
                <w:rFonts w:ascii="Times New Roman" w:hAnsi="Times New Roman" w:cs="Times New Roman"/>
                <w:sz w:val="24"/>
                <w:szCs w:val="24"/>
              </w:rPr>
            </w:pPr>
            <w:r>
              <w:rPr>
                <w:rFonts w:ascii="Times New Roman" w:hAnsi="Times New Roman" w:cs="Times New Roman"/>
                <w:sz w:val="24"/>
                <w:szCs w:val="24"/>
              </w:rPr>
              <w:t xml:space="preserve">Mombin </w:t>
            </w:r>
          </w:p>
        </w:tc>
        <w:tc>
          <w:tcPr>
            <w:tcW w:w="0" w:type="auto"/>
            <w:noWrap/>
            <w:vAlign w:val="center"/>
          </w:tcPr>
          <w:p w14:paraId="585609B4">
            <w:pPr>
              <w:spacing w:line="360" w:lineRule="auto"/>
              <w:rPr>
                <w:rFonts w:ascii="Times New Roman" w:hAnsi="Times New Roman" w:cs="Times New Roman"/>
                <w:sz w:val="24"/>
                <w:szCs w:val="24"/>
              </w:rPr>
            </w:pPr>
            <w:r>
              <w:rPr>
                <w:rFonts w:ascii="Times New Roman" w:hAnsi="Times New Roman" w:cs="Times New Roman"/>
                <w:sz w:val="24"/>
                <w:szCs w:val="24"/>
              </w:rPr>
              <w:t xml:space="preserve">Aegle </w:t>
            </w:r>
          </w:p>
          <w:p w14:paraId="2E560CBD">
            <w:pPr>
              <w:spacing w:line="360" w:lineRule="auto"/>
              <w:rPr>
                <w:rFonts w:ascii="Times New Roman" w:hAnsi="Times New Roman" w:cs="Times New Roman"/>
                <w:sz w:val="24"/>
                <w:szCs w:val="24"/>
              </w:rPr>
            </w:pPr>
            <w:r>
              <w:rPr>
                <w:rFonts w:ascii="Times New Roman" w:hAnsi="Times New Roman" w:cs="Times New Roman"/>
                <w:sz w:val="24"/>
                <w:szCs w:val="24"/>
              </w:rPr>
              <w:t xml:space="preserve">Marmelos </w:t>
            </w:r>
          </w:p>
        </w:tc>
        <w:tc>
          <w:tcPr>
            <w:tcW w:w="0" w:type="auto"/>
            <w:noWrap/>
            <w:vAlign w:val="center"/>
          </w:tcPr>
          <w:p w14:paraId="27FDBE2E">
            <w:pPr>
              <w:spacing w:line="360" w:lineRule="auto"/>
              <w:rPr>
                <w:rFonts w:ascii="Times New Roman" w:hAnsi="Times New Roman" w:cs="Times New Roman"/>
                <w:sz w:val="24"/>
                <w:szCs w:val="24"/>
              </w:rPr>
            </w:pPr>
            <w:r>
              <w:rPr>
                <w:rFonts w:ascii="Times New Roman" w:hAnsi="Times New Roman" w:cs="Times New Roman"/>
                <w:sz w:val="24"/>
                <w:szCs w:val="24"/>
              </w:rPr>
              <w:t xml:space="preserve">Limonia </w:t>
            </w:r>
          </w:p>
          <w:p w14:paraId="6BC902C6">
            <w:pPr>
              <w:spacing w:line="360" w:lineRule="auto"/>
              <w:rPr>
                <w:rFonts w:ascii="Times New Roman" w:hAnsi="Times New Roman" w:cs="Times New Roman"/>
                <w:sz w:val="24"/>
                <w:szCs w:val="24"/>
              </w:rPr>
            </w:pPr>
            <w:r>
              <w:rPr>
                <w:rFonts w:ascii="Times New Roman" w:hAnsi="Times New Roman" w:cs="Times New Roman"/>
                <w:sz w:val="24"/>
                <w:szCs w:val="24"/>
              </w:rPr>
              <w:t xml:space="preserve">Acidissima </w:t>
            </w:r>
          </w:p>
        </w:tc>
        <w:tc>
          <w:tcPr>
            <w:tcW w:w="0" w:type="auto"/>
            <w:noWrap/>
            <w:vAlign w:val="center"/>
          </w:tcPr>
          <w:p w14:paraId="3A6B3FD8">
            <w:pPr>
              <w:spacing w:line="360" w:lineRule="auto"/>
              <w:rPr>
                <w:rFonts w:ascii="Times New Roman" w:hAnsi="Times New Roman" w:cs="Times New Roman"/>
                <w:sz w:val="24"/>
                <w:szCs w:val="24"/>
              </w:rPr>
            </w:pPr>
            <w:r>
              <w:rPr>
                <w:rFonts w:ascii="Times New Roman" w:hAnsi="Times New Roman" w:cs="Times New Roman"/>
                <w:sz w:val="24"/>
                <w:szCs w:val="24"/>
              </w:rPr>
              <w:t xml:space="preserve">Syzygium </w:t>
            </w:r>
          </w:p>
          <w:p w14:paraId="49CA1250">
            <w:pPr>
              <w:spacing w:line="360" w:lineRule="auto"/>
              <w:rPr>
                <w:rFonts w:ascii="Times New Roman" w:hAnsi="Times New Roman" w:cs="Times New Roman"/>
                <w:sz w:val="24"/>
                <w:szCs w:val="24"/>
              </w:rPr>
            </w:pPr>
            <w:r>
              <w:rPr>
                <w:rFonts w:ascii="Times New Roman" w:hAnsi="Times New Roman" w:cs="Times New Roman"/>
                <w:sz w:val="24"/>
                <w:szCs w:val="24"/>
              </w:rPr>
              <w:t xml:space="preserve">Cumini </w:t>
            </w:r>
          </w:p>
        </w:tc>
        <w:tc>
          <w:tcPr>
            <w:tcW w:w="0" w:type="auto"/>
            <w:noWrap/>
            <w:vAlign w:val="center"/>
          </w:tcPr>
          <w:p w14:paraId="3A7DC1F5">
            <w:pPr>
              <w:spacing w:line="360" w:lineRule="auto"/>
              <w:rPr>
                <w:rFonts w:ascii="Times New Roman" w:hAnsi="Times New Roman" w:cs="Times New Roman"/>
                <w:sz w:val="24"/>
                <w:szCs w:val="24"/>
              </w:rPr>
            </w:pPr>
            <w:r>
              <w:rPr>
                <w:rFonts w:ascii="Times New Roman" w:hAnsi="Times New Roman" w:cs="Times New Roman"/>
                <w:sz w:val="24"/>
                <w:szCs w:val="24"/>
              </w:rPr>
              <w:t>BHT</w:t>
            </w:r>
          </w:p>
          <w:p w14:paraId="3BDCC5BC">
            <w:pPr>
              <w:spacing w:line="360" w:lineRule="auto"/>
              <w:rPr>
                <w:rFonts w:ascii="Times New Roman" w:hAnsi="Times New Roman" w:cs="Times New Roman"/>
                <w:sz w:val="24"/>
                <w:szCs w:val="24"/>
              </w:rPr>
            </w:pPr>
          </w:p>
        </w:tc>
      </w:tr>
      <w:tr w14:paraId="28B5E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noWrap/>
            <w:vAlign w:val="center"/>
          </w:tcPr>
          <w:p w14:paraId="140E0213">
            <w:pPr>
              <w:spacing w:line="360" w:lineRule="auto"/>
              <w:rPr>
                <w:rFonts w:ascii="Times New Roman" w:hAnsi="Times New Roman" w:cs="Times New Roman"/>
                <w:sz w:val="24"/>
                <w:szCs w:val="24"/>
              </w:rPr>
            </w:pPr>
            <w:r>
              <w:rPr>
                <w:rFonts w:ascii="Times New Roman" w:hAnsi="Times New Roman" w:cs="Times New Roman"/>
                <w:sz w:val="24"/>
                <w:szCs w:val="24"/>
              </w:rPr>
              <w:t>3.125</w:t>
            </w:r>
          </w:p>
        </w:tc>
        <w:tc>
          <w:tcPr>
            <w:tcW w:w="0" w:type="auto"/>
            <w:noWrap/>
            <w:vAlign w:val="center"/>
          </w:tcPr>
          <w:p w14:paraId="6C8D7A04">
            <w:pPr>
              <w:spacing w:line="360" w:lineRule="auto"/>
              <w:rPr>
                <w:rFonts w:ascii="Times New Roman" w:hAnsi="Times New Roman" w:cs="Times New Roman"/>
                <w:sz w:val="24"/>
                <w:szCs w:val="24"/>
              </w:rPr>
            </w:pPr>
            <w:r>
              <w:rPr>
                <w:rFonts w:ascii="Times New Roman" w:hAnsi="Times New Roman" w:cs="Times New Roman"/>
                <w:sz w:val="24"/>
                <w:szCs w:val="24"/>
              </w:rPr>
              <w:t>19.52</w:t>
            </w:r>
          </w:p>
        </w:tc>
        <w:tc>
          <w:tcPr>
            <w:tcW w:w="0" w:type="auto"/>
            <w:noWrap/>
            <w:vAlign w:val="center"/>
          </w:tcPr>
          <w:p w14:paraId="12E0384F">
            <w:pPr>
              <w:spacing w:line="360" w:lineRule="auto"/>
              <w:rPr>
                <w:rFonts w:ascii="Times New Roman" w:hAnsi="Times New Roman" w:cs="Times New Roman"/>
                <w:sz w:val="24"/>
                <w:szCs w:val="24"/>
              </w:rPr>
            </w:pPr>
            <w:r>
              <w:rPr>
                <w:rFonts w:ascii="Times New Roman" w:hAnsi="Times New Roman" w:cs="Times New Roman"/>
                <w:sz w:val="24"/>
                <w:szCs w:val="24"/>
              </w:rPr>
              <w:t>16.33</w:t>
            </w:r>
          </w:p>
        </w:tc>
        <w:tc>
          <w:tcPr>
            <w:tcW w:w="0" w:type="auto"/>
            <w:noWrap/>
            <w:vAlign w:val="center"/>
          </w:tcPr>
          <w:p w14:paraId="30DEF6A7">
            <w:pPr>
              <w:spacing w:line="360" w:lineRule="auto"/>
              <w:rPr>
                <w:rFonts w:ascii="Times New Roman" w:hAnsi="Times New Roman" w:cs="Times New Roman"/>
                <w:sz w:val="24"/>
                <w:szCs w:val="24"/>
              </w:rPr>
            </w:pPr>
            <w:r>
              <w:rPr>
                <w:rFonts w:ascii="Times New Roman" w:hAnsi="Times New Roman" w:cs="Times New Roman"/>
                <w:sz w:val="24"/>
                <w:szCs w:val="24"/>
              </w:rPr>
              <w:t>19.52</w:t>
            </w:r>
          </w:p>
        </w:tc>
        <w:tc>
          <w:tcPr>
            <w:tcW w:w="0" w:type="auto"/>
            <w:noWrap/>
            <w:vAlign w:val="center"/>
          </w:tcPr>
          <w:p w14:paraId="14A3113C">
            <w:pPr>
              <w:spacing w:line="360" w:lineRule="auto"/>
              <w:rPr>
                <w:rFonts w:ascii="Times New Roman" w:hAnsi="Times New Roman" w:cs="Times New Roman"/>
                <w:sz w:val="24"/>
                <w:szCs w:val="24"/>
              </w:rPr>
            </w:pPr>
            <w:r>
              <w:rPr>
                <w:rFonts w:ascii="Times New Roman" w:hAnsi="Times New Roman" w:cs="Times New Roman"/>
                <w:sz w:val="24"/>
                <w:szCs w:val="24"/>
              </w:rPr>
              <w:t>5.17</w:t>
            </w:r>
          </w:p>
        </w:tc>
        <w:tc>
          <w:tcPr>
            <w:tcW w:w="0" w:type="auto"/>
            <w:noWrap/>
            <w:vAlign w:val="center"/>
          </w:tcPr>
          <w:p w14:paraId="3CF526FA">
            <w:pPr>
              <w:spacing w:line="360" w:lineRule="auto"/>
              <w:rPr>
                <w:rFonts w:ascii="Times New Roman" w:hAnsi="Times New Roman" w:cs="Times New Roman"/>
                <w:sz w:val="24"/>
                <w:szCs w:val="24"/>
              </w:rPr>
            </w:pPr>
            <w:r>
              <w:rPr>
                <w:rFonts w:ascii="Times New Roman" w:hAnsi="Times New Roman" w:cs="Times New Roman"/>
                <w:sz w:val="24"/>
                <w:szCs w:val="24"/>
              </w:rPr>
              <w:t>10.34</w:t>
            </w:r>
          </w:p>
        </w:tc>
      </w:tr>
      <w:tr w14:paraId="43A5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noWrap/>
            <w:vAlign w:val="center"/>
          </w:tcPr>
          <w:p w14:paraId="2B14B9C7">
            <w:pPr>
              <w:spacing w:line="360" w:lineRule="auto"/>
              <w:rPr>
                <w:rFonts w:ascii="Times New Roman" w:hAnsi="Times New Roman" w:cs="Times New Roman"/>
                <w:sz w:val="24"/>
                <w:szCs w:val="24"/>
              </w:rPr>
            </w:pPr>
            <w:r>
              <w:rPr>
                <w:rFonts w:ascii="Times New Roman" w:hAnsi="Times New Roman" w:cs="Times New Roman"/>
                <w:sz w:val="24"/>
                <w:szCs w:val="24"/>
              </w:rPr>
              <w:t>6.25</w:t>
            </w:r>
          </w:p>
        </w:tc>
        <w:tc>
          <w:tcPr>
            <w:tcW w:w="0" w:type="auto"/>
            <w:noWrap/>
            <w:vAlign w:val="center"/>
          </w:tcPr>
          <w:p w14:paraId="7A41768A">
            <w:pPr>
              <w:spacing w:line="360" w:lineRule="auto"/>
              <w:rPr>
                <w:rFonts w:ascii="Times New Roman" w:hAnsi="Times New Roman" w:cs="Times New Roman"/>
                <w:sz w:val="24"/>
                <w:szCs w:val="24"/>
              </w:rPr>
            </w:pPr>
            <w:r>
              <w:rPr>
                <w:rFonts w:ascii="Times New Roman" w:hAnsi="Times New Roman" w:cs="Times New Roman"/>
                <w:sz w:val="24"/>
                <w:szCs w:val="24"/>
              </w:rPr>
              <w:t>23.5</w:t>
            </w:r>
          </w:p>
        </w:tc>
        <w:tc>
          <w:tcPr>
            <w:tcW w:w="0" w:type="auto"/>
            <w:noWrap/>
            <w:vAlign w:val="center"/>
          </w:tcPr>
          <w:p w14:paraId="2CA42D4E">
            <w:pPr>
              <w:spacing w:line="360" w:lineRule="auto"/>
              <w:rPr>
                <w:rFonts w:ascii="Times New Roman" w:hAnsi="Times New Roman" w:cs="Times New Roman"/>
                <w:sz w:val="24"/>
                <w:szCs w:val="24"/>
              </w:rPr>
            </w:pPr>
            <w:r>
              <w:rPr>
                <w:rFonts w:ascii="Times New Roman" w:hAnsi="Times New Roman" w:cs="Times New Roman"/>
                <w:sz w:val="24"/>
                <w:szCs w:val="24"/>
              </w:rPr>
              <w:t>19.52</w:t>
            </w:r>
          </w:p>
        </w:tc>
        <w:tc>
          <w:tcPr>
            <w:tcW w:w="0" w:type="auto"/>
            <w:noWrap/>
            <w:vAlign w:val="center"/>
          </w:tcPr>
          <w:p w14:paraId="3C0605CF">
            <w:pPr>
              <w:spacing w:line="360" w:lineRule="auto"/>
              <w:rPr>
                <w:rFonts w:ascii="Times New Roman" w:hAnsi="Times New Roman" w:cs="Times New Roman"/>
                <w:sz w:val="24"/>
                <w:szCs w:val="24"/>
              </w:rPr>
            </w:pPr>
            <w:r>
              <w:rPr>
                <w:rFonts w:ascii="Times New Roman" w:hAnsi="Times New Roman" w:cs="Times New Roman"/>
                <w:sz w:val="24"/>
                <w:szCs w:val="24"/>
              </w:rPr>
              <w:t>20.31</w:t>
            </w:r>
          </w:p>
        </w:tc>
        <w:tc>
          <w:tcPr>
            <w:tcW w:w="0" w:type="auto"/>
            <w:noWrap/>
            <w:vAlign w:val="center"/>
          </w:tcPr>
          <w:p w14:paraId="7CCA6BF7">
            <w:pPr>
              <w:spacing w:line="360" w:lineRule="auto"/>
              <w:rPr>
                <w:rFonts w:ascii="Times New Roman" w:hAnsi="Times New Roman" w:cs="Times New Roman"/>
                <w:sz w:val="24"/>
                <w:szCs w:val="24"/>
              </w:rPr>
            </w:pPr>
            <w:r>
              <w:rPr>
                <w:rFonts w:ascii="Times New Roman" w:hAnsi="Times New Roman" w:cs="Times New Roman"/>
                <w:sz w:val="24"/>
                <w:szCs w:val="24"/>
              </w:rPr>
              <w:t>8.36</w:t>
            </w:r>
          </w:p>
        </w:tc>
        <w:tc>
          <w:tcPr>
            <w:tcW w:w="0" w:type="auto"/>
            <w:noWrap/>
            <w:vAlign w:val="center"/>
          </w:tcPr>
          <w:p w14:paraId="292D8A0A">
            <w:pPr>
              <w:spacing w:line="360" w:lineRule="auto"/>
              <w:rPr>
                <w:rFonts w:ascii="Times New Roman" w:hAnsi="Times New Roman" w:cs="Times New Roman"/>
                <w:sz w:val="24"/>
                <w:szCs w:val="24"/>
              </w:rPr>
            </w:pPr>
            <w:r>
              <w:rPr>
                <w:rFonts w:ascii="Times New Roman" w:hAnsi="Times New Roman" w:cs="Times New Roman"/>
                <w:sz w:val="24"/>
                <w:szCs w:val="24"/>
              </w:rPr>
              <w:t>22.31</w:t>
            </w:r>
          </w:p>
        </w:tc>
      </w:tr>
      <w:tr w14:paraId="5D47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noWrap/>
            <w:vAlign w:val="center"/>
          </w:tcPr>
          <w:p w14:paraId="7A6E894B">
            <w:pPr>
              <w:spacing w:line="360" w:lineRule="auto"/>
              <w:rPr>
                <w:rFonts w:ascii="Times New Roman" w:hAnsi="Times New Roman" w:cs="Times New Roman"/>
                <w:sz w:val="24"/>
                <w:szCs w:val="24"/>
              </w:rPr>
            </w:pPr>
            <w:r>
              <w:rPr>
                <w:rFonts w:ascii="Times New Roman" w:hAnsi="Times New Roman" w:cs="Times New Roman"/>
                <w:sz w:val="24"/>
                <w:szCs w:val="24"/>
              </w:rPr>
              <w:t>12.5</w:t>
            </w:r>
          </w:p>
        </w:tc>
        <w:tc>
          <w:tcPr>
            <w:tcW w:w="0" w:type="auto"/>
            <w:noWrap/>
            <w:vAlign w:val="center"/>
          </w:tcPr>
          <w:p w14:paraId="7B0EBA31">
            <w:pPr>
              <w:spacing w:line="360" w:lineRule="auto"/>
              <w:rPr>
                <w:rFonts w:ascii="Times New Roman" w:hAnsi="Times New Roman" w:cs="Times New Roman"/>
                <w:sz w:val="24"/>
                <w:szCs w:val="24"/>
              </w:rPr>
            </w:pPr>
            <w:r>
              <w:rPr>
                <w:rFonts w:ascii="Times New Roman" w:hAnsi="Times New Roman" w:cs="Times New Roman"/>
                <w:sz w:val="24"/>
                <w:szCs w:val="24"/>
              </w:rPr>
              <w:t>32.66</w:t>
            </w:r>
          </w:p>
        </w:tc>
        <w:tc>
          <w:tcPr>
            <w:tcW w:w="0" w:type="auto"/>
            <w:noWrap/>
            <w:vAlign w:val="center"/>
          </w:tcPr>
          <w:p w14:paraId="068A9E95">
            <w:pPr>
              <w:spacing w:line="360" w:lineRule="auto"/>
              <w:rPr>
                <w:rFonts w:ascii="Times New Roman" w:hAnsi="Times New Roman" w:cs="Times New Roman"/>
                <w:sz w:val="24"/>
                <w:szCs w:val="24"/>
              </w:rPr>
            </w:pPr>
            <w:r>
              <w:rPr>
                <w:rFonts w:ascii="Times New Roman" w:hAnsi="Times New Roman" w:cs="Times New Roman"/>
                <w:sz w:val="24"/>
                <w:szCs w:val="24"/>
              </w:rPr>
              <w:t>23.5</w:t>
            </w:r>
          </w:p>
        </w:tc>
        <w:tc>
          <w:tcPr>
            <w:tcW w:w="0" w:type="auto"/>
            <w:noWrap/>
            <w:vAlign w:val="center"/>
          </w:tcPr>
          <w:p w14:paraId="61BC5507">
            <w:pPr>
              <w:spacing w:line="360" w:lineRule="auto"/>
              <w:rPr>
                <w:rFonts w:ascii="Times New Roman" w:hAnsi="Times New Roman" w:cs="Times New Roman"/>
                <w:sz w:val="24"/>
                <w:szCs w:val="24"/>
              </w:rPr>
            </w:pPr>
            <w:r>
              <w:rPr>
                <w:rFonts w:ascii="Times New Roman" w:hAnsi="Times New Roman" w:cs="Times New Roman"/>
                <w:sz w:val="24"/>
                <w:szCs w:val="24"/>
              </w:rPr>
              <w:t>26.7</w:t>
            </w:r>
          </w:p>
        </w:tc>
        <w:tc>
          <w:tcPr>
            <w:tcW w:w="0" w:type="auto"/>
            <w:noWrap/>
            <w:vAlign w:val="center"/>
          </w:tcPr>
          <w:p w14:paraId="0E42843E">
            <w:pPr>
              <w:spacing w:line="360" w:lineRule="auto"/>
              <w:rPr>
                <w:rFonts w:ascii="Times New Roman" w:hAnsi="Times New Roman" w:cs="Times New Roman"/>
                <w:sz w:val="24"/>
                <w:szCs w:val="24"/>
              </w:rPr>
            </w:pPr>
            <w:r>
              <w:rPr>
                <w:rFonts w:ascii="Times New Roman" w:hAnsi="Times New Roman" w:cs="Times New Roman"/>
                <w:sz w:val="24"/>
                <w:szCs w:val="24"/>
              </w:rPr>
              <w:t>9.16</w:t>
            </w:r>
          </w:p>
        </w:tc>
        <w:tc>
          <w:tcPr>
            <w:tcW w:w="0" w:type="auto"/>
            <w:noWrap/>
            <w:vAlign w:val="center"/>
          </w:tcPr>
          <w:p w14:paraId="7B3A16D0">
            <w:pPr>
              <w:spacing w:line="360" w:lineRule="auto"/>
              <w:rPr>
                <w:rFonts w:ascii="Times New Roman" w:hAnsi="Times New Roman" w:cs="Times New Roman"/>
                <w:sz w:val="24"/>
                <w:szCs w:val="24"/>
              </w:rPr>
            </w:pPr>
            <w:r>
              <w:rPr>
                <w:rFonts w:ascii="Times New Roman" w:hAnsi="Times New Roman" w:cs="Times New Roman"/>
                <w:sz w:val="24"/>
                <w:szCs w:val="24"/>
              </w:rPr>
              <w:t>29.08</w:t>
            </w:r>
          </w:p>
        </w:tc>
      </w:tr>
      <w:tr w14:paraId="3CB5D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noWrap/>
            <w:vAlign w:val="center"/>
          </w:tcPr>
          <w:p w14:paraId="42088406">
            <w:pPr>
              <w:spacing w:line="360" w:lineRule="auto"/>
              <w:rPr>
                <w:rFonts w:ascii="Times New Roman" w:hAnsi="Times New Roman" w:cs="Times New Roman"/>
                <w:sz w:val="24"/>
                <w:szCs w:val="24"/>
              </w:rPr>
            </w:pPr>
            <w:r>
              <w:rPr>
                <w:rFonts w:ascii="Times New Roman" w:hAnsi="Times New Roman" w:cs="Times New Roman"/>
                <w:sz w:val="24"/>
                <w:szCs w:val="24"/>
              </w:rPr>
              <w:t>25</w:t>
            </w:r>
          </w:p>
        </w:tc>
        <w:tc>
          <w:tcPr>
            <w:tcW w:w="0" w:type="auto"/>
            <w:noWrap/>
            <w:vAlign w:val="center"/>
          </w:tcPr>
          <w:p w14:paraId="668ED959">
            <w:pPr>
              <w:spacing w:line="360" w:lineRule="auto"/>
              <w:rPr>
                <w:rFonts w:ascii="Times New Roman" w:hAnsi="Times New Roman" w:cs="Times New Roman"/>
                <w:sz w:val="24"/>
                <w:szCs w:val="24"/>
              </w:rPr>
            </w:pPr>
            <w:r>
              <w:rPr>
                <w:rFonts w:ascii="Times New Roman" w:hAnsi="Times New Roman" w:cs="Times New Roman"/>
                <w:sz w:val="24"/>
                <w:szCs w:val="24"/>
              </w:rPr>
              <w:t>56.17</w:t>
            </w:r>
          </w:p>
        </w:tc>
        <w:tc>
          <w:tcPr>
            <w:tcW w:w="0" w:type="auto"/>
            <w:noWrap/>
            <w:vAlign w:val="center"/>
          </w:tcPr>
          <w:p w14:paraId="527CB4FC">
            <w:pPr>
              <w:spacing w:line="360" w:lineRule="auto"/>
              <w:rPr>
                <w:rFonts w:ascii="Times New Roman" w:hAnsi="Times New Roman" w:cs="Times New Roman"/>
                <w:sz w:val="24"/>
                <w:szCs w:val="24"/>
              </w:rPr>
            </w:pPr>
            <w:r>
              <w:rPr>
                <w:rFonts w:ascii="Times New Roman" w:hAnsi="Times New Roman" w:cs="Times New Roman"/>
                <w:sz w:val="24"/>
                <w:szCs w:val="24"/>
              </w:rPr>
              <w:t>27.09</w:t>
            </w:r>
          </w:p>
        </w:tc>
        <w:tc>
          <w:tcPr>
            <w:tcW w:w="0" w:type="auto"/>
            <w:noWrap/>
            <w:vAlign w:val="center"/>
          </w:tcPr>
          <w:p w14:paraId="07EFE96D">
            <w:pPr>
              <w:spacing w:line="360" w:lineRule="auto"/>
              <w:rPr>
                <w:rFonts w:ascii="Times New Roman" w:hAnsi="Times New Roman" w:cs="Times New Roman"/>
                <w:sz w:val="24"/>
                <w:szCs w:val="24"/>
              </w:rPr>
            </w:pPr>
            <w:r>
              <w:rPr>
                <w:rFonts w:ascii="Times New Roman" w:hAnsi="Times New Roman" w:cs="Times New Roman"/>
                <w:sz w:val="24"/>
                <w:szCs w:val="24"/>
              </w:rPr>
              <w:t>39.44</w:t>
            </w:r>
          </w:p>
        </w:tc>
        <w:tc>
          <w:tcPr>
            <w:tcW w:w="0" w:type="auto"/>
            <w:noWrap/>
            <w:vAlign w:val="center"/>
          </w:tcPr>
          <w:p w14:paraId="582C2493">
            <w:pPr>
              <w:spacing w:line="360" w:lineRule="auto"/>
              <w:rPr>
                <w:rFonts w:ascii="Times New Roman" w:hAnsi="Times New Roman" w:cs="Times New Roman"/>
                <w:sz w:val="24"/>
                <w:szCs w:val="24"/>
              </w:rPr>
            </w:pPr>
            <w:r>
              <w:rPr>
                <w:rFonts w:ascii="Times New Roman" w:hAnsi="Times New Roman" w:cs="Times New Roman"/>
                <w:sz w:val="24"/>
                <w:szCs w:val="24"/>
              </w:rPr>
              <w:t>20.32</w:t>
            </w:r>
          </w:p>
        </w:tc>
        <w:tc>
          <w:tcPr>
            <w:tcW w:w="0" w:type="auto"/>
            <w:noWrap/>
            <w:vAlign w:val="center"/>
          </w:tcPr>
          <w:p w14:paraId="5B71FA9C">
            <w:pPr>
              <w:spacing w:line="360" w:lineRule="auto"/>
              <w:rPr>
                <w:rFonts w:ascii="Times New Roman" w:hAnsi="Times New Roman" w:cs="Times New Roman"/>
                <w:sz w:val="24"/>
                <w:szCs w:val="24"/>
              </w:rPr>
            </w:pPr>
            <w:r>
              <w:rPr>
                <w:rFonts w:ascii="Times New Roman" w:hAnsi="Times New Roman" w:cs="Times New Roman"/>
                <w:sz w:val="24"/>
                <w:szCs w:val="24"/>
              </w:rPr>
              <w:t>36.65</w:t>
            </w:r>
          </w:p>
        </w:tc>
      </w:tr>
      <w:tr w14:paraId="4446E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noWrap/>
            <w:vAlign w:val="center"/>
          </w:tcPr>
          <w:p w14:paraId="77DD0B58">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0" w:type="auto"/>
            <w:noWrap/>
            <w:vAlign w:val="center"/>
          </w:tcPr>
          <w:p w14:paraId="607EE6ED">
            <w:pPr>
              <w:spacing w:line="360" w:lineRule="auto"/>
              <w:rPr>
                <w:rFonts w:ascii="Times New Roman" w:hAnsi="Times New Roman" w:cs="Times New Roman"/>
                <w:sz w:val="24"/>
                <w:szCs w:val="24"/>
              </w:rPr>
            </w:pPr>
            <w:r>
              <w:rPr>
                <w:rFonts w:ascii="Times New Roman" w:hAnsi="Times New Roman" w:cs="Times New Roman"/>
                <w:sz w:val="24"/>
                <w:szCs w:val="24"/>
              </w:rPr>
              <w:t>65.73</w:t>
            </w:r>
          </w:p>
        </w:tc>
        <w:tc>
          <w:tcPr>
            <w:tcW w:w="0" w:type="auto"/>
            <w:noWrap/>
            <w:vAlign w:val="center"/>
          </w:tcPr>
          <w:p w14:paraId="205F7C23">
            <w:pPr>
              <w:spacing w:line="360" w:lineRule="auto"/>
              <w:rPr>
                <w:rFonts w:ascii="Times New Roman" w:hAnsi="Times New Roman" w:cs="Times New Roman"/>
                <w:sz w:val="24"/>
                <w:szCs w:val="24"/>
              </w:rPr>
            </w:pPr>
            <w:r>
              <w:rPr>
                <w:rFonts w:ascii="Times New Roman" w:hAnsi="Times New Roman" w:cs="Times New Roman"/>
                <w:sz w:val="24"/>
                <w:szCs w:val="24"/>
              </w:rPr>
              <w:t>53.78</w:t>
            </w:r>
          </w:p>
        </w:tc>
        <w:tc>
          <w:tcPr>
            <w:tcW w:w="0" w:type="auto"/>
            <w:noWrap/>
            <w:vAlign w:val="center"/>
          </w:tcPr>
          <w:p w14:paraId="688C8202">
            <w:pPr>
              <w:spacing w:line="360" w:lineRule="auto"/>
              <w:rPr>
                <w:rFonts w:ascii="Times New Roman" w:hAnsi="Times New Roman" w:cs="Times New Roman"/>
                <w:sz w:val="24"/>
                <w:szCs w:val="24"/>
              </w:rPr>
            </w:pPr>
            <w:r>
              <w:rPr>
                <w:rFonts w:ascii="Times New Roman" w:hAnsi="Times New Roman" w:cs="Times New Roman"/>
                <w:sz w:val="24"/>
                <w:szCs w:val="24"/>
              </w:rPr>
              <w:t>60.55</w:t>
            </w:r>
          </w:p>
        </w:tc>
        <w:tc>
          <w:tcPr>
            <w:tcW w:w="0" w:type="auto"/>
            <w:noWrap/>
            <w:vAlign w:val="center"/>
          </w:tcPr>
          <w:p w14:paraId="3F785BC5">
            <w:pPr>
              <w:spacing w:line="360" w:lineRule="auto"/>
              <w:rPr>
                <w:rFonts w:ascii="Times New Roman" w:hAnsi="Times New Roman" w:cs="Times New Roman"/>
                <w:sz w:val="24"/>
                <w:szCs w:val="24"/>
              </w:rPr>
            </w:pPr>
            <w:r>
              <w:rPr>
                <w:rFonts w:ascii="Times New Roman" w:hAnsi="Times New Roman" w:cs="Times New Roman"/>
                <w:sz w:val="24"/>
                <w:szCs w:val="24"/>
              </w:rPr>
              <w:t>22.31</w:t>
            </w:r>
          </w:p>
        </w:tc>
        <w:tc>
          <w:tcPr>
            <w:tcW w:w="0" w:type="auto"/>
            <w:noWrap/>
            <w:vAlign w:val="center"/>
          </w:tcPr>
          <w:p w14:paraId="2A8BCE06">
            <w:pPr>
              <w:spacing w:line="360" w:lineRule="auto"/>
              <w:rPr>
                <w:rFonts w:ascii="Times New Roman" w:hAnsi="Times New Roman" w:cs="Times New Roman"/>
                <w:sz w:val="24"/>
                <w:szCs w:val="24"/>
              </w:rPr>
            </w:pPr>
            <w:r>
              <w:rPr>
                <w:rFonts w:ascii="Times New Roman" w:hAnsi="Times New Roman" w:cs="Times New Roman"/>
                <w:sz w:val="24"/>
                <w:szCs w:val="24"/>
              </w:rPr>
              <w:t>48.2</w:t>
            </w:r>
          </w:p>
        </w:tc>
      </w:tr>
      <w:tr w14:paraId="06B10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noWrap/>
            <w:vAlign w:val="center"/>
          </w:tcPr>
          <w:p w14:paraId="388FAB38">
            <w:pPr>
              <w:spacing w:line="360" w:lineRule="auto"/>
              <w:rPr>
                <w:rFonts w:ascii="Times New Roman" w:hAnsi="Times New Roman" w:cs="Times New Roman"/>
                <w:sz w:val="24"/>
                <w:szCs w:val="24"/>
              </w:rPr>
            </w:pPr>
            <w:r>
              <w:rPr>
                <w:rFonts w:ascii="Times New Roman" w:hAnsi="Times New Roman" w:cs="Times New Roman"/>
                <w:sz w:val="24"/>
                <w:szCs w:val="24"/>
              </w:rPr>
              <w:t>100</w:t>
            </w:r>
          </w:p>
        </w:tc>
        <w:tc>
          <w:tcPr>
            <w:tcW w:w="0" w:type="auto"/>
            <w:noWrap/>
            <w:vAlign w:val="center"/>
          </w:tcPr>
          <w:p w14:paraId="39102457">
            <w:pPr>
              <w:spacing w:line="360" w:lineRule="auto"/>
              <w:rPr>
                <w:rFonts w:ascii="Times New Roman" w:hAnsi="Times New Roman" w:cs="Times New Roman"/>
                <w:sz w:val="24"/>
                <w:szCs w:val="24"/>
              </w:rPr>
            </w:pPr>
            <w:r>
              <w:rPr>
                <w:rFonts w:ascii="Times New Roman" w:hAnsi="Times New Roman" w:cs="Times New Roman"/>
                <w:sz w:val="24"/>
                <w:szCs w:val="24"/>
              </w:rPr>
              <w:t>66.93</w:t>
            </w:r>
          </w:p>
        </w:tc>
        <w:tc>
          <w:tcPr>
            <w:tcW w:w="0" w:type="auto"/>
            <w:noWrap/>
            <w:vAlign w:val="center"/>
          </w:tcPr>
          <w:p w14:paraId="0C186308">
            <w:pPr>
              <w:spacing w:line="360" w:lineRule="auto"/>
              <w:rPr>
                <w:rFonts w:ascii="Times New Roman" w:hAnsi="Times New Roman" w:cs="Times New Roman"/>
                <w:sz w:val="24"/>
                <w:szCs w:val="24"/>
              </w:rPr>
            </w:pPr>
            <w:r>
              <w:rPr>
                <w:rFonts w:ascii="Times New Roman" w:hAnsi="Times New Roman" w:cs="Times New Roman"/>
                <w:sz w:val="24"/>
                <w:szCs w:val="24"/>
              </w:rPr>
              <w:t>66.53</w:t>
            </w:r>
          </w:p>
        </w:tc>
        <w:tc>
          <w:tcPr>
            <w:tcW w:w="0" w:type="auto"/>
            <w:noWrap/>
            <w:vAlign w:val="center"/>
          </w:tcPr>
          <w:p w14:paraId="1F35B603">
            <w:pPr>
              <w:spacing w:line="360" w:lineRule="auto"/>
              <w:rPr>
                <w:rFonts w:ascii="Times New Roman" w:hAnsi="Times New Roman" w:cs="Times New Roman"/>
                <w:sz w:val="24"/>
                <w:szCs w:val="24"/>
              </w:rPr>
            </w:pPr>
            <w:r>
              <w:rPr>
                <w:rFonts w:ascii="Times New Roman" w:hAnsi="Times New Roman" w:cs="Times New Roman"/>
                <w:sz w:val="24"/>
                <w:szCs w:val="24"/>
              </w:rPr>
              <w:t>66.93</w:t>
            </w:r>
          </w:p>
        </w:tc>
        <w:tc>
          <w:tcPr>
            <w:tcW w:w="0" w:type="auto"/>
            <w:noWrap/>
            <w:vAlign w:val="center"/>
          </w:tcPr>
          <w:p w14:paraId="5F196C29">
            <w:pPr>
              <w:spacing w:line="360" w:lineRule="auto"/>
              <w:rPr>
                <w:rFonts w:ascii="Times New Roman" w:hAnsi="Times New Roman" w:cs="Times New Roman"/>
                <w:sz w:val="24"/>
                <w:szCs w:val="24"/>
              </w:rPr>
            </w:pPr>
            <w:r>
              <w:rPr>
                <w:rFonts w:ascii="Times New Roman" w:hAnsi="Times New Roman" w:cs="Times New Roman"/>
                <w:sz w:val="24"/>
                <w:szCs w:val="24"/>
              </w:rPr>
              <w:t>56.18</w:t>
            </w:r>
          </w:p>
        </w:tc>
        <w:tc>
          <w:tcPr>
            <w:tcW w:w="0" w:type="auto"/>
            <w:noWrap/>
            <w:vAlign w:val="center"/>
          </w:tcPr>
          <w:p w14:paraId="5D7D4782">
            <w:pPr>
              <w:spacing w:line="360" w:lineRule="auto"/>
              <w:rPr>
                <w:rFonts w:ascii="Times New Roman" w:hAnsi="Times New Roman" w:cs="Times New Roman"/>
                <w:sz w:val="24"/>
                <w:szCs w:val="24"/>
              </w:rPr>
            </w:pPr>
            <w:r>
              <w:rPr>
                <w:rFonts w:ascii="Times New Roman" w:hAnsi="Times New Roman" w:cs="Times New Roman"/>
                <w:sz w:val="24"/>
                <w:szCs w:val="24"/>
              </w:rPr>
              <w:t>58.96</w:t>
            </w:r>
          </w:p>
        </w:tc>
      </w:tr>
      <w:tr w14:paraId="6CA4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noWrap/>
            <w:vAlign w:val="center"/>
          </w:tcPr>
          <w:p w14:paraId="185DC195">
            <w:pPr>
              <w:spacing w:line="360" w:lineRule="auto"/>
              <w:rPr>
                <w:rFonts w:ascii="Times New Roman" w:hAnsi="Times New Roman" w:cs="Times New Roman"/>
                <w:sz w:val="24"/>
                <w:szCs w:val="24"/>
              </w:rPr>
            </w:pPr>
            <w:r>
              <w:rPr>
                <w:rFonts w:ascii="Times New Roman" w:hAnsi="Times New Roman" w:cs="Times New Roman"/>
                <w:sz w:val="24"/>
                <w:szCs w:val="24"/>
              </w:rPr>
              <w:t>200</w:t>
            </w:r>
          </w:p>
        </w:tc>
        <w:tc>
          <w:tcPr>
            <w:tcW w:w="0" w:type="auto"/>
            <w:noWrap/>
            <w:vAlign w:val="center"/>
          </w:tcPr>
          <w:p w14:paraId="1CAA746A">
            <w:pPr>
              <w:spacing w:line="360" w:lineRule="auto"/>
              <w:rPr>
                <w:rFonts w:ascii="Times New Roman" w:hAnsi="Times New Roman" w:cs="Times New Roman"/>
                <w:sz w:val="24"/>
                <w:szCs w:val="24"/>
              </w:rPr>
            </w:pPr>
            <w:r>
              <w:rPr>
                <w:rFonts w:ascii="Times New Roman" w:hAnsi="Times New Roman" w:cs="Times New Roman"/>
                <w:sz w:val="24"/>
                <w:szCs w:val="24"/>
              </w:rPr>
              <w:t>67.02</w:t>
            </w:r>
          </w:p>
        </w:tc>
        <w:tc>
          <w:tcPr>
            <w:tcW w:w="0" w:type="auto"/>
            <w:noWrap/>
            <w:vAlign w:val="center"/>
          </w:tcPr>
          <w:p w14:paraId="6BE7DC1F">
            <w:pPr>
              <w:spacing w:line="360" w:lineRule="auto"/>
              <w:rPr>
                <w:rFonts w:ascii="Times New Roman" w:hAnsi="Times New Roman" w:cs="Times New Roman"/>
                <w:sz w:val="24"/>
                <w:szCs w:val="24"/>
              </w:rPr>
            </w:pPr>
            <w:r>
              <w:rPr>
                <w:rFonts w:ascii="Times New Roman" w:hAnsi="Times New Roman" w:cs="Times New Roman"/>
                <w:sz w:val="24"/>
                <w:szCs w:val="24"/>
              </w:rPr>
              <w:t>67.33</w:t>
            </w:r>
          </w:p>
        </w:tc>
        <w:tc>
          <w:tcPr>
            <w:tcW w:w="0" w:type="auto"/>
            <w:noWrap/>
            <w:vAlign w:val="center"/>
          </w:tcPr>
          <w:p w14:paraId="42F7AABC">
            <w:pPr>
              <w:spacing w:line="360" w:lineRule="auto"/>
              <w:rPr>
                <w:rFonts w:ascii="Times New Roman" w:hAnsi="Times New Roman" w:cs="Times New Roman"/>
                <w:sz w:val="24"/>
                <w:szCs w:val="24"/>
              </w:rPr>
            </w:pPr>
            <w:r>
              <w:rPr>
                <w:rFonts w:ascii="Times New Roman" w:hAnsi="Times New Roman" w:cs="Times New Roman"/>
                <w:sz w:val="24"/>
                <w:szCs w:val="24"/>
              </w:rPr>
              <w:t>67.33</w:t>
            </w:r>
          </w:p>
        </w:tc>
        <w:tc>
          <w:tcPr>
            <w:tcW w:w="0" w:type="auto"/>
            <w:noWrap/>
            <w:vAlign w:val="center"/>
          </w:tcPr>
          <w:p w14:paraId="5A2CF328">
            <w:pPr>
              <w:spacing w:line="360" w:lineRule="auto"/>
              <w:rPr>
                <w:rFonts w:ascii="Times New Roman" w:hAnsi="Times New Roman" w:cs="Times New Roman"/>
                <w:sz w:val="24"/>
                <w:szCs w:val="24"/>
              </w:rPr>
            </w:pPr>
            <w:r>
              <w:rPr>
                <w:rFonts w:ascii="Times New Roman" w:hAnsi="Times New Roman" w:cs="Times New Roman"/>
                <w:sz w:val="24"/>
                <w:szCs w:val="24"/>
              </w:rPr>
              <w:t>66.14</w:t>
            </w:r>
          </w:p>
        </w:tc>
        <w:tc>
          <w:tcPr>
            <w:tcW w:w="0" w:type="auto"/>
            <w:noWrap/>
            <w:vAlign w:val="center"/>
          </w:tcPr>
          <w:p w14:paraId="0817E8B3">
            <w:pPr>
              <w:spacing w:line="360" w:lineRule="auto"/>
              <w:rPr>
                <w:rFonts w:ascii="Times New Roman" w:hAnsi="Times New Roman" w:cs="Times New Roman"/>
                <w:sz w:val="24"/>
                <w:szCs w:val="24"/>
              </w:rPr>
            </w:pPr>
            <w:r>
              <w:rPr>
                <w:rFonts w:ascii="Times New Roman" w:hAnsi="Times New Roman" w:cs="Times New Roman"/>
                <w:sz w:val="24"/>
                <w:szCs w:val="24"/>
              </w:rPr>
              <w:t>71.71</w:t>
            </w:r>
          </w:p>
        </w:tc>
      </w:tr>
      <w:tr w14:paraId="62E5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noWrap/>
            <w:vAlign w:val="center"/>
          </w:tcPr>
          <w:p w14:paraId="1DD0C8BC">
            <w:pPr>
              <w:spacing w:line="360" w:lineRule="auto"/>
              <w:rPr>
                <w:rFonts w:ascii="Times New Roman" w:hAnsi="Times New Roman" w:cs="Times New Roman"/>
                <w:sz w:val="24"/>
                <w:szCs w:val="24"/>
              </w:rPr>
            </w:pPr>
            <w:r>
              <w:rPr>
                <w:rFonts w:ascii="Times New Roman" w:hAnsi="Times New Roman" w:cs="Times New Roman"/>
                <w:sz w:val="24"/>
                <w:szCs w:val="24"/>
              </w:rPr>
              <w:t>400</w:t>
            </w:r>
          </w:p>
        </w:tc>
        <w:tc>
          <w:tcPr>
            <w:tcW w:w="0" w:type="auto"/>
            <w:noWrap/>
            <w:vAlign w:val="center"/>
          </w:tcPr>
          <w:p w14:paraId="23AE0283">
            <w:pPr>
              <w:spacing w:line="360" w:lineRule="auto"/>
              <w:rPr>
                <w:rFonts w:ascii="Times New Roman" w:hAnsi="Times New Roman" w:cs="Times New Roman"/>
                <w:sz w:val="24"/>
                <w:szCs w:val="24"/>
              </w:rPr>
            </w:pPr>
            <w:r>
              <w:rPr>
                <w:rFonts w:ascii="Times New Roman" w:hAnsi="Times New Roman" w:cs="Times New Roman"/>
                <w:sz w:val="24"/>
                <w:szCs w:val="24"/>
              </w:rPr>
              <w:t>67.73</w:t>
            </w:r>
          </w:p>
        </w:tc>
        <w:tc>
          <w:tcPr>
            <w:tcW w:w="0" w:type="auto"/>
            <w:noWrap/>
            <w:vAlign w:val="center"/>
          </w:tcPr>
          <w:p w14:paraId="44BA5280">
            <w:pPr>
              <w:spacing w:line="360" w:lineRule="auto"/>
              <w:rPr>
                <w:rFonts w:ascii="Times New Roman" w:hAnsi="Times New Roman" w:cs="Times New Roman"/>
                <w:sz w:val="24"/>
                <w:szCs w:val="24"/>
              </w:rPr>
            </w:pPr>
            <w:r>
              <w:rPr>
                <w:rFonts w:ascii="Times New Roman" w:hAnsi="Times New Roman" w:cs="Times New Roman"/>
                <w:sz w:val="24"/>
                <w:szCs w:val="24"/>
              </w:rPr>
              <w:t>67.33</w:t>
            </w:r>
          </w:p>
        </w:tc>
        <w:tc>
          <w:tcPr>
            <w:tcW w:w="0" w:type="auto"/>
            <w:noWrap/>
            <w:vAlign w:val="center"/>
          </w:tcPr>
          <w:p w14:paraId="1D48AAAE">
            <w:pPr>
              <w:spacing w:line="360" w:lineRule="auto"/>
              <w:rPr>
                <w:rFonts w:ascii="Times New Roman" w:hAnsi="Times New Roman" w:cs="Times New Roman"/>
                <w:sz w:val="24"/>
                <w:szCs w:val="24"/>
              </w:rPr>
            </w:pPr>
            <w:r>
              <w:rPr>
                <w:rFonts w:ascii="Times New Roman" w:hAnsi="Times New Roman" w:cs="Times New Roman"/>
                <w:sz w:val="24"/>
                <w:szCs w:val="24"/>
              </w:rPr>
              <w:t>67.72</w:t>
            </w:r>
          </w:p>
        </w:tc>
        <w:tc>
          <w:tcPr>
            <w:tcW w:w="0" w:type="auto"/>
            <w:noWrap/>
            <w:vAlign w:val="center"/>
          </w:tcPr>
          <w:p w14:paraId="365881C9">
            <w:pPr>
              <w:spacing w:line="360" w:lineRule="auto"/>
              <w:rPr>
                <w:rFonts w:ascii="Times New Roman" w:hAnsi="Times New Roman" w:cs="Times New Roman"/>
                <w:sz w:val="24"/>
                <w:szCs w:val="24"/>
              </w:rPr>
            </w:pPr>
            <w:r>
              <w:rPr>
                <w:rFonts w:ascii="Times New Roman" w:hAnsi="Times New Roman" w:cs="Times New Roman"/>
                <w:sz w:val="24"/>
                <w:szCs w:val="24"/>
              </w:rPr>
              <w:t>71.31</w:t>
            </w:r>
          </w:p>
        </w:tc>
        <w:tc>
          <w:tcPr>
            <w:tcW w:w="0" w:type="auto"/>
            <w:noWrap/>
            <w:vAlign w:val="center"/>
          </w:tcPr>
          <w:p w14:paraId="5901CA69">
            <w:pPr>
              <w:spacing w:line="360" w:lineRule="auto"/>
              <w:rPr>
                <w:rFonts w:ascii="Times New Roman" w:hAnsi="Times New Roman" w:cs="Times New Roman"/>
                <w:sz w:val="24"/>
                <w:szCs w:val="24"/>
              </w:rPr>
            </w:pPr>
            <w:r>
              <w:rPr>
                <w:rFonts w:ascii="Times New Roman" w:hAnsi="Times New Roman" w:cs="Times New Roman"/>
                <w:sz w:val="24"/>
                <w:szCs w:val="24"/>
              </w:rPr>
              <w:t>92.82</w:t>
            </w:r>
          </w:p>
        </w:tc>
      </w:tr>
    </w:tbl>
    <w:p w14:paraId="78080427">
      <w:pPr>
        <w:spacing w:line="360" w:lineRule="auto"/>
        <w:rPr>
          <w:rFonts w:ascii="Times New Roman" w:hAnsi="Times New Roman" w:cs="Times New Roman"/>
          <w:sz w:val="24"/>
          <w:szCs w:val="24"/>
        </w:rPr>
      </w:pPr>
      <w:r>
        <w:rPr>
          <w:rFonts w:ascii="Times New Roman" w:hAnsi="Times New Roman" w:cs="Times New Roman"/>
          <w:sz w:val="24"/>
          <w:szCs w:val="24"/>
        </w:rPr>
        <w:t>*Values are expressed as mean ± standard deviation (n=3).*</w:t>
      </w:r>
    </w:p>
    <w:p w14:paraId="31CB1713">
      <w:pPr>
        <w:spacing w:line="360" w:lineRule="auto"/>
        <w:rPr>
          <w:rFonts w:ascii="Times New Roman" w:hAnsi="Times New Roman" w:cs="Times New Roman"/>
          <w:sz w:val="24"/>
          <w:szCs w:val="24"/>
        </w:rPr>
      </w:pPr>
    </w:p>
    <w:p w14:paraId="62E078B5">
      <w:pPr>
        <w:spacing w:line="360" w:lineRule="auto"/>
        <w:rPr>
          <w:rFonts w:ascii="Times New Roman" w:hAnsi="Times New Roman" w:cs="Times New Roman"/>
          <w:sz w:val="24"/>
          <w:szCs w:val="24"/>
        </w:rPr>
      </w:pPr>
      <w:r>
        <w:rPr>
          <w:rFonts w:ascii="Times New Roman" w:hAnsi="Times New Roman" w:cs="Times New Roman"/>
          <w:sz w:val="24"/>
          <w:szCs w:val="24"/>
        </w:rPr>
        <w:t>The data revealed a clear dose-dependent relationship between concentration and radical scavenging activity for all tested substances. The scavenging activity increased progressively with increasing concentration, a hallmark of antioxidant compounds in the DPPH assay. Among the plant extracts, distinct patterns of efficacy were observed. The extracts of S. mombin, A. marmelos, and L. acidissima demonstrated markedly potent and comparable activity across a wide concentration range. Notably, these three extracts exhibited significantly higher (p &lt; 0.05) scavenging activity than BHT at lower concentrations (3.125–25 µg/ml). For instance, at 25 µg/ml, S. mombin and L. acidissima exhibited 56.17% and 39.44% activity, respectively, compared to only 36.65% for BHT. These extracts reached their apparent maximum efficacy, plateauing at approximately 67% scavenging activity between 100 and 200 µg/ml. In contrast, the extract of S. cumini displayed significantly lower antioxidant potency (p &lt; 0.05) at concentrations below 100 µg/ml. Its activity remained below 25% until the 50 µg/ml concentration, after which it increased more sharply, approaching the activity of the other plant extracts only at the highest concentrations (200-400 µg/ml). The reference antioxidant, BHT, displayed a different activity profile. While it was less potent than the leading plant extracts at lower concentrations, it did not exhibit the same early plateau. Its scavenging activity continued to rise steadily across the entire concentration range, ultimately achieving a significantly higher maximum activity of 92.82% at 400 µg/ml, surpassing all natural extracts tested. The IC₅₀ values (the concentration required to scavenge 50% of DPPH radicals), a critical indicator of potency, were calculated from the dose-response curves. The extracts of S. mombin, A. marmelos, and L. acidissima exhibited low IC₅₀ values, confirming their high potency, which was superior to BHT at the lower end of the concentration spectrum. The IC₅₀ for S. cumini was substantially higher, aligning with its weaker performance.</w:t>
      </w:r>
    </w:p>
    <w:p w14:paraId="768C7812">
      <w:pPr>
        <w:spacing w:line="360" w:lineRule="auto"/>
        <w:rPr>
          <w:rFonts w:ascii="Times New Roman" w:hAnsi="Times New Roman" w:cs="Times New Roman"/>
          <w:sz w:val="24"/>
          <w:szCs w:val="24"/>
        </w:rPr>
      </w:pPr>
    </w:p>
    <w:p w14:paraId="717575BA">
      <w:pPr>
        <w:spacing w:line="360" w:lineRule="auto"/>
        <w:rPr>
          <w:rFonts w:ascii="Times New Roman" w:hAnsi="Times New Roman" w:cs="Times New Roman"/>
          <w:b/>
          <w:bCs/>
          <w:sz w:val="24"/>
          <w:szCs w:val="24"/>
        </w:rPr>
      </w:pPr>
      <w:r>
        <w:rPr>
          <w:rFonts w:ascii="Times New Roman" w:hAnsi="Times New Roman" w:cs="Times New Roman"/>
          <w:b/>
          <w:bCs/>
          <w:sz w:val="24"/>
          <w:szCs w:val="24"/>
        </w:rPr>
        <w:t>Statistical Analysis of Dose-Response Relationships</w:t>
      </w:r>
    </w:p>
    <w:p w14:paraId="7DDCF4C2">
      <w:pPr>
        <w:spacing w:line="360" w:lineRule="auto"/>
        <w:rPr>
          <w:rFonts w:ascii="Times New Roman" w:hAnsi="Times New Roman" w:cs="Times New Roman"/>
          <w:sz w:val="24"/>
          <w:szCs w:val="24"/>
        </w:rPr>
      </w:pPr>
      <w:r>
        <w:rPr>
          <w:rFonts w:ascii="Times New Roman" w:hAnsi="Times New Roman" w:cs="Times New Roman"/>
          <w:sz w:val="24"/>
          <w:szCs w:val="24"/>
        </w:rPr>
        <w:t>To quantitatively compare the antioxidant efficacy and model the dose-response relationship, the data from the DPPH assay were subjected to linear regression analysis. The key parameters, including the slope, Y-intercept, calculated IC₅₀ value, and goodness-of-fit metrics (R-squared and P-value), are presented in Table 2.</w:t>
      </w:r>
    </w:p>
    <w:p w14:paraId="4E88353D">
      <w:pPr>
        <w:spacing w:line="360" w:lineRule="auto"/>
        <w:rPr>
          <w:rFonts w:ascii="Times New Roman" w:hAnsi="Times New Roman" w:cs="Times New Roman"/>
          <w:sz w:val="24"/>
          <w:szCs w:val="24"/>
        </w:rPr>
      </w:pPr>
    </w:p>
    <w:p w14:paraId="22893C97">
      <w:pPr>
        <w:spacing w:line="360" w:lineRule="auto"/>
        <w:rPr>
          <w:rFonts w:ascii="Times New Roman" w:hAnsi="Times New Roman" w:cs="Times New Roman"/>
          <w:sz w:val="24"/>
          <w:szCs w:val="24"/>
        </w:rPr>
      </w:pPr>
    </w:p>
    <w:p w14:paraId="6C562D62">
      <w:pPr>
        <w:spacing w:line="360" w:lineRule="auto"/>
        <w:rPr>
          <w:rFonts w:ascii="Times New Roman" w:hAnsi="Times New Roman" w:cs="Times New Roman"/>
          <w:sz w:val="24"/>
          <w:szCs w:val="24"/>
        </w:rPr>
      </w:pPr>
    </w:p>
    <w:p w14:paraId="63691E4E">
      <w:pPr>
        <w:spacing w:line="360" w:lineRule="auto"/>
        <w:rPr>
          <w:rFonts w:ascii="Times New Roman" w:hAnsi="Times New Roman" w:cs="Times New Roman"/>
          <w:sz w:val="24"/>
          <w:szCs w:val="24"/>
        </w:rPr>
      </w:pPr>
    </w:p>
    <w:p w14:paraId="6D7AA75E">
      <w:pPr>
        <w:spacing w:line="360" w:lineRule="auto"/>
        <w:rPr>
          <w:rFonts w:ascii="Times New Roman" w:hAnsi="Times New Roman" w:cs="Times New Roman"/>
          <w:sz w:val="24"/>
          <w:szCs w:val="24"/>
        </w:rPr>
      </w:pPr>
    </w:p>
    <w:p w14:paraId="30D635D8">
      <w:pPr>
        <w:spacing w:line="360" w:lineRule="auto"/>
        <w:rPr>
          <w:rFonts w:ascii="Times New Roman" w:hAnsi="Times New Roman" w:cs="Times New Roman"/>
          <w:sz w:val="24"/>
          <w:szCs w:val="24"/>
        </w:rPr>
      </w:pPr>
    </w:p>
    <w:p w14:paraId="0DC943CD">
      <w:pPr>
        <w:spacing w:line="360" w:lineRule="auto"/>
        <w:rPr>
          <w:rFonts w:ascii="Times New Roman" w:hAnsi="Times New Roman" w:cs="Times New Roman"/>
          <w:sz w:val="24"/>
          <w:szCs w:val="24"/>
        </w:rPr>
      </w:pPr>
    </w:p>
    <w:p w14:paraId="0ED2880B">
      <w:pPr>
        <w:spacing w:line="360" w:lineRule="auto"/>
        <w:rPr>
          <w:rFonts w:ascii="Times New Roman" w:hAnsi="Times New Roman" w:cs="Times New Roman"/>
          <w:sz w:val="24"/>
          <w:szCs w:val="24"/>
        </w:rPr>
      </w:pPr>
    </w:p>
    <w:p w14:paraId="7BAF3371">
      <w:pPr>
        <w:spacing w:line="360" w:lineRule="auto"/>
        <w:rPr>
          <w:rFonts w:ascii="Times New Roman" w:hAnsi="Times New Roman" w:cs="Times New Roman"/>
          <w:sz w:val="24"/>
          <w:szCs w:val="24"/>
        </w:rPr>
      </w:pPr>
    </w:p>
    <w:p w14:paraId="4E1DC733">
      <w:pPr>
        <w:spacing w:line="360" w:lineRule="auto"/>
        <w:rPr>
          <w:rFonts w:ascii="Times New Roman" w:hAnsi="Times New Roman" w:cs="Times New Roman"/>
          <w:sz w:val="24"/>
          <w:szCs w:val="24"/>
        </w:rPr>
      </w:pPr>
    </w:p>
    <w:p w14:paraId="788E44A5">
      <w:pPr>
        <w:spacing w:line="360" w:lineRule="auto"/>
        <w:rPr>
          <w:rFonts w:ascii="Times New Roman" w:hAnsi="Times New Roman" w:cs="Times New Roman"/>
          <w:sz w:val="24"/>
          <w:szCs w:val="24"/>
        </w:rPr>
      </w:pPr>
      <w:r>
        <w:rPr>
          <w:rFonts w:ascii="Times New Roman" w:hAnsi="Times New Roman" w:cs="Times New Roman"/>
          <w:b/>
          <w:bCs/>
          <w:sz w:val="24"/>
          <w:szCs w:val="24"/>
        </w:rPr>
        <w:t>Table 2.</w:t>
      </w:r>
      <w:r>
        <w:rPr>
          <w:rFonts w:ascii="Times New Roman" w:hAnsi="Times New Roman" w:cs="Times New Roman"/>
          <w:sz w:val="24"/>
          <w:szCs w:val="24"/>
        </w:rPr>
        <w:t> Linear regression parameters of the DPPH radical scavenging activity for plant extracts and BHT.</w:t>
      </w:r>
    </w:p>
    <w:tbl>
      <w:tblPr>
        <w:tblStyle w:val="6"/>
        <w:tblpPr w:leftFromText="180" w:rightFromText="180" w:vertAnchor="text" w:horzAnchor="page" w:tblpX="1784" w:tblpY="4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1290"/>
        <w:gridCol w:w="1455"/>
        <w:gridCol w:w="1522"/>
        <w:gridCol w:w="1595"/>
        <w:gridCol w:w="1487"/>
        <w:gridCol w:w="1149"/>
      </w:tblGrid>
      <w:tr w14:paraId="3232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1290" w:type="dxa"/>
            <w:tcMar>
              <w:top w:w="120" w:type="dxa"/>
              <w:left w:w="0" w:type="dxa"/>
              <w:bottom w:w="120" w:type="dxa"/>
              <w:right w:w="192" w:type="dxa"/>
            </w:tcMar>
            <w:vAlign w:val="center"/>
          </w:tcPr>
          <w:p w14:paraId="3AC1358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Parameter</w:t>
            </w:r>
          </w:p>
        </w:tc>
        <w:tc>
          <w:tcPr>
            <w:tcW w:w="1455" w:type="dxa"/>
            <w:tcMar>
              <w:top w:w="120" w:type="dxa"/>
              <w:left w:w="192" w:type="dxa"/>
              <w:bottom w:w="120" w:type="dxa"/>
              <w:right w:w="192" w:type="dxa"/>
            </w:tcMar>
            <w:vAlign w:val="center"/>
          </w:tcPr>
          <w:p w14:paraId="6EAFA3C3">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Spondias </w:t>
            </w:r>
          </w:p>
          <w:p w14:paraId="44CCA8C7">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Mombin </w:t>
            </w:r>
          </w:p>
        </w:tc>
        <w:tc>
          <w:tcPr>
            <w:tcW w:w="1522" w:type="dxa"/>
            <w:tcMar>
              <w:top w:w="120" w:type="dxa"/>
              <w:left w:w="192" w:type="dxa"/>
              <w:bottom w:w="120" w:type="dxa"/>
              <w:right w:w="192" w:type="dxa"/>
            </w:tcMar>
            <w:vAlign w:val="center"/>
          </w:tcPr>
          <w:p w14:paraId="587F047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Aegle </w:t>
            </w:r>
          </w:p>
          <w:p w14:paraId="67927ABD">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Marmelos </w:t>
            </w:r>
          </w:p>
        </w:tc>
        <w:tc>
          <w:tcPr>
            <w:tcW w:w="1595" w:type="dxa"/>
            <w:tcMar>
              <w:top w:w="120" w:type="dxa"/>
              <w:left w:w="192" w:type="dxa"/>
              <w:bottom w:w="120" w:type="dxa"/>
              <w:right w:w="192" w:type="dxa"/>
            </w:tcMar>
            <w:vAlign w:val="center"/>
          </w:tcPr>
          <w:p w14:paraId="63BB72EB">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Limonia </w:t>
            </w:r>
          </w:p>
          <w:p w14:paraId="22380E92">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Acidissima </w:t>
            </w:r>
          </w:p>
        </w:tc>
        <w:tc>
          <w:tcPr>
            <w:tcW w:w="1487" w:type="dxa"/>
            <w:tcMar>
              <w:top w:w="120" w:type="dxa"/>
              <w:left w:w="192" w:type="dxa"/>
              <w:bottom w:w="120" w:type="dxa"/>
              <w:right w:w="192" w:type="dxa"/>
            </w:tcMar>
            <w:vAlign w:val="center"/>
          </w:tcPr>
          <w:p w14:paraId="0AA37A0C">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Syzygium </w:t>
            </w:r>
          </w:p>
          <w:p w14:paraId="2EB55942">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Cumini </w:t>
            </w:r>
          </w:p>
        </w:tc>
        <w:tc>
          <w:tcPr>
            <w:tcW w:w="1149" w:type="dxa"/>
            <w:tcMar>
              <w:top w:w="120" w:type="dxa"/>
              <w:left w:w="192" w:type="dxa"/>
              <w:bottom w:w="120" w:type="dxa"/>
              <w:right w:w="192" w:type="dxa"/>
            </w:tcMar>
            <w:vAlign w:val="center"/>
          </w:tcPr>
          <w:p w14:paraId="3A738DA5">
            <w:pPr>
              <w:spacing w:line="360" w:lineRule="auto"/>
              <w:rPr>
                <w:rFonts w:ascii="Times New Roman" w:hAnsi="Times New Roman" w:cs="Times New Roman"/>
                <w:b/>
                <w:bCs/>
                <w:sz w:val="24"/>
                <w:szCs w:val="24"/>
              </w:rPr>
            </w:pPr>
            <w:r>
              <w:rPr>
                <w:rFonts w:ascii="Times New Roman" w:hAnsi="Times New Roman" w:cs="Times New Roman"/>
                <w:b/>
                <w:bCs/>
                <w:sz w:val="24"/>
                <w:szCs w:val="24"/>
              </w:rPr>
              <w:t>BHT</w:t>
            </w:r>
          </w:p>
          <w:p w14:paraId="25B0F27C">
            <w:pPr>
              <w:spacing w:line="360" w:lineRule="auto"/>
              <w:rPr>
                <w:rFonts w:ascii="Times New Roman" w:hAnsi="Times New Roman" w:cs="Times New Roman"/>
                <w:b/>
                <w:bCs/>
                <w:sz w:val="24"/>
                <w:szCs w:val="24"/>
              </w:rPr>
            </w:pPr>
          </w:p>
        </w:tc>
      </w:tr>
      <w:tr w14:paraId="314AD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90" w:type="dxa"/>
            <w:tcMar>
              <w:top w:w="120" w:type="dxa"/>
              <w:left w:w="0" w:type="dxa"/>
              <w:bottom w:w="120" w:type="dxa"/>
              <w:right w:w="192" w:type="dxa"/>
            </w:tcMar>
            <w:vAlign w:val="center"/>
          </w:tcPr>
          <w:p w14:paraId="0B9B5838">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Slope</w:t>
            </w:r>
          </w:p>
        </w:tc>
        <w:tc>
          <w:tcPr>
            <w:tcW w:w="1455" w:type="dxa"/>
            <w:tcMar>
              <w:top w:w="120" w:type="dxa"/>
              <w:left w:w="192" w:type="dxa"/>
              <w:bottom w:w="120" w:type="dxa"/>
              <w:right w:w="192" w:type="dxa"/>
            </w:tcMar>
            <w:vAlign w:val="center"/>
          </w:tcPr>
          <w:p w14:paraId="697F0B15">
            <w:pPr>
              <w:spacing w:line="360" w:lineRule="auto"/>
              <w:rPr>
                <w:rFonts w:ascii="Times New Roman" w:hAnsi="Times New Roman" w:cs="Times New Roman"/>
                <w:sz w:val="24"/>
                <w:szCs w:val="24"/>
              </w:rPr>
            </w:pPr>
            <w:r>
              <w:rPr>
                <w:rFonts w:ascii="Times New Roman" w:hAnsi="Times New Roman" w:cs="Times New Roman"/>
                <w:sz w:val="24"/>
                <w:szCs w:val="24"/>
              </w:rPr>
              <w:t>0.09500</w:t>
            </w:r>
          </w:p>
        </w:tc>
        <w:tc>
          <w:tcPr>
            <w:tcW w:w="1522" w:type="dxa"/>
            <w:tcMar>
              <w:top w:w="120" w:type="dxa"/>
              <w:left w:w="192" w:type="dxa"/>
              <w:bottom w:w="120" w:type="dxa"/>
              <w:right w:w="192" w:type="dxa"/>
            </w:tcMar>
            <w:vAlign w:val="center"/>
          </w:tcPr>
          <w:p w14:paraId="6413D100">
            <w:pPr>
              <w:spacing w:line="360" w:lineRule="auto"/>
              <w:rPr>
                <w:rFonts w:ascii="Times New Roman" w:hAnsi="Times New Roman" w:cs="Times New Roman"/>
                <w:sz w:val="24"/>
                <w:szCs w:val="24"/>
              </w:rPr>
            </w:pPr>
            <w:r>
              <w:rPr>
                <w:rFonts w:ascii="Times New Roman" w:hAnsi="Times New Roman" w:cs="Times New Roman"/>
                <w:sz w:val="24"/>
                <w:szCs w:val="24"/>
              </w:rPr>
              <w:t>0.1260</w:t>
            </w:r>
          </w:p>
        </w:tc>
        <w:tc>
          <w:tcPr>
            <w:tcW w:w="1595" w:type="dxa"/>
            <w:tcMar>
              <w:top w:w="120" w:type="dxa"/>
              <w:left w:w="192" w:type="dxa"/>
              <w:bottom w:w="120" w:type="dxa"/>
              <w:right w:w="192" w:type="dxa"/>
            </w:tcMar>
            <w:vAlign w:val="center"/>
          </w:tcPr>
          <w:p w14:paraId="22F8CF10">
            <w:pPr>
              <w:spacing w:line="360" w:lineRule="auto"/>
              <w:rPr>
                <w:rFonts w:ascii="Times New Roman" w:hAnsi="Times New Roman" w:cs="Times New Roman"/>
                <w:sz w:val="24"/>
                <w:szCs w:val="24"/>
              </w:rPr>
            </w:pPr>
            <w:r>
              <w:rPr>
                <w:rFonts w:ascii="Times New Roman" w:hAnsi="Times New Roman" w:cs="Times New Roman"/>
                <w:sz w:val="24"/>
                <w:szCs w:val="24"/>
              </w:rPr>
              <w:t>0.1125</w:t>
            </w:r>
          </w:p>
        </w:tc>
        <w:tc>
          <w:tcPr>
            <w:tcW w:w="1487" w:type="dxa"/>
            <w:tcMar>
              <w:top w:w="120" w:type="dxa"/>
              <w:left w:w="192" w:type="dxa"/>
              <w:bottom w:w="120" w:type="dxa"/>
              <w:right w:w="192" w:type="dxa"/>
            </w:tcMar>
            <w:vAlign w:val="center"/>
          </w:tcPr>
          <w:p w14:paraId="48C070F2">
            <w:pPr>
              <w:spacing w:line="360" w:lineRule="auto"/>
              <w:rPr>
                <w:rFonts w:ascii="Times New Roman" w:hAnsi="Times New Roman" w:cs="Times New Roman"/>
                <w:sz w:val="24"/>
                <w:szCs w:val="24"/>
              </w:rPr>
            </w:pPr>
            <w:r>
              <w:rPr>
                <w:rFonts w:ascii="Times New Roman" w:hAnsi="Times New Roman" w:cs="Times New Roman"/>
                <w:sz w:val="24"/>
                <w:szCs w:val="24"/>
              </w:rPr>
              <w:t>0.1746</w:t>
            </w:r>
          </w:p>
        </w:tc>
        <w:tc>
          <w:tcPr>
            <w:tcW w:w="1149" w:type="dxa"/>
            <w:tcMar>
              <w:top w:w="120" w:type="dxa"/>
              <w:left w:w="192" w:type="dxa"/>
              <w:bottom w:w="120" w:type="dxa"/>
              <w:right w:w="0" w:type="dxa"/>
            </w:tcMar>
            <w:vAlign w:val="center"/>
          </w:tcPr>
          <w:p w14:paraId="61A100F3">
            <w:pPr>
              <w:spacing w:line="360" w:lineRule="auto"/>
              <w:rPr>
                <w:rFonts w:ascii="Times New Roman" w:hAnsi="Times New Roman" w:cs="Times New Roman"/>
                <w:sz w:val="24"/>
                <w:szCs w:val="24"/>
              </w:rPr>
            </w:pPr>
            <w:r>
              <w:rPr>
                <w:rFonts w:ascii="Times New Roman" w:hAnsi="Times New Roman" w:cs="Times New Roman"/>
                <w:sz w:val="24"/>
                <w:szCs w:val="24"/>
              </w:rPr>
              <w:t>0.1819</w:t>
            </w:r>
          </w:p>
        </w:tc>
      </w:tr>
      <w:tr w14:paraId="779D4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90" w:type="dxa"/>
            <w:tcMar>
              <w:top w:w="120" w:type="dxa"/>
              <w:left w:w="0" w:type="dxa"/>
              <w:bottom w:w="120" w:type="dxa"/>
              <w:right w:w="192" w:type="dxa"/>
            </w:tcMar>
            <w:vAlign w:val="center"/>
          </w:tcPr>
          <w:p w14:paraId="1271793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Y-Intercept</w:t>
            </w:r>
          </w:p>
        </w:tc>
        <w:tc>
          <w:tcPr>
            <w:tcW w:w="1455" w:type="dxa"/>
            <w:tcMar>
              <w:top w:w="120" w:type="dxa"/>
              <w:left w:w="192" w:type="dxa"/>
              <w:bottom w:w="120" w:type="dxa"/>
              <w:right w:w="192" w:type="dxa"/>
            </w:tcMar>
            <w:vAlign w:val="center"/>
          </w:tcPr>
          <w:p w14:paraId="1A9760C1">
            <w:pPr>
              <w:spacing w:line="360" w:lineRule="auto"/>
              <w:rPr>
                <w:rFonts w:ascii="Times New Roman" w:hAnsi="Times New Roman" w:cs="Times New Roman"/>
                <w:sz w:val="24"/>
                <w:szCs w:val="24"/>
              </w:rPr>
            </w:pPr>
            <w:r>
              <w:rPr>
                <w:rFonts w:ascii="Times New Roman" w:hAnsi="Times New Roman" w:cs="Times New Roman"/>
                <w:sz w:val="24"/>
                <w:szCs w:val="24"/>
              </w:rPr>
              <w:t>40.44</w:t>
            </w:r>
          </w:p>
        </w:tc>
        <w:tc>
          <w:tcPr>
            <w:tcW w:w="1522" w:type="dxa"/>
            <w:tcMar>
              <w:top w:w="120" w:type="dxa"/>
              <w:left w:w="192" w:type="dxa"/>
              <w:bottom w:w="120" w:type="dxa"/>
              <w:right w:w="192" w:type="dxa"/>
            </w:tcMar>
            <w:vAlign w:val="center"/>
          </w:tcPr>
          <w:p w14:paraId="0F9F4B36">
            <w:pPr>
              <w:spacing w:line="360" w:lineRule="auto"/>
              <w:rPr>
                <w:rFonts w:ascii="Times New Roman" w:hAnsi="Times New Roman" w:cs="Times New Roman"/>
                <w:sz w:val="24"/>
                <w:szCs w:val="24"/>
              </w:rPr>
            </w:pPr>
            <w:r>
              <w:rPr>
                <w:rFonts w:ascii="Times New Roman" w:hAnsi="Times New Roman" w:cs="Times New Roman"/>
                <w:sz w:val="24"/>
                <w:szCs w:val="24"/>
              </w:rPr>
              <w:t>30.13</w:t>
            </w:r>
          </w:p>
        </w:tc>
        <w:tc>
          <w:tcPr>
            <w:tcW w:w="1595" w:type="dxa"/>
            <w:tcMar>
              <w:top w:w="120" w:type="dxa"/>
              <w:left w:w="192" w:type="dxa"/>
              <w:bottom w:w="120" w:type="dxa"/>
              <w:right w:w="192" w:type="dxa"/>
            </w:tcMar>
            <w:vAlign w:val="center"/>
          </w:tcPr>
          <w:p w14:paraId="0DAEC7A0">
            <w:pPr>
              <w:spacing w:line="360" w:lineRule="auto"/>
              <w:rPr>
                <w:rFonts w:ascii="Times New Roman" w:hAnsi="Times New Roman" w:cs="Times New Roman"/>
                <w:sz w:val="24"/>
                <w:szCs w:val="24"/>
              </w:rPr>
            </w:pPr>
            <w:r>
              <w:rPr>
                <w:rFonts w:ascii="Times New Roman" w:hAnsi="Times New Roman" w:cs="Times New Roman"/>
                <w:sz w:val="24"/>
                <w:szCs w:val="24"/>
              </w:rPr>
              <w:t>34.85</w:t>
            </w:r>
          </w:p>
        </w:tc>
        <w:tc>
          <w:tcPr>
            <w:tcW w:w="1487" w:type="dxa"/>
            <w:tcMar>
              <w:top w:w="120" w:type="dxa"/>
              <w:left w:w="192" w:type="dxa"/>
              <w:bottom w:w="120" w:type="dxa"/>
              <w:right w:w="192" w:type="dxa"/>
            </w:tcMar>
            <w:vAlign w:val="center"/>
          </w:tcPr>
          <w:p w14:paraId="7B3E3A22">
            <w:pPr>
              <w:spacing w:line="360" w:lineRule="auto"/>
              <w:rPr>
                <w:rFonts w:ascii="Times New Roman" w:hAnsi="Times New Roman" w:cs="Times New Roman"/>
                <w:sz w:val="24"/>
                <w:szCs w:val="24"/>
              </w:rPr>
            </w:pPr>
            <w:r>
              <w:rPr>
                <w:rFonts w:ascii="Times New Roman" w:hAnsi="Times New Roman" w:cs="Times New Roman"/>
                <w:sz w:val="24"/>
                <w:szCs w:val="24"/>
              </w:rPr>
              <w:t>14.98</w:t>
            </w:r>
          </w:p>
        </w:tc>
        <w:tc>
          <w:tcPr>
            <w:tcW w:w="1149" w:type="dxa"/>
            <w:tcMar>
              <w:top w:w="120" w:type="dxa"/>
              <w:left w:w="192" w:type="dxa"/>
              <w:bottom w:w="120" w:type="dxa"/>
              <w:right w:w="0" w:type="dxa"/>
            </w:tcMar>
            <w:vAlign w:val="center"/>
          </w:tcPr>
          <w:p w14:paraId="5DA7E66B">
            <w:pPr>
              <w:spacing w:line="360" w:lineRule="auto"/>
              <w:rPr>
                <w:rFonts w:ascii="Times New Roman" w:hAnsi="Times New Roman" w:cs="Times New Roman"/>
                <w:sz w:val="24"/>
                <w:szCs w:val="24"/>
              </w:rPr>
            </w:pPr>
            <w:r>
              <w:rPr>
                <w:rFonts w:ascii="Times New Roman" w:hAnsi="Times New Roman" w:cs="Times New Roman"/>
                <w:sz w:val="24"/>
                <w:szCs w:val="24"/>
              </w:rPr>
              <w:t>28.14</w:t>
            </w:r>
          </w:p>
        </w:tc>
      </w:tr>
      <w:tr w14:paraId="0A75F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90" w:type="dxa"/>
            <w:tcMar>
              <w:top w:w="120" w:type="dxa"/>
              <w:left w:w="0" w:type="dxa"/>
              <w:bottom w:w="120" w:type="dxa"/>
              <w:right w:w="192" w:type="dxa"/>
            </w:tcMar>
            <w:vAlign w:val="center"/>
          </w:tcPr>
          <w:p w14:paraId="7E7B7F5C">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X when Y=50</w:t>
            </w:r>
          </w:p>
        </w:tc>
        <w:tc>
          <w:tcPr>
            <w:tcW w:w="1455" w:type="dxa"/>
            <w:tcMar>
              <w:top w:w="120" w:type="dxa"/>
              <w:left w:w="192" w:type="dxa"/>
              <w:bottom w:w="120" w:type="dxa"/>
              <w:right w:w="192" w:type="dxa"/>
            </w:tcMar>
            <w:vAlign w:val="center"/>
          </w:tcPr>
          <w:p w14:paraId="2444F43D">
            <w:pPr>
              <w:spacing w:line="360" w:lineRule="auto"/>
              <w:rPr>
                <w:rFonts w:ascii="Times New Roman" w:hAnsi="Times New Roman" w:cs="Times New Roman"/>
                <w:sz w:val="24"/>
                <w:szCs w:val="24"/>
              </w:rPr>
            </w:pPr>
            <w:r>
              <w:rPr>
                <w:rFonts w:ascii="Times New Roman" w:hAnsi="Times New Roman" w:cs="Times New Roman"/>
                <w:sz w:val="24"/>
                <w:szCs w:val="24"/>
              </w:rPr>
              <w:t>100.6</w:t>
            </w:r>
          </w:p>
        </w:tc>
        <w:tc>
          <w:tcPr>
            <w:tcW w:w="1522" w:type="dxa"/>
            <w:tcMar>
              <w:top w:w="120" w:type="dxa"/>
              <w:left w:w="192" w:type="dxa"/>
              <w:bottom w:w="120" w:type="dxa"/>
              <w:right w:w="192" w:type="dxa"/>
            </w:tcMar>
            <w:vAlign w:val="center"/>
          </w:tcPr>
          <w:p w14:paraId="1941B2F7">
            <w:pPr>
              <w:spacing w:line="360" w:lineRule="auto"/>
              <w:rPr>
                <w:rFonts w:ascii="Times New Roman" w:hAnsi="Times New Roman" w:cs="Times New Roman"/>
                <w:sz w:val="24"/>
                <w:szCs w:val="24"/>
              </w:rPr>
            </w:pPr>
            <w:r>
              <w:rPr>
                <w:rFonts w:ascii="Times New Roman" w:hAnsi="Times New Roman" w:cs="Times New Roman"/>
                <w:sz w:val="24"/>
                <w:szCs w:val="24"/>
              </w:rPr>
              <w:t>157.7</w:t>
            </w:r>
          </w:p>
        </w:tc>
        <w:tc>
          <w:tcPr>
            <w:tcW w:w="1595" w:type="dxa"/>
            <w:tcMar>
              <w:top w:w="120" w:type="dxa"/>
              <w:left w:w="192" w:type="dxa"/>
              <w:bottom w:w="120" w:type="dxa"/>
              <w:right w:w="192" w:type="dxa"/>
            </w:tcMar>
            <w:vAlign w:val="center"/>
          </w:tcPr>
          <w:p w14:paraId="3109096B">
            <w:pPr>
              <w:spacing w:line="360" w:lineRule="auto"/>
              <w:rPr>
                <w:rFonts w:ascii="Times New Roman" w:hAnsi="Times New Roman" w:cs="Times New Roman"/>
                <w:sz w:val="24"/>
                <w:szCs w:val="24"/>
              </w:rPr>
            </w:pPr>
            <w:r>
              <w:rPr>
                <w:rFonts w:ascii="Times New Roman" w:hAnsi="Times New Roman" w:cs="Times New Roman"/>
                <w:sz w:val="24"/>
                <w:szCs w:val="24"/>
              </w:rPr>
              <w:t>134.6</w:t>
            </w:r>
          </w:p>
        </w:tc>
        <w:tc>
          <w:tcPr>
            <w:tcW w:w="1487" w:type="dxa"/>
            <w:tcMar>
              <w:top w:w="120" w:type="dxa"/>
              <w:left w:w="192" w:type="dxa"/>
              <w:bottom w:w="120" w:type="dxa"/>
              <w:right w:w="192" w:type="dxa"/>
            </w:tcMar>
            <w:vAlign w:val="center"/>
          </w:tcPr>
          <w:p w14:paraId="72D78137">
            <w:pPr>
              <w:spacing w:line="360" w:lineRule="auto"/>
              <w:rPr>
                <w:rFonts w:ascii="Times New Roman" w:hAnsi="Times New Roman" w:cs="Times New Roman"/>
                <w:sz w:val="24"/>
                <w:szCs w:val="24"/>
              </w:rPr>
            </w:pPr>
            <w:r>
              <w:rPr>
                <w:rFonts w:ascii="Times New Roman" w:hAnsi="Times New Roman" w:cs="Times New Roman"/>
                <w:sz w:val="24"/>
                <w:szCs w:val="24"/>
              </w:rPr>
              <w:t>200.6</w:t>
            </w:r>
          </w:p>
        </w:tc>
        <w:tc>
          <w:tcPr>
            <w:tcW w:w="1149" w:type="dxa"/>
            <w:tcMar>
              <w:top w:w="120" w:type="dxa"/>
              <w:left w:w="192" w:type="dxa"/>
              <w:bottom w:w="120" w:type="dxa"/>
              <w:right w:w="0" w:type="dxa"/>
            </w:tcMar>
            <w:vAlign w:val="center"/>
          </w:tcPr>
          <w:p w14:paraId="377410E2">
            <w:pPr>
              <w:spacing w:line="360" w:lineRule="auto"/>
              <w:rPr>
                <w:rFonts w:ascii="Times New Roman" w:hAnsi="Times New Roman" w:cs="Times New Roman"/>
                <w:sz w:val="24"/>
                <w:szCs w:val="24"/>
              </w:rPr>
            </w:pPr>
            <w:r>
              <w:rPr>
                <w:rFonts w:ascii="Times New Roman" w:hAnsi="Times New Roman" w:cs="Times New Roman"/>
                <w:sz w:val="24"/>
                <w:szCs w:val="24"/>
              </w:rPr>
              <w:t>120.2</w:t>
            </w:r>
          </w:p>
        </w:tc>
      </w:tr>
      <w:tr w14:paraId="79DD1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90" w:type="dxa"/>
            <w:tcMar>
              <w:top w:w="120" w:type="dxa"/>
              <w:left w:w="0" w:type="dxa"/>
              <w:bottom w:w="120" w:type="dxa"/>
              <w:right w:w="192" w:type="dxa"/>
            </w:tcMar>
            <w:vAlign w:val="center"/>
          </w:tcPr>
          <w:p w14:paraId="424E98C5">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R squared</w:t>
            </w:r>
          </w:p>
        </w:tc>
        <w:tc>
          <w:tcPr>
            <w:tcW w:w="1455" w:type="dxa"/>
            <w:tcMar>
              <w:top w:w="120" w:type="dxa"/>
              <w:left w:w="192" w:type="dxa"/>
              <w:bottom w:w="120" w:type="dxa"/>
              <w:right w:w="192" w:type="dxa"/>
            </w:tcMar>
            <w:vAlign w:val="center"/>
          </w:tcPr>
          <w:p w14:paraId="55F9EC21">
            <w:pPr>
              <w:spacing w:line="360" w:lineRule="auto"/>
              <w:rPr>
                <w:rFonts w:ascii="Times New Roman" w:hAnsi="Times New Roman" w:cs="Times New Roman"/>
                <w:sz w:val="24"/>
                <w:szCs w:val="24"/>
              </w:rPr>
            </w:pPr>
            <w:r>
              <w:rPr>
                <w:rFonts w:ascii="Times New Roman" w:hAnsi="Times New Roman" w:cs="Times New Roman"/>
                <w:sz w:val="24"/>
                <w:szCs w:val="24"/>
              </w:rPr>
              <w:t>0.3890</w:t>
            </w:r>
          </w:p>
        </w:tc>
        <w:tc>
          <w:tcPr>
            <w:tcW w:w="1522" w:type="dxa"/>
            <w:tcMar>
              <w:top w:w="120" w:type="dxa"/>
              <w:left w:w="192" w:type="dxa"/>
              <w:bottom w:w="120" w:type="dxa"/>
              <w:right w:w="192" w:type="dxa"/>
            </w:tcMar>
            <w:vAlign w:val="center"/>
          </w:tcPr>
          <w:p w14:paraId="37123189">
            <w:pPr>
              <w:spacing w:line="360" w:lineRule="auto"/>
              <w:rPr>
                <w:rFonts w:ascii="Times New Roman" w:hAnsi="Times New Roman" w:cs="Times New Roman"/>
                <w:sz w:val="24"/>
                <w:szCs w:val="24"/>
              </w:rPr>
            </w:pPr>
            <w:r>
              <w:rPr>
                <w:rFonts w:ascii="Times New Roman" w:hAnsi="Times New Roman" w:cs="Times New Roman"/>
                <w:sz w:val="24"/>
                <w:szCs w:val="24"/>
              </w:rPr>
              <w:t>0.5672</w:t>
            </w:r>
          </w:p>
        </w:tc>
        <w:tc>
          <w:tcPr>
            <w:tcW w:w="1595" w:type="dxa"/>
            <w:tcMar>
              <w:top w:w="120" w:type="dxa"/>
              <w:left w:w="192" w:type="dxa"/>
              <w:bottom w:w="120" w:type="dxa"/>
              <w:right w:w="192" w:type="dxa"/>
            </w:tcMar>
            <w:vAlign w:val="center"/>
          </w:tcPr>
          <w:p w14:paraId="24697B1B">
            <w:pPr>
              <w:spacing w:line="360" w:lineRule="auto"/>
              <w:rPr>
                <w:rFonts w:ascii="Times New Roman" w:hAnsi="Times New Roman" w:cs="Times New Roman"/>
                <w:sz w:val="24"/>
                <w:szCs w:val="24"/>
              </w:rPr>
            </w:pPr>
            <w:r>
              <w:rPr>
                <w:rFonts w:ascii="Times New Roman" w:hAnsi="Times New Roman" w:cs="Times New Roman"/>
                <w:sz w:val="24"/>
                <w:szCs w:val="24"/>
              </w:rPr>
              <w:t>0.5060</w:t>
            </w:r>
          </w:p>
        </w:tc>
        <w:tc>
          <w:tcPr>
            <w:tcW w:w="1487" w:type="dxa"/>
            <w:tcMar>
              <w:top w:w="120" w:type="dxa"/>
              <w:left w:w="192" w:type="dxa"/>
              <w:bottom w:w="120" w:type="dxa"/>
              <w:right w:w="192" w:type="dxa"/>
            </w:tcMar>
            <w:vAlign w:val="center"/>
          </w:tcPr>
          <w:p w14:paraId="5B589F17">
            <w:pPr>
              <w:spacing w:line="360" w:lineRule="auto"/>
              <w:rPr>
                <w:rFonts w:ascii="Times New Roman" w:hAnsi="Times New Roman" w:cs="Times New Roman"/>
                <w:sz w:val="24"/>
                <w:szCs w:val="24"/>
              </w:rPr>
            </w:pPr>
            <w:r>
              <w:rPr>
                <w:rFonts w:ascii="Times New Roman" w:hAnsi="Times New Roman" w:cs="Times New Roman"/>
                <w:sz w:val="24"/>
                <w:szCs w:val="24"/>
              </w:rPr>
              <w:t>0.7665</w:t>
            </w:r>
          </w:p>
        </w:tc>
        <w:tc>
          <w:tcPr>
            <w:tcW w:w="1149" w:type="dxa"/>
            <w:tcMar>
              <w:top w:w="120" w:type="dxa"/>
              <w:left w:w="192" w:type="dxa"/>
              <w:bottom w:w="120" w:type="dxa"/>
              <w:right w:w="0" w:type="dxa"/>
            </w:tcMar>
            <w:vAlign w:val="center"/>
          </w:tcPr>
          <w:p w14:paraId="53B15E51">
            <w:pPr>
              <w:spacing w:line="360" w:lineRule="auto"/>
              <w:rPr>
                <w:rFonts w:ascii="Times New Roman" w:hAnsi="Times New Roman" w:cs="Times New Roman"/>
                <w:sz w:val="24"/>
                <w:szCs w:val="24"/>
              </w:rPr>
            </w:pPr>
            <w:r>
              <w:rPr>
                <w:rFonts w:ascii="Times New Roman" w:hAnsi="Times New Roman" w:cs="Times New Roman"/>
                <w:sz w:val="24"/>
                <w:szCs w:val="24"/>
              </w:rPr>
              <w:t>0.8471</w:t>
            </w:r>
          </w:p>
        </w:tc>
      </w:tr>
      <w:tr w14:paraId="6F0C7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90" w:type="dxa"/>
            <w:tcMar>
              <w:top w:w="120" w:type="dxa"/>
              <w:left w:w="0" w:type="dxa"/>
              <w:bottom w:w="120" w:type="dxa"/>
              <w:right w:w="192" w:type="dxa"/>
            </w:tcMar>
            <w:vAlign w:val="center"/>
          </w:tcPr>
          <w:p w14:paraId="2A7FBC1D">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P value</w:t>
            </w:r>
          </w:p>
        </w:tc>
        <w:tc>
          <w:tcPr>
            <w:tcW w:w="1455" w:type="dxa"/>
            <w:tcMar>
              <w:top w:w="120" w:type="dxa"/>
              <w:left w:w="192" w:type="dxa"/>
              <w:bottom w:w="120" w:type="dxa"/>
              <w:right w:w="192" w:type="dxa"/>
            </w:tcMar>
            <w:vAlign w:val="center"/>
          </w:tcPr>
          <w:p w14:paraId="2608DF84">
            <w:pPr>
              <w:spacing w:line="360" w:lineRule="auto"/>
              <w:rPr>
                <w:rFonts w:ascii="Times New Roman" w:hAnsi="Times New Roman" w:cs="Times New Roman"/>
                <w:sz w:val="24"/>
                <w:szCs w:val="24"/>
              </w:rPr>
            </w:pPr>
            <w:r>
              <w:rPr>
                <w:rFonts w:ascii="Times New Roman" w:hAnsi="Times New Roman" w:cs="Times New Roman"/>
                <w:sz w:val="24"/>
                <w:szCs w:val="24"/>
              </w:rPr>
              <w:t>0.0985</w:t>
            </w:r>
          </w:p>
        </w:tc>
        <w:tc>
          <w:tcPr>
            <w:tcW w:w="1522" w:type="dxa"/>
            <w:tcMar>
              <w:top w:w="120" w:type="dxa"/>
              <w:left w:w="192" w:type="dxa"/>
              <w:bottom w:w="120" w:type="dxa"/>
              <w:right w:w="192" w:type="dxa"/>
            </w:tcMar>
            <w:vAlign w:val="center"/>
          </w:tcPr>
          <w:p w14:paraId="40E9C3D9">
            <w:pPr>
              <w:spacing w:line="360" w:lineRule="auto"/>
              <w:rPr>
                <w:rFonts w:ascii="Times New Roman" w:hAnsi="Times New Roman" w:cs="Times New Roman"/>
                <w:sz w:val="24"/>
                <w:szCs w:val="24"/>
              </w:rPr>
            </w:pPr>
            <w:r>
              <w:rPr>
                <w:rFonts w:ascii="Times New Roman" w:hAnsi="Times New Roman" w:cs="Times New Roman"/>
                <w:sz w:val="24"/>
                <w:szCs w:val="24"/>
              </w:rPr>
              <w:t>0.0310</w:t>
            </w:r>
          </w:p>
        </w:tc>
        <w:tc>
          <w:tcPr>
            <w:tcW w:w="1595" w:type="dxa"/>
            <w:tcMar>
              <w:top w:w="120" w:type="dxa"/>
              <w:left w:w="192" w:type="dxa"/>
              <w:bottom w:w="120" w:type="dxa"/>
              <w:right w:w="192" w:type="dxa"/>
            </w:tcMar>
            <w:vAlign w:val="center"/>
          </w:tcPr>
          <w:p w14:paraId="54EC65EB">
            <w:pPr>
              <w:spacing w:line="360" w:lineRule="auto"/>
              <w:rPr>
                <w:rFonts w:ascii="Times New Roman" w:hAnsi="Times New Roman" w:cs="Times New Roman"/>
                <w:sz w:val="24"/>
                <w:szCs w:val="24"/>
              </w:rPr>
            </w:pPr>
            <w:r>
              <w:rPr>
                <w:rFonts w:ascii="Times New Roman" w:hAnsi="Times New Roman" w:cs="Times New Roman"/>
                <w:sz w:val="24"/>
                <w:szCs w:val="24"/>
              </w:rPr>
              <w:t>0.0479</w:t>
            </w:r>
          </w:p>
        </w:tc>
        <w:tc>
          <w:tcPr>
            <w:tcW w:w="1487" w:type="dxa"/>
            <w:tcMar>
              <w:top w:w="120" w:type="dxa"/>
              <w:left w:w="192" w:type="dxa"/>
              <w:bottom w:w="120" w:type="dxa"/>
              <w:right w:w="192" w:type="dxa"/>
            </w:tcMar>
            <w:vAlign w:val="center"/>
          </w:tcPr>
          <w:p w14:paraId="7587BABC">
            <w:pPr>
              <w:spacing w:line="360" w:lineRule="auto"/>
              <w:rPr>
                <w:rFonts w:ascii="Times New Roman" w:hAnsi="Times New Roman" w:cs="Times New Roman"/>
                <w:sz w:val="24"/>
                <w:szCs w:val="24"/>
              </w:rPr>
            </w:pPr>
            <w:r>
              <w:rPr>
                <w:rFonts w:ascii="Times New Roman" w:hAnsi="Times New Roman" w:cs="Times New Roman"/>
                <w:sz w:val="24"/>
                <w:szCs w:val="24"/>
              </w:rPr>
              <w:t>0.0044</w:t>
            </w:r>
          </w:p>
        </w:tc>
        <w:tc>
          <w:tcPr>
            <w:tcW w:w="1149" w:type="dxa"/>
            <w:tcMar>
              <w:top w:w="120" w:type="dxa"/>
              <w:left w:w="192" w:type="dxa"/>
              <w:bottom w:w="120" w:type="dxa"/>
              <w:right w:w="0" w:type="dxa"/>
            </w:tcMar>
            <w:vAlign w:val="center"/>
          </w:tcPr>
          <w:p w14:paraId="19A1B8C6">
            <w:pPr>
              <w:spacing w:line="360" w:lineRule="auto"/>
              <w:rPr>
                <w:rFonts w:ascii="Times New Roman" w:hAnsi="Times New Roman" w:cs="Times New Roman"/>
                <w:sz w:val="24"/>
                <w:szCs w:val="24"/>
              </w:rPr>
            </w:pPr>
            <w:r>
              <w:rPr>
                <w:rFonts w:ascii="Times New Roman" w:hAnsi="Times New Roman" w:cs="Times New Roman"/>
                <w:sz w:val="24"/>
                <w:szCs w:val="24"/>
              </w:rPr>
              <w:t>0.0012</w:t>
            </w:r>
          </w:p>
        </w:tc>
      </w:tr>
      <w:tr w14:paraId="6DF93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1290" w:type="dxa"/>
            <w:tcMar>
              <w:top w:w="120" w:type="dxa"/>
              <w:left w:w="0" w:type="dxa"/>
              <w:bottom w:w="120" w:type="dxa"/>
              <w:right w:w="192" w:type="dxa"/>
            </w:tcMar>
            <w:vAlign w:val="center"/>
          </w:tcPr>
          <w:p w14:paraId="7FF78E04">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Equation</w:t>
            </w:r>
          </w:p>
        </w:tc>
        <w:tc>
          <w:tcPr>
            <w:tcW w:w="1455" w:type="dxa"/>
            <w:tcMar>
              <w:top w:w="120" w:type="dxa"/>
              <w:left w:w="192" w:type="dxa"/>
              <w:bottom w:w="120" w:type="dxa"/>
              <w:right w:w="192" w:type="dxa"/>
            </w:tcMar>
            <w:vAlign w:val="center"/>
          </w:tcPr>
          <w:p w14:paraId="7027B503">
            <w:pPr>
              <w:spacing w:line="360" w:lineRule="auto"/>
              <w:rPr>
                <w:rFonts w:ascii="Times New Roman" w:hAnsi="Times New Roman" w:cs="Times New Roman"/>
                <w:sz w:val="24"/>
                <w:szCs w:val="24"/>
              </w:rPr>
            </w:pPr>
            <w:r>
              <w:rPr>
                <w:rFonts w:ascii="Times New Roman" w:hAnsi="Times New Roman" w:cs="Times New Roman"/>
                <w:sz w:val="24"/>
                <w:szCs w:val="24"/>
              </w:rPr>
              <w:t>Y = 0.09500X + 40.44</w:t>
            </w:r>
          </w:p>
        </w:tc>
        <w:tc>
          <w:tcPr>
            <w:tcW w:w="1522" w:type="dxa"/>
            <w:tcMar>
              <w:top w:w="120" w:type="dxa"/>
              <w:left w:w="192" w:type="dxa"/>
              <w:bottom w:w="120" w:type="dxa"/>
              <w:right w:w="192" w:type="dxa"/>
            </w:tcMar>
            <w:vAlign w:val="center"/>
          </w:tcPr>
          <w:p w14:paraId="5DC96DBE">
            <w:pPr>
              <w:spacing w:line="360" w:lineRule="auto"/>
              <w:rPr>
                <w:rFonts w:ascii="Times New Roman" w:hAnsi="Times New Roman" w:cs="Times New Roman"/>
                <w:sz w:val="24"/>
                <w:szCs w:val="24"/>
              </w:rPr>
            </w:pPr>
            <w:r>
              <w:rPr>
                <w:rFonts w:ascii="Times New Roman" w:hAnsi="Times New Roman" w:cs="Times New Roman"/>
                <w:sz w:val="24"/>
                <w:szCs w:val="24"/>
              </w:rPr>
              <w:t>Y = 0.1260X + 30.13</w:t>
            </w:r>
          </w:p>
        </w:tc>
        <w:tc>
          <w:tcPr>
            <w:tcW w:w="1595" w:type="dxa"/>
            <w:tcMar>
              <w:top w:w="120" w:type="dxa"/>
              <w:left w:w="192" w:type="dxa"/>
              <w:bottom w:w="120" w:type="dxa"/>
              <w:right w:w="192" w:type="dxa"/>
            </w:tcMar>
            <w:vAlign w:val="center"/>
          </w:tcPr>
          <w:p w14:paraId="218FF420">
            <w:pPr>
              <w:spacing w:line="360" w:lineRule="auto"/>
              <w:rPr>
                <w:rFonts w:ascii="Times New Roman" w:hAnsi="Times New Roman" w:cs="Times New Roman"/>
                <w:sz w:val="24"/>
                <w:szCs w:val="24"/>
              </w:rPr>
            </w:pPr>
            <w:r>
              <w:rPr>
                <w:rFonts w:ascii="Times New Roman" w:hAnsi="Times New Roman" w:cs="Times New Roman"/>
                <w:sz w:val="24"/>
                <w:szCs w:val="24"/>
              </w:rPr>
              <w:t>Y = 0.1125X + 34.85</w:t>
            </w:r>
          </w:p>
        </w:tc>
        <w:tc>
          <w:tcPr>
            <w:tcW w:w="1487" w:type="dxa"/>
            <w:tcMar>
              <w:top w:w="120" w:type="dxa"/>
              <w:left w:w="192" w:type="dxa"/>
              <w:bottom w:w="120" w:type="dxa"/>
              <w:right w:w="192" w:type="dxa"/>
            </w:tcMar>
            <w:vAlign w:val="center"/>
          </w:tcPr>
          <w:p w14:paraId="18B9A796">
            <w:pPr>
              <w:spacing w:line="360" w:lineRule="auto"/>
              <w:rPr>
                <w:rFonts w:ascii="Times New Roman" w:hAnsi="Times New Roman" w:cs="Times New Roman"/>
                <w:sz w:val="24"/>
                <w:szCs w:val="24"/>
              </w:rPr>
            </w:pPr>
            <w:r>
              <w:rPr>
                <w:rFonts w:ascii="Times New Roman" w:hAnsi="Times New Roman" w:cs="Times New Roman"/>
                <w:sz w:val="24"/>
                <w:szCs w:val="24"/>
              </w:rPr>
              <w:t>Y = 0.1746X + 14.98</w:t>
            </w:r>
          </w:p>
        </w:tc>
        <w:tc>
          <w:tcPr>
            <w:tcW w:w="1149" w:type="dxa"/>
            <w:tcMar>
              <w:top w:w="120" w:type="dxa"/>
              <w:left w:w="192" w:type="dxa"/>
              <w:bottom w:w="120" w:type="dxa"/>
              <w:right w:w="0" w:type="dxa"/>
            </w:tcMar>
            <w:vAlign w:val="center"/>
          </w:tcPr>
          <w:p w14:paraId="33589029">
            <w:pPr>
              <w:spacing w:line="360" w:lineRule="auto"/>
              <w:rPr>
                <w:rFonts w:ascii="Times New Roman" w:hAnsi="Times New Roman" w:cs="Times New Roman"/>
                <w:sz w:val="24"/>
                <w:szCs w:val="24"/>
              </w:rPr>
            </w:pPr>
            <w:r>
              <w:rPr>
                <w:rFonts w:ascii="Times New Roman" w:hAnsi="Times New Roman" w:cs="Times New Roman"/>
                <w:sz w:val="24"/>
                <w:szCs w:val="24"/>
              </w:rPr>
              <w:t>Y = 0.1819X + 28.14</w:t>
            </w:r>
          </w:p>
        </w:tc>
      </w:tr>
    </w:tbl>
    <w:p w14:paraId="351F5C9D">
      <w:pPr>
        <w:spacing w:line="360" w:lineRule="auto"/>
        <w:rPr>
          <w:rFonts w:ascii="Times New Roman" w:hAnsi="Times New Roman" w:cs="Times New Roman"/>
          <w:sz w:val="24"/>
          <w:szCs w:val="24"/>
        </w:rPr>
      </w:pPr>
    </w:p>
    <w:p w14:paraId="19F045FA">
      <w:pPr>
        <w:spacing w:line="360" w:lineRule="auto"/>
        <w:rPr>
          <w:rFonts w:ascii="Times New Roman" w:hAnsi="Times New Roman" w:cs="Times New Roman"/>
          <w:sz w:val="24"/>
          <w:szCs w:val="24"/>
        </w:rPr>
      </w:pPr>
      <w:r>
        <w:rPr>
          <w:rFonts w:ascii="Times New Roman" w:hAnsi="Times New Roman" w:cs="Times New Roman"/>
          <w:b/>
          <w:bCs/>
          <w:sz w:val="24"/>
          <w:szCs w:val="24"/>
        </w:rPr>
        <w:t>Analysis of Potency (IC₅₀ Values)</w:t>
      </w:r>
      <w:r>
        <w:rPr>
          <w:rFonts w:ascii="Times New Roman" w:hAnsi="Times New Roman" w:cs="Times New Roman"/>
          <w:sz w:val="24"/>
          <w:szCs w:val="24"/>
        </w:rPr>
        <w:br w:type="textWrapping"/>
      </w:r>
      <w:r>
        <w:rPr>
          <w:rFonts w:ascii="Times New Roman" w:hAnsi="Times New Roman" w:cs="Times New Roman"/>
          <w:sz w:val="24"/>
          <w:szCs w:val="24"/>
        </w:rPr>
        <w:t>The IC₅₀ value, which denotes the concentration required to achieve 50% radical scavenging, was used as the primary indicator of potency. Among the tested substances, the extract of S. mombin exhibited the lowest IC₅₀ value (100.6 µg/ml), indicating it was the most potent natural antioxidant in this assay. The synthetic standard, BHT, showed an IC₅₀ of 120.2 µg/ml, making it less potent than S. mombin but more potent than the other extracts. The extract of S. cumini was the least potent, with the highest IC₅₀ value of 200.6 µg/ml.</w:t>
      </w:r>
    </w:p>
    <w:p w14:paraId="04CF9659">
      <w:pPr>
        <w:spacing w:line="360" w:lineRule="auto"/>
        <w:rPr>
          <w:rFonts w:ascii="Times New Roman" w:hAnsi="Times New Roman" w:cs="Times New Roman"/>
          <w:b/>
          <w:bCs/>
          <w:sz w:val="24"/>
          <w:szCs w:val="24"/>
        </w:rPr>
      </w:pPr>
    </w:p>
    <w:p w14:paraId="5FD4BEB1">
      <w:pPr>
        <w:spacing w:line="360" w:lineRule="auto"/>
        <w:rPr>
          <w:rFonts w:ascii="Times New Roman" w:hAnsi="Times New Roman" w:cs="Times New Roman"/>
          <w:sz w:val="24"/>
          <w:szCs w:val="24"/>
        </w:rPr>
      </w:pPr>
      <w:r>
        <w:rPr>
          <w:rFonts w:ascii="Times New Roman" w:hAnsi="Times New Roman" w:cs="Times New Roman"/>
          <w:b/>
          <w:bCs/>
          <w:sz w:val="24"/>
          <w:szCs w:val="24"/>
        </w:rPr>
        <w:t>Goodness of Fit and Linearity of Response</w:t>
      </w:r>
      <w:r>
        <w:rPr>
          <w:rFonts w:ascii="Times New Roman" w:hAnsi="Times New Roman" w:cs="Times New Roman"/>
          <w:b/>
          <w:bCs/>
          <w:sz w:val="24"/>
          <w:szCs w:val="24"/>
        </w:rPr>
        <w:br w:type="textWrapping"/>
      </w:r>
      <w:r>
        <w:rPr>
          <w:rFonts w:ascii="Times New Roman" w:hAnsi="Times New Roman" w:cs="Times New Roman"/>
          <w:sz w:val="24"/>
          <w:szCs w:val="24"/>
        </w:rPr>
        <w:t>The linear regression model revealed significant differences in the nature of the dose-response relationships. The extracts demonstrating the strongest linear fit were BHT (R² = 0.847)* and S. cumini (R² = 0.767), as indicated by their high R-squared values. This suggests that their scavenging activity increased in a highly predictable, linear manner with concentration. The statistical significance of this relationship was confirmed by P-values well below 0.05.</w:t>
      </w:r>
    </w:p>
    <w:p w14:paraId="66B27DDB">
      <w:pPr>
        <w:spacing w:line="360" w:lineRule="auto"/>
        <w:rPr>
          <w:rFonts w:ascii="Times New Roman" w:hAnsi="Times New Roman" w:cs="Times New Roman"/>
          <w:sz w:val="24"/>
          <w:szCs w:val="24"/>
        </w:rPr>
      </w:pPr>
      <w:r>
        <w:rPr>
          <w:rFonts w:ascii="Times New Roman" w:hAnsi="Times New Roman" w:cs="Times New Roman"/>
          <w:sz w:val="24"/>
          <w:szCs w:val="24"/>
        </w:rPr>
        <w:t>In contrast, the regression for S. mombin yielded a low R-squared value (0.389) and a non-significant P-value (0.0985). This indicates that a linear model is a poor fit for its data, corroborating the visual observation from the dose-response curve that its activity plateaus rapidly at a sub-maximal level. The models for A. marmelos and L. acidissima showed moderate linearity and were statistically significant (P &lt; 0.05).</w:t>
      </w:r>
    </w:p>
    <w:p w14:paraId="44066BAD">
      <w:pPr>
        <w:spacing w:line="360" w:lineRule="auto"/>
        <w:rPr>
          <w:rFonts w:ascii="Times New Roman" w:hAnsi="Times New Roman" w:cs="Times New Roman"/>
          <w:sz w:val="24"/>
          <w:szCs w:val="24"/>
        </w:rPr>
      </w:pPr>
    </w:p>
    <w:p w14:paraId="42B5B42F">
      <w:pPr>
        <w:spacing w:line="360" w:lineRule="auto"/>
        <w:rPr>
          <w:rFonts w:ascii="Times New Roman" w:hAnsi="Times New Roman" w:cs="Times New Roman"/>
          <w:b/>
          <w:bCs/>
          <w:sz w:val="24"/>
          <w:szCs w:val="24"/>
        </w:rPr>
      </w:pPr>
      <w:r>
        <w:rPr>
          <w:rFonts w:ascii="Times New Roman" w:hAnsi="Times New Roman" w:cs="Times New Roman"/>
          <w:b/>
          <w:bCs/>
          <w:sz w:val="24"/>
          <w:szCs w:val="24"/>
        </w:rPr>
        <w:t>Cytotoxicity Assessment by Brine Shrimp Lethality Bioassay</w:t>
      </w:r>
    </w:p>
    <w:p w14:paraId="596ACDED">
      <w:pPr>
        <w:spacing w:line="360" w:lineRule="auto"/>
        <w:rPr>
          <w:rFonts w:ascii="Times New Roman" w:hAnsi="Times New Roman" w:cs="Times New Roman"/>
          <w:sz w:val="24"/>
          <w:szCs w:val="24"/>
        </w:rPr>
      </w:pPr>
      <w:r>
        <w:rPr>
          <w:rFonts w:ascii="Times New Roman" w:hAnsi="Times New Roman" w:cs="Times New Roman"/>
          <w:sz w:val="24"/>
          <w:szCs w:val="24"/>
        </w:rPr>
        <w:t>The cytotoxicity of the plant extracts was evaluated using the Brine Shrimp Lethality Assay (BSLA), a preliminary screening tool to assess toxicity and potential bioactivity. The results, expressed as percentage mortality of Artemia salina nauplii across a concentration range of 0.78125 to 400 µg/ml, are presented in Table 3. Vincristine sulfate, a known cytotoxic chemotherapeutic agent, was used as the positive control.</w:t>
      </w:r>
    </w:p>
    <w:p w14:paraId="51A4C082">
      <w:pPr>
        <w:spacing w:line="360" w:lineRule="auto"/>
        <w:rPr>
          <w:rFonts w:ascii="Times New Roman" w:hAnsi="Times New Roman" w:cs="Times New Roman"/>
          <w:sz w:val="24"/>
          <w:szCs w:val="24"/>
        </w:rPr>
      </w:pPr>
    </w:p>
    <w:p w14:paraId="7C2881B9">
      <w:pPr>
        <w:spacing w:line="360" w:lineRule="auto"/>
        <w:rPr>
          <w:rFonts w:ascii="Times New Roman" w:hAnsi="Times New Roman" w:cs="Times New Roman"/>
          <w:b/>
          <w:bCs/>
          <w:sz w:val="24"/>
          <w:szCs w:val="24"/>
        </w:rPr>
      </w:pPr>
      <w:r>
        <w:rPr>
          <w:rFonts w:ascii="Times New Roman" w:hAnsi="Times New Roman" w:cs="Times New Roman"/>
          <w:b/>
          <w:bCs/>
          <w:sz w:val="24"/>
          <w:szCs w:val="24"/>
        </w:rPr>
        <w:t>Table 3. </w:t>
      </w:r>
      <w:r>
        <w:rPr>
          <w:rFonts w:ascii="Times New Roman" w:hAnsi="Times New Roman" w:cs="Times New Roman"/>
          <w:sz w:val="24"/>
          <w:szCs w:val="24"/>
        </w:rPr>
        <w:t>Cytotoxicity of plant extracts and Vincristine sulfate against Artemia salina nauplii.</w:t>
      </w:r>
    </w:p>
    <w:tbl>
      <w:tblPr>
        <w:tblStyle w:val="6"/>
        <w:tblW w:w="699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81"/>
        <w:gridCol w:w="1097"/>
        <w:gridCol w:w="1190"/>
        <w:gridCol w:w="1296"/>
        <w:gridCol w:w="1190"/>
        <w:gridCol w:w="1283"/>
      </w:tblGrid>
      <w:tr w14:paraId="3AE1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0" w:type="auto"/>
            <w:noWrap/>
            <w:vAlign w:val="center"/>
          </w:tcPr>
          <w:p w14:paraId="08C6C5B9">
            <w:pPr>
              <w:spacing w:line="360" w:lineRule="auto"/>
              <w:rPr>
                <w:rFonts w:ascii="Times New Roman" w:hAnsi="Times New Roman" w:cs="Times New Roman"/>
                <w:sz w:val="24"/>
                <w:szCs w:val="24"/>
              </w:rPr>
            </w:pPr>
            <w:bookmarkStart w:id="0" w:name="OLE_LINK1" w:colFirst="0" w:colLast="5"/>
            <w:r>
              <w:rPr>
                <w:rFonts w:ascii="Times New Roman" w:hAnsi="Times New Roman" w:cs="Times New Roman"/>
                <w:sz w:val="24"/>
                <w:szCs w:val="24"/>
              </w:rPr>
              <w:t>Conc. (µg/ml)</w:t>
            </w:r>
          </w:p>
        </w:tc>
        <w:tc>
          <w:tcPr>
            <w:tcW w:w="1023" w:type="dxa"/>
            <w:noWrap/>
            <w:vAlign w:val="center"/>
          </w:tcPr>
          <w:p w14:paraId="694147C7">
            <w:pPr>
              <w:spacing w:line="360" w:lineRule="auto"/>
              <w:rPr>
                <w:rFonts w:ascii="Times New Roman" w:hAnsi="Times New Roman" w:cs="Times New Roman"/>
                <w:sz w:val="24"/>
                <w:szCs w:val="24"/>
              </w:rPr>
            </w:pPr>
            <w:r>
              <w:rPr>
                <w:rFonts w:ascii="Times New Roman" w:hAnsi="Times New Roman" w:cs="Times New Roman"/>
                <w:sz w:val="24"/>
                <w:szCs w:val="24"/>
              </w:rPr>
              <w:t xml:space="preserve">Spondias </w:t>
            </w:r>
          </w:p>
          <w:p w14:paraId="33F319CF">
            <w:pPr>
              <w:spacing w:line="360" w:lineRule="auto"/>
              <w:rPr>
                <w:rFonts w:ascii="Times New Roman" w:hAnsi="Times New Roman" w:cs="Times New Roman"/>
                <w:sz w:val="24"/>
                <w:szCs w:val="24"/>
              </w:rPr>
            </w:pPr>
            <w:r>
              <w:rPr>
                <w:rFonts w:ascii="Times New Roman" w:hAnsi="Times New Roman" w:cs="Times New Roman"/>
                <w:sz w:val="24"/>
                <w:szCs w:val="24"/>
              </w:rPr>
              <w:t xml:space="preserve">Mombin </w:t>
            </w:r>
          </w:p>
        </w:tc>
        <w:tc>
          <w:tcPr>
            <w:tcW w:w="1084" w:type="dxa"/>
            <w:noWrap/>
            <w:vAlign w:val="center"/>
          </w:tcPr>
          <w:p w14:paraId="0FB78D53">
            <w:pPr>
              <w:spacing w:line="360" w:lineRule="auto"/>
              <w:rPr>
                <w:rFonts w:ascii="Times New Roman" w:hAnsi="Times New Roman" w:cs="Times New Roman"/>
                <w:sz w:val="24"/>
                <w:szCs w:val="24"/>
              </w:rPr>
            </w:pPr>
            <w:r>
              <w:rPr>
                <w:rFonts w:ascii="Times New Roman" w:hAnsi="Times New Roman" w:cs="Times New Roman"/>
                <w:sz w:val="24"/>
                <w:szCs w:val="24"/>
              </w:rPr>
              <w:t xml:space="preserve">Aegle </w:t>
            </w:r>
          </w:p>
          <w:p w14:paraId="0A30C685">
            <w:pPr>
              <w:spacing w:line="360" w:lineRule="auto"/>
              <w:rPr>
                <w:rFonts w:ascii="Times New Roman" w:hAnsi="Times New Roman" w:cs="Times New Roman"/>
                <w:sz w:val="24"/>
                <w:szCs w:val="24"/>
              </w:rPr>
            </w:pPr>
            <w:r>
              <w:rPr>
                <w:rFonts w:ascii="Times New Roman" w:hAnsi="Times New Roman" w:cs="Times New Roman"/>
                <w:sz w:val="24"/>
                <w:szCs w:val="24"/>
              </w:rPr>
              <w:t xml:space="preserve">Marmelos </w:t>
            </w:r>
          </w:p>
        </w:tc>
        <w:tc>
          <w:tcPr>
            <w:tcW w:w="1145" w:type="dxa"/>
            <w:noWrap/>
            <w:vAlign w:val="center"/>
          </w:tcPr>
          <w:p w14:paraId="665504C1">
            <w:pPr>
              <w:spacing w:line="360" w:lineRule="auto"/>
              <w:rPr>
                <w:rFonts w:ascii="Times New Roman" w:hAnsi="Times New Roman" w:cs="Times New Roman"/>
                <w:sz w:val="24"/>
                <w:szCs w:val="24"/>
              </w:rPr>
            </w:pPr>
            <w:r>
              <w:rPr>
                <w:rFonts w:ascii="Times New Roman" w:hAnsi="Times New Roman" w:cs="Times New Roman"/>
                <w:sz w:val="24"/>
                <w:szCs w:val="24"/>
              </w:rPr>
              <w:t xml:space="preserve">Limonia </w:t>
            </w:r>
          </w:p>
          <w:p w14:paraId="45BD39A7">
            <w:pPr>
              <w:spacing w:line="360" w:lineRule="auto"/>
              <w:rPr>
                <w:rFonts w:ascii="Times New Roman" w:hAnsi="Times New Roman" w:cs="Times New Roman"/>
                <w:sz w:val="24"/>
                <w:szCs w:val="24"/>
              </w:rPr>
            </w:pPr>
            <w:r>
              <w:rPr>
                <w:rFonts w:ascii="Times New Roman" w:hAnsi="Times New Roman" w:cs="Times New Roman"/>
                <w:sz w:val="24"/>
                <w:szCs w:val="24"/>
              </w:rPr>
              <w:t xml:space="preserve">Acidissima  </w:t>
            </w:r>
          </w:p>
        </w:tc>
        <w:tc>
          <w:tcPr>
            <w:tcW w:w="1109" w:type="dxa"/>
            <w:noWrap/>
            <w:vAlign w:val="center"/>
          </w:tcPr>
          <w:p w14:paraId="58636E49">
            <w:pPr>
              <w:spacing w:line="360" w:lineRule="auto"/>
              <w:rPr>
                <w:rFonts w:ascii="Times New Roman" w:hAnsi="Times New Roman" w:cs="Times New Roman"/>
                <w:sz w:val="24"/>
                <w:szCs w:val="24"/>
              </w:rPr>
            </w:pPr>
            <w:r>
              <w:rPr>
                <w:rFonts w:ascii="Times New Roman" w:hAnsi="Times New Roman" w:cs="Times New Roman"/>
                <w:sz w:val="24"/>
                <w:szCs w:val="24"/>
              </w:rPr>
              <w:t xml:space="preserve">Syzygium </w:t>
            </w:r>
          </w:p>
          <w:p w14:paraId="17F56C0E">
            <w:pPr>
              <w:spacing w:line="360" w:lineRule="auto"/>
              <w:rPr>
                <w:rFonts w:ascii="Times New Roman" w:hAnsi="Times New Roman" w:cs="Times New Roman"/>
                <w:sz w:val="24"/>
                <w:szCs w:val="24"/>
              </w:rPr>
            </w:pPr>
            <w:r>
              <w:rPr>
                <w:rFonts w:ascii="Times New Roman" w:hAnsi="Times New Roman" w:cs="Times New Roman"/>
                <w:sz w:val="24"/>
                <w:szCs w:val="24"/>
              </w:rPr>
              <w:t xml:space="preserve">Cumini </w:t>
            </w:r>
          </w:p>
        </w:tc>
        <w:tc>
          <w:tcPr>
            <w:tcW w:w="0" w:type="auto"/>
            <w:noWrap/>
            <w:vAlign w:val="center"/>
          </w:tcPr>
          <w:p w14:paraId="2D22D1AF">
            <w:pPr>
              <w:spacing w:line="360" w:lineRule="auto"/>
              <w:rPr>
                <w:rFonts w:ascii="Times New Roman" w:hAnsi="Times New Roman" w:cs="Times New Roman"/>
                <w:sz w:val="24"/>
                <w:szCs w:val="24"/>
              </w:rPr>
            </w:pPr>
            <w:r>
              <w:rPr>
                <w:rFonts w:ascii="Times New Roman" w:hAnsi="Times New Roman" w:cs="Times New Roman"/>
                <w:sz w:val="24"/>
                <w:szCs w:val="24"/>
              </w:rPr>
              <w:t>Vincristine</w:t>
            </w:r>
          </w:p>
        </w:tc>
      </w:tr>
      <w:tr w14:paraId="7B654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noWrap/>
            <w:vAlign w:val="center"/>
          </w:tcPr>
          <w:p w14:paraId="24489393">
            <w:pPr>
              <w:spacing w:line="360" w:lineRule="auto"/>
              <w:rPr>
                <w:rFonts w:ascii="Times New Roman" w:hAnsi="Times New Roman" w:cs="Times New Roman"/>
                <w:sz w:val="24"/>
                <w:szCs w:val="24"/>
              </w:rPr>
            </w:pPr>
            <w:bookmarkStart w:id="1" w:name="OLE_LINK2" w:colFirst="0" w:colLast="5"/>
            <w:r>
              <w:rPr>
                <w:rFonts w:ascii="Times New Roman" w:hAnsi="Times New Roman" w:cs="Times New Roman"/>
                <w:sz w:val="24"/>
                <w:szCs w:val="24"/>
              </w:rPr>
              <w:t>0.78125</w:t>
            </w:r>
          </w:p>
        </w:tc>
        <w:tc>
          <w:tcPr>
            <w:tcW w:w="0" w:type="auto"/>
            <w:noWrap/>
            <w:vAlign w:val="center"/>
          </w:tcPr>
          <w:p w14:paraId="3E5229A1">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0" w:type="auto"/>
            <w:noWrap/>
            <w:vAlign w:val="center"/>
          </w:tcPr>
          <w:p w14:paraId="5C1F1BD3">
            <w:pPr>
              <w:spacing w:line="360" w:lineRule="auto"/>
              <w:rPr>
                <w:rFonts w:ascii="Times New Roman" w:hAnsi="Times New Roman" w:cs="Times New Roman"/>
                <w:sz w:val="24"/>
                <w:szCs w:val="24"/>
              </w:rPr>
            </w:pPr>
            <w:r>
              <w:rPr>
                <w:rFonts w:ascii="Times New Roman" w:hAnsi="Times New Roman" w:cs="Times New Roman"/>
                <w:sz w:val="24"/>
                <w:szCs w:val="24"/>
              </w:rPr>
              <w:t>0</w:t>
            </w:r>
          </w:p>
        </w:tc>
        <w:tc>
          <w:tcPr>
            <w:tcW w:w="0" w:type="auto"/>
            <w:noWrap/>
            <w:vAlign w:val="center"/>
          </w:tcPr>
          <w:p w14:paraId="5C71277D">
            <w:pPr>
              <w:spacing w:line="360" w:lineRule="auto"/>
              <w:rPr>
                <w:rFonts w:ascii="Times New Roman" w:hAnsi="Times New Roman" w:cs="Times New Roman"/>
                <w:sz w:val="24"/>
                <w:szCs w:val="24"/>
              </w:rPr>
            </w:pPr>
            <w:r>
              <w:rPr>
                <w:rFonts w:ascii="Times New Roman" w:hAnsi="Times New Roman" w:cs="Times New Roman"/>
                <w:sz w:val="24"/>
                <w:szCs w:val="24"/>
              </w:rPr>
              <w:t>10</w:t>
            </w:r>
          </w:p>
        </w:tc>
        <w:tc>
          <w:tcPr>
            <w:tcW w:w="0" w:type="auto"/>
            <w:noWrap/>
            <w:vAlign w:val="center"/>
          </w:tcPr>
          <w:p w14:paraId="50A0F9FF">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0" w:type="auto"/>
            <w:noWrap/>
            <w:vAlign w:val="center"/>
          </w:tcPr>
          <w:p w14:paraId="4BE6B4B3">
            <w:pPr>
              <w:spacing w:line="360" w:lineRule="auto"/>
              <w:rPr>
                <w:rFonts w:ascii="Times New Roman" w:hAnsi="Times New Roman" w:cs="Times New Roman"/>
                <w:sz w:val="24"/>
                <w:szCs w:val="24"/>
              </w:rPr>
            </w:pPr>
            <w:r>
              <w:rPr>
                <w:rFonts w:ascii="Times New Roman" w:hAnsi="Times New Roman" w:cs="Times New Roman"/>
                <w:sz w:val="24"/>
                <w:szCs w:val="24"/>
              </w:rPr>
              <w:t>50</w:t>
            </w:r>
          </w:p>
        </w:tc>
      </w:tr>
      <w:tr w14:paraId="1F9D9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noWrap/>
            <w:vAlign w:val="center"/>
          </w:tcPr>
          <w:p w14:paraId="21392F23">
            <w:pPr>
              <w:spacing w:line="360" w:lineRule="auto"/>
              <w:rPr>
                <w:rFonts w:ascii="Times New Roman" w:hAnsi="Times New Roman" w:cs="Times New Roman"/>
                <w:sz w:val="24"/>
                <w:szCs w:val="24"/>
              </w:rPr>
            </w:pPr>
            <w:r>
              <w:rPr>
                <w:rFonts w:ascii="Times New Roman" w:hAnsi="Times New Roman" w:cs="Times New Roman"/>
                <w:sz w:val="24"/>
                <w:szCs w:val="24"/>
              </w:rPr>
              <w:t>1.5625</w:t>
            </w:r>
          </w:p>
        </w:tc>
        <w:tc>
          <w:tcPr>
            <w:tcW w:w="0" w:type="auto"/>
            <w:noWrap/>
            <w:vAlign w:val="center"/>
          </w:tcPr>
          <w:p w14:paraId="794C6549">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0" w:type="auto"/>
            <w:noWrap/>
            <w:vAlign w:val="center"/>
          </w:tcPr>
          <w:p w14:paraId="0A18DB07">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0" w:type="auto"/>
            <w:noWrap/>
            <w:vAlign w:val="center"/>
          </w:tcPr>
          <w:p w14:paraId="52F237A4">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0" w:type="auto"/>
            <w:noWrap/>
            <w:vAlign w:val="center"/>
          </w:tcPr>
          <w:p w14:paraId="44BA8188">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0" w:type="auto"/>
            <w:noWrap/>
            <w:vAlign w:val="center"/>
          </w:tcPr>
          <w:p w14:paraId="6FF47354">
            <w:pPr>
              <w:spacing w:line="360" w:lineRule="auto"/>
              <w:rPr>
                <w:rFonts w:ascii="Times New Roman" w:hAnsi="Times New Roman" w:cs="Times New Roman"/>
                <w:sz w:val="24"/>
                <w:szCs w:val="24"/>
              </w:rPr>
            </w:pPr>
            <w:r>
              <w:rPr>
                <w:rFonts w:ascii="Times New Roman" w:hAnsi="Times New Roman" w:cs="Times New Roman"/>
                <w:sz w:val="24"/>
                <w:szCs w:val="24"/>
              </w:rPr>
              <w:t>60</w:t>
            </w:r>
          </w:p>
        </w:tc>
      </w:tr>
      <w:tr w14:paraId="68FC6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noWrap/>
            <w:vAlign w:val="center"/>
          </w:tcPr>
          <w:p w14:paraId="43D6BFE6">
            <w:pPr>
              <w:spacing w:line="360" w:lineRule="auto"/>
              <w:rPr>
                <w:rFonts w:ascii="Times New Roman" w:hAnsi="Times New Roman" w:cs="Times New Roman"/>
                <w:sz w:val="24"/>
                <w:szCs w:val="24"/>
              </w:rPr>
            </w:pPr>
            <w:r>
              <w:rPr>
                <w:rFonts w:ascii="Times New Roman" w:hAnsi="Times New Roman" w:cs="Times New Roman"/>
                <w:sz w:val="24"/>
                <w:szCs w:val="24"/>
              </w:rPr>
              <w:t>3.125</w:t>
            </w:r>
          </w:p>
        </w:tc>
        <w:tc>
          <w:tcPr>
            <w:tcW w:w="0" w:type="auto"/>
            <w:noWrap/>
            <w:vAlign w:val="center"/>
          </w:tcPr>
          <w:p w14:paraId="7E9D7B76">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0" w:type="auto"/>
            <w:noWrap/>
            <w:vAlign w:val="center"/>
          </w:tcPr>
          <w:p w14:paraId="2BA29812">
            <w:pPr>
              <w:spacing w:line="360" w:lineRule="auto"/>
              <w:rPr>
                <w:rFonts w:ascii="Times New Roman" w:hAnsi="Times New Roman" w:cs="Times New Roman"/>
                <w:sz w:val="24"/>
                <w:szCs w:val="24"/>
              </w:rPr>
            </w:pPr>
            <w:r>
              <w:rPr>
                <w:rFonts w:ascii="Times New Roman" w:hAnsi="Times New Roman" w:cs="Times New Roman"/>
                <w:sz w:val="24"/>
                <w:szCs w:val="24"/>
              </w:rPr>
              <w:t>30</w:t>
            </w:r>
          </w:p>
        </w:tc>
        <w:tc>
          <w:tcPr>
            <w:tcW w:w="0" w:type="auto"/>
            <w:noWrap/>
            <w:vAlign w:val="center"/>
          </w:tcPr>
          <w:p w14:paraId="171F393B">
            <w:pPr>
              <w:spacing w:line="360" w:lineRule="auto"/>
              <w:rPr>
                <w:rFonts w:ascii="Times New Roman" w:hAnsi="Times New Roman" w:cs="Times New Roman"/>
                <w:sz w:val="24"/>
                <w:szCs w:val="24"/>
              </w:rPr>
            </w:pPr>
            <w:r>
              <w:rPr>
                <w:rFonts w:ascii="Times New Roman" w:hAnsi="Times New Roman" w:cs="Times New Roman"/>
                <w:sz w:val="24"/>
                <w:szCs w:val="24"/>
              </w:rPr>
              <w:t>20</w:t>
            </w:r>
          </w:p>
        </w:tc>
        <w:tc>
          <w:tcPr>
            <w:tcW w:w="0" w:type="auto"/>
            <w:noWrap/>
            <w:vAlign w:val="center"/>
          </w:tcPr>
          <w:p w14:paraId="3F411C12">
            <w:pPr>
              <w:spacing w:line="360" w:lineRule="auto"/>
              <w:rPr>
                <w:rFonts w:ascii="Times New Roman" w:hAnsi="Times New Roman" w:cs="Times New Roman"/>
                <w:sz w:val="24"/>
                <w:szCs w:val="24"/>
              </w:rPr>
            </w:pPr>
            <w:r>
              <w:rPr>
                <w:rFonts w:ascii="Times New Roman" w:hAnsi="Times New Roman" w:cs="Times New Roman"/>
                <w:sz w:val="24"/>
                <w:szCs w:val="24"/>
              </w:rPr>
              <w:t>60</w:t>
            </w:r>
          </w:p>
        </w:tc>
        <w:tc>
          <w:tcPr>
            <w:tcW w:w="0" w:type="auto"/>
            <w:noWrap/>
            <w:vAlign w:val="center"/>
          </w:tcPr>
          <w:p w14:paraId="2D06050D">
            <w:pPr>
              <w:spacing w:line="360" w:lineRule="auto"/>
              <w:rPr>
                <w:rFonts w:ascii="Times New Roman" w:hAnsi="Times New Roman" w:cs="Times New Roman"/>
                <w:sz w:val="24"/>
                <w:szCs w:val="24"/>
              </w:rPr>
            </w:pPr>
            <w:r>
              <w:rPr>
                <w:rFonts w:ascii="Times New Roman" w:hAnsi="Times New Roman" w:cs="Times New Roman"/>
                <w:sz w:val="24"/>
                <w:szCs w:val="24"/>
              </w:rPr>
              <w:t>70</w:t>
            </w:r>
          </w:p>
        </w:tc>
      </w:tr>
      <w:tr w14:paraId="48B07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noWrap/>
            <w:vAlign w:val="center"/>
          </w:tcPr>
          <w:p w14:paraId="1690AA2B">
            <w:pPr>
              <w:spacing w:line="360" w:lineRule="auto"/>
              <w:rPr>
                <w:rFonts w:ascii="Times New Roman" w:hAnsi="Times New Roman" w:cs="Times New Roman"/>
                <w:sz w:val="24"/>
                <w:szCs w:val="24"/>
              </w:rPr>
            </w:pPr>
            <w:r>
              <w:rPr>
                <w:rFonts w:ascii="Times New Roman" w:hAnsi="Times New Roman" w:cs="Times New Roman"/>
                <w:sz w:val="24"/>
                <w:szCs w:val="24"/>
              </w:rPr>
              <w:t>6.25</w:t>
            </w:r>
          </w:p>
        </w:tc>
        <w:tc>
          <w:tcPr>
            <w:tcW w:w="0" w:type="auto"/>
            <w:noWrap/>
            <w:vAlign w:val="center"/>
          </w:tcPr>
          <w:p w14:paraId="176CB0FC">
            <w:pPr>
              <w:spacing w:line="360" w:lineRule="auto"/>
              <w:rPr>
                <w:rFonts w:ascii="Times New Roman" w:hAnsi="Times New Roman" w:cs="Times New Roman"/>
                <w:sz w:val="24"/>
                <w:szCs w:val="24"/>
              </w:rPr>
            </w:pPr>
            <w:r>
              <w:rPr>
                <w:rFonts w:ascii="Times New Roman" w:hAnsi="Times New Roman" w:cs="Times New Roman"/>
                <w:sz w:val="24"/>
                <w:szCs w:val="24"/>
              </w:rPr>
              <w:t>80</w:t>
            </w:r>
          </w:p>
        </w:tc>
        <w:tc>
          <w:tcPr>
            <w:tcW w:w="0" w:type="auto"/>
            <w:noWrap/>
            <w:vAlign w:val="center"/>
          </w:tcPr>
          <w:p w14:paraId="7D1D2B50">
            <w:pPr>
              <w:spacing w:line="360" w:lineRule="auto"/>
              <w:rPr>
                <w:rFonts w:ascii="Times New Roman" w:hAnsi="Times New Roman" w:cs="Times New Roman"/>
                <w:sz w:val="24"/>
                <w:szCs w:val="24"/>
              </w:rPr>
            </w:pPr>
            <w:r>
              <w:rPr>
                <w:rFonts w:ascii="Times New Roman" w:hAnsi="Times New Roman" w:cs="Times New Roman"/>
                <w:sz w:val="24"/>
                <w:szCs w:val="24"/>
              </w:rPr>
              <w:t>40</w:t>
            </w:r>
          </w:p>
        </w:tc>
        <w:tc>
          <w:tcPr>
            <w:tcW w:w="0" w:type="auto"/>
            <w:noWrap/>
            <w:vAlign w:val="center"/>
          </w:tcPr>
          <w:p w14:paraId="6A1C92FC">
            <w:pPr>
              <w:spacing w:line="360" w:lineRule="auto"/>
              <w:rPr>
                <w:rFonts w:ascii="Times New Roman" w:hAnsi="Times New Roman" w:cs="Times New Roman"/>
                <w:sz w:val="24"/>
                <w:szCs w:val="24"/>
              </w:rPr>
            </w:pPr>
            <w:r>
              <w:rPr>
                <w:rFonts w:ascii="Times New Roman" w:hAnsi="Times New Roman" w:cs="Times New Roman"/>
                <w:sz w:val="24"/>
                <w:szCs w:val="24"/>
              </w:rPr>
              <w:t>40</w:t>
            </w:r>
          </w:p>
        </w:tc>
        <w:tc>
          <w:tcPr>
            <w:tcW w:w="0" w:type="auto"/>
            <w:noWrap/>
            <w:vAlign w:val="center"/>
          </w:tcPr>
          <w:p w14:paraId="60514A44">
            <w:pPr>
              <w:spacing w:line="360" w:lineRule="auto"/>
              <w:rPr>
                <w:rFonts w:ascii="Times New Roman" w:hAnsi="Times New Roman" w:cs="Times New Roman"/>
                <w:sz w:val="24"/>
                <w:szCs w:val="24"/>
              </w:rPr>
            </w:pPr>
            <w:r>
              <w:rPr>
                <w:rFonts w:ascii="Times New Roman" w:hAnsi="Times New Roman" w:cs="Times New Roman"/>
                <w:sz w:val="24"/>
                <w:szCs w:val="24"/>
              </w:rPr>
              <w:t>60</w:t>
            </w:r>
          </w:p>
        </w:tc>
        <w:tc>
          <w:tcPr>
            <w:tcW w:w="0" w:type="auto"/>
            <w:noWrap/>
            <w:vAlign w:val="center"/>
          </w:tcPr>
          <w:p w14:paraId="7317C713">
            <w:pPr>
              <w:spacing w:line="360" w:lineRule="auto"/>
              <w:rPr>
                <w:rFonts w:ascii="Times New Roman" w:hAnsi="Times New Roman" w:cs="Times New Roman"/>
                <w:sz w:val="24"/>
                <w:szCs w:val="24"/>
              </w:rPr>
            </w:pPr>
            <w:r>
              <w:rPr>
                <w:rFonts w:ascii="Times New Roman" w:hAnsi="Times New Roman" w:cs="Times New Roman"/>
                <w:sz w:val="24"/>
                <w:szCs w:val="24"/>
              </w:rPr>
              <w:t>80</w:t>
            </w:r>
          </w:p>
        </w:tc>
      </w:tr>
      <w:tr w14:paraId="2AD3B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noWrap/>
            <w:vAlign w:val="center"/>
          </w:tcPr>
          <w:p w14:paraId="77488760">
            <w:pPr>
              <w:spacing w:line="360" w:lineRule="auto"/>
              <w:rPr>
                <w:rFonts w:ascii="Times New Roman" w:hAnsi="Times New Roman" w:cs="Times New Roman"/>
                <w:sz w:val="24"/>
                <w:szCs w:val="24"/>
              </w:rPr>
            </w:pPr>
            <w:r>
              <w:rPr>
                <w:rFonts w:ascii="Times New Roman" w:hAnsi="Times New Roman" w:cs="Times New Roman"/>
                <w:sz w:val="24"/>
                <w:szCs w:val="24"/>
              </w:rPr>
              <w:t>12.5</w:t>
            </w:r>
          </w:p>
        </w:tc>
        <w:tc>
          <w:tcPr>
            <w:tcW w:w="0" w:type="auto"/>
            <w:noWrap/>
            <w:vAlign w:val="center"/>
          </w:tcPr>
          <w:p w14:paraId="7CCF76BD">
            <w:pPr>
              <w:spacing w:line="360" w:lineRule="auto"/>
              <w:rPr>
                <w:rFonts w:ascii="Times New Roman" w:hAnsi="Times New Roman" w:cs="Times New Roman"/>
                <w:sz w:val="24"/>
                <w:szCs w:val="24"/>
              </w:rPr>
            </w:pPr>
            <w:r>
              <w:rPr>
                <w:rFonts w:ascii="Times New Roman" w:hAnsi="Times New Roman" w:cs="Times New Roman"/>
                <w:sz w:val="24"/>
                <w:szCs w:val="24"/>
              </w:rPr>
              <w:t>90</w:t>
            </w:r>
          </w:p>
        </w:tc>
        <w:tc>
          <w:tcPr>
            <w:tcW w:w="0" w:type="auto"/>
            <w:noWrap/>
            <w:vAlign w:val="center"/>
          </w:tcPr>
          <w:p w14:paraId="6AEE0488">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0" w:type="auto"/>
            <w:noWrap/>
            <w:vAlign w:val="center"/>
          </w:tcPr>
          <w:p w14:paraId="34B7C682">
            <w:pPr>
              <w:spacing w:line="360" w:lineRule="auto"/>
              <w:rPr>
                <w:rFonts w:ascii="Times New Roman" w:hAnsi="Times New Roman" w:cs="Times New Roman"/>
                <w:sz w:val="24"/>
                <w:szCs w:val="24"/>
              </w:rPr>
            </w:pPr>
            <w:r>
              <w:rPr>
                <w:rFonts w:ascii="Times New Roman" w:hAnsi="Times New Roman" w:cs="Times New Roman"/>
                <w:sz w:val="24"/>
                <w:szCs w:val="24"/>
              </w:rPr>
              <w:t>40</w:t>
            </w:r>
          </w:p>
        </w:tc>
        <w:tc>
          <w:tcPr>
            <w:tcW w:w="0" w:type="auto"/>
            <w:noWrap/>
            <w:vAlign w:val="center"/>
          </w:tcPr>
          <w:p w14:paraId="34C03CFB">
            <w:pPr>
              <w:spacing w:line="360" w:lineRule="auto"/>
              <w:rPr>
                <w:rFonts w:ascii="Times New Roman" w:hAnsi="Times New Roman" w:cs="Times New Roman"/>
                <w:sz w:val="24"/>
                <w:szCs w:val="24"/>
              </w:rPr>
            </w:pPr>
            <w:r>
              <w:rPr>
                <w:rFonts w:ascii="Times New Roman" w:hAnsi="Times New Roman" w:cs="Times New Roman"/>
                <w:sz w:val="24"/>
                <w:szCs w:val="24"/>
              </w:rPr>
              <w:t>70</w:t>
            </w:r>
          </w:p>
        </w:tc>
        <w:tc>
          <w:tcPr>
            <w:tcW w:w="0" w:type="auto"/>
            <w:noWrap/>
            <w:vAlign w:val="center"/>
          </w:tcPr>
          <w:p w14:paraId="2991B983">
            <w:pPr>
              <w:spacing w:line="360" w:lineRule="auto"/>
              <w:rPr>
                <w:rFonts w:ascii="Times New Roman" w:hAnsi="Times New Roman" w:cs="Times New Roman"/>
                <w:sz w:val="24"/>
                <w:szCs w:val="24"/>
              </w:rPr>
            </w:pPr>
            <w:r>
              <w:rPr>
                <w:rFonts w:ascii="Times New Roman" w:hAnsi="Times New Roman" w:cs="Times New Roman"/>
                <w:sz w:val="24"/>
                <w:szCs w:val="24"/>
              </w:rPr>
              <w:t>80</w:t>
            </w:r>
          </w:p>
        </w:tc>
      </w:tr>
      <w:tr w14:paraId="3734C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0" w:type="auto"/>
            <w:noWrap/>
            <w:vAlign w:val="center"/>
          </w:tcPr>
          <w:p w14:paraId="29EDC861">
            <w:pPr>
              <w:spacing w:line="360" w:lineRule="auto"/>
              <w:rPr>
                <w:rFonts w:ascii="Times New Roman" w:hAnsi="Times New Roman" w:cs="Times New Roman"/>
                <w:sz w:val="24"/>
                <w:szCs w:val="24"/>
              </w:rPr>
            </w:pPr>
            <w:r>
              <w:rPr>
                <w:rFonts w:ascii="Times New Roman" w:hAnsi="Times New Roman" w:cs="Times New Roman"/>
                <w:sz w:val="24"/>
                <w:szCs w:val="24"/>
              </w:rPr>
              <w:t>25</w:t>
            </w:r>
          </w:p>
        </w:tc>
        <w:tc>
          <w:tcPr>
            <w:tcW w:w="0" w:type="auto"/>
            <w:noWrap/>
            <w:vAlign w:val="center"/>
          </w:tcPr>
          <w:p w14:paraId="2529C9DC">
            <w:pPr>
              <w:spacing w:line="360" w:lineRule="auto"/>
              <w:rPr>
                <w:rFonts w:ascii="Times New Roman" w:hAnsi="Times New Roman" w:cs="Times New Roman"/>
                <w:sz w:val="24"/>
                <w:szCs w:val="24"/>
              </w:rPr>
            </w:pPr>
            <w:r>
              <w:rPr>
                <w:rFonts w:ascii="Times New Roman" w:hAnsi="Times New Roman" w:cs="Times New Roman"/>
                <w:sz w:val="24"/>
                <w:szCs w:val="24"/>
              </w:rPr>
              <w:t>90</w:t>
            </w:r>
          </w:p>
        </w:tc>
        <w:tc>
          <w:tcPr>
            <w:tcW w:w="0" w:type="auto"/>
            <w:noWrap/>
            <w:vAlign w:val="center"/>
          </w:tcPr>
          <w:p w14:paraId="1DB36836">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0" w:type="auto"/>
            <w:noWrap/>
            <w:vAlign w:val="center"/>
          </w:tcPr>
          <w:p w14:paraId="04380CE6">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0" w:type="auto"/>
            <w:noWrap/>
            <w:vAlign w:val="center"/>
          </w:tcPr>
          <w:p w14:paraId="46A236E3">
            <w:pPr>
              <w:spacing w:line="360" w:lineRule="auto"/>
              <w:rPr>
                <w:rFonts w:ascii="Times New Roman" w:hAnsi="Times New Roman" w:cs="Times New Roman"/>
                <w:sz w:val="24"/>
                <w:szCs w:val="24"/>
              </w:rPr>
            </w:pPr>
            <w:r>
              <w:rPr>
                <w:rFonts w:ascii="Times New Roman" w:hAnsi="Times New Roman" w:cs="Times New Roman"/>
                <w:sz w:val="24"/>
                <w:szCs w:val="24"/>
              </w:rPr>
              <w:t>80</w:t>
            </w:r>
          </w:p>
        </w:tc>
        <w:tc>
          <w:tcPr>
            <w:tcW w:w="0" w:type="auto"/>
            <w:noWrap/>
            <w:vAlign w:val="center"/>
          </w:tcPr>
          <w:p w14:paraId="05321B95">
            <w:pPr>
              <w:spacing w:line="360" w:lineRule="auto"/>
              <w:rPr>
                <w:rFonts w:ascii="Times New Roman" w:hAnsi="Times New Roman" w:cs="Times New Roman"/>
                <w:sz w:val="24"/>
                <w:szCs w:val="24"/>
              </w:rPr>
            </w:pPr>
            <w:r>
              <w:rPr>
                <w:rFonts w:ascii="Times New Roman" w:hAnsi="Times New Roman" w:cs="Times New Roman"/>
                <w:sz w:val="24"/>
                <w:szCs w:val="24"/>
              </w:rPr>
              <w:t>90</w:t>
            </w:r>
          </w:p>
        </w:tc>
      </w:tr>
      <w:tr w14:paraId="08AB9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noWrap/>
            <w:vAlign w:val="center"/>
          </w:tcPr>
          <w:p w14:paraId="33101067">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0" w:type="auto"/>
            <w:noWrap/>
            <w:vAlign w:val="center"/>
          </w:tcPr>
          <w:p w14:paraId="3D88C6FA">
            <w:pPr>
              <w:spacing w:line="360" w:lineRule="auto"/>
              <w:rPr>
                <w:rFonts w:ascii="Times New Roman" w:hAnsi="Times New Roman" w:cs="Times New Roman"/>
                <w:sz w:val="24"/>
                <w:szCs w:val="24"/>
              </w:rPr>
            </w:pPr>
            <w:r>
              <w:rPr>
                <w:rFonts w:ascii="Times New Roman" w:hAnsi="Times New Roman" w:cs="Times New Roman"/>
                <w:sz w:val="24"/>
                <w:szCs w:val="24"/>
              </w:rPr>
              <w:t>90</w:t>
            </w:r>
          </w:p>
        </w:tc>
        <w:tc>
          <w:tcPr>
            <w:tcW w:w="0" w:type="auto"/>
            <w:noWrap/>
            <w:vAlign w:val="center"/>
          </w:tcPr>
          <w:p w14:paraId="48FC9CD9">
            <w:pPr>
              <w:spacing w:line="360" w:lineRule="auto"/>
              <w:rPr>
                <w:rFonts w:ascii="Times New Roman" w:hAnsi="Times New Roman" w:cs="Times New Roman"/>
                <w:sz w:val="24"/>
                <w:szCs w:val="24"/>
              </w:rPr>
            </w:pPr>
            <w:r>
              <w:rPr>
                <w:rFonts w:ascii="Times New Roman" w:hAnsi="Times New Roman" w:cs="Times New Roman"/>
                <w:sz w:val="24"/>
                <w:szCs w:val="24"/>
              </w:rPr>
              <w:t>70</w:t>
            </w:r>
          </w:p>
        </w:tc>
        <w:tc>
          <w:tcPr>
            <w:tcW w:w="0" w:type="auto"/>
            <w:noWrap/>
            <w:vAlign w:val="center"/>
          </w:tcPr>
          <w:p w14:paraId="561C7F86">
            <w:pPr>
              <w:spacing w:line="360" w:lineRule="auto"/>
              <w:rPr>
                <w:rFonts w:ascii="Times New Roman" w:hAnsi="Times New Roman" w:cs="Times New Roman"/>
                <w:sz w:val="24"/>
                <w:szCs w:val="24"/>
              </w:rPr>
            </w:pPr>
            <w:r>
              <w:rPr>
                <w:rFonts w:ascii="Times New Roman" w:hAnsi="Times New Roman" w:cs="Times New Roman"/>
                <w:sz w:val="24"/>
                <w:szCs w:val="24"/>
              </w:rPr>
              <w:t>50</w:t>
            </w:r>
          </w:p>
        </w:tc>
        <w:tc>
          <w:tcPr>
            <w:tcW w:w="0" w:type="auto"/>
            <w:noWrap/>
            <w:vAlign w:val="center"/>
          </w:tcPr>
          <w:p w14:paraId="27FAC11E">
            <w:pPr>
              <w:spacing w:line="360" w:lineRule="auto"/>
              <w:rPr>
                <w:rFonts w:ascii="Times New Roman" w:hAnsi="Times New Roman" w:cs="Times New Roman"/>
                <w:sz w:val="24"/>
                <w:szCs w:val="24"/>
              </w:rPr>
            </w:pPr>
            <w:r>
              <w:rPr>
                <w:rFonts w:ascii="Times New Roman" w:hAnsi="Times New Roman" w:cs="Times New Roman"/>
                <w:sz w:val="24"/>
                <w:szCs w:val="24"/>
              </w:rPr>
              <w:t>90</w:t>
            </w:r>
          </w:p>
        </w:tc>
        <w:tc>
          <w:tcPr>
            <w:tcW w:w="0" w:type="auto"/>
            <w:noWrap/>
            <w:vAlign w:val="center"/>
          </w:tcPr>
          <w:p w14:paraId="735428C6">
            <w:pPr>
              <w:spacing w:line="360" w:lineRule="auto"/>
              <w:rPr>
                <w:rFonts w:ascii="Times New Roman" w:hAnsi="Times New Roman" w:cs="Times New Roman"/>
                <w:sz w:val="24"/>
                <w:szCs w:val="24"/>
              </w:rPr>
            </w:pPr>
            <w:r>
              <w:rPr>
                <w:rFonts w:ascii="Times New Roman" w:hAnsi="Times New Roman" w:cs="Times New Roman"/>
                <w:sz w:val="24"/>
                <w:szCs w:val="24"/>
              </w:rPr>
              <w:t>90</w:t>
            </w:r>
          </w:p>
        </w:tc>
      </w:tr>
      <w:tr w14:paraId="1397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noWrap/>
            <w:vAlign w:val="center"/>
          </w:tcPr>
          <w:p w14:paraId="123746EF">
            <w:pPr>
              <w:spacing w:line="360" w:lineRule="auto"/>
              <w:rPr>
                <w:rFonts w:ascii="Times New Roman" w:hAnsi="Times New Roman" w:cs="Times New Roman"/>
                <w:sz w:val="24"/>
                <w:szCs w:val="24"/>
              </w:rPr>
            </w:pPr>
            <w:r>
              <w:rPr>
                <w:rFonts w:ascii="Times New Roman" w:hAnsi="Times New Roman" w:cs="Times New Roman"/>
                <w:sz w:val="24"/>
                <w:szCs w:val="24"/>
              </w:rPr>
              <w:t>100</w:t>
            </w:r>
          </w:p>
        </w:tc>
        <w:tc>
          <w:tcPr>
            <w:tcW w:w="0" w:type="auto"/>
            <w:noWrap/>
            <w:vAlign w:val="center"/>
          </w:tcPr>
          <w:p w14:paraId="23F6BF15">
            <w:pPr>
              <w:spacing w:line="360" w:lineRule="auto"/>
              <w:rPr>
                <w:rFonts w:ascii="Times New Roman" w:hAnsi="Times New Roman" w:cs="Times New Roman"/>
                <w:sz w:val="24"/>
                <w:szCs w:val="24"/>
              </w:rPr>
            </w:pPr>
            <w:r>
              <w:rPr>
                <w:rFonts w:ascii="Times New Roman" w:hAnsi="Times New Roman" w:cs="Times New Roman"/>
                <w:sz w:val="24"/>
                <w:szCs w:val="24"/>
              </w:rPr>
              <w:t>90</w:t>
            </w:r>
          </w:p>
        </w:tc>
        <w:tc>
          <w:tcPr>
            <w:tcW w:w="0" w:type="auto"/>
            <w:noWrap/>
            <w:vAlign w:val="center"/>
          </w:tcPr>
          <w:p w14:paraId="1018FAD6">
            <w:pPr>
              <w:spacing w:line="360" w:lineRule="auto"/>
              <w:rPr>
                <w:rFonts w:ascii="Times New Roman" w:hAnsi="Times New Roman" w:cs="Times New Roman"/>
                <w:sz w:val="24"/>
                <w:szCs w:val="24"/>
              </w:rPr>
            </w:pPr>
            <w:r>
              <w:rPr>
                <w:rFonts w:ascii="Times New Roman" w:hAnsi="Times New Roman" w:cs="Times New Roman"/>
                <w:sz w:val="24"/>
                <w:szCs w:val="24"/>
              </w:rPr>
              <w:t>80</w:t>
            </w:r>
          </w:p>
        </w:tc>
        <w:tc>
          <w:tcPr>
            <w:tcW w:w="0" w:type="auto"/>
            <w:noWrap/>
            <w:vAlign w:val="center"/>
          </w:tcPr>
          <w:p w14:paraId="14A5954C">
            <w:pPr>
              <w:spacing w:line="360" w:lineRule="auto"/>
              <w:rPr>
                <w:rFonts w:ascii="Times New Roman" w:hAnsi="Times New Roman" w:cs="Times New Roman"/>
                <w:sz w:val="24"/>
                <w:szCs w:val="24"/>
              </w:rPr>
            </w:pPr>
            <w:r>
              <w:rPr>
                <w:rFonts w:ascii="Times New Roman" w:hAnsi="Times New Roman" w:cs="Times New Roman"/>
                <w:sz w:val="24"/>
                <w:szCs w:val="24"/>
              </w:rPr>
              <w:t>60</w:t>
            </w:r>
          </w:p>
        </w:tc>
        <w:tc>
          <w:tcPr>
            <w:tcW w:w="0" w:type="auto"/>
            <w:noWrap/>
            <w:vAlign w:val="center"/>
          </w:tcPr>
          <w:p w14:paraId="74305462">
            <w:pPr>
              <w:spacing w:line="360" w:lineRule="auto"/>
              <w:rPr>
                <w:rFonts w:ascii="Times New Roman" w:hAnsi="Times New Roman" w:cs="Times New Roman"/>
                <w:sz w:val="24"/>
                <w:szCs w:val="24"/>
              </w:rPr>
            </w:pPr>
            <w:r>
              <w:rPr>
                <w:rFonts w:ascii="Times New Roman" w:hAnsi="Times New Roman" w:cs="Times New Roman"/>
                <w:sz w:val="24"/>
                <w:szCs w:val="24"/>
              </w:rPr>
              <w:t>100</w:t>
            </w:r>
          </w:p>
        </w:tc>
        <w:tc>
          <w:tcPr>
            <w:tcW w:w="0" w:type="auto"/>
            <w:noWrap/>
            <w:vAlign w:val="center"/>
          </w:tcPr>
          <w:p w14:paraId="334DBCC7">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r w14:paraId="3B08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noWrap/>
            <w:vAlign w:val="center"/>
          </w:tcPr>
          <w:p w14:paraId="12D1B115">
            <w:pPr>
              <w:spacing w:line="360" w:lineRule="auto"/>
              <w:rPr>
                <w:rFonts w:ascii="Times New Roman" w:hAnsi="Times New Roman" w:cs="Times New Roman"/>
                <w:sz w:val="24"/>
                <w:szCs w:val="24"/>
              </w:rPr>
            </w:pPr>
            <w:r>
              <w:rPr>
                <w:rFonts w:ascii="Times New Roman" w:hAnsi="Times New Roman" w:cs="Times New Roman"/>
                <w:sz w:val="24"/>
                <w:szCs w:val="24"/>
              </w:rPr>
              <w:t>200</w:t>
            </w:r>
          </w:p>
        </w:tc>
        <w:tc>
          <w:tcPr>
            <w:tcW w:w="0" w:type="auto"/>
            <w:noWrap/>
            <w:vAlign w:val="center"/>
          </w:tcPr>
          <w:p w14:paraId="56D29E5F">
            <w:pPr>
              <w:spacing w:line="360" w:lineRule="auto"/>
              <w:rPr>
                <w:rFonts w:ascii="Times New Roman" w:hAnsi="Times New Roman" w:cs="Times New Roman"/>
                <w:sz w:val="24"/>
                <w:szCs w:val="24"/>
              </w:rPr>
            </w:pPr>
            <w:r>
              <w:rPr>
                <w:rFonts w:ascii="Times New Roman" w:hAnsi="Times New Roman" w:cs="Times New Roman"/>
                <w:sz w:val="24"/>
                <w:szCs w:val="24"/>
              </w:rPr>
              <w:t>90</w:t>
            </w:r>
          </w:p>
        </w:tc>
        <w:tc>
          <w:tcPr>
            <w:tcW w:w="0" w:type="auto"/>
            <w:noWrap/>
            <w:vAlign w:val="center"/>
          </w:tcPr>
          <w:p w14:paraId="388EC9D7">
            <w:pPr>
              <w:spacing w:line="360" w:lineRule="auto"/>
              <w:rPr>
                <w:rFonts w:ascii="Times New Roman" w:hAnsi="Times New Roman" w:cs="Times New Roman"/>
                <w:sz w:val="24"/>
                <w:szCs w:val="24"/>
              </w:rPr>
            </w:pPr>
            <w:r>
              <w:rPr>
                <w:rFonts w:ascii="Times New Roman" w:hAnsi="Times New Roman" w:cs="Times New Roman"/>
                <w:sz w:val="24"/>
                <w:szCs w:val="24"/>
              </w:rPr>
              <w:t>100</w:t>
            </w:r>
          </w:p>
        </w:tc>
        <w:tc>
          <w:tcPr>
            <w:tcW w:w="0" w:type="auto"/>
            <w:noWrap/>
            <w:vAlign w:val="center"/>
          </w:tcPr>
          <w:p w14:paraId="4F0C29C9">
            <w:pPr>
              <w:spacing w:line="360" w:lineRule="auto"/>
              <w:rPr>
                <w:rFonts w:ascii="Times New Roman" w:hAnsi="Times New Roman" w:cs="Times New Roman"/>
                <w:sz w:val="24"/>
                <w:szCs w:val="24"/>
              </w:rPr>
            </w:pPr>
            <w:r>
              <w:rPr>
                <w:rFonts w:ascii="Times New Roman" w:hAnsi="Times New Roman" w:cs="Times New Roman"/>
                <w:sz w:val="24"/>
                <w:szCs w:val="24"/>
              </w:rPr>
              <w:t>90</w:t>
            </w:r>
          </w:p>
        </w:tc>
        <w:tc>
          <w:tcPr>
            <w:tcW w:w="0" w:type="auto"/>
            <w:noWrap/>
            <w:vAlign w:val="center"/>
          </w:tcPr>
          <w:p w14:paraId="137C35A1">
            <w:pPr>
              <w:spacing w:line="360" w:lineRule="auto"/>
              <w:rPr>
                <w:rFonts w:ascii="Times New Roman" w:hAnsi="Times New Roman" w:cs="Times New Roman"/>
                <w:sz w:val="24"/>
                <w:szCs w:val="24"/>
              </w:rPr>
            </w:pPr>
            <w:r>
              <w:rPr>
                <w:rFonts w:ascii="Times New Roman" w:hAnsi="Times New Roman" w:cs="Times New Roman"/>
                <w:sz w:val="24"/>
                <w:szCs w:val="24"/>
              </w:rPr>
              <w:t>100</w:t>
            </w:r>
          </w:p>
        </w:tc>
        <w:tc>
          <w:tcPr>
            <w:tcW w:w="0" w:type="auto"/>
            <w:noWrap/>
            <w:vAlign w:val="center"/>
          </w:tcPr>
          <w:p w14:paraId="2EC7EE60">
            <w:pPr>
              <w:spacing w:line="360" w:lineRule="auto"/>
              <w:rPr>
                <w:rFonts w:ascii="Times New Roman" w:hAnsi="Times New Roman" w:cs="Times New Roman"/>
                <w:sz w:val="24"/>
                <w:szCs w:val="24"/>
              </w:rPr>
            </w:pPr>
            <w:r>
              <w:rPr>
                <w:rFonts w:ascii="Times New Roman" w:hAnsi="Times New Roman" w:cs="Times New Roman"/>
                <w:sz w:val="24"/>
                <w:szCs w:val="24"/>
              </w:rPr>
              <w:t>100</w:t>
            </w:r>
          </w:p>
        </w:tc>
      </w:tr>
      <w:tr w14:paraId="4EF67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noWrap/>
            <w:vAlign w:val="center"/>
          </w:tcPr>
          <w:p w14:paraId="76848216">
            <w:pPr>
              <w:spacing w:line="360" w:lineRule="auto"/>
              <w:rPr>
                <w:rFonts w:ascii="Times New Roman" w:hAnsi="Times New Roman" w:cs="Times New Roman"/>
                <w:sz w:val="24"/>
                <w:szCs w:val="24"/>
              </w:rPr>
            </w:pPr>
            <w:r>
              <w:rPr>
                <w:rFonts w:ascii="Times New Roman" w:hAnsi="Times New Roman" w:cs="Times New Roman"/>
                <w:sz w:val="24"/>
                <w:szCs w:val="24"/>
              </w:rPr>
              <w:t>400</w:t>
            </w:r>
          </w:p>
        </w:tc>
        <w:tc>
          <w:tcPr>
            <w:tcW w:w="0" w:type="auto"/>
            <w:noWrap/>
            <w:vAlign w:val="center"/>
          </w:tcPr>
          <w:p w14:paraId="3486FAAC">
            <w:pPr>
              <w:spacing w:line="360" w:lineRule="auto"/>
              <w:rPr>
                <w:rFonts w:ascii="Times New Roman" w:hAnsi="Times New Roman" w:cs="Times New Roman"/>
                <w:sz w:val="24"/>
                <w:szCs w:val="24"/>
              </w:rPr>
            </w:pPr>
            <w:r>
              <w:rPr>
                <w:rFonts w:ascii="Times New Roman" w:hAnsi="Times New Roman" w:cs="Times New Roman"/>
                <w:sz w:val="24"/>
                <w:szCs w:val="24"/>
              </w:rPr>
              <w:t>100</w:t>
            </w:r>
          </w:p>
        </w:tc>
        <w:tc>
          <w:tcPr>
            <w:tcW w:w="0" w:type="auto"/>
            <w:noWrap/>
            <w:vAlign w:val="center"/>
          </w:tcPr>
          <w:p w14:paraId="698827EC">
            <w:pPr>
              <w:spacing w:line="360" w:lineRule="auto"/>
              <w:rPr>
                <w:rFonts w:ascii="Times New Roman" w:hAnsi="Times New Roman" w:cs="Times New Roman"/>
                <w:sz w:val="24"/>
                <w:szCs w:val="24"/>
              </w:rPr>
            </w:pPr>
            <w:r>
              <w:rPr>
                <w:rFonts w:ascii="Times New Roman" w:hAnsi="Times New Roman" w:cs="Times New Roman"/>
                <w:sz w:val="24"/>
                <w:szCs w:val="24"/>
              </w:rPr>
              <w:t>100</w:t>
            </w:r>
          </w:p>
        </w:tc>
        <w:tc>
          <w:tcPr>
            <w:tcW w:w="0" w:type="auto"/>
            <w:noWrap/>
            <w:vAlign w:val="center"/>
          </w:tcPr>
          <w:p w14:paraId="1031674F">
            <w:pPr>
              <w:spacing w:line="360" w:lineRule="auto"/>
              <w:rPr>
                <w:rFonts w:ascii="Times New Roman" w:hAnsi="Times New Roman" w:cs="Times New Roman"/>
                <w:sz w:val="24"/>
                <w:szCs w:val="24"/>
              </w:rPr>
            </w:pPr>
            <w:r>
              <w:rPr>
                <w:rFonts w:ascii="Times New Roman" w:hAnsi="Times New Roman" w:cs="Times New Roman"/>
                <w:sz w:val="24"/>
                <w:szCs w:val="24"/>
              </w:rPr>
              <w:t>100</w:t>
            </w:r>
          </w:p>
        </w:tc>
        <w:tc>
          <w:tcPr>
            <w:tcW w:w="0" w:type="auto"/>
            <w:noWrap/>
            <w:vAlign w:val="center"/>
          </w:tcPr>
          <w:p w14:paraId="4A3DDE58">
            <w:pPr>
              <w:spacing w:line="360" w:lineRule="auto"/>
              <w:rPr>
                <w:rFonts w:ascii="Times New Roman" w:hAnsi="Times New Roman" w:cs="Times New Roman"/>
                <w:sz w:val="24"/>
                <w:szCs w:val="24"/>
              </w:rPr>
            </w:pPr>
            <w:r>
              <w:rPr>
                <w:rFonts w:ascii="Times New Roman" w:hAnsi="Times New Roman" w:cs="Times New Roman"/>
                <w:sz w:val="24"/>
                <w:szCs w:val="24"/>
              </w:rPr>
              <w:t>100</w:t>
            </w:r>
          </w:p>
        </w:tc>
        <w:tc>
          <w:tcPr>
            <w:tcW w:w="0" w:type="auto"/>
            <w:noWrap/>
            <w:vAlign w:val="center"/>
          </w:tcPr>
          <w:p w14:paraId="14E0532B">
            <w:pPr>
              <w:spacing w:line="360" w:lineRule="auto"/>
              <w:rPr>
                <w:rFonts w:ascii="Times New Roman" w:hAnsi="Times New Roman" w:cs="Times New Roman"/>
                <w:sz w:val="24"/>
                <w:szCs w:val="24"/>
              </w:rPr>
            </w:pPr>
            <w:r>
              <w:rPr>
                <w:rFonts w:ascii="Times New Roman" w:hAnsi="Times New Roman" w:cs="Times New Roman"/>
                <w:sz w:val="24"/>
                <w:szCs w:val="24"/>
              </w:rPr>
              <w:t>100</w:t>
            </w:r>
          </w:p>
        </w:tc>
      </w:tr>
      <w:bookmarkEnd w:id="0"/>
      <w:bookmarkEnd w:id="1"/>
    </w:tbl>
    <w:p w14:paraId="5553584F">
      <w:pPr>
        <w:spacing w:line="360" w:lineRule="auto"/>
        <w:rPr>
          <w:rFonts w:ascii="Times New Roman" w:hAnsi="Times New Roman" w:cs="Times New Roman"/>
          <w:sz w:val="24"/>
          <w:szCs w:val="24"/>
        </w:rPr>
      </w:pPr>
    </w:p>
    <w:p w14:paraId="61666925">
      <w:pPr>
        <w:spacing w:line="360" w:lineRule="auto"/>
        <w:rPr>
          <w:rFonts w:ascii="Times New Roman" w:hAnsi="Times New Roman" w:cs="Times New Roman"/>
          <w:sz w:val="24"/>
          <w:szCs w:val="24"/>
        </w:rPr>
      </w:pPr>
    </w:p>
    <w:p w14:paraId="7C1193D8">
      <w:pPr>
        <w:spacing w:line="360" w:lineRule="auto"/>
        <w:rPr>
          <w:rFonts w:ascii="Times New Roman" w:hAnsi="Times New Roman" w:cs="Times New Roman"/>
          <w:sz w:val="24"/>
          <w:szCs w:val="24"/>
        </w:rPr>
      </w:pPr>
    </w:p>
    <w:p w14:paraId="552C88DE">
      <w:pPr>
        <w:spacing w:line="360" w:lineRule="auto"/>
        <w:rPr>
          <w:rFonts w:ascii="Times New Roman" w:hAnsi="Times New Roman" w:cs="Times New Roman"/>
          <w:sz w:val="24"/>
          <w:szCs w:val="24"/>
        </w:rPr>
      </w:pPr>
      <w:r>
        <w:rPr>
          <w:rFonts w:ascii="Times New Roman" w:hAnsi="Times New Roman" w:cs="Times New Roman"/>
          <w:sz w:val="24"/>
          <w:szCs w:val="24"/>
        </w:rPr>
        <w:drawing>
          <wp:inline distT="0" distB="0" distL="114300" distR="114300">
            <wp:extent cx="5271135" cy="2563495"/>
            <wp:effectExtent l="0" t="0" r="1905"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0"/>
                    <a:stretch>
                      <a:fillRect/>
                    </a:stretch>
                  </pic:blipFill>
                  <pic:spPr>
                    <a:xfrm>
                      <a:off x="0" y="0"/>
                      <a:ext cx="5271135" cy="2563495"/>
                    </a:xfrm>
                    <a:prstGeom prst="rect">
                      <a:avLst/>
                    </a:prstGeom>
                    <a:noFill/>
                    <a:ln>
                      <a:noFill/>
                    </a:ln>
                  </pic:spPr>
                </pic:pic>
              </a:graphicData>
            </a:graphic>
          </wp:inline>
        </w:drawing>
      </w:r>
    </w:p>
    <w:p w14:paraId="0B8E440A">
      <w:pPr>
        <w:spacing w:line="360" w:lineRule="auto"/>
        <w:rPr>
          <w:rFonts w:ascii="Times New Roman" w:hAnsi="Times New Roman" w:cs="Times New Roman"/>
          <w:sz w:val="24"/>
          <w:szCs w:val="24"/>
        </w:rPr>
      </w:pPr>
      <w:r>
        <w:rPr>
          <w:rFonts w:ascii="Times New Roman" w:hAnsi="Times New Roman" w:cs="Times New Roman"/>
          <w:b/>
          <w:bCs/>
          <w:sz w:val="24"/>
          <w:szCs w:val="24"/>
        </w:rPr>
        <w:t>Figure 1.</w:t>
      </w:r>
      <w:r>
        <w:rPr>
          <w:rFonts w:ascii="Times New Roman" w:hAnsi="Times New Roman" w:cs="Times New Roman"/>
          <w:sz w:val="24"/>
          <w:szCs w:val="24"/>
        </w:rPr>
        <w:t xml:space="preserve"> Dose-response curves illustrating the distinct cytotoxic profiles of the tested plant extracts, showing a clear dose-dependent increase in mortality.</w:t>
      </w:r>
    </w:p>
    <w:p w14:paraId="26B5FE7A">
      <w:pPr>
        <w:spacing w:line="360" w:lineRule="auto"/>
        <w:rPr>
          <w:rFonts w:ascii="Segoe UI" w:hAnsi="Segoe UI" w:eastAsia="Segoe UI" w:cs="Segoe UI"/>
          <w:color w:val="F9FAFB"/>
          <w:sz w:val="19"/>
          <w:szCs w:val="19"/>
          <w:shd w:val="clear" w:color="auto" w:fill="151517"/>
        </w:rPr>
      </w:pPr>
    </w:p>
    <w:p w14:paraId="0AA99A84">
      <w:pPr>
        <w:spacing w:line="360" w:lineRule="auto"/>
        <w:rPr>
          <w:rFonts w:ascii="Times New Roman" w:hAnsi="Times New Roman" w:cs="Times New Roman"/>
          <w:b/>
          <w:bCs/>
          <w:sz w:val="24"/>
          <w:szCs w:val="24"/>
        </w:rPr>
      </w:pPr>
      <w:r>
        <w:rPr>
          <w:rFonts w:ascii="Times New Roman" w:hAnsi="Times New Roman" w:cs="Times New Roman"/>
          <w:b/>
          <w:bCs/>
          <w:sz w:val="24"/>
          <w:szCs w:val="24"/>
        </w:rPr>
        <w:t>Analysis of Cytotoxic Profiles</w:t>
      </w:r>
    </w:p>
    <w:p w14:paraId="45C078EA">
      <w:pPr>
        <w:spacing w:line="360" w:lineRule="auto"/>
        <w:rPr>
          <w:rFonts w:ascii="Times New Roman" w:hAnsi="Times New Roman" w:cs="Times New Roman"/>
          <w:sz w:val="24"/>
          <w:szCs w:val="24"/>
        </w:rPr>
      </w:pPr>
      <w:r>
        <w:rPr>
          <w:rFonts w:ascii="Times New Roman" w:hAnsi="Times New Roman" w:cs="Times New Roman"/>
          <w:sz w:val="24"/>
          <w:szCs w:val="24"/>
        </w:rPr>
        <w:t>The assay revealed distinct cytotoxic profiles among the tested extracts, with mortality showing a clear dose-dependent relationship for most substances.</w:t>
      </w:r>
    </w:p>
    <w:p w14:paraId="3621AD45">
      <w:pPr>
        <w:spacing w:line="360" w:lineRule="auto"/>
        <w:rPr>
          <w:rFonts w:ascii="Times New Roman" w:hAnsi="Times New Roman" w:cs="Times New Roman"/>
          <w:sz w:val="24"/>
          <w:szCs w:val="24"/>
        </w:rPr>
      </w:pPr>
      <w:r>
        <w:rPr>
          <w:rFonts w:ascii="Times New Roman" w:hAnsi="Times New Roman" w:cs="Times New Roman"/>
          <w:sz w:val="24"/>
          <w:szCs w:val="24"/>
        </w:rPr>
        <w:t>Spondias mombin and Syzygium cumini demonstrated potent and rapid cytotoxicity. Both extracts induced 50% mortality at the lowest tested concentration (0.78125 µg/ml). S. mombin reached 80-90% mortality at just 6.25-12.5 µg/ml and maintained this high level, achieving 100% mortality only at 400 µg/ml. S. cumini showed a more gradual increase, reaching 100% mortality at 100 µg/ml.</w:t>
      </w:r>
    </w:p>
    <w:p w14:paraId="51A665B9">
      <w:pPr>
        <w:spacing w:line="360" w:lineRule="auto"/>
        <w:rPr>
          <w:rFonts w:ascii="Times New Roman" w:hAnsi="Times New Roman" w:cs="Times New Roman"/>
          <w:sz w:val="24"/>
          <w:szCs w:val="24"/>
        </w:rPr>
      </w:pPr>
      <w:r>
        <w:rPr>
          <w:rFonts w:ascii="Times New Roman" w:hAnsi="Times New Roman" w:cs="Times New Roman"/>
          <w:sz w:val="24"/>
          <w:szCs w:val="24"/>
        </w:rPr>
        <w:t>Aegle marmelos and Limonia acidissima exhibited considerably lower cytotoxicity. Both extracts showed minimal mortality at low concentrations. A. marmelos required a high concentration of 200 µg/ml to achieve 100% mortality, while L. acidissima was the least toxic, reaching 100% mortality only at the maximum concentration of 400 µg/ml. The positive control, Vincristine, performed as expected, displaying high potency with 50% mortality at the lowest concentration and reaching 100% mortality at 100 µg/ml. Its profile serves as a benchmark for significant cytotoxic activity.</w:t>
      </w:r>
    </w:p>
    <w:p w14:paraId="11890E09">
      <w:pPr>
        <w:spacing w:line="360" w:lineRule="auto"/>
        <w:rPr>
          <w:rFonts w:ascii="Times New Roman" w:hAnsi="Times New Roman" w:cs="Times New Roman"/>
          <w:b/>
          <w:bCs/>
          <w:sz w:val="24"/>
          <w:szCs w:val="24"/>
        </w:rPr>
      </w:pPr>
    </w:p>
    <w:p w14:paraId="14CC67E9">
      <w:pPr>
        <w:spacing w:line="360" w:lineRule="auto"/>
        <w:rPr>
          <w:rFonts w:ascii="Times New Roman" w:hAnsi="Times New Roman" w:cs="Times New Roman"/>
          <w:b/>
          <w:bCs/>
          <w:sz w:val="24"/>
          <w:szCs w:val="24"/>
        </w:rPr>
      </w:pPr>
      <w:r>
        <w:rPr>
          <w:rFonts w:ascii="Times New Roman" w:hAnsi="Times New Roman" w:cs="Times New Roman"/>
          <w:b/>
          <w:bCs/>
          <w:sz w:val="24"/>
          <w:szCs w:val="24"/>
        </w:rPr>
        <w:t>Determination of LC₅₀ Values</w:t>
      </w:r>
    </w:p>
    <w:p w14:paraId="57C05B66">
      <w:pPr>
        <w:spacing w:line="360" w:lineRule="auto"/>
        <w:rPr>
          <w:rFonts w:ascii="Times New Roman" w:hAnsi="Times New Roman" w:cs="Times New Roman"/>
          <w:sz w:val="24"/>
          <w:szCs w:val="24"/>
        </w:rPr>
      </w:pPr>
      <w:r>
        <w:rPr>
          <w:rFonts w:ascii="Times New Roman" w:hAnsi="Times New Roman" w:cs="Times New Roman"/>
          <w:sz w:val="24"/>
          <w:szCs w:val="24"/>
        </w:rPr>
        <w:t>The LC₅₀ value (lethal concentration for 50% of the population) was determined graphically from the dose-response curves.</w:t>
      </w:r>
    </w:p>
    <w:p w14:paraId="4FDC5F30">
      <w:pPr>
        <w:spacing w:line="360" w:lineRule="auto"/>
        <w:rPr>
          <w:rFonts w:ascii="Times New Roman" w:hAnsi="Times New Roman" w:cs="Times New Roman"/>
          <w:sz w:val="24"/>
          <w:szCs w:val="24"/>
        </w:rPr>
      </w:pPr>
      <w:r>
        <w:rPr>
          <w:rFonts w:ascii="Times New Roman" w:hAnsi="Times New Roman" w:cs="Times New Roman"/>
          <w:sz w:val="24"/>
          <w:szCs w:val="24"/>
        </w:rPr>
        <w:t>Most Cytotoxic: S. mombin and S. cumini displayed the lowest LC₅₀ values (&lt; 0.78125 µg/ml), indicating exceptional cytotoxicity, which was comparable to or even more potent than Vincristine at the very low end of the concentration spectrum.</w:t>
      </w:r>
    </w:p>
    <w:p w14:paraId="1FEEA871">
      <w:pPr>
        <w:spacing w:line="360" w:lineRule="auto"/>
        <w:rPr>
          <w:rFonts w:ascii="Times New Roman" w:hAnsi="Times New Roman" w:cs="Times New Roman"/>
          <w:sz w:val="24"/>
          <w:szCs w:val="24"/>
        </w:rPr>
      </w:pPr>
      <w:r>
        <w:rPr>
          <w:rFonts w:ascii="Times New Roman" w:hAnsi="Times New Roman" w:cs="Times New Roman"/>
          <w:sz w:val="24"/>
          <w:szCs w:val="24"/>
        </w:rPr>
        <w:t>Least Cytotoxic: L. acidissima had the highest LC₅₀, confirming it as the least toxic extract under these experimental conditions.</w:t>
      </w:r>
    </w:p>
    <w:p w14:paraId="6003DE99">
      <w:pPr>
        <w:spacing w:line="360" w:lineRule="auto"/>
        <w:rPr>
          <w:rFonts w:ascii="Times New Roman" w:hAnsi="Times New Roman" w:cs="Times New Roman"/>
          <w:sz w:val="24"/>
          <w:szCs w:val="24"/>
        </w:rPr>
      </w:pPr>
      <w:r>
        <w:rPr>
          <w:rFonts w:ascii="Times New Roman" w:hAnsi="Times New Roman" w:cs="Times New Roman"/>
          <w:sz w:val="24"/>
          <w:szCs w:val="24"/>
        </w:rPr>
        <w:t>Intermediate Cytotoxicity: A. marmelos showed an intermediate LC₅₀ value.</w:t>
      </w:r>
    </w:p>
    <w:p w14:paraId="50608ACE">
      <w:pPr>
        <w:spacing w:line="360" w:lineRule="auto"/>
        <w:rPr>
          <w:rFonts w:ascii="Times New Roman" w:hAnsi="Times New Roman" w:cs="Times New Roman"/>
          <w:b/>
          <w:bCs/>
          <w:sz w:val="24"/>
          <w:szCs w:val="24"/>
        </w:rPr>
      </w:pPr>
    </w:p>
    <w:p w14:paraId="4A20A5FF">
      <w:pPr>
        <w:spacing w:line="360" w:lineRule="auto"/>
        <w:rPr>
          <w:rFonts w:ascii="Times New Roman" w:hAnsi="Times New Roman" w:cs="Times New Roman"/>
          <w:sz w:val="24"/>
          <w:szCs w:val="24"/>
        </w:rPr>
      </w:pPr>
    </w:p>
    <w:p w14:paraId="7573DEAD">
      <w:pPr>
        <w:spacing w:line="360" w:lineRule="auto"/>
        <w:rPr>
          <w:rFonts w:ascii="Times New Roman" w:hAnsi="Times New Roman" w:cs="Times New Roman"/>
          <w:b/>
          <w:bCs/>
          <w:sz w:val="24"/>
          <w:szCs w:val="24"/>
        </w:rPr>
      </w:pPr>
      <w:r>
        <w:rPr>
          <w:rFonts w:ascii="Times New Roman" w:hAnsi="Times New Roman" w:cs="Times New Roman"/>
          <w:b/>
          <w:bCs/>
          <w:sz w:val="24"/>
          <w:szCs w:val="24"/>
        </w:rPr>
        <w:t>Discussion</w:t>
      </w:r>
    </w:p>
    <w:p w14:paraId="6C1C0373">
      <w:pPr>
        <w:spacing w:line="360" w:lineRule="auto"/>
        <w:rPr>
          <w:rFonts w:ascii="Times New Roman" w:hAnsi="Times New Roman" w:cs="Times New Roman"/>
          <w:sz w:val="24"/>
          <w:szCs w:val="24"/>
        </w:rPr>
      </w:pPr>
      <w:r>
        <w:rPr>
          <w:rFonts w:ascii="Times New Roman" w:hAnsi="Times New Roman" w:cs="Times New Roman"/>
          <w:sz w:val="24"/>
          <w:szCs w:val="24"/>
        </w:rPr>
        <w:t>The present study comprehensively evaluated the antioxidant potential and cytotoxicity of four medicinal plant extracts, revealing significant variations in their bioactivity profiles that suggest distinct therapeutic applications.</w:t>
      </w:r>
    </w:p>
    <w:p w14:paraId="48F7DE81">
      <w:pPr>
        <w:spacing w:line="360" w:lineRule="auto"/>
        <w:rPr>
          <w:rFonts w:ascii="Times New Roman" w:hAnsi="Times New Roman" w:cs="Times New Roman"/>
          <w:sz w:val="24"/>
          <w:szCs w:val="24"/>
        </w:rPr>
      </w:pPr>
      <w:r>
        <w:rPr>
          <w:rFonts w:ascii="Times New Roman" w:hAnsi="Times New Roman" w:cs="Times New Roman"/>
          <w:sz w:val="24"/>
          <w:szCs w:val="24"/>
        </w:rPr>
        <w:t>The DPPH radical scavenging assay confirmed that all tested extracts possess significant antioxidant activity in a dose-dependent manner. This is a characteristic feature of compounds capable of donating hydrogen atoms or electrons to stabilize free radicals [18]. The most striking finding was the superior potency of S. mombin, A. marmelos, and L. acidissima at lower concentrations (3.125–50 µg/ml), where they significantly outperformed the synthetic antioxidant BHT. This suggests that these natural extracts are rich in highly active antioxidant compounds that can effectively neutralize free radicals even at low doses. The calculated IC₅₀ values provide a clear hierarchy of antioxidant potency: S. mombin (IC₅₀ = 100.6 µg/ml) was the most potent, even surpassing BHT (IC₅₀ = 120.2 µg/ml), followed by L. acidissima (134.6 µg/ml) and A. marmelos (157.7 µg/ml). S. cumini was the least potent (IC₅₀ = 200.6 µg/ml) among the extracts.</w:t>
      </w:r>
    </w:p>
    <w:p w14:paraId="2212C335">
      <w:pPr>
        <w:spacing w:line="360" w:lineRule="auto"/>
        <w:rPr>
          <w:rFonts w:ascii="Times New Roman" w:hAnsi="Times New Roman" w:cs="Times New Roman"/>
          <w:sz w:val="24"/>
          <w:szCs w:val="24"/>
        </w:rPr>
      </w:pPr>
      <w:r>
        <w:rPr>
          <w:rFonts w:ascii="Times New Roman" w:hAnsi="Times New Roman" w:cs="Times New Roman"/>
          <w:sz w:val="24"/>
          <w:szCs w:val="24"/>
        </w:rPr>
        <w:t>However, a more nuanced analysis of the dose-response curves revealed critical differences in the potential mechanism or composition of these antioxidants. The high R-squared values for BHT (0.847) and S. cumini (0.767) indicate a strong linear relationship, typical of a system governed by a single dominant antioxidant mechanism or a primary active compound [19]. In contrast, the low R-squared value (0.389) and non-significant linear regression for S. mombin strongly suggest a complex, non-linear scavenging kinetics where antioxidant activity plateaus rapidly at around 67% despite increasing concentration. This plateau effect is often observed in complex plant extracts and can be attributed to several factors: (18) the presence of a limited amount of highly potent antioxidants that become saturated, (19) antagonistic interactions between different phytochemicals at higher concentrations, or (20) the involvement of compounds with different kinetic behaviors and reaction stoichiometries with DPPH• [20]. While BHT was less potent at lower doses, its lack of a plateau and its superior activity at the highest concentration (92.82% at 400 µg/ml) indicate a different mode of action, likely driven by a single, highly efficient synthetic molecule that does not saturate within the tested range [19].</w:t>
      </w:r>
    </w:p>
    <w:p w14:paraId="26004581">
      <w:pPr>
        <w:spacing w:line="360" w:lineRule="auto"/>
        <w:rPr>
          <w:rFonts w:ascii="Times New Roman" w:hAnsi="Times New Roman" w:cs="Times New Roman"/>
          <w:sz w:val="24"/>
          <w:szCs w:val="24"/>
        </w:rPr>
      </w:pPr>
      <w:r>
        <w:rPr>
          <w:rFonts w:ascii="Times New Roman" w:hAnsi="Times New Roman" w:cs="Times New Roman"/>
          <w:sz w:val="24"/>
          <w:szCs w:val="24"/>
        </w:rPr>
        <w:t>The Brine Shrimp Lethality Assay (BSLA), a preliminary indicator of cytotoxicity and general bioactivity [21], revealed a dramatic dichotomy between the extracts. S. mombin and S. cumini exhibited remarkable cytotoxicity, with LC₅₀ values below 0.78 µg/ml, a potency comparable to the chemotherapeutic drug vincristine. This suggests the presence of potent bioactive compounds in these plants, which warrants further investigation for potential application in anticancer drug discovery [22]. Conversely, A. marmelos and particularly L. acidissima showed considerably lower toxicity. L. acidissima required the highest concentration (400 µg/ml) to achieve 100% mortality, indicating a wide margin of safety in this model. This low cytotoxicity is a highly desirable trait for plants intended for long-term use as nutraceuticals or safe therapeutic agents for non-life-threatening conditions.</w:t>
      </w:r>
    </w:p>
    <w:p w14:paraId="3FAA91CA">
      <w:pPr>
        <w:spacing w:line="360" w:lineRule="auto"/>
        <w:rPr>
          <w:rFonts w:ascii="Times New Roman" w:hAnsi="Times New Roman" w:cs="Times New Roman"/>
          <w:sz w:val="24"/>
          <w:szCs w:val="24"/>
        </w:rPr>
      </w:pPr>
      <w:r>
        <w:rPr>
          <w:rFonts w:ascii="Times New Roman" w:hAnsi="Times New Roman" w:cs="Times New Roman"/>
          <w:sz w:val="24"/>
          <w:szCs w:val="24"/>
        </w:rPr>
        <w:t>Integrating the antioxidant and cytotoxicity findings provides a valuable framework for hypothesizing specific applications for each plant:</w:t>
      </w:r>
    </w:p>
    <w:p w14:paraId="28A1E4C7">
      <w:pPr>
        <w:spacing w:line="360" w:lineRule="auto"/>
        <w:rPr>
          <w:rFonts w:ascii="Times New Roman" w:hAnsi="Times New Roman" w:cs="Times New Roman"/>
          <w:sz w:val="24"/>
          <w:szCs w:val="24"/>
        </w:rPr>
      </w:pPr>
      <w:r>
        <w:rPr>
          <w:rFonts w:ascii="Times New Roman" w:hAnsi="Times New Roman" w:cs="Times New Roman"/>
          <w:sz w:val="24"/>
          <w:szCs w:val="24"/>
        </w:rPr>
        <w:t>Spondias mombin emerges as a plant of dual significance. Its exceptional antioxidant potency and strong cytotoxicity suggest it is a rich source of powerful bioactive compounds. This profile aligns with the concept that potent antioxidants can sometimes exhibit pro-oxidant behavior in cellular systems, leading to oxidative stress-induced cell death [18]. This makes S. mombin a prime candidate for anti-proliferative studies against cancer cells, where its ability to induce cell death could be therapeutically valuable [21]. Previous phytochemical studies have identified antimicrobial and cytotoxic compounds in this species, supporting this proposition [20].</w:t>
      </w:r>
    </w:p>
    <w:p w14:paraId="7E827037">
      <w:pPr>
        <w:spacing w:line="360" w:lineRule="auto"/>
        <w:rPr>
          <w:rFonts w:ascii="Times New Roman" w:hAnsi="Times New Roman" w:cs="Times New Roman"/>
          <w:sz w:val="24"/>
          <w:szCs w:val="24"/>
        </w:rPr>
      </w:pPr>
      <w:r>
        <w:rPr>
          <w:rFonts w:ascii="Times New Roman" w:hAnsi="Times New Roman" w:cs="Times New Roman"/>
          <w:sz w:val="24"/>
          <w:szCs w:val="24"/>
        </w:rPr>
        <w:t>Limonia acidissima presents a complementary and highly promising profile. It demonstrated potent antioxidant activity at low concentrations while being the least cytotoxic extract. This combination of strong free radical scavenging capacity and a high safety profile makes it an excellent candidate for development as a preventive nutraceutical, a natural food preservative, or a therapeutic antioxidant for managing oxidative stress-related chronic diseases, such as diabetes and cardiovascular disorders, without significant cytotoxic side effects.</w:t>
      </w:r>
    </w:p>
    <w:p w14:paraId="55ADD4B7">
      <w:pPr>
        <w:spacing w:line="360" w:lineRule="auto"/>
        <w:rPr>
          <w:rFonts w:hint="default" w:ascii="Times New Roman" w:hAnsi="Times New Roman" w:cs="Times New Roman"/>
          <w:sz w:val="24"/>
          <w:szCs w:val="24"/>
          <w:lang w:val="en-US"/>
        </w:rPr>
      </w:pPr>
      <w:r>
        <w:rPr>
          <w:rFonts w:ascii="Times New Roman" w:hAnsi="Times New Roman" w:cs="Times New Roman"/>
          <w:sz w:val="24"/>
          <w:szCs w:val="24"/>
        </w:rPr>
        <w:t>Aegle marmelos holds an intermediate position, with good antioxidant activity and moderate cytotoxicity, suggesting a balanced profile. This is consistent with extensive ethnopharmacological literature documenting its use for various ailments, supported by a broad spectrum of phytochemicals with moderate bioactivity [22]. It could be explored for therapeutic purposes where a balanced antioxidant and mild cytotoxic effect is acceptable.</w:t>
      </w:r>
      <w:r>
        <w:rPr>
          <w:rFonts w:hint="default" w:ascii="Times New Roman" w:hAnsi="Times New Roman" w:cs="Times New Roman"/>
          <w:sz w:val="24"/>
          <w:szCs w:val="24"/>
          <w:lang w:val="en-US"/>
        </w:rPr>
        <w:t xml:space="preserve"> </w:t>
      </w:r>
    </w:p>
    <w:p w14:paraId="50004098">
      <w:pPr>
        <w:spacing w:line="360" w:lineRule="auto"/>
        <w:rPr>
          <w:rFonts w:ascii="Times New Roman" w:hAnsi="Times New Roman" w:cs="Times New Roman"/>
          <w:sz w:val="24"/>
          <w:szCs w:val="24"/>
        </w:rPr>
      </w:pPr>
      <w:r>
        <w:rPr>
          <w:rFonts w:ascii="Times New Roman" w:hAnsi="Times New Roman" w:cs="Times New Roman"/>
          <w:sz w:val="24"/>
          <w:szCs w:val="24"/>
        </w:rPr>
        <w:t>Syzygium cumini, while the least potent antioxidant in the DPPH assay and highly cytotoxic, should not be dismissed. Its bioactivity may be directed towards mechanisms not captured by the hydrogen-donating DPPH assay, such as metal chelation or enzyme inhibition. Its significant cytotoxicity, despite low anti-DPPH activity, strongly indicates a different primary mechanism of action and warrants further investigation into specific biological targets, which may be unrelated to its radical scavenging capacity [19].</w:t>
      </w:r>
    </w:p>
    <w:p w14:paraId="2E450CBD">
      <w:pPr>
        <w:spacing w:line="360" w:lineRule="auto"/>
        <w:rPr>
          <w:rFonts w:ascii="Times New Roman" w:hAnsi="Times New Roman" w:cs="Times New Roman"/>
          <w:sz w:val="24"/>
          <w:szCs w:val="24"/>
        </w:rPr>
      </w:pPr>
    </w:p>
    <w:p w14:paraId="15821A69">
      <w:pPr>
        <w:spacing w:line="360" w:lineRule="auto"/>
        <w:rPr>
          <w:rFonts w:ascii="Times New Roman" w:hAnsi="Times New Roman" w:cs="Times New Roman"/>
          <w:b/>
          <w:bCs/>
          <w:sz w:val="24"/>
          <w:szCs w:val="24"/>
        </w:rPr>
      </w:pPr>
      <w:r>
        <w:rPr>
          <w:rFonts w:ascii="Times New Roman" w:hAnsi="Times New Roman" w:cs="Times New Roman"/>
          <w:b/>
          <w:bCs/>
          <w:sz w:val="24"/>
          <w:szCs w:val="24"/>
        </w:rPr>
        <w:t>Conclusion</w:t>
      </w:r>
    </w:p>
    <w:p w14:paraId="35E638ED">
      <w:pPr>
        <w:spacing w:line="360" w:lineRule="auto"/>
        <w:rPr>
          <w:rFonts w:ascii="Times New Roman" w:hAnsi="Times New Roman" w:cs="Times New Roman"/>
          <w:sz w:val="24"/>
          <w:szCs w:val="24"/>
        </w:rPr>
      </w:pPr>
      <w:r>
        <w:rPr>
          <w:rFonts w:ascii="Times New Roman" w:hAnsi="Times New Roman" w:cs="Times New Roman"/>
          <w:sz w:val="24"/>
          <w:szCs w:val="24"/>
        </w:rPr>
        <w:t>In conclusion, this study demonstrates that the selected plants possess distinct and complementary bioactivity profiles. S. mombin is a promising source of potent cytotoxic compounds for anticancer research, while L. acidissima stands out as an ideal candidate for safe antioxidant-based therapies. The divergence between the DPPH and BSLA results, particularly for S. cumini, underscores the importance of using multiple assay systems to fully characterize plant extracts. Future work should focus on the bioassay-guided fractionation of these extracts to isolate the active principles responsible for the observed antioxidant and cytotoxic effects.</w:t>
      </w:r>
    </w:p>
    <w:p w14:paraId="48F8C94E">
      <w:pPr>
        <w:spacing w:line="360" w:lineRule="auto"/>
        <w:rPr>
          <w:rFonts w:ascii="Times New Roman" w:hAnsi="Times New Roman" w:cs="Times New Roman"/>
          <w:b/>
          <w:bCs/>
          <w:sz w:val="24"/>
          <w:szCs w:val="24"/>
        </w:rPr>
      </w:pPr>
    </w:p>
    <w:p w14:paraId="06EBD049">
      <w:pPr>
        <w:spacing w:line="360" w:lineRule="auto"/>
        <w:jc w:val="both"/>
        <w:outlineLvl w:val="0"/>
        <w:rPr>
          <w:rFonts w:hint="default" w:ascii="Times New Roman" w:hAnsi="Times New Roman" w:cs="Times New Roman"/>
          <w:sz w:val="24"/>
          <w:szCs w:val="24"/>
          <w:highlight w:val="none"/>
        </w:rPr>
      </w:pPr>
      <w:r>
        <w:rPr>
          <w:rFonts w:hint="default" w:ascii="Times New Roman" w:hAnsi="Times New Roman" w:cs="Times New Roman"/>
          <w:b/>
          <w:bCs/>
          <w:sz w:val="24"/>
          <w:szCs w:val="24"/>
          <w:highlight w:val="none"/>
        </w:rPr>
        <w:t>COMPETING INTERESTS DISCLAIMER:</w:t>
      </w:r>
    </w:p>
    <w:p w14:paraId="7351A7B9">
      <w:pPr>
        <w:spacing w:line="360" w:lineRule="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Authors have declared that they have no known competing financial interests OR non-financial interests OR personal relationships that could have appeared to influence the work reported in this paper.</w:t>
      </w:r>
    </w:p>
    <w:p w14:paraId="1DFF799D">
      <w:pPr>
        <w:spacing w:line="360" w:lineRule="auto"/>
        <w:rPr>
          <w:rFonts w:hint="default" w:ascii="Times New Roman" w:hAnsi="Times New Roman" w:cs="Times New Roman"/>
          <w:sz w:val="24"/>
          <w:szCs w:val="24"/>
          <w:highlight w:val="none"/>
        </w:rPr>
      </w:pPr>
    </w:p>
    <w:p w14:paraId="666E516C">
      <w:pPr>
        <w:spacing w:line="360" w:lineRule="auto"/>
        <w:rPr>
          <w:rFonts w:hint="default" w:ascii="Times New Roman" w:hAnsi="Times New Roman" w:cs="Times New Roman"/>
          <w:sz w:val="24"/>
          <w:szCs w:val="24"/>
          <w:highlight w:val="none"/>
        </w:rPr>
      </w:pPr>
    </w:p>
    <w:p w14:paraId="372EA3DF">
      <w:pPr>
        <w:spacing w:line="360" w:lineRule="auto"/>
        <w:rPr>
          <w:rFonts w:hint="default" w:ascii="Times New Roman" w:hAnsi="Times New Roman" w:cs="Times New Roman"/>
          <w:sz w:val="24"/>
          <w:szCs w:val="24"/>
          <w:highlight w:val="none"/>
        </w:rPr>
      </w:pPr>
    </w:p>
    <w:p w14:paraId="68B5C837">
      <w:pPr>
        <w:spacing w:line="360" w:lineRule="auto"/>
        <w:rPr>
          <w:rFonts w:hint="default" w:ascii="Times New Roman" w:hAnsi="Times New Roman" w:cs="Times New Roman"/>
          <w:sz w:val="24"/>
          <w:szCs w:val="24"/>
          <w:highlight w:val="none"/>
        </w:rPr>
      </w:pPr>
    </w:p>
    <w:p w14:paraId="2CD8B53D">
      <w:pPr>
        <w:spacing w:line="360" w:lineRule="auto"/>
        <w:rPr>
          <w:rFonts w:hint="default" w:ascii="Times New Roman" w:hAnsi="Times New Roman" w:eastAsia="Calibri" w:cs="Times New Roman"/>
          <w:b/>
          <w:bCs/>
          <w:kern w:val="2"/>
          <w:sz w:val="24"/>
          <w:szCs w:val="24"/>
          <w:highlight w:val="none"/>
        </w:rPr>
      </w:pPr>
      <w:bookmarkStart w:id="2" w:name="_Hlk204003461"/>
      <w:bookmarkStart w:id="3" w:name="_Hlk213070710"/>
      <w:r>
        <w:rPr>
          <w:rFonts w:hint="default" w:ascii="Times New Roman" w:hAnsi="Times New Roman" w:eastAsia="Calibri" w:cs="Times New Roman"/>
          <w:b/>
          <w:bCs/>
          <w:kern w:val="2"/>
          <w:sz w:val="24"/>
          <w:szCs w:val="24"/>
          <w:highlight w:val="none"/>
        </w:rPr>
        <w:t>Disclaimer (Artificial intelligence)</w:t>
      </w:r>
    </w:p>
    <w:p w14:paraId="2507ED50">
      <w:pPr>
        <w:spacing w:line="360" w:lineRule="auto"/>
        <w:rPr>
          <w:rFonts w:hint="default" w:ascii="Times New Roman" w:hAnsi="Times New Roman" w:eastAsia="Calibri" w:cs="Times New Roman"/>
          <w:kern w:val="2"/>
          <w:sz w:val="24"/>
          <w:szCs w:val="24"/>
          <w:highlight w:val="none"/>
        </w:rPr>
      </w:pPr>
    </w:p>
    <w:p w14:paraId="01F998FB">
      <w:pPr>
        <w:spacing w:line="360" w:lineRule="auto"/>
        <w:rPr>
          <w:rFonts w:hint="default" w:ascii="Times New Roman" w:hAnsi="Times New Roman" w:eastAsia="Calibri" w:cs="Times New Roman"/>
          <w:kern w:val="2"/>
          <w:sz w:val="24"/>
          <w:szCs w:val="24"/>
          <w:highlight w:val="none"/>
          <w:lang w:val="en-US"/>
        </w:rPr>
      </w:pPr>
      <w:r>
        <w:rPr>
          <w:rFonts w:hint="default" w:ascii="Times New Roman" w:hAnsi="Times New Roman" w:eastAsia="Calibri" w:cs="Times New Roman"/>
          <w:kern w:val="2"/>
          <w:sz w:val="24"/>
          <w:szCs w:val="24"/>
          <w:highlight w:val="none"/>
        </w:rPr>
        <w:t>Author(s) hereby declare that generativ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r>
        <w:rPr>
          <w:rFonts w:hint="default" w:ascii="Times New Roman" w:hAnsi="Times New Roman" w:eastAsia="Calibri" w:cs="Times New Roman"/>
          <w:kern w:val="2"/>
          <w:sz w:val="24"/>
          <w:szCs w:val="24"/>
          <w:highlight w:val="none"/>
          <w:lang w:val="en-US"/>
        </w:rPr>
        <w:t>.</w:t>
      </w:r>
    </w:p>
    <w:bookmarkEnd w:id="2"/>
    <w:bookmarkEnd w:id="3"/>
    <w:p w14:paraId="3CA022A8"/>
    <w:p w14:paraId="7AB6CB6E">
      <w:pPr>
        <w:spacing w:line="360" w:lineRule="auto"/>
        <w:rPr>
          <w:rFonts w:ascii="Times New Roman" w:hAnsi="Times New Roman" w:cs="Times New Roman"/>
          <w:b/>
          <w:bCs/>
          <w:sz w:val="24"/>
          <w:szCs w:val="24"/>
        </w:rPr>
      </w:pPr>
    </w:p>
    <w:p w14:paraId="085C5512">
      <w:pPr>
        <w:spacing w:line="360" w:lineRule="auto"/>
        <w:rPr>
          <w:rFonts w:ascii="Times New Roman" w:hAnsi="Times New Roman" w:cs="Times New Roman"/>
          <w:b/>
          <w:bCs/>
          <w:sz w:val="24"/>
          <w:szCs w:val="24"/>
        </w:rPr>
      </w:pPr>
      <w:r>
        <w:rPr>
          <w:rFonts w:ascii="Times New Roman" w:hAnsi="Times New Roman" w:cs="Times New Roman"/>
          <w:b/>
          <w:bCs/>
          <w:sz w:val="24"/>
          <w:szCs w:val="24"/>
        </w:rPr>
        <w:t>References</w:t>
      </w:r>
    </w:p>
    <w:p w14:paraId="40199A8B">
      <w:pPr>
        <w:spacing w:line="360" w:lineRule="auto"/>
        <w:rPr>
          <w:rFonts w:ascii="Times New Roman" w:hAnsi="Times New Roman" w:cs="Times New Roman"/>
          <w:sz w:val="24"/>
          <w:szCs w:val="24"/>
        </w:rPr>
      </w:pPr>
      <w:r>
        <w:rPr>
          <w:rFonts w:ascii="Times New Roman" w:hAnsi="Times New Roman" w:cs="Times New Roman"/>
          <w:sz w:val="24"/>
          <w:szCs w:val="24"/>
        </w:rPr>
        <w:t>[1] Atanasov, A. G., Zotchev, S. B., Dirsch, V. M., &amp; Supuran, C. T. (2021). Natural products in drug discovery: advances and opportunities. Nature Reviews Drug Discovery, 20(3), 200–216.</w:t>
      </w:r>
    </w:p>
    <w:p w14:paraId="307E1369">
      <w:pPr>
        <w:spacing w:line="360" w:lineRule="auto"/>
        <w:rPr>
          <w:rFonts w:ascii="Times New Roman" w:hAnsi="Times New Roman" w:cs="Times New Roman"/>
          <w:sz w:val="24"/>
          <w:szCs w:val="24"/>
        </w:rPr>
      </w:pPr>
      <w:r>
        <w:rPr>
          <w:rFonts w:ascii="Times New Roman" w:hAnsi="Times New Roman" w:cs="Times New Roman"/>
          <w:sz w:val="24"/>
          <w:szCs w:val="24"/>
        </w:rPr>
        <w:t>[2] Ayoka, A. O., Ojo, O. E., Imafidon, C. E., &amp; Ademoye, A. K. (2016). Medicinal and economic value of Spondias mombin. African Journal of Biomedical Research, 19(1), 1–15.</w:t>
      </w:r>
    </w:p>
    <w:p w14:paraId="46D0E379">
      <w:pPr>
        <w:spacing w:line="360" w:lineRule="auto"/>
        <w:rPr>
          <w:rFonts w:ascii="Times New Roman" w:hAnsi="Times New Roman" w:cs="Times New Roman"/>
          <w:sz w:val="24"/>
          <w:szCs w:val="24"/>
        </w:rPr>
      </w:pPr>
      <w:r>
        <w:rPr>
          <w:rFonts w:ascii="Times New Roman" w:hAnsi="Times New Roman" w:cs="Times New Roman"/>
          <w:sz w:val="24"/>
          <w:szCs w:val="24"/>
        </w:rPr>
        <w:t>[3] Baliga, M. S., Bhat, H. P., Joseph, N., &amp; Fazal, F. (2011). Phytochemistry and medicinal uses of the Syzygium cumini (Jamun) fruit: A review. Food Research International, 44(7), 1776–1789.</w:t>
      </w:r>
    </w:p>
    <w:p w14:paraId="5A83AB1D">
      <w:pPr>
        <w:spacing w:line="360" w:lineRule="auto"/>
        <w:rPr>
          <w:rFonts w:ascii="Times New Roman" w:hAnsi="Times New Roman" w:cs="Times New Roman"/>
          <w:sz w:val="24"/>
          <w:szCs w:val="24"/>
        </w:rPr>
      </w:pPr>
      <w:r>
        <w:rPr>
          <w:rFonts w:ascii="Times New Roman" w:hAnsi="Times New Roman" w:cs="Times New Roman"/>
          <w:sz w:val="24"/>
          <w:szCs w:val="24"/>
        </w:rPr>
        <w:t>[4] Brand-Williams, W., Cuvelier, M. E., &amp; Berset, C. (1995). Use of a free radical method to evaluate antioxidant activity. LWT - Food Science and Technology, 28(1), 25–30.</w:t>
      </w:r>
    </w:p>
    <w:p w14:paraId="5F3AF80D">
      <w:pPr>
        <w:spacing w:line="360" w:lineRule="auto"/>
        <w:rPr>
          <w:rFonts w:ascii="Times New Roman" w:hAnsi="Times New Roman" w:cs="Times New Roman"/>
          <w:sz w:val="24"/>
          <w:szCs w:val="24"/>
        </w:rPr>
      </w:pPr>
      <w:r>
        <w:rPr>
          <w:rFonts w:ascii="Times New Roman" w:hAnsi="Times New Roman" w:cs="Times New Roman"/>
          <w:sz w:val="24"/>
          <w:szCs w:val="24"/>
        </w:rPr>
        <w:t>[5] Buyukokuroglu, M. E., Gulcin, I., Oktay, M., &amp; Kufrevioglu, O. I. (2001). In vitro antioxidant properties of dantrolene sodium. Pharmacological Research, 44(6), 491–495.</w:t>
      </w:r>
    </w:p>
    <w:p w14:paraId="1D1B7EBD">
      <w:pPr>
        <w:spacing w:line="360" w:lineRule="auto"/>
        <w:rPr>
          <w:rFonts w:ascii="Times New Roman" w:hAnsi="Times New Roman" w:cs="Times New Roman"/>
          <w:sz w:val="24"/>
          <w:szCs w:val="24"/>
        </w:rPr>
      </w:pPr>
      <w:r>
        <w:rPr>
          <w:rFonts w:ascii="Times New Roman" w:hAnsi="Times New Roman" w:cs="Times New Roman"/>
          <w:sz w:val="24"/>
          <w:szCs w:val="24"/>
        </w:rPr>
        <w:t>[6] Corthout, J., Pieters, L. A., Claeys, M., Vanden Berghe, D. A., &amp; Vlietinck, A. J. (1991). Antibacterial and antifungal compounds from Spondias mombin. Phytochemistry, 30(4), 1129–1130.</w:t>
      </w:r>
    </w:p>
    <w:p w14:paraId="2D53E02B">
      <w:pPr>
        <w:spacing w:line="360" w:lineRule="auto"/>
        <w:rPr>
          <w:rFonts w:ascii="Times New Roman" w:hAnsi="Times New Roman" w:cs="Times New Roman"/>
          <w:sz w:val="24"/>
          <w:szCs w:val="24"/>
        </w:rPr>
      </w:pPr>
      <w:r>
        <w:rPr>
          <w:rFonts w:ascii="Times New Roman" w:hAnsi="Times New Roman" w:cs="Times New Roman"/>
          <w:sz w:val="24"/>
          <w:szCs w:val="24"/>
        </w:rPr>
        <w:t>[7] Cragg, G. M., &amp; Newman, D. J. (2013). Natural products: a continuing source of novel drug leads. Biochimica et Biophysica Acta (BBA) - General Subjects, 1830(6), 3670–3695.</w:t>
      </w:r>
    </w:p>
    <w:p w14:paraId="12B672B2">
      <w:pPr>
        <w:spacing w:line="360" w:lineRule="auto"/>
        <w:rPr>
          <w:rFonts w:ascii="Times New Roman" w:hAnsi="Times New Roman" w:cs="Times New Roman"/>
          <w:sz w:val="24"/>
          <w:szCs w:val="24"/>
        </w:rPr>
      </w:pPr>
      <w:r>
        <w:rPr>
          <w:rFonts w:ascii="Times New Roman" w:hAnsi="Times New Roman" w:cs="Times New Roman"/>
          <w:sz w:val="24"/>
          <w:szCs w:val="24"/>
        </w:rPr>
        <w:t>[8] Fabricant, D. S., &amp; Farnsworth, N. R. (2001). The value of plants used in traditional medicine for drug discovery. Environmental Health Perspectives, 109(Suppl 1), 69–75.</w:t>
      </w:r>
    </w:p>
    <w:p w14:paraId="060CD224">
      <w:pPr>
        <w:spacing w:line="360" w:lineRule="auto"/>
        <w:rPr>
          <w:rFonts w:ascii="Times New Roman" w:hAnsi="Times New Roman" w:cs="Times New Roman"/>
          <w:sz w:val="24"/>
          <w:szCs w:val="24"/>
        </w:rPr>
      </w:pPr>
      <w:r>
        <w:rPr>
          <w:rFonts w:ascii="Times New Roman" w:hAnsi="Times New Roman" w:cs="Times New Roman"/>
          <w:sz w:val="24"/>
          <w:szCs w:val="24"/>
        </w:rPr>
        <w:t>[9] Gulcin, İ. (2020). Antioxidants and antioxidant methods: an updated overview. Archives of Toxicology, 94(3), 651–715.</w:t>
      </w:r>
    </w:p>
    <w:p w14:paraId="58184072">
      <w:pPr>
        <w:spacing w:line="360" w:lineRule="auto"/>
        <w:rPr>
          <w:rFonts w:ascii="Times New Roman" w:hAnsi="Times New Roman" w:cs="Times New Roman"/>
          <w:sz w:val="24"/>
          <w:szCs w:val="24"/>
        </w:rPr>
      </w:pPr>
      <w:r>
        <w:rPr>
          <w:rFonts w:ascii="Times New Roman" w:hAnsi="Times New Roman" w:cs="Times New Roman"/>
          <w:sz w:val="24"/>
          <w:szCs w:val="24"/>
        </w:rPr>
        <w:t>[10] Jha, M., &amp; Jha, S. (2016). Limonia acidissima L.: A review of its phytochemistry and pharmacology. Journal of Pharmacognosy and Phytochemistry, 5(3), 1–5.</w:t>
      </w:r>
    </w:p>
    <w:p w14:paraId="651BB834">
      <w:pPr>
        <w:spacing w:line="360" w:lineRule="auto"/>
        <w:rPr>
          <w:rFonts w:ascii="Times New Roman" w:hAnsi="Times New Roman" w:cs="Times New Roman"/>
          <w:sz w:val="24"/>
          <w:szCs w:val="24"/>
        </w:rPr>
      </w:pPr>
      <w:r>
        <w:rPr>
          <w:rFonts w:ascii="Times New Roman" w:hAnsi="Times New Roman" w:cs="Times New Roman"/>
          <w:sz w:val="24"/>
          <w:szCs w:val="24"/>
        </w:rPr>
        <w:t>[11] Khan, H., Ullah, H., &amp; Martorell, M., et al. (2020). Targeting signaling pathways by dietary polyphenols in cancer prevention and therapy. Seminars in Cancer Biology, 66, 42–57.</w:t>
      </w:r>
    </w:p>
    <w:p w14:paraId="6FFA17BA">
      <w:pPr>
        <w:spacing w:line="360" w:lineRule="auto"/>
        <w:rPr>
          <w:rFonts w:ascii="Times New Roman" w:hAnsi="Times New Roman" w:cs="Times New Roman"/>
          <w:sz w:val="24"/>
          <w:szCs w:val="24"/>
        </w:rPr>
      </w:pPr>
      <w:r>
        <w:rPr>
          <w:rFonts w:ascii="Times New Roman" w:hAnsi="Times New Roman" w:cs="Times New Roman"/>
          <w:sz w:val="24"/>
          <w:szCs w:val="24"/>
        </w:rPr>
        <w:t>[12] Liu, R. H. (2013). Health-promoting components of fruits and vegetables in the diet. Advances in Nutrition, 4(3), 384S–392S.</w:t>
      </w:r>
    </w:p>
    <w:p w14:paraId="3B5912B3">
      <w:pPr>
        <w:spacing w:line="360" w:lineRule="auto"/>
        <w:rPr>
          <w:rFonts w:ascii="Times New Roman" w:hAnsi="Times New Roman" w:cs="Times New Roman"/>
          <w:sz w:val="24"/>
          <w:szCs w:val="24"/>
        </w:rPr>
      </w:pPr>
      <w:r>
        <w:rPr>
          <w:rFonts w:ascii="Times New Roman" w:hAnsi="Times New Roman" w:cs="Times New Roman"/>
          <w:sz w:val="24"/>
          <w:szCs w:val="24"/>
        </w:rPr>
        <w:t>[13] Lobo, V., Patil, A., Phatak, A., &amp; Chandra, N. (2010). Free radicals, antioxidants and functional foods: Impact on human health. Pharmacognosy Reviews, 4(8), 118–126.</w:t>
      </w:r>
    </w:p>
    <w:p w14:paraId="61A34252">
      <w:pPr>
        <w:spacing w:line="360" w:lineRule="auto"/>
        <w:rPr>
          <w:rFonts w:ascii="Times New Roman" w:hAnsi="Times New Roman" w:cs="Times New Roman"/>
          <w:sz w:val="24"/>
          <w:szCs w:val="24"/>
        </w:rPr>
      </w:pPr>
      <w:r>
        <w:rPr>
          <w:rFonts w:ascii="Times New Roman" w:hAnsi="Times New Roman" w:cs="Times New Roman"/>
          <w:sz w:val="24"/>
          <w:szCs w:val="24"/>
        </w:rPr>
        <w:t>[14] Madhur, G., Dhar, P., &amp; Khandal, R. K. (2018). Aegle marmelos (L.) Correa: A review on its ethnobotany, phytochemistry and pharmacological profile. Journal of Ethnopharmacology, 224, 1–17.</w:t>
      </w:r>
    </w:p>
    <w:p w14:paraId="70F4377C">
      <w:pPr>
        <w:spacing w:line="360" w:lineRule="auto"/>
        <w:rPr>
          <w:rFonts w:ascii="Times New Roman" w:hAnsi="Times New Roman" w:cs="Times New Roman"/>
          <w:sz w:val="24"/>
          <w:szCs w:val="24"/>
        </w:rPr>
      </w:pPr>
      <w:r>
        <w:rPr>
          <w:rFonts w:ascii="Times New Roman" w:hAnsi="Times New Roman" w:cs="Times New Roman"/>
          <w:sz w:val="24"/>
          <w:szCs w:val="24"/>
        </w:rPr>
        <w:t>[15] Maity, P., Hansda, D., Bandyopadhyay, U., &amp; Mishra, D. K. (2009). Biological activities of crude extracts and chemical constituents of Bael, Aegle marmelos (L.) Corr. Indian Journal of Experimental Biology, 47(11), 849–861.</w:t>
      </w:r>
    </w:p>
    <w:p w14:paraId="0DD2DFB1">
      <w:pPr>
        <w:spacing w:line="360" w:lineRule="auto"/>
        <w:rPr>
          <w:rFonts w:ascii="Times New Roman" w:hAnsi="Times New Roman" w:cs="Times New Roman"/>
          <w:sz w:val="24"/>
          <w:szCs w:val="24"/>
        </w:rPr>
      </w:pPr>
      <w:r>
        <w:rPr>
          <w:rFonts w:ascii="Times New Roman" w:hAnsi="Times New Roman" w:cs="Times New Roman"/>
          <w:sz w:val="24"/>
          <w:szCs w:val="24"/>
        </w:rPr>
        <w:t>[16] McLaughlin, J. L., &amp; Rogers, L. L. (1998). The use of biological assays to evaluate botanicals. Drug Information Journal, 32(2), 513–524.</w:t>
      </w:r>
    </w:p>
    <w:p w14:paraId="2D2734E8">
      <w:pPr>
        <w:spacing w:line="360" w:lineRule="auto"/>
        <w:rPr>
          <w:rFonts w:ascii="Times New Roman" w:hAnsi="Times New Roman" w:cs="Times New Roman"/>
          <w:sz w:val="24"/>
          <w:szCs w:val="24"/>
        </w:rPr>
      </w:pPr>
      <w:r>
        <w:rPr>
          <w:rFonts w:ascii="Times New Roman" w:hAnsi="Times New Roman" w:cs="Times New Roman"/>
          <w:sz w:val="24"/>
          <w:szCs w:val="24"/>
        </w:rPr>
        <w:t>[17] Meyer, B. N., Ferrigni, N. R., Putnam, J. E., Jacobsen, L. B., Nichols, D. E., &amp; McLaughlin, J. L. (1982). Brine shrimp: a convenient general bioassay for active plant constituents. Journal of Medicinal Plant Research, 45(1), 31–34.</w:t>
      </w:r>
    </w:p>
    <w:p w14:paraId="3027CD85">
      <w:pPr>
        <w:spacing w:line="360" w:lineRule="auto"/>
        <w:rPr>
          <w:rFonts w:ascii="Times New Roman" w:hAnsi="Times New Roman" w:cs="Times New Roman"/>
          <w:sz w:val="24"/>
          <w:szCs w:val="24"/>
        </w:rPr>
      </w:pPr>
      <w:r>
        <w:rPr>
          <w:rFonts w:ascii="Times New Roman" w:hAnsi="Times New Roman" w:cs="Times New Roman"/>
          <w:sz w:val="24"/>
          <w:szCs w:val="24"/>
        </w:rPr>
        <w:t>[18] Molyneux, P. (2004). The use of the stable free radical diphenylpicrylhydrazyl (DPPH) for estimating antioxidant activity. Songklanakarin Journal of Science and Technology, 26(2), 211–219.</w:t>
      </w:r>
    </w:p>
    <w:p w14:paraId="7EE5B91A">
      <w:pPr>
        <w:spacing w:line="360" w:lineRule="auto"/>
        <w:rPr>
          <w:rFonts w:ascii="Times New Roman" w:hAnsi="Times New Roman" w:cs="Times New Roman"/>
          <w:sz w:val="24"/>
          <w:szCs w:val="24"/>
        </w:rPr>
      </w:pPr>
      <w:r>
        <w:rPr>
          <w:rFonts w:ascii="Times New Roman" w:hAnsi="Times New Roman" w:cs="Times New Roman"/>
          <w:sz w:val="24"/>
          <w:szCs w:val="24"/>
          <w:highlight w:val="yellow"/>
        </w:rPr>
        <w:t xml:space="preserve">[19] </w:t>
      </w:r>
      <w:r>
        <w:rPr>
          <w:rFonts w:hint="default" w:ascii="Times New Roman" w:hAnsi="Times New Roman" w:cs="Times New Roman"/>
          <w:sz w:val="24"/>
          <w:szCs w:val="24"/>
          <w:highlight w:val="yellow"/>
          <w:lang w:val="en-US"/>
        </w:rPr>
        <w:t xml:space="preserve">MM </w:t>
      </w:r>
      <w:r>
        <w:rPr>
          <w:rFonts w:ascii="Times New Roman" w:hAnsi="Times New Roman" w:eastAsia="Helvetica" w:cs="Times New Roman"/>
          <w:color w:val="202020"/>
          <w:sz w:val="24"/>
          <w:szCs w:val="24"/>
          <w:highlight w:val="yellow"/>
          <w:shd w:val="clear" w:color="auto" w:fill="FFFFFF"/>
        </w:rPr>
        <w:t xml:space="preserve">Uddin Pk, </w:t>
      </w:r>
      <w:r>
        <w:rPr>
          <w:rFonts w:hint="default" w:ascii="Times New Roman" w:hAnsi="Times New Roman" w:eastAsia="Helvetica" w:cs="Times New Roman"/>
          <w:color w:val="202020"/>
          <w:sz w:val="24"/>
          <w:szCs w:val="24"/>
          <w:highlight w:val="yellow"/>
          <w:shd w:val="clear" w:color="auto" w:fill="FFFFFF"/>
          <w:lang w:val="en-US"/>
        </w:rPr>
        <w:t xml:space="preserve">MS </w:t>
      </w:r>
      <w:r>
        <w:rPr>
          <w:rFonts w:ascii="Times New Roman" w:hAnsi="Times New Roman" w:eastAsia="Helvetica" w:cs="Times New Roman"/>
          <w:color w:val="202020"/>
          <w:sz w:val="24"/>
          <w:szCs w:val="24"/>
          <w:highlight w:val="yellow"/>
          <w:shd w:val="clear" w:color="auto" w:fill="FFFFFF"/>
        </w:rPr>
        <w:t xml:space="preserve">Islam, </w:t>
      </w:r>
      <w:r>
        <w:rPr>
          <w:rFonts w:hint="default" w:ascii="Times New Roman" w:hAnsi="Times New Roman" w:eastAsia="Helvetica" w:cs="Times New Roman"/>
          <w:color w:val="202020"/>
          <w:sz w:val="24"/>
          <w:szCs w:val="24"/>
          <w:highlight w:val="yellow"/>
          <w:shd w:val="clear" w:color="auto" w:fill="FFFFFF"/>
          <w:lang w:val="en-US"/>
        </w:rPr>
        <w:t xml:space="preserve">R </w:t>
      </w:r>
      <w:r>
        <w:rPr>
          <w:rFonts w:ascii="Times New Roman" w:hAnsi="Times New Roman" w:eastAsia="Helvetica" w:cs="Times New Roman"/>
          <w:color w:val="202020"/>
          <w:sz w:val="24"/>
          <w:szCs w:val="24"/>
          <w:highlight w:val="yellow"/>
          <w:shd w:val="clear" w:color="auto" w:fill="FFFFFF"/>
        </w:rPr>
        <w:t xml:space="preserve">Pervin, Dutta S, Talukder RI, et al. (2019) Optimization of extraction </w:t>
      </w:r>
      <w:r>
        <w:rPr>
          <w:rFonts w:ascii="Times New Roman" w:hAnsi="Times New Roman" w:eastAsia="Helvetica" w:cs="Times New Roman"/>
          <w:color w:val="202020"/>
          <w:sz w:val="24"/>
          <w:szCs w:val="24"/>
          <w:shd w:val="clear" w:color="auto" w:fill="FFFFFF"/>
        </w:rPr>
        <w:t>of antioxidant polysaccharide from </w:t>
      </w:r>
      <w:r>
        <w:rPr>
          <w:rFonts w:ascii="Times New Roman" w:hAnsi="Times New Roman" w:eastAsia="Helvetica" w:cs="Times New Roman"/>
          <w:i/>
          <w:iCs/>
          <w:color w:val="202020"/>
          <w:sz w:val="24"/>
          <w:szCs w:val="24"/>
          <w:shd w:val="clear" w:color="auto" w:fill="FFFFFF"/>
        </w:rPr>
        <w:t>Pleurotus ostreatus</w:t>
      </w:r>
      <w:r>
        <w:rPr>
          <w:rFonts w:ascii="Times New Roman" w:hAnsi="Times New Roman" w:eastAsia="Helvetica" w:cs="Times New Roman"/>
          <w:color w:val="202020"/>
          <w:sz w:val="24"/>
          <w:szCs w:val="24"/>
          <w:shd w:val="clear" w:color="auto" w:fill="FFFFFF"/>
        </w:rPr>
        <w:t> (Jacq.) P. Kumm and its cytotoxic activity against murine lymphoid cancer cell line. PLOS ONE 14(1): e0209371. </w:t>
      </w:r>
      <w:r>
        <w:fldChar w:fldCharType="begin"/>
      </w:r>
      <w:r>
        <w:instrText xml:space="preserve"> HYPERLINK "https://doi.org/10.1371/journal.pone.0209371" </w:instrText>
      </w:r>
      <w:r>
        <w:fldChar w:fldCharType="separate"/>
      </w:r>
      <w:r>
        <w:rPr>
          <w:rStyle w:val="10"/>
          <w:rFonts w:ascii="Times New Roman" w:hAnsi="Times New Roman" w:eastAsia="Helvetica" w:cs="Times New Roman"/>
          <w:color w:val="3E0577"/>
          <w:sz w:val="24"/>
          <w:szCs w:val="24"/>
          <w:shd w:val="clear" w:color="auto" w:fill="FFFFFF"/>
        </w:rPr>
        <w:t>https://doi.org/10.1371/journal.pone.0209371</w:t>
      </w:r>
      <w:r>
        <w:rPr>
          <w:rStyle w:val="10"/>
          <w:rFonts w:ascii="Times New Roman" w:hAnsi="Times New Roman" w:eastAsia="Helvetica" w:cs="Times New Roman"/>
          <w:color w:val="3E0577"/>
          <w:sz w:val="24"/>
          <w:szCs w:val="24"/>
          <w:shd w:val="clear" w:color="auto" w:fill="FFFFFF"/>
        </w:rPr>
        <w:fldChar w:fldCharType="end"/>
      </w:r>
    </w:p>
    <w:p w14:paraId="43D17C75">
      <w:pPr>
        <w:spacing w:line="360" w:lineRule="auto"/>
        <w:rPr>
          <w:rFonts w:ascii="Times New Roman" w:hAnsi="Times New Roman" w:cs="Times New Roman"/>
          <w:sz w:val="24"/>
          <w:szCs w:val="24"/>
        </w:rPr>
      </w:pPr>
      <w:r>
        <w:rPr>
          <w:rFonts w:ascii="Times New Roman" w:hAnsi="Times New Roman" w:cs="Times New Roman"/>
          <w:sz w:val="24"/>
          <w:szCs w:val="24"/>
        </w:rPr>
        <w:t>[20] Prior, R. L., &amp; Cao, G. (2000). Antioxidant phytochemicals in fruits and vegetables: diet and health implications. HortScience, 35(4), 588-592.</w:t>
      </w:r>
    </w:p>
    <w:p w14:paraId="18C78B77">
      <w:pPr>
        <w:spacing w:line="360" w:lineRule="auto"/>
        <w:rPr>
          <w:rFonts w:ascii="Times New Roman" w:hAnsi="Times New Roman" w:cs="Times New Roman"/>
          <w:sz w:val="24"/>
          <w:szCs w:val="24"/>
        </w:rPr>
      </w:pPr>
      <w:r>
        <w:rPr>
          <w:rFonts w:ascii="Times New Roman" w:hAnsi="Times New Roman" w:cs="Times New Roman"/>
          <w:sz w:val="24"/>
          <w:szCs w:val="24"/>
        </w:rPr>
        <w:t>[21] Prior, R. L., Wu, X., &amp; Schaich, K. (2005). Standardized methods for the determination of antioxidant capacity and phenolics in foods and dietary supplements. Journal of Agricultural and Food Chemistry, 53(10), 4290–4302.</w:t>
      </w:r>
    </w:p>
    <w:p w14:paraId="51005C56">
      <w:pPr>
        <w:spacing w:line="360" w:lineRule="auto"/>
        <w:rPr>
          <w:rFonts w:ascii="Times New Roman" w:hAnsi="Times New Roman" w:cs="Times New Roman"/>
          <w:sz w:val="24"/>
          <w:szCs w:val="24"/>
        </w:rPr>
      </w:pPr>
      <w:r>
        <w:rPr>
          <w:rFonts w:ascii="Times New Roman" w:hAnsi="Times New Roman" w:cs="Times New Roman"/>
          <w:sz w:val="24"/>
          <w:szCs w:val="24"/>
        </w:rPr>
        <w:t>[22] Yuan, H., Ma, Q., Ye, L., &amp; Piao, G. (2016). The traditional medicine and modern medicine from natural products. Molecules, 21(5), 559.</w:t>
      </w:r>
    </w:p>
    <w:p w14:paraId="71FC3C45">
      <w:pPr>
        <w:spacing w:line="360" w:lineRule="auto"/>
        <w:rPr>
          <w:rFonts w:ascii="Times New Roman" w:hAnsi="Times New Roman" w:cs="Times New Roman"/>
          <w:sz w:val="24"/>
          <w:szCs w:val="24"/>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0053A9">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E33BC">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D8AB">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71B3D">
    <w:pPr>
      <w:pStyle w:val="9"/>
    </w:pPr>
    <w:r>
      <w:pict>
        <v:shape id="PowerPlusWaterMarkObject604055595" o:spid="_x0000_s4098" o:spt="136" type="#_x0000_t136" style="position:absolute;left:0pt;height:92.9pt;width:492.5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A9311">
    <w:pPr>
      <w:pStyle w:val="9"/>
    </w:pPr>
    <w:r>
      <w:pict>
        <v:shape id="PowerPlusWaterMarkObject604055594" o:spid="_x0000_s4099" o:spt="136" type="#_x0000_t136" style="position:absolute;left:0pt;height:92.9pt;width:492.5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6D65E">
    <w:pPr>
      <w:pStyle w:val="9"/>
    </w:pPr>
    <w:r>
      <w:pict>
        <v:shape id="PowerPlusWaterMarkObject604055593" o:spid="_x0000_s4097" o:spt="136" type="#_x0000_t136" style="position:absolute;left:0pt;height:92.9pt;width:492.5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UNDER PEER REVIEW" style="font-family:Calibri;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hdrShapeDefaults>
    <o:shapelayout v:ext="edit">
      <o:idmap v:ext="edit" data="3,4"/>
    </o:shapelayout>
  </w:hdrShapeDefault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605FC9"/>
    <w:rsid w:val="000E15FE"/>
    <w:rsid w:val="00325E9F"/>
    <w:rsid w:val="00596B66"/>
    <w:rsid w:val="007A71DA"/>
    <w:rsid w:val="00960331"/>
    <w:rsid w:val="00A6695C"/>
    <w:rsid w:val="00A85845"/>
    <w:rsid w:val="00B03BBE"/>
    <w:rsid w:val="00B34633"/>
    <w:rsid w:val="00D40D69"/>
    <w:rsid w:val="00DC0DC6"/>
    <w:rsid w:val="00E070C5"/>
    <w:rsid w:val="00F61C24"/>
    <w:rsid w:val="015F5DD0"/>
    <w:rsid w:val="019C45B0"/>
    <w:rsid w:val="02262316"/>
    <w:rsid w:val="02680801"/>
    <w:rsid w:val="02840131"/>
    <w:rsid w:val="029119C5"/>
    <w:rsid w:val="029638CF"/>
    <w:rsid w:val="02C22194"/>
    <w:rsid w:val="02F20765"/>
    <w:rsid w:val="03215A31"/>
    <w:rsid w:val="036C6DAA"/>
    <w:rsid w:val="03B617A8"/>
    <w:rsid w:val="03DE3866"/>
    <w:rsid w:val="04330D71"/>
    <w:rsid w:val="045E5439"/>
    <w:rsid w:val="04864E29"/>
    <w:rsid w:val="04A845B3"/>
    <w:rsid w:val="051922E9"/>
    <w:rsid w:val="052054F7"/>
    <w:rsid w:val="05280385"/>
    <w:rsid w:val="05405A2B"/>
    <w:rsid w:val="056C7B74"/>
    <w:rsid w:val="05CB3411"/>
    <w:rsid w:val="05F55F90"/>
    <w:rsid w:val="0603356B"/>
    <w:rsid w:val="06374CBF"/>
    <w:rsid w:val="063A5C43"/>
    <w:rsid w:val="064055CE"/>
    <w:rsid w:val="067425A5"/>
    <w:rsid w:val="068A254B"/>
    <w:rsid w:val="06904454"/>
    <w:rsid w:val="06EE69EC"/>
    <w:rsid w:val="0703310E"/>
    <w:rsid w:val="073D1FEE"/>
    <w:rsid w:val="07583E9D"/>
    <w:rsid w:val="077A4051"/>
    <w:rsid w:val="07C10049"/>
    <w:rsid w:val="07D224E1"/>
    <w:rsid w:val="080674B8"/>
    <w:rsid w:val="081F25E1"/>
    <w:rsid w:val="086552D4"/>
    <w:rsid w:val="08D55229"/>
    <w:rsid w:val="08ED1D35"/>
    <w:rsid w:val="08FC454D"/>
    <w:rsid w:val="090728DE"/>
    <w:rsid w:val="09257910"/>
    <w:rsid w:val="09591064"/>
    <w:rsid w:val="09B90184"/>
    <w:rsid w:val="09BB5885"/>
    <w:rsid w:val="0A1F7B28"/>
    <w:rsid w:val="0A883CD4"/>
    <w:rsid w:val="0B4D2798"/>
    <w:rsid w:val="0B765B5B"/>
    <w:rsid w:val="0B9A2898"/>
    <w:rsid w:val="0BFE4B3A"/>
    <w:rsid w:val="0C8F1EAB"/>
    <w:rsid w:val="0CA064E8"/>
    <w:rsid w:val="0D161D84"/>
    <w:rsid w:val="0D4D7CE0"/>
    <w:rsid w:val="0D876BC0"/>
    <w:rsid w:val="0DB8738F"/>
    <w:rsid w:val="0DC36A25"/>
    <w:rsid w:val="0DC950AB"/>
    <w:rsid w:val="0DD124B7"/>
    <w:rsid w:val="0E3B40E5"/>
    <w:rsid w:val="0E752FC5"/>
    <w:rsid w:val="0EA35C3A"/>
    <w:rsid w:val="0EAA5A1E"/>
    <w:rsid w:val="0EED520D"/>
    <w:rsid w:val="0EF0290F"/>
    <w:rsid w:val="0EF21695"/>
    <w:rsid w:val="0F7421A0"/>
    <w:rsid w:val="0FFC2678"/>
    <w:rsid w:val="101E3381"/>
    <w:rsid w:val="10560F5C"/>
    <w:rsid w:val="109C3C4F"/>
    <w:rsid w:val="10E16942"/>
    <w:rsid w:val="111501F9"/>
    <w:rsid w:val="11250330"/>
    <w:rsid w:val="11576580"/>
    <w:rsid w:val="116F1A29"/>
    <w:rsid w:val="11811943"/>
    <w:rsid w:val="1188769A"/>
    <w:rsid w:val="11F363FF"/>
    <w:rsid w:val="12010F98"/>
    <w:rsid w:val="12191EC2"/>
    <w:rsid w:val="12E44E0E"/>
    <w:rsid w:val="12E60311"/>
    <w:rsid w:val="12EB221A"/>
    <w:rsid w:val="12EE319F"/>
    <w:rsid w:val="12F7022B"/>
    <w:rsid w:val="13530945"/>
    <w:rsid w:val="13887B1A"/>
    <w:rsid w:val="13B11879"/>
    <w:rsid w:val="13B860EB"/>
    <w:rsid w:val="13F526CC"/>
    <w:rsid w:val="1424321C"/>
    <w:rsid w:val="142B7323"/>
    <w:rsid w:val="14345A34"/>
    <w:rsid w:val="14A20267"/>
    <w:rsid w:val="14E36AD2"/>
    <w:rsid w:val="14E632DA"/>
    <w:rsid w:val="15075A0D"/>
    <w:rsid w:val="155A5817"/>
    <w:rsid w:val="155B3298"/>
    <w:rsid w:val="15CC6A4F"/>
    <w:rsid w:val="15DD5AAA"/>
    <w:rsid w:val="15E675F9"/>
    <w:rsid w:val="15EC4D86"/>
    <w:rsid w:val="16155F4A"/>
    <w:rsid w:val="162C5A71"/>
    <w:rsid w:val="165434B0"/>
    <w:rsid w:val="169F4829"/>
    <w:rsid w:val="17037DD1"/>
    <w:rsid w:val="1745083A"/>
    <w:rsid w:val="182B7833"/>
    <w:rsid w:val="1862578F"/>
    <w:rsid w:val="18736D2E"/>
    <w:rsid w:val="19027896"/>
    <w:rsid w:val="19457086"/>
    <w:rsid w:val="198B5316"/>
    <w:rsid w:val="19AF5431"/>
    <w:rsid w:val="19E5590B"/>
    <w:rsid w:val="1A16195D"/>
    <w:rsid w:val="1A501737"/>
    <w:rsid w:val="1A7D4B85"/>
    <w:rsid w:val="1A907FA2"/>
    <w:rsid w:val="1A9D1836"/>
    <w:rsid w:val="1ABA6BE8"/>
    <w:rsid w:val="1ADF5B23"/>
    <w:rsid w:val="1AEC06BC"/>
    <w:rsid w:val="1B076CE7"/>
    <w:rsid w:val="1B446B4C"/>
    <w:rsid w:val="1B477AD1"/>
    <w:rsid w:val="1BAD2CF8"/>
    <w:rsid w:val="1BC00694"/>
    <w:rsid w:val="1BD47334"/>
    <w:rsid w:val="1C053387"/>
    <w:rsid w:val="1C334DB0"/>
    <w:rsid w:val="1C9B12FC"/>
    <w:rsid w:val="1CB82E2A"/>
    <w:rsid w:val="1CDA2465"/>
    <w:rsid w:val="1CEF0D86"/>
    <w:rsid w:val="1CF3778C"/>
    <w:rsid w:val="1D9F56A6"/>
    <w:rsid w:val="1DA65E17"/>
    <w:rsid w:val="1DAB6F3A"/>
    <w:rsid w:val="1DBF5CC8"/>
    <w:rsid w:val="1DF11C2D"/>
    <w:rsid w:val="1E367870"/>
    <w:rsid w:val="1EA261CE"/>
    <w:rsid w:val="1EE14DB9"/>
    <w:rsid w:val="1F20231F"/>
    <w:rsid w:val="1F2B06B0"/>
    <w:rsid w:val="1F454ADD"/>
    <w:rsid w:val="1F872FC8"/>
    <w:rsid w:val="1FB407E1"/>
    <w:rsid w:val="1FB9231B"/>
    <w:rsid w:val="1FC93A32"/>
    <w:rsid w:val="20151933"/>
    <w:rsid w:val="202111B2"/>
    <w:rsid w:val="205D1D27"/>
    <w:rsid w:val="2093697E"/>
    <w:rsid w:val="20BD3045"/>
    <w:rsid w:val="20DE6DFD"/>
    <w:rsid w:val="20EF1296"/>
    <w:rsid w:val="20FB50A8"/>
    <w:rsid w:val="210909BB"/>
    <w:rsid w:val="2141581D"/>
    <w:rsid w:val="214445A3"/>
    <w:rsid w:val="22054661"/>
    <w:rsid w:val="22125EF5"/>
    <w:rsid w:val="222F54A5"/>
    <w:rsid w:val="22353B2B"/>
    <w:rsid w:val="225D726E"/>
    <w:rsid w:val="22703D10"/>
    <w:rsid w:val="22E53CCF"/>
    <w:rsid w:val="22F464E8"/>
    <w:rsid w:val="233911DB"/>
    <w:rsid w:val="233A6C5C"/>
    <w:rsid w:val="236B3BA8"/>
    <w:rsid w:val="236C162A"/>
    <w:rsid w:val="23B35621"/>
    <w:rsid w:val="23D7367D"/>
    <w:rsid w:val="23F30609"/>
    <w:rsid w:val="24502F21"/>
    <w:rsid w:val="245628AC"/>
    <w:rsid w:val="2487307B"/>
    <w:rsid w:val="24D4317A"/>
    <w:rsid w:val="24D740FF"/>
    <w:rsid w:val="24FD0ABB"/>
    <w:rsid w:val="25452535"/>
    <w:rsid w:val="259D6446"/>
    <w:rsid w:val="25AB795A"/>
    <w:rsid w:val="25EB0744"/>
    <w:rsid w:val="260747F1"/>
    <w:rsid w:val="264B1A62"/>
    <w:rsid w:val="26900ED2"/>
    <w:rsid w:val="26D8294B"/>
    <w:rsid w:val="26E32644"/>
    <w:rsid w:val="270F5023"/>
    <w:rsid w:val="27416AF7"/>
    <w:rsid w:val="276F6341"/>
    <w:rsid w:val="27781142"/>
    <w:rsid w:val="277A0E4F"/>
    <w:rsid w:val="27AD3C28"/>
    <w:rsid w:val="289528A1"/>
    <w:rsid w:val="28E6559F"/>
    <w:rsid w:val="28FC0FFB"/>
    <w:rsid w:val="29290B96"/>
    <w:rsid w:val="29437541"/>
    <w:rsid w:val="295938E3"/>
    <w:rsid w:val="29AA23E9"/>
    <w:rsid w:val="29DE64FD"/>
    <w:rsid w:val="2A8555CF"/>
    <w:rsid w:val="2AEC1AFB"/>
    <w:rsid w:val="2AF8208B"/>
    <w:rsid w:val="2AF86E01"/>
    <w:rsid w:val="2B172940"/>
    <w:rsid w:val="2B6504C0"/>
    <w:rsid w:val="2B6D6BA7"/>
    <w:rsid w:val="2B987A16"/>
    <w:rsid w:val="2BAC66B6"/>
    <w:rsid w:val="2BDF6303"/>
    <w:rsid w:val="2BE77795"/>
    <w:rsid w:val="2C7F0C0D"/>
    <w:rsid w:val="2CB20162"/>
    <w:rsid w:val="2CF134CA"/>
    <w:rsid w:val="2D5777A4"/>
    <w:rsid w:val="2DC434A2"/>
    <w:rsid w:val="2DDB30C8"/>
    <w:rsid w:val="2DEE20E8"/>
    <w:rsid w:val="2E7F19D7"/>
    <w:rsid w:val="2E8F1C72"/>
    <w:rsid w:val="2E9D3186"/>
    <w:rsid w:val="2F3155E0"/>
    <w:rsid w:val="2F417517"/>
    <w:rsid w:val="2FE13E53"/>
    <w:rsid w:val="3011436C"/>
    <w:rsid w:val="304C544B"/>
    <w:rsid w:val="306D597F"/>
    <w:rsid w:val="309F1652"/>
    <w:rsid w:val="309F7453"/>
    <w:rsid w:val="30AB0CE7"/>
    <w:rsid w:val="30E233C0"/>
    <w:rsid w:val="30F85563"/>
    <w:rsid w:val="31414A5E"/>
    <w:rsid w:val="31460EE6"/>
    <w:rsid w:val="31511475"/>
    <w:rsid w:val="31592105"/>
    <w:rsid w:val="31A85707"/>
    <w:rsid w:val="31D17198"/>
    <w:rsid w:val="31E41CE9"/>
    <w:rsid w:val="32063522"/>
    <w:rsid w:val="322B245D"/>
    <w:rsid w:val="32373CF1"/>
    <w:rsid w:val="327F1EE7"/>
    <w:rsid w:val="32D21971"/>
    <w:rsid w:val="32EB1216"/>
    <w:rsid w:val="32EE5A1E"/>
    <w:rsid w:val="331F61ED"/>
    <w:rsid w:val="335069BC"/>
    <w:rsid w:val="3351443E"/>
    <w:rsid w:val="337E4009"/>
    <w:rsid w:val="339B5B37"/>
    <w:rsid w:val="340919EE"/>
    <w:rsid w:val="345A26F2"/>
    <w:rsid w:val="345B5F75"/>
    <w:rsid w:val="34874C16"/>
    <w:rsid w:val="34B7500A"/>
    <w:rsid w:val="34DB3F45"/>
    <w:rsid w:val="351608A7"/>
    <w:rsid w:val="355F451E"/>
    <w:rsid w:val="35764143"/>
    <w:rsid w:val="3590276F"/>
    <w:rsid w:val="359A3DA9"/>
    <w:rsid w:val="35EA30BF"/>
    <w:rsid w:val="36286165"/>
    <w:rsid w:val="36386400"/>
    <w:rsid w:val="36476A1A"/>
    <w:rsid w:val="36545D30"/>
    <w:rsid w:val="365537B1"/>
    <w:rsid w:val="36612E47"/>
    <w:rsid w:val="36763CE6"/>
    <w:rsid w:val="37111966"/>
    <w:rsid w:val="379B18CA"/>
    <w:rsid w:val="379D4DCD"/>
    <w:rsid w:val="37DF32B8"/>
    <w:rsid w:val="382B20B3"/>
    <w:rsid w:val="38550CF9"/>
    <w:rsid w:val="388A3751"/>
    <w:rsid w:val="38DA47D5"/>
    <w:rsid w:val="395D152B"/>
    <w:rsid w:val="39964B88"/>
    <w:rsid w:val="3A0F354D"/>
    <w:rsid w:val="3A476F2A"/>
    <w:rsid w:val="3A864490"/>
    <w:rsid w:val="3A954AAB"/>
    <w:rsid w:val="3AAB6C4F"/>
    <w:rsid w:val="3ABF1172"/>
    <w:rsid w:val="3AF328C6"/>
    <w:rsid w:val="3AF44AC4"/>
    <w:rsid w:val="3B1B2786"/>
    <w:rsid w:val="3B8C5043"/>
    <w:rsid w:val="3BF249E7"/>
    <w:rsid w:val="3BF47EEA"/>
    <w:rsid w:val="3C4A2E77"/>
    <w:rsid w:val="3C6472A5"/>
    <w:rsid w:val="3C6B6C2F"/>
    <w:rsid w:val="3CA13886"/>
    <w:rsid w:val="3D0038A0"/>
    <w:rsid w:val="3D6B01F9"/>
    <w:rsid w:val="3D7A3BD6"/>
    <w:rsid w:val="3DE03475"/>
    <w:rsid w:val="3E301A13"/>
    <w:rsid w:val="3E5D15DE"/>
    <w:rsid w:val="3EA55255"/>
    <w:rsid w:val="3EC07104"/>
    <w:rsid w:val="3EE13DB5"/>
    <w:rsid w:val="3FED6871"/>
    <w:rsid w:val="3FEF1D74"/>
    <w:rsid w:val="400C5AA1"/>
    <w:rsid w:val="40261ECE"/>
    <w:rsid w:val="406E4841"/>
    <w:rsid w:val="408753EB"/>
    <w:rsid w:val="409D1B0D"/>
    <w:rsid w:val="40A73721"/>
    <w:rsid w:val="40C355D0"/>
    <w:rsid w:val="40FE08AC"/>
    <w:rsid w:val="410D0EC7"/>
    <w:rsid w:val="412D2573"/>
    <w:rsid w:val="41570042"/>
    <w:rsid w:val="415C44C9"/>
    <w:rsid w:val="4172666D"/>
    <w:rsid w:val="418C706B"/>
    <w:rsid w:val="418D4C98"/>
    <w:rsid w:val="41F60E45"/>
    <w:rsid w:val="42267415"/>
    <w:rsid w:val="422E4822"/>
    <w:rsid w:val="42675C80"/>
    <w:rsid w:val="42CA7F23"/>
    <w:rsid w:val="42CE6929"/>
    <w:rsid w:val="42DB0643"/>
    <w:rsid w:val="42E71A52"/>
    <w:rsid w:val="435B618D"/>
    <w:rsid w:val="43DB5854"/>
    <w:rsid w:val="440C3DB3"/>
    <w:rsid w:val="440C5D17"/>
    <w:rsid w:val="448C7B84"/>
    <w:rsid w:val="44A377A9"/>
    <w:rsid w:val="44C125DD"/>
    <w:rsid w:val="44CF3AF0"/>
    <w:rsid w:val="44DB5385"/>
    <w:rsid w:val="44DC2E06"/>
    <w:rsid w:val="44F22DAC"/>
    <w:rsid w:val="45046549"/>
    <w:rsid w:val="45500BC7"/>
    <w:rsid w:val="455F595E"/>
    <w:rsid w:val="45636562"/>
    <w:rsid w:val="46161889"/>
    <w:rsid w:val="462A632B"/>
    <w:rsid w:val="46390B44"/>
    <w:rsid w:val="467341A1"/>
    <w:rsid w:val="472B71D3"/>
    <w:rsid w:val="477038B4"/>
    <w:rsid w:val="477E5958"/>
    <w:rsid w:val="47D01EDF"/>
    <w:rsid w:val="47D7186A"/>
    <w:rsid w:val="47DC3773"/>
    <w:rsid w:val="481E41DD"/>
    <w:rsid w:val="48683357"/>
    <w:rsid w:val="489D5DB0"/>
    <w:rsid w:val="489E3831"/>
    <w:rsid w:val="48A147B6"/>
    <w:rsid w:val="48CB0E7D"/>
    <w:rsid w:val="48DF429B"/>
    <w:rsid w:val="49300BA2"/>
    <w:rsid w:val="496A1C80"/>
    <w:rsid w:val="49877032"/>
    <w:rsid w:val="498A4734"/>
    <w:rsid w:val="4997184B"/>
    <w:rsid w:val="49AA71E7"/>
    <w:rsid w:val="49E7258A"/>
    <w:rsid w:val="49EE4458"/>
    <w:rsid w:val="49F805EB"/>
    <w:rsid w:val="4A275658"/>
    <w:rsid w:val="4A9216E3"/>
    <w:rsid w:val="4A9D0D79"/>
    <w:rsid w:val="4ABD70AF"/>
    <w:rsid w:val="4AC16A81"/>
    <w:rsid w:val="4AEF1A7C"/>
    <w:rsid w:val="4B085EEF"/>
    <w:rsid w:val="4C1053D7"/>
    <w:rsid w:val="4CF04A45"/>
    <w:rsid w:val="4D19368B"/>
    <w:rsid w:val="4D2A71A9"/>
    <w:rsid w:val="4D3707AE"/>
    <w:rsid w:val="4DC67027"/>
    <w:rsid w:val="4DF34673"/>
    <w:rsid w:val="4DFB1A7F"/>
    <w:rsid w:val="4DFC3C7E"/>
    <w:rsid w:val="4E077A90"/>
    <w:rsid w:val="4E2C69CB"/>
    <w:rsid w:val="4E331BD9"/>
    <w:rsid w:val="4E4C2783"/>
    <w:rsid w:val="4E7613C9"/>
    <w:rsid w:val="4F121247"/>
    <w:rsid w:val="4F1C53DA"/>
    <w:rsid w:val="4F234D65"/>
    <w:rsid w:val="4F236F63"/>
    <w:rsid w:val="4F586138"/>
    <w:rsid w:val="4F5C03C2"/>
    <w:rsid w:val="4FA17831"/>
    <w:rsid w:val="4FED7CB1"/>
    <w:rsid w:val="5000564D"/>
    <w:rsid w:val="504273BB"/>
    <w:rsid w:val="504C7CCA"/>
    <w:rsid w:val="505C5D66"/>
    <w:rsid w:val="5121482B"/>
    <w:rsid w:val="51750A31"/>
    <w:rsid w:val="51EC51F8"/>
    <w:rsid w:val="51F0037B"/>
    <w:rsid w:val="52023B18"/>
    <w:rsid w:val="524D6516"/>
    <w:rsid w:val="52603EB2"/>
    <w:rsid w:val="52995311"/>
    <w:rsid w:val="535C08D2"/>
    <w:rsid w:val="53906106"/>
    <w:rsid w:val="53B15DDD"/>
    <w:rsid w:val="54342B34"/>
    <w:rsid w:val="54B05D00"/>
    <w:rsid w:val="551277D9"/>
    <w:rsid w:val="55163126"/>
    <w:rsid w:val="55256E3A"/>
    <w:rsid w:val="55317553"/>
    <w:rsid w:val="55334C55"/>
    <w:rsid w:val="553426D6"/>
    <w:rsid w:val="557C08CC"/>
    <w:rsid w:val="55A73933"/>
    <w:rsid w:val="55B20DA6"/>
    <w:rsid w:val="5620760E"/>
    <w:rsid w:val="564F3E49"/>
    <w:rsid w:val="56522EAE"/>
    <w:rsid w:val="56663D4D"/>
    <w:rsid w:val="56910414"/>
    <w:rsid w:val="577F481A"/>
    <w:rsid w:val="5782579E"/>
    <w:rsid w:val="57DD0436"/>
    <w:rsid w:val="57E1103B"/>
    <w:rsid w:val="57E532C4"/>
    <w:rsid w:val="57F6191C"/>
    <w:rsid w:val="58083479"/>
    <w:rsid w:val="585A16BE"/>
    <w:rsid w:val="58A73382"/>
    <w:rsid w:val="594C608F"/>
    <w:rsid w:val="598629F0"/>
    <w:rsid w:val="59967408"/>
    <w:rsid w:val="59A4671D"/>
    <w:rsid w:val="5A214DED"/>
    <w:rsid w:val="5AE503AE"/>
    <w:rsid w:val="5B0E1573"/>
    <w:rsid w:val="5B204D10"/>
    <w:rsid w:val="5B821531"/>
    <w:rsid w:val="5B836FB3"/>
    <w:rsid w:val="5B8F2DC6"/>
    <w:rsid w:val="5BD60FBC"/>
    <w:rsid w:val="5BFF0AFB"/>
    <w:rsid w:val="5C5F2E53"/>
    <w:rsid w:val="5C767840"/>
    <w:rsid w:val="5DA03AAA"/>
    <w:rsid w:val="5DD15EBB"/>
    <w:rsid w:val="5DDD008C"/>
    <w:rsid w:val="5E024A48"/>
    <w:rsid w:val="5E540FCF"/>
    <w:rsid w:val="5E5C63DC"/>
    <w:rsid w:val="5E797F0A"/>
    <w:rsid w:val="5EA65556"/>
    <w:rsid w:val="5EA80A59"/>
    <w:rsid w:val="5EC90F8E"/>
    <w:rsid w:val="5F2E6ABA"/>
    <w:rsid w:val="5F523471"/>
    <w:rsid w:val="5F546974"/>
    <w:rsid w:val="5F724DDB"/>
    <w:rsid w:val="5FE926EA"/>
    <w:rsid w:val="60343A63"/>
    <w:rsid w:val="606B613C"/>
    <w:rsid w:val="60CB525C"/>
    <w:rsid w:val="6106379C"/>
    <w:rsid w:val="617306A1"/>
    <w:rsid w:val="61BA4B64"/>
    <w:rsid w:val="61D64494"/>
    <w:rsid w:val="61DF3A9F"/>
    <w:rsid w:val="61EC0BB6"/>
    <w:rsid w:val="61FA594E"/>
    <w:rsid w:val="62CC7D62"/>
    <w:rsid w:val="62CF6C2B"/>
    <w:rsid w:val="62F200E4"/>
    <w:rsid w:val="62F74D38"/>
    <w:rsid w:val="630E4191"/>
    <w:rsid w:val="63180324"/>
    <w:rsid w:val="631B12A8"/>
    <w:rsid w:val="63A9658E"/>
    <w:rsid w:val="6430556D"/>
    <w:rsid w:val="643D2685"/>
    <w:rsid w:val="644C4E9D"/>
    <w:rsid w:val="645B63B1"/>
    <w:rsid w:val="646D53D2"/>
    <w:rsid w:val="649C5F21"/>
    <w:rsid w:val="64A5552C"/>
    <w:rsid w:val="64A864B1"/>
    <w:rsid w:val="64AF38BD"/>
    <w:rsid w:val="64BE0654"/>
    <w:rsid w:val="650D74DA"/>
    <w:rsid w:val="65605FC9"/>
    <w:rsid w:val="656A1DF2"/>
    <w:rsid w:val="65966139"/>
    <w:rsid w:val="65B31E66"/>
    <w:rsid w:val="65DF1F54"/>
    <w:rsid w:val="65E338A9"/>
    <w:rsid w:val="662F5033"/>
    <w:rsid w:val="66496E64"/>
    <w:rsid w:val="66595E77"/>
    <w:rsid w:val="67072B18"/>
    <w:rsid w:val="67113427"/>
    <w:rsid w:val="67172DB2"/>
    <w:rsid w:val="674A6A84"/>
    <w:rsid w:val="678C4F6F"/>
    <w:rsid w:val="689F3B33"/>
    <w:rsid w:val="68A35DBC"/>
    <w:rsid w:val="68C04067"/>
    <w:rsid w:val="68D46074"/>
    <w:rsid w:val="68E27A9F"/>
    <w:rsid w:val="69083562"/>
    <w:rsid w:val="695348DB"/>
    <w:rsid w:val="6978225F"/>
    <w:rsid w:val="69791297"/>
    <w:rsid w:val="6A0E5A38"/>
    <w:rsid w:val="6A2F5543"/>
    <w:rsid w:val="6AC56D3B"/>
    <w:rsid w:val="6AE74CF1"/>
    <w:rsid w:val="6B2774B7"/>
    <w:rsid w:val="6B6C4F4A"/>
    <w:rsid w:val="6B7D2C66"/>
    <w:rsid w:val="6C3F2D24"/>
    <w:rsid w:val="6D3909BE"/>
    <w:rsid w:val="6D4D5460"/>
    <w:rsid w:val="6D812437"/>
    <w:rsid w:val="6D860ABD"/>
    <w:rsid w:val="6DEB6263"/>
    <w:rsid w:val="6E3531DF"/>
    <w:rsid w:val="6E384164"/>
    <w:rsid w:val="6E4147B2"/>
    <w:rsid w:val="6E4C7581"/>
    <w:rsid w:val="6EAF50A7"/>
    <w:rsid w:val="6EB959B7"/>
    <w:rsid w:val="6EC14FC1"/>
    <w:rsid w:val="6EFC26BC"/>
    <w:rsid w:val="6EFC51A7"/>
    <w:rsid w:val="6F1B6955"/>
    <w:rsid w:val="6F31437C"/>
    <w:rsid w:val="6F4B268A"/>
    <w:rsid w:val="6F6D2EDC"/>
    <w:rsid w:val="6FE62BA6"/>
    <w:rsid w:val="6FE80F7C"/>
    <w:rsid w:val="706F1805"/>
    <w:rsid w:val="70C54792"/>
    <w:rsid w:val="70D005A5"/>
    <w:rsid w:val="70E57245"/>
    <w:rsid w:val="716952A0"/>
    <w:rsid w:val="71C233B0"/>
    <w:rsid w:val="721A7FA6"/>
    <w:rsid w:val="73035041"/>
    <w:rsid w:val="73424B26"/>
    <w:rsid w:val="73B57063"/>
    <w:rsid w:val="73E907B7"/>
    <w:rsid w:val="73EB3CBA"/>
    <w:rsid w:val="740238DF"/>
    <w:rsid w:val="742E12AB"/>
    <w:rsid w:val="74466952"/>
    <w:rsid w:val="744765D2"/>
    <w:rsid w:val="74D20734"/>
    <w:rsid w:val="75155D26"/>
    <w:rsid w:val="751759A6"/>
    <w:rsid w:val="75321A53"/>
    <w:rsid w:val="75D2195C"/>
    <w:rsid w:val="75DC446A"/>
    <w:rsid w:val="760A3CB4"/>
    <w:rsid w:val="768F5592"/>
    <w:rsid w:val="76BA6056"/>
    <w:rsid w:val="76EC6D44"/>
    <w:rsid w:val="77222583"/>
    <w:rsid w:val="774C33C7"/>
    <w:rsid w:val="77C431E1"/>
    <w:rsid w:val="77C6528F"/>
    <w:rsid w:val="77DC5234"/>
    <w:rsid w:val="780E3485"/>
    <w:rsid w:val="781C37CF"/>
    <w:rsid w:val="785E6707"/>
    <w:rsid w:val="78792B34"/>
    <w:rsid w:val="78B00715"/>
    <w:rsid w:val="791C7DBF"/>
    <w:rsid w:val="79263F52"/>
    <w:rsid w:val="793A2BF2"/>
    <w:rsid w:val="79CB24E1"/>
    <w:rsid w:val="79F37E22"/>
    <w:rsid w:val="79FD4B66"/>
    <w:rsid w:val="7A3A0597"/>
    <w:rsid w:val="7A614BD3"/>
    <w:rsid w:val="7AC00470"/>
    <w:rsid w:val="7B001259"/>
    <w:rsid w:val="7B5C60F0"/>
    <w:rsid w:val="7BAB16F2"/>
    <w:rsid w:val="7BC57D1D"/>
    <w:rsid w:val="7BF47568"/>
    <w:rsid w:val="7C517901"/>
    <w:rsid w:val="7C62341F"/>
    <w:rsid w:val="7CBB6B9F"/>
    <w:rsid w:val="7D121F3E"/>
    <w:rsid w:val="7D5A5BB5"/>
    <w:rsid w:val="7D6E4856"/>
    <w:rsid w:val="7DCF13F7"/>
    <w:rsid w:val="7E294F89"/>
    <w:rsid w:val="7E4B67C3"/>
    <w:rsid w:val="7EF746DD"/>
    <w:rsid w:val="7F2A25AD"/>
    <w:rsid w:val="7F417FD4"/>
    <w:rsid w:val="7F5F5006"/>
    <w:rsid w:val="7F870749"/>
    <w:rsid w:val="7F987DCA"/>
    <w:rsid w:val="7FA26D74"/>
    <w:rsid w:val="7FC17629"/>
    <w:rsid w:val="7FD01E42"/>
    <w:rsid w:val="7FD36AE7"/>
    <w:rsid w:val="7FDB01D3"/>
    <w:rsid w:val="7FF554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paragraph" w:styleId="3">
    <w:name w:val="heading 3"/>
    <w:next w:val="1"/>
    <w:semiHidden/>
    <w:unhideWhenUsed/>
    <w:qFormat/>
    <w:uiPriority w:val="9"/>
    <w:pPr>
      <w:spacing w:beforeAutospacing="1" w:afterAutospacing="1"/>
      <w:outlineLvl w:val="2"/>
    </w:pPr>
    <w:rPr>
      <w:rFonts w:hint="eastAsia" w:ascii="SimSun" w:hAnsi="SimSun" w:eastAsia="SimSun" w:cs="Times New Roman"/>
      <w:b/>
      <w:bCs/>
      <w:sz w:val="27"/>
      <w:szCs w:val="27"/>
      <w:lang w:val="en-US" w:eastAsia="zh-CN" w:bidi="ar-SA"/>
    </w:rPr>
  </w:style>
  <w:style w:type="paragraph" w:styleId="4">
    <w:name w:val="heading 4"/>
    <w:next w:val="1"/>
    <w:semiHidden/>
    <w:unhideWhenUsed/>
    <w:qFormat/>
    <w:uiPriority w:val="0"/>
    <w:pPr>
      <w:spacing w:beforeAutospacing="1" w:afterAutospacing="1"/>
      <w:outlineLvl w:val="3"/>
    </w:pPr>
    <w:rPr>
      <w:rFonts w:hint="eastAsia" w:ascii="SimSun" w:hAnsi="SimSun" w:eastAsia="SimSun" w:cs="Times New Roman"/>
      <w:b/>
      <w:bCs/>
      <w:sz w:val="24"/>
      <w:szCs w:val="24"/>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Emphasis"/>
    <w:basedOn w:val="5"/>
    <w:qFormat/>
    <w:uiPriority w:val="0"/>
    <w:rPr>
      <w:i/>
      <w:iCs/>
    </w:rPr>
  </w:style>
  <w:style w:type="paragraph" w:styleId="8">
    <w:name w:val="footer"/>
    <w:basedOn w:val="1"/>
    <w:qFormat/>
    <w:uiPriority w:val="0"/>
    <w:pPr>
      <w:tabs>
        <w:tab w:val="center" w:pos="4153"/>
        <w:tab w:val="right" w:pos="8306"/>
      </w:tabs>
      <w:snapToGrid w:val="0"/>
    </w:pPr>
    <w:rPr>
      <w:sz w:val="18"/>
      <w:szCs w:val="18"/>
    </w:rPr>
  </w:style>
  <w:style w:type="paragraph" w:styleId="9">
    <w:name w:val="header"/>
    <w:basedOn w:val="1"/>
    <w:qFormat/>
    <w:uiPriority w:val="0"/>
    <w:pPr>
      <w:tabs>
        <w:tab w:val="center" w:pos="4153"/>
        <w:tab w:val="right" w:pos="8306"/>
      </w:tabs>
      <w:snapToGrid w:val="0"/>
    </w:pPr>
    <w:rPr>
      <w:sz w:val="18"/>
      <w:szCs w:val="18"/>
    </w:rPr>
  </w:style>
  <w:style w:type="character" w:styleId="10">
    <w:name w:val="Hyperlink"/>
    <w:basedOn w:val="5"/>
    <w:qFormat/>
    <w:uiPriority w:val="0"/>
    <w:rPr>
      <w:color w:val="0000FF"/>
      <w:u w:val="single"/>
    </w:rPr>
  </w:style>
  <w:style w:type="paragraph" w:styleId="11">
    <w:name w:val="Normal (Web)"/>
    <w:basedOn w:val="1"/>
    <w:qFormat/>
    <w:uiPriority w:val="0"/>
    <w:rPr>
      <w:sz w:val="24"/>
      <w:szCs w:val="24"/>
    </w:rPr>
  </w:style>
  <w:style w:type="character" w:styleId="12">
    <w:name w:val="Strong"/>
    <w:basedOn w:val="5"/>
    <w:qFormat/>
    <w:uiPriority w:val="0"/>
    <w:rPr>
      <w:b/>
      <w:bCs/>
    </w:rPr>
  </w:style>
  <w:style w:type="table" w:styleId="13">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Heading 1 Char"/>
    <w:link w:val="2"/>
    <w:qFormat/>
    <w:uiPriority w:val="0"/>
    <w:rPr>
      <w:b/>
      <w:bCs/>
      <w:kern w:val="44"/>
      <w:sz w:val="44"/>
      <w:szCs w:val="44"/>
    </w:rPr>
  </w:style>
  <w:style w:type="character" w:customStyle="1" w:styleId="15">
    <w:name w:val="Unresolved Mention"/>
    <w:basedOn w:val="5"/>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4351</Words>
  <Characters>24803</Characters>
  <Lines>206</Lines>
  <Paragraphs>58</Paragraphs>
  <TotalTime>8</TotalTime>
  <ScaleCrop>false</ScaleCrop>
  <LinksUpToDate>false</LinksUpToDate>
  <CharactersWithSpaces>29096</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2025-09-17T04:01:00Z</dcterms:created>
  <dc:creator>Rumana Pervin</dc:creator>
  <cp:lastModifiedBy>Rumana Pervin</cp:lastModifiedBy>
  <dcterms:modified xsi:type="dcterms:W3CDTF">2025-11-28T06:06:33Z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E4014527A2EF456980F05FD393C4063F_13</vt:lpwstr>
  </property>
</Properties>
</file>