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38A0D" w14:textId="3116E302" w:rsidR="00203B96" w:rsidRPr="00245108" w:rsidRDefault="00432CC3" w:rsidP="00432CC3">
      <w:pPr>
        <w:jc w:val="center"/>
        <w:rPr>
          <w:rFonts w:ascii="Times New Roman" w:hAnsi="Times New Roman" w:cs="Times New Roman"/>
          <w:b/>
          <w:bCs/>
          <w:sz w:val="28"/>
          <w:szCs w:val="28"/>
        </w:rPr>
      </w:pPr>
      <w:r w:rsidRPr="00245108">
        <w:rPr>
          <w:rFonts w:ascii="Times New Roman" w:hAnsi="Times New Roman" w:cs="Times New Roman"/>
          <w:b/>
          <w:bCs/>
          <w:sz w:val="28"/>
          <w:szCs w:val="28"/>
        </w:rPr>
        <w:t xml:space="preserve">Toward Equitable Village Fund Allocation Based on Local Development </w:t>
      </w:r>
      <w:proofErr w:type="gramStart"/>
      <w:r w:rsidRPr="00245108">
        <w:rPr>
          <w:rFonts w:ascii="Times New Roman" w:hAnsi="Times New Roman" w:cs="Times New Roman"/>
          <w:b/>
          <w:bCs/>
          <w:sz w:val="28"/>
          <w:szCs w:val="28"/>
        </w:rPr>
        <w:t>Potential</w:t>
      </w:r>
      <w:r w:rsidR="00FC7486">
        <w:rPr>
          <w:rFonts w:ascii="Times New Roman" w:hAnsi="Times New Roman" w:cs="Times New Roman"/>
          <w:b/>
          <w:bCs/>
          <w:sz w:val="28"/>
          <w:szCs w:val="28"/>
        </w:rPr>
        <w:t xml:space="preserve"> </w:t>
      </w:r>
      <w:r w:rsidRPr="00245108">
        <w:rPr>
          <w:rFonts w:ascii="Times New Roman" w:hAnsi="Times New Roman" w:cs="Times New Roman"/>
          <w:b/>
          <w:bCs/>
          <w:sz w:val="28"/>
          <w:szCs w:val="28"/>
        </w:rPr>
        <w:t xml:space="preserve"> from</w:t>
      </w:r>
      <w:proofErr w:type="gramEnd"/>
      <w:r w:rsidRPr="00245108">
        <w:rPr>
          <w:rFonts w:ascii="Times New Roman" w:hAnsi="Times New Roman" w:cs="Times New Roman"/>
          <w:b/>
          <w:bCs/>
          <w:sz w:val="28"/>
          <w:szCs w:val="28"/>
        </w:rPr>
        <w:t xml:space="preserve"> Biru-Biru district, Deli Serdang, Indonesia</w:t>
      </w:r>
    </w:p>
    <w:p w14:paraId="766526F3" w14:textId="77777777" w:rsidR="00432CC3" w:rsidRDefault="00432CC3" w:rsidP="00432CC3">
      <w:pPr>
        <w:rPr>
          <w:rFonts w:ascii="Times New Roman" w:hAnsi="Times New Roman" w:cs="Times New Roman"/>
        </w:rPr>
      </w:pPr>
    </w:p>
    <w:p w14:paraId="170B18B5" w14:textId="7BC596A5" w:rsidR="00432CC3" w:rsidRPr="00432CC3" w:rsidRDefault="00432CC3" w:rsidP="00432CC3">
      <w:pPr>
        <w:jc w:val="center"/>
        <w:rPr>
          <w:rFonts w:ascii="Times New Roman" w:hAnsi="Times New Roman" w:cs="Times New Roman"/>
          <w:b/>
          <w:bCs/>
        </w:rPr>
      </w:pPr>
      <w:r>
        <w:rPr>
          <w:rFonts w:ascii="Times New Roman" w:hAnsi="Times New Roman" w:cs="Times New Roman"/>
          <w:b/>
          <w:bCs/>
        </w:rPr>
        <w:t>Abstract</w:t>
      </w:r>
    </w:p>
    <w:p w14:paraId="13E275E0" w14:textId="5389C494" w:rsidR="00432CC3" w:rsidRDefault="00FC7486" w:rsidP="00432CC3">
      <w:pPr>
        <w:jc w:val="both"/>
        <w:rPr>
          <w:rFonts w:ascii="Times New Roman" w:hAnsi="Times New Roman" w:cs="Times New Roman"/>
        </w:rPr>
      </w:pPr>
      <w:r w:rsidRPr="00FC7486">
        <w:rPr>
          <w:rFonts w:ascii="Times New Roman" w:hAnsi="Times New Roman" w:cs="Times New Roman"/>
          <w:highlight w:val="yellow"/>
        </w:rPr>
        <w:t xml:space="preserve">Indonesia’s Village Fund (Dana Desa) has transformed rural public finance by transferring substantial resources to villages and expanding local discretion under the Village Law. However, allocation and spending practices often remain weakly aligned with heterogeneous village potentials and binding constraints, particularly in peri-urban–rural districts where accessibility and service quality vary sharply. This article develops an equity-oriented, potential-based allocation framework and demonstrates its use in Biru-Biru Subdistrict, Deli Serdang Regency, North Sumatra. Using a </w:t>
      </w:r>
      <w:r w:rsidRPr="00FC7486">
        <w:rPr>
          <w:rFonts w:ascii="Times New Roman" w:hAnsi="Times New Roman" w:cs="Times New Roman"/>
          <w:b/>
          <w:bCs/>
          <w:highlight w:val="yellow"/>
        </w:rPr>
        <w:t>mixed-methods</w:t>
      </w:r>
      <w:r w:rsidRPr="00FC7486">
        <w:rPr>
          <w:rFonts w:ascii="Times New Roman" w:hAnsi="Times New Roman" w:cs="Times New Roman"/>
          <w:highlight w:val="yellow"/>
        </w:rPr>
        <w:t xml:space="preserve"> approach that combines stakeholder interviews, community survey responses, field observation, and secondary administrative and statistical data, we map village potentials (agriculture, tourism, local enterprises) and constraints (roads, bridges, terrain, and institutional capacity). A SWOT-based strategic diagnosis is then applied to prioritize policy actions and position the subdistrict’s development stance. Findings indicate that while stronger villages may attract marginally larger shares, several geographically constrained villages continue to face infrastructure deficits that suppress economic potential. The recommended strategy emphasizes growth-oriented but equity-sensitive investment: improving last-mile connectivity, strengthening participatory planning and oversight, upgrading village financial information systems, and building local capacity to reduce reliance on external facilitators. The article contributes a practical planning logic for aligning inter-village transfers with measurable potentials and constraints, supporting more inclusive and accountable rural development outcomes in Indonesian villages</w:t>
      </w:r>
      <w:r w:rsidR="00432CC3" w:rsidRPr="00FC7486">
        <w:rPr>
          <w:rFonts w:ascii="Times New Roman" w:hAnsi="Times New Roman" w:cs="Times New Roman"/>
          <w:highlight w:val="yellow"/>
        </w:rPr>
        <w:t>.</w:t>
      </w:r>
    </w:p>
    <w:p w14:paraId="49E58ED9" w14:textId="7F8F9C73" w:rsidR="00432CC3" w:rsidRPr="00432CC3" w:rsidRDefault="00432CC3" w:rsidP="00432CC3">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Village fund, Urban Area, SWOT, </w:t>
      </w:r>
      <w:r w:rsidR="004D126A" w:rsidRPr="004D126A">
        <w:rPr>
          <w:rFonts w:ascii="Times New Roman" w:hAnsi="Times New Roman" w:cs="Times New Roman"/>
        </w:rPr>
        <w:t>financial</w:t>
      </w:r>
    </w:p>
    <w:p w14:paraId="511C2137" w14:textId="54882D2B" w:rsidR="00432CC3" w:rsidRPr="00432CC3" w:rsidRDefault="00432CC3" w:rsidP="00432CC3">
      <w:pPr>
        <w:rPr>
          <w:rFonts w:ascii="Times New Roman" w:hAnsi="Times New Roman" w:cs="Times New Roman"/>
          <w:b/>
          <w:bCs/>
        </w:rPr>
      </w:pPr>
      <w:r w:rsidRPr="00432CC3">
        <w:rPr>
          <w:rFonts w:ascii="Times New Roman" w:hAnsi="Times New Roman" w:cs="Times New Roman"/>
          <w:b/>
          <w:bCs/>
        </w:rPr>
        <w:t>Introduction</w:t>
      </w:r>
      <w:r>
        <w:rPr>
          <w:rFonts w:ascii="Times New Roman" w:hAnsi="Times New Roman" w:cs="Times New Roman"/>
          <w:b/>
          <w:bCs/>
        </w:rPr>
        <w:t xml:space="preserve">  </w:t>
      </w:r>
    </w:p>
    <w:p w14:paraId="3F3312B9"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Fiscal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is often promoted as a route to more inclusive growth because local governments can tailor spending to local preferences and needs. Yet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does not automatically reduce inequality, especially when territorial disparities in capacity, geography, and infrastructure are large. Intergovernmental transfer design and local accountability mechanisms strongly shape whether </w:t>
      </w:r>
      <w:proofErr w:type="spellStart"/>
      <w:r w:rsidRPr="00432CC3">
        <w:rPr>
          <w:rFonts w:ascii="Times New Roman" w:hAnsi="Times New Roman" w:cs="Times New Roman"/>
        </w:rPr>
        <w:t>decentralised</w:t>
      </w:r>
      <w:proofErr w:type="spellEnd"/>
      <w:r w:rsidRPr="00432CC3">
        <w:rPr>
          <w:rFonts w:ascii="Times New Roman" w:hAnsi="Times New Roman" w:cs="Times New Roman"/>
        </w:rPr>
        <w:t xml:space="preserve"> spending improves equity. Evidence from comparative research suggests that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can enhance government quality, but outcomes vary by institutional context and incentives. These tensions motivate policy frameworks that balance growth and equity across unequal places (OECD, 2018; </w:t>
      </w:r>
      <w:proofErr w:type="spellStart"/>
      <w:r w:rsidRPr="00432CC3">
        <w:rPr>
          <w:rFonts w:ascii="Times New Roman" w:hAnsi="Times New Roman" w:cs="Times New Roman"/>
        </w:rPr>
        <w:t>Kyriacou</w:t>
      </w:r>
      <w:proofErr w:type="spellEnd"/>
      <w:r w:rsidRPr="00432CC3">
        <w:rPr>
          <w:rFonts w:ascii="Times New Roman" w:hAnsi="Times New Roman" w:cs="Times New Roman"/>
        </w:rPr>
        <w:t xml:space="preserve"> &amp; Roca-</w:t>
      </w:r>
      <w:proofErr w:type="spellStart"/>
      <w:r w:rsidRPr="00432CC3">
        <w:rPr>
          <w:rFonts w:ascii="Times New Roman" w:hAnsi="Times New Roman" w:cs="Times New Roman"/>
        </w:rPr>
        <w:t>Sagalés</w:t>
      </w:r>
      <w:proofErr w:type="spellEnd"/>
      <w:r w:rsidRPr="00432CC3">
        <w:rPr>
          <w:rFonts w:ascii="Times New Roman" w:hAnsi="Times New Roman" w:cs="Times New Roman"/>
        </w:rPr>
        <w:t>, 2011).</w:t>
      </w:r>
    </w:p>
    <w:p w14:paraId="25621195"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Across Asia,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reforms have expanded subnational responsibilities in infrastructure, social services, and poverty reduction, making local fiscal systems central to inclusive development. However, disparities across subnational units can widen if transfer systems do not </w:t>
      </w:r>
      <w:r w:rsidRPr="00432CC3">
        <w:rPr>
          <w:rFonts w:ascii="Times New Roman" w:hAnsi="Times New Roman" w:cs="Times New Roman"/>
        </w:rPr>
        <w:lastRenderedPageBreak/>
        <w:t xml:space="preserve">compensate for uneven starting conditions. The literature </w:t>
      </w:r>
      <w:proofErr w:type="spellStart"/>
      <w:r w:rsidRPr="00432CC3">
        <w:rPr>
          <w:rFonts w:ascii="Times New Roman" w:hAnsi="Times New Roman" w:cs="Times New Roman"/>
        </w:rPr>
        <w:t>emphasises</w:t>
      </w:r>
      <w:proofErr w:type="spellEnd"/>
      <w:r w:rsidRPr="00432CC3">
        <w:rPr>
          <w:rFonts w:ascii="Times New Roman" w:hAnsi="Times New Roman" w:cs="Times New Roman"/>
        </w:rPr>
        <w:t xml:space="preserve"> that “getting institutions right” and improving intergovernmental fiscal design are critical for inclusive outcomes. This is particularly relevant for emerging economies where fiscal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is still evolving and local administrative capacity remains uneven. Indonesia’s rural regions exemplify this challenge as development gaps persist between communities with different access to markets and services (OECD &amp; KIPF, 2019; World Bank, 2025).</w:t>
      </w:r>
    </w:p>
    <w:p w14:paraId="3E495AD2" w14:textId="3B84420C" w:rsidR="00432CC3" w:rsidRPr="00432CC3" w:rsidRDefault="00432CC3" w:rsidP="00432CC3">
      <w:pPr>
        <w:jc w:val="both"/>
        <w:rPr>
          <w:rFonts w:ascii="Times New Roman" w:hAnsi="Times New Roman" w:cs="Times New Roman"/>
        </w:rPr>
      </w:pPr>
      <w:r w:rsidRPr="00432CC3">
        <w:rPr>
          <w:rFonts w:ascii="Times New Roman" w:hAnsi="Times New Roman" w:cs="Times New Roman"/>
        </w:rPr>
        <w:t>Indonesia’s Village Law created a significant governance shift by strengthening village authority in local administration, development implementation, and community empowerment. The law aims to enable villages to plan and manage development priorities that reflect local needs and initiatives</w:t>
      </w:r>
      <w:r w:rsidR="00FC7486">
        <w:rPr>
          <w:rFonts w:ascii="Times New Roman" w:hAnsi="Times New Roman" w:cs="Times New Roman"/>
        </w:rPr>
        <w:t xml:space="preserve"> </w:t>
      </w:r>
      <w:r w:rsidR="008B6FF1">
        <w:rPr>
          <w:rFonts w:ascii="Times New Roman" w:hAnsi="Times New Roman" w:cs="Times New Roman"/>
        </w:rPr>
        <w:t>(Taya, 20</w:t>
      </w:r>
      <w:r w:rsidRPr="00432CC3">
        <w:rPr>
          <w:rFonts w:ascii="Times New Roman" w:hAnsi="Times New Roman" w:cs="Times New Roman"/>
        </w:rPr>
        <w:t>. In principle, this legal framework supports bottom-up decision-making and responsiveness at the village level. In practice, the promise of autonomy depends on whether fiscal resources and local institutions are aligned with local development priorities. The Village Law therefore provides both an enabling mandate and a demanding institutional agenda for village governments (Republic of Indonesia, 2014</w:t>
      </w:r>
      <w:r w:rsidR="008B6FF1">
        <w:rPr>
          <w:rFonts w:ascii="Times New Roman" w:hAnsi="Times New Roman" w:cs="Times New Roman"/>
        </w:rPr>
        <w:t xml:space="preserve">; </w:t>
      </w:r>
      <w:proofErr w:type="spellStart"/>
      <w:r w:rsidR="008B6FF1">
        <w:rPr>
          <w:rFonts w:ascii="Times New Roman" w:hAnsi="Times New Roman" w:cs="Times New Roman"/>
        </w:rPr>
        <w:t>Vaneysha</w:t>
      </w:r>
      <w:proofErr w:type="spellEnd"/>
      <w:r w:rsidR="008B6FF1">
        <w:rPr>
          <w:rFonts w:ascii="Times New Roman" w:hAnsi="Times New Roman" w:cs="Times New Roman"/>
        </w:rPr>
        <w:t>, 2025</w:t>
      </w:r>
      <w:r w:rsidRPr="00432CC3">
        <w:rPr>
          <w:rFonts w:ascii="Times New Roman" w:hAnsi="Times New Roman" w:cs="Times New Roman"/>
        </w:rPr>
        <w:t>).</w:t>
      </w:r>
    </w:p>
    <w:p w14:paraId="1F2DEE07"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The Village Fund (Dana Desa) became the flagship fiscal instrument to </w:t>
      </w:r>
      <w:proofErr w:type="spellStart"/>
      <w:r w:rsidRPr="00432CC3">
        <w:rPr>
          <w:rFonts w:ascii="Times New Roman" w:hAnsi="Times New Roman" w:cs="Times New Roman"/>
        </w:rPr>
        <w:t>operationalise</w:t>
      </w:r>
      <w:proofErr w:type="spellEnd"/>
      <w:r w:rsidRPr="00432CC3">
        <w:rPr>
          <w:rFonts w:ascii="Times New Roman" w:hAnsi="Times New Roman" w:cs="Times New Roman"/>
        </w:rPr>
        <w:t xml:space="preserve"> village autonomy by transferring substantial state budget resources to villages. Policy intent is closely linked to improving public services, reducing poverty, and addressing disparities between villages through development and empowerment spending. Recent discussions on village finance also highlight evolving allocation components—such as basic, formula-based, and performance-based transfers—intended to balance </w:t>
      </w:r>
      <w:proofErr w:type="spellStart"/>
      <w:r w:rsidRPr="00432CC3">
        <w:rPr>
          <w:rFonts w:ascii="Times New Roman" w:hAnsi="Times New Roman" w:cs="Times New Roman"/>
        </w:rPr>
        <w:t>equalisation</w:t>
      </w:r>
      <w:proofErr w:type="spellEnd"/>
      <w:r w:rsidRPr="00432CC3">
        <w:rPr>
          <w:rFonts w:ascii="Times New Roman" w:hAnsi="Times New Roman" w:cs="Times New Roman"/>
        </w:rPr>
        <w:t xml:space="preserve"> and incentives. At the same time, empirical studies show mixed effects across contexts, suggesting that local conditions and implementation quality matter. These realities underscore the need for allocation logic that is sensitive to village heterogeneity (</w:t>
      </w:r>
      <w:proofErr w:type="spellStart"/>
      <w:r w:rsidRPr="00432CC3">
        <w:rPr>
          <w:rFonts w:ascii="Times New Roman" w:hAnsi="Times New Roman" w:cs="Times New Roman"/>
        </w:rPr>
        <w:t>Hilmawan</w:t>
      </w:r>
      <w:proofErr w:type="spellEnd"/>
      <w:r w:rsidRPr="00432CC3">
        <w:rPr>
          <w:rFonts w:ascii="Times New Roman" w:hAnsi="Times New Roman" w:cs="Times New Roman"/>
        </w:rPr>
        <w:t xml:space="preserve"> et al., 2023; Ministry of Finance of the Republic of Indonesia, 2024).</w:t>
      </w:r>
    </w:p>
    <w:p w14:paraId="40113DD0"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A central policy dilemma lies in how to distribute funds fairly when villages differ in population, poverty incidence, land area, and geographical difficulty. Early allocation designs tended to </w:t>
      </w:r>
      <w:proofErr w:type="spellStart"/>
      <w:r w:rsidRPr="00432CC3">
        <w:rPr>
          <w:rFonts w:ascii="Times New Roman" w:hAnsi="Times New Roman" w:cs="Times New Roman"/>
        </w:rPr>
        <w:t>emphasise</w:t>
      </w:r>
      <w:proofErr w:type="spellEnd"/>
      <w:r w:rsidRPr="00432CC3">
        <w:rPr>
          <w:rFonts w:ascii="Times New Roman" w:hAnsi="Times New Roman" w:cs="Times New Roman"/>
        </w:rPr>
        <w:t xml:space="preserve"> relatively even basic allocations, which can improve predictability but may under-respond to structural disadvantages in remote or high-cost villages. Subsequent reforms introduced affirmative and performance components to better target need and reward results, yet debates remain about whether these components are sufficiently effective and well-calibrated. Policy analysis has also argued that performance incentives should be paired with better indicators and the systematic integration of village potential data into allocation decisions. In short, equity-oriented transfer design must also be information-oriented (Adji et al., 2019; Saragi, 2021).</w:t>
      </w:r>
    </w:p>
    <w:p w14:paraId="707D2209"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Empirical evidence illustrates both progress and persistent gaps in the Village Fund’s development impacts. Village funds are frequently associated with expanded rural infrastructure and village economic activity, but the magnitude of poverty reduction can be limited when spending concentrates on physical outputs without resolving binding constraints or strengthening local institutions. Village-level studies also show that the relationship between transfers and development outcomes is mediated by village original income, village-owned enterprises, and </w:t>
      </w:r>
      <w:r w:rsidRPr="00432CC3">
        <w:rPr>
          <w:rFonts w:ascii="Times New Roman" w:hAnsi="Times New Roman" w:cs="Times New Roman"/>
        </w:rPr>
        <w:lastRenderedPageBreak/>
        <w:t xml:space="preserve">local fiscal performance. In poorer regions, improvements in village development status can occur alongside ongoing vulnerability, indicating that outcomes are highly context-dependent. These findings strengthen the argument that “one-size-fits-all” allocation may miss local drivers of welfare gains (Yusuf &amp; </w:t>
      </w:r>
      <w:proofErr w:type="spellStart"/>
      <w:r w:rsidRPr="00432CC3">
        <w:rPr>
          <w:rFonts w:ascii="Times New Roman" w:hAnsi="Times New Roman" w:cs="Times New Roman"/>
        </w:rPr>
        <w:t>Khoirunurrofik</w:t>
      </w:r>
      <w:proofErr w:type="spellEnd"/>
      <w:r w:rsidRPr="00432CC3">
        <w:rPr>
          <w:rFonts w:ascii="Times New Roman" w:hAnsi="Times New Roman" w:cs="Times New Roman"/>
        </w:rPr>
        <w:t xml:space="preserve">, 2022; </w:t>
      </w:r>
      <w:proofErr w:type="spellStart"/>
      <w:r w:rsidRPr="00432CC3">
        <w:rPr>
          <w:rFonts w:ascii="Times New Roman" w:hAnsi="Times New Roman" w:cs="Times New Roman"/>
        </w:rPr>
        <w:t>Zahara</w:t>
      </w:r>
      <w:proofErr w:type="spellEnd"/>
      <w:r w:rsidRPr="00432CC3">
        <w:rPr>
          <w:rFonts w:ascii="Times New Roman" w:hAnsi="Times New Roman" w:cs="Times New Roman"/>
        </w:rPr>
        <w:t xml:space="preserve"> et al., 2024).</w:t>
      </w:r>
    </w:p>
    <w:p w14:paraId="0B8FAC6F" w14:textId="64C7FD2E" w:rsidR="00432CC3" w:rsidRPr="00432CC3" w:rsidRDefault="00432CC3" w:rsidP="00432CC3">
      <w:pPr>
        <w:jc w:val="both"/>
        <w:rPr>
          <w:rFonts w:ascii="Times New Roman" w:hAnsi="Times New Roman" w:cs="Times New Roman"/>
        </w:rPr>
      </w:pPr>
      <w:r w:rsidRPr="00432CC3">
        <w:rPr>
          <w:rFonts w:ascii="Times New Roman" w:hAnsi="Times New Roman" w:cs="Times New Roman"/>
        </w:rPr>
        <w:t>Governance quality is equally decisive because village autonomy expands discretion while also expanding opportunities for coordination failures and weak oversight</w:t>
      </w:r>
      <w:r w:rsidR="00FC7486">
        <w:rPr>
          <w:rFonts w:ascii="Times New Roman" w:hAnsi="Times New Roman" w:cs="Times New Roman"/>
        </w:rPr>
        <w:t xml:space="preserve"> (</w:t>
      </w:r>
      <w:proofErr w:type="spellStart"/>
      <w:r w:rsidR="00FC7486">
        <w:rPr>
          <w:rFonts w:ascii="Times New Roman" w:hAnsi="Times New Roman" w:cs="Times New Roman"/>
        </w:rPr>
        <w:t>Saptayuda</w:t>
      </w:r>
      <w:proofErr w:type="spellEnd"/>
      <w:r w:rsidR="00FC7486">
        <w:rPr>
          <w:rFonts w:ascii="Times New Roman" w:hAnsi="Times New Roman" w:cs="Times New Roman"/>
        </w:rPr>
        <w:t>, 2024)</w:t>
      </w:r>
      <w:r w:rsidRPr="00432CC3">
        <w:rPr>
          <w:rFonts w:ascii="Times New Roman" w:hAnsi="Times New Roman" w:cs="Times New Roman"/>
        </w:rPr>
        <w:t>. Field evidence indicates that community participation, transparency, and accountability can be constrained by limited role clarity and technical capacity among village actors. Frequent regulatory changes and administrative complexity can also create confusion and reduce the strategic quality of planning and budgeting</w:t>
      </w:r>
      <w:r w:rsidR="008A4715">
        <w:rPr>
          <w:rFonts w:ascii="Times New Roman" w:hAnsi="Times New Roman" w:cs="Times New Roman"/>
        </w:rPr>
        <w:t xml:space="preserve"> (Lubis, 2024)</w:t>
      </w:r>
      <w:r w:rsidRPr="00432CC3">
        <w:rPr>
          <w:rFonts w:ascii="Times New Roman" w:hAnsi="Times New Roman" w:cs="Times New Roman"/>
        </w:rPr>
        <w:t>. In some settings, participatory forums may be vulnerable to elite capture, which undermines distributive fairness and weakens legitimacy. These risks make equity-based allocation inseparable from governance strengthening (World Bank, 2023; Ginting, 2024).</w:t>
      </w:r>
    </w:p>
    <w:p w14:paraId="21D6C6DD"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Because village conditions differ sharply, equitable allocation should be tied to measurable development potential and constraints rather than relying solely on uniform shares. Potential-based approaches </w:t>
      </w:r>
      <w:proofErr w:type="spellStart"/>
      <w:r w:rsidRPr="00432CC3">
        <w:rPr>
          <w:rFonts w:ascii="Times New Roman" w:hAnsi="Times New Roman" w:cs="Times New Roman"/>
        </w:rPr>
        <w:t>emphasise</w:t>
      </w:r>
      <w:proofErr w:type="spellEnd"/>
      <w:r w:rsidRPr="00432CC3">
        <w:rPr>
          <w:rFonts w:ascii="Times New Roman" w:hAnsi="Times New Roman" w:cs="Times New Roman"/>
        </w:rPr>
        <w:t xml:space="preserve"> aligning transfers with local assets (e.g., agriculture, tourism, microenterprise) while targeting constraints that suppress returns (e.g., poor last-mile connectivity, fragile institutions). Policy briefs on village fund reform recommend integrating annual village potential data with village financial statistics to improve both targeting and accountability. This perspective reframes equity not as “equal amounts” but as “equal opportunity to convert funds into outcomes.” In this sense, potential-based allocation becomes a practical bridge between growth and inclusion (Adji et al., 2019; OECD, 2018).</w:t>
      </w:r>
    </w:p>
    <w:p w14:paraId="4797CA07"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This article adopts that bridge by focusing on an equity-oriented allocation logic that </w:t>
      </w:r>
      <w:proofErr w:type="spellStart"/>
      <w:r w:rsidRPr="00432CC3">
        <w:rPr>
          <w:rFonts w:ascii="Times New Roman" w:hAnsi="Times New Roman" w:cs="Times New Roman"/>
        </w:rPr>
        <w:t>prioritises</w:t>
      </w:r>
      <w:proofErr w:type="spellEnd"/>
      <w:r w:rsidRPr="00432CC3">
        <w:rPr>
          <w:rFonts w:ascii="Times New Roman" w:hAnsi="Times New Roman" w:cs="Times New Roman"/>
        </w:rPr>
        <w:t xml:space="preserve"> binding constraints and leverages local strengths. The approach is consistent with evidence that village deliberation processes shape spending priorities and that outcomes depend on how well those priorities fit local economic structures. At the same time, it </w:t>
      </w:r>
      <w:proofErr w:type="spellStart"/>
      <w:r w:rsidRPr="00432CC3">
        <w:rPr>
          <w:rFonts w:ascii="Times New Roman" w:hAnsi="Times New Roman" w:cs="Times New Roman"/>
        </w:rPr>
        <w:t>recognises</w:t>
      </w:r>
      <w:proofErr w:type="spellEnd"/>
      <w:r w:rsidRPr="00432CC3">
        <w:rPr>
          <w:rFonts w:ascii="Times New Roman" w:hAnsi="Times New Roman" w:cs="Times New Roman"/>
        </w:rPr>
        <w:t xml:space="preserve"> that stronger information systems and monitoring are needed so that </w:t>
      </w:r>
      <w:proofErr w:type="spellStart"/>
      <w:r w:rsidRPr="00432CC3">
        <w:rPr>
          <w:rFonts w:ascii="Times New Roman" w:hAnsi="Times New Roman" w:cs="Times New Roman"/>
        </w:rPr>
        <w:t>prioritisation</w:t>
      </w:r>
      <w:proofErr w:type="spellEnd"/>
      <w:r w:rsidRPr="00432CC3">
        <w:rPr>
          <w:rFonts w:ascii="Times New Roman" w:hAnsi="Times New Roman" w:cs="Times New Roman"/>
        </w:rPr>
        <w:t xml:space="preserve"> is not merely procedural but substantively strategic. Consequently, the analysis combines development-potential mapping with strategic diagnosis to formulate implementable policy directions. The goal is to support a planning rationale that is locally grounded and fiscally coherent (Yusuf &amp; </w:t>
      </w:r>
      <w:proofErr w:type="spellStart"/>
      <w:r w:rsidRPr="00432CC3">
        <w:rPr>
          <w:rFonts w:ascii="Times New Roman" w:hAnsi="Times New Roman" w:cs="Times New Roman"/>
        </w:rPr>
        <w:t>Khoirunurrofik</w:t>
      </w:r>
      <w:proofErr w:type="spellEnd"/>
      <w:r w:rsidRPr="00432CC3">
        <w:rPr>
          <w:rFonts w:ascii="Times New Roman" w:hAnsi="Times New Roman" w:cs="Times New Roman"/>
        </w:rPr>
        <w:t>, 2022; World Bank, 2023).</w:t>
      </w:r>
    </w:p>
    <w:p w14:paraId="252E3BCC" w14:textId="04CFB548" w:rsidR="00432CC3" w:rsidRPr="00432CC3" w:rsidRDefault="00FC7486" w:rsidP="00432CC3">
      <w:pPr>
        <w:jc w:val="both"/>
        <w:rPr>
          <w:rFonts w:ascii="Times New Roman" w:hAnsi="Times New Roman" w:cs="Times New Roman"/>
        </w:rPr>
      </w:pPr>
      <w:r w:rsidRPr="00FC7486">
        <w:rPr>
          <w:rFonts w:ascii="Times New Roman" w:hAnsi="Times New Roman" w:cs="Times New Roman"/>
          <w:highlight w:val="yellow"/>
        </w:rPr>
        <w:t xml:space="preserve">This manuscript contributes to the scientific community by offering an applied, evidence-based framework for aligning Village Fund allocation with local development potential and binding constraints in a decentralized governance setting. It strengthens place-based rural development and fiscal equalization discussions by showing why “uniform” spending templates may reproduce disparities when villages face different cost-to-serve and accessibility conditions. The Biru-Biru case provides empirically grounded insights into how equity-sensitive prioritization can improve accountability and the effectiveness of rural public investment. The approach is transferable to </w:t>
      </w:r>
      <w:r w:rsidRPr="00FC7486">
        <w:rPr>
          <w:rFonts w:ascii="Times New Roman" w:hAnsi="Times New Roman" w:cs="Times New Roman"/>
          <w:highlight w:val="yellow"/>
        </w:rPr>
        <w:lastRenderedPageBreak/>
        <w:t xml:space="preserve">other districts seeking to operationalize inclusive growth through targeted inter-village transfers </w:t>
      </w:r>
      <w:r w:rsidR="00432CC3" w:rsidRPr="00FC7486">
        <w:rPr>
          <w:rFonts w:ascii="Times New Roman" w:hAnsi="Times New Roman" w:cs="Times New Roman"/>
          <w:highlight w:val="yellow"/>
        </w:rPr>
        <w:t>(Republic of Indonesia, 2014; Ministry of Finance of the Republic of Indonesia, 2024).</w:t>
      </w:r>
    </w:p>
    <w:p w14:paraId="1AB726E1" w14:textId="662142DC"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II. </w:t>
      </w:r>
      <w:r w:rsidRPr="009E2678">
        <w:rPr>
          <w:rFonts w:ascii="Times New Roman" w:hAnsi="Times New Roman" w:cs="Times New Roman"/>
          <w:b/>
          <w:bCs/>
        </w:rPr>
        <w:t>Methodology</w:t>
      </w:r>
    </w:p>
    <w:p w14:paraId="7F5B554F" w14:textId="0B62FFFC"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2.1 </w:t>
      </w:r>
      <w:r w:rsidRPr="009E2678">
        <w:rPr>
          <w:rFonts w:ascii="Times New Roman" w:hAnsi="Times New Roman" w:cs="Times New Roman"/>
          <w:b/>
          <w:bCs/>
        </w:rPr>
        <w:t>Research Design</w:t>
      </w:r>
    </w:p>
    <w:p w14:paraId="6DE4B427" w14:textId="4082250B" w:rsidR="009E2678" w:rsidRPr="009E2678" w:rsidRDefault="009E2678" w:rsidP="009E2678">
      <w:pPr>
        <w:jc w:val="both"/>
        <w:rPr>
          <w:rFonts w:ascii="Times New Roman" w:hAnsi="Times New Roman" w:cs="Times New Roman"/>
        </w:rPr>
      </w:pPr>
      <w:r w:rsidRPr="009E2678">
        <w:rPr>
          <w:rFonts w:ascii="Times New Roman" w:hAnsi="Times New Roman" w:cs="Times New Roman"/>
        </w:rPr>
        <w:t xml:space="preserve">This study employed an exploratory, </w:t>
      </w:r>
      <w:r w:rsidRPr="009E2678">
        <w:rPr>
          <w:rFonts w:ascii="Times New Roman" w:hAnsi="Times New Roman" w:cs="Times New Roman"/>
          <w:i/>
          <w:iCs/>
        </w:rPr>
        <w:t>revealing-knowledge</w:t>
      </w:r>
      <w:r w:rsidRPr="009E2678">
        <w:rPr>
          <w:rFonts w:ascii="Times New Roman" w:hAnsi="Times New Roman" w:cs="Times New Roman"/>
        </w:rPr>
        <w:t xml:space="preserve"> design aimed at uncovering practical insights about why Village Fund allocations may not align with village development potential, rather than testing hypotheses (Creswell, 2020). A case-study approach was selected because the phenomenon is context-specific and requires an in-depth understanding of local governance, village characteristics, and inter-village disparities (Patton, 2013). Case studies are particularly suitable for examining a bounded system within a specific time and place while integrating multiple data sources (Creswell, 2020). This design also allows the researcher to capture the complexity of decision processes and implementation realities that are often missed in purely confirmatory designs (Raco, 2010).</w:t>
      </w:r>
    </w:p>
    <w:p w14:paraId="79E03121" w14:textId="08801842"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2.2 </w:t>
      </w:r>
      <w:r w:rsidRPr="009E2678">
        <w:rPr>
          <w:rFonts w:ascii="Times New Roman" w:hAnsi="Times New Roman" w:cs="Times New Roman"/>
          <w:b/>
          <w:bCs/>
        </w:rPr>
        <w:t>Study Area</w:t>
      </w:r>
    </w:p>
    <w:p w14:paraId="3B168459" w14:textId="1F0516F2" w:rsidR="00204CBE" w:rsidRPr="009E2678" w:rsidRDefault="00204CBE" w:rsidP="009E2678">
      <w:pPr>
        <w:jc w:val="both"/>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47BB8400" wp14:editId="28F75A50">
                <wp:simplePos x="0" y="0"/>
                <wp:positionH relativeFrom="column">
                  <wp:posOffset>1580515</wp:posOffset>
                </wp:positionH>
                <wp:positionV relativeFrom="paragraph">
                  <wp:posOffset>3609340</wp:posOffset>
                </wp:positionV>
                <wp:extent cx="2352675" cy="635"/>
                <wp:effectExtent l="0" t="0" r="0" b="0"/>
                <wp:wrapTopAndBottom/>
                <wp:docPr id="419060413" name="Text Box 1"/>
                <wp:cNvGraphicFramePr/>
                <a:graphic xmlns:a="http://schemas.openxmlformats.org/drawingml/2006/main">
                  <a:graphicData uri="http://schemas.microsoft.com/office/word/2010/wordprocessingShape">
                    <wps:wsp>
                      <wps:cNvSpPr txBox="1"/>
                      <wps:spPr>
                        <a:xfrm>
                          <a:off x="0" y="0"/>
                          <a:ext cx="2352675" cy="635"/>
                        </a:xfrm>
                        <a:prstGeom prst="rect">
                          <a:avLst/>
                        </a:prstGeom>
                        <a:solidFill>
                          <a:prstClr val="white"/>
                        </a:solidFill>
                        <a:ln>
                          <a:noFill/>
                        </a:ln>
                      </wps:spPr>
                      <wps:txbx>
                        <w:txbxContent>
                          <w:p w14:paraId="40A65D59" w14:textId="6C00E1B1" w:rsidR="00204CBE" w:rsidRPr="00090BD3" w:rsidRDefault="00204CBE" w:rsidP="00204CBE">
                            <w:pPr>
                              <w:pStyle w:val="Caption"/>
                              <w:jc w:val="center"/>
                              <w:rPr>
                                <w:noProof/>
                                <w:sz w:val="20"/>
                              </w:rPr>
                            </w:pPr>
                            <w:r>
                              <w:t xml:space="preserve">Figure </w:t>
                            </w:r>
                            <w:r w:rsidR="00090166">
                              <w:fldChar w:fldCharType="begin"/>
                            </w:r>
                            <w:r w:rsidR="00090166">
                              <w:instrText xml:space="preserve"> SEQ Figure \* ARABIC </w:instrText>
                            </w:r>
                            <w:r w:rsidR="00090166">
                              <w:fldChar w:fldCharType="separate"/>
                            </w:r>
                            <w:r>
                              <w:rPr>
                                <w:noProof/>
                              </w:rPr>
                              <w:t>1</w:t>
                            </w:r>
                            <w:r w:rsidR="00090166">
                              <w:rPr>
                                <w:noProof/>
                              </w:rPr>
                              <w:fldChar w:fldCharType="end"/>
                            </w:r>
                            <w:r>
                              <w:t xml:space="preserve"> Research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BB8400" id="_x0000_t202" coordsize="21600,21600" o:spt="202" path="m,l,21600r21600,l21600,xe">
                <v:stroke joinstyle="miter"/>
                <v:path gradientshapeok="t" o:connecttype="rect"/>
              </v:shapetype>
              <v:shape id="Text Box 1" o:spid="_x0000_s1026" type="#_x0000_t202" style="position:absolute;left:0;text-align:left;margin-left:124.45pt;margin-top:284.2pt;width:185.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" stroked="f">
                <v:textbox style="mso-fit-shape-to-text:t" inset="0,0,0,0">
                  <w:txbxContent>
                    <w:p w14:paraId="40A65D59" w14:textId="6C00E1B1" w:rsidR="00204CBE" w:rsidRPr="00090BD3" w:rsidRDefault="00204CBE" w:rsidP="00204CBE">
                      <w:pPr>
                        <w:pStyle w:val="Caption"/>
                        <w:jc w:val="center"/>
                        <w:rPr>
                          <w:noProof/>
                          <w:sz w:val="20"/>
                        </w:rPr>
                      </w:pPr>
                      <w:r>
                        <w:t xml:space="preserve">Figure </w:t>
                      </w:r>
                      <w:fldSimple w:instr=" SEQ Figure \* ARABIC ">
                        <w:r>
                          <w:rPr>
                            <w:noProof/>
                          </w:rPr>
                          <w:t>1</w:t>
                        </w:r>
                      </w:fldSimple>
                      <w:r>
                        <w:t xml:space="preserve"> Research area</w:t>
                      </w:r>
                    </w:p>
                  </w:txbxContent>
                </v:textbox>
                <w10:wrap type="topAndBottom"/>
              </v:shape>
            </w:pict>
          </mc:Fallback>
        </mc:AlternateContent>
      </w:r>
      <w:r>
        <w:rPr>
          <w:noProof/>
          <w:sz w:val="20"/>
        </w:rPr>
        <w:drawing>
          <wp:anchor distT="0" distB="0" distL="0" distR="0" simplePos="0" relativeHeight="251661312" behindDoc="1" locked="0" layoutInCell="1" allowOverlap="1" wp14:anchorId="1ECC6C5B" wp14:editId="795A8A22">
            <wp:simplePos x="0" y="0"/>
            <wp:positionH relativeFrom="page">
              <wp:posOffset>2495233</wp:posOffset>
            </wp:positionH>
            <wp:positionV relativeFrom="paragraph">
              <wp:posOffset>1247458</wp:posOffset>
            </wp:positionV>
            <wp:extent cx="2352675" cy="2305050"/>
            <wp:effectExtent l="0" t="0" r="9525" b="0"/>
            <wp:wrapTopAndBottom/>
            <wp:docPr id="84513090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352675" cy="2305050"/>
                    </a:xfrm>
                    <a:prstGeom prst="rect">
                      <a:avLst/>
                    </a:prstGeom>
                  </pic:spPr>
                </pic:pic>
              </a:graphicData>
            </a:graphic>
            <wp14:sizeRelH relativeFrom="margin">
              <wp14:pctWidth>0</wp14:pctWidth>
            </wp14:sizeRelH>
            <wp14:sizeRelV relativeFrom="margin">
              <wp14:pctHeight>0</wp14:pctHeight>
            </wp14:sizeRelV>
          </wp:anchor>
        </w:drawing>
      </w:r>
      <w:r w:rsidR="009E2678" w:rsidRPr="009E2678">
        <w:rPr>
          <w:rFonts w:ascii="Times New Roman" w:hAnsi="Times New Roman" w:cs="Times New Roman"/>
        </w:rPr>
        <w:t xml:space="preserve">The </w:t>
      </w:r>
      <w:bookmarkStart w:id="0" w:name="_GoBack"/>
      <w:r w:rsidR="009E2678" w:rsidRPr="009E2678">
        <w:rPr>
          <w:rFonts w:ascii="Times New Roman" w:hAnsi="Times New Roman" w:cs="Times New Roman"/>
        </w:rPr>
        <w:t xml:space="preserve">research was conducted in Biru-Biru Sub-district, Deli Serdang Regency, Indonesia, covering all 17 villages administratively included in the sub-district. The location was chosen purposively </w:t>
      </w:r>
      <w:bookmarkEnd w:id="0"/>
      <w:r w:rsidR="009E2678" w:rsidRPr="009E2678">
        <w:rPr>
          <w:rFonts w:ascii="Times New Roman" w:hAnsi="Times New Roman" w:cs="Times New Roman"/>
        </w:rPr>
        <w:t>because the study observed indications of unequal Village Fund allocation relative to differences in village potential and accessibility (Creswell, 2020). Biru-Biru exhibits varied topography—from lowland areas to hilly and mountainous zones—creating different infrastructure needs and development constraints across villages (</w:t>
      </w:r>
      <w:proofErr w:type="spellStart"/>
      <w:r w:rsidR="009E2678" w:rsidRPr="009E2678">
        <w:rPr>
          <w:rFonts w:ascii="Times New Roman" w:hAnsi="Times New Roman" w:cs="Times New Roman"/>
        </w:rPr>
        <w:t>Sugiyono</w:t>
      </w:r>
      <w:proofErr w:type="spellEnd"/>
      <w:r w:rsidR="009E2678" w:rsidRPr="009E2678">
        <w:rPr>
          <w:rFonts w:ascii="Times New Roman" w:hAnsi="Times New Roman" w:cs="Times New Roman"/>
        </w:rPr>
        <w:t>, 2015). This heterogeneity makes Biru-Biru an appropriate setting to formulate a strategy model for fairer, potential-based allocation (Patton, 2013).</w:t>
      </w:r>
    </w:p>
    <w:p w14:paraId="5C17EACF" w14:textId="40F560EE"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2.3 </w:t>
      </w:r>
      <w:r w:rsidRPr="009E2678">
        <w:rPr>
          <w:rFonts w:ascii="Times New Roman" w:hAnsi="Times New Roman" w:cs="Times New Roman"/>
          <w:b/>
          <w:bCs/>
        </w:rPr>
        <w:t>Population, Sampling, and Participants</w:t>
      </w:r>
    </w:p>
    <w:p w14:paraId="1C97ECCE"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lastRenderedPageBreak/>
        <w:t>The community respondent sample size was determined using the Slovin formula, resulting in 100 respondents. Respondents were selected using accidental (convenience) sampling, meaning participants were recruited based on availability and direct encounter in the field to enable efficient data collection across dispersed villages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In addition, nine key informants from relevant local government agencies/OPD were selected purposively due to their institutional roles and knowledge of planning and Village Fund governance, yielding a total of 109 participants (Patton, 2013). The combination of community respondents and institutional informants supports triangulation between lived experience and policy/administrative perspectives (Creswell, 2020).</w:t>
      </w:r>
    </w:p>
    <w:p w14:paraId="0B645A01" w14:textId="630B2497"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2.4 </w:t>
      </w:r>
      <w:r w:rsidRPr="009E2678">
        <w:rPr>
          <w:rFonts w:ascii="Times New Roman" w:hAnsi="Times New Roman" w:cs="Times New Roman"/>
          <w:b/>
          <w:bCs/>
        </w:rPr>
        <w:t>Data Sources</w:t>
      </w:r>
    </w:p>
    <w:p w14:paraId="23DD9090"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This study used both primary and secondary data. Primary data were obtained directly from field activities, including observation and interviews regarding Village Fund use—particularly for infrastructure development and community empowerment programs (</w:t>
      </w:r>
      <w:proofErr w:type="spellStart"/>
      <w:r w:rsidRPr="009E2678">
        <w:rPr>
          <w:rFonts w:ascii="Times New Roman" w:hAnsi="Times New Roman" w:cs="Times New Roman"/>
        </w:rPr>
        <w:t>Arikunto</w:t>
      </w:r>
      <w:proofErr w:type="spellEnd"/>
      <w:r w:rsidRPr="009E2678">
        <w:rPr>
          <w:rFonts w:ascii="Times New Roman" w:hAnsi="Times New Roman" w:cs="Times New Roman"/>
        </w:rPr>
        <w:t>, 2006). Secondary data were collected from authoritative documents and publications relevant to village development and budgeting, such as sub-district statistical reports (e.g., BPS publications), the regency spatial plan (RTRW), village profiles, and Village Fund allocation records (</w:t>
      </w:r>
      <w:proofErr w:type="spellStart"/>
      <w:r w:rsidRPr="009E2678">
        <w:rPr>
          <w:rFonts w:ascii="Times New Roman" w:hAnsi="Times New Roman" w:cs="Times New Roman"/>
        </w:rPr>
        <w:t>Bungin</w:t>
      </w:r>
      <w:proofErr w:type="spellEnd"/>
      <w:r w:rsidRPr="009E2678">
        <w:rPr>
          <w:rFonts w:ascii="Times New Roman" w:hAnsi="Times New Roman" w:cs="Times New Roman"/>
        </w:rPr>
        <w:t>, 2006). Using these two data streams strengthens interpretive validity by linking perceived conditions with documented planning and allocation evidence (Creswell, 2020).</w:t>
      </w:r>
    </w:p>
    <w:p w14:paraId="05FFA0A2" w14:textId="1B69503B"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2.5 </w:t>
      </w:r>
      <w:r w:rsidRPr="009E2678">
        <w:rPr>
          <w:rFonts w:ascii="Times New Roman" w:hAnsi="Times New Roman" w:cs="Times New Roman"/>
          <w:b/>
          <w:bCs/>
        </w:rPr>
        <w:t>Data Collection Procedures</w:t>
      </w:r>
    </w:p>
    <w:p w14:paraId="3AC222CB"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Three complementary techniques were applied: observation, interviews, and documentation. Observation was used to record visible field conditions—especially accessibility, infrastructure quality, and indications of development utilization—based on predefined criteria aligned with study objectives (</w:t>
      </w:r>
      <w:proofErr w:type="spellStart"/>
      <w:r w:rsidRPr="009E2678">
        <w:rPr>
          <w:rFonts w:ascii="Times New Roman" w:hAnsi="Times New Roman" w:cs="Times New Roman"/>
        </w:rPr>
        <w:t>Herdiansyah</w:t>
      </w:r>
      <w:proofErr w:type="spellEnd"/>
      <w:r w:rsidRPr="009E2678">
        <w:rPr>
          <w:rFonts w:ascii="Times New Roman" w:hAnsi="Times New Roman" w:cs="Times New Roman"/>
        </w:rPr>
        <w:t>, 2010). Interviews were conducted to capture deeper explanations of allocation practices, needs prioritization, and perceived fairness; the study used a mix of structured, semi-structured, and unstructured formats depending on respondent type and the depth required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Documentation complemented these methods by compiling written and visual evidence (reports, village records, photographs, and supporting archives) to cross-check claims and contextualize findings (</w:t>
      </w:r>
      <w:proofErr w:type="spellStart"/>
      <w:r w:rsidRPr="009E2678">
        <w:rPr>
          <w:rFonts w:ascii="Times New Roman" w:hAnsi="Times New Roman" w:cs="Times New Roman"/>
        </w:rPr>
        <w:t>Arikunto</w:t>
      </w:r>
      <w:proofErr w:type="spellEnd"/>
      <w:r w:rsidRPr="009E2678">
        <w:rPr>
          <w:rFonts w:ascii="Times New Roman" w:hAnsi="Times New Roman" w:cs="Times New Roman"/>
        </w:rPr>
        <w:t>, 2006).</w:t>
      </w:r>
    </w:p>
    <w:p w14:paraId="44BDAB93" w14:textId="3675F6C7"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2.6 </w:t>
      </w:r>
      <w:r w:rsidRPr="009E2678">
        <w:rPr>
          <w:rFonts w:ascii="Times New Roman" w:hAnsi="Times New Roman" w:cs="Times New Roman"/>
          <w:b/>
          <w:bCs/>
        </w:rPr>
        <w:t>Analytical Strategy</w:t>
      </w:r>
    </w:p>
    <w:p w14:paraId="3B6BFA79"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Two analysis tracks were applied to match the research questions. For Research Problems 1 and 2 (village potential mapping and existing allocation patterns), a descriptive approach was used to systematically portray conditions “as they are,” focusing on factual, structured depiction rather than causal testing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For Research Problem 3 (strategy formulation), SWOT analysis was employed to identify and integrate internal factors (strengths and weaknesses) and external factors (opportunities and threats) affecting equitable Village Fund allocation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SWOT is appropriate for strategic planning because it links internal capacity constraints with external enabling conditions to produce implementable strategic alternatives (Pearce &amp; Robinson, 2007).</w:t>
      </w:r>
    </w:p>
    <w:p w14:paraId="3874C627" w14:textId="121CC188" w:rsidR="009E2678" w:rsidRPr="009E2678" w:rsidRDefault="009E2678" w:rsidP="009E2678">
      <w:pPr>
        <w:jc w:val="both"/>
        <w:rPr>
          <w:rFonts w:ascii="Times New Roman" w:hAnsi="Times New Roman" w:cs="Times New Roman"/>
          <w:b/>
          <w:bCs/>
        </w:rPr>
      </w:pPr>
      <w:r>
        <w:rPr>
          <w:rFonts w:ascii="Times New Roman" w:hAnsi="Times New Roman" w:cs="Times New Roman"/>
          <w:b/>
          <w:bCs/>
        </w:rPr>
        <w:lastRenderedPageBreak/>
        <w:t xml:space="preserve">2.7 </w:t>
      </w:r>
      <w:r w:rsidRPr="009E2678">
        <w:rPr>
          <w:rFonts w:ascii="Times New Roman" w:hAnsi="Times New Roman" w:cs="Times New Roman"/>
          <w:b/>
          <w:bCs/>
        </w:rPr>
        <w:t>SWOT Operationalization (IFE–EFE and Strategic Quadrant)</w:t>
      </w:r>
    </w:p>
    <w:p w14:paraId="72E2A9F8"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The SWOT procedure began with identifying strategic factors relevant to equitable, potential-based allocation. Internal factors represent village governance and local structural conditions, while external factors represent the regulatory, macroeconomic, and oversight environment shaping allocation effectiveness (David, 2011). Factors were then weighted (normalized so that total weights equal 1.00) and rated—commonly using a 1–4 scale—to reflect relative importance and performance/condition, producing weighted scores through the weight × rating calculation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The Internal Factor Evaluation (IFE) and External Factor Evaluation (EFE) totals were used to compute (S − W) and (O − T) values, which were plotted on a Cartesian diagram to determine the strategic position and to guide whether the recommended posture is aggressive, defensive, conservative, or competitive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Finally, strategy options were formulated in four groups—SO, ST, WO, and WT—by pairing relevant factor combinations to generate actionable policy directions for fairer allocation and development prioritization (</w:t>
      </w:r>
      <w:proofErr w:type="spellStart"/>
      <w:r w:rsidRPr="009E2678">
        <w:rPr>
          <w:rFonts w:ascii="Times New Roman" w:hAnsi="Times New Roman" w:cs="Times New Roman"/>
        </w:rPr>
        <w:t>Kuncoro</w:t>
      </w:r>
      <w:proofErr w:type="spellEnd"/>
      <w:r w:rsidRPr="009E2678">
        <w:rPr>
          <w:rFonts w:ascii="Times New Roman" w:hAnsi="Times New Roman" w:cs="Times New Roman"/>
        </w:rPr>
        <w:t>, 2005).</w:t>
      </w:r>
    </w:p>
    <w:p w14:paraId="28B82403" w14:textId="50C574E4" w:rsidR="005730F0" w:rsidRPr="005730F0" w:rsidRDefault="00204CBE" w:rsidP="005730F0">
      <w:pPr>
        <w:jc w:val="both"/>
        <w:rPr>
          <w:rFonts w:ascii="Times New Roman" w:hAnsi="Times New Roman" w:cs="Times New Roman"/>
          <w:b/>
          <w:bCs/>
        </w:rPr>
      </w:pPr>
      <w:r>
        <w:rPr>
          <w:rFonts w:ascii="Times New Roman" w:hAnsi="Times New Roman" w:cs="Times New Roman"/>
          <w:b/>
          <w:bCs/>
        </w:rPr>
        <w:t xml:space="preserve">3. </w:t>
      </w:r>
      <w:r w:rsidR="005730F0" w:rsidRPr="005730F0">
        <w:rPr>
          <w:rFonts w:ascii="Times New Roman" w:hAnsi="Times New Roman" w:cs="Times New Roman"/>
          <w:b/>
          <w:bCs/>
        </w:rPr>
        <w:t>Results and Discussion</w:t>
      </w:r>
    </w:p>
    <w:p w14:paraId="3B4A3FD0" w14:textId="3708880F" w:rsidR="005730F0" w:rsidRPr="005730F0" w:rsidRDefault="00204CBE"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.1 Village Development Potential and Binding Constraints in Biru-Biru</w:t>
      </w:r>
    </w:p>
    <w:p w14:paraId="2A7ED54C"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field evidence shows that Biru-Biru Subdistrict contains villages with broadly comparable “basic access” (roads can generally be passed by two- and four-wheeled vehicles), but the </w:t>
      </w:r>
      <w:r w:rsidRPr="005730F0">
        <w:rPr>
          <w:rFonts w:ascii="Times New Roman" w:hAnsi="Times New Roman" w:cs="Times New Roman"/>
          <w:b/>
          <w:bCs/>
        </w:rPr>
        <w:t>quality and reliability</w:t>
      </w:r>
      <w:r w:rsidRPr="005730F0">
        <w:rPr>
          <w:rFonts w:ascii="Times New Roman" w:hAnsi="Times New Roman" w:cs="Times New Roman"/>
        </w:rPr>
        <w:t xml:space="preserve"> of access differs sharply. In several villages, damaged road segments, unpaved stretches, and weak bridges reduce mobility and increase logistics costs. This matters because village potential—whether agriculture, fisheries, or tourism—depends on last-mile connectivity to markets and visitors. As a result, “potential” is not only about resources, but also about whether villages can convert resources into income and services. In the thesis evidence, the constraint that appears repeatedly is </w:t>
      </w:r>
      <w:r w:rsidRPr="005730F0">
        <w:rPr>
          <w:rFonts w:ascii="Times New Roman" w:hAnsi="Times New Roman" w:cs="Times New Roman"/>
          <w:b/>
          <w:bCs/>
        </w:rPr>
        <w:t>geographical difficulty expressed as infrastructure gaps</w:t>
      </w:r>
      <w:r w:rsidRPr="005730F0">
        <w:rPr>
          <w:rFonts w:ascii="Times New Roman" w:hAnsi="Times New Roman" w:cs="Times New Roman"/>
        </w:rPr>
        <w:t xml:space="preserve"> (roads and bridges).</w:t>
      </w:r>
    </w:p>
    <w:p w14:paraId="5EC98A1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economic base across the observed villages is strongly linked to </w:t>
      </w:r>
      <w:r w:rsidRPr="005730F0">
        <w:rPr>
          <w:rFonts w:ascii="Times New Roman" w:hAnsi="Times New Roman" w:cs="Times New Roman"/>
          <w:b/>
          <w:bCs/>
        </w:rPr>
        <w:t>agriculture and natural resources</w:t>
      </w:r>
      <w:r w:rsidRPr="005730F0">
        <w:rPr>
          <w:rFonts w:ascii="Times New Roman" w:hAnsi="Times New Roman" w:cs="Times New Roman"/>
        </w:rPr>
        <w:t xml:space="preserve">, with some villages also demonstrating </w:t>
      </w:r>
      <w:r w:rsidRPr="005730F0">
        <w:rPr>
          <w:rFonts w:ascii="Times New Roman" w:hAnsi="Times New Roman" w:cs="Times New Roman"/>
          <w:b/>
          <w:bCs/>
        </w:rPr>
        <w:t>fisheries potential</w:t>
      </w:r>
      <w:r w:rsidRPr="005730F0">
        <w:rPr>
          <w:rFonts w:ascii="Times New Roman" w:hAnsi="Times New Roman" w:cs="Times New Roman"/>
        </w:rPr>
        <w:t xml:space="preserve">. These sectors are sensitive to transport conditions because farm and fish products are perishable and depend on timely movement to buyers and processing points. Where access is weak, production can remain “high potential but low </w:t>
      </w:r>
      <w:proofErr w:type="spellStart"/>
      <w:r w:rsidRPr="005730F0">
        <w:rPr>
          <w:rFonts w:ascii="Times New Roman" w:hAnsi="Times New Roman" w:cs="Times New Roman"/>
        </w:rPr>
        <w:t>realised</w:t>
      </w:r>
      <w:proofErr w:type="spellEnd"/>
      <w:r w:rsidRPr="005730F0">
        <w:rPr>
          <w:rFonts w:ascii="Times New Roman" w:hAnsi="Times New Roman" w:cs="Times New Roman"/>
        </w:rPr>
        <w:t xml:space="preserve"> value” due to spoilage, limited scale, and weak bargaining position. Consequently, equitable development requires not only equal distribution but also targeted investments that remove binding constraints in the most constrained villages. In other words, the thesis evidence supports a planning logic that </w:t>
      </w:r>
      <w:proofErr w:type="spellStart"/>
      <w:r w:rsidRPr="005730F0">
        <w:rPr>
          <w:rFonts w:ascii="Times New Roman" w:hAnsi="Times New Roman" w:cs="Times New Roman"/>
        </w:rPr>
        <w:t>prioritises</w:t>
      </w:r>
      <w:proofErr w:type="spellEnd"/>
      <w:r w:rsidRPr="005730F0">
        <w:rPr>
          <w:rFonts w:ascii="Times New Roman" w:hAnsi="Times New Roman" w:cs="Times New Roman"/>
        </w:rPr>
        <w:t xml:space="preserve"> “constraint-first” investments.</w:t>
      </w:r>
    </w:p>
    <w:p w14:paraId="36E517A9" w14:textId="77777777" w:rsidR="00245108" w:rsidRDefault="00245108" w:rsidP="00245108">
      <w:pPr>
        <w:pStyle w:val="BodyText"/>
        <w:ind w:left="1443"/>
        <w:jc w:val="left"/>
        <w:rPr>
          <w:sz w:val="20"/>
        </w:rPr>
      </w:pPr>
      <w:r>
        <w:rPr>
          <w:noProof/>
          <w:sz w:val="20"/>
        </w:rPr>
        <w:lastRenderedPageBreak/>
        <w:drawing>
          <wp:inline distT="0" distB="0" distL="0" distR="0" wp14:anchorId="6060E484" wp14:editId="002B7BF1">
            <wp:extent cx="4347709" cy="290798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347709" cy="2907982"/>
                    </a:xfrm>
                    <a:prstGeom prst="rect">
                      <a:avLst/>
                    </a:prstGeom>
                  </pic:spPr>
                </pic:pic>
              </a:graphicData>
            </a:graphic>
          </wp:inline>
        </w:drawing>
      </w:r>
    </w:p>
    <w:p w14:paraId="0DC98730" w14:textId="77777777" w:rsidR="00245108" w:rsidRDefault="00245108" w:rsidP="00245108">
      <w:pPr>
        <w:pStyle w:val="BodyText"/>
        <w:jc w:val="left"/>
        <w:rPr>
          <w:sz w:val="20"/>
        </w:rPr>
      </w:pPr>
    </w:p>
    <w:p w14:paraId="0753F948" w14:textId="77777777" w:rsidR="00245108" w:rsidRDefault="00245108" w:rsidP="00245108">
      <w:pPr>
        <w:pStyle w:val="BodyText"/>
        <w:spacing w:before="75"/>
        <w:jc w:val="left"/>
        <w:rPr>
          <w:sz w:val="20"/>
        </w:rPr>
      </w:pPr>
      <w:r>
        <w:rPr>
          <w:noProof/>
          <w:sz w:val="20"/>
        </w:rPr>
        <w:drawing>
          <wp:anchor distT="0" distB="0" distL="0" distR="0" simplePos="0" relativeHeight="251665408" behindDoc="1" locked="0" layoutInCell="1" allowOverlap="1" wp14:anchorId="1F3E73D1" wp14:editId="39EDD34C">
            <wp:simplePos x="0" y="0"/>
            <wp:positionH relativeFrom="page">
              <wp:posOffset>1602105</wp:posOffset>
            </wp:positionH>
            <wp:positionV relativeFrom="paragraph">
              <wp:posOffset>208936</wp:posOffset>
            </wp:positionV>
            <wp:extent cx="4321340" cy="197415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4321340" cy="1974151"/>
                    </a:xfrm>
                    <a:prstGeom prst="rect">
                      <a:avLst/>
                    </a:prstGeom>
                  </pic:spPr>
                </pic:pic>
              </a:graphicData>
            </a:graphic>
          </wp:anchor>
        </w:drawing>
      </w:r>
    </w:p>
    <w:p w14:paraId="3B8F0584" w14:textId="77777777" w:rsidR="00245108" w:rsidRDefault="00245108" w:rsidP="00245108">
      <w:pPr>
        <w:pStyle w:val="BodyText"/>
        <w:spacing w:before="174"/>
        <w:jc w:val="left"/>
      </w:pPr>
    </w:p>
    <w:p w14:paraId="78D361EE" w14:textId="0746640E" w:rsidR="00245108" w:rsidRDefault="00B63D8F" w:rsidP="00245108">
      <w:pPr>
        <w:pStyle w:val="BodyText"/>
        <w:ind w:left="77" w:right="77"/>
        <w:jc w:val="center"/>
      </w:pPr>
      <w:r>
        <w:t>Figure</w:t>
      </w:r>
      <w:r w:rsidR="00245108">
        <w:rPr>
          <w:spacing w:val="-2"/>
        </w:rPr>
        <w:t xml:space="preserve"> </w:t>
      </w:r>
      <w:r w:rsidR="00245108">
        <w:t>2.</w:t>
      </w:r>
      <w:r w:rsidR="00245108">
        <w:rPr>
          <w:spacing w:val="-1"/>
        </w:rPr>
        <w:t xml:space="preserve"> </w:t>
      </w:r>
      <w:r w:rsidR="00245108">
        <w:t xml:space="preserve">Potential </w:t>
      </w:r>
      <w:r w:rsidR="00245108">
        <w:rPr>
          <w:spacing w:val="-1"/>
        </w:rPr>
        <w:t xml:space="preserve"> tourim in Sibiru-biru </w:t>
      </w:r>
      <w:r w:rsidR="00245108">
        <w:t xml:space="preserve">(Survey, </w:t>
      </w:r>
      <w:r w:rsidR="00245108">
        <w:rPr>
          <w:spacing w:val="-2"/>
        </w:rPr>
        <w:t>2025)</w:t>
      </w:r>
    </w:p>
    <w:p w14:paraId="74C2969F"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Tourism potential also emerges as a meaningful growth lever in Biru-Biru, particularly in villages with water-based attractions and natural scenery. Tourism is highly dependent on safety, access, and visitor experience, meaning road quality, bridge reliability, sanitation, and basic amenities become decisive. Where village-owned institutions manage tourism more professionally, the opportunity to create local revenue and jobs becomes stronger. However, without targeted infrastructure and management support, tourism potential remains </w:t>
      </w:r>
      <w:proofErr w:type="spellStart"/>
      <w:r w:rsidRPr="005730F0">
        <w:rPr>
          <w:rFonts w:ascii="Times New Roman" w:hAnsi="Times New Roman" w:cs="Times New Roman"/>
        </w:rPr>
        <w:t>under-utilised</w:t>
      </w:r>
      <w:proofErr w:type="spellEnd"/>
      <w:r w:rsidRPr="005730F0">
        <w:rPr>
          <w:rFonts w:ascii="Times New Roman" w:hAnsi="Times New Roman" w:cs="Times New Roman"/>
        </w:rPr>
        <w:t xml:space="preserve"> and vulnerable to environmental risks. This reinforces the central message: </w:t>
      </w:r>
      <w:r w:rsidRPr="005730F0">
        <w:rPr>
          <w:rFonts w:ascii="Times New Roman" w:hAnsi="Times New Roman" w:cs="Times New Roman"/>
          <w:b/>
          <w:bCs/>
        </w:rPr>
        <w:t>development potential must be read together with constraints</w:t>
      </w:r>
      <w:r w:rsidRPr="005730F0">
        <w:rPr>
          <w:rFonts w:ascii="Times New Roman" w:hAnsi="Times New Roman" w:cs="Times New Roman"/>
        </w:rPr>
        <w:t>.</w:t>
      </w:r>
    </w:p>
    <w:p w14:paraId="681959E8" w14:textId="320FC684"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1. Examples of Village Potential and Infrastructure Condition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570"/>
        <w:gridCol w:w="1222"/>
        <w:gridCol w:w="2810"/>
        <w:gridCol w:w="4748"/>
      </w:tblGrid>
      <w:tr w:rsidR="005730F0" w:rsidRPr="005730F0" w14:paraId="42D8C620" w14:textId="77777777" w:rsidTr="00204CBE">
        <w:tc>
          <w:tcPr>
            <w:tcW w:w="0" w:type="auto"/>
            <w:hideMark/>
          </w:tcPr>
          <w:p w14:paraId="2F9AF4C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No.</w:t>
            </w:r>
          </w:p>
        </w:tc>
        <w:tc>
          <w:tcPr>
            <w:tcW w:w="0" w:type="auto"/>
            <w:hideMark/>
          </w:tcPr>
          <w:p w14:paraId="66ACFB16"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Village</w:t>
            </w:r>
          </w:p>
        </w:tc>
        <w:tc>
          <w:tcPr>
            <w:tcW w:w="0" w:type="auto"/>
            <w:hideMark/>
          </w:tcPr>
          <w:p w14:paraId="15296CD0"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Key Potential</w:t>
            </w:r>
          </w:p>
        </w:tc>
        <w:tc>
          <w:tcPr>
            <w:tcW w:w="0" w:type="auto"/>
            <w:hideMark/>
          </w:tcPr>
          <w:p w14:paraId="714017AA"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Observed Condition / Constraint</w:t>
            </w:r>
          </w:p>
        </w:tc>
      </w:tr>
      <w:tr w:rsidR="005730F0" w:rsidRPr="005730F0" w14:paraId="393ADCCB" w14:textId="77777777" w:rsidTr="00204CBE">
        <w:tc>
          <w:tcPr>
            <w:tcW w:w="0" w:type="auto"/>
            <w:hideMark/>
          </w:tcPr>
          <w:p w14:paraId="11358CB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lastRenderedPageBreak/>
              <w:t>1</w:t>
            </w:r>
          </w:p>
        </w:tc>
        <w:tc>
          <w:tcPr>
            <w:tcW w:w="0" w:type="auto"/>
            <w:hideMark/>
          </w:tcPr>
          <w:p w14:paraId="4E64598B"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Kualah</w:t>
            </w:r>
            <w:proofErr w:type="spellEnd"/>
            <w:r w:rsidRPr="005730F0">
              <w:rPr>
                <w:rFonts w:ascii="Times New Roman" w:hAnsi="Times New Roman" w:cs="Times New Roman"/>
              </w:rPr>
              <w:t xml:space="preserve"> </w:t>
            </w:r>
            <w:proofErr w:type="spellStart"/>
            <w:r w:rsidRPr="005730F0">
              <w:rPr>
                <w:rFonts w:ascii="Times New Roman" w:hAnsi="Times New Roman" w:cs="Times New Roman"/>
              </w:rPr>
              <w:t>Dekah</w:t>
            </w:r>
            <w:proofErr w:type="spellEnd"/>
          </w:p>
        </w:tc>
        <w:tc>
          <w:tcPr>
            <w:tcW w:w="0" w:type="auto"/>
            <w:hideMark/>
          </w:tcPr>
          <w:p w14:paraId="7ACBF62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Nature tourism (water-based attraction), agriculture</w:t>
            </w:r>
          </w:p>
        </w:tc>
        <w:tc>
          <w:tcPr>
            <w:tcW w:w="0" w:type="auto"/>
            <w:hideMark/>
          </w:tcPr>
          <w:p w14:paraId="7DAEE2A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and potholed roads; sections not yet paved; bridge condition often not feasible for frequent use</w:t>
            </w:r>
          </w:p>
        </w:tc>
      </w:tr>
      <w:tr w:rsidR="005730F0" w:rsidRPr="005730F0" w14:paraId="4F5A782D" w14:textId="77777777" w:rsidTr="00204CBE">
        <w:tc>
          <w:tcPr>
            <w:tcW w:w="0" w:type="auto"/>
            <w:hideMark/>
          </w:tcPr>
          <w:p w14:paraId="2235186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w:t>
            </w:r>
          </w:p>
        </w:tc>
        <w:tc>
          <w:tcPr>
            <w:tcW w:w="0" w:type="auto"/>
            <w:hideMark/>
          </w:tcPr>
          <w:p w14:paraId="69F6449E"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Penen</w:t>
            </w:r>
            <w:proofErr w:type="spellEnd"/>
          </w:p>
        </w:tc>
        <w:tc>
          <w:tcPr>
            <w:tcW w:w="0" w:type="auto"/>
            <w:hideMark/>
          </w:tcPr>
          <w:p w14:paraId="27B33E6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Agriculture and fisheries; hot-spring–type attraction</w:t>
            </w:r>
          </w:p>
        </w:tc>
        <w:tc>
          <w:tcPr>
            <w:tcW w:w="0" w:type="auto"/>
            <w:hideMark/>
          </w:tcPr>
          <w:p w14:paraId="226D1F6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roads; limited paving; bridge condition often not feasible for frequent use</w:t>
            </w:r>
          </w:p>
        </w:tc>
      </w:tr>
      <w:tr w:rsidR="005730F0" w:rsidRPr="005730F0" w14:paraId="1EFE3B2F" w14:textId="77777777" w:rsidTr="00204CBE">
        <w:tc>
          <w:tcPr>
            <w:tcW w:w="0" w:type="auto"/>
            <w:hideMark/>
          </w:tcPr>
          <w:p w14:paraId="5CC1344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w:t>
            </w:r>
          </w:p>
        </w:tc>
        <w:tc>
          <w:tcPr>
            <w:tcW w:w="0" w:type="auto"/>
            <w:hideMark/>
          </w:tcPr>
          <w:p w14:paraId="7B008BF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Rumah Gerat</w:t>
            </w:r>
          </w:p>
        </w:tc>
        <w:tc>
          <w:tcPr>
            <w:tcW w:w="0" w:type="auto"/>
            <w:hideMark/>
          </w:tcPr>
          <w:p w14:paraId="5F0792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Nature tourism (water-based attraction)</w:t>
            </w:r>
          </w:p>
        </w:tc>
        <w:tc>
          <w:tcPr>
            <w:tcW w:w="0" w:type="auto"/>
            <w:hideMark/>
          </w:tcPr>
          <w:p w14:paraId="408DE7B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roads; limited paving; bridge condition often not feasible for frequent use</w:t>
            </w:r>
          </w:p>
        </w:tc>
      </w:tr>
      <w:tr w:rsidR="005730F0" w:rsidRPr="005730F0" w14:paraId="475B2A35" w14:textId="77777777" w:rsidTr="00204CBE">
        <w:tc>
          <w:tcPr>
            <w:tcW w:w="0" w:type="auto"/>
            <w:hideMark/>
          </w:tcPr>
          <w:p w14:paraId="1A31314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4</w:t>
            </w:r>
          </w:p>
        </w:tc>
        <w:tc>
          <w:tcPr>
            <w:tcW w:w="0" w:type="auto"/>
            <w:hideMark/>
          </w:tcPr>
          <w:p w14:paraId="6C3D05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Selamat</w:t>
            </w:r>
          </w:p>
        </w:tc>
        <w:tc>
          <w:tcPr>
            <w:tcW w:w="0" w:type="auto"/>
            <w:hideMark/>
          </w:tcPr>
          <w:p w14:paraId="7C06181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Agriculture and fisheries</w:t>
            </w:r>
          </w:p>
        </w:tc>
        <w:tc>
          <w:tcPr>
            <w:tcW w:w="0" w:type="auto"/>
            <w:hideMark/>
          </w:tcPr>
          <w:p w14:paraId="10D7F19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and potholed roads; not yet paved; bridge condition often not feasible for frequent use</w:t>
            </w:r>
          </w:p>
        </w:tc>
      </w:tr>
    </w:tbl>
    <w:p w14:paraId="0F6F07A0" w14:textId="0C359DE1" w:rsidR="005730F0" w:rsidRPr="005730F0" w:rsidRDefault="005730F0" w:rsidP="005730F0">
      <w:pPr>
        <w:jc w:val="both"/>
        <w:rPr>
          <w:rFonts w:ascii="Times New Roman" w:hAnsi="Times New Roman" w:cs="Times New Roman"/>
        </w:rPr>
      </w:pPr>
      <w:r w:rsidRPr="005730F0">
        <w:rPr>
          <w:rFonts w:ascii="Times New Roman" w:hAnsi="Times New Roman" w:cs="Times New Roman"/>
        </w:rPr>
        <w:br/>
        <w:t>Table 1 highlights a consistent pattern: villages that possess clear economic or tourism potential are simultaneously constrained by similar last-mile infrastructure issues. This pairing is important for equity because it implies that “equal treatment” in funding can still produce unequal outcomes when some villages face structurally higher access costs. The villages listed require a planning sequence that starts with access reliability (roads/bridges) before expecting large returns from tourism promotion or value-added production. Therefore, potential-based allocation in Biru-Biru is best interpreted as “invest where constraints most suppress returns.”</w:t>
      </w:r>
    </w:p>
    <w:p w14:paraId="31844CD5" w14:textId="7FF67EA0" w:rsidR="005730F0" w:rsidRPr="005730F0" w:rsidRDefault="005730F0" w:rsidP="005730F0">
      <w:pPr>
        <w:jc w:val="both"/>
        <w:rPr>
          <w:rFonts w:ascii="Times New Roman" w:hAnsi="Times New Roman" w:cs="Times New Roman"/>
        </w:rPr>
      </w:pPr>
    </w:p>
    <w:p w14:paraId="3B845AB3" w14:textId="6A66E5EF" w:rsidR="005730F0" w:rsidRPr="005730F0" w:rsidRDefault="00204CBE"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.2 Village Fund Allocation Pattern and Spending Composition</w:t>
      </w:r>
    </w:p>
    <w:p w14:paraId="5F985E4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thesis dataset </w:t>
      </w:r>
      <w:proofErr w:type="spellStart"/>
      <w:r w:rsidRPr="005730F0">
        <w:rPr>
          <w:rFonts w:ascii="Times New Roman" w:hAnsi="Times New Roman" w:cs="Times New Roman"/>
        </w:rPr>
        <w:t>summarises</w:t>
      </w:r>
      <w:proofErr w:type="spellEnd"/>
      <w:r w:rsidRPr="005730F0">
        <w:rPr>
          <w:rFonts w:ascii="Times New Roman" w:hAnsi="Times New Roman" w:cs="Times New Roman"/>
        </w:rPr>
        <w:t xml:space="preserve"> Village Fund allocation and use for a set of eight villages, including villages identified as relatively better equipped and villages facing access constraints. Across this dataset, the </w:t>
      </w:r>
      <w:r w:rsidRPr="005730F0">
        <w:rPr>
          <w:rFonts w:ascii="Times New Roman" w:hAnsi="Times New Roman" w:cs="Times New Roman"/>
          <w:b/>
          <w:bCs/>
        </w:rPr>
        <w:t>spending composition is highly uniform</w:t>
      </w:r>
      <w:r w:rsidRPr="005730F0">
        <w:rPr>
          <w:rFonts w:ascii="Times New Roman" w:hAnsi="Times New Roman" w:cs="Times New Roman"/>
        </w:rPr>
        <w:t xml:space="preserve">: infrastructure spending is consistently the dominant share, while empowerment activities receive a smaller but stable portion. This indicates a development orientation that </w:t>
      </w:r>
      <w:proofErr w:type="spellStart"/>
      <w:r w:rsidRPr="005730F0">
        <w:rPr>
          <w:rFonts w:ascii="Times New Roman" w:hAnsi="Times New Roman" w:cs="Times New Roman"/>
        </w:rPr>
        <w:t>prioritises</w:t>
      </w:r>
      <w:proofErr w:type="spellEnd"/>
      <w:r w:rsidRPr="005730F0">
        <w:rPr>
          <w:rFonts w:ascii="Times New Roman" w:hAnsi="Times New Roman" w:cs="Times New Roman"/>
        </w:rPr>
        <w:t xml:space="preserve"> physical outputs, which is understandable in rural settings but can become less effective if infrastructure investments are not targeted to the most binding segments (the worst roads/bridges and the most disconnected hamlets).</w:t>
      </w:r>
    </w:p>
    <w:p w14:paraId="73653D5A"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At the same time, the allocation totals show </w:t>
      </w:r>
      <w:r w:rsidRPr="005730F0">
        <w:rPr>
          <w:rFonts w:ascii="Times New Roman" w:hAnsi="Times New Roman" w:cs="Times New Roman"/>
          <w:b/>
          <w:bCs/>
        </w:rPr>
        <w:t>differences in the level of funds received</w:t>
      </w:r>
      <w:r w:rsidRPr="005730F0">
        <w:rPr>
          <w:rFonts w:ascii="Times New Roman" w:hAnsi="Times New Roman" w:cs="Times New Roman"/>
        </w:rPr>
        <w:t xml:space="preserve"> across villages. One village receives the highest total among the eight, while several constrained villages receive totals that are lower and relatively clustered. The variation is not extreme, but it is meaningful when the policy goal is equity and when some villages face higher development costs due to terrain and access. In equity terms, villages with higher “cost to deliver services” typically need stronger compensatory support or a targeted component in the allocation logic.</w:t>
      </w:r>
    </w:p>
    <w:p w14:paraId="0DEFA00E" w14:textId="6FE8AEDE"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2. Village Fund Allocation and Use Composition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570"/>
        <w:gridCol w:w="1716"/>
        <w:gridCol w:w="1960"/>
        <w:gridCol w:w="2029"/>
        <w:gridCol w:w="3075"/>
      </w:tblGrid>
      <w:tr w:rsidR="005730F0" w:rsidRPr="005730F0" w14:paraId="7F96D290" w14:textId="77777777" w:rsidTr="00204CBE">
        <w:tc>
          <w:tcPr>
            <w:tcW w:w="0" w:type="auto"/>
            <w:hideMark/>
          </w:tcPr>
          <w:p w14:paraId="3CDC0464"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lastRenderedPageBreak/>
              <w:t>No.</w:t>
            </w:r>
          </w:p>
        </w:tc>
        <w:tc>
          <w:tcPr>
            <w:tcW w:w="0" w:type="auto"/>
            <w:hideMark/>
          </w:tcPr>
          <w:p w14:paraId="5FA138DB"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Village</w:t>
            </w:r>
          </w:p>
        </w:tc>
        <w:tc>
          <w:tcPr>
            <w:tcW w:w="0" w:type="auto"/>
            <w:hideMark/>
          </w:tcPr>
          <w:p w14:paraId="470F232B"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Total Village Fund</w:t>
            </w:r>
          </w:p>
        </w:tc>
        <w:tc>
          <w:tcPr>
            <w:tcW w:w="0" w:type="auto"/>
            <w:hideMark/>
          </w:tcPr>
          <w:p w14:paraId="2AC4FAE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Infrastructure Use</w:t>
            </w:r>
          </w:p>
        </w:tc>
        <w:tc>
          <w:tcPr>
            <w:tcW w:w="0" w:type="auto"/>
            <w:hideMark/>
          </w:tcPr>
          <w:p w14:paraId="61D9E799"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Community Empowerment Use</w:t>
            </w:r>
          </w:p>
        </w:tc>
      </w:tr>
      <w:tr w:rsidR="005730F0" w:rsidRPr="005730F0" w14:paraId="1D050E6D" w14:textId="77777777" w:rsidTr="00204CBE">
        <w:tc>
          <w:tcPr>
            <w:tcW w:w="0" w:type="auto"/>
            <w:hideMark/>
          </w:tcPr>
          <w:p w14:paraId="5818D3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1</w:t>
            </w:r>
          </w:p>
        </w:tc>
        <w:tc>
          <w:tcPr>
            <w:tcW w:w="0" w:type="auto"/>
            <w:hideMark/>
          </w:tcPr>
          <w:p w14:paraId="4B73D2D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Aji Baho</w:t>
            </w:r>
          </w:p>
        </w:tc>
        <w:tc>
          <w:tcPr>
            <w:tcW w:w="0" w:type="auto"/>
            <w:hideMark/>
          </w:tcPr>
          <w:p w14:paraId="356C5E9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106.924.000</w:t>
            </w:r>
          </w:p>
        </w:tc>
        <w:tc>
          <w:tcPr>
            <w:tcW w:w="0" w:type="auto"/>
            <w:hideMark/>
          </w:tcPr>
          <w:p w14:paraId="1974C01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69.500.600</w:t>
            </w:r>
          </w:p>
        </w:tc>
        <w:tc>
          <w:tcPr>
            <w:tcW w:w="0" w:type="auto"/>
            <w:hideMark/>
          </w:tcPr>
          <w:p w14:paraId="2EF8E20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37.423.400</w:t>
            </w:r>
          </w:p>
        </w:tc>
      </w:tr>
      <w:tr w:rsidR="005730F0" w:rsidRPr="005730F0" w14:paraId="4C91DE7B" w14:textId="77777777" w:rsidTr="00204CBE">
        <w:tc>
          <w:tcPr>
            <w:tcW w:w="0" w:type="auto"/>
            <w:hideMark/>
          </w:tcPr>
          <w:p w14:paraId="66072F2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w:t>
            </w:r>
          </w:p>
        </w:tc>
        <w:tc>
          <w:tcPr>
            <w:tcW w:w="0" w:type="auto"/>
            <w:hideMark/>
          </w:tcPr>
          <w:p w14:paraId="3CA9F1C5"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Sidomulyo</w:t>
            </w:r>
            <w:proofErr w:type="spellEnd"/>
          </w:p>
        </w:tc>
        <w:tc>
          <w:tcPr>
            <w:tcW w:w="0" w:type="auto"/>
            <w:hideMark/>
          </w:tcPr>
          <w:p w14:paraId="5EACE84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107.585.000</w:t>
            </w:r>
          </w:p>
        </w:tc>
        <w:tc>
          <w:tcPr>
            <w:tcW w:w="0" w:type="auto"/>
            <w:hideMark/>
          </w:tcPr>
          <w:p w14:paraId="2A580A9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69.930.250</w:t>
            </w:r>
          </w:p>
        </w:tc>
        <w:tc>
          <w:tcPr>
            <w:tcW w:w="0" w:type="auto"/>
            <w:hideMark/>
          </w:tcPr>
          <w:p w14:paraId="0E9A32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37.654.750</w:t>
            </w:r>
          </w:p>
        </w:tc>
      </w:tr>
      <w:tr w:rsidR="005730F0" w:rsidRPr="005730F0" w14:paraId="7F2A954E" w14:textId="77777777" w:rsidTr="00204CBE">
        <w:tc>
          <w:tcPr>
            <w:tcW w:w="0" w:type="auto"/>
            <w:hideMark/>
          </w:tcPr>
          <w:p w14:paraId="1310E25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w:t>
            </w:r>
          </w:p>
        </w:tc>
        <w:tc>
          <w:tcPr>
            <w:tcW w:w="0" w:type="auto"/>
            <w:hideMark/>
          </w:tcPr>
          <w:p w14:paraId="09C6D16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Candi Rejo</w:t>
            </w:r>
          </w:p>
        </w:tc>
        <w:tc>
          <w:tcPr>
            <w:tcW w:w="0" w:type="auto"/>
            <w:hideMark/>
          </w:tcPr>
          <w:p w14:paraId="2B5D55E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95.396.000</w:t>
            </w:r>
          </w:p>
        </w:tc>
        <w:tc>
          <w:tcPr>
            <w:tcW w:w="0" w:type="auto"/>
            <w:hideMark/>
          </w:tcPr>
          <w:p w14:paraId="36B5832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62.007.400</w:t>
            </w:r>
          </w:p>
        </w:tc>
        <w:tc>
          <w:tcPr>
            <w:tcW w:w="0" w:type="auto"/>
            <w:hideMark/>
          </w:tcPr>
          <w:p w14:paraId="6C75D2F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33.388.600</w:t>
            </w:r>
          </w:p>
        </w:tc>
      </w:tr>
      <w:tr w:rsidR="005730F0" w:rsidRPr="005730F0" w14:paraId="5ED87247" w14:textId="77777777" w:rsidTr="00204CBE">
        <w:tc>
          <w:tcPr>
            <w:tcW w:w="0" w:type="auto"/>
            <w:hideMark/>
          </w:tcPr>
          <w:p w14:paraId="1FAEDA3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4</w:t>
            </w:r>
          </w:p>
        </w:tc>
        <w:tc>
          <w:tcPr>
            <w:tcW w:w="0" w:type="auto"/>
            <w:hideMark/>
          </w:tcPr>
          <w:p w14:paraId="11F6DDE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Namo Suro Baru</w:t>
            </w:r>
          </w:p>
        </w:tc>
        <w:tc>
          <w:tcPr>
            <w:tcW w:w="0" w:type="auto"/>
            <w:hideMark/>
          </w:tcPr>
          <w:p w14:paraId="46AACF6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125.701.000</w:t>
            </w:r>
          </w:p>
        </w:tc>
        <w:tc>
          <w:tcPr>
            <w:tcW w:w="0" w:type="auto"/>
            <w:hideMark/>
          </w:tcPr>
          <w:p w14:paraId="21E3E4B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81.705.650</w:t>
            </w:r>
          </w:p>
        </w:tc>
        <w:tc>
          <w:tcPr>
            <w:tcW w:w="0" w:type="auto"/>
            <w:hideMark/>
          </w:tcPr>
          <w:p w14:paraId="3EC9CD5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43.995.350</w:t>
            </w:r>
          </w:p>
        </w:tc>
      </w:tr>
      <w:tr w:rsidR="005730F0" w:rsidRPr="005730F0" w14:paraId="09C0EC1C" w14:textId="77777777" w:rsidTr="00204CBE">
        <w:tc>
          <w:tcPr>
            <w:tcW w:w="0" w:type="auto"/>
            <w:hideMark/>
          </w:tcPr>
          <w:p w14:paraId="30A4F3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5</w:t>
            </w:r>
          </w:p>
        </w:tc>
        <w:tc>
          <w:tcPr>
            <w:tcW w:w="0" w:type="auto"/>
            <w:hideMark/>
          </w:tcPr>
          <w:p w14:paraId="43200EF6"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Kualah</w:t>
            </w:r>
            <w:proofErr w:type="spellEnd"/>
            <w:r w:rsidRPr="005730F0">
              <w:rPr>
                <w:rFonts w:ascii="Times New Roman" w:hAnsi="Times New Roman" w:cs="Times New Roman"/>
              </w:rPr>
              <w:t xml:space="preserve"> </w:t>
            </w:r>
            <w:proofErr w:type="spellStart"/>
            <w:r w:rsidRPr="005730F0">
              <w:rPr>
                <w:rFonts w:ascii="Times New Roman" w:hAnsi="Times New Roman" w:cs="Times New Roman"/>
              </w:rPr>
              <w:t>Dekah</w:t>
            </w:r>
            <w:proofErr w:type="spellEnd"/>
          </w:p>
        </w:tc>
        <w:tc>
          <w:tcPr>
            <w:tcW w:w="0" w:type="auto"/>
            <w:hideMark/>
          </w:tcPr>
          <w:p w14:paraId="3FEAC9A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95.672.000</w:t>
            </w:r>
          </w:p>
        </w:tc>
        <w:tc>
          <w:tcPr>
            <w:tcW w:w="0" w:type="auto"/>
            <w:hideMark/>
          </w:tcPr>
          <w:p w14:paraId="2D48220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62.186.800</w:t>
            </w:r>
          </w:p>
        </w:tc>
        <w:tc>
          <w:tcPr>
            <w:tcW w:w="0" w:type="auto"/>
            <w:hideMark/>
          </w:tcPr>
          <w:p w14:paraId="434D5B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33.485.200</w:t>
            </w:r>
          </w:p>
        </w:tc>
      </w:tr>
      <w:tr w:rsidR="005730F0" w:rsidRPr="005730F0" w14:paraId="3E4B5515" w14:textId="77777777" w:rsidTr="00204CBE">
        <w:tc>
          <w:tcPr>
            <w:tcW w:w="0" w:type="auto"/>
            <w:hideMark/>
          </w:tcPr>
          <w:p w14:paraId="492E9F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6</w:t>
            </w:r>
          </w:p>
        </w:tc>
        <w:tc>
          <w:tcPr>
            <w:tcW w:w="0" w:type="auto"/>
            <w:hideMark/>
          </w:tcPr>
          <w:p w14:paraId="1CAE9279"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Penen</w:t>
            </w:r>
            <w:proofErr w:type="spellEnd"/>
          </w:p>
        </w:tc>
        <w:tc>
          <w:tcPr>
            <w:tcW w:w="0" w:type="auto"/>
            <w:hideMark/>
          </w:tcPr>
          <w:p w14:paraId="7035DB2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95.873.000</w:t>
            </w:r>
          </w:p>
        </w:tc>
        <w:tc>
          <w:tcPr>
            <w:tcW w:w="0" w:type="auto"/>
            <w:hideMark/>
          </w:tcPr>
          <w:p w14:paraId="5D259E5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62.317.450</w:t>
            </w:r>
          </w:p>
        </w:tc>
        <w:tc>
          <w:tcPr>
            <w:tcW w:w="0" w:type="auto"/>
            <w:hideMark/>
          </w:tcPr>
          <w:p w14:paraId="07395A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33.555.550</w:t>
            </w:r>
          </w:p>
        </w:tc>
      </w:tr>
      <w:tr w:rsidR="005730F0" w:rsidRPr="005730F0" w14:paraId="2ED31C1B" w14:textId="77777777" w:rsidTr="00204CBE">
        <w:tc>
          <w:tcPr>
            <w:tcW w:w="0" w:type="auto"/>
            <w:hideMark/>
          </w:tcPr>
          <w:p w14:paraId="6B0BD72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7</w:t>
            </w:r>
          </w:p>
        </w:tc>
        <w:tc>
          <w:tcPr>
            <w:tcW w:w="0" w:type="auto"/>
            <w:hideMark/>
          </w:tcPr>
          <w:p w14:paraId="404ABD4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Rumah Great</w:t>
            </w:r>
          </w:p>
        </w:tc>
        <w:tc>
          <w:tcPr>
            <w:tcW w:w="0" w:type="auto"/>
            <w:hideMark/>
          </w:tcPr>
          <w:p w14:paraId="0E4D18C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95.590.000</w:t>
            </w:r>
          </w:p>
        </w:tc>
        <w:tc>
          <w:tcPr>
            <w:tcW w:w="0" w:type="auto"/>
            <w:hideMark/>
          </w:tcPr>
          <w:p w14:paraId="3EBD448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62.133.500</w:t>
            </w:r>
          </w:p>
        </w:tc>
        <w:tc>
          <w:tcPr>
            <w:tcW w:w="0" w:type="auto"/>
            <w:hideMark/>
          </w:tcPr>
          <w:p w14:paraId="7DFB5AB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33.456.500</w:t>
            </w:r>
          </w:p>
        </w:tc>
      </w:tr>
      <w:tr w:rsidR="005730F0" w:rsidRPr="005730F0" w14:paraId="4087F824" w14:textId="77777777" w:rsidTr="00204CBE">
        <w:tc>
          <w:tcPr>
            <w:tcW w:w="0" w:type="auto"/>
            <w:hideMark/>
          </w:tcPr>
          <w:p w14:paraId="73EA0F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8</w:t>
            </w:r>
          </w:p>
        </w:tc>
        <w:tc>
          <w:tcPr>
            <w:tcW w:w="0" w:type="auto"/>
            <w:hideMark/>
          </w:tcPr>
          <w:p w14:paraId="7563629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Selamat</w:t>
            </w:r>
          </w:p>
        </w:tc>
        <w:tc>
          <w:tcPr>
            <w:tcW w:w="0" w:type="auto"/>
            <w:hideMark/>
          </w:tcPr>
          <w:p w14:paraId="00CA61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97.774.000</w:t>
            </w:r>
          </w:p>
        </w:tc>
        <w:tc>
          <w:tcPr>
            <w:tcW w:w="0" w:type="auto"/>
            <w:hideMark/>
          </w:tcPr>
          <w:p w14:paraId="6F083DF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63.553.100</w:t>
            </w:r>
          </w:p>
        </w:tc>
        <w:tc>
          <w:tcPr>
            <w:tcW w:w="0" w:type="auto"/>
            <w:hideMark/>
          </w:tcPr>
          <w:p w14:paraId="2A3EA68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34.220.900</w:t>
            </w:r>
          </w:p>
        </w:tc>
      </w:tr>
      <w:tr w:rsidR="005730F0" w:rsidRPr="005730F0" w14:paraId="2A4483FF" w14:textId="77777777" w:rsidTr="00204CBE">
        <w:tc>
          <w:tcPr>
            <w:tcW w:w="0" w:type="auto"/>
            <w:hideMark/>
          </w:tcPr>
          <w:p w14:paraId="3B47482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8A8008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w:t>
            </w:r>
          </w:p>
        </w:tc>
        <w:tc>
          <w:tcPr>
            <w:tcW w:w="0" w:type="auto"/>
            <w:hideMark/>
          </w:tcPr>
          <w:p w14:paraId="2028CDE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820.515.000</w:t>
            </w:r>
          </w:p>
        </w:tc>
        <w:tc>
          <w:tcPr>
            <w:tcW w:w="0" w:type="auto"/>
            <w:hideMark/>
          </w:tcPr>
          <w:p w14:paraId="5870CE3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533.334.750</w:t>
            </w:r>
          </w:p>
        </w:tc>
        <w:tc>
          <w:tcPr>
            <w:tcW w:w="0" w:type="auto"/>
            <w:hideMark/>
          </w:tcPr>
          <w:p w14:paraId="7AA515D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287.180.250</w:t>
            </w:r>
          </w:p>
        </w:tc>
      </w:tr>
    </w:tbl>
    <w:p w14:paraId="218896D8" w14:textId="675BD34E" w:rsidR="005730F0" w:rsidRPr="005730F0" w:rsidRDefault="005730F0" w:rsidP="005730F0">
      <w:pPr>
        <w:jc w:val="both"/>
        <w:rPr>
          <w:rFonts w:ascii="Times New Roman" w:hAnsi="Times New Roman" w:cs="Times New Roman"/>
        </w:rPr>
      </w:pPr>
      <w:r w:rsidRPr="005730F0">
        <w:rPr>
          <w:rFonts w:ascii="Times New Roman" w:hAnsi="Times New Roman" w:cs="Times New Roman"/>
        </w:rPr>
        <w:br/>
        <w:t xml:space="preserve">Table 2 shows a stable spending rule: approximately </w:t>
      </w:r>
      <w:r w:rsidRPr="005730F0">
        <w:rPr>
          <w:rFonts w:ascii="Times New Roman" w:hAnsi="Times New Roman" w:cs="Times New Roman"/>
          <w:b/>
          <w:bCs/>
        </w:rPr>
        <w:t>65% for infrastructure</w:t>
      </w:r>
      <w:r w:rsidRPr="005730F0">
        <w:rPr>
          <w:rFonts w:ascii="Times New Roman" w:hAnsi="Times New Roman" w:cs="Times New Roman"/>
        </w:rPr>
        <w:t xml:space="preserve"> and </w:t>
      </w:r>
      <w:r w:rsidRPr="005730F0">
        <w:rPr>
          <w:rFonts w:ascii="Times New Roman" w:hAnsi="Times New Roman" w:cs="Times New Roman"/>
          <w:b/>
          <w:bCs/>
        </w:rPr>
        <w:t>35% for empowerment</w:t>
      </w:r>
      <w:r w:rsidRPr="005730F0">
        <w:rPr>
          <w:rFonts w:ascii="Times New Roman" w:hAnsi="Times New Roman" w:cs="Times New Roman"/>
        </w:rPr>
        <w:t xml:space="preserve"> across all listed villages, suggesting a uniform budgeting structure rather than a differentiated one. While this supports predictability, it may not fully reflect differing village needs and cost structures—especially for villages with damaged roads and weak bridges where infrastructure may require a heavier, more targeted focus on critical segments. The totals also show that the highest-funded village exceeds several others by a noticeable margin, while the constrained villages are not clearly </w:t>
      </w:r>
      <w:proofErr w:type="spellStart"/>
      <w:r w:rsidRPr="005730F0">
        <w:rPr>
          <w:rFonts w:ascii="Times New Roman" w:hAnsi="Times New Roman" w:cs="Times New Roman"/>
        </w:rPr>
        <w:t>prioritised</w:t>
      </w:r>
      <w:proofErr w:type="spellEnd"/>
      <w:r w:rsidRPr="005730F0">
        <w:rPr>
          <w:rFonts w:ascii="Times New Roman" w:hAnsi="Times New Roman" w:cs="Times New Roman"/>
        </w:rPr>
        <w:t xml:space="preserve"> in the totals displayed. For equity-oriented policy, this is a key implication: </w:t>
      </w:r>
      <w:r w:rsidRPr="005730F0">
        <w:rPr>
          <w:rFonts w:ascii="Times New Roman" w:hAnsi="Times New Roman" w:cs="Times New Roman"/>
          <w:b/>
          <w:bCs/>
        </w:rPr>
        <w:t>uniform composition and modest differences in totals can still leave high-constraint villages behind</w:t>
      </w:r>
      <w:r w:rsidRPr="005730F0">
        <w:rPr>
          <w:rFonts w:ascii="Times New Roman" w:hAnsi="Times New Roman" w:cs="Times New Roman"/>
        </w:rPr>
        <w:t xml:space="preserve"> if the allocation logic does not explicitly weight geographical difficulty and access costs.</w:t>
      </w:r>
    </w:p>
    <w:p w14:paraId="42BB49F0" w14:textId="60E1F01E" w:rsidR="005730F0" w:rsidRPr="005730F0" w:rsidRDefault="00204CBE" w:rsidP="005730F0">
      <w:pPr>
        <w:jc w:val="both"/>
        <w:rPr>
          <w:rFonts w:ascii="Times New Roman" w:hAnsi="Times New Roman" w:cs="Times New Roman"/>
          <w:b/>
          <w:bCs/>
        </w:rPr>
      </w:pPr>
      <w:r>
        <w:rPr>
          <w:rFonts w:ascii="Times New Roman" w:hAnsi="Times New Roman" w:cs="Times New Roman"/>
        </w:rPr>
        <w:t>3</w:t>
      </w:r>
      <w:r w:rsidR="005730F0" w:rsidRPr="005730F0">
        <w:rPr>
          <w:rFonts w:ascii="Times New Roman" w:hAnsi="Times New Roman" w:cs="Times New Roman"/>
          <w:b/>
          <w:bCs/>
        </w:rPr>
        <w:t>.3 SWOT Findings: Internal–External Strategic Position</w:t>
      </w:r>
    </w:p>
    <w:p w14:paraId="261043F9" w14:textId="77777777" w:rsidR="005730F0" w:rsidRDefault="005730F0" w:rsidP="005730F0">
      <w:pPr>
        <w:jc w:val="both"/>
        <w:rPr>
          <w:rFonts w:ascii="Times New Roman" w:hAnsi="Times New Roman" w:cs="Times New Roman"/>
        </w:rPr>
      </w:pPr>
      <w:r w:rsidRPr="005730F0">
        <w:rPr>
          <w:rFonts w:ascii="Times New Roman" w:hAnsi="Times New Roman" w:cs="Times New Roman"/>
        </w:rPr>
        <w:t>The thesis applies an Internal Factor Evaluation (IFE) and External Factor Evaluation (EFE) approach to translate field realities into a strategic posture. Internally, the strongest drivers relate to governance and demographic/territorial features (apparatus capacity, commitment, motivation, participation, area, population, poverty targeting, and internal audit). The dominant internal weakness is geographical difficulty—meaning the very factor that increases service delivery costs and restricts the conversion of potential into outcomes.</w:t>
      </w:r>
    </w:p>
    <w:p w14:paraId="590C5B62"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Externally, the strongest opportunities relate to the regulatory environment, macroeconomic conditions, government fiscal capacity, and accountability architecture. The main threat identified is the limited availability of facilitators or assistants that support village implementation capacity. </w:t>
      </w:r>
      <w:r w:rsidRPr="005730F0">
        <w:rPr>
          <w:rFonts w:ascii="Times New Roman" w:hAnsi="Times New Roman" w:cs="Times New Roman"/>
        </w:rPr>
        <w:lastRenderedPageBreak/>
        <w:t>Taken together, internal strengths and external opportunities outweigh weaknesses and threats, positioning Biru-Biru in a proactive posture—yet with a clear warning that geography remains the binding constraint that must be addressed to make growth inclusive.</w:t>
      </w:r>
    </w:p>
    <w:p w14:paraId="14D834ED" w14:textId="1AAAC644"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3. Internal Factors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750"/>
        <w:gridCol w:w="3345"/>
        <w:gridCol w:w="785"/>
        <w:gridCol w:w="950"/>
        <w:gridCol w:w="1819"/>
      </w:tblGrid>
      <w:tr w:rsidR="005730F0" w:rsidRPr="005730F0" w14:paraId="08A57248" w14:textId="77777777" w:rsidTr="00245108">
        <w:tc>
          <w:tcPr>
            <w:tcW w:w="0" w:type="auto"/>
            <w:hideMark/>
          </w:tcPr>
          <w:p w14:paraId="45731BF3"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Code</w:t>
            </w:r>
          </w:p>
        </w:tc>
        <w:tc>
          <w:tcPr>
            <w:tcW w:w="0" w:type="auto"/>
            <w:hideMark/>
          </w:tcPr>
          <w:p w14:paraId="6C04076D"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Internal Factor</w:t>
            </w:r>
          </w:p>
        </w:tc>
        <w:tc>
          <w:tcPr>
            <w:tcW w:w="0" w:type="auto"/>
            <w:hideMark/>
          </w:tcPr>
          <w:p w14:paraId="719DCBBE"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Score</w:t>
            </w:r>
          </w:p>
        </w:tc>
        <w:tc>
          <w:tcPr>
            <w:tcW w:w="0" w:type="auto"/>
            <w:hideMark/>
          </w:tcPr>
          <w:p w14:paraId="4D9E2EA2"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w:t>
            </w:r>
          </w:p>
        </w:tc>
        <w:tc>
          <w:tcPr>
            <w:tcW w:w="0" w:type="auto"/>
            <w:hideMark/>
          </w:tcPr>
          <w:p w14:paraId="486FEB5F"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Weighted Score</w:t>
            </w:r>
          </w:p>
        </w:tc>
      </w:tr>
      <w:tr w:rsidR="005730F0" w:rsidRPr="005730F0" w14:paraId="5B0A41BE" w14:textId="77777777" w:rsidTr="00245108">
        <w:tc>
          <w:tcPr>
            <w:tcW w:w="0" w:type="auto"/>
            <w:hideMark/>
          </w:tcPr>
          <w:p w14:paraId="4E1DF4A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w:t>
            </w:r>
          </w:p>
        </w:tc>
        <w:tc>
          <w:tcPr>
            <w:tcW w:w="0" w:type="auto"/>
            <w:hideMark/>
          </w:tcPr>
          <w:p w14:paraId="6E402D0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capacity</w:t>
            </w:r>
          </w:p>
        </w:tc>
        <w:tc>
          <w:tcPr>
            <w:tcW w:w="0" w:type="auto"/>
            <w:hideMark/>
          </w:tcPr>
          <w:p w14:paraId="2F0BFE0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3.53</w:t>
            </w:r>
          </w:p>
        </w:tc>
        <w:tc>
          <w:tcPr>
            <w:tcW w:w="0" w:type="auto"/>
            <w:hideMark/>
          </w:tcPr>
          <w:p w14:paraId="7A1DD51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0.10</w:t>
            </w:r>
          </w:p>
        </w:tc>
        <w:tc>
          <w:tcPr>
            <w:tcW w:w="0" w:type="auto"/>
            <w:hideMark/>
          </w:tcPr>
          <w:p w14:paraId="6585DA0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0.35</w:t>
            </w:r>
          </w:p>
        </w:tc>
      </w:tr>
      <w:tr w:rsidR="005730F0" w:rsidRPr="005730F0" w14:paraId="6B475F13" w14:textId="77777777" w:rsidTr="00245108">
        <w:tc>
          <w:tcPr>
            <w:tcW w:w="0" w:type="auto"/>
            <w:hideMark/>
          </w:tcPr>
          <w:p w14:paraId="3388F1E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B</w:t>
            </w:r>
          </w:p>
        </w:tc>
        <w:tc>
          <w:tcPr>
            <w:tcW w:w="0" w:type="auto"/>
            <w:hideMark/>
          </w:tcPr>
          <w:p w14:paraId="27B45F7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commitment</w:t>
            </w:r>
          </w:p>
        </w:tc>
        <w:tc>
          <w:tcPr>
            <w:tcW w:w="0" w:type="auto"/>
            <w:hideMark/>
          </w:tcPr>
          <w:p w14:paraId="4DBF357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3.34</w:t>
            </w:r>
          </w:p>
        </w:tc>
        <w:tc>
          <w:tcPr>
            <w:tcW w:w="0" w:type="auto"/>
            <w:hideMark/>
          </w:tcPr>
          <w:p w14:paraId="3B72086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20B8C41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0.37</w:t>
            </w:r>
          </w:p>
        </w:tc>
      </w:tr>
      <w:tr w:rsidR="005730F0" w:rsidRPr="005730F0" w14:paraId="2E1D68DC" w14:textId="77777777" w:rsidTr="00245108">
        <w:tc>
          <w:tcPr>
            <w:tcW w:w="0" w:type="auto"/>
            <w:hideMark/>
          </w:tcPr>
          <w:p w14:paraId="2C17490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w:t>
            </w:r>
          </w:p>
        </w:tc>
        <w:tc>
          <w:tcPr>
            <w:tcW w:w="0" w:type="auto"/>
            <w:hideMark/>
          </w:tcPr>
          <w:p w14:paraId="14584A7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motivation</w:t>
            </w:r>
          </w:p>
        </w:tc>
        <w:tc>
          <w:tcPr>
            <w:tcW w:w="0" w:type="auto"/>
            <w:hideMark/>
          </w:tcPr>
          <w:p w14:paraId="1A2D52F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3.24</w:t>
            </w:r>
          </w:p>
        </w:tc>
        <w:tc>
          <w:tcPr>
            <w:tcW w:w="0" w:type="auto"/>
            <w:hideMark/>
          </w:tcPr>
          <w:p w14:paraId="57D43C6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041ED6A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7101B459" w14:textId="77777777" w:rsidTr="00245108">
        <w:tc>
          <w:tcPr>
            <w:tcW w:w="0" w:type="auto"/>
            <w:hideMark/>
          </w:tcPr>
          <w:p w14:paraId="394C8F7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I</w:t>
            </w:r>
          </w:p>
        </w:tc>
        <w:tc>
          <w:tcPr>
            <w:tcW w:w="0" w:type="auto"/>
            <w:hideMark/>
          </w:tcPr>
          <w:p w14:paraId="4929D13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Community participation</w:t>
            </w:r>
          </w:p>
        </w:tc>
        <w:tc>
          <w:tcPr>
            <w:tcW w:w="0" w:type="auto"/>
            <w:hideMark/>
          </w:tcPr>
          <w:p w14:paraId="644C92F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3.24</w:t>
            </w:r>
          </w:p>
        </w:tc>
        <w:tc>
          <w:tcPr>
            <w:tcW w:w="0" w:type="auto"/>
            <w:hideMark/>
          </w:tcPr>
          <w:p w14:paraId="68AEA8A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0F880A5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165D9112" w14:textId="77777777" w:rsidTr="00245108">
        <w:tc>
          <w:tcPr>
            <w:tcW w:w="0" w:type="auto"/>
            <w:hideMark/>
          </w:tcPr>
          <w:p w14:paraId="6970A72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F</w:t>
            </w:r>
          </w:p>
        </w:tc>
        <w:tc>
          <w:tcPr>
            <w:tcW w:w="0" w:type="auto"/>
            <w:hideMark/>
          </w:tcPr>
          <w:p w14:paraId="21C86CF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Area size</w:t>
            </w:r>
          </w:p>
        </w:tc>
        <w:tc>
          <w:tcPr>
            <w:tcW w:w="0" w:type="auto"/>
            <w:hideMark/>
          </w:tcPr>
          <w:p w14:paraId="210805C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3.21</w:t>
            </w:r>
          </w:p>
        </w:tc>
        <w:tc>
          <w:tcPr>
            <w:tcW w:w="0" w:type="auto"/>
            <w:hideMark/>
          </w:tcPr>
          <w:p w14:paraId="4BD1C3C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494FD2F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640D5EFA" w14:textId="77777777" w:rsidTr="00245108">
        <w:tc>
          <w:tcPr>
            <w:tcW w:w="0" w:type="auto"/>
            <w:hideMark/>
          </w:tcPr>
          <w:p w14:paraId="1E93279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w:t>
            </w:r>
          </w:p>
        </w:tc>
        <w:tc>
          <w:tcPr>
            <w:tcW w:w="0" w:type="auto"/>
            <w:hideMark/>
          </w:tcPr>
          <w:p w14:paraId="0E63CE9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Population size</w:t>
            </w:r>
          </w:p>
        </w:tc>
        <w:tc>
          <w:tcPr>
            <w:tcW w:w="0" w:type="auto"/>
            <w:hideMark/>
          </w:tcPr>
          <w:p w14:paraId="25F82EF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3.20</w:t>
            </w:r>
          </w:p>
        </w:tc>
        <w:tc>
          <w:tcPr>
            <w:tcW w:w="0" w:type="auto"/>
            <w:hideMark/>
          </w:tcPr>
          <w:p w14:paraId="3D2DE27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2454CB7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0.35</w:t>
            </w:r>
          </w:p>
        </w:tc>
      </w:tr>
      <w:tr w:rsidR="005730F0" w:rsidRPr="005730F0" w14:paraId="3A0D0975" w14:textId="77777777" w:rsidTr="00245108">
        <w:tc>
          <w:tcPr>
            <w:tcW w:w="0" w:type="auto"/>
            <w:hideMark/>
          </w:tcPr>
          <w:p w14:paraId="70018E1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w:t>
            </w:r>
          </w:p>
        </w:tc>
        <w:tc>
          <w:tcPr>
            <w:tcW w:w="0" w:type="auto"/>
            <w:hideMark/>
          </w:tcPr>
          <w:p w14:paraId="06B5BA9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Poverty factor</w:t>
            </w:r>
          </w:p>
        </w:tc>
        <w:tc>
          <w:tcPr>
            <w:tcW w:w="0" w:type="auto"/>
            <w:hideMark/>
          </w:tcPr>
          <w:p w14:paraId="04C3F46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2.76</w:t>
            </w:r>
          </w:p>
        </w:tc>
        <w:tc>
          <w:tcPr>
            <w:tcW w:w="0" w:type="auto"/>
            <w:hideMark/>
          </w:tcPr>
          <w:p w14:paraId="6C84843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0.10</w:t>
            </w:r>
          </w:p>
        </w:tc>
        <w:tc>
          <w:tcPr>
            <w:tcW w:w="0" w:type="auto"/>
            <w:hideMark/>
          </w:tcPr>
          <w:p w14:paraId="32D1EA0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0.28</w:t>
            </w:r>
          </w:p>
        </w:tc>
      </w:tr>
      <w:tr w:rsidR="005730F0" w:rsidRPr="005730F0" w14:paraId="356E2DB6" w14:textId="77777777" w:rsidTr="00245108">
        <w:tc>
          <w:tcPr>
            <w:tcW w:w="0" w:type="auto"/>
            <w:hideMark/>
          </w:tcPr>
          <w:p w14:paraId="213096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w:t>
            </w:r>
          </w:p>
        </w:tc>
        <w:tc>
          <w:tcPr>
            <w:tcW w:w="0" w:type="auto"/>
            <w:hideMark/>
          </w:tcPr>
          <w:p w14:paraId="600429F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Internal audit system</w:t>
            </w:r>
          </w:p>
        </w:tc>
        <w:tc>
          <w:tcPr>
            <w:tcW w:w="0" w:type="auto"/>
            <w:hideMark/>
          </w:tcPr>
          <w:p w14:paraId="1ACC03C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2.60</w:t>
            </w:r>
          </w:p>
        </w:tc>
        <w:tc>
          <w:tcPr>
            <w:tcW w:w="0" w:type="auto"/>
            <w:hideMark/>
          </w:tcPr>
          <w:p w14:paraId="1FBA224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42C25CC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0.29</w:t>
            </w:r>
          </w:p>
        </w:tc>
      </w:tr>
      <w:tr w:rsidR="005730F0" w:rsidRPr="005730F0" w14:paraId="7031300C" w14:textId="77777777" w:rsidTr="00245108">
        <w:tc>
          <w:tcPr>
            <w:tcW w:w="0" w:type="auto"/>
            <w:hideMark/>
          </w:tcPr>
          <w:p w14:paraId="5EDC7CC7"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BABBA1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Strengths (S)</w:t>
            </w:r>
          </w:p>
        </w:tc>
        <w:tc>
          <w:tcPr>
            <w:tcW w:w="0" w:type="auto"/>
            <w:hideMark/>
          </w:tcPr>
          <w:p w14:paraId="160E7EAA"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51DFABA"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A28898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2.80</w:t>
            </w:r>
          </w:p>
        </w:tc>
      </w:tr>
      <w:tr w:rsidR="005730F0" w:rsidRPr="005730F0" w14:paraId="034120F2" w14:textId="77777777" w:rsidTr="00245108">
        <w:tc>
          <w:tcPr>
            <w:tcW w:w="0" w:type="auto"/>
            <w:hideMark/>
          </w:tcPr>
          <w:p w14:paraId="2A0D300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H</w:t>
            </w:r>
          </w:p>
        </w:tc>
        <w:tc>
          <w:tcPr>
            <w:tcW w:w="0" w:type="auto"/>
            <w:hideMark/>
          </w:tcPr>
          <w:p w14:paraId="56F9279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Geographical difficulty intensity</w:t>
            </w:r>
          </w:p>
        </w:tc>
        <w:tc>
          <w:tcPr>
            <w:tcW w:w="0" w:type="auto"/>
            <w:hideMark/>
          </w:tcPr>
          <w:p w14:paraId="2F70563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2.43</w:t>
            </w:r>
          </w:p>
        </w:tc>
        <w:tc>
          <w:tcPr>
            <w:tcW w:w="0" w:type="auto"/>
            <w:hideMark/>
          </w:tcPr>
          <w:p w14:paraId="03A7988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4F9431A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0.29</w:t>
            </w:r>
          </w:p>
        </w:tc>
      </w:tr>
      <w:tr w:rsidR="005730F0" w:rsidRPr="005730F0" w14:paraId="1734A66E" w14:textId="77777777" w:rsidTr="00245108">
        <w:tc>
          <w:tcPr>
            <w:tcW w:w="0" w:type="auto"/>
            <w:hideMark/>
          </w:tcPr>
          <w:p w14:paraId="74999883"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37CC71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Weaknesses (W)</w:t>
            </w:r>
          </w:p>
        </w:tc>
        <w:tc>
          <w:tcPr>
            <w:tcW w:w="0" w:type="auto"/>
            <w:hideMark/>
          </w:tcPr>
          <w:p w14:paraId="24ED89C1"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7CA7BE4"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DFFBE4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0.29</w:t>
            </w:r>
          </w:p>
        </w:tc>
      </w:tr>
      <w:tr w:rsidR="005730F0" w:rsidRPr="005730F0" w14:paraId="338D9A84" w14:textId="77777777" w:rsidTr="00245108">
        <w:tc>
          <w:tcPr>
            <w:tcW w:w="0" w:type="auto"/>
            <w:hideMark/>
          </w:tcPr>
          <w:p w14:paraId="59E1999C"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ECED2B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S − W (x-axis)</w:t>
            </w:r>
          </w:p>
        </w:tc>
        <w:tc>
          <w:tcPr>
            <w:tcW w:w="0" w:type="auto"/>
            <w:hideMark/>
          </w:tcPr>
          <w:p w14:paraId="1F7740B4"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CF9FB07"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5D2019E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2.51</w:t>
            </w:r>
          </w:p>
        </w:tc>
      </w:tr>
    </w:tbl>
    <w:p w14:paraId="5A6D8242" w14:textId="160FE56E" w:rsidR="005730F0" w:rsidRPr="005730F0" w:rsidRDefault="00245108" w:rsidP="005730F0">
      <w:pPr>
        <w:jc w:val="both"/>
        <w:rPr>
          <w:rFonts w:ascii="Times New Roman" w:hAnsi="Times New Roman" w:cs="Times New Roman"/>
        </w:rPr>
      </w:pPr>
      <w:r>
        <w:rPr>
          <w:rFonts w:ascii="Times New Roman" w:hAnsi="Times New Roman" w:cs="Times New Roman"/>
          <w:b/>
          <w:bCs/>
        </w:rPr>
        <w:t xml:space="preserve"> </w:t>
      </w:r>
      <w:r w:rsidR="005730F0" w:rsidRPr="005730F0">
        <w:rPr>
          <w:rFonts w:ascii="Times New Roman" w:hAnsi="Times New Roman" w:cs="Times New Roman"/>
        </w:rPr>
        <w:br/>
        <w:t>Table 3 indicates that internal readiness is generally strong, especially in apparatus-related factors and community participation. However, the single most critical weakness—geographical difficulty—acts as a “multiplier” of cost and risk, undermining how fast villages can translate spending into outcomes. This implies that governance strength alone is insufficient if the physical constraint remains unresolved. Therefore, the internal message is not simply “expand,” but “expand while removing the geographic bottleneck first.”</w:t>
      </w:r>
    </w:p>
    <w:p w14:paraId="362B02AE" w14:textId="77777777"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Table 4. External Factors (EFE Summary)</w:t>
      </w:r>
    </w:p>
    <w:tbl>
      <w:tblPr>
        <w:tblStyle w:val="TableGrid"/>
        <w:tblW w:w="0" w:type="auto"/>
        <w:tblLook w:val="04A0" w:firstRow="1" w:lastRow="0" w:firstColumn="1" w:lastColumn="0" w:noHBand="0" w:noVBand="1"/>
      </w:tblPr>
      <w:tblGrid>
        <w:gridCol w:w="750"/>
        <w:gridCol w:w="3023"/>
        <w:gridCol w:w="950"/>
        <w:gridCol w:w="785"/>
        <w:gridCol w:w="1819"/>
      </w:tblGrid>
      <w:tr w:rsidR="005730F0" w:rsidRPr="005730F0" w14:paraId="61B4E20D" w14:textId="77777777" w:rsidTr="00245108">
        <w:tc>
          <w:tcPr>
            <w:tcW w:w="0" w:type="auto"/>
            <w:hideMark/>
          </w:tcPr>
          <w:p w14:paraId="2B12ABD9"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Code</w:t>
            </w:r>
          </w:p>
        </w:tc>
        <w:tc>
          <w:tcPr>
            <w:tcW w:w="0" w:type="auto"/>
            <w:hideMark/>
          </w:tcPr>
          <w:p w14:paraId="0657671F"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External Factor</w:t>
            </w:r>
          </w:p>
        </w:tc>
        <w:tc>
          <w:tcPr>
            <w:tcW w:w="0" w:type="auto"/>
            <w:hideMark/>
          </w:tcPr>
          <w:p w14:paraId="621BC81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w:t>
            </w:r>
          </w:p>
        </w:tc>
        <w:tc>
          <w:tcPr>
            <w:tcW w:w="0" w:type="auto"/>
            <w:hideMark/>
          </w:tcPr>
          <w:p w14:paraId="5ED7B3D4"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Score</w:t>
            </w:r>
          </w:p>
        </w:tc>
        <w:tc>
          <w:tcPr>
            <w:tcW w:w="0" w:type="auto"/>
            <w:hideMark/>
          </w:tcPr>
          <w:p w14:paraId="141AC2EE"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Weighted Score</w:t>
            </w:r>
          </w:p>
        </w:tc>
      </w:tr>
      <w:tr w:rsidR="005730F0" w:rsidRPr="005730F0" w14:paraId="7D963346" w14:textId="77777777" w:rsidTr="00245108">
        <w:tc>
          <w:tcPr>
            <w:tcW w:w="0" w:type="auto"/>
            <w:hideMark/>
          </w:tcPr>
          <w:p w14:paraId="7350F26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w:t>
            </w:r>
          </w:p>
        </w:tc>
        <w:tc>
          <w:tcPr>
            <w:tcW w:w="0" w:type="auto"/>
            <w:hideMark/>
          </w:tcPr>
          <w:p w14:paraId="03701F8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Government fiscal condition</w:t>
            </w:r>
          </w:p>
        </w:tc>
        <w:tc>
          <w:tcPr>
            <w:tcW w:w="0" w:type="auto"/>
            <w:hideMark/>
          </w:tcPr>
          <w:p w14:paraId="7F773EA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0.16</w:t>
            </w:r>
          </w:p>
        </w:tc>
        <w:tc>
          <w:tcPr>
            <w:tcW w:w="0" w:type="auto"/>
            <w:hideMark/>
          </w:tcPr>
          <w:p w14:paraId="1CABBC7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3.37</w:t>
            </w:r>
          </w:p>
        </w:tc>
        <w:tc>
          <w:tcPr>
            <w:tcW w:w="0" w:type="auto"/>
            <w:hideMark/>
          </w:tcPr>
          <w:p w14:paraId="036966B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0.54</w:t>
            </w:r>
          </w:p>
        </w:tc>
      </w:tr>
      <w:tr w:rsidR="005730F0" w:rsidRPr="005730F0" w14:paraId="3A7FB782" w14:textId="77777777" w:rsidTr="00245108">
        <w:tc>
          <w:tcPr>
            <w:tcW w:w="0" w:type="auto"/>
            <w:hideMark/>
          </w:tcPr>
          <w:p w14:paraId="0639F87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w:t>
            </w:r>
          </w:p>
        </w:tc>
        <w:tc>
          <w:tcPr>
            <w:tcW w:w="0" w:type="auto"/>
            <w:hideMark/>
          </w:tcPr>
          <w:p w14:paraId="78FEE1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Macroeconomic condition</w:t>
            </w:r>
          </w:p>
        </w:tc>
        <w:tc>
          <w:tcPr>
            <w:tcW w:w="0" w:type="auto"/>
            <w:hideMark/>
          </w:tcPr>
          <w:p w14:paraId="651FA7A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0.16</w:t>
            </w:r>
          </w:p>
        </w:tc>
        <w:tc>
          <w:tcPr>
            <w:tcW w:w="0" w:type="auto"/>
            <w:hideMark/>
          </w:tcPr>
          <w:p w14:paraId="0A6F8BC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3.18</w:t>
            </w:r>
          </w:p>
        </w:tc>
        <w:tc>
          <w:tcPr>
            <w:tcW w:w="0" w:type="auto"/>
            <w:hideMark/>
          </w:tcPr>
          <w:p w14:paraId="74534B6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0.51</w:t>
            </w:r>
          </w:p>
        </w:tc>
      </w:tr>
      <w:tr w:rsidR="005730F0" w:rsidRPr="005730F0" w14:paraId="07658395" w14:textId="77777777" w:rsidTr="00245108">
        <w:tc>
          <w:tcPr>
            <w:tcW w:w="0" w:type="auto"/>
            <w:hideMark/>
          </w:tcPr>
          <w:p w14:paraId="50AFC60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B</w:t>
            </w:r>
          </w:p>
        </w:tc>
        <w:tc>
          <w:tcPr>
            <w:tcW w:w="0" w:type="auto"/>
            <w:hideMark/>
          </w:tcPr>
          <w:p w14:paraId="024CBF2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Transparency environment</w:t>
            </w:r>
          </w:p>
        </w:tc>
        <w:tc>
          <w:tcPr>
            <w:tcW w:w="0" w:type="auto"/>
            <w:hideMark/>
          </w:tcPr>
          <w:p w14:paraId="554F09D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543A98C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2.79</w:t>
            </w:r>
          </w:p>
        </w:tc>
        <w:tc>
          <w:tcPr>
            <w:tcW w:w="0" w:type="auto"/>
            <w:hideMark/>
          </w:tcPr>
          <w:p w14:paraId="67035F2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0.33</w:t>
            </w:r>
          </w:p>
        </w:tc>
      </w:tr>
      <w:tr w:rsidR="005730F0" w:rsidRPr="005730F0" w14:paraId="11F867B1" w14:textId="77777777" w:rsidTr="00245108">
        <w:tc>
          <w:tcPr>
            <w:tcW w:w="0" w:type="auto"/>
            <w:hideMark/>
          </w:tcPr>
          <w:p w14:paraId="5C7591A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lastRenderedPageBreak/>
              <w:t>C</w:t>
            </w:r>
          </w:p>
        </w:tc>
        <w:tc>
          <w:tcPr>
            <w:tcW w:w="0" w:type="auto"/>
            <w:hideMark/>
          </w:tcPr>
          <w:p w14:paraId="2561285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External audit accountability</w:t>
            </w:r>
          </w:p>
        </w:tc>
        <w:tc>
          <w:tcPr>
            <w:tcW w:w="0" w:type="auto"/>
            <w:hideMark/>
          </w:tcPr>
          <w:p w14:paraId="1B55F47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0.17</w:t>
            </w:r>
          </w:p>
        </w:tc>
        <w:tc>
          <w:tcPr>
            <w:tcW w:w="0" w:type="auto"/>
            <w:hideMark/>
          </w:tcPr>
          <w:p w14:paraId="4B9139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2.67</w:t>
            </w:r>
          </w:p>
        </w:tc>
        <w:tc>
          <w:tcPr>
            <w:tcW w:w="0" w:type="auto"/>
            <w:hideMark/>
          </w:tcPr>
          <w:p w14:paraId="1D599D6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0.45</w:t>
            </w:r>
          </w:p>
        </w:tc>
      </w:tr>
      <w:tr w:rsidR="005730F0" w:rsidRPr="005730F0" w14:paraId="43D2594D" w14:textId="77777777" w:rsidTr="00245108">
        <w:tc>
          <w:tcPr>
            <w:tcW w:w="0" w:type="auto"/>
            <w:hideMark/>
          </w:tcPr>
          <w:p w14:paraId="01AE9AA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w:t>
            </w:r>
          </w:p>
        </w:tc>
        <w:tc>
          <w:tcPr>
            <w:tcW w:w="0" w:type="auto"/>
            <w:hideMark/>
          </w:tcPr>
          <w:p w14:paraId="227029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Regulation / legal foundation</w:t>
            </w:r>
          </w:p>
        </w:tc>
        <w:tc>
          <w:tcPr>
            <w:tcW w:w="0" w:type="auto"/>
            <w:hideMark/>
          </w:tcPr>
          <w:p w14:paraId="43F200E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0.18</w:t>
            </w:r>
          </w:p>
        </w:tc>
        <w:tc>
          <w:tcPr>
            <w:tcW w:w="0" w:type="auto"/>
            <w:hideMark/>
          </w:tcPr>
          <w:p w14:paraId="3618B71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2.60</w:t>
            </w:r>
          </w:p>
        </w:tc>
        <w:tc>
          <w:tcPr>
            <w:tcW w:w="0" w:type="auto"/>
            <w:hideMark/>
          </w:tcPr>
          <w:p w14:paraId="6D35CBA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0.47</w:t>
            </w:r>
          </w:p>
        </w:tc>
      </w:tr>
      <w:tr w:rsidR="005730F0" w:rsidRPr="005730F0" w14:paraId="7F6C89BA" w14:textId="77777777" w:rsidTr="00245108">
        <w:tc>
          <w:tcPr>
            <w:tcW w:w="0" w:type="auto"/>
            <w:hideMark/>
          </w:tcPr>
          <w:p w14:paraId="77B8A939"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0240F02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Opportunities (O)</w:t>
            </w:r>
          </w:p>
        </w:tc>
        <w:tc>
          <w:tcPr>
            <w:tcW w:w="0" w:type="auto"/>
            <w:hideMark/>
          </w:tcPr>
          <w:p w14:paraId="10492F15"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629FED3B"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C5CCE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2.30</w:t>
            </w:r>
          </w:p>
        </w:tc>
      </w:tr>
      <w:tr w:rsidR="005730F0" w:rsidRPr="005730F0" w14:paraId="696EF4D3" w14:textId="77777777" w:rsidTr="00245108">
        <w:tc>
          <w:tcPr>
            <w:tcW w:w="0" w:type="auto"/>
            <w:hideMark/>
          </w:tcPr>
          <w:p w14:paraId="01EC9F9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F</w:t>
            </w:r>
          </w:p>
        </w:tc>
        <w:tc>
          <w:tcPr>
            <w:tcW w:w="0" w:type="auto"/>
            <w:hideMark/>
          </w:tcPr>
          <w:p w14:paraId="6DB3BAA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Availability of facilitators</w:t>
            </w:r>
          </w:p>
        </w:tc>
        <w:tc>
          <w:tcPr>
            <w:tcW w:w="0" w:type="auto"/>
            <w:hideMark/>
          </w:tcPr>
          <w:p w14:paraId="230D4F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0.21</w:t>
            </w:r>
          </w:p>
        </w:tc>
        <w:tc>
          <w:tcPr>
            <w:tcW w:w="0" w:type="auto"/>
            <w:hideMark/>
          </w:tcPr>
          <w:p w14:paraId="50B470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2.24</w:t>
            </w:r>
          </w:p>
        </w:tc>
        <w:tc>
          <w:tcPr>
            <w:tcW w:w="0" w:type="auto"/>
            <w:hideMark/>
          </w:tcPr>
          <w:p w14:paraId="35466A7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0.47</w:t>
            </w:r>
          </w:p>
        </w:tc>
      </w:tr>
      <w:tr w:rsidR="005730F0" w:rsidRPr="005730F0" w14:paraId="18BBF6F9" w14:textId="77777777" w:rsidTr="00245108">
        <w:tc>
          <w:tcPr>
            <w:tcW w:w="0" w:type="auto"/>
            <w:hideMark/>
          </w:tcPr>
          <w:p w14:paraId="60B33930"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56A5CDE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Threats (T)</w:t>
            </w:r>
          </w:p>
        </w:tc>
        <w:tc>
          <w:tcPr>
            <w:tcW w:w="0" w:type="auto"/>
            <w:hideMark/>
          </w:tcPr>
          <w:p w14:paraId="31D95DEE"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7AF537B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C6779E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0.47</w:t>
            </w:r>
          </w:p>
        </w:tc>
      </w:tr>
      <w:tr w:rsidR="005730F0" w:rsidRPr="005730F0" w14:paraId="7F41BB96" w14:textId="77777777" w:rsidTr="00245108">
        <w:tc>
          <w:tcPr>
            <w:tcW w:w="0" w:type="auto"/>
            <w:hideMark/>
          </w:tcPr>
          <w:p w14:paraId="7DFE6B72"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46CEF1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O − T (y-axis)</w:t>
            </w:r>
          </w:p>
        </w:tc>
        <w:tc>
          <w:tcPr>
            <w:tcW w:w="0" w:type="auto"/>
            <w:hideMark/>
          </w:tcPr>
          <w:p w14:paraId="021C6CB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178386E5"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BDAAD9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1.83</w:t>
            </w:r>
          </w:p>
        </w:tc>
      </w:tr>
    </w:tbl>
    <w:p w14:paraId="17C66BDF" w14:textId="52493220" w:rsidR="005730F0" w:rsidRPr="005730F0" w:rsidRDefault="00245108" w:rsidP="005730F0">
      <w:pPr>
        <w:jc w:val="both"/>
        <w:rPr>
          <w:rFonts w:ascii="Times New Roman" w:hAnsi="Times New Roman" w:cs="Times New Roman"/>
        </w:rPr>
      </w:pPr>
      <w:r>
        <w:rPr>
          <w:rFonts w:ascii="Times New Roman" w:hAnsi="Times New Roman" w:cs="Times New Roman"/>
          <w:b/>
          <w:bCs/>
        </w:rPr>
        <w:t xml:space="preserve"> </w:t>
      </w:r>
      <w:r w:rsidR="005730F0" w:rsidRPr="005730F0">
        <w:rPr>
          <w:rFonts w:ascii="Times New Roman" w:hAnsi="Times New Roman" w:cs="Times New Roman"/>
        </w:rPr>
        <w:t>Table 4 suggests that the external environment is broadly supportive—particularly due to fiscal room and a governance environment that encourages transparency and auditability. Yet, limited facilitator availability creates an implementation risk, especially for villages that already face geographic constraints and higher coordination costs. This combination points to the need for capacity building that reduces dependency on external facilitation. In equity terms, facilitator scarcity can disproportionately harm the most constrained villages unless local capacity is strengthened.</w:t>
      </w:r>
    </w:p>
    <w:p w14:paraId="3224FF96" w14:textId="1F834306"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Figure </w:t>
      </w:r>
      <w:r w:rsidR="00FD5BCC">
        <w:rPr>
          <w:rFonts w:ascii="Times New Roman" w:hAnsi="Times New Roman" w:cs="Times New Roman"/>
          <w:b/>
          <w:bCs/>
        </w:rPr>
        <w:t>3</w:t>
      </w:r>
      <w:r w:rsidRPr="005730F0">
        <w:rPr>
          <w:rFonts w:ascii="Times New Roman" w:hAnsi="Times New Roman" w:cs="Times New Roman"/>
          <w:b/>
          <w:bCs/>
        </w:rPr>
        <w:t>. SWOT Quadrant Position (Cartesian Diagram)</w:t>
      </w:r>
    </w:p>
    <w:p w14:paraId="506DF276"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Copy-friendly sketch:</w:t>
      </w:r>
    </w:p>
    <w:p w14:paraId="24FB71F5"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External Factors (O − T)</w:t>
      </w:r>
    </w:p>
    <w:p w14:paraId="5D4F9CB8"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+Y</w:t>
      </w:r>
    </w:p>
    <w:p w14:paraId="523C1B1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66E7BF1B"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Quadrant II | Quadrant I</w:t>
      </w:r>
    </w:p>
    <w:p w14:paraId="639B5DC7"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roofErr w:type="gramStart"/>
      <w:r w:rsidRPr="005730F0">
        <w:rPr>
          <w:rFonts w:ascii="Times New Roman" w:hAnsi="Times New Roman" w:cs="Times New Roman"/>
        </w:rPr>
        <w:t>Conservative)  |</w:t>
      </w:r>
      <w:proofErr w:type="gramEnd"/>
      <w:r w:rsidRPr="005730F0">
        <w:rPr>
          <w:rFonts w:ascii="Times New Roman" w:hAnsi="Times New Roman" w:cs="Times New Roman"/>
        </w:rPr>
        <w:t xml:space="preserve"> (Aggressive / Growth)</w:t>
      </w:r>
    </w:p>
    <w:p w14:paraId="5A69758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1ACDCA6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       • (</w:t>
      </w:r>
      <w:proofErr w:type="gramStart"/>
      <w:r w:rsidRPr="005730F0">
        <w:rPr>
          <w:rFonts w:ascii="Times New Roman" w:hAnsi="Times New Roman" w:cs="Times New Roman"/>
        </w:rPr>
        <w:t>2.51 ,</w:t>
      </w:r>
      <w:proofErr w:type="gramEnd"/>
      <w:r w:rsidRPr="005730F0">
        <w:rPr>
          <w:rFonts w:ascii="Times New Roman" w:hAnsi="Times New Roman" w:cs="Times New Roman"/>
        </w:rPr>
        <w:t xml:space="preserve"> 1.83)</w:t>
      </w:r>
    </w:p>
    <w:p w14:paraId="63D9B005"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3142A647"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--------------------------+--------------------------&gt; Internal Factors (S − W)</w:t>
      </w:r>
    </w:p>
    <w:p w14:paraId="64F1D24C"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2C1DAC0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Quadrant III| Quadrant IV</w:t>
      </w:r>
    </w:p>
    <w:p w14:paraId="095CD958"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(Defensive) | (Competitive)</w:t>
      </w:r>
    </w:p>
    <w:p w14:paraId="4A0AA7CF"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15D49BCD"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-Y</w:t>
      </w:r>
    </w:p>
    <w:p w14:paraId="1869B4A8" w14:textId="1AA6086D" w:rsidR="005730F0" w:rsidRPr="005730F0" w:rsidRDefault="00245108" w:rsidP="005730F0">
      <w:pPr>
        <w:jc w:val="both"/>
        <w:rPr>
          <w:rFonts w:ascii="Times New Roman" w:hAnsi="Times New Roman" w:cs="Times New Roman"/>
        </w:rPr>
      </w:pPr>
      <w:r>
        <w:rPr>
          <w:rFonts w:ascii="Times New Roman" w:hAnsi="Times New Roman" w:cs="Times New Roman"/>
          <w:b/>
          <w:bCs/>
        </w:rPr>
        <w:lastRenderedPageBreak/>
        <w:t xml:space="preserve"> </w:t>
      </w:r>
      <w:r w:rsidR="005730F0" w:rsidRPr="005730F0">
        <w:rPr>
          <w:rFonts w:ascii="Times New Roman" w:hAnsi="Times New Roman" w:cs="Times New Roman"/>
        </w:rPr>
        <w:br/>
        <w:t xml:space="preserve">Figure </w:t>
      </w:r>
      <w:r w:rsidR="00FD5BCC">
        <w:rPr>
          <w:rFonts w:ascii="Times New Roman" w:hAnsi="Times New Roman" w:cs="Times New Roman"/>
        </w:rPr>
        <w:t>3</w:t>
      </w:r>
      <w:r w:rsidR="005730F0" w:rsidRPr="005730F0">
        <w:rPr>
          <w:rFonts w:ascii="Times New Roman" w:hAnsi="Times New Roman" w:cs="Times New Roman"/>
        </w:rPr>
        <w:t xml:space="preserve"> places Biru-Biru in </w:t>
      </w:r>
      <w:r w:rsidR="005730F0" w:rsidRPr="005730F0">
        <w:rPr>
          <w:rFonts w:ascii="Times New Roman" w:hAnsi="Times New Roman" w:cs="Times New Roman"/>
          <w:b/>
          <w:bCs/>
        </w:rPr>
        <w:t>Quadrant I</w:t>
      </w:r>
      <w:r w:rsidR="005730F0" w:rsidRPr="005730F0">
        <w:rPr>
          <w:rFonts w:ascii="Times New Roman" w:hAnsi="Times New Roman" w:cs="Times New Roman"/>
        </w:rPr>
        <w:t>, meaning strengths and opportunities dominate. This supports a growth-oriented policy stance, but the quadrant position should not be read as “grow everywhere equally.” Instead, the correct interpretation is “grow by targeting the constraints that block equitable returns,” especially in villages with weak roads and bridges. The quadrant therefore justifies proactive development, while simultaneously requiring an equity lens in how priorities are sequenced.</w:t>
      </w:r>
    </w:p>
    <w:p w14:paraId="2A4458D0" w14:textId="5E9A9561" w:rsidR="005730F0" w:rsidRPr="005730F0" w:rsidRDefault="00245108" w:rsidP="005730F0">
      <w:pPr>
        <w:jc w:val="both"/>
        <w:rPr>
          <w:rFonts w:ascii="Times New Roman" w:hAnsi="Times New Roman" w:cs="Times New Roman"/>
        </w:rPr>
      </w:pPr>
      <w:r>
        <w:rPr>
          <w:rFonts w:ascii="Times New Roman" w:hAnsi="Times New Roman" w:cs="Times New Roman"/>
        </w:rPr>
        <w:t xml:space="preserve"> </w:t>
      </w:r>
    </w:p>
    <w:p w14:paraId="1B0FFDDB" w14:textId="1A286181" w:rsidR="005730F0" w:rsidRPr="005730F0" w:rsidRDefault="00245108"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.4 Integrated Discussion: What the Results Mean for Equitable, Potential-Based Allocation</w:t>
      </w:r>
    </w:p>
    <w:p w14:paraId="75714229" w14:textId="77777777" w:rsidR="0049153E" w:rsidRPr="0049153E" w:rsidRDefault="0049153E" w:rsidP="0049153E">
      <w:pPr>
        <w:jc w:val="both"/>
        <w:rPr>
          <w:rFonts w:ascii="Times New Roman" w:hAnsi="Times New Roman" w:cs="Times New Roman"/>
          <w:highlight w:val="yellow"/>
          <w:lang w:val="en-ID"/>
        </w:rPr>
      </w:pPr>
      <w:r w:rsidRPr="0049153E">
        <w:rPr>
          <w:rFonts w:ascii="Times New Roman" w:hAnsi="Times New Roman" w:cs="Times New Roman"/>
          <w:highlight w:val="yellow"/>
          <w:lang w:val="en-ID"/>
        </w:rPr>
        <w:t>Taken together, the findings point to a consistent logic. Biru-Biru possesses clear development potential—especially in agriculture, fisheries, and tourism—and its governance conditions are assessed as relatively strong. Yet geographical difficulty, manifested in infrastructure deficits, remains the most binding constraint. When Village Fund spending is implemented through a uniform template, high-constraint villages may remain locked into low returns even if they receive comparable “types” of expenditures. In this context, equity requires that both allocation decisions and program design reflect differences in cost-to-serve, access reliability, and the extent to which infrastructural constraints suppress local economic returns.</w:t>
      </w:r>
    </w:p>
    <w:p w14:paraId="15040ACB" w14:textId="77777777" w:rsidR="0049153E" w:rsidRPr="0049153E" w:rsidRDefault="0049153E" w:rsidP="0049153E">
      <w:pPr>
        <w:jc w:val="both"/>
        <w:rPr>
          <w:rFonts w:ascii="Times New Roman" w:hAnsi="Times New Roman" w:cs="Times New Roman"/>
          <w:highlight w:val="yellow"/>
          <w:lang w:val="en-ID"/>
        </w:rPr>
      </w:pPr>
      <w:r w:rsidRPr="0049153E">
        <w:rPr>
          <w:rFonts w:ascii="Times New Roman" w:hAnsi="Times New Roman" w:cs="Times New Roman"/>
          <w:highlight w:val="yellow"/>
          <w:lang w:val="en-ID"/>
        </w:rPr>
        <w:t>The allocation pattern presented in the article also indicates that the overall spending mix is consistently infrastructure-heavy (approximately two-thirds) across villages. This orientation can be effective when infrastructure investments are sharply targeted to the most critical links—such as severely damaged road segments, strategic bridges, and access routes connecting production areas and tourism sites to markets and services. Without such targeting, however, identical spending shares can yield unequal outcomes: better-connected villages may translate investments into growth more rapidly, while constrained villages see smaller marginal gains. Equity, therefore, is less about applying the same percentages everywhere and more about differentiating the investment focus—especially within the infrastructure category—based on the severity and economic significance of local bottlenecks.</w:t>
      </w:r>
    </w:p>
    <w:p w14:paraId="571ED6CD" w14:textId="6F4A5217" w:rsidR="0049153E" w:rsidRPr="0049153E" w:rsidRDefault="0049153E" w:rsidP="0049153E">
      <w:pPr>
        <w:jc w:val="both"/>
        <w:rPr>
          <w:rFonts w:ascii="Times New Roman" w:hAnsi="Times New Roman" w:cs="Times New Roman"/>
          <w:lang w:val="en-ID"/>
        </w:rPr>
      </w:pPr>
      <w:r w:rsidRPr="0049153E">
        <w:rPr>
          <w:rFonts w:ascii="Times New Roman" w:hAnsi="Times New Roman" w:cs="Times New Roman"/>
          <w:highlight w:val="yellow"/>
          <w:lang w:val="en-ID"/>
        </w:rPr>
        <w:t>The SWOT results reinforce a practical bundle of strategies aligned with these realities. A growth-oriented posture is appropriate, but it must be equity-sensitive through: (1) prioritising last-mile road and bridge reliability in high-constraint villages; (2) strengthening village financial information systems and internal audit functions to sustain transparency and accountability; (3) expanding meaningful community participation in planning and monitoring to reduce misalignment and leakage; (4) building the capacity of village officials and implementers to reduce dependence when external facilitators are limited; and (5) promoting inter-village collaboration where constraints and opportunities cut across administrative boundaries, such as shared access corridors and integrated tourism routes. Under this logic, Biru-Biru can pursue growth while systematically narrowing gaps between better-equipped villages and those facing the greatest constraints.</w:t>
      </w:r>
    </w:p>
    <w:p w14:paraId="6A52C67F" w14:textId="0BBBB222" w:rsidR="00432CC3" w:rsidRPr="005730F0" w:rsidRDefault="00245108" w:rsidP="00432CC3">
      <w:pPr>
        <w:jc w:val="both"/>
        <w:rPr>
          <w:rFonts w:ascii="Times New Roman" w:hAnsi="Times New Roman" w:cs="Times New Roman"/>
          <w:b/>
          <w:bCs/>
        </w:rPr>
      </w:pPr>
      <w:r>
        <w:rPr>
          <w:rFonts w:ascii="Times New Roman" w:hAnsi="Times New Roman" w:cs="Times New Roman"/>
          <w:b/>
          <w:bCs/>
        </w:rPr>
        <w:lastRenderedPageBreak/>
        <w:t xml:space="preserve">4. </w:t>
      </w:r>
      <w:r w:rsidR="005730F0">
        <w:rPr>
          <w:rFonts w:ascii="Times New Roman" w:hAnsi="Times New Roman" w:cs="Times New Roman"/>
          <w:b/>
          <w:bCs/>
        </w:rPr>
        <w:t>Conclusion and Recommendations</w:t>
      </w:r>
    </w:p>
    <w:p w14:paraId="60DEA701" w14:textId="77777777" w:rsidR="00DE4E2E" w:rsidRPr="00DE4E2E" w:rsidRDefault="00DE4E2E" w:rsidP="00DE4E2E">
      <w:pPr>
        <w:jc w:val="both"/>
        <w:rPr>
          <w:rFonts w:ascii="Times New Roman" w:hAnsi="Times New Roman" w:cs="Times New Roman"/>
        </w:rPr>
      </w:pPr>
      <w:r w:rsidRPr="00DE4E2E">
        <w:rPr>
          <w:rFonts w:ascii="Times New Roman" w:hAnsi="Times New Roman" w:cs="Times New Roman"/>
        </w:rPr>
        <w:t>This study finds that Biru-Biru Subdistrict has strong development prospects because many villages possess clear economic potential—especially in agriculture, fisheries, and nature-based tourism—supported by generally positive internal governance conditions and a supportive external policy environment. However, the most binding constraint is geographical difficulty manifested in last-mile infrastructure gaps, particularly damaged roads and weak bridges, which limits mobility, increases logistics costs, and suppresses the ability of constrained villages to convert potential into welfare gains. The observed Village Fund spending pattern is largely uniform across villages (infrastructure-dominant with a smaller empowerment share), which can unintentionally reproduce disparities when villages face different cost-to-serve conditions. Therefore, the key conclusion is that “growth-oriented” Village Fund management is appropriate in Biru-Biru, but it must be implemented through an equity-sensitive logic that prioritizes constraint removal in villages with higher structural disadvantages.</w:t>
      </w:r>
    </w:p>
    <w:p w14:paraId="58B9AFB2" w14:textId="50092A8D" w:rsidR="00DE4E2E" w:rsidRDefault="00DE4E2E" w:rsidP="00DE4E2E">
      <w:pPr>
        <w:jc w:val="both"/>
        <w:rPr>
          <w:rFonts w:ascii="Times New Roman" w:hAnsi="Times New Roman" w:cs="Times New Roman"/>
        </w:rPr>
      </w:pPr>
      <w:r w:rsidRPr="00DE4E2E">
        <w:rPr>
          <w:rFonts w:ascii="Times New Roman" w:hAnsi="Times New Roman" w:cs="Times New Roman"/>
        </w:rPr>
        <w:t>Accordingly, the recommended approach is to adopt a potential-and-constraint–based prioritization model that explicitly weights geographic difficulty and access reliability when determining program focus and the sequencing of investments. Practically, high-constraint villages should receive first-line attention for critical road and bridge rehabilitation and routine maintenance, while better-connected villages can accelerate productive investments and economic activation (e.g., value-chain support and tourism readiness). In parallel, governance strengthening is essential: upgrading village financial information systems, reinforcing internal control and participatory monitoring, and building local capacity through structured training and inter-village peer support to reduce reliance on scarce external facilitators. Finally, implementation should be tracked with simple performance indicators—access reliability, reporting timeliness, community oversight frequency, and basic economic signals—so that Village Fund use becomes not only accountable, but also demonstrably aligned with the potentials and constraints of each village.</w:t>
      </w:r>
    </w:p>
    <w:p w14:paraId="2EBB0542" w14:textId="4F0FFFE0" w:rsidR="00FC7486" w:rsidRDefault="00FC7486" w:rsidP="00DE4E2E">
      <w:pPr>
        <w:jc w:val="both"/>
        <w:rPr>
          <w:rFonts w:ascii="Times New Roman" w:hAnsi="Times New Roman" w:cs="Times New Roman"/>
          <w:b/>
          <w:bCs/>
        </w:rPr>
      </w:pPr>
      <w:r>
        <w:rPr>
          <w:rFonts w:ascii="Times New Roman" w:hAnsi="Times New Roman" w:cs="Times New Roman"/>
          <w:b/>
          <w:bCs/>
        </w:rPr>
        <w:t>Research Limitation</w:t>
      </w:r>
    </w:p>
    <w:p w14:paraId="01A9310A" w14:textId="0A23C2DB" w:rsidR="00FC7486" w:rsidRPr="00FC7486" w:rsidRDefault="00FC7486" w:rsidP="00DE4E2E">
      <w:pPr>
        <w:jc w:val="both"/>
        <w:rPr>
          <w:rFonts w:ascii="Times New Roman" w:hAnsi="Times New Roman" w:cs="Times New Roman"/>
        </w:rPr>
      </w:pPr>
      <w:r w:rsidRPr="00FC7486">
        <w:rPr>
          <w:rFonts w:ascii="Times New Roman" w:hAnsi="Times New Roman" w:cs="Times New Roman"/>
        </w:rPr>
        <w:t>This study uses a case-study design focused on Biru-Biru Subdistrict; therefore, findings are analytically generalizable to similar contexts but are not intended to represent all Indonesian subdistricts. Community respondents were selected using accidental (convenience) sampling, which may introduce selection bias and limit representativeness across villages and demographic groups. In addition, SWOT/IFE–EFE scoring, while structured, can be influenced by stakeholder perceptions and researcher judgment. To reduce these risks, the study triangulates evidence from interviews, community surveys, field observations, and administrative/statistical documents, and it interprets results as an equity-focused diagnostic for prioritization rather than a causal claim about Village Fund impacts</w:t>
      </w:r>
      <w:r>
        <w:rPr>
          <w:rFonts w:ascii="Times New Roman" w:hAnsi="Times New Roman" w:cs="Times New Roman"/>
        </w:rPr>
        <w:t>.</w:t>
      </w:r>
    </w:p>
    <w:p w14:paraId="2BD142B3" w14:textId="77777777" w:rsidR="00521469" w:rsidRPr="00740879" w:rsidRDefault="00521469" w:rsidP="00521469">
      <w:pPr>
        <w:rPr>
          <w:highlight w:val="yellow"/>
        </w:rPr>
      </w:pPr>
      <w:r w:rsidRPr="00740879">
        <w:rPr>
          <w:highlight w:val="yellow"/>
        </w:rPr>
        <w:t>Disclaimer (Artificial intelligence)</w:t>
      </w:r>
    </w:p>
    <w:p w14:paraId="15F89317" w14:textId="77777777" w:rsidR="00521469" w:rsidRPr="00740879" w:rsidRDefault="00521469" w:rsidP="00521469">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AB23293" w14:textId="77777777" w:rsidR="00521469" w:rsidRPr="00DE4E2E" w:rsidRDefault="00521469" w:rsidP="00DE4E2E">
      <w:pPr>
        <w:jc w:val="both"/>
        <w:rPr>
          <w:rFonts w:ascii="Times New Roman" w:hAnsi="Times New Roman" w:cs="Times New Roman"/>
        </w:rPr>
      </w:pPr>
    </w:p>
    <w:p w14:paraId="6ABB93A9" w14:textId="77777777" w:rsidR="00204CBE" w:rsidRPr="00204CBE" w:rsidRDefault="00204CBE" w:rsidP="00204CBE">
      <w:pPr>
        <w:jc w:val="both"/>
        <w:rPr>
          <w:rFonts w:ascii="Times New Roman" w:hAnsi="Times New Roman" w:cs="Times New Roman"/>
          <w:b/>
          <w:bCs/>
        </w:rPr>
      </w:pPr>
      <w:r w:rsidRPr="00204CBE">
        <w:rPr>
          <w:rFonts w:ascii="Times New Roman" w:hAnsi="Times New Roman" w:cs="Times New Roman"/>
          <w:b/>
          <w:bCs/>
        </w:rPr>
        <w:t>References (APA 7th)</w:t>
      </w:r>
    </w:p>
    <w:p w14:paraId="391CA23F"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Adji, A., </w:t>
      </w:r>
      <w:proofErr w:type="spellStart"/>
      <w:r w:rsidRPr="009237E2">
        <w:rPr>
          <w:rFonts w:ascii="Times New Roman" w:hAnsi="Times New Roman" w:cs="Times New Roman"/>
        </w:rPr>
        <w:t>Tuhiman</w:t>
      </w:r>
      <w:proofErr w:type="spellEnd"/>
      <w:r w:rsidRPr="009237E2">
        <w:rPr>
          <w:rFonts w:ascii="Times New Roman" w:hAnsi="Times New Roman" w:cs="Times New Roman"/>
        </w:rPr>
        <w:t xml:space="preserve">, H., </w:t>
      </w:r>
      <w:proofErr w:type="spellStart"/>
      <w:r w:rsidRPr="009237E2">
        <w:rPr>
          <w:rFonts w:ascii="Times New Roman" w:hAnsi="Times New Roman" w:cs="Times New Roman"/>
        </w:rPr>
        <w:t>Asmanto</w:t>
      </w:r>
      <w:proofErr w:type="spellEnd"/>
      <w:r w:rsidRPr="009237E2">
        <w:rPr>
          <w:rFonts w:ascii="Times New Roman" w:hAnsi="Times New Roman" w:cs="Times New Roman"/>
        </w:rPr>
        <w:t xml:space="preserve">, P., Hidayat, T., &amp; Octaviano, R. (2019, November). </w:t>
      </w:r>
      <w:r w:rsidRPr="009237E2">
        <w:rPr>
          <w:rFonts w:ascii="Times New Roman" w:hAnsi="Times New Roman" w:cs="Times New Roman"/>
          <w:i/>
          <w:iCs/>
        </w:rPr>
        <w:t>Promoting effectiveness of village development through performance allocation</w:t>
      </w:r>
      <w:r w:rsidRPr="009237E2">
        <w:rPr>
          <w:rFonts w:ascii="Times New Roman" w:hAnsi="Times New Roman" w:cs="Times New Roman"/>
        </w:rPr>
        <w:t xml:space="preserve"> (Policy brief). The National Team for the Acceleration of Poverty Reduction (TNP2K).</w:t>
      </w:r>
    </w:p>
    <w:p w14:paraId="1A891B4A"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Ginting, A. H., </w:t>
      </w:r>
      <w:proofErr w:type="spellStart"/>
      <w:r w:rsidRPr="009237E2">
        <w:rPr>
          <w:rFonts w:ascii="Times New Roman" w:hAnsi="Times New Roman" w:cs="Times New Roman"/>
        </w:rPr>
        <w:t>Widianingsih</w:t>
      </w:r>
      <w:proofErr w:type="spellEnd"/>
      <w:r w:rsidRPr="009237E2">
        <w:rPr>
          <w:rFonts w:ascii="Times New Roman" w:hAnsi="Times New Roman" w:cs="Times New Roman"/>
        </w:rPr>
        <w:t xml:space="preserve">, I., </w:t>
      </w:r>
      <w:proofErr w:type="spellStart"/>
      <w:r w:rsidRPr="009237E2">
        <w:rPr>
          <w:rFonts w:ascii="Times New Roman" w:hAnsi="Times New Roman" w:cs="Times New Roman"/>
        </w:rPr>
        <w:t>Mulyawan</w:t>
      </w:r>
      <w:proofErr w:type="spellEnd"/>
      <w:r w:rsidRPr="009237E2">
        <w:rPr>
          <w:rFonts w:ascii="Times New Roman" w:hAnsi="Times New Roman" w:cs="Times New Roman"/>
        </w:rPr>
        <w:t xml:space="preserve">, R., &amp; Nurasa, H. (2024). Village fund program in </w:t>
      </w:r>
      <w:proofErr w:type="spellStart"/>
      <w:r w:rsidRPr="009237E2">
        <w:rPr>
          <w:rFonts w:ascii="Times New Roman" w:hAnsi="Times New Roman" w:cs="Times New Roman"/>
        </w:rPr>
        <w:t>Cibeureum</w:t>
      </w:r>
      <w:proofErr w:type="spellEnd"/>
      <w:r w:rsidRPr="009237E2">
        <w:rPr>
          <w:rFonts w:ascii="Times New Roman" w:hAnsi="Times New Roman" w:cs="Times New Roman"/>
        </w:rPr>
        <w:t xml:space="preserve"> and </w:t>
      </w:r>
      <w:proofErr w:type="spellStart"/>
      <w:r w:rsidRPr="009237E2">
        <w:rPr>
          <w:rFonts w:ascii="Times New Roman" w:hAnsi="Times New Roman" w:cs="Times New Roman"/>
        </w:rPr>
        <w:t>Sukapura</w:t>
      </w:r>
      <w:proofErr w:type="spellEnd"/>
      <w:r w:rsidRPr="009237E2">
        <w:rPr>
          <w:rFonts w:ascii="Times New Roman" w:hAnsi="Times New Roman" w:cs="Times New Roman"/>
        </w:rPr>
        <w:t xml:space="preserve"> village, Bandung Regency, Indonesia: Problems, risks, and solutions. </w:t>
      </w:r>
      <w:r w:rsidRPr="009237E2">
        <w:rPr>
          <w:rFonts w:ascii="Times New Roman" w:hAnsi="Times New Roman" w:cs="Times New Roman"/>
          <w:i/>
          <w:iCs/>
        </w:rPr>
        <w:t>Cogent Social Sciences, 10</w:t>
      </w:r>
      <w:r w:rsidRPr="009237E2">
        <w:rPr>
          <w:rFonts w:ascii="Times New Roman" w:hAnsi="Times New Roman" w:cs="Times New Roman"/>
        </w:rPr>
        <w:t>(1), 2303452. doi:10.1080/23311886.2024.2303452</w:t>
      </w:r>
    </w:p>
    <w:p w14:paraId="18E8958A" w14:textId="77777777" w:rsidR="00204CBE" w:rsidRPr="009237E2" w:rsidRDefault="00204CBE" w:rsidP="009237E2">
      <w:pPr>
        <w:pStyle w:val="ListParagraph"/>
        <w:numPr>
          <w:ilvl w:val="0"/>
          <w:numId w:val="1"/>
        </w:numPr>
        <w:jc w:val="both"/>
        <w:rPr>
          <w:rFonts w:ascii="Times New Roman" w:hAnsi="Times New Roman" w:cs="Times New Roman"/>
        </w:rPr>
      </w:pPr>
      <w:proofErr w:type="spellStart"/>
      <w:r w:rsidRPr="009237E2">
        <w:rPr>
          <w:rFonts w:ascii="Times New Roman" w:hAnsi="Times New Roman" w:cs="Times New Roman"/>
        </w:rPr>
        <w:t>Hilmawan</w:t>
      </w:r>
      <w:proofErr w:type="spellEnd"/>
      <w:r w:rsidRPr="009237E2">
        <w:rPr>
          <w:rFonts w:ascii="Times New Roman" w:hAnsi="Times New Roman" w:cs="Times New Roman"/>
        </w:rPr>
        <w:t xml:space="preserve">, R., </w:t>
      </w:r>
      <w:proofErr w:type="spellStart"/>
      <w:r w:rsidRPr="009237E2">
        <w:rPr>
          <w:rFonts w:ascii="Times New Roman" w:hAnsi="Times New Roman" w:cs="Times New Roman"/>
        </w:rPr>
        <w:t>Aprianti</w:t>
      </w:r>
      <w:proofErr w:type="spellEnd"/>
      <w:r w:rsidRPr="009237E2">
        <w:rPr>
          <w:rFonts w:ascii="Times New Roman" w:hAnsi="Times New Roman" w:cs="Times New Roman"/>
        </w:rPr>
        <w:t xml:space="preserve">, Y., Vo, D. T. H., </w:t>
      </w:r>
      <w:proofErr w:type="spellStart"/>
      <w:r w:rsidRPr="009237E2">
        <w:rPr>
          <w:rFonts w:ascii="Times New Roman" w:hAnsi="Times New Roman" w:cs="Times New Roman"/>
        </w:rPr>
        <w:t>Yudaruddin</w:t>
      </w:r>
      <w:proofErr w:type="spellEnd"/>
      <w:r w:rsidRPr="009237E2">
        <w:rPr>
          <w:rFonts w:ascii="Times New Roman" w:hAnsi="Times New Roman" w:cs="Times New Roman"/>
        </w:rPr>
        <w:t xml:space="preserve">, R., </w:t>
      </w:r>
      <w:proofErr w:type="spellStart"/>
      <w:r w:rsidRPr="009237E2">
        <w:rPr>
          <w:rFonts w:ascii="Times New Roman" w:hAnsi="Times New Roman" w:cs="Times New Roman"/>
        </w:rPr>
        <w:t>Bintoro</w:t>
      </w:r>
      <w:proofErr w:type="spellEnd"/>
      <w:r w:rsidRPr="009237E2">
        <w:rPr>
          <w:rFonts w:ascii="Times New Roman" w:hAnsi="Times New Roman" w:cs="Times New Roman"/>
        </w:rPr>
        <w:t xml:space="preserve">, R. F. A., </w:t>
      </w:r>
      <w:proofErr w:type="spellStart"/>
      <w:r w:rsidRPr="009237E2">
        <w:rPr>
          <w:rFonts w:ascii="Times New Roman" w:hAnsi="Times New Roman" w:cs="Times New Roman"/>
        </w:rPr>
        <w:t>Fitrianto</w:t>
      </w:r>
      <w:proofErr w:type="spellEnd"/>
      <w:r w:rsidRPr="009237E2">
        <w:rPr>
          <w:rFonts w:ascii="Times New Roman" w:hAnsi="Times New Roman" w:cs="Times New Roman"/>
        </w:rPr>
        <w:t xml:space="preserve">, Y., &amp; Wahyuningsih, N. (2023). Rural development from village funds, village-owned enterprises, and village original income. </w:t>
      </w:r>
      <w:r w:rsidRPr="009237E2">
        <w:rPr>
          <w:rFonts w:ascii="Times New Roman" w:hAnsi="Times New Roman" w:cs="Times New Roman"/>
          <w:i/>
          <w:iCs/>
        </w:rPr>
        <w:t>Journal of Open Innovation: Technology, Market, and Complexity, 9</w:t>
      </w:r>
      <w:r w:rsidRPr="009237E2">
        <w:rPr>
          <w:rFonts w:ascii="Times New Roman" w:hAnsi="Times New Roman" w:cs="Times New Roman"/>
        </w:rPr>
        <w:t xml:space="preserve">(4), 100159. </w:t>
      </w:r>
      <w:proofErr w:type="gramStart"/>
      <w:r w:rsidRPr="009237E2">
        <w:rPr>
          <w:rFonts w:ascii="Times New Roman" w:hAnsi="Times New Roman" w:cs="Times New Roman"/>
        </w:rPr>
        <w:t>doi:10.1016/j.joitmc</w:t>
      </w:r>
      <w:proofErr w:type="gramEnd"/>
      <w:r w:rsidRPr="009237E2">
        <w:rPr>
          <w:rFonts w:ascii="Times New Roman" w:hAnsi="Times New Roman" w:cs="Times New Roman"/>
        </w:rPr>
        <w:t>.2023.100159</w:t>
      </w:r>
    </w:p>
    <w:p w14:paraId="2DBD96B1"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Kyriacou, A. P., &amp; Roca-</w:t>
      </w:r>
      <w:proofErr w:type="spellStart"/>
      <w:r w:rsidRPr="009237E2">
        <w:rPr>
          <w:rFonts w:ascii="Times New Roman" w:hAnsi="Times New Roman" w:cs="Times New Roman"/>
        </w:rPr>
        <w:t>Sagalés</w:t>
      </w:r>
      <w:proofErr w:type="spellEnd"/>
      <w:r w:rsidRPr="009237E2">
        <w:rPr>
          <w:rFonts w:ascii="Times New Roman" w:hAnsi="Times New Roman" w:cs="Times New Roman"/>
        </w:rPr>
        <w:t xml:space="preserve">, O. (2011). Fiscal decentralization and government quality in the OECD. </w:t>
      </w:r>
      <w:r w:rsidRPr="009237E2">
        <w:rPr>
          <w:rFonts w:ascii="Times New Roman" w:hAnsi="Times New Roman" w:cs="Times New Roman"/>
          <w:i/>
          <w:iCs/>
        </w:rPr>
        <w:t>Economics Letters, 111</w:t>
      </w:r>
      <w:r w:rsidRPr="009237E2">
        <w:rPr>
          <w:rFonts w:ascii="Times New Roman" w:hAnsi="Times New Roman" w:cs="Times New Roman"/>
        </w:rPr>
        <w:t xml:space="preserve">(3), 191–193. </w:t>
      </w:r>
      <w:proofErr w:type="gramStart"/>
      <w:r w:rsidRPr="009237E2">
        <w:rPr>
          <w:rFonts w:ascii="Times New Roman" w:hAnsi="Times New Roman" w:cs="Times New Roman"/>
        </w:rPr>
        <w:t>doi:10.1016/j.econlet</w:t>
      </w:r>
      <w:proofErr w:type="gramEnd"/>
      <w:r w:rsidRPr="009237E2">
        <w:rPr>
          <w:rFonts w:ascii="Times New Roman" w:hAnsi="Times New Roman" w:cs="Times New Roman"/>
        </w:rPr>
        <w:t>.2011.02.019</w:t>
      </w:r>
    </w:p>
    <w:p w14:paraId="1FB280FD" w14:textId="77777777" w:rsidR="008A4715" w:rsidRPr="009237E2" w:rsidRDefault="008A4715" w:rsidP="009237E2">
      <w:pPr>
        <w:pStyle w:val="ListParagraph"/>
        <w:numPr>
          <w:ilvl w:val="0"/>
          <w:numId w:val="1"/>
        </w:numPr>
        <w:jc w:val="both"/>
        <w:rPr>
          <w:rFonts w:ascii="Times New Roman" w:hAnsi="Times New Roman" w:cs="Times New Roman"/>
          <w:lang w:val="en-ID"/>
        </w:rPr>
      </w:pPr>
      <w:r w:rsidRPr="009237E2">
        <w:rPr>
          <w:rFonts w:ascii="Times New Roman" w:hAnsi="Times New Roman" w:cs="Times New Roman"/>
          <w:highlight w:val="yellow"/>
          <w:lang w:val="en-ID"/>
        </w:rPr>
        <w:t xml:space="preserve">Lubis, S. </w:t>
      </w:r>
      <w:proofErr w:type="gramStart"/>
      <w:r w:rsidRPr="009237E2">
        <w:rPr>
          <w:rFonts w:ascii="Times New Roman" w:hAnsi="Times New Roman" w:cs="Times New Roman"/>
          <w:highlight w:val="yellow"/>
          <w:lang w:val="en-ID"/>
        </w:rPr>
        <w:t>N. .</w:t>
      </w:r>
      <w:proofErr w:type="gramEnd"/>
      <w:r w:rsidRPr="009237E2">
        <w:rPr>
          <w:rFonts w:ascii="Times New Roman" w:hAnsi="Times New Roman" w:cs="Times New Roman"/>
          <w:highlight w:val="yellow"/>
          <w:lang w:val="en-ID"/>
        </w:rPr>
        <w:t>, &amp; Lubis, A. A. R. D. . (2024). Enhancing Indonesian coffee trade: Strategies for navigating and reducing trade barriers. </w:t>
      </w:r>
      <w:r w:rsidRPr="009237E2">
        <w:rPr>
          <w:rFonts w:ascii="Times New Roman" w:hAnsi="Times New Roman" w:cs="Times New Roman"/>
          <w:i/>
          <w:iCs/>
          <w:highlight w:val="yellow"/>
          <w:lang w:val="en-ID"/>
        </w:rPr>
        <w:t>International Journal of Innovative Research and Scientific Studies</w:t>
      </w:r>
      <w:r w:rsidRPr="009237E2">
        <w:rPr>
          <w:rFonts w:ascii="Times New Roman" w:hAnsi="Times New Roman" w:cs="Times New Roman"/>
          <w:highlight w:val="yellow"/>
          <w:lang w:val="en-ID"/>
        </w:rPr>
        <w:t>, </w:t>
      </w:r>
      <w:r w:rsidRPr="009237E2">
        <w:rPr>
          <w:rFonts w:ascii="Times New Roman" w:hAnsi="Times New Roman" w:cs="Times New Roman"/>
          <w:i/>
          <w:iCs/>
          <w:highlight w:val="yellow"/>
          <w:lang w:val="en-ID"/>
        </w:rPr>
        <w:t>7</w:t>
      </w:r>
      <w:r w:rsidRPr="009237E2">
        <w:rPr>
          <w:rFonts w:ascii="Times New Roman" w:hAnsi="Times New Roman" w:cs="Times New Roman"/>
          <w:highlight w:val="yellow"/>
          <w:lang w:val="en-ID"/>
        </w:rPr>
        <w:t>(3), 1248–1267. https://doi.org/10.53894/ijirss.v7i3.3231</w:t>
      </w:r>
    </w:p>
    <w:p w14:paraId="5D4AC9AF" w14:textId="0F493F6F"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Ministry of Finance of the Republic of Indonesia. (2024). </w:t>
      </w:r>
      <w:proofErr w:type="spellStart"/>
      <w:r w:rsidRPr="009237E2">
        <w:rPr>
          <w:rFonts w:ascii="Times New Roman" w:hAnsi="Times New Roman" w:cs="Times New Roman"/>
          <w:i/>
          <w:iCs/>
        </w:rPr>
        <w:t>Peraturan</w:t>
      </w:r>
      <w:proofErr w:type="spellEnd"/>
      <w:r w:rsidRPr="009237E2">
        <w:rPr>
          <w:rFonts w:ascii="Times New Roman" w:hAnsi="Times New Roman" w:cs="Times New Roman"/>
          <w:i/>
          <w:iCs/>
        </w:rPr>
        <w:t xml:space="preserve"> Menteri </w:t>
      </w:r>
      <w:proofErr w:type="spellStart"/>
      <w:r w:rsidRPr="009237E2">
        <w:rPr>
          <w:rFonts w:ascii="Times New Roman" w:hAnsi="Times New Roman" w:cs="Times New Roman"/>
          <w:i/>
          <w:iCs/>
        </w:rPr>
        <w:t>Keuangan</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Republik</w:t>
      </w:r>
      <w:proofErr w:type="spellEnd"/>
      <w:r w:rsidRPr="009237E2">
        <w:rPr>
          <w:rFonts w:ascii="Times New Roman" w:hAnsi="Times New Roman" w:cs="Times New Roman"/>
          <w:i/>
          <w:iCs/>
        </w:rPr>
        <w:t xml:space="preserve"> Indonesia </w:t>
      </w:r>
      <w:proofErr w:type="spellStart"/>
      <w:r w:rsidRPr="009237E2">
        <w:rPr>
          <w:rFonts w:ascii="Times New Roman" w:hAnsi="Times New Roman" w:cs="Times New Roman"/>
          <w:i/>
          <w:iCs/>
        </w:rPr>
        <w:t>Nomor</w:t>
      </w:r>
      <w:proofErr w:type="spellEnd"/>
      <w:r w:rsidRPr="009237E2">
        <w:rPr>
          <w:rFonts w:ascii="Times New Roman" w:hAnsi="Times New Roman" w:cs="Times New Roman"/>
          <w:i/>
          <w:iCs/>
        </w:rPr>
        <w:t xml:space="preserve"> 108/PMK.07/2024 </w:t>
      </w:r>
      <w:proofErr w:type="spellStart"/>
      <w:r w:rsidRPr="009237E2">
        <w:rPr>
          <w:rFonts w:ascii="Times New Roman" w:hAnsi="Times New Roman" w:cs="Times New Roman"/>
          <w:i/>
          <w:iCs/>
        </w:rPr>
        <w:t>tentang</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Pengalokasian</w:t>
      </w:r>
      <w:proofErr w:type="spellEnd"/>
      <w:r w:rsidRPr="009237E2">
        <w:rPr>
          <w:rFonts w:ascii="Times New Roman" w:hAnsi="Times New Roman" w:cs="Times New Roman"/>
          <w:i/>
          <w:iCs/>
        </w:rPr>
        <w:t xml:space="preserve"> Dana </w:t>
      </w:r>
      <w:proofErr w:type="spellStart"/>
      <w:r w:rsidRPr="009237E2">
        <w:rPr>
          <w:rFonts w:ascii="Times New Roman" w:hAnsi="Times New Roman" w:cs="Times New Roman"/>
          <w:i/>
          <w:iCs/>
        </w:rPr>
        <w:t>Desa</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Setiap</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Desa</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Penggunaan</w:t>
      </w:r>
      <w:proofErr w:type="spellEnd"/>
      <w:r w:rsidRPr="009237E2">
        <w:rPr>
          <w:rFonts w:ascii="Times New Roman" w:hAnsi="Times New Roman" w:cs="Times New Roman"/>
          <w:i/>
          <w:iCs/>
        </w:rPr>
        <w:t xml:space="preserve">, dan </w:t>
      </w:r>
      <w:proofErr w:type="spellStart"/>
      <w:r w:rsidRPr="009237E2">
        <w:rPr>
          <w:rFonts w:ascii="Times New Roman" w:hAnsi="Times New Roman" w:cs="Times New Roman"/>
          <w:i/>
          <w:iCs/>
        </w:rPr>
        <w:t>Penyaluran</w:t>
      </w:r>
      <w:proofErr w:type="spellEnd"/>
      <w:r w:rsidRPr="009237E2">
        <w:rPr>
          <w:rFonts w:ascii="Times New Roman" w:hAnsi="Times New Roman" w:cs="Times New Roman"/>
          <w:i/>
          <w:iCs/>
        </w:rPr>
        <w:t xml:space="preserve"> Dana </w:t>
      </w:r>
      <w:proofErr w:type="spellStart"/>
      <w:r w:rsidRPr="009237E2">
        <w:rPr>
          <w:rFonts w:ascii="Times New Roman" w:hAnsi="Times New Roman" w:cs="Times New Roman"/>
          <w:i/>
          <w:iCs/>
        </w:rPr>
        <w:t>Desa</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Tahun</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Anggaran</w:t>
      </w:r>
      <w:proofErr w:type="spellEnd"/>
      <w:r w:rsidRPr="009237E2">
        <w:rPr>
          <w:rFonts w:ascii="Times New Roman" w:hAnsi="Times New Roman" w:cs="Times New Roman"/>
          <w:i/>
          <w:iCs/>
        </w:rPr>
        <w:t xml:space="preserve"> 2025.</w:t>
      </w:r>
    </w:p>
    <w:p w14:paraId="1928200F" w14:textId="77777777" w:rsidR="00204CBE" w:rsidRPr="009237E2" w:rsidRDefault="00204CBE" w:rsidP="009237E2">
      <w:pPr>
        <w:pStyle w:val="ListParagraph"/>
        <w:numPr>
          <w:ilvl w:val="0"/>
          <w:numId w:val="1"/>
        </w:numPr>
        <w:jc w:val="both"/>
        <w:rPr>
          <w:rFonts w:ascii="Times New Roman" w:hAnsi="Times New Roman" w:cs="Times New Roman"/>
        </w:rPr>
      </w:pPr>
      <w:proofErr w:type="spellStart"/>
      <w:r w:rsidRPr="009237E2">
        <w:rPr>
          <w:rFonts w:ascii="Times New Roman" w:hAnsi="Times New Roman" w:cs="Times New Roman"/>
        </w:rPr>
        <w:t>Organisation</w:t>
      </w:r>
      <w:proofErr w:type="spellEnd"/>
      <w:r w:rsidRPr="009237E2">
        <w:rPr>
          <w:rFonts w:ascii="Times New Roman" w:hAnsi="Times New Roman" w:cs="Times New Roman"/>
        </w:rPr>
        <w:t xml:space="preserve"> for Economic Co-operation and Development, &amp; Korea Institute of Public Finance. (2018). </w:t>
      </w:r>
      <w:r w:rsidRPr="009237E2">
        <w:rPr>
          <w:rFonts w:ascii="Times New Roman" w:hAnsi="Times New Roman" w:cs="Times New Roman"/>
          <w:i/>
          <w:iCs/>
        </w:rPr>
        <w:t xml:space="preserve">Fiscal </w:t>
      </w:r>
      <w:proofErr w:type="spellStart"/>
      <w:r w:rsidRPr="009237E2">
        <w:rPr>
          <w:rFonts w:ascii="Times New Roman" w:hAnsi="Times New Roman" w:cs="Times New Roman"/>
          <w:i/>
          <w:iCs/>
        </w:rPr>
        <w:t>decentralisation</w:t>
      </w:r>
      <w:proofErr w:type="spellEnd"/>
      <w:r w:rsidRPr="009237E2">
        <w:rPr>
          <w:rFonts w:ascii="Times New Roman" w:hAnsi="Times New Roman" w:cs="Times New Roman"/>
          <w:i/>
          <w:iCs/>
        </w:rPr>
        <w:t xml:space="preserve"> and inclusive growth</w:t>
      </w:r>
      <w:r w:rsidRPr="009237E2">
        <w:rPr>
          <w:rFonts w:ascii="Times New Roman" w:hAnsi="Times New Roman" w:cs="Times New Roman"/>
        </w:rPr>
        <w:t xml:space="preserve"> (OECD Fiscal Federalism Studies). OECD Publishing. doi:10.1787/9789264302488-en</w:t>
      </w:r>
    </w:p>
    <w:p w14:paraId="33629EFD" w14:textId="77777777" w:rsidR="00204CBE" w:rsidRPr="009237E2" w:rsidRDefault="00204CBE" w:rsidP="009237E2">
      <w:pPr>
        <w:pStyle w:val="ListParagraph"/>
        <w:numPr>
          <w:ilvl w:val="0"/>
          <w:numId w:val="1"/>
        </w:numPr>
        <w:jc w:val="both"/>
        <w:rPr>
          <w:rFonts w:ascii="Times New Roman" w:hAnsi="Times New Roman" w:cs="Times New Roman"/>
        </w:rPr>
      </w:pPr>
      <w:proofErr w:type="spellStart"/>
      <w:r w:rsidRPr="009237E2">
        <w:rPr>
          <w:rFonts w:ascii="Times New Roman" w:hAnsi="Times New Roman" w:cs="Times New Roman"/>
        </w:rPr>
        <w:t>Organisation</w:t>
      </w:r>
      <w:proofErr w:type="spellEnd"/>
      <w:r w:rsidRPr="009237E2">
        <w:rPr>
          <w:rFonts w:ascii="Times New Roman" w:hAnsi="Times New Roman" w:cs="Times New Roman"/>
        </w:rPr>
        <w:t xml:space="preserve"> for Economic Co-operation and Development, &amp; Korea Institute of Public Finance. (2019). </w:t>
      </w:r>
      <w:r w:rsidRPr="009237E2">
        <w:rPr>
          <w:rFonts w:ascii="Times New Roman" w:hAnsi="Times New Roman" w:cs="Times New Roman"/>
          <w:i/>
          <w:iCs/>
        </w:rPr>
        <w:t xml:space="preserve">Fiscal </w:t>
      </w:r>
      <w:proofErr w:type="spellStart"/>
      <w:r w:rsidRPr="009237E2">
        <w:rPr>
          <w:rFonts w:ascii="Times New Roman" w:hAnsi="Times New Roman" w:cs="Times New Roman"/>
          <w:i/>
          <w:iCs/>
        </w:rPr>
        <w:t>decentralisation</w:t>
      </w:r>
      <w:proofErr w:type="spellEnd"/>
      <w:r w:rsidRPr="009237E2">
        <w:rPr>
          <w:rFonts w:ascii="Times New Roman" w:hAnsi="Times New Roman" w:cs="Times New Roman"/>
          <w:i/>
          <w:iCs/>
        </w:rPr>
        <w:t xml:space="preserve"> and inclusive growth in Asia: Making </w:t>
      </w:r>
      <w:proofErr w:type="spellStart"/>
      <w:r w:rsidRPr="009237E2">
        <w:rPr>
          <w:rFonts w:ascii="Times New Roman" w:hAnsi="Times New Roman" w:cs="Times New Roman"/>
          <w:i/>
          <w:iCs/>
        </w:rPr>
        <w:t>decentralisation</w:t>
      </w:r>
      <w:proofErr w:type="spellEnd"/>
      <w:r w:rsidRPr="009237E2">
        <w:rPr>
          <w:rFonts w:ascii="Times New Roman" w:hAnsi="Times New Roman" w:cs="Times New Roman"/>
          <w:i/>
          <w:iCs/>
        </w:rPr>
        <w:t xml:space="preserve"> work.</w:t>
      </w:r>
      <w:r w:rsidRPr="009237E2">
        <w:rPr>
          <w:rFonts w:ascii="Times New Roman" w:hAnsi="Times New Roman" w:cs="Times New Roman"/>
        </w:rPr>
        <w:t xml:space="preserve"> OECD Publishing. doi:10.1787/25cf7545-en</w:t>
      </w:r>
    </w:p>
    <w:p w14:paraId="697A2AF2"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Republic of Indonesia. (2014). </w:t>
      </w:r>
      <w:r w:rsidRPr="009237E2">
        <w:rPr>
          <w:rFonts w:ascii="Times New Roman" w:hAnsi="Times New Roman" w:cs="Times New Roman"/>
          <w:i/>
          <w:iCs/>
        </w:rPr>
        <w:t>Law of the Republic of Indonesia Number 6 of 2014 on Villages.</w:t>
      </w:r>
    </w:p>
    <w:p w14:paraId="0ECE7A5B"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lang w:val="fi-FI"/>
        </w:rPr>
        <w:t xml:space="preserve">Saragi, N. B., Muluk, M. R. K., &amp; Sentanu, I. G. E. P. S. (2021). </w:t>
      </w:r>
      <w:r w:rsidRPr="009237E2">
        <w:rPr>
          <w:rFonts w:ascii="Times New Roman" w:hAnsi="Times New Roman" w:cs="Times New Roman"/>
        </w:rPr>
        <w:t xml:space="preserve">Indonesia’s village fund program: Does it contribute to poverty reduction? </w:t>
      </w:r>
      <w:proofErr w:type="spellStart"/>
      <w:r w:rsidRPr="009237E2">
        <w:rPr>
          <w:rFonts w:ascii="Times New Roman" w:hAnsi="Times New Roman" w:cs="Times New Roman"/>
          <w:i/>
          <w:iCs/>
        </w:rPr>
        <w:t>Jurnal</w:t>
      </w:r>
      <w:proofErr w:type="spellEnd"/>
      <w:r w:rsidRPr="009237E2">
        <w:rPr>
          <w:rFonts w:ascii="Times New Roman" w:hAnsi="Times New Roman" w:cs="Times New Roman"/>
          <w:i/>
          <w:iCs/>
        </w:rPr>
        <w:t xml:space="preserve"> Bina </w:t>
      </w:r>
      <w:proofErr w:type="spellStart"/>
      <w:r w:rsidRPr="009237E2">
        <w:rPr>
          <w:rFonts w:ascii="Times New Roman" w:hAnsi="Times New Roman" w:cs="Times New Roman"/>
          <w:i/>
          <w:iCs/>
        </w:rPr>
        <w:t>Praja</w:t>
      </w:r>
      <w:proofErr w:type="spellEnd"/>
      <w:r w:rsidRPr="009237E2">
        <w:rPr>
          <w:rFonts w:ascii="Times New Roman" w:hAnsi="Times New Roman" w:cs="Times New Roman"/>
          <w:i/>
          <w:iCs/>
        </w:rPr>
        <w:t>, 13</w:t>
      </w:r>
      <w:r w:rsidRPr="009237E2">
        <w:rPr>
          <w:rFonts w:ascii="Times New Roman" w:hAnsi="Times New Roman" w:cs="Times New Roman"/>
        </w:rPr>
        <w:t>(1), 65–80.</w:t>
      </w:r>
    </w:p>
    <w:p w14:paraId="42D32BE1" w14:textId="005115DB" w:rsidR="00FC7486" w:rsidRPr="009237E2" w:rsidRDefault="00FC7486" w:rsidP="009237E2">
      <w:pPr>
        <w:pStyle w:val="ListParagraph"/>
        <w:numPr>
          <w:ilvl w:val="0"/>
          <w:numId w:val="1"/>
        </w:numPr>
        <w:jc w:val="both"/>
        <w:rPr>
          <w:rFonts w:ascii="Times New Roman" w:hAnsi="Times New Roman" w:cs="Times New Roman"/>
          <w:highlight w:val="yellow"/>
        </w:rPr>
      </w:pPr>
      <w:proofErr w:type="spellStart"/>
      <w:r w:rsidRPr="009237E2">
        <w:rPr>
          <w:rFonts w:ascii="Times New Roman" w:hAnsi="Times New Roman" w:cs="Times New Roman"/>
          <w:highlight w:val="yellow"/>
        </w:rPr>
        <w:t>Saptayuda</w:t>
      </w:r>
      <w:proofErr w:type="spellEnd"/>
      <w:r w:rsidRPr="009237E2">
        <w:rPr>
          <w:rFonts w:ascii="Times New Roman" w:hAnsi="Times New Roman" w:cs="Times New Roman"/>
          <w:highlight w:val="yellow"/>
        </w:rPr>
        <w:t xml:space="preserve">, A. (2024). Evaluating the effectiveness of village fund policy in strengthening local economic resilience: Evidence from Sleman Regency, Indonesia. </w:t>
      </w:r>
      <w:r w:rsidRPr="009237E2">
        <w:rPr>
          <w:rFonts w:ascii="Times New Roman" w:hAnsi="Times New Roman" w:cs="Times New Roman"/>
          <w:i/>
          <w:iCs/>
          <w:highlight w:val="yellow"/>
        </w:rPr>
        <w:t xml:space="preserve">VISIONER: </w:t>
      </w:r>
      <w:proofErr w:type="spellStart"/>
      <w:r w:rsidRPr="009237E2">
        <w:rPr>
          <w:rFonts w:ascii="Times New Roman" w:hAnsi="Times New Roman" w:cs="Times New Roman"/>
          <w:i/>
          <w:iCs/>
          <w:highlight w:val="yellow"/>
        </w:rPr>
        <w:t>Jurnal</w:t>
      </w:r>
      <w:proofErr w:type="spellEnd"/>
      <w:r w:rsidRPr="009237E2">
        <w:rPr>
          <w:rFonts w:ascii="Times New Roman" w:hAnsi="Times New Roman" w:cs="Times New Roman"/>
          <w:i/>
          <w:iCs/>
          <w:highlight w:val="yellow"/>
        </w:rPr>
        <w:t xml:space="preserve"> </w:t>
      </w:r>
      <w:proofErr w:type="spellStart"/>
      <w:r w:rsidRPr="009237E2">
        <w:rPr>
          <w:rFonts w:ascii="Times New Roman" w:hAnsi="Times New Roman" w:cs="Times New Roman"/>
          <w:i/>
          <w:iCs/>
          <w:highlight w:val="yellow"/>
        </w:rPr>
        <w:t>Pemerintahan</w:t>
      </w:r>
      <w:proofErr w:type="spellEnd"/>
      <w:r w:rsidRPr="009237E2">
        <w:rPr>
          <w:rFonts w:ascii="Times New Roman" w:hAnsi="Times New Roman" w:cs="Times New Roman"/>
          <w:i/>
          <w:iCs/>
          <w:highlight w:val="yellow"/>
        </w:rPr>
        <w:t xml:space="preserve"> Daerah di Indonesia, 16</w:t>
      </w:r>
      <w:r w:rsidRPr="009237E2">
        <w:rPr>
          <w:rFonts w:ascii="Times New Roman" w:hAnsi="Times New Roman" w:cs="Times New Roman"/>
          <w:highlight w:val="yellow"/>
        </w:rPr>
        <w:t xml:space="preserve">(3), 216–227. </w:t>
      </w:r>
      <w:hyperlink r:id="rId10" w:history="1">
        <w:r w:rsidRPr="009237E2">
          <w:rPr>
            <w:rStyle w:val="Hyperlink"/>
            <w:rFonts w:ascii="Times New Roman" w:hAnsi="Times New Roman" w:cs="Times New Roman"/>
            <w:highlight w:val="yellow"/>
          </w:rPr>
          <w:t>https://doi.org/10.54783/jv.v16i3.1260</w:t>
        </w:r>
      </w:hyperlink>
    </w:p>
    <w:p w14:paraId="102E86F3" w14:textId="080F643C" w:rsidR="00FC7486" w:rsidRPr="009237E2" w:rsidRDefault="00FC7486"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highlight w:val="yellow"/>
        </w:rPr>
        <w:lastRenderedPageBreak/>
        <w:t xml:space="preserve">Taya, L., </w:t>
      </w:r>
      <w:proofErr w:type="spellStart"/>
      <w:r w:rsidRPr="009237E2">
        <w:rPr>
          <w:rFonts w:ascii="Times New Roman" w:hAnsi="Times New Roman" w:cs="Times New Roman"/>
          <w:highlight w:val="yellow"/>
        </w:rPr>
        <w:t>Jopang</w:t>
      </w:r>
      <w:proofErr w:type="spellEnd"/>
      <w:r w:rsidRPr="009237E2">
        <w:rPr>
          <w:rFonts w:ascii="Times New Roman" w:hAnsi="Times New Roman" w:cs="Times New Roman"/>
          <w:highlight w:val="yellow"/>
        </w:rPr>
        <w:t xml:space="preserve">, &amp; </w:t>
      </w:r>
      <w:proofErr w:type="spellStart"/>
      <w:r w:rsidRPr="009237E2">
        <w:rPr>
          <w:rFonts w:ascii="Times New Roman" w:hAnsi="Times New Roman" w:cs="Times New Roman"/>
          <w:highlight w:val="yellow"/>
        </w:rPr>
        <w:t>Sanawia</w:t>
      </w:r>
      <w:proofErr w:type="spellEnd"/>
      <w:r w:rsidRPr="009237E2">
        <w:rPr>
          <w:rFonts w:ascii="Times New Roman" w:hAnsi="Times New Roman" w:cs="Times New Roman"/>
          <w:highlight w:val="yellow"/>
        </w:rPr>
        <w:t xml:space="preserve">. (2024). Evaluation of village fund budget management in business capital participation in village-owned enterprises. </w:t>
      </w:r>
      <w:r w:rsidRPr="009237E2">
        <w:rPr>
          <w:rFonts w:ascii="Times New Roman" w:hAnsi="Times New Roman" w:cs="Times New Roman"/>
          <w:i/>
          <w:iCs/>
          <w:highlight w:val="yellow"/>
        </w:rPr>
        <w:t xml:space="preserve">Journal </w:t>
      </w:r>
      <w:proofErr w:type="spellStart"/>
      <w:r w:rsidRPr="009237E2">
        <w:rPr>
          <w:rFonts w:ascii="Times New Roman" w:hAnsi="Times New Roman" w:cs="Times New Roman"/>
          <w:i/>
          <w:iCs/>
          <w:highlight w:val="yellow"/>
        </w:rPr>
        <w:t>Publicuho</w:t>
      </w:r>
      <w:proofErr w:type="spellEnd"/>
      <w:r w:rsidRPr="009237E2">
        <w:rPr>
          <w:rFonts w:ascii="Times New Roman" w:hAnsi="Times New Roman" w:cs="Times New Roman"/>
          <w:i/>
          <w:iCs/>
          <w:highlight w:val="yellow"/>
        </w:rPr>
        <w:t>, 7</w:t>
      </w:r>
      <w:r w:rsidRPr="009237E2">
        <w:rPr>
          <w:rFonts w:ascii="Times New Roman" w:hAnsi="Times New Roman" w:cs="Times New Roman"/>
          <w:highlight w:val="yellow"/>
        </w:rPr>
        <w:t xml:space="preserve">(3), 1108–1126. </w:t>
      </w:r>
      <w:hyperlink r:id="rId11" w:history="1">
        <w:r w:rsidRPr="009237E2">
          <w:rPr>
            <w:rStyle w:val="Hyperlink"/>
            <w:rFonts w:ascii="Times New Roman" w:hAnsi="Times New Roman" w:cs="Times New Roman"/>
            <w:highlight w:val="yellow"/>
          </w:rPr>
          <w:t>http://dx.doi.org/10.35817/publicuho.v7i3.461</w:t>
        </w:r>
      </w:hyperlink>
    </w:p>
    <w:p w14:paraId="75C7595C" w14:textId="77777777" w:rsidR="008B6FF1" w:rsidRPr="009237E2" w:rsidRDefault="008B6FF1" w:rsidP="009237E2">
      <w:pPr>
        <w:pStyle w:val="ListParagraph"/>
        <w:numPr>
          <w:ilvl w:val="0"/>
          <w:numId w:val="1"/>
        </w:numPr>
        <w:jc w:val="both"/>
        <w:rPr>
          <w:rFonts w:ascii="Times New Roman" w:hAnsi="Times New Roman" w:cs="Times New Roman"/>
        </w:rPr>
      </w:pPr>
      <w:proofErr w:type="spellStart"/>
      <w:r w:rsidRPr="009237E2">
        <w:rPr>
          <w:rFonts w:ascii="Times New Roman" w:hAnsi="Times New Roman" w:cs="Times New Roman"/>
          <w:highlight w:val="yellow"/>
        </w:rPr>
        <w:t>Vaneysha</w:t>
      </w:r>
      <w:proofErr w:type="spellEnd"/>
      <w:r w:rsidRPr="009237E2">
        <w:rPr>
          <w:rFonts w:ascii="Times New Roman" w:hAnsi="Times New Roman" w:cs="Times New Roman"/>
          <w:highlight w:val="yellow"/>
        </w:rPr>
        <w:t xml:space="preserve">, V., Lubis, S. N., &amp; Taufiq, M. (2025). Emphasizing Digital Governance and Development Empowering Rural Transformation through Village Information Systems (SID): Evidence from Aceh </w:t>
      </w:r>
      <w:proofErr w:type="spellStart"/>
      <w:r w:rsidRPr="009237E2">
        <w:rPr>
          <w:rFonts w:ascii="Times New Roman" w:hAnsi="Times New Roman" w:cs="Times New Roman"/>
          <w:highlight w:val="yellow"/>
        </w:rPr>
        <w:t>Tamiang</w:t>
      </w:r>
      <w:proofErr w:type="spellEnd"/>
      <w:r w:rsidRPr="009237E2">
        <w:rPr>
          <w:rFonts w:ascii="Times New Roman" w:hAnsi="Times New Roman" w:cs="Times New Roman"/>
          <w:highlight w:val="yellow"/>
        </w:rPr>
        <w:t>, Indonesia: English. </w:t>
      </w:r>
      <w:r w:rsidRPr="009237E2">
        <w:rPr>
          <w:rFonts w:ascii="Times New Roman" w:hAnsi="Times New Roman" w:cs="Times New Roman"/>
          <w:i/>
          <w:iCs/>
          <w:highlight w:val="yellow"/>
        </w:rPr>
        <w:t>Asian Multidisciplinary Research Journal of Economy and Learning</w:t>
      </w:r>
      <w:r w:rsidRPr="009237E2">
        <w:rPr>
          <w:rFonts w:ascii="Times New Roman" w:hAnsi="Times New Roman" w:cs="Times New Roman"/>
          <w:highlight w:val="yellow"/>
        </w:rPr>
        <w:t>, </w:t>
      </w:r>
      <w:r w:rsidRPr="009237E2">
        <w:rPr>
          <w:rFonts w:ascii="Times New Roman" w:hAnsi="Times New Roman" w:cs="Times New Roman"/>
          <w:i/>
          <w:iCs/>
          <w:highlight w:val="yellow"/>
        </w:rPr>
        <w:t>2</w:t>
      </w:r>
      <w:r w:rsidRPr="009237E2">
        <w:rPr>
          <w:rFonts w:ascii="Times New Roman" w:hAnsi="Times New Roman" w:cs="Times New Roman"/>
          <w:highlight w:val="yellow"/>
        </w:rPr>
        <w:t>(7), 01-10. </w:t>
      </w:r>
      <w:hyperlink r:id="rId12" w:history="1">
        <w:r w:rsidRPr="009237E2">
          <w:rPr>
            <w:rStyle w:val="Hyperlink"/>
            <w:rFonts w:ascii="Times New Roman" w:hAnsi="Times New Roman" w:cs="Times New Roman"/>
            <w:highlight w:val="yellow"/>
          </w:rPr>
          <w:t>https://doi.org/10.70471/15822g76</w:t>
        </w:r>
      </w:hyperlink>
    </w:p>
    <w:p w14:paraId="2238B2E0" w14:textId="1EC7E5CB"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World Bank. (2023). </w:t>
      </w:r>
      <w:r w:rsidRPr="009237E2">
        <w:rPr>
          <w:rFonts w:ascii="Times New Roman" w:hAnsi="Times New Roman" w:cs="Times New Roman"/>
          <w:i/>
          <w:iCs/>
        </w:rPr>
        <w:t>Village governance, politics, and participation in Indonesia.</w:t>
      </w:r>
      <w:r w:rsidRPr="009237E2">
        <w:rPr>
          <w:rFonts w:ascii="Times New Roman" w:hAnsi="Times New Roman" w:cs="Times New Roman"/>
        </w:rPr>
        <w:t xml:space="preserve"> World Bank.</w:t>
      </w:r>
    </w:p>
    <w:p w14:paraId="74330F97"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World Bank. (2025). </w:t>
      </w:r>
      <w:r w:rsidRPr="009237E2">
        <w:rPr>
          <w:rFonts w:ascii="Times New Roman" w:hAnsi="Times New Roman" w:cs="Times New Roman"/>
          <w:i/>
          <w:iCs/>
        </w:rPr>
        <w:t>World Development Indicators</w:t>
      </w:r>
      <w:r w:rsidRPr="009237E2">
        <w:rPr>
          <w:rFonts w:ascii="Times New Roman" w:hAnsi="Times New Roman" w:cs="Times New Roman"/>
        </w:rPr>
        <w:t xml:space="preserve"> (Data set; last updated December 17, 2025). World Bank.</w:t>
      </w:r>
    </w:p>
    <w:p w14:paraId="65EA1A5A"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Yusuf, M., &amp; </w:t>
      </w:r>
      <w:proofErr w:type="spellStart"/>
      <w:r w:rsidRPr="009237E2">
        <w:rPr>
          <w:rFonts w:ascii="Times New Roman" w:hAnsi="Times New Roman" w:cs="Times New Roman"/>
        </w:rPr>
        <w:t>Khoirunurrofik</w:t>
      </w:r>
      <w:proofErr w:type="spellEnd"/>
      <w:r w:rsidRPr="009237E2">
        <w:rPr>
          <w:rFonts w:ascii="Times New Roman" w:hAnsi="Times New Roman" w:cs="Times New Roman"/>
        </w:rPr>
        <w:t xml:space="preserve">. (2022). The relationship of village funds with village economic development: A village level study in Indonesia. </w:t>
      </w:r>
      <w:proofErr w:type="spellStart"/>
      <w:r w:rsidRPr="009237E2">
        <w:rPr>
          <w:rFonts w:ascii="Times New Roman" w:hAnsi="Times New Roman" w:cs="Times New Roman"/>
          <w:i/>
          <w:iCs/>
        </w:rPr>
        <w:t>Jurnal</w:t>
      </w:r>
      <w:proofErr w:type="spellEnd"/>
      <w:r w:rsidRPr="009237E2">
        <w:rPr>
          <w:rFonts w:ascii="Times New Roman" w:hAnsi="Times New Roman" w:cs="Times New Roman"/>
          <w:i/>
          <w:iCs/>
        </w:rPr>
        <w:t xml:space="preserve"> Bina </w:t>
      </w:r>
      <w:proofErr w:type="spellStart"/>
      <w:r w:rsidRPr="009237E2">
        <w:rPr>
          <w:rFonts w:ascii="Times New Roman" w:hAnsi="Times New Roman" w:cs="Times New Roman"/>
          <w:i/>
          <w:iCs/>
        </w:rPr>
        <w:t>Praja</w:t>
      </w:r>
      <w:proofErr w:type="spellEnd"/>
      <w:r w:rsidRPr="009237E2">
        <w:rPr>
          <w:rFonts w:ascii="Times New Roman" w:hAnsi="Times New Roman" w:cs="Times New Roman"/>
          <w:i/>
          <w:iCs/>
        </w:rPr>
        <w:t>, 14</w:t>
      </w:r>
      <w:r w:rsidRPr="009237E2">
        <w:rPr>
          <w:rFonts w:ascii="Times New Roman" w:hAnsi="Times New Roman" w:cs="Times New Roman"/>
        </w:rPr>
        <w:t>(3), 493–504. doi:10.21787/jbp.14.2022.493-504</w:t>
      </w:r>
    </w:p>
    <w:p w14:paraId="6101CA55" w14:textId="77777777" w:rsidR="00204CBE" w:rsidRPr="009237E2" w:rsidRDefault="00204CBE" w:rsidP="009237E2">
      <w:pPr>
        <w:pStyle w:val="ListParagraph"/>
        <w:numPr>
          <w:ilvl w:val="0"/>
          <w:numId w:val="1"/>
        </w:numPr>
        <w:jc w:val="both"/>
        <w:rPr>
          <w:rFonts w:ascii="Times New Roman" w:hAnsi="Times New Roman" w:cs="Times New Roman"/>
        </w:rPr>
      </w:pPr>
      <w:r w:rsidRPr="009237E2">
        <w:rPr>
          <w:rFonts w:ascii="Times New Roman" w:hAnsi="Times New Roman" w:cs="Times New Roman"/>
        </w:rPr>
        <w:t xml:space="preserve">Zahara, N. L., Wati, N. S., &amp; Satria, A. (2024). </w:t>
      </w:r>
      <w:proofErr w:type="spellStart"/>
      <w:r w:rsidRPr="009237E2">
        <w:rPr>
          <w:rFonts w:ascii="Times New Roman" w:hAnsi="Times New Roman" w:cs="Times New Roman"/>
        </w:rPr>
        <w:t>Penggunaan</w:t>
      </w:r>
      <w:proofErr w:type="spellEnd"/>
      <w:r w:rsidRPr="009237E2">
        <w:rPr>
          <w:rFonts w:ascii="Times New Roman" w:hAnsi="Times New Roman" w:cs="Times New Roman"/>
        </w:rPr>
        <w:t xml:space="preserve"> dana </w:t>
      </w:r>
      <w:proofErr w:type="spellStart"/>
      <w:r w:rsidRPr="009237E2">
        <w:rPr>
          <w:rFonts w:ascii="Times New Roman" w:hAnsi="Times New Roman" w:cs="Times New Roman"/>
        </w:rPr>
        <w:t>desa</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dalam</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penguatan</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ketahanan</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ekonomi</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desa</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Studi</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kasus</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Desa</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Sumberjo</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Kecamatan</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Wonomulyo</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Kabupaten</w:t>
      </w:r>
      <w:proofErr w:type="spellEnd"/>
      <w:r w:rsidRPr="009237E2">
        <w:rPr>
          <w:rFonts w:ascii="Times New Roman" w:hAnsi="Times New Roman" w:cs="Times New Roman"/>
        </w:rPr>
        <w:t xml:space="preserve"> </w:t>
      </w:r>
      <w:proofErr w:type="spellStart"/>
      <w:r w:rsidRPr="009237E2">
        <w:rPr>
          <w:rFonts w:ascii="Times New Roman" w:hAnsi="Times New Roman" w:cs="Times New Roman"/>
        </w:rPr>
        <w:t>Polewali</w:t>
      </w:r>
      <w:proofErr w:type="spellEnd"/>
      <w:r w:rsidRPr="009237E2">
        <w:rPr>
          <w:rFonts w:ascii="Times New Roman" w:hAnsi="Times New Roman" w:cs="Times New Roman"/>
        </w:rPr>
        <w:t xml:space="preserve"> Mandar). </w:t>
      </w:r>
      <w:r w:rsidRPr="009237E2">
        <w:rPr>
          <w:rFonts w:ascii="Times New Roman" w:hAnsi="Times New Roman" w:cs="Times New Roman"/>
          <w:i/>
          <w:iCs/>
        </w:rPr>
        <w:t xml:space="preserve">Sodality: </w:t>
      </w:r>
      <w:proofErr w:type="spellStart"/>
      <w:r w:rsidRPr="009237E2">
        <w:rPr>
          <w:rFonts w:ascii="Times New Roman" w:hAnsi="Times New Roman" w:cs="Times New Roman"/>
          <w:i/>
          <w:iCs/>
        </w:rPr>
        <w:t>Jurnal</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Sosiologi</w:t>
      </w:r>
      <w:proofErr w:type="spellEnd"/>
      <w:r w:rsidRPr="009237E2">
        <w:rPr>
          <w:rFonts w:ascii="Times New Roman" w:hAnsi="Times New Roman" w:cs="Times New Roman"/>
          <w:i/>
          <w:iCs/>
        </w:rPr>
        <w:t xml:space="preserve"> </w:t>
      </w:r>
      <w:proofErr w:type="spellStart"/>
      <w:r w:rsidRPr="009237E2">
        <w:rPr>
          <w:rFonts w:ascii="Times New Roman" w:hAnsi="Times New Roman" w:cs="Times New Roman"/>
          <w:i/>
          <w:iCs/>
        </w:rPr>
        <w:t>Pedesaan</w:t>
      </w:r>
      <w:proofErr w:type="spellEnd"/>
      <w:r w:rsidRPr="009237E2">
        <w:rPr>
          <w:rFonts w:ascii="Times New Roman" w:hAnsi="Times New Roman" w:cs="Times New Roman"/>
          <w:i/>
          <w:iCs/>
        </w:rPr>
        <w:t>, 12</w:t>
      </w:r>
      <w:r w:rsidRPr="009237E2">
        <w:rPr>
          <w:rFonts w:ascii="Times New Roman" w:hAnsi="Times New Roman" w:cs="Times New Roman"/>
        </w:rPr>
        <w:t>(2), 140–152. doi:10.22500/12202452625</w:t>
      </w:r>
    </w:p>
    <w:p w14:paraId="0332F1AB" w14:textId="77777777" w:rsidR="00432CC3" w:rsidRDefault="00432CC3" w:rsidP="00432CC3">
      <w:pPr>
        <w:jc w:val="both"/>
        <w:rPr>
          <w:rFonts w:ascii="Times New Roman" w:hAnsi="Times New Roman" w:cs="Times New Roman"/>
        </w:rPr>
      </w:pPr>
    </w:p>
    <w:p w14:paraId="154B6AE6" w14:textId="77777777" w:rsidR="00432CC3" w:rsidRPr="00432CC3" w:rsidRDefault="00432CC3" w:rsidP="00432CC3">
      <w:pPr>
        <w:rPr>
          <w:rFonts w:ascii="Times New Roman" w:hAnsi="Times New Roman" w:cs="Times New Roman"/>
        </w:rPr>
      </w:pPr>
    </w:p>
    <w:sectPr w:rsidR="00432CC3" w:rsidRPr="00432CC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F7F79" w14:textId="77777777" w:rsidR="00090166" w:rsidRDefault="00090166" w:rsidP="00540846">
      <w:pPr>
        <w:spacing w:after="0" w:line="240" w:lineRule="auto"/>
      </w:pPr>
      <w:r>
        <w:separator/>
      </w:r>
    </w:p>
  </w:endnote>
  <w:endnote w:type="continuationSeparator" w:id="0">
    <w:p w14:paraId="34AD61BF" w14:textId="77777777" w:rsidR="00090166" w:rsidRDefault="00090166" w:rsidP="0054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69E3" w14:textId="77777777" w:rsidR="00540846" w:rsidRDefault="0054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8567" w14:textId="77777777" w:rsidR="00540846" w:rsidRDefault="0054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9409" w14:textId="77777777" w:rsidR="00540846" w:rsidRDefault="0054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BCBBC" w14:textId="77777777" w:rsidR="00090166" w:rsidRDefault="00090166" w:rsidP="00540846">
      <w:pPr>
        <w:spacing w:after="0" w:line="240" w:lineRule="auto"/>
      </w:pPr>
      <w:r>
        <w:separator/>
      </w:r>
    </w:p>
  </w:footnote>
  <w:footnote w:type="continuationSeparator" w:id="0">
    <w:p w14:paraId="3DBD2729" w14:textId="77777777" w:rsidR="00090166" w:rsidRDefault="00090166" w:rsidP="0054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2CCC" w14:textId="70365984" w:rsidR="00540846" w:rsidRDefault="00090166">
    <w:pPr>
      <w:pStyle w:val="Header"/>
    </w:pPr>
    <w:r>
      <w:rPr>
        <w:noProof/>
      </w:rPr>
      <w:pict w14:anchorId="0159E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5C4A" w14:textId="45900BE5" w:rsidR="00540846" w:rsidRDefault="00090166">
    <w:pPr>
      <w:pStyle w:val="Header"/>
    </w:pPr>
    <w:r>
      <w:rPr>
        <w:noProof/>
      </w:rPr>
      <w:pict w14:anchorId="29CD5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3D06" w14:textId="6BA588C0" w:rsidR="00540846" w:rsidRDefault="00090166">
    <w:pPr>
      <w:pStyle w:val="Header"/>
    </w:pPr>
    <w:r>
      <w:rPr>
        <w:noProof/>
      </w:rPr>
      <w:pict w14:anchorId="73039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4DCA"/>
    <w:multiLevelType w:val="hybridMultilevel"/>
    <w:tmpl w:val="25C68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C3"/>
    <w:rsid w:val="0003017B"/>
    <w:rsid w:val="000651EE"/>
    <w:rsid w:val="00090166"/>
    <w:rsid w:val="001505E1"/>
    <w:rsid w:val="00203B96"/>
    <w:rsid w:val="00204CBE"/>
    <w:rsid w:val="00245108"/>
    <w:rsid w:val="00273C19"/>
    <w:rsid w:val="00432CC3"/>
    <w:rsid w:val="0049153E"/>
    <w:rsid w:val="004D126A"/>
    <w:rsid w:val="00521469"/>
    <w:rsid w:val="0052298C"/>
    <w:rsid w:val="00540846"/>
    <w:rsid w:val="005730F0"/>
    <w:rsid w:val="0061597D"/>
    <w:rsid w:val="00670238"/>
    <w:rsid w:val="006950DF"/>
    <w:rsid w:val="006D2E49"/>
    <w:rsid w:val="008A4715"/>
    <w:rsid w:val="008B6FF1"/>
    <w:rsid w:val="009237E2"/>
    <w:rsid w:val="00975242"/>
    <w:rsid w:val="00975D60"/>
    <w:rsid w:val="009E2678"/>
    <w:rsid w:val="00B63D8F"/>
    <w:rsid w:val="00CE07EB"/>
    <w:rsid w:val="00DE4E2E"/>
    <w:rsid w:val="00FA677F"/>
    <w:rsid w:val="00FC7486"/>
    <w:rsid w:val="00FD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C6BCF"/>
  <w15:chartTrackingRefBased/>
  <w15:docId w15:val="{D16B3250-0EC7-4600-8E39-E6D64A66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CC3"/>
    <w:rPr>
      <w:rFonts w:eastAsiaTheme="majorEastAsia" w:cstheme="majorBidi"/>
      <w:color w:val="272727" w:themeColor="text1" w:themeTint="D8"/>
    </w:rPr>
  </w:style>
  <w:style w:type="paragraph" w:styleId="Title">
    <w:name w:val="Title"/>
    <w:basedOn w:val="Normal"/>
    <w:next w:val="Normal"/>
    <w:link w:val="TitleChar"/>
    <w:uiPriority w:val="10"/>
    <w:qFormat/>
    <w:rsid w:val="00432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CC3"/>
    <w:pPr>
      <w:spacing w:before="160"/>
      <w:jc w:val="center"/>
    </w:pPr>
    <w:rPr>
      <w:i/>
      <w:iCs/>
      <w:color w:val="404040" w:themeColor="text1" w:themeTint="BF"/>
    </w:rPr>
  </w:style>
  <w:style w:type="character" w:customStyle="1" w:styleId="QuoteChar">
    <w:name w:val="Quote Char"/>
    <w:basedOn w:val="DefaultParagraphFont"/>
    <w:link w:val="Quote"/>
    <w:uiPriority w:val="29"/>
    <w:rsid w:val="00432CC3"/>
    <w:rPr>
      <w:i/>
      <w:iCs/>
      <w:color w:val="404040" w:themeColor="text1" w:themeTint="BF"/>
    </w:rPr>
  </w:style>
  <w:style w:type="paragraph" w:styleId="ListParagraph">
    <w:name w:val="List Paragraph"/>
    <w:basedOn w:val="Normal"/>
    <w:uiPriority w:val="34"/>
    <w:qFormat/>
    <w:rsid w:val="00432CC3"/>
    <w:pPr>
      <w:ind w:left="720"/>
      <w:contextualSpacing/>
    </w:pPr>
  </w:style>
  <w:style w:type="character" w:styleId="IntenseEmphasis">
    <w:name w:val="Intense Emphasis"/>
    <w:basedOn w:val="DefaultParagraphFont"/>
    <w:uiPriority w:val="21"/>
    <w:qFormat/>
    <w:rsid w:val="00432CC3"/>
    <w:rPr>
      <w:i/>
      <w:iCs/>
      <w:color w:val="0F4761" w:themeColor="accent1" w:themeShade="BF"/>
    </w:rPr>
  </w:style>
  <w:style w:type="paragraph" w:styleId="IntenseQuote">
    <w:name w:val="Intense Quote"/>
    <w:basedOn w:val="Normal"/>
    <w:next w:val="Normal"/>
    <w:link w:val="IntenseQuoteChar"/>
    <w:uiPriority w:val="30"/>
    <w:qFormat/>
    <w:rsid w:val="00432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CC3"/>
    <w:rPr>
      <w:i/>
      <w:iCs/>
      <w:color w:val="0F4761" w:themeColor="accent1" w:themeShade="BF"/>
    </w:rPr>
  </w:style>
  <w:style w:type="character" w:styleId="IntenseReference">
    <w:name w:val="Intense Reference"/>
    <w:basedOn w:val="DefaultParagraphFont"/>
    <w:uiPriority w:val="32"/>
    <w:qFormat/>
    <w:rsid w:val="00432CC3"/>
    <w:rPr>
      <w:b/>
      <w:bCs/>
      <w:smallCaps/>
      <w:color w:val="0F4761" w:themeColor="accent1" w:themeShade="BF"/>
      <w:spacing w:val="5"/>
    </w:rPr>
  </w:style>
  <w:style w:type="paragraph" w:styleId="Caption">
    <w:name w:val="caption"/>
    <w:basedOn w:val="Normal"/>
    <w:next w:val="Normal"/>
    <w:uiPriority w:val="35"/>
    <w:unhideWhenUsed/>
    <w:qFormat/>
    <w:rsid w:val="00204CBE"/>
    <w:pPr>
      <w:spacing w:after="200" w:line="240" w:lineRule="auto"/>
    </w:pPr>
    <w:rPr>
      <w:i/>
      <w:iCs/>
      <w:color w:val="0E2841" w:themeColor="text2"/>
      <w:sz w:val="18"/>
      <w:szCs w:val="18"/>
    </w:rPr>
  </w:style>
  <w:style w:type="table" w:styleId="TableGrid">
    <w:name w:val="Table Grid"/>
    <w:basedOn w:val="TableNormal"/>
    <w:uiPriority w:val="39"/>
    <w:rsid w:val="0020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4CBE"/>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204CBE"/>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0651EE"/>
    <w:rPr>
      <w:color w:val="467886" w:themeColor="hyperlink"/>
      <w:u w:val="single"/>
    </w:rPr>
  </w:style>
  <w:style w:type="character" w:styleId="UnresolvedMention">
    <w:name w:val="Unresolved Mention"/>
    <w:basedOn w:val="DefaultParagraphFont"/>
    <w:uiPriority w:val="99"/>
    <w:semiHidden/>
    <w:unhideWhenUsed/>
    <w:rsid w:val="000651EE"/>
    <w:rPr>
      <w:color w:val="605E5C"/>
      <w:shd w:val="clear" w:color="auto" w:fill="E1DFDD"/>
    </w:rPr>
  </w:style>
  <w:style w:type="paragraph" w:styleId="Header">
    <w:name w:val="header"/>
    <w:basedOn w:val="Normal"/>
    <w:link w:val="HeaderChar"/>
    <w:uiPriority w:val="99"/>
    <w:unhideWhenUsed/>
    <w:rsid w:val="00540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46"/>
  </w:style>
  <w:style w:type="paragraph" w:styleId="Footer">
    <w:name w:val="footer"/>
    <w:basedOn w:val="Normal"/>
    <w:link w:val="FooterChar"/>
    <w:uiPriority w:val="99"/>
    <w:unhideWhenUsed/>
    <w:rsid w:val="00540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70471/15822g7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5817/publicuho.v7i3.46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4783/jv.v16i3.12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1089</cp:lastModifiedBy>
  <cp:revision>4</cp:revision>
  <dcterms:created xsi:type="dcterms:W3CDTF">2026-01-12T16:34:00Z</dcterms:created>
  <dcterms:modified xsi:type="dcterms:W3CDTF">2026-01-14T10:07:00Z</dcterms:modified>
</cp:coreProperties>
</file>