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4768" w14:textId="77777777" w:rsidR="00792EAE" w:rsidRDefault="00792EAE" w:rsidP="00A23BF6">
      <w:pPr>
        <w:spacing w:after="0"/>
        <w:jc w:val="right"/>
        <w:rPr>
          <w:rFonts w:ascii="Arial" w:hAnsi="Arial"/>
          <w:i/>
          <w:iCs/>
          <w:sz w:val="20"/>
          <w:szCs w:val="20"/>
          <w:lang w:val="id-ID"/>
        </w:rPr>
      </w:pPr>
      <w:bookmarkStart w:id="0" w:name="_GoBack"/>
      <w:bookmarkEnd w:id="0"/>
      <w:r w:rsidRPr="00792EAE">
        <w:rPr>
          <w:rFonts w:ascii="Arial" w:hAnsi="Arial"/>
          <w:i/>
          <w:iCs/>
          <w:sz w:val="20"/>
          <w:szCs w:val="20"/>
          <w:lang w:val="id-ID"/>
        </w:rPr>
        <w:t>Original Research Article</w:t>
      </w:r>
    </w:p>
    <w:p w14:paraId="1578AE03" w14:textId="77777777" w:rsidR="00792EAE" w:rsidRDefault="00792EAE" w:rsidP="00A23BF6">
      <w:pPr>
        <w:spacing w:after="0"/>
        <w:jc w:val="right"/>
        <w:rPr>
          <w:rFonts w:ascii="Arial" w:hAnsi="Arial"/>
          <w:i/>
          <w:iCs/>
          <w:sz w:val="20"/>
          <w:szCs w:val="20"/>
          <w:lang w:val="id-ID"/>
        </w:rPr>
      </w:pPr>
    </w:p>
    <w:p w14:paraId="68A33E86" w14:textId="24A70439" w:rsidR="00A6069B" w:rsidRDefault="00383A66" w:rsidP="00A23BF6">
      <w:pPr>
        <w:spacing w:after="0"/>
        <w:jc w:val="right"/>
        <w:rPr>
          <w:rFonts w:ascii="Arial" w:hAnsi="Arial"/>
          <w:b/>
          <w:bCs/>
          <w:sz w:val="48"/>
          <w:szCs w:val="48"/>
          <w:lang w:val="id-ID"/>
        </w:rPr>
      </w:pPr>
      <w:r>
        <w:rPr>
          <w:rFonts w:ascii="Arial" w:hAnsi="Arial"/>
          <w:i/>
          <w:iCs/>
          <w:sz w:val="20"/>
          <w:szCs w:val="20"/>
          <w:lang w:val="id-ID"/>
        </w:rPr>
        <w:t xml:space="preserve"> </w:t>
      </w:r>
      <w:r w:rsidR="005E269F">
        <w:rPr>
          <w:rFonts w:ascii="Arial" w:hAnsi="Arial"/>
          <w:b/>
          <w:bCs/>
          <w:sz w:val="48"/>
          <w:szCs w:val="48"/>
          <w:lang w:val="id-ID"/>
        </w:rPr>
        <w:t>The Influence of Financial Literacy, Financial Attitude, Lifestyle, and Financial Inclusion on Financial Behavior in MSMEs</w:t>
      </w:r>
    </w:p>
    <w:p w14:paraId="4148BCAE" w14:textId="77777777" w:rsidR="00A23BF6" w:rsidRDefault="00A23BF6" w:rsidP="00A23BF6">
      <w:pPr>
        <w:spacing w:after="0"/>
        <w:jc w:val="right"/>
        <w:rPr>
          <w:rFonts w:ascii="Arial" w:hAnsi="Arial"/>
          <w:b/>
          <w:bCs/>
          <w:sz w:val="48"/>
          <w:szCs w:val="48"/>
          <w:lang w:val="id-ID"/>
        </w:rPr>
      </w:pPr>
    </w:p>
    <w:p w14:paraId="1D9C84F7" w14:textId="76D07DC1" w:rsidR="00EA563A" w:rsidRPr="00B12CAA" w:rsidRDefault="00EA563A" w:rsidP="000975B5">
      <w:pPr>
        <w:pBdr>
          <w:bottom w:val="single" w:sz="12" w:space="1" w:color="auto"/>
        </w:pBdr>
        <w:spacing w:after="0"/>
        <w:jc w:val="right"/>
        <w:rPr>
          <w:rFonts w:ascii="Arial" w:hAnsi="Arial"/>
          <w:b/>
          <w:bCs/>
          <w:sz w:val="20"/>
          <w:szCs w:val="20"/>
          <w:lang w:val="id-ID"/>
        </w:rPr>
      </w:pPr>
    </w:p>
    <w:p w14:paraId="0DD526EB" w14:textId="77777777" w:rsidR="00B12CAA" w:rsidRPr="00EA563A" w:rsidRDefault="00B12CAA" w:rsidP="000975B5">
      <w:pPr>
        <w:pBdr>
          <w:bottom w:val="single" w:sz="12" w:space="1" w:color="auto"/>
        </w:pBdr>
        <w:spacing w:after="0"/>
        <w:jc w:val="right"/>
        <w:rPr>
          <w:rFonts w:ascii="Arial" w:hAnsi="Arial"/>
          <w:b/>
          <w:bCs/>
          <w:sz w:val="20"/>
          <w:szCs w:val="20"/>
          <w:lang w:val="id-ID"/>
        </w:rPr>
      </w:pPr>
    </w:p>
    <w:p w14:paraId="4170AD19" w14:textId="77777777" w:rsidR="008459B7" w:rsidRDefault="008459B7" w:rsidP="000975B5">
      <w:pPr>
        <w:spacing w:after="0"/>
        <w:jc w:val="right"/>
        <w:rPr>
          <w:rFonts w:ascii="Arial" w:hAnsi="Arial"/>
          <w:b/>
          <w:bCs/>
          <w:sz w:val="20"/>
          <w:szCs w:val="20"/>
          <w:lang w:val="id-ID"/>
        </w:rPr>
      </w:pPr>
    </w:p>
    <w:p w14:paraId="75B0D1BA" w14:textId="471CC279" w:rsidR="008459B7" w:rsidRDefault="00362524" w:rsidP="008459B7">
      <w:pPr>
        <w:spacing w:after="0"/>
        <w:rPr>
          <w:rFonts w:ascii="Arial" w:hAnsi="Arial"/>
          <w:b/>
          <w:bCs/>
          <w:sz w:val="22"/>
          <w:szCs w:val="22"/>
          <w:lang w:val="id-ID"/>
        </w:rPr>
      </w:pPr>
      <w:r>
        <w:rPr>
          <w:rFonts w:ascii="Arial" w:hAnsi="Arial"/>
          <w:b/>
          <w:bCs/>
          <w:sz w:val="22"/>
          <w:szCs w:val="22"/>
          <w:lang w:val="id-ID"/>
        </w:rPr>
        <w:t>Abstarct</w:t>
      </w:r>
    </w:p>
    <w:p w14:paraId="7215CD8C" w14:textId="77777777" w:rsidR="008459B7" w:rsidRPr="005E441C" w:rsidRDefault="008459B7" w:rsidP="008459B7">
      <w:pPr>
        <w:spacing w:after="0"/>
        <w:rPr>
          <w:rFonts w:ascii="Arial" w:hAnsi="Arial" w:cs="Arial"/>
          <w:bCs/>
          <w:sz w:val="18"/>
          <w:szCs w:val="18"/>
          <w:lang w:val="id-ID"/>
        </w:rPr>
      </w:pPr>
    </w:p>
    <w:tbl>
      <w:tblPr>
        <w:tblStyle w:val="TableGrid"/>
        <w:tblW w:w="0" w:type="auto"/>
        <w:shd w:val="clear" w:color="auto" w:fill="D4D4D4"/>
        <w:tblLook w:val="04A0" w:firstRow="1" w:lastRow="0" w:firstColumn="1" w:lastColumn="0" w:noHBand="0" w:noVBand="1"/>
      </w:tblPr>
      <w:tblGrid>
        <w:gridCol w:w="9350"/>
      </w:tblGrid>
      <w:tr w:rsidR="00201A15" w:rsidRPr="005E441C" w14:paraId="45F2667E" w14:textId="77777777" w:rsidTr="00201A15">
        <w:tc>
          <w:tcPr>
            <w:tcW w:w="9350" w:type="dxa"/>
            <w:shd w:val="clear" w:color="auto" w:fill="D4D4D4"/>
          </w:tcPr>
          <w:p w14:paraId="67FF3DCA" w14:textId="74D9B5E3" w:rsidR="00201A15" w:rsidRPr="005E441C" w:rsidRDefault="005E441C" w:rsidP="00201A15">
            <w:pPr>
              <w:jc w:val="both"/>
              <w:rPr>
                <w:rFonts w:ascii="Arial" w:hAnsi="Arial" w:cs="Arial"/>
                <w:bCs/>
                <w:sz w:val="18"/>
                <w:szCs w:val="18"/>
                <w:lang w:val="id-ID"/>
              </w:rPr>
            </w:pPr>
            <w:r w:rsidRPr="00D979BE">
              <w:rPr>
                <w:rFonts w:ascii="Arial" w:hAnsi="Arial" w:cs="Arial"/>
                <w:bCs/>
                <w:sz w:val="20"/>
                <w:szCs w:val="20"/>
                <w:highlight w:val="yellow"/>
                <w:lang w:val="en-GB"/>
              </w:rPr>
              <w:t xml:space="preserve">This study aims to </w:t>
            </w:r>
            <w:proofErr w:type="spellStart"/>
            <w:r w:rsidRPr="00D979BE">
              <w:rPr>
                <w:rFonts w:ascii="Arial" w:hAnsi="Arial" w:cs="Arial"/>
                <w:bCs/>
                <w:sz w:val="20"/>
                <w:szCs w:val="20"/>
                <w:highlight w:val="yellow"/>
                <w:lang w:val="en-GB"/>
              </w:rPr>
              <w:t>analyze</w:t>
            </w:r>
            <w:proofErr w:type="spellEnd"/>
            <w:r w:rsidRPr="00D979BE">
              <w:rPr>
                <w:rFonts w:ascii="Arial" w:hAnsi="Arial" w:cs="Arial"/>
                <w:bCs/>
                <w:sz w:val="20"/>
                <w:szCs w:val="20"/>
                <w:highlight w:val="yellow"/>
                <w:lang w:val="en-GB"/>
              </w:rPr>
              <w:t xml:space="preserve"> the influence of financial literacy, financial attitudes, lifestyle, and financial inclusion on the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of MSMEs in </w:t>
            </w:r>
            <w:proofErr w:type="spellStart"/>
            <w:r w:rsidRPr="00D979BE">
              <w:rPr>
                <w:rFonts w:ascii="Arial" w:hAnsi="Arial" w:cs="Arial"/>
                <w:bCs/>
                <w:sz w:val="20"/>
                <w:szCs w:val="20"/>
                <w:highlight w:val="yellow"/>
                <w:lang w:val="en-GB"/>
              </w:rPr>
              <w:t>Banyumas</w:t>
            </w:r>
            <w:proofErr w:type="spellEnd"/>
            <w:r w:rsidRPr="00D979BE">
              <w:rPr>
                <w:rFonts w:ascii="Arial" w:hAnsi="Arial" w:cs="Arial"/>
                <w:bCs/>
                <w:sz w:val="20"/>
                <w:szCs w:val="20"/>
                <w:highlight w:val="yellow"/>
                <w:lang w:val="en-GB"/>
              </w:rPr>
              <w:t xml:space="preserve"> Regency.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is an individual's ability to manage, plan, and control personal and business funds to achieve economic well-being. Using a quantitative approach, primary data was collected through questionnaires from 158 respondents selected using a purposive sampling technique from a population of 6,271 MSMEs. Data analysis was performed using the SEM-</w:t>
            </w:r>
            <w:proofErr w:type="spellStart"/>
            <w:r w:rsidRPr="00D979BE">
              <w:rPr>
                <w:rFonts w:ascii="Arial" w:hAnsi="Arial" w:cs="Arial"/>
                <w:bCs/>
                <w:sz w:val="20"/>
                <w:szCs w:val="20"/>
                <w:highlight w:val="yellow"/>
                <w:lang w:val="en-GB"/>
              </w:rPr>
              <w:t>SmartPLS</w:t>
            </w:r>
            <w:proofErr w:type="spellEnd"/>
            <w:r w:rsidRPr="00D979BE">
              <w:rPr>
                <w:rFonts w:ascii="Arial" w:hAnsi="Arial" w:cs="Arial"/>
                <w:bCs/>
                <w:sz w:val="20"/>
                <w:szCs w:val="20"/>
                <w:highlight w:val="yellow"/>
                <w:lang w:val="en-GB"/>
              </w:rPr>
              <w:t xml:space="preserve"> 3.0 tool from September to December 2025. The results showed that financial literacy, financial attitudes, lifestyle, and financial inclusion had a significant positive effect on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These findings highlight the importance of increasing managerial training capacity through and utilizing access to formal financial services to strengthen the financial resilience of MSMEs. This research provides an important contribution to the development of financial management theory and the formulation of regional economic training policies.</w:t>
            </w:r>
          </w:p>
        </w:tc>
      </w:tr>
    </w:tbl>
    <w:p w14:paraId="14269EA1" w14:textId="0570317B" w:rsidR="007C1597" w:rsidRDefault="007C1597" w:rsidP="008459B7">
      <w:pPr>
        <w:spacing w:after="0"/>
        <w:rPr>
          <w:rFonts w:ascii="Arial" w:hAnsi="Arial"/>
          <w:b/>
          <w:bCs/>
          <w:sz w:val="22"/>
          <w:szCs w:val="22"/>
          <w:lang w:val="id-ID"/>
        </w:rPr>
      </w:pPr>
    </w:p>
    <w:p w14:paraId="590375DA" w14:textId="6472A217" w:rsidR="00BB492A" w:rsidRPr="00BB492A" w:rsidRDefault="00BB492A" w:rsidP="008459B7">
      <w:pPr>
        <w:spacing w:after="0"/>
        <w:rPr>
          <w:rFonts w:ascii="Arial" w:hAnsi="Arial"/>
          <w:sz w:val="20"/>
          <w:szCs w:val="20"/>
          <w:lang w:val="id-ID"/>
        </w:rPr>
      </w:pPr>
      <w:r w:rsidRPr="00BB492A">
        <w:rPr>
          <w:rFonts w:ascii="Arial" w:hAnsi="Arial"/>
          <w:sz w:val="20"/>
          <w:szCs w:val="20"/>
          <w:lang w:val="id-ID"/>
        </w:rPr>
        <w:t xml:space="preserve">Keywoard: </w:t>
      </w:r>
      <w:r>
        <w:rPr>
          <w:rFonts w:ascii="Arial" w:hAnsi="Arial"/>
          <w:sz w:val="20"/>
          <w:szCs w:val="20"/>
          <w:lang w:val="id-ID"/>
        </w:rPr>
        <w:t>Financial Literacy, Financial Attitude, Lifestyle</w:t>
      </w:r>
      <w:r w:rsidR="008370E9">
        <w:rPr>
          <w:rFonts w:ascii="Arial" w:hAnsi="Arial"/>
          <w:sz w:val="20"/>
          <w:szCs w:val="20"/>
          <w:lang w:val="id-ID"/>
        </w:rPr>
        <w:t>, Financial Inclusion, Financial Behavior</w:t>
      </w:r>
    </w:p>
    <w:p w14:paraId="79928BBF" w14:textId="77777777" w:rsidR="00BB492A" w:rsidRPr="00BB492A" w:rsidRDefault="00BB492A" w:rsidP="008459B7">
      <w:pPr>
        <w:spacing w:after="0"/>
        <w:rPr>
          <w:rFonts w:ascii="Arial" w:hAnsi="Arial"/>
          <w:b/>
          <w:bCs/>
          <w:sz w:val="22"/>
          <w:szCs w:val="22"/>
          <w:lang w:val="id-ID"/>
        </w:rPr>
      </w:pPr>
    </w:p>
    <w:p w14:paraId="5CD75C35" w14:textId="08D7CAC2" w:rsidR="00383A66" w:rsidRDefault="00383A66" w:rsidP="00910524">
      <w:pPr>
        <w:spacing w:after="0"/>
        <w:rPr>
          <w:rFonts w:ascii="Arial" w:hAnsi="Arial"/>
          <w:b/>
          <w:bCs/>
          <w:sz w:val="22"/>
          <w:szCs w:val="22"/>
          <w:lang w:val="id-ID"/>
        </w:rPr>
      </w:pPr>
      <w:r>
        <w:rPr>
          <w:rFonts w:ascii="Arial" w:hAnsi="Arial"/>
          <w:b/>
          <w:bCs/>
          <w:sz w:val="22"/>
          <w:szCs w:val="22"/>
          <w:lang w:val="id-ID"/>
        </w:rPr>
        <w:t>1. INTRODUCTION</w:t>
      </w:r>
    </w:p>
    <w:p w14:paraId="0FD492B8" w14:textId="77777777" w:rsidR="00910524" w:rsidRPr="00A74DED" w:rsidRDefault="00910524" w:rsidP="00910524">
      <w:pPr>
        <w:spacing w:after="0"/>
        <w:rPr>
          <w:rFonts w:ascii="Arial" w:hAnsi="Arial"/>
          <w:b/>
          <w:bCs/>
          <w:sz w:val="20"/>
          <w:szCs w:val="20"/>
          <w:lang w:val="id-ID"/>
        </w:rPr>
      </w:pPr>
    </w:p>
    <w:p w14:paraId="7F0DCEA9" w14:textId="448A668C" w:rsidR="00FC38B4" w:rsidRDefault="00C44850" w:rsidP="00603024">
      <w:pPr>
        <w:spacing w:after="0"/>
        <w:jc w:val="both"/>
        <w:rPr>
          <w:rFonts w:ascii="Arial" w:hAnsi="Arial"/>
          <w:sz w:val="20"/>
          <w:szCs w:val="20"/>
          <w:lang w:val="id-ID"/>
        </w:rPr>
      </w:pPr>
      <w:r w:rsidRPr="00D54C39">
        <w:rPr>
          <w:rFonts w:ascii="Arial" w:hAnsi="Arial"/>
          <w:sz w:val="20"/>
          <w:szCs w:val="20"/>
          <w:lang w:val="id-ID"/>
        </w:rPr>
        <w:t xml:space="preserve">Micro, Small, and Medium Enterprises (MSMEs) are independent and productive small-scale business activities carried out by individuals or business entities in the economic sector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Utama","id":"ITEM-1","issue":"3","issued":{"date-parts":[["2023"]]},"page":"298-306","title":"Pengaruh Literasi Keuangan, Inklusi Keuangan dan Pendapatan Terhadap Perilaku Keuangan Pelaku UMKM di Langsa Kota","type":"article-journal","volume":"2"},"uris":["http://www.mendeley.com/documents/?uuid=177650ef-cb18-4112-9ec8-b6cf5e7d05ae"]}],"mendeley":{"formattedCitation":"(Jannah, Fuad, and Dewi 2023)","plainTextFormattedCitation":"(Jannah, Fuad, and Dewi 2023)","previouslyFormattedCitation":"(Jannah, Fuad, and Dewi 2023)"},"properties":{"noteIndex":0},"schema":"https://github.com/citation-style-language/schema/raw/master/csl-citation.json"}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(Jannah, Fuad, and Dewi 2023)</w:t>
      </w:r>
      <w:r w:rsidRPr="00D54C39">
        <w:rPr>
          <w:rFonts w:ascii="Arial" w:hAnsi="Arial"/>
          <w:sz w:val="20"/>
          <w:szCs w:val="20"/>
          <w:lang w:val="id-ID"/>
        </w:rPr>
        <w:fldChar w:fldCharType="end"/>
      </w:r>
      <w:r w:rsidRPr="00D54C39">
        <w:rPr>
          <w:rFonts w:ascii="Arial" w:hAnsi="Arial"/>
          <w:sz w:val="20"/>
          <w:szCs w:val="20"/>
          <w:lang w:val="id-ID"/>
        </w:rPr>
        <w:t xml:space="preserve">. The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{"citationItems":[{"id":"ITEM-1","itemData":{"abstract":"Bahwa Dewan Perwakilan Daerah Republik Indonesia dapat melakukan pengawasan atas pelaksanaan undang-undang mengenai otonomi daerah, pembentukan, pemekaran dan penggabungan daerah, hubungan pusat dan daerah, pengelolaan sumber daya alam dan sumber daya ekonomi lainnya, pelaksanaan anggaran pendapatan dan belanja negara, pajak, pendidikan, dan agama serta menyampaikan hasil pengawasannya itu kepada Dewan Perwakilan Rakyat sebagai bahan pertimbangan untuk ditindaklanjuti; Dewan Perwakilan Daerah Republik Indonesia telah menerima berbagai aspirasi masyarakat dan daerah mengenai pelaksanaan Undang-Undang Nomor 20 Tahun 2008 tentang Usaha Mikro, Kecil dan Menengah; Dasar Hukum UU Pasal 22D ayat (3) Tahun 1945;UU No 17 Tahun 2014;UU No 20 Tahun 2008;Peraturan DPD No 6 Tahun 2012; Peraturan DPD No 1 Tahun 2022; Undang-undang Dasar Negara Republik Indonesia (UUD NRI) Tahun 1945 Pasal 22D ayat (3), serta Undang-Undang Nomor 13 Tahun 2019 tentang Perubahan Ketiga atas Undang-Undang Nomor 17 tahun 2014 tentang MPR, DPR, DPD, dan DPRD Pasal 249 ayat (1) huruf e dan Pasal 256 huruf e, mengamanatkan DPD RI dapat melakukan pengawasan atas pelaksanaan undang-undang mengenai otonomi daerah, pembentukan, pemekaran dan penggabungan daerah, hubungan pusat dan daerah, pengelolaan sumber daya alam dan sumber daya ekonomi lainnya, pelaksanaan APBN, pajak, pendidikan, dan agama serta menyampaikan hasil pengawasannya kepada DPR RI. Pada masa Sidang IV Tahun Sidang 2023-2024 ini DPD RI melalui Komite IV melakukan pengawasan atas pelaksanaan Undang-Undang Nomor 20 Tahun 2008 tentang Usaha Mikro, Kecil dan Menengah (UMKM).","author":[{"dropping-particle":"","family":"KEPDPDRI","given":"","non-dropping-particle":"","parse-names":false,"suffix":""}],"id":"ITEM-1","issued":{"date-parts":[["2024"]]},"page":"1-28","title":"Keputusan Dewan Perwakilan Daerah Republik Indonesia Nomor 41/DPD RI/IV/2023-2024 Tentang Hasil Pengawasan DPD RI Atas Pelaksanaan Undang-Undang Nomor 20 Tahun 2008 Tentang Usaha Mikro, Kecil dan Menengah","type":"legislation"},"uris":["http://www.mendeley.com/documents/?uuid=1bfc6926-ee43-494f-a08a-96de5b6a9882"]}],"mendeley":{"formattedCitation":"(KEPDPDRI 2024)","manualFormatting":"KEPDPDRI (2024)","plainTextFormattedCitation":"(KEPDPDRI 2024)","previouslyFormattedCitation":"(KEPDPDRI 2024)"},"properties":{"noteIndex":0},"schema":"https://github.com/citation-style-language/schema/raw/master/csl-citation.json"}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KEPDPDRI (2024)</w:t>
      </w:r>
      <w:r w:rsidRPr="00D54C39">
        <w:rPr>
          <w:rFonts w:ascii="Arial" w:hAnsi="Arial"/>
          <w:sz w:val="20"/>
          <w:szCs w:val="20"/>
          <w:lang w:val="id-ID"/>
        </w:rPr>
        <w:fldChar w:fldCharType="end"/>
      </w:r>
      <w:r w:rsidRPr="00D54C39">
        <w:rPr>
          <w:rFonts w:ascii="Arial" w:hAnsi="Arial"/>
          <w:sz w:val="20"/>
          <w:szCs w:val="20"/>
          <w:lang w:val="id-ID"/>
        </w:rPr>
        <w:t xml:space="preserve">, explains that there are 64,2 milion MSMEs that contribute directly to Indonesia’s Gross Domestic Product (GDP) by 61% or equivalent to Rp. 9.580 trilion. The Central Java Provincial Cooperative and Small and Medium Enterprises Agency in Central Java </w:t>
      </w:r>
      <w:r w:rsidRPr="00D54C39">
        <w:rPr>
          <w:rFonts w:ascii="Arial" w:hAnsi="Arial"/>
          <w:sz w:val="20"/>
          <w:szCs w:val="20"/>
          <w:lang w:val="id-ID"/>
        </w:rPr>
        <w:fldChar w:fldCharType="begin" w:fldLock="1"/>
      </w:r>
      <w:r w:rsidR="00D54C39" w:rsidRPr="00D54C39">
        <w:rPr>
          <w:rFonts w:ascii="Arial" w:hAnsi="Arial"/>
          <w:sz w:val="20"/>
          <w:szCs w:val="20"/>
          <w:lang w:val="id-ID"/>
        </w:rPr>
        <w:instrText>ADDIN CSL_CITATION {"citationItems":[{"id":"ITEM-1","itemData":{"URL":"https://satudata.dinkop-umkm.jatengprov.go.id/umkm","author":[{"dropping-particle":"","family":"Jateng","given":"Dinkop-UMKM","non-dropping-particle":"","parse-names":false,"suffix":""}],"container-title":"Dinas Koperasi Usaha Kecil Menengah Provinsi Jawa Tengah","id":"ITEM-1","issued":{"date-parts":[["2025"]]},"note":"Accessed 11 Dec 2025. Metadata (judul/penulis/tahun terbit) belum diverifikasi.","title":"Data Jumlah UMKM di Kabupaten Banyumas","type":"webpage"},"uris":["http://www.mendeley.com/documents/?uuid=816c2bf6-a4f0-4909-b945-d581b17ae591"]}],"mendeley":{"formattedCitation":"(Jateng 2025)","manualFormatting":"(2025)","plainTextFormattedCitation":"(Jateng 2025)","previouslyFormattedCitation":"(Jateng 2025)"},"properties":{"noteIndex":0},"schema":"https://github.com/citation-style-language/schema/raw/master/csl-citation.json"}</w:instrText>
      </w:r>
      <w:r w:rsidRPr="00D54C39">
        <w:rPr>
          <w:rFonts w:ascii="Arial" w:hAnsi="Arial"/>
          <w:sz w:val="20"/>
          <w:szCs w:val="20"/>
          <w:lang w:val="id-ID"/>
        </w:rPr>
        <w:fldChar w:fldCharType="separate"/>
      </w:r>
      <w:r w:rsidR="00FC38B4" w:rsidRPr="00D54C39">
        <w:rPr>
          <w:rFonts w:ascii="Arial" w:hAnsi="Arial"/>
          <w:noProof/>
          <w:sz w:val="20"/>
          <w:szCs w:val="20"/>
          <w:lang w:val="id-ID"/>
        </w:rPr>
        <w:t>(</w:t>
      </w:r>
      <w:r w:rsidRPr="00D54C39">
        <w:rPr>
          <w:rFonts w:ascii="Arial" w:hAnsi="Arial"/>
          <w:noProof/>
          <w:sz w:val="20"/>
          <w:szCs w:val="20"/>
          <w:lang w:val="id-ID"/>
        </w:rPr>
        <w:t>2025)</w:t>
      </w:r>
      <w:r w:rsidRPr="00D54C39">
        <w:rPr>
          <w:rFonts w:ascii="Arial" w:hAnsi="Arial"/>
          <w:sz w:val="20"/>
          <w:szCs w:val="20"/>
          <w:lang w:val="id-ID"/>
        </w:rPr>
        <w:fldChar w:fldCharType="end"/>
      </w:r>
      <w:r w:rsidR="00FC38B4" w:rsidRPr="00D54C39">
        <w:rPr>
          <w:rFonts w:ascii="Arial" w:hAnsi="Arial"/>
          <w:sz w:val="20"/>
          <w:szCs w:val="20"/>
          <w:lang w:val="id-ID"/>
        </w:rPr>
        <w:t>, reports that there are 193.200 MSMEs undergoing guidance in Central Java in 2025</w:t>
      </w:r>
      <w:r w:rsidR="00792098">
        <w:rPr>
          <w:rFonts w:ascii="Arial" w:hAnsi="Arial"/>
          <w:sz w:val="20"/>
          <w:szCs w:val="20"/>
          <w:lang w:val="id-ID"/>
        </w:rPr>
        <w:t>.</w:t>
      </w:r>
    </w:p>
    <w:p w14:paraId="1DC1E9C9" w14:textId="77777777" w:rsidR="008F574C" w:rsidRDefault="008F574C" w:rsidP="00603024">
      <w:pPr>
        <w:spacing w:after="0"/>
        <w:jc w:val="both"/>
        <w:rPr>
          <w:rFonts w:ascii="Arial" w:hAnsi="Arial"/>
          <w:sz w:val="20"/>
          <w:szCs w:val="20"/>
          <w:lang w:val="id-ID"/>
        </w:rPr>
      </w:pPr>
    </w:p>
    <w:p w14:paraId="770CDDBB" w14:textId="33C937B4" w:rsidR="00792098" w:rsidRPr="008F574C" w:rsidRDefault="008F574C" w:rsidP="008F574C">
      <w:pPr>
        <w:spacing w:after="0"/>
        <w:jc w:val="center"/>
        <w:rPr>
          <w:rFonts w:ascii="Arial" w:hAnsi="Arial"/>
          <w:sz w:val="20"/>
          <w:szCs w:val="20"/>
          <w:lang w:val="id-ID"/>
        </w:rPr>
      </w:pPr>
      <w:r>
        <w:rPr>
          <w:rFonts w:ascii="Arial" w:hAnsi="Arial"/>
          <w:noProof/>
          <w:sz w:val="20"/>
          <w:szCs w:val="20"/>
          <w:lang w:val="id-ID"/>
        </w:rPr>
        <w:lastRenderedPageBreak/>
        <w:drawing>
          <wp:inline distT="0" distB="0" distL="0" distR="0" wp14:anchorId="239D0CCA" wp14:editId="4AA67699">
            <wp:extent cx="3840480" cy="2488758"/>
            <wp:effectExtent l="0" t="0" r="7620" b="6985"/>
            <wp:docPr id="18652482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DB60C" w14:textId="56F102FF" w:rsidR="00FC38B4" w:rsidRPr="00AB4908" w:rsidRDefault="007A17A6" w:rsidP="00845972">
      <w:pPr>
        <w:spacing w:after="0"/>
        <w:jc w:val="center"/>
        <w:rPr>
          <w:rFonts w:ascii="Arial" w:hAnsi="Arial"/>
          <w:b/>
          <w:bCs/>
          <w:sz w:val="20"/>
          <w:szCs w:val="20"/>
          <w:lang w:val="id-ID"/>
        </w:rPr>
      </w:pPr>
      <w:r w:rsidRPr="00AB4908">
        <w:rPr>
          <w:rFonts w:ascii="Arial" w:hAnsi="Arial"/>
          <w:b/>
          <w:bCs/>
          <w:sz w:val="20"/>
          <w:szCs w:val="20"/>
          <w:lang w:val="id-ID"/>
        </w:rPr>
        <w:t>Fig</w:t>
      </w:r>
      <w:r w:rsidR="00FC25B6" w:rsidRPr="00AB4908">
        <w:rPr>
          <w:rFonts w:ascii="Arial" w:hAnsi="Arial"/>
          <w:b/>
          <w:bCs/>
          <w:sz w:val="20"/>
          <w:szCs w:val="20"/>
          <w:lang w:val="id-ID"/>
        </w:rPr>
        <w:t>. 1. Graph of the Number of MSMEs in Banyumas Regency</w:t>
      </w:r>
    </w:p>
    <w:p w14:paraId="6929C4E7" w14:textId="59F7E568" w:rsidR="00FC25B6" w:rsidRPr="00AB4908" w:rsidRDefault="003633A2" w:rsidP="00845972">
      <w:pPr>
        <w:spacing w:after="0"/>
        <w:jc w:val="center"/>
        <w:rPr>
          <w:rFonts w:ascii="Arial" w:hAnsi="Arial"/>
          <w:i/>
          <w:iCs/>
          <w:sz w:val="20"/>
          <w:szCs w:val="20"/>
          <w:lang w:val="id-ID"/>
        </w:rPr>
      </w:pPr>
      <w:r w:rsidRPr="00AB4908">
        <w:rPr>
          <w:rFonts w:ascii="Arial" w:hAnsi="Arial"/>
          <w:i/>
          <w:iCs/>
          <w:sz w:val="20"/>
          <w:szCs w:val="20"/>
          <w:lang w:val="id-ID"/>
        </w:rPr>
        <w:t xml:space="preserve">Source: </w:t>
      </w:r>
      <w:r w:rsidR="00AE33E7" w:rsidRPr="00AB4908">
        <w:rPr>
          <w:rFonts w:ascii="Arial" w:hAnsi="Arial"/>
          <w:i/>
          <w:iCs/>
          <w:sz w:val="20"/>
          <w:szCs w:val="20"/>
          <w:lang w:val="id-ID"/>
        </w:rPr>
        <w:t>Central Java Small and Medium Enterprises Cooperative Agency</w:t>
      </w:r>
    </w:p>
    <w:p w14:paraId="2550F2DC" w14:textId="77777777" w:rsidR="006317A0" w:rsidRDefault="006317A0" w:rsidP="006317A0">
      <w:pPr>
        <w:spacing w:after="0"/>
        <w:jc w:val="both"/>
        <w:rPr>
          <w:rFonts w:ascii="Arial" w:hAnsi="Arial"/>
          <w:sz w:val="20"/>
          <w:szCs w:val="20"/>
          <w:lang w:val="id-ID"/>
        </w:rPr>
      </w:pPr>
    </w:p>
    <w:p w14:paraId="6FF1AB99" w14:textId="0D7B44E4" w:rsidR="006317A0" w:rsidRDefault="002D489D" w:rsidP="00D54C39">
      <w:pPr>
        <w:spacing w:after="0"/>
        <w:jc w:val="both"/>
        <w:rPr>
          <w:rFonts w:ascii="Arial" w:hAnsi="Arial"/>
          <w:sz w:val="20"/>
          <w:szCs w:val="20"/>
          <w:lang w:val="id-ID"/>
        </w:rPr>
      </w:pPr>
      <w:r>
        <w:rPr>
          <w:rFonts w:ascii="Arial" w:hAnsi="Arial"/>
          <w:sz w:val="20"/>
          <w:szCs w:val="20"/>
          <w:lang w:val="en-GB"/>
        </w:rPr>
        <w:t>“</w:t>
      </w:r>
      <w:r w:rsidR="006317A0" w:rsidRPr="00D54C39">
        <w:rPr>
          <w:rFonts w:ascii="Arial" w:hAnsi="Arial"/>
          <w:sz w:val="20"/>
          <w:szCs w:val="20"/>
          <w:lang w:val="id-ID"/>
        </w:rPr>
        <w:t>Meanwhile, in Banyumas Regency itself, there are fluctuations in the number of MSMEs under guidance based on data from the Central Java Small and Medium Entreprises Cooperative Office. Therefore in this situation, competence becomes an important aspect needed by MSME actors to anticipate instability in the business world</w:t>
      </w:r>
      <w:r>
        <w:rPr>
          <w:rFonts w:ascii="Arial" w:hAnsi="Arial"/>
          <w:sz w:val="20"/>
          <w:szCs w:val="20"/>
          <w:lang w:val="en-GB"/>
        </w:rPr>
        <w:t>”</w:t>
      </w:r>
      <w:r w:rsidR="006317A0" w:rsidRPr="00D54C39">
        <w:rPr>
          <w:rFonts w:ascii="Arial" w:hAnsi="Arial"/>
          <w:sz w:val="20"/>
          <w:szCs w:val="20"/>
          <w:lang w:val="id-ID"/>
        </w:rPr>
        <w:t xml:space="preserve"> </w:t>
      </w:r>
      <w:r w:rsidR="006317A0" w:rsidRPr="00D54C39">
        <w:rPr>
          <w:rFonts w:ascii="Arial" w:hAnsi="Arial"/>
          <w:sz w:val="20"/>
          <w:szCs w:val="20"/>
          <w:lang w:val="id-ID"/>
        </w:rPr>
        <w:fldChar w:fldCharType="begin" w:fldLock="1"/>
      </w:r>
      <w:r w:rsidR="006317A0">
        <w:rPr>
          <w:rFonts w:ascii="Arial" w:hAnsi="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006317A0" w:rsidRPr="00D54C39">
        <w:rPr>
          <w:rFonts w:ascii="Arial" w:hAnsi="Arial"/>
          <w:sz w:val="20"/>
          <w:szCs w:val="20"/>
          <w:lang w:val="id-ID"/>
        </w:rPr>
        <w:fldChar w:fldCharType="separate"/>
      </w:r>
      <w:r w:rsidR="006317A0" w:rsidRPr="00D54C39">
        <w:rPr>
          <w:rFonts w:ascii="Arial" w:hAnsi="Arial"/>
          <w:noProof/>
          <w:sz w:val="20"/>
          <w:szCs w:val="20"/>
          <w:lang w:val="id-ID"/>
        </w:rPr>
        <w:t>(Azizah et al. 2024)</w:t>
      </w:r>
      <w:r w:rsidR="006317A0" w:rsidRPr="00D54C39">
        <w:rPr>
          <w:rFonts w:ascii="Arial" w:hAnsi="Arial"/>
          <w:sz w:val="20"/>
          <w:szCs w:val="20"/>
          <w:lang w:val="id-ID"/>
        </w:rPr>
        <w:fldChar w:fldCharType="end"/>
      </w:r>
      <w:r w:rsidR="006317A0">
        <w:rPr>
          <w:rFonts w:ascii="Arial" w:hAnsi="Arial"/>
          <w:sz w:val="20"/>
          <w:szCs w:val="20"/>
          <w:lang w:val="id-ID"/>
        </w:rPr>
        <w:t>.</w:t>
      </w:r>
    </w:p>
    <w:p w14:paraId="32B472B3" w14:textId="77777777" w:rsidR="006317A0" w:rsidRDefault="006317A0" w:rsidP="00D54C39">
      <w:pPr>
        <w:spacing w:after="0"/>
        <w:jc w:val="both"/>
        <w:rPr>
          <w:rFonts w:ascii="Arial" w:hAnsi="Arial" w:cs="Arial"/>
          <w:noProof/>
          <w:sz w:val="20"/>
          <w:szCs w:val="20"/>
          <w:lang w:val="id-ID"/>
        </w:rPr>
      </w:pPr>
    </w:p>
    <w:p w14:paraId="59B0997E" w14:textId="2BD5453A" w:rsidR="00D54C39" w:rsidRDefault="00D54C39" w:rsidP="00D54C39">
      <w:pPr>
        <w:spacing w:after="0"/>
        <w:jc w:val="both"/>
        <w:rPr>
          <w:rFonts w:ascii="Arial" w:hAnsi="Arial" w:cs="Arial"/>
          <w:sz w:val="20"/>
          <w:szCs w:val="20"/>
          <w:lang w:val="id-ID"/>
        </w:rPr>
      </w:pPr>
      <w:r w:rsidRPr="00652411">
        <w:rPr>
          <w:rFonts w:ascii="Arial" w:hAnsi="Arial" w:cs="Arial"/>
          <w:noProof/>
          <w:sz w:val="20"/>
          <w:szCs w:val="20"/>
          <w:lang w:val="id-ID"/>
        </w:rPr>
        <w:t xml:space="preserve">Instability </w:t>
      </w:r>
      <w:r w:rsidRPr="00652411">
        <w:rPr>
          <w:rFonts w:ascii="Arial" w:hAnsi="Arial" w:cs="Arial"/>
          <w:sz w:val="20"/>
          <w:szCs w:val="20"/>
          <w:lang w:val="id-ID"/>
        </w:rPr>
        <w:t xml:space="preserve">the number of MSMEs in Banyumas Regency is in line with research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{"citationItems":[{"id":"ITEM-1","itemData":{"DOI":"10.33395/owner.v8i1.1902","ISSN":"2548-7507","abstract":"Financial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management.","author":[{"dropping-particle":"","family":"Munthay","given":"Salik Farhan","non-dropping-particle":"","parse-names":false,"suffix":""},{"dropping-particle":"","family":"Sembiring","given":"Masta","non-dropping-particle":"","parse-names":false,"suffix":""}],"container-title":"Owner","id":"ITEM-1","issue":"1","issued":{"date-parts":[["2024"]]},"page":"22-35","title":"Pengaruh Literasi Keuangan Dan Inklusi Keuangan Terhadap Pengelolaan Keuangan UMKM Di Kecamatan Kisaran Barat Kabupaten Asahan","type":"article-journal","volume":"8"},"uris":["http://www.mendeley.com/documents/?uuid=6f39e84c-88cd-4a39-8908-8a4f362d2f71"]}],"mendeley":{"formattedCitation":"(Munthay and Sembiring 2024)","manualFormatting":"Munthay and Sembiring (2024)","plainTextFormattedCitation":"(Munthay and Sembiring 2024)","previouslyFormattedCitation":"(Munthay and Sembiring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Munthay and Sembiring (2024)</w:t>
      </w:r>
      <w:r w:rsidRPr="00652411">
        <w:rPr>
          <w:rFonts w:ascii="Arial" w:hAnsi="Arial" w:cs="Arial"/>
          <w:sz w:val="20"/>
          <w:szCs w:val="20"/>
          <w:lang w:val="id-ID"/>
        </w:rPr>
        <w:fldChar w:fldCharType="end"/>
      </w:r>
      <w:r w:rsidRPr="00652411">
        <w:rPr>
          <w:rFonts w:ascii="Arial" w:hAnsi="Arial" w:cs="Arial"/>
          <w:sz w:val="20"/>
          <w:szCs w:val="20"/>
          <w:lang w:val="id-ID"/>
        </w:rPr>
        <w:t xml:space="preserve"> which explains that many MSMEs feel that their businesses are running well as they should, but in reality, they fail to grow and experience losses due to a lack of knowledge about how to calculate business results. </w:t>
      </w:r>
      <w:r w:rsidR="002D489D">
        <w:rPr>
          <w:rFonts w:ascii="Arial" w:hAnsi="Arial" w:cs="Arial"/>
          <w:sz w:val="20"/>
          <w:szCs w:val="20"/>
          <w:lang w:val="en-GB"/>
        </w:rPr>
        <w:t>“</w:t>
      </w:r>
      <w:r w:rsidRPr="00652411">
        <w:rPr>
          <w:rFonts w:ascii="Arial" w:hAnsi="Arial" w:cs="Arial"/>
          <w:sz w:val="20"/>
          <w:szCs w:val="20"/>
          <w:lang w:val="id-ID"/>
        </w:rPr>
        <w:t xml:space="preserve">Many MSMEs lack budgeting skills, which is closely related to the preparation of short, medium, and </w:t>
      </w:r>
      <w:proofErr w:type="gramStart"/>
      <w:r w:rsidRPr="00652411">
        <w:rPr>
          <w:rFonts w:ascii="Arial" w:hAnsi="Arial" w:cs="Arial"/>
          <w:sz w:val="20"/>
          <w:szCs w:val="20"/>
          <w:lang w:val="id-ID"/>
        </w:rPr>
        <w:t>long term</w:t>
      </w:r>
      <w:proofErr w:type="gramEnd"/>
      <w:r w:rsidRPr="00652411">
        <w:rPr>
          <w:rFonts w:ascii="Arial" w:hAnsi="Arial" w:cs="Arial"/>
          <w:sz w:val="20"/>
          <w:szCs w:val="20"/>
          <w:lang w:val="id-ID"/>
        </w:rPr>
        <w:t xml:space="preserve"> financial goals. Furthermore, MSMEs have a low understanding of the procedures for recording incoming and outgoing budgets for their businesses</w:t>
      </w:r>
      <w:r w:rsidR="002D489D">
        <w:rPr>
          <w:rFonts w:ascii="Arial" w:hAnsi="Arial" w:cs="Arial"/>
          <w:sz w:val="20"/>
          <w:szCs w:val="20"/>
          <w:lang w:val="en-GB"/>
        </w:rPr>
        <w:t>”</w:t>
      </w:r>
      <w:r w:rsidRPr="00652411">
        <w:rPr>
          <w:rFonts w:ascii="Arial" w:hAnsi="Arial" w:cs="Arial"/>
          <w:sz w:val="20"/>
          <w:szCs w:val="20"/>
          <w:lang w:val="id-ID"/>
        </w:rPr>
        <w:t xml:space="preserv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(Azizah et al. 2024)</w:t>
      </w:r>
      <w:r w:rsidRPr="00652411">
        <w:rPr>
          <w:rFonts w:ascii="Arial" w:hAnsi="Arial" w:cs="Arial"/>
          <w:sz w:val="20"/>
          <w:szCs w:val="20"/>
          <w:lang w:val="id-ID"/>
        </w:rPr>
        <w:fldChar w:fldCharType="end"/>
      </w:r>
      <w:r w:rsidRPr="00652411">
        <w:rPr>
          <w:rFonts w:ascii="Arial" w:hAnsi="Arial" w:cs="Arial"/>
          <w:sz w:val="20"/>
          <w:szCs w:val="20"/>
          <w:lang w:val="id-ID"/>
        </w:rPr>
        <w:t xml:space="preserve">. </w:t>
      </w:r>
      <w:r w:rsidR="002D489D">
        <w:rPr>
          <w:rFonts w:ascii="Arial" w:hAnsi="Arial" w:cs="Arial"/>
          <w:sz w:val="20"/>
          <w:szCs w:val="20"/>
          <w:lang w:val="en-GB"/>
        </w:rPr>
        <w:t>“</w:t>
      </w:r>
      <w:r w:rsidRPr="00652411">
        <w:rPr>
          <w:rFonts w:ascii="Arial" w:hAnsi="Arial" w:cs="Arial"/>
          <w:sz w:val="20"/>
          <w:szCs w:val="20"/>
          <w:lang w:val="id-ID"/>
        </w:rPr>
        <w:t>The success of a business is greatly influenced by the financial behavior of its owner. Financial behavior encompasses how a person treats, manages, and utilizes their financial resources. A person with good financial behavior demonstrates the ability to manage finances and take responsibility for every decision made, in line with established financial goals</w:t>
      </w:r>
      <w:r w:rsidR="002D489D">
        <w:rPr>
          <w:rFonts w:ascii="Arial" w:hAnsi="Arial" w:cs="Arial"/>
          <w:sz w:val="20"/>
          <w:szCs w:val="20"/>
          <w:lang w:val="en-GB"/>
        </w:rPr>
        <w:t>”</w:t>
      </w:r>
      <w:r w:rsidRPr="00652411">
        <w:rPr>
          <w:rFonts w:ascii="Arial" w:hAnsi="Arial" w:cs="Arial"/>
          <w:sz w:val="20"/>
          <w:szCs w:val="20"/>
          <w:lang w:val="id-ID"/>
        </w:rPr>
        <w:t xml:space="preserve"> </w:t>
      </w:r>
      <w:r>
        <w:rPr>
          <w:rFonts w:ascii="Arial" w:hAnsi="Arial" w:cs="Arial"/>
          <w:sz w:val="20"/>
          <w:szCs w:val="20"/>
          <w:lang w:val="id-ID"/>
        </w:rPr>
        <w:t>(</w:t>
      </w:r>
      <w:r w:rsidRPr="00652411">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{"citationItems":[{"id":"ITEM-1","itemData":{"abstract":"Tujuan dari penelitian ini adalah untuk mengetahui pengaruh literasi keuangan, sikap keuangan dan digital literacy terhadap perilaku keuangan pelaku UMKM di Kecamatan Secanggang. Metode yang digunakan adalah metode kuantitatif. Populasi dalam penelitian ini adalah 184 pelaku UMKM di Kecamatan Secanggang dan sampel berjumlah 127 responden. Metode pengumpulan data menggunakan metode wawancara, penyebaran kuesioner, dokumentasi dan studi kepustakaan. Metode analisis data yang digunakan yaitu Uji t dan Uji F. Adapun hasil penelitian ini menunjukan hasil analisis regresi dengan persamaan Y = 10.551 + 0.268X1 + 0.136X2 + 0.230X3. Hasil uji t untuk pengaruh literasi keuangan (X1) terhadap perilaku keuangan (Y) adalah sebesar 8.581 dan nilai t-sig lebih kecil dari nilai alpha yaitu sebesar 0,000 &lt; 0,05, untuk pengaruh sikap keuangan (X2) terhadap perilaku keuangan (Y) adalah sebesar 4.818 dan nilai t-sig lebih kecil dari nilai alpha yaitu sebesar 0,000 &lt; 0,05, untuk pengaruh digital literacy (X3) terhadap perilaku keuangan (Y) adalah sebesar 5.623 dan nilai t-sig lebih kecil dari nilai alpha yaitu sebesar 0,000 &lt; 0,05. Dan untuk uji F dengan nilai signifikansi sebesar 0,000 &lt; 0,05.","author":[{"dropping-particle":"","family":"Zafira","given":"Diana","non-dropping-particle":"","parse-names":false,"suffix":""},{"dropping-particle":"","family":"Fuad","given":"Muhammad","non-dropping-particle":"","parse-names":false,"suffix":""},{"dropping-particle":"","family":"Maula","given":"Ziaul","non-dropping-particle":"","parse-names":false,"suffix":""}],"container-title":"Jurnal Pajak &amp; Bisnis","id":"ITEM-1","issue":"1","issued":{"date-parts":[["2025"]]},"page":"66-73","title":"Pengaruh Literasi Keuangan, Sikap Keuangan, Digital Literacy Terhadap Perilaku Keuangan Pelaku UMKM di Kecamatan Secanggang","type":"article-journal","volume":"6"},"uris":["http://www.mendeley.com/documents/?uuid=12780564-4dbf-4ca6-8524-54b90b5ce109"]}],"mendeley":{"formattedCitation":"(Zafira, Fuad, and Maula 2025)","manualFormatting":"Zafira, Fuad, and Maula 2025)","plainTextFormattedCitation":"(Zafira, Fuad, and Maula 2025)","previouslyFormattedCitation":"(Zafira, Fuad, and Maula 2025)"},"properties":{"noteIndex":0},"schema":"https://github.com/citation-style-language/schema/raw/master/csl-citation.json"}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Zafira, Fuad, and Maula 2025)</w:t>
      </w:r>
      <w:r w:rsidRPr="00652411">
        <w:rPr>
          <w:rFonts w:ascii="Arial" w:hAnsi="Arial" w:cs="Arial"/>
          <w:sz w:val="20"/>
          <w:szCs w:val="20"/>
          <w:lang w:val="id-ID"/>
        </w:rPr>
        <w:fldChar w:fldCharType="end"/>
      </w:r>
      <w:r w:rsidRPr="00652411">
        <w:rPr>
          <w:rFonts w:ascii="Arial" w:hAnsi="Arial" w:cs="Arial"/>
          <w:sz w:val="20"/>
          <w:szCs w:val="20"/>
          <w:lang w:val="id-ID"/>
        </w:rPr>
        <w:t xml:space="preserv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{"citationItems":[{"id":"ITEM-1","itemData":{"abstract":"Studi ini meneliti pengaruh Literasi Keuangan dan Pendapatan terhadap kesejahteraan finansial, dengan Perilaku Keuangan sebagai variabel perantara dalam Generasi Sandwich di Medan. Menggunakan metode kuantitatif dan pendekatan asosiatif, penelitian ini mengambil 100 responden melalui quota sampling dari populasi yang belum diketahui jumlah pastinya. Instrumen utama untuk pengumpulan data adalah observasi serta kuesioner. Data yang terkumpul dianalisis menggunakan perangkat lunak Partial Least Square (PLS), meliputi uji model eksternal dan internal serta pengujian hipotesis. Hasil menunjukkan bahwa baik Literasi Keuangan maupun Pendapatan secara langsung meningkatkan kesejahteraan finansial. Selain itu, variabel-variabel ini juga berdampak pada Perilaku Keuangan, yang berperan sebagai jalur mediasi dalam hubungan dengan kesejahteraan finansial. Dengan demikian, penelitian ini membuktikan adanya pengaruh langsung dan mediasi dari Literasi Keuangan dan Pendapatan terhadap kesejahteraan finansial dalam konteks Generasi Sandwich di Kota Medan.","author":[{"dropping-particle":"","family":"Wahyuni, Sri Fitri.","given":"Dkk","non-dropping-particle":"","parse-names":false,"suffix":""}],"container-title":"Bursa: Jurnal Ekonomi dan Bisnis","id":"ITEM-1","issue":"3","issued":{"date-parts":[["2024"]]},"page":"31-43","title":"Keterkaitan antara Literasi Keuangan dan Pendapatan Pada Kesejahteraan Keuangan : Mediasi Perilaku Keuangan Generasi Sandwich","type":"article-journal","volume":"3"},"uris":["http://www.mendeley.com/documents/?uuid=2f4b60d2-5484-4431-9c9a-0bb048e03714"]}],"mendeley":{"formattedCitation":"(Wahyuni, Sri Fitri. 2024)","manualFormatting":"Wahyuni, Sri Fitri. (2024)","plainTextFormattedCitation":"(Wahyuni, Sri Fitri. 2024)","previouslyFormattedCitation":"(Wahyuni, Sri Fitri.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Sri Fitri. (2024)</w:t>
      </w:r>
      <w:r w:rsidRPr="00652411">
        <w:rPr>
          <w:rFonts w:ascii="Arial" w:hAnsi="Arial" w:cs="Arial"/>
          <w:sz w:val="20"/>
          <w:szCs w:val="20"/>
          <w:lang w:val="id-ID"/>
        </w:rPr>
        <w:fldChar w:fldCharType="end"/>
      </w:r>
      <w:r w:rsidRPr="00652411">
        <w:rPr>
          <w:rFonts w:ascii="Arial" w:hAnsi="Arial" w:cs="Arial"/>
          <w:sz w:val="20"/>
          <w:szCs w:val="20"/>
          <w:lang w:val="id-ID"/>
        </w:rPr>
        <w:t>, financial stability and business sustainability are influenced by the level of financial literacy, ease of access to financial services and also the lifestyle of business actors.</w:t>
      </w:r>
    </w:p>
    <w:p w14:paraId="202CBBA6" w14:textId="77777777" w:rsidR="00D54C39" w:rsidRDefault="00D54C39" w:rsidP="00D54C39">
      <w:pPr>
        <w:spacing w:after="0"/>
        <w:jc w:val="both"/>
        <w:rPr>
          <w:rFonts w:ascii="Arial" w:hAnsi="Arial" w:cs="Arial"/>
          <w:sz w:val="20"/>
          <w:szCs w:val="20"/>
          <w:lang w:val="id-ID"/>
        </w:rPr>
      </w:pPr>
    </w:p>
    <w:p w14:paraId="38284CC1" w14:textId="0F0DE12E" w:rsidR="00DE4AAB" w:rsidRDefault="002D489D" w:rsidP="00D54C39">
      <w:pPr>
        <w:spacing w:after="0"/>
        <w:jc w:val="both"/>
        <w:rPr>
          <w:rFonts w:ascii="Arial" w:hAnsi="Arial" w:cs="Arial"/>
          <w:sz w:val="20"/>
          <w:szCs w:val="20"/>
          <w:lang w:val="id-ID"/>
        </w:rPr>
      </w:pPr>
      <w:r>
        <w:rPr>
          <w:rFonts w:ascii="Arial" w:hAnsi="Arial" w:cs="Arial"/>
          <w:sz w:val="20"/>
          <w:szCs w:val="20"/>
          <w:lang w:val="en-GB"/>
        </w:rPr>
        <w:t>“</w:t>
      </w:r>
      <w:r w:rsidR="00D54C39" w:rsidRPr="00652411">
        <w:rPr>
          <w:rFonts w:ascii="Arial" w:hAnsi="Arial" w:cs="Arial"/>
          <w:sz w:val="20"/>
          <w:szCs w:val="20"/>
          <w:lang w:val="id-ID"/>
        </w:rPr>
        <w:t>Financial literacy is a major factor influencing financial behavior. By managing financial plans, financial litera</w:t>
      </w:r>
      <w:r w:rsidR="00316D64">
        <w:rPr>
          <w:rFonts w:ascii="Arial" w:hAnsi="Arial" w:cs="Arial"/>
          <w:sz w:val="20"/>
          <w:szCs w:val="20"/>
          <w:lang w:val="id-ID"/>
        </w:rPr>
        <w:t>cy</w:t>
      </w:r>
      <w:r w:rsidR="00D54C39" w:rsidRPr="00652411">
        <w:rPr>
          <w:rFonts w:ascii="Arial" w:hAnsi="Arial" w:cs="Arial"/>
          <w:sz w:val="20"/>
          <w:szCs w:val="20"/>
          <w:lang w:val="id-ID"/>
        </w:rPr>
        <w:t xml:space="preserve"> individuals can optimize the time value of money, increase their income, and boost their quality of life</w:t>
      </w:r>
      <w:r>
        <w:rPr>
          <w:rFonts w:ascii="Arial" w:hAnsi="Arial" w:cs="Arial"/>
          <w:sz w:val="20"/>
          <w:szCs w:val="20"/>
          <w:lang w:val="en-GB"/>
        </w:rPr>
        <w:t>”</w:t>
      </w:r>
      <w:r w:rsidR="00D54C39" w:rsidRPr="00652411">
        <w:rPr>
          <w:rFonts w:ascii="Arial" w:hAnsi="Arial" w:cs="Arial"/>
          <w:sz w:val="20"/>
          <w:szCs w:val="20"/>
          <w:lang w:val="id-ID"/>
        </w:rPr>
        <w:t xml:space="preserve"> </w:t>
      </w:r>
      <w:r w:rsidR="00D54C39" w:rsidRPr="00652411">
        <w:rPr>
          <w:rFonts w:ascii="Arial" w:hAnsi="Arial" w:cs="Arial"/>
          <w:sz w:val="20"/>
          <w:szCs w:val="20"/>
          <w:lang w:val="id-ID"/>
        </w:rPr>
        <w:fldChar w:fldCharType="begin" w:fldLock="1"/>
      </w:r>
      <w:r w:rsidR="00D54C39" w:rsidRPr="00652411">
        <w:rPr>
          <w:rFonts w:ascii="Arial" w:hAnsi="Arial" w:cs="Arial"/>
          <w:sz w:val="20"/>
          <w:szCs w:val="20"/>
          <w:lang w:val="id-ID"/>
        </w:rPr>
        <w:instrText>ADDIN CSL_CITATION {"citationItems":[{"id":"ITEM-1","itemData":{"abstract":"Kajian dalam buku ini bertujuan untuk mengetahui bahwa literasi keuangan merupakan kemampuan dalam membuat penilaian informasi dan mengambil keputusan yang efektif tentang penggunaan dan pengelolaan uang. Literasi keuangan juga merupakan kombinasi dari kemampuan individu, pengetahuan, sikap dan akhirnya perilaku individu yang berhubungan dengan uang serta bisa membedakan kebutuhan dan keinginan. Jika seseorang memiliki literasi keuangan yang rendah maka pengetahuan tentang keuangan juga rendah, hal ini sangat penting bagi seorang individu agar tidak salah dalam mengelola keuangannya. Pengetahuan tentang keuangan yang kurang mengakibatkan kerugian bagi individu karena terjadinya kesalahan dalam mengelola keuangannya seperti kesalahan dalam penggunaan kredit/utang yang tidak tepat, penggunaan kartu kredit yang tidak bijak, tidak adanya perencanaan keuangan yang baik dan sebagainya. Keterbatasan financial dapat menyebabkan stress dan rendahnya kepercayaan diri.","author":[{"dropping-particle":"","family":"Arianti","given":"Baiq Fitri","non-dropping-particle":"","parse-names":false,"suffix":""}],"id":"ITEM-1","issued":{"date-parts":[["2022"]]},"page":"1-20","title":"Literasi Keuangan (Teori dan Implementasinya)","type":"article-journal"},"uris":["http://www.mendeley.com/documents/?uuid=f70557c2-8c44-4e4d-b97c-8dcc1979dd33"]}],"mendeley":{"formattedCitation":"(Arianti 2022)","plainTextFormattedCitation":"(Arianti 2022)","previouslyFormattedCitation":"(Arianti 2022)"},"properties":{"noteIndex":0},"schema":"https://github.com/citation-style-language/schema/raw/master/csl-citation.json"}</w:instrText>
      </w:r>
      <w:r w:rsidR="00D54C39" w:rsidRPr="00652411">
        <w:rPr>
          <w:rFonts w:ascii="Arial" w:hAnsi="Arial" w:cs="Arial"/>
          <w:sz w:val="20"/>
          <w:szCs w:val="20"/>
          <w:lang w:val="id-ID"/>
        </w:rPr>
        <w:fldChar w:fldCharType="separate"/>
      </w:r>
      <w:r w:rsidR="00D54C39" w:rsidRPr="00652411">
        <w:rPr>
          <w:rFonts w:ascii="Arial" w:hAnsi="Arial" w:cs="Arial"/>
          <w:noProof/>
          <w:sz w:val="20"/>
          <w:szCs w:val="20"/>
          <w:lang w:val="id-ID"/>
        </w:rPr>
        <w:t>(Arianti 2022)</w:t>
      </w:r>
      <w:r w:rsidR="00D54C39" w:rsidRPr="00652411">
        <w:rPr>
          <w:rFonts w:ascii="Arial" w:hAnsi="Arial" w:cs="Arial"/>
          <w:sz w:val="20"/>
          <w:szCs w:val="20"/>
          <w:lang w:val="id-ID"/>
        </w:rPr>
        <w:fldChar w:fldCharType="end"/>
      </w:r>
      <w:r w:rsidR="00D54C39" w:rsidRPr="00652411">
        <w:rPr>
          <w:rFonts w:ascii="Arial" w:hAnsi="Arial" w:cs="Arial"/>
          <w:sz w:val="20"/>
          <w:szCs w:val="20"/>
          <w:lang w:val="id-ID"/>
        </w:rPr>
        <w:t xml:space="preserve">. </w:t>
      </w:r>
      <w:r>
        <w:rPr>
          <w:rFonts w:ascii="Arial" w:hAnsi="Arial" w:cs="Arial"/>
          <w:sz w:val="20"/>
          <w:szCs w:val="20"/>
          <w:lang w:val="en-GB"/>
        </w:rPr>
        <w:t>“</w:t>
      </w:r>
      <w:r w:rsidR="00D54C39" w:rsidRPr="00652411">
        <w:rPr>
          <w:rFonts w:ascii="Arial" w:hAnsi="Arial" w:cs="Arial"/>
          <w:sz w:val="20"/>
          <w:szCs w:val="20"/>
          <w:lang w:val="id-ID"/>
        </w:rPr>
        <w:t>For MSMEs, financial literacy is crucial for better managing their business finances and raising their standards. Making wise financial decisions will be a challenge for MSMEs if they lack adequate financial literacy</w:t>
      </w:r>
      <w:r>
        <w:rPr>
          <w:rFonts w:ascii="Arial" w:hAnsi="Arial" w:cs="Arial"/>
          <w:sz w:val="20"/>
          <w:szCs w:val="20"/>
          <w:lang w:val="en-GB"/>
        </w:rPr>
        <w:t>”</w:t>
      </w:r>
      <w:r w:rsidR="00D54C39" w:rsidRPr="00652411">
        <w:rPr>
          <w:rFonts w:ascii="Arial" w:hAnsi="Arial" w:cs="Arial"/>
          <w:sz w:val="20"/>
          <w:szCs w:val="20"/>
          <w:lang w:val="id-ID"/>
        </w:rPr>
        <w:t xml:space="preserve"> </w:t>
      </w:r>
      <w:r w:rsidR="00D54C39" w:rsidRPr="00652411">
        <w:rPr>
          <w:rFonts w:ascii="Arial" w:hAnsi="Arial" w:cs="Arial"/>
          <w:sz w:val="20"/>
          <w:szCs w:val="20"/>
          <w:lang w:val="id-ID"/>
        </w:rPr>
        <w:fldChar w:fldCharType="begin" w:fldLock="1"/>
      </w:r>
      <w:r w:rsidR="00D54C39"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00D54C39" w:rsidRPr="00652411">
        <w:rPr>
          <w:rFonts w:ascii="Arial" w:hAnsi="Arial" w:cs="Arial"/>
          <w:sz w:val="20"/>
          <w:szCs w:val="20"/>
          <w:lang w:val="id-ID"/>
        </w:rPr>
        <w:fldChar w:fldCharType="separate"/>
      </w:r>
      <w:r w:rsidR="00D54C39" w:rsidRPr="00652411">
        <w:rPr>
          <w:rFonts w:ascii="Arial" w:hAnsi="Arial" w:cs="Arial"/>
          <w:noProof/>
          <w:sz w:val="20"/>
          <w:szCs w:val="20"/>
          <w:lang w:val="id-ID"/>
        </w:rPr>
        <w:t>(Rani and Desiyanti 2024)</w:t>
      </w:r>
      <w:r w:rsidR="00D54C39" w:rsidRPr="00652411">
        <w:rPr>
          <w:rFonts w:ascii="Arial" w:hAnsi="Arial" w:cs="Arial"/>
          <w:sz w:val="20"/>
          <w:szCs w:val="20"/>
          <w:lang w:val="id-ID"/>
        </w:rPr>
        <w:fldChar w:fldCharType="end"/>
      </w:r>
      <w:r w:rsidR="00D54C39" w:rsidRPr="00652411">
        <w:rPr>
          <w:rFonts w:ascii="Arial" w:hAnsi="Arial" w:cs="Arial"/>
          <w:sz w:val="20"/>
          <w:szCs w:val="20"/>
          <w:lang w:val="id-ID"/>
        </w:rPr>
        <w:t xml:space="preserve">. </w:t>
      </w:r>
      <w:r>
        <w:rPr>
          <w:rFonts w:ascii="Arial" w:hAnsi="Arial" w:cs="Arial"/>
          <w:sz w:val="20"/>
          <w:szCs w:val="20"/>
          <w:lang w:val="en-GB"/>
        </w:rPr>
        <w:t>“</w:t>
      </w:r>
      <w:r w:rsidR="00D54C39" w:rsidRPr="00652411">
        <w:rPr>
          <w:rFonts w:ascii="Arial" w:hAnsi="Arial" w:cs="Arial"/>
          <w:sz w:val="20"/>
          <w:szCs w:val="20"/>
          <w:lang w:val="id-ID"/>
        </w:rPr>
        <w:t>One element that influences the financial behavior of MSMEs is financial literacy, this is consistent with research</w:t>
      </w:r>
      <w:r>
        <w:rPr>
          <w:rFonts w:ascii="Arial" w:hAnsi="Arial" w:cs="Arial"/>
          <w:sz w:val="20"/>
          <w:szCs w:val="20"/>
          <w:lang w:val="en-GB"/>
        </w:rPr>
        <w:t>”</w:t>
      </w:r>
      <w:r w:rsidR="00D54C39" w:rsidRPr="00652411">
        <w:rPr>
          <w:rFonts w:ascii="Arial" w:hAnsi="Arial" w:cs="Arial"/>
          <w:sz w:val="20"/>
          <w:szCs w:val="20"/>
          <w:lang w:val="id-ID"/>
        </w:rPr>
        <w:t xml:space="preserve"> (</w:t>
      </w:r>
      <w:r w:rsidR="00D54C39" w:rsidRPr="00652411">
        <w:rPr>
          <w:rFonts w:ascii="Arial" w:hAnsi="Arial" w:cs="Arial"/>
          <w:sz w:val="20"/>
          <w:szCs w:val="20"/>
          <w:lang w:val="id-ID"/>
        </w:rPr>
        <w:fldChar w:fldCharType="begin" w:fldLock="1"/>
      </w:r>
      <w:r w:rsidR="00D54C39" w:rsidRPr="00652411">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et al.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sidR="00D54C39" w:rsidRPr="00652411">
        <w:rPr>
          <w:rFonts w:ascii="Arial" w:hAnsi="Arial" w:cs="Arial"/>
          <w:sz w:val="20"/>
          <w:szCs w:val="20"/>
          <w:lang w:val="id-ID"/>
        </w:rPr>
        <w:fldChar w:fldCharType="separate"/>
      </w:r>
      <w:r w:rsidR="00D54C39" w:rsidRPr="00652411">
        <w:rPr>
          <w:rFonts w:ascii="Arial" w:hAnsi="Arial" w:cs="Arial"/>
          <w:noProof/>
          <w:sz w:val="20"/>
          <w:szCs w:val="20"/>
          <w:lang w:val="id-ID"/>
        </w:rPr>
        <w:t>Fadilah and Purwanto 2022; Kenale Sada 2022; Wahyuni, Kinanti, and et al. 2023)</w:t>
      </w:r>
      <w:r w:rsidR="00D54C39" w:rsidRPr="00652411">
        <w:rPr>
          <w:rFonts w:ascii="Arial" w:hAnsi="Arial" w:cs="Arial"/>
          <w:sz w:val="20"/>
          <w:szCs w:val="20"/>
          <w:lang w:val="id-ID"/>
        </w:rPr>
        <w:fldChar w:fldCharType="end"/>
      </w:r>
      <w:r w:rsidR="00D54C39" w:rsidRPr="00652411">
        <w:rPr>
          <w:rFonts w:ascii="Arial" w:hAnsi="Arial" w:cs="Arial"/>
          <w:sz w:val="20"/>
          <w:szCs w:val="20"/>
          <w:lang w:val="id-ID"/>
        </w:rPr>
        <w:t>. However, according to (</w:t>
      </w:r>
      <w:r w:rsidR="00D54C39" w:rsidRPr="00652411">
        <w:rPr>
          <w:rFonts w:ascii="Arial" w:hAnsi="Arial" w:cs="Arial"/>
          <w:sz w:val="20"/>
          <w:szCs w:val="20"/>
          <w:lang w:val="id-ID"/>
        </w:rPr>
        <w:fldChar w:fldCharType="begin" w:fldLock="1"/>
      </w:r>
      <w:r w:rsidR="00D54C39" w:rsidRPr="00652411">
        <w:rPr>
          <w:rFonts w:ascii="Arial" w:hAnsi="Arial" w:cs="Arial"/>
          <w:sz w:val="20"/>
          <w:szCs w:val="20"/>
          <w:lang w:val="id-ID"/>
        </w:rPr>
        <w:instrText>ADDIN CSL_CITATION {"citationItems":[{"id":"ITEM-1","itemData":{"abstract":"This research aims to empirically test the influence of financial literacy, attitudes, and experience on the financial behavior of managers at boarding schools in East Lombok Regency. The study utilizes primary data directly collected from respondents using questionnaires. The sample consists of 56 Islamic boarding schools in East Lombok Regency, selected based on the criteria of legal status and having more than 300 students by 2024. Partial Least Square (PLS) analysis is conducted using SmartPLS 4 software. The findings reveal that financial attitudes positively and significantly influence financial behavior. Conversely, financial experience does not show a significant effect on financial behavior. Interestingly, financial literacy exerts a significant yet negative impact on financial behavior, suggesting that simply increasing financial literacy does not automatically enhance favorable financial behavior among pesantren managers.","author":[{"dropping-particle":"","family":"Huyasin","given":"Yasifa","non-dropping-particle":"","parse-names":false,"suffix":""},{"dropping-particle":"","family":"Waskito","given":"Iman","non-dropping-particle":"","parse-names":false,"suffix":""}],"container-title":"East Asian Journal of Multidisciplinary Research (EAJMR)","id":"ITEM-1","issue":"2","issued":{"date-parts":[["2025"]]},"page":"915-928","title":"The Influence of Financial Literacy , Financial Attitudes , and Financial Experience on Financial Behavior in Islamic Boarding School Managers in East Lombok Regency","type":"article-journal","volume":"4"},"uris":["http://www.mendeley.com/documents/?uuid=ee59db6b-bfde-49ae-a599-736c2de6be0e"]},{"id":"ITEM-2","itemData":{"DOI":"10.14710/dijb.5.1.2022.33-46","ISSN":"2580-4987","abstract":"This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behavior","type":"article-journal","volume":"5"},"uris":["http://www.mendeley.com/documents/?uuid=8cc55b9e-d914-3882-acdb-a35224fc8291"]}],"mendeley":{"formattedCitation":"(Huyasin and Waskito 2025; Widyakto, Liyana, and Rinawati 2022)","manualFormatting":"Huyasin and Waskito 2025; Widyakto, Liyana, and Rinawati 2022)","plainTextFormattedCitation":"(Huyasin and Waskito 2025; Widyakto, Liyana, and Rinawati 2022)","previouslyFormattedCitation":"(Huyasin and Waskito 2025; Widyakto, Liyana, and Rinawati 2022)"},"properties":{"noteIndex":0},"schema":"https://github.com/citation-style-language/schema/raw/master/csl-citation.json"}</w:instrText>
      </w:r>
      <w:r w:rsidR="00D54C39" w:rsidRPr="00652411">
        <w:rPr>
          <w:rFonts w:ascii="Arial" w:hAnsi="Arial" w:cs="Arial"/>
          <w:sz w:val="20"/>
          <w:szCs w:val="20"/>
          <w:lang w:val="id-ID"/>
        </w:rPr>
        <w:fldChar w:fldCharType="separate"/>
      </w:r>
      <w:r w:rsidR="00D54C39" w:rsidRPr="00652411">
        <w:rPr>
          <w:rFonts w:ascii="Arial" w:hAnsi="Arial" w:cs="Arial"/>
          <w:noProof/>
          <w:sz w:val="20"/>
          <w:szCs w:val="20"/>
          <w:lang w:val="id-ID"/>
        </w:rPr>
        <w:t>Huyasin and Waskito 2025; Widyakto, Liyana, and Rinawati 2022)</w:t>
      </w:r>
      <w:r w:rsidR="00D54C39" w:rsidRPr="00652411">
        <w:rPr>
          <w:rFonts w:ascii="Arial" w:hAnsi="Arial" w:cs="Arial"/>
          <w:sz w:val="20"/>
          <w:szCs w:val="20"/>
          <w:lang w:val="id-ID"/>
        </w:rPr>
        <w:fldChar w:fldCharType="end"/>
      </w:r>
      <w:r w:rsidR="00D54C39" w:rsidRPr="00652411">
        <w:rPr>
          <w:rFonts w:ascii="Arial" w:hAnsi="Arial" w:cs="Arial"/>
          <w:sz w:val="20"/>
          <w:szCs w:val="20"/>
          <w:lang w:val="id-ID"/>
        </w:rPr>
        <w:t xml:space="preserve"> stated that literacy does not affect financial behavior.</w:t>
      </w:r>
    </w:p>
    <w:p w14:paraId="34848B8B" w14:textId="77777777" w:rsidR="00DE4AAB" w:rsidRDefault="00DE4AAB" w:rsidP="00D54C39">
      <w:pPr>
        <w:spacing w:after="0"/>
        <w:jc w:val="both"/>
        <w:rPr>
          <w:rFonts w:ascii="Arial" w:hAnsi="Arial" w:cs="Arial"/>
          <w:sz w:val="20"/>
          <w:szCs w:val="20"/>
          <w:lang w:val="id-ID"/>
        </w:rPr>
      </w:pPr>
    </w:p>
    <w:p w14:paraId="3DE4635A" w14:textId="7A58C64D" w:rsidR="00C776B0" w:rsidRDefault="002D489D" w:rsidP="00C776B0">
      <w:pPr>
        <w:spacing w:after="0"/>
        <w:jc w:val="both"/>
        <w:rPr>
          <w:rFonts w:ascii="Arial" w:hAnsi="Arial" w:cs="Arial"/>
          <w:sz w:val="20"/>
          <w:szCs w:val="20"/>
          <w:lang w:val="id-ID"/>
        </w:rPr>
      </w:pPr>
      <w:r>
        <w:rPr>
          <w:rFonts w:ascii="Arial" w:hAnsi="Arial" w:cs="Arial"/>
          <w:sz w:val="20"/>
          <w:szCs w:val="20"/>
          <w:lang w:val="en-GB"/>
        </w:rPr>
        <w:t>“</w:t>
      </w:r>
      <w:r w:rsidR="00316D64" w:rsidRPr="00652411">
        <w:rPr>
          <w:rFonts w:ascii="Arial" w:hAnsi="Arial" w:cs="Arial"/>
          <w:sz w:val="20"/>
          <w:szCs w:val="20"/>
          <w:lang w:val="id-ID"/>
        </w:rPr>
        <w:t>Financial Attitude, which refers to a person’s perceptions, ideas, and assessment of money, is yet another element influencing financial behavior</w:t>
      </w:r>
      <w:r>
        <w:rPr>
          <w:rFonts w:ascii="Arial" w:hAnsi="Arial" w:cs="Arial"/>
          <w:sz w:val="20"/>
          <w:szCs w:val="20"/>
          <w:lang w:val="en-GB"/>
        </w:rPr>
        <w:t>”</w:t>
      </w:r>
      <w:r w:rsidR="00316D64" w:rsidRPr="00652411">
        <w:rPr>
          <w:rFonts w:ascii="Arial" w:hAnsi="Arial" w:cs="Arial"/>
          <w:sz w:val="20"/>
          <w:szCs w:val="20"/>
          <w:lang w:val="id-ID"/>
        </w:rPr>
        <w:t xml:space="preserve"> </w:t>
      </w:r>
      <w:r w:rsidR="00316D64" w:rsidRPr="00652411">
        <w:rPr>
          <w:rFonts w:ascii="Arial" w:hAnsi="Arial" w:cs="Arial"/>
          <w:sz w:val="20"/>
          <w:szCs w:val="20"/>
          <w:lang w:val="id-ID"/>
        </w:rPr>
        <w:fldChar w:fldCharType="begin" w:fldLock="1"/>
      </w:r>
      <w:r w:rsidR="00316D64" w:rsidRPr="00652411">
        <w:rPr>
          <w:rFonts w:ascii="Arial" w:hAnsi="Arial" w:cs="Arial"/>
          <w:sz w:val="20"/>
          <w:szCs w:val="20"/>
          <w:lang w:val="id-ID"/>
        </w:rPr>
        <w:instrText>ADDIN CSL_CITATION {"citationItems":[{"id":"ITEM-1","itemData":{"DOI":"10.30588/jmp.v12i1.890","ISSN":"2089-550X","abstract":"This research aimed to determine the effect of financial literacy on financial management behavior, the influence of financial attitudes on financial management behavior, and the influence of personality on financial management behavior in MSME actors in Gedong Village, East Jakarta, Jakarta Special Capital Region. This research is included in associative causal research. The subjects of this study were 96 wholesale and retail SMEs in a car and motorcycle repair shop in Gedong Village, East Jakarta. Data collection techniques using a questionnaire. Validity and reliability tests were conducted on 96 MSME respondents in Gedong Village, East Jakarta. The analysis prerequisite test includes a linearity test, multicollinearity test, and heteroscedasticity test. The method of data analysis used in this research is multiple linear regression. The results showed that financial literacy, financial attitude, and personality variables have a positive and significant effect on financial management behavior.","author":[{"dropping-particle":"","family":"Amelia","given":"Amelia","non-dropping-particle":"","parse-names":false,"suffix":""}],"container-title":"Jurnal Maksipreneur: Manajemen, Koperasi, dan Entrepreneurship","id":"ITEM-1","issue":"1","issued":{"date-parts":[["2022"]]},"page":"129-143","title":"Pengaruh Literasi Keuangan, Sikap Keuangan, dan Kepribadian terhadap Perilaku Pengelolaan Keuangan pada Pelaku UMKM Kelurahan Gedong, Jakarta Timur","type":"article-journal","volume":"12"},"uris":["http://www.mendeley.com/documents/?uuid=b866546a-62c0-4471-a2b6-d9e485786d7f"]}],"mendeley":{"formattedCitation":"(Amelia 2022)","plainTextFormattedCitation":"(Amelia 2022)","previouslyFormattedCitation":"(Amelia 2022)"},"properties":{"noteIndex":0},"schema":"https://github.com/citation-style-language/schema/raw/master/csl-citation.json"}</w:instrText>
      </w:r>
      <w:r w:rsidR="00316D64" w:rsidRPr="00652411">
        <w:rPr>
          <w:rFonts w:ascii="Arial" w:hAnsi="Arial" w:cs="Arial"/>
          <w:sz w:val="20"/>
          <w:szCs w:val="20"/>
          <w:lang w:val="id-ID"/>
        </w:rPr>
        <w:fldChar w:fldCharType="separate"/>
      </w:r>
      <w:r w:rsidR="00316D64" w:rsidRPr="00652411">
        <w:rPr>
          <w:rFonts w:ascii="Arial" w:hAnsi="Arial" w:cs="Arial"/>
          <w:noProof/>
          <w:sz w:val="20"/>
          <w:szCs w:val="20"/>
          <w:lang w:val="id-ID"/>
        </w:rPr>
        <w:t>(Amelia 2022)</w:t>
      </w:r>
      <w:r w:rsidR="00316D64" w:rsidRPr="00652411">
        <w:rPr>
          <w:rFonts w:ascii="Arial" w:hAnsi="Arial" w:cs="Arial"/>
          <w:sz w:val="20"/>
          <w:szCs w:val="20"/>
          <w:lang w:val="id-ID"/>
        </w:rPr>
        <w:fldChar w:fldCharType="end"/>
      </w:r>
      <w:r w:rsidR="00316D64" w:rsidRPr="00652411">
        <w:rPr>
          <w:rFonts w:ascii="Arial" w:hAnsi="Arial" w:cs="Arial"/>
          <w:sz w:val="20"/>
          <w:szCs w:val="20"/>
          <w:lang w:val="id-ID"/>
        </w:rPr>
        <w:t xml:space="preserve">. Meanwhile, according to </w:t>
      </w:r>
      <w:r w:rsidR="00316D64" w:rsidRPr="00652411">
        <w:rPr>
          <w:rFonts w:ascii="Arial" w:hAnsi="Arial" w:cs="Arial"/>
          <w:sz w:val="20"/>
          <w:szCs w:val="20"/>
          <w:lang w:val="id-ID"/>
        </w:rPr>
        <w:fldChar w:fldCharType="begin" w:fldLock="1"/>
      </w:r>
      <w:r w:rsidR="00316D64" w:rsidRPr="00652411">
        <w:rPr>
          <w:rFonts w:ascii="Arial" w:hAnsi="Arial" w:cs="Arial"/>
          <w:sz w:val="20"/>
          <w:szCs w:val="20"/>
          <w:lang w:val="id-ID"/>
        </w:rPr>
        <w:instrText>ADDIN CSL_CITATION {"citationItems":[{"id":"ITEM-1","itemData":{"DOI":"10.30630/jabei.v2i1.64","abstract":"Penelitian ini dilakukan untuk mengetahui pengaruh literasi keuangan dan sikap keuangan terhadap perilaku pengelolaan keuangan UMKM (studi kasus pada usaha mikro bidang kerajinan di Kota Padang). Usaha mikro bidang kerajinan banyak digemari masyarakat pada umumnya ditambah lagi dengan adanya dorongan dari pemerintah untuk memberikan pembinaan kepada pelaku usaha berupa program unggulan sehingga meningkatkan jumlah pelaku usaha, namun masih banyak masalah yang dihadapi pelaku usaha dalam mengelola keuangan usahanya. Penelitian ini menggunakan pendekatan kuantitatif. Responden adalah pelaku usaha yang bergerak dalam bidang kerajinan di wilayah Kota Padang. Data yang digunakan adalah data primer yang diperoleh melalui penyebaran kuesioner secara langsung maupun menggunakan google form secara online. Hipotesis di uji secara statistik dengan menggunakan analisis regresi linear berganda dengan menggunakan program IBM SPSS versi 25.  Berdasarkan hasil pengolahan data yang dilakukan diperoleh hasil bahwa variabel literasi keuangan tidak berpengaruh terhadap perilaku pengelolaan keuangan UMKM, sedangkan variabel sikap keuangan berpengaruh terhadap perilaku pengelolaan keuangan UMKM. Sehingga dapat disimpulkan bahwa perilaku pengelolaan keuangan dipengeruhi oleh sikap keuangan, yang mana artinya semakin baik sikap keuangan pelaku usaha, maka semakin baik pula pengelolaan keuangannya.","author":[{"dropping-particle":"","family":"Safitri","given":"Eka","non-dropping-particle":"","parse-names":false,"suffix":""},{"dropping-particle":"","family":"Sriyunianti","given":"Fera","non-dropping-particle":"","parse-names":false,"suffix":""},{"dropping-particle":"","family":"Chandra","given":"Novrina","non-dropping-particle":"","parse-names":false,"suffix":""}],"container-title":"Jurnal Akuntansi, Bisnis dan Ekonomi Indonesia (JABEI)","id":"ITEM-1","issue":"1","issued":{"date-parts":[["2023"]]},"page":"118-128","title":"Pengaruh Literasi Keuangan dan Sikap Keuangan terhadap Perilaku Pengelolaan Keuangan UMKM (Studi Kasus pada Usaha Mikro Bidang Kerajinan di kota Padang)","type":"article-journal","volume":"2"},"uris":["http://www.mendeley.com/documents/?uuid=ce05597d-39b2-43e5-adfd-7fe1c7a3e91e"]}],"mendeley":{"formattedCitation":"(Safitri, Sriyunianti, and Chandra 2023)","manualFormatting":"Safitri, Sriyunianti, and Chandra (2023)","plainTextFormattedCitation":"(Safitri, Sriyunianti, and Chandra 2023)","previouslyFormattedCitation":"(Safitri, Sriyunianti, and Chandra 2023)"},"properties":{"noteIndex":0},"schema":"https://github.com/citation-style-language/schema/raw/master/csl-citation.json"}</w:instrText>
      </w:r>
      <w:r w:rsidR="00316D64" w:rsidRPr="00652411">
        <w:rPr>
          <w:rFonts w:ascii="Arial" w:hAnsi="Arial" w:cs="Arial"/>
          <w:sz w:val="20"/>
          <w:szCs w:val="20"/>
          <w:lang w:val="id-ID"/>
        </w:rPr>
        <w:fldChar w:fldCharType="separate"/>
      </w:r>
      <w:r w:rsidR="00316D64" w:rsidRPr="00652411">
        <w:rPr>
          <w:rFonts w:ascii="Arial" w:hAnsi="Arial" w:cs="Arial"/>
          <w:noProof/>
          <w:sz w:val="20"/>
          <w:szCs w:val="20"/>
          <w:lang w:val="id-ID"/>
        </w:rPr>
        <w:t>Safitri, Sriyunianti, and Chandra (2023)</w:t>
      </w:r>
      <w:r w:rsidR="00316D64" w:rsidRPr="00652411">
        <w:rPr>
          <w:rFonts w:ascii="Arial" w:hAnsi="Arial" w:cs="Arial"/>
          <w:sz w:val="20"/>
          <w:szCs w:val="20"/>
          <w:lang w:val="id-ID"/>
        </w:rPr>
        <w:fldChar w:fldCharType="end"/>
      </w:r>
      <w:r w:rsidR="00316D64" w:rsidRPr="00652411">
        <w:rPr>
          <w:rFonts w:ascii="Arial" w:hAnsi="Arial" w:cs="Arial"/>
          <w:sz w:val="20"/>
          <w:szCs w:val="20"/>
          <w:lang w:val="id-ID"/>
        </w:rPr>
        <w:t>, financial attitude is how a person evaluates the money they have. Financial attitude is closely related to financial management. MSMEs will demonstrate a more capable approach to financial management if they have favorable long-term financial projections. According to (</w:t>
      </w:r>
      <w:r w:rsidR="00316D64" w:rsidRPr="00652411">
        <w:rPr>
          <w:rFonts w:ascii="Arial" w:hAnsi="Arial" w:cs="Arial"/>
          <w:sz w:val="20"/>
          <w:szCs w:val="20"/>
          <w:lang w:val="id-ID"/>
        </w:rPr>
        <w:fldChar w:fldCharType="begin" w:fldLock="1"/>
      </w:r>
      <w:r w:rsidR="00316D64" w:rsidRPr="00652411">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00316D64" w:rsidRPr="00652411">
        <w:rPr>
          <w:rFonts w:ascii="Arial" w:hAnsi="Arial" w:cs="Arial"/>
          <w:sz w:val="20"/>
          <w:szCs w:val="20"/>
          <w:lang w:val="id-ID"/>
        </w:rPr>
        <w:fldChar w:fldCharType="separate"/>
      </w:r>
      <w:r w:rsidR="00316D64" w:rsidRPr="00652411">
        <w:rPr>
          <w:rFonts w:ascii="Arial" w:hAnsi="Arial" w:cs="Arial"/>
          <w:noProof/>
          <w:sz w:val="20"/>
          <w:szCs w:val="20"/>
          <w:lang w:val="id-ID"/>
        </w:rPr>
        <w:t>Oktaviani, Nita Fuziah. 2023; Widyakto, Liyana, and Rinawati 2022)</w:t>
      </w:r>
      <w:r w:rsidR="00316D64" w:rsidRPr="00652411">
        <w:rPr>
          <w:rFonts w:ascii="Arial" w:hAnsi="Arial" w:cs="Arial"/>
          <w:sz w:val="20"/>
          <w:szCs w:val="20"/>
          <w:lang w:val="id-ID"/>
        </w:rPr>
        <w:fldChar w:fldCharType="end"/>
      </w:r>
      <w:r w:rsidR="00316D64" w:rsidRPr="00652411">
        <w:rPr>
          <w:rFonts w:ascii="Arial" w:hAnsi="Arial" w:cs="Arial"/>
          <w:sz w:val="20"/>
          <w:szCs w:val="20"/>
          <w:lang w:val="id-ID"/>
        </w:rPr>
        <w:t xml:space="preserve">, financial behavior is influenced by financial attitudes. However, according to </w:t>
      </w:r>
      <w:r w:rsidR="00316D64">
        <w:rPr>
          <w:rFonts w:ascii="Arial" w:hAnsi="Arial" w:cs="Arial"/>
          <w:sz w:val="20"/>
          <w:szCs w:val="20"/>
          <w:lang w:val="id-ID"/>
        </w:rPr>
        <w:fldChar w:fldCharType="begin" w:fldLock="1"/>
      </w:r>
      <w:r w:rsidR="00316D64">
        <w:rPr>
          <w:rFonts w:ascii="Arial" w:hAnsi="Arial" w:cs="Arial"/>
          <w:sz w:val="20"/>
          <w:szCs w:val="20"/>
          <w:lang w:val="id-ID"/>
        </w:rPr>
        <w:instrText>ADDIN CSL_CITATION {"citationItems":[{"id":"ITEM-1","itemData":{"DOI":"10.35446/akuntansikompetif.v6i3.1498","abstract":"UMKM mempunyai peran penting dalam upaya meningkatkan pertumbuhan perekonomian di Indonesia. Sebagian besar pelaku UMKM tidak menyiapkan anggaran keuangan dengan baik dalam manajemen usahanya, hal tersebut ditunjukan dengan masih banyaknya pelaku UMKM yang masih belum mengerti sepenuhnya tentang bagaimana cara menyiapkan atau menyusun anggaran keuangan dengan baik. Penelitian ini bertujuan untuk mengetahui pengaruh pengetahuan keuangan, sikap keuangan dan kepribadian terhadap perilaku keuangan. Metode yang digunakan dalam penelitian ini adalah metode analisis deskriptif dan analisis verifikatif. Populasi dalam penelitian ini adalah pelaku UMKM di Kabupaten Majalengka. Sampel ditentukan dengan menggunakan metode random sampling sehingga diperoleh 100 responden. Analisis data menggunakan analisis regresi linear berganda. Data diproses menggunakan bantuan program SPSS dan microsoftt excel. Hasil penelitian menunjukan bahwa pengetahuan keuangan berpengaruh signifikan terhadap perilaku. Sikap keuangan tidak berpengaruh signifikan terhadap perilaku keuangan Kepribadian berpengaruh signifikan terhadap perilaku keuangan.\r  \r Keywords: Pengetahuan Keuangan, Sikap Keuangan, Kepribadian, Perilaku Keuangan","author":[{"dropping-particle":"","family":"Ginanjar","given":"Yogi","non-dropping-particle":"","parse-names":false,"suffix":""}],"container-title":"Jurnal Akuntansi Kompetif","id":"ITEM-1","issue":"3","issued":{"date-parts":[["2023"]]},"page":"436-443","title":"Perilaku Keuangan Umkm Di Kabupaten Majalengka Perspektif Kepribadian, Sikap Dan Pengetahuan Keuangan","type":"article-journal","volume":"6"},"uris":["http://www.mendeley.com/documents/?uuid=9743fb0c-f052-4ce3-bff0-0ac3e14a54c1"]}],"mendeley":{"formattedCitation":"(Ginanjar 2023)","manualFormatting":"Ginanjar (2023)","plainTextFormattedCitation":"(Ginanjar 2023)","previouslyFormattedCitation":"(Ginanjar 2023)"},"properties":{"noteIndex":0},"schema":"https://github.com/citation-style-language/schema/raw/master/csl-citation.json"}</w:instrText>
      </w:r>
      <w:r w:rsidR="00316D64">
        <w:rPr>
          <w:rFonts w:ascii="Arial" w:hAnsi="Arial" w:cs="Arial"/>
          <w:sz w:val="20"/>
          <w:szCs w:val="20"/>
          <w:lang w:val="id-ID"/>
        </w:rPr>
        <w:fldChar w:fldCharType="separate"/>
      </w:r>
      <w:r w:rsidR="00316D64" w:rsidRPr="009E1ED0">
        <w:rPr>
          <w:rFonts w:ascii="Arial" w:hAnsi="Arial" w:cs="Arial"/>
          <w:noProof/>
          <w:sz w:val="20"/>
          <w:szCs w:val="20"/>
          <w:lang w:val="id-ID"/>
        </w:rPr>
        <w:t xml:space="preserve">Ginanjar </w:t>
      </w:r>
      <w:r w:rsidR="00316D64">
        <w:rPr>
          <w:rFonts w:ascii="Arial" w:hAnsi="Arial" w:cs="Arial"/>
          <w:noProof/>
          <w:sz w:val="20"/>
          <w:szCs w:val="20"/>
          <w:lang w:val="id-ID"/>
        </w:rPr>
        <w:t>(</w:t>
      </w:r>
      <w:r w:rsidR="00316D64" w:rsidRPr="009E1ED0">
        <w:rPr>
          <w:rFonts w:ascii="Arial" w:hAnsi="Arial" w:cs="Arial"/>
          <w:noProof/>
          <w:sz w:val="20"/>
          <w:szCs w:val="20"/>
          <w:lang w:val="id-ID"/>
        </w:rPr>
        <w:t>2023)</w:t>
      </w:r>
      <w:r w:rsidR="00316D64">
        <w:rPr>
          <w:rFonts w:ascii="Arial" w:hAnsi="Arial" w:cs="Arial"/>
          <w:sz w:val="20"/>
          <w:szCs w:val="20"/>
          <w:lang w:val="id-ID"/>
        </w:rPr>
        <w:fldChar w:fldCharType="end"/>
      </w:r>
      <w:r w:rsidR="00316D64">
        <w:rPr>
          <w:rFonts w:ascii="Arial" w:hAnsi="Arial" w:cs="Arial"/>
          <w:sz w:val="20"/>
          <w:szCs w:val="20"/>
          <w:lang w:val="id-ID"/>
        </w:rPr>
        <w:t xml:space="preserve">, </w:t>
      </w:r>
      <w:r w:rsidR="00316D64" w:rsidRPr="00652411">
        <w:rPr>
          <w:rFonts w:ascii="Arial" w:hAnsi="Arial" w:cs="Arial"/>
          <w:sz w:val="20"/>
          <w:szCs w:val="20"/>
          <w:lang w:val="id-ID"/>
        </w:rPr>
        <w:t>shows that financial behavior is not influenced by financial attitudes</w:t>
      </w:r>
      <w:r w:rsidR="00DE4AAB">
        <w:rPr>
          <w:rFonts w:ascii="Arial" w:hAnsi="Arial" w:cs="Arial"/>
          <w:sz w:val="20"/>
          <w:szCs w:val="20"/>
          <w:lang w:val="id-ID"/>
        </w:rPr>
        <w:t>.</w:t>
      </w:r>
    </w:p>
    <w:p w14:paraId="7046A246" w14:textId="77777777" w:rsidR="00C776B0" w:rsidRDefault="00C776B0" w:rsidP="00C776B0">
      <w:pPr>
        <w:spacing w:after="0"/>
        <w:jc w:val="both"/>
        <w:rPr>
          <w:rFonts w:ascii="Arial" w:hAnsi="Arial" w:cs="Arial"/>
          <w:sz w:val="20"/>
          <w:szCs w:val="20"/>
          <w:lang w:val="id-ID"/>
        </w:rPr>
      </w:pPr>
    </w:p>
    <w:p w14:paraId="3F9AFB68" w14:textId="77777777" w:rsidR="00984BA9" w:rsidRDefault="00C776B0" w:rsidP="00D54C39">
      <w:pPr>
        <w:spacing w:after="0"/>
        <w:jc w:val="both"/>
        <w:rPr>
          <w:rFonts w:ascii="Arial" w:hAnsi="Arial" w:cs="Arial"/>
          <w:sz w:val="20"/>
          <w:szCs w:val="20"/>
          <w:lang w:val="id-ID"/>
        </w:rPr>
      </w:pPr>
      <w:r w:rsidRPr="00652411">
        <w:rPr>
          <w:rFonts w:ascii="Arial" w:hAnsi="Arial" w:cs="Arial"/>
          <w:sz w:val="20"/>
          <w:szCs w:val="20"/>
          <w:lang w:val="id-ID"/>
        </w:rPr>
        <w:lastRenderedPageBreak/>
        <w:t xml:space="preserve">Lifestyle factors also have an influence on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-1","issue":"1","issued":{"date-parts":[["2023"]]},"page":"656-671","title":"Pengaruh Literasi Keuangan, Lifestyle Hedonis dan Sikap Keuangan Pribadi Terhadap Perilaku Keuangan Mahasiswa","type":"article-journal","volume":"7"},"uris":["http://www.mendeley.com/documents/?uuid=298b2c24-c65f-4a51-934c-1eb1aaf28c01"]}],"mendeley":{"formattedCitation":"(Wahyuni, Kinanti, and Dkk 2023)","manualFormatting":"Wahyuni, Kinanti, and et al. (2023)","plainTextFormattedCitation":"(Wahyuni, Kinanti, and Dkk 2023)","previouslyFormattedCitation":"(Wahyuni, Kinanti, and Dkk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Kinanti, and et al. (2023)</w:t>
      </w:r>
      <w:r w:rsidRPr="00652411">
        <w:rPr>
          <w:rFonts w:ascii="Arial" w:hAnsi="Arial" w:cs="Arial"/>
          <w:sz w:val="20"/>
          <w:szCs w:val="20"/>
          <w:lang w:val="id-ID"/>
        </w:rPr>
        <w:fldChar w:fldCharType="end"/>
      </w:r>
      <w:r w:rsidRPr="00652411">
        <w:rPr>
          <w:rFonts w:ascii="Arial" w:hAnsi="Arial" w:cs="Arial"/>
          <w:sz w:val="20"/>
          <w:szCs w:val="20"/>
          <w:lang w:val="id-ID"/>
        </w:rPr>
        <w:t>, lifestyle describes a pattern of individual behavior that indicates a person's way of life, financial habits, and time management. Following life events will indirectly introduce people to major lifestyle changes, which are usually triggered by consumerism and inadequate money management in an attempt to keep up with the times and social circles.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Elena and Cholid 2023; Nduru, Hulu, and et al. 2024)</w:t>
      </w:r>
      <w:r w:rsidRPr="00652411">
        <w:rPr>
          <w:rFonts w:ascii="Arial" w:hAnsi="Arial" w:cs="Arial"/>
          <w:sz w:val="20"/>
          <w:szCs w:val="20"/>
          <w:lang w:val="id-ID"/>
        </w:rPr>
        <w:fldChar w:fldCharType="end"/>
      </w:r>
      <w:r w:rsidRPr="00652411">
        <w:rPr>
          <w:rFonts w:ascii="Arial" w:hAnsi="Arial" w:cs="Arial"/>
          <w:sz w:val="20"/>
          <w:szCs w:val="20"/>
          <w:lang w:val="id-ID"/>
        </w:rPr>
        <w:t>, explains that lifestyle influences financial behavior. Meanwhile in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behavior","type":"article-journal","volume":"5"},"uris":["http://www.mendeley.com/documents/?uuid=8cc55b9e-d914-3882-acdb-a35224fc8291"]}],"mendeley":{"formattedCitation":"(Kenale Sada 2022; Widyakto, Liyana, and Rinawati 2022)","manualFormatting":"Kenale Sada 2022; Widyakto, Liyana, and Rinawati 2022)","plainTextFormattedCitation":"(Kenale Sada 2022; Widyakto, Liyana, and Rinawati 2022)","previouslyFormattedCitation":"(Kenale Sada 2022;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Kenale Sada 2022;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shows that lifestyle does not influence financial behavior.</w:t>
      </w:r>
    </w:p>
    <w:p w14:paraId="4D950F92" w14:textId="77777777" w:rsidR="00984BA9" w:rsidRDefault="00984BA9" w:rsidP="00D54C39">
      <w:pPr>
        <w:spacing w:after="0"/>
        <w:jc w:val="both"/>
        <w:rPr>
          <w:rFonts w:ascii="Arial" w:hAnsi="Arial" w:cs="Arial"/>
          <w:sz w:val="20"/>
          <w:szCs w:val="20"/>
          <w:lang w:val="id-ID"/>
        </w:rPr>
      </w:pPr>
    </w:p>
    <w:p w14:paraId="7AD56A33" w14:textId="1C532282" w:rsidR="00984BA9" w:rsidRDefault="002D489D" w:rsidP="00984BA9">
      <w:pPr>
        <w:spacing w:after="0"/>
        <w:jc w:val="both"/>
        <w:rPr>
          <w:rFonts w:ascii="Arial" w:hAnsi="Arial" w:cs="Arial"/>
          <w:sz w:val="20"/>
          <w:szCs w:val="20"/>
          <w:lang w:val="id-ID"/>
        </w:rPr>
      </w:pPr>
      <w:r>
        <w:rPr>
          <w:rFonts w:ascii="Arial" w:hAnsi="Arial" w:cs="Arial"/>
          <w:sz w:val="20"/>
          <w:szCs w:val="20"/>
          <w:lang w:val="en-GB"/>
        </w:rPr>
        <w:t>“</w:t>
      </w:r>
      <w:r w:rsidR="00984BA9" w:rsidRPr="00652411">
        <w:rPr>
          <w:rFonts w:ascii="Arial" w:hAnsi="Arial" w:cs="Arial"/>
          <w:sz w:val="20"/>
          <w:szCs w:val="20"/>
          <w:lang w:val="id-ID"/>
        </w:rPr>
        <w:t>Financial inclusion is emphasized as a consideration for MSMEs to reduce financial problems in a business</w:t>
      </w:r>
      <w:r>
        <w:rPr>
          <w:rFonts w:ascii="Arial" w:hAnsi="Arial" w:cs="Arial"/>
          <w:sz w:val="20"/>
          <w:szCs w:val="20"/>
          <w:lang w:val="en-GB"/>
        </w:rPr>
        <w:t>”</w:t>
      </w:r>
      <w:r w:rsidR="00984BA9" w:rsidRPr="00652411">
        <w:rPr>
          <w:rFonts w:ascii="Arial" w:hAnsi="Arial" w:cs="Arial"/>
          <w:sz w:val="20"/>
          <w:szCs w:val="20"/>
          <w:lang w:val="id-ID"/>
        </w:rPr>
        <w:t xml:space="preserve"> </w:t>
      </w:r>
      <w:r w:rsidR="00984BA9" w:rsidRPr="00652411">
        <w:rPr>
          <w:rFonts w:ascii="Arial" w:hAnsi="Arial" w:cs="Arial"/>
          <w:sz w:val="20"/>
          <w:szCs w:val="20"/>
          <w:lang w:val="id-ID"/>
        </w:rPr>
        <w:fldChar w:fldCharType="begin" w:fldLock="1"/>
      </w:r>
      <w:r w:rsidR="00984BA9" w:rsidRPr="00652411">
        <w:rPr>
          <w:rFonts w:ascii="Arial" w:hAnsi="Arial" w:cs="Arial"/>
          <w:sz w:val="20"/>
          <w:szCs w:val="20"/>
          <w:lang w:val="id-ID"/>
        </w:rPr>
        <w:instrText>ADDIN CSL_CITATION {"citationItems":[{"id":"ITEM-1","itemData":{"abstract":"This study aims to determine the effect of financial literacy on financial behavior, the effect of financial inclusion on financial behavior, and the effect of education level on financial behavior. The method in data processing used in this research is to use PLS (Partial Least Square) with the object of research being SMEs in the food stalls/shops in the Bahagia Village, Bekasi Regency. The sampling technique used was purposive probability with the form of non-probability sampling. The data collection technique used a questionnaire as many as 106 SMEs in the food stalls/ shops in the Bahagia Village, Bekasi Regency. The results of this study indicate that there is a significant influence of financial literacy on the financial behavior of SMEs in food stalls/food stalls in Bahagia Village with t statistics 2.618 greater than t table 1.659, and a significant value of financial inclusion on financial behavior with t statistics 2.462 greater than t table 1.659, as well as the significant value of education level on the financial behavior of SMEs in food stalls/shops in Bahagia Village with a t statistics of 2.689 which is greater than a t table of 1.659.","author":[{"dropping-particle":"","family":"Andriyani","given":"Puput","non-dropping-particle":"","parse-names":false,"suffix":""},{"dropping-particle":"","family":"Sulistyowati","given":"Ari","non-dropping-particle":"","parse-names":false,"suffix":""}],"container-title":"Manajemen, Jurnal Aliansi, Bisnis","id":"ITEM-1","issued":{"date-parts":[["2021"]]},"page":"61-70","title":"Analisis Pengaruh Literasi Keuangan, Inklusi Keuangan, Dan Tingkat Pendidikan Terhadap Perilaku Keuangan Pelaku UMKM Kedai/Warung Makanan Di Desa Bahagia Kabupaten Bekasi","type":"article-journal"},"uris":["http://www.mendeley.com/documents/?uuid=788be25c-9039-4b59-ab02-0a93374c2a90"]}],"mendeley":{"formattedCitation":"(Andriyani and Sulistyowati 2021)","plainTextFormattedCitation":"(Andriyani and Sulistyowati 2021)","previouslyFormattedCitation":"(Andriyani and Sulistyowati 2021)"},"properties":{"noteIndex":0},"schema":"https://github.com/citation-style-language/schema/raw/master/csl-citation.json"}</w:instrText>
      </w:r>
      <w:r w:rsidR="00984BA9" w:rsidRPr="00652411">
        <w:rPr>
          <w:rFonts w:ascii="Arial" w:hAnsi="Arial" w:cs="Arial"/>
          <w:sz w:val="20"/>
          <w:szCs w:val="20"/>
          <w:lang w:val="id-ID"/>
        </w:rPr>
        <w:fldChar w:fldCharType="separate"/>
      </w:r>
      <w:r w:rsidR="00984BA9" w:rsidRPr="00652411">
        <w:rPr>
          <w:rFonts w:ascii="Arial" w:hAnsi="Arial" w:cs="Arial"/>
          <w:noProof/>
          <w:sz w:val="20"/>
          <w:szCs w:val="20"/>
          <w:lang w:val="id-ID"/>
        </w:rPr>
        <w:t>(Andriyani and Sulistyowati 2021)</w:t>
      </w:r>
      <w:r w:rsidR="00984BA9" w:rsidRPr="00652411">
        <w:rPr>
          <w:rFonts w:ascii="Arial" w:hAnsi="Arial" w:cs="Arial"/>
          <w:sz w:val="20"/>
          <w:szCs w:val="20"/>
          <w:lang w:val="id-ID"/>
        </w:rPr>
        <w:fldChar w:fldCharType="end"/>
      </w:r>
      <w:r w:rsidR="00984BA9" w:rsidRPr="00652411">
        <w:rPr>
          <w:rFonts w:ascii="Arial" w:hAnsi="Arial" w:cs="Arial"/>
          <w:sz w:val="20"/>
          <w:szCs w:val="20"/>
          <w:lang w:val="id-ID"/>
        </w:rPr>
        <w:t xml:space="preserve">. </w:t>
      </w:r>
      <w:r>
        <w:rPr>
          <w:rFonts w:ascii="Arial" w:hAnsi="Arial" w:cs="Arial"/>
          <w:sz w:val="20"/>
          <w:szCs w:val="20"/>
          <w:lang w:val="en-GB"/>
        </w:rPr>
        <w:t>“</w:t>
      </w:r>
      <w:r w:rsidR="00984BA9" w:rsidRPr="00652411">
        <w:rPr>
          <w:rFonts w:ascii="Arial" w:hAnsi="Arial" w:cs="Arial"/>
          <w:sz w:val="20"/>
          <w:szCs w:val="20"/>
          <w:lang w:val="id-ID"/>
        </w:rPr>
        <w:t>Financial inclusion is defined as an effort to expand access to economic activities in order to promote equitable economic progress in Presidential Regulation No. 114 of 2020 concerning the National Strategy for Financial Inclusion (SNKI). By providing MSMEs with access to financing to increase their capital and promoting MSME empowerment, financial inclusion will create opportunities for them to develop their businesses</w:t>
      </w:r>
      <w:r>
        <w:rPr>
          <w:rFonts w:ascii="Arial" w:hAnsi="Arial" w:cs="Arial"/>
          <w:sz w:val="20"/>
          <w:szCs w:val="20"/>
          <w:lang w:val="en-GB"/>
        </w:rPr>
        <w:t>”</w:t>
      </w:r>
      <w:r w:rsidR="00984BA9" w:rsidRPr="00652411">
        <w:rPr>
          <w:rFonts w:ascii="Arial" w:hAnsi="Arial" w:cs="Arial"/>
          <w:sz w:val="20"/>
          <w:szCs w:val="20"/>
          <w:lang w:val="id-ID"/>
        </w:rPr>
        <w:t xml:space="preserve"> </w:t>
      </w:r>
      <w:r w:rsidR="00984BA9" w:rsidRPr="00652411">
        <w:rPr>
          <w:rFonts w:ascii="Arial" w:hAnsi="Arial" w:cs="Arial"/>
          <w:sz w:val="20"/>
          <w:szCs w:val="20"/>
          <w:lang w:val="id-ID"/>
        </w:rPr>
        <w:fldChar w:fldCharType="begin" w:fldLock="1"/>
      </w:r>
      <w:r w:rsidR="00984BA9"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00984BA9" w:rsidRPr="00652411">
        <w:rPr>
          <w:rFonts w:ascii="Arial" w:hAnsi="Arial" w:cs="Arial"/>
          <w:sz w:val="20"/>
          <w:szCs w:val="20"/>
          <w:lang w:val="id-ID"/>
        </w:rPr>
        <w:fldChar w:fldCharType="separate"/>
      </w:r>
      <w:r w:rsidR="00984BA9" w:rsidRPr="00652411">
        <w:rPr>
          <w:rFonts w:ascii="Arial" w:hAnsi="Arial" w:cs="Arial"/>
          <w:noProof/>
          <w:sz w:val="20"/>
          <w:szCs w:val="20"/>
          <w:lang w:val="id-ID"/>
        </w:rPr>
        <w:t>(Rani and Desiyanti 2024)</w:t>
      </w:r>
      <w:r w:rsidR="00984BA9" w:rsidRPr="00652411">
        <w:rPr>
          <w:rFonts w:ascii="Arial" w:hAnsi="Arial" w:cs="Arial"/>
          <w:sz w:val="20"/>
          <w:szCs w:val="20"/>
          <w:lang w:val="id-ID"/>
        </w:rPr>
        <w:fldChar w:fldCharType="end"/>
      </w:r>
      <w:r w:rsidR="00984BA9" w:rsidRPr="00652411">
        <w:rPr>
          <w:rFonts w:ascii="Arial" w:hAnsi="Arial" w:cs="Arial"/>
          <w:sz w:val="20"/>
          <w:szCs w:val="20"/>
          <w:lang w:val="id-ID"/>
        </w:rPr>
        <w:t>. In line with research findings that financial inclusion influences financial behavior (</w:t>
      </w:r>
      <w:r w:rsidR="00984BA9" w:rsidRPr="00652411">
        <w:rPr>
          <w:rFonts w:ascii="Arial" w:hAnsi="Arial" w:cs="Arial"/>
          <w:sz w:val="20"/>
          <w:szCs w:val="20"/>
          <w:lang w:val="id-ID"/>
        </w:rPr>
        <w:fldChar w:fldCharType="begin" w:fldLock="1"/>
      </w:r>
      <w:r w:rsidR="00984BA9" w:rsidRPr="00652411">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00984BA9" w:rsidRPr="00652411">
        <w:rPr>
          <w:rFonts w:ascii="Arial" w:hAnsi="Arial" w:cs="Arial"/>
          <w:sz w:val="20"/>
          <w:szCs w:val="20"/>
          <w:lang w:val="id-ID"/>
        </w:rPr>
        <w:fldChar w:fldCharType="separate"/>
      </w:r>
      <w:r w:rsidR="00984BA9" w:rsidRPr="00652411">
        <w:rPr>
          <w:rFonts w:ascii="Arial" w:hAnsi="Arial" w:cs="Arial"/>
          <w:noProof/>
          <w:sz w:val="20"/>
          <w:szCs w:val="20"/>
          <w:lang w:val="id-ID"/>
        </w:rPr>
        <w:t>Huda and Risman 2024; Jannah, Fuad, and Dewi 2023; Usmayanti et al. 2023)</w:t>
      </w:r>
      <w:r w:rsidR="00984BA9" w:rsidRPr="00652411">
        <w:rPr>
          <w:rFonts w:ascii="Arial" w:hAnsi="Arial" w:cs="Arial"/>
          <w:sz w:val="20"/>
          <w:szCs w:val="20"/>
          <w:lang w:val="id-ID"/>
        </w:rPr>
        <w:fldChar w:fldCharType="end"/>
      </w:r>
      <w:r w:rsidR="00984BA9" w:rsidRPr="00652411">
        <w:rPr>
          <w:rFonts w:ascii="Arial" w:hAnsi="Arial" w:cs="Arial"/>
          <w:sz w:val="20"/>
          <w:szCs w:val="20"/>
          <w:lang w:val="id-ID"/>
        </w:rPr>
        <w:t xml:space="preserve">. However, the findings </w:t>
      </w:r>
      <w:r w:rsidR="00984BA9" w:rsidRPr="00652411">
        <w:rPr>
          <w:rFonts w:ascii="Arial" w:hAnsi="Arial" w:cs="Arial"/>
          <w:sz w:val="20"/>
          <w:szCs w:val="20"/>
          <w:lang w:val="id-ID"/>
        </w:rPr>
        <w:fldChar w:fldCharType="begin" w:fldLock="1"/>
      </w:r>
      <w:r w:rsidR="00984BA9" w:rsidRPr="00652411">
        <w:rPr>
          <w:rFonts w:ascii="Arial" w:hAnsi="Arial" w:cs="Arial"/>
          <w:sz w:val="20"/>
          <w:szCs w:val="20"/>
          <w:lang w:val="id-ID"/>
        </w:rPr>
        <w:instrText>ADDIN CSL_CITATION {"citationItems":[{"id":"ITEM-1","itemData":{"DOI":"10.21067/mbr.v5i2.6083","abstract":"This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Review","id":"ITEM-1","issue":"2","issued":{"date-parts":[["2021","11","14"]]},"page":"310-324","publisher":"University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2021)","manualFormatting":"Anisyah, Pinem, and Hidayati (2021)","plainTextFormattedCitation":"(Anisyah, Pinem, and Hidayati 2021)","previouslyFormattedCitation":"(Anisyah, Pinem, and Hidayati 2021)"},"properties":{"noteIndex":0},"schema":"https://github.com/citation-style-language/schema/raw/master/csl-citation.json"}</w:instrText>
      </w:r>
      <w:r w:rsidR="00984BA9" w:rsidRPr="00652411">
        <w:rPr>
          <w:rFonts w:ascii="Arial" w:hAnsi="Arial" w:cs="Arial"/>
          <w:sz w:val="20"/>
          <w:szCs w:val="20"/>
          <w:lang w:val="id-ID"/>
        </w:rPr>
        <w:fldChar w:fldCharType="separate"/>
      </w:r>
      <w:r w:rsidR="00984BA9" w:rsidRPr="00652411">
        <w:rPr>
          <w:rFonts w:ascii="Arial" w:hAnsi="Arial" w:cs="Arial"/>
          <w:noProof/>
          <w:sz w:val="20"/>
          <w:szCs w:val="20"/>
          <w:lang w:val="id-ID"/>
        </w:rPr>
        <w:t>Anisyah, Pinem, and Hidayati (2021)</w:t>
      </w:r>
      <w:r w:rsidR="00984BA9" w:rsidRPr="00652411">
        <w:rPr>
          <w:rFonts w:ascii="Arial" w:hAnsi="Arial" w:cs="Arial"/>
          <w:sz w:val="20"/>
          <w:szCs w:val="20"/>
          <w:lang w:val="id-ID"/>
        </w:rPr>
        <w:fldChar w:fldCharType="end"/>
      </w:r>
      <w:r w:rsidR="00984BA9" w:rsidRPr="00652411">
        <w:rPr>
          <w:rFonts w:ascii="Arial" w:hAnsi="Arial" w:cs="Arial"/>
          <w:sz w:val="20"/>
          <w:szCs w:val="20"/>
          <w:lang w:val="id-ID"/>
        </w:rPr>
        <w:t>, shows financial inclution does not affect financial behavior.</w:t>
      </w:r>
    </w:p>
    <w:p w14:paraId="16D2FCB4" w14:textId="77777777" w:rsidR="00984BA9" w:rsidRDefault="00984BA9" w:rsidP="00984BA9">
      <w:pPr>
        <w:spacing w:after="0"/>
        <w:jc w:val="both"/>
        <w:rPr>
          <w:rFonts w:ascii="Arial" w:hAnsi="Arial" w:cs="Arial"/>
          <w:sz w:val="20"/>
          <w:szCs w:val="20"/>
          <w:lang w:val="id-ID"/>
        </w:rPr>
      </w:pPr>
    </w:p>
    <w:p w14:paraId="1979F4E4" w14:textId="68581964" w:rsidR="00984BA9" w:rsidRDefault="00984BA9" w:rsidP="00984BA9">
      <w:pPr>
        <w:spacing w:after="0"/>
        <w:jc w:val="both"/>
        <w:rPr>
          <w:rFonts w:ascii="Arial" w:hAnsi="Arial" w:cs="Arial"/>
          <w:sz w:val="20"/>
          <w:szCs w:val="20"/>
          <w:lang w:val="id-ID"/>
        </w:rPr>
      </w:pPr>
      <w:r w:rsidRPr="00652411">
        <w:rPr>
          <w:rFonts w:ascii="Arial" w:hAnsi="Arial" w:cs="Arial"/>
          <w:sz w:val="20"/>
          <w:szCs w:val="20"/>
          <w:lang w:val="id-ID"/>
        </w:rPr>
        <w:t xml:space="preserve">Based on previous research by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id":"ITEM-2","itemData":{"DOI":"10.13140/RG.2.2.31364.33922","author":[{"dropping-particle":"","family":"Hariyanti","given":"Anggun","non-dropping-particle":"","parse-names":false,"suffix":""}],"id":"ITEM-2","issue":"July","issued":{"date-parts":[["2024"]]},"title":"Pengaruh Literasi Keuangan dan Sikap Keuangan terhadap Perilaku Keuangan UMKM di Kelurahan Bendungan Hilir : Model Konseptual","type":"article-journal"},"uris":["http://www.mendeley.com/documents/?uuid=74b2187a-b96d-424b-969f-1960d2e5b307"]},{"id":"ITEM-3","itemData":{"DOI":"doi.org/jebma.v4n3.4790","abstract":"Pada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Gunungsitoli","type":"article-journal","volume":"4"},"uris":["http://www.mendeley.com/documents/?uuid=04fe5ae9-ea75-4ebb-9767-1afeff700e5d"]},{"id":"ITEM-4","itemData":{"DOI":"10.29313/bcsbm.v4i1.11541","abstract":"B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Management","id":"ITEM-4","issue":"1","issued":{"date-parts":[["2024"]]},"page":"633-639","title":"Pengaruh Literasi Keuangan dan Gaya Hidup terhadap Perilaku keuangan","type":"article-journal","volume":"4"},"uris":["http://www.mendeley.com/documents/?uuid=f70804c2-c92c-40d7-8cad-053242c54c9d"]}],"mendeley":{"formattedCitation":"(Doni Subagja and Handri 2024; Hariyanti 2024; Nduru, Hulu, and Dkk 2024; Widyakto, Liyana, and Rinawati 2022)","plainTextFormattedCitation":"(Doni Subagja and Handri 2024; Hariyanti 2024; Nduru, Hulu, and Dkk 2024; Widyakto, Liyana, and Rinawati 2022)","previouslyFormattedCitation":"(Doni Subagja and Handri 2024; Hariyanti 2024; Nduru, Hulu, and Dkk 2024;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Hariyanti 2024; Nduru, Hulu, and Dkk 2024;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which examined the influence of financial literacy, financial attitudes, and lifestyle as internal factors on financial behavior. This study did not consider external factors that might shape financial behavior. Therefore, this study added the variable of financial inclusion as an external individual factor. By adding this variable, the researchers aimed to test whether the availability of financial services could influence financial behavior.</w:t>
      </w:r>
    </w:p>
    <w:p w14:paraId="74FB3EEA" w14:textId="77777777" w:rsidR="00D54C39" w:rsidRPr="00D54C39" w:rsidRDefault="00D54C39" w:rsidP="00D54C39">
      <w:pPr>
        <w:spacing w:after="0"/>
        <w:jc w:val="both"/>
        <w:rPr>
          <w:rFonts w:ascii="Arial" w:hAnsi="Arial"/>
          <w:sz w:val="20"/>
          <w:szCs w:val="20"/>
          <w:lang w:val="id-ID"/>
        </w:rPr>
      </w:pPr>
    </w:p>
    <w:p w14:paraId="64B8A8D7" w14:textId="2AD98C53" w:rsidR="00383A66" w:rsidRDefault="00383A66" w:rsidP="00910524">
      <w:pPr>
        <w:spacing w:after="0"/>
        <w:rPr>
          <w:rFonts w:ascii="Arial" w:hAnsi="Arial"/>
          <w:b/>
          <w:bCs/>
          <w:sz w:val="22"/>
          <w:szCs w:val="22"/>
          <w:lang w:val="id-ID"/>
        </w:rPr>
      </w:pPr>
      <w:r>
        <w:rPr>
          <w:rFonts w:ascii="Arial" w:hAnsi="Arial"/>
          <w:b/>
          <w:bCs/>
          <w:sz w:val="22"/>
          <w:szCs w:val="22"/>
          <w:lang w:val="id-ID"/>
        </w:rPr>
        <w:t>2. LITERATURE REVIEW</w:t>
      </w:r>
    </w:p>
    <w:p w14:paraId="72320952" w14:textId="77777777" w:rsidR="00E97E45" w:rsidRDefault="00E97E45" w:rsidP="00910524">
      <w:pPr>
        <w:spacing w:after="0"/>
        <w:rPr>
          <w:rFonts w:ascii="Arial" w:hAnsi="Arial"/>
          <w:b/>
          <w:bCs/>
          <w:sz w:val="22"/>
          <w:szCs w:val="22"/>
          <w:lang w:val="id-ID"/>
        </w:rPr>
      </w:pPr>
    </w:p>
    <w:p w14:paraId="20679F3E" w14:textId="3139C898" w:rsidR="00910524" w:rsidRDefault="00910524" w:rsidP="00910524">
      <w:pPr>
        <w:spacing w:after="0"/>
        <w:rPr>
          <w:rFonts w:ascii="Arial" w:hAnsi="Arial"/>
          <w:b/>
          <w:bCs/>
          <w:sz w:val="22"/>
          <w:szCs w:val="22"/>
          <w:lang w:val="id-ID"/>
        </w:rPr>
      </w:pPr>
      <w:r>
        <w:rPr>
          <w:rFonts w:ascii="Arial" w:hAnsi="Arial"/>
          <w:b/>
          <w:bCs/>
          <w:sz w:val="22"/>
          <w:szCs w:val="22"/>
          <w:lang w:val="id-ID"/>
        </w:rPr>
        <w:t>2.1 Theory of Planned Behavior</w:t>
      </w:r>
    </w:p>
    <w:p w14:paraId="03F2E5CA" w14:textId="77777777" w:rsidR="00E97E45" w:rsidRPr="00994ADB" w:rsidRDefault="00E97E45" w:rsidP="005E441C">
      <w:pPr>
        <w:spacing w:after="0"/>
        <w:rPr>
          <w:rFonts w:ascii="Arial" w:hAnsi="Arial"/>
          <w:b/>
          <w:bCs/>
          <w:sz w:val="20"/>
          <w:szCs w:val="20"/>
          <w:lang w:val="id-ID"/>
        </w:rPr>
      </w:pPr>
    </w:p>
    <w:p w14:paraId="788C3839" w14:textId="76B7CCD5" w:rsidR="00994ADB" w:rsidRPr="005E441C" w:rsidRDefault="005E441C" w:rsidP="005E441C">
      <w:pPr>
        <w:spacing w:after="0"/>
        <w:jc w:val="both"/>
        <w:rPr>
          <w:rFonts w:ascii="Arial" w:hAnsi="Arial" w:cs="Arial"/>
          <w:sz w:val="20"/>
          <w:szCs w:val="20"/>
          <w:lang w:val="id-ID"/>
        </w:rPr>
      </w:pPr>
      <w:r w:rsidRPr="005E441C">
        <w:rPr>
          <w:rFonts w:ascii="Arial" w:hAnsi="Arial" w:cs="Arial"/>
          <w:sz w:val="20"/>
          <w:szCs w:val="20"/>
          <w:lang w:val="id-ID"/>
        </w:rPr>
        <w:t xml:space="preserve">According </w:t>
      </w:r>
      <w:r w:rsidRPr="005E441C">
        <w:rPr>
          <w:rFonts w:ascii="Arial" w:hAnsi="Arial" w:cs="Arial"/>
          <w:sz w:val="20"/>
          <w:szCs w:val="20"/>
          <w:lang w:val="id-ID"/>
        </w:rPr>
        <w:fldChar w:fldCharType="begin" w:fldLock="1"/>
      </w:r>
      <w:r w:rsidRPr="005E441C">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5E441C">
        <w:rPr>
          <w:rFonts w:ascii="Arial" w:hAnsi="Arial" w:cs="Arial"/>
          <w:sz w:val="20"/>
          <w:szCs w:val="20"/>
          <w:lang w:val="id-ID"/>
        </w:rPr>
        <w:fldChar w:fldCharType="separate"/>
      </w:r>
      <w:r w:rsidRPr="005E441C">
        <w:rPr>
          <w:rFonts w:ascii="Arial" w:hAnsi="Arial" w:cs="Arial"/>
          <w:noProof/>
          <w:sz w:val="20"/>
          <w:szCs w:val="20"/>
          <w:lang w:val="id-ID"/>
        </w:rPr>
        <w:t>Ajzen (1991)</w:t>
      </w:r>
      <w:r w:rsidRPr="005E441C">
        <w:rPr>
          <w:rFonts w:ascii="Arial" w:hAnsi="Arial" w:cs="Arial"/>
          <w:sz w:val="20"/>
          <w:szCs w:val="20"/>
          <w:lang w:val="id-ID"/>
        </w:rPr>
        <w:fldChar w:fldCharType="end"/>
      </w:r>
      <w:r w:rsidRPr="005E441C">
        <w:rPr>
          <w:rFonts w:ascii="Arial" w:hAnsi="Arial" w:cs="Arial"/>
          <w:sz w:val="20"/>
          <w:szCs w:val="20"/>
          <w:lang w:val="id-ID"/>
        </w:rPr>
        <w:t xml:space="preserve">, Theory of Planned Behavior (TPB) a person’s intention to execute a behavior is greatly impacted by yhe sensed ease or difficulty of the action. This intention is formed from the interaction of three main components: individual attitudes, subjective norms, and perceived behavioral control. According to Ajzen, individual, informational, and social factors contribute to these three components. A person's background, experience, and environment collectively influence how they evaluate a behavior, perceive social pressure, and feel capable of performing it. The Theory of Planned Behavior therefore posits that behavior is affected by inside and outside elements determining a person’s intentions </w:t>
      </w:r>
      <w:r w:rsidRPr="005E441C">
        <w:rPr>
          <w:rFonts w:ascii="Arial" w:hAnsi="Arial" w:cs="Arial"/>
          <w:sz w:val="20"/>
          <w:szCs w:val="20"/>
          <w:lang w:val="id-ID"/>
        </w:rPr>
        <w:fldChar w:fldCharType="begin" w:fldLock="1"/>
      </w:r>
      <w:r w:rsidRPr="005E441C">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2025)","plainTextFormattedCitation":"(Sinta et al. 2025)","previouslyFormattedCitation":"(Sinta et al. 2025)"},"properties":{"noteIndex":0},"schema":"https://github.com/citation-style-language/schema/raw/master/csl-citation.json"}</w:instrText>
      </w:r>
      <w:r w:rsidRPr="005E441C">
        <w:rPr>
          <w:rFonts w:ascii="Arial" w:hAnsi="Arial" w:cs="Arial"/>
          <w:sz w:val="20"/>
          <w:szCs w:val="20"/>
          <w:lang w:val="id-ID"/>
        </w:rPr>
        <w:fldChar w:fldCharType="separate"/>
      </w:r>
      <w:r w:rsidRPr="005E441C">
        <w:rPr>
          <w:rFonts w:ascii="Arial" w:hAnsi="Arial" w:cs="Arial"/>
          <w:noProof/>
          <w:sz w:val="20"/>
          <w:szCs w:val="20"/>
          <w:lang w:val="id-ID"/>
        </w:rPr>
        <w:t>(Sinta et al. 2025)</w:t>
      </w:r>
      <w:r w:rsidRPr="005E441C">
        <w:rPr>
          <w:rFonts w:ascii="Arial" w:hAnsi="Arial" w:cs="Arial"/>
          <w:sz w:val="20"/>
          <w:szCs w:val="20"/>
          <w:lang w:val="id-ID"/>
        </w:rPr>
        <w:fldChar w:fldCharType="end"/>
      </w:r>
      <w:r w:rsidRPr="005E441C">
        <w:rPr>
          <w:rFonts w:ascii="Arial" w:hAnsi="Arial" w:cs="Arial"/>
          <w:sz w:val="20"/>
          <w:szCs w:val="20"/>
          <w:lang w:val="id-ID"/>
        </w:rPr>
        <w:t xml:space="preserve">. </w:t>
      </w:r>
      <w:r w:rsidRPr="00D979BE">
        <w:rPr>
          <w:rFonts w:ascii="Arial" w:hAnsi="Arial" w:cs="Arial"/>
          <w:sz w:val="20"/>
          <w:szCs w:val="20"/>
          <w:highlight w:val="yellow"/>
          <w:lang w:val="id-ID"/>
        </w:rPr>
        <w:t xml:space="preserve">According to Ajzen (1991), as explained by </w:t>
      </w:r>
      <w:r w:rsidRPr="00D979BE">
        <w:rPr>
          <w:rFonts w:ascii="Arial" w:hAnsi="Arial" w:cs="Arial"/>
          <w:sz w:val="20"/>
          <w:szCs w:val="20"/>
          <w:highlight w:val="yellow"/>
          <w:lang w:val="id-ID"/>
        </w:rPr>
        <w:fldChar w:fldCharType="begin" w:fldLock="1"/>
      </w:r>
      <w:r w:rsidR="000D41EB" w:rsidRPr="00D979BE">
        <w:rPr>
          <w:rFonts w:ascii="Arial" w:hAnsi="Arial" w:cs="Arial"/>
          <w:sz w:val="20"/>
          <w:szCs w:val="20"/>
          <w:highlight w:val="yellow"/>
          <w:lang w:val="id-ID"/>
        </w:rPr>
        <w:instrText>ADDIN CSL_CITATION {"citationItems":[{"id":"ITEM-1","itemData":{"abstract":"The research of this study investigates financial management behaviour among the user of the Paylater in Surabaya. It also analyzes the relationship between financial socialization, financial knowledge, financial experience, and locus of control as a mediating variable. This research is conclusive causality, used purposive sampling and snowball sampling techniques. The total number of respondents obtained was 234 respondents by distributing questionnaires online. Data analyzed using the Structural Equation Modeling (SEM) analysis technique in the AMOS software. The results show that financial knowledge significantly impacts financial management behaviour, while financial socialization, financial experience, and locus of control do not affect financial management behaviour. The mediation testing result shows that locus of control cannot mediate between financial knowledge and financial management behaviour. Because the sample dominant is the student and age range between 15 and 24, almost all of them still have income from their parents, so they can not manage financial independence to the greatest extent and do not have much experience related to finance. It was also caused by female respondents who often engage in impulsive buying. This study could be helpful to references for various parties, especially Paylater users, to be responsible for making financial decisions and wise in managing their finances.","author":[{"dropping-particle":"","family":"Dewanti","given":"Vicky Pradita","non-dropping-particle":"","parse-names":false,"suffix":""},{"dropping-particle":"","family":"Asandimitra","given":"Nadia","non-dropping-particle":"","parse-names":false,"suffix":""}],"container-title":"Jurnal Ilmu Manajemen","id":"ITEM-1","issue":"3","issued":{"date-parts":[["2021"]]},"page":"863-875","title":"Pengaruh Financial Socialization, Financial Knowledge, Financial Experience terhadap Financial Management Behavior dengan LocuDewanti, V. P., &amp; Asandimitra, N. (2021). Pengaruh Financial Socialization, Financial Knowledge, Financial Experience terhadap Fi","type":"article-journal","volume":"9"},"uris":["http://www.mendeley.com/documents/?uuid=2d25548f-40ae-41ec-9cee-361c8610be2a"]}],"mendeley":{"formattedCitation":"(Dewanti and Asandimitra 2021)","manualFormatting":"Dewanti and Asandimitra (2021)","plainTextFormattedCitation":"(Dewanti and Asandimitra 2021)","previouslyFormattedCitation":"(Dewanti and Asandimitra 2021)"},"properties":{"noteIndex":0},"schema":"https://github.com/citation-style-language/schema/raw/master/csl-citation.json"}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Dewanti and Asandimitra (2021)</w:t>
      </w:r>
      <w:r w:rsidRPr="00D979BE">
        <w:rPr>
          <w:rFonts w:ascii="Arial" w:hAnsi="Arial" w:cs="Arial"/>
          <w:sz w:val="20"/>
          <w:szCs w:val="20"/>
          <w:highlight w:val="yellow"/>
          <w:lang w:val="id-ID"/>
        </w:rPr>
        <w:fldChar w:fldCharType="end"/>
      </w:r>
      <w:r w:rsidRPr="00D979BE">
        <w:rPr>
          <w:rFonts w:ascii="Arial" w:hAnsi="Arial" w:cs="Arial"/>
          <w:sz w:val="20"/>
          <w:szCs w:val="20"/>
          <w:highlight w:val="yellow"/>
          <w:lang w:val="id-ID"/>
        </w:rPr>
        <w:t>, a decision arises from a complex interweaving of three types of determinants. These include internal factors such as feelings and reason, the mental aspect of knowledge and track record, and social factors such as gender, age, and economic status. Thus, it is this combination of factors that shapes a person's mindset before ultimately acting.</w:t>
      </w:r>
    </w:p>
    <w:p w14:paraId="518C6D32" w14:textId="77777777" w:rsidR="005E441C" w:rsidRDefault="005E441C" w:rsidP="00B7268D">
      <w:pPr>
        <w:spacing w:after="0"/>
        <w:jc w:val="both"/>
        <w:rPr>
          <w:rFonts w:ascii="Arial" w:hAnsi="Arial"/>
          <w:b/>
          <w:bCs/>
          <w:sz w:val="22"/>
          <w:szCs w:val="22"/>
          <w:lang w:val="id-ID"/>
        </w:rPr>
      </w:pPr>
    </w:p>
    <w:p w14:paraId="4423E1B4" w14:textId="1174001A" w:rsidR="00910524" w:rsidRDefault="00910524" w:rsidP="00910524">
      <w:pPr>
        <w:spacing w:after="0"/>
        <w:rPr>
          <w:rFonts w:ascii="Arial" w:hAnsi="Arial"/>
          <w:b/>
          <w:bCs/>
          <w:sz w:val="22"/>
          <w:szCs w:val="22"/>
          <w:lang w:val="id-ID"/>
        </w:rPr>
      </w:pPr>
      <w:r>
        <w:rPr>
          <w:rFonts w:ascii="Arial" w:hAnsi="Arial"/>
          <w:b/>
          <w:bCs/>
          <w:sz w:val="22"/>
          <w:szCs w:val="22"/>
          <w:lang w:val="id-ID"/>
        </w:rPr>
        <w:t>2.2 Financial Literacy</w:t>
      </w:r>
    </w:p>
    <w:p w14:paraId="1104898E" w14:textId="77777777" w:rsidR="00994ADB" w:rsidRPr="00994ADB" w:rsidRDefault="00994ADB" w:rsidP="00994ADB">
      <w:pPr>
        <w:spacing w:after="0"/>
        <w:jc w:val="both"/>
        <w:rPr>
          <w:rFonts w:ascii="Arial" w:hAnsi="Arial"/>
          <w:b/>
          <w:bCs/>
          <w:sz w:val="20"/>
          <w:szCs w:val="20"/>
          <w:lang w:val="id-ID"/>
        </w:rPr>
      </w:pPr>
    </w:p>
    <w:p w14:paraId="033D6D06" w14:textId="512C3471" w:rsidR="00994ADB" w:rsidRPr="00994ADB" w:rsidRDefault="00994ADB" w:rsidP="00994ADB">
      <w:pPr>
        <w:spacing w:after="0"/>
        <w:jc w:val="both"/>
        <w:rPr>
          <w:rFonts w:ascii="Arial" w:hAnsi="Arial" w:cs="Arial"/>
          <w:sz w:val="20"/>
          <w:szCs w:val="20"/>
          <w:lang w:val="id-ID"/>
        </w:rPr>
      </w:pPr>
      <w:r w:rsidRPr="00994ADB">
        <w:rPr>
          <w:rFonts w:ascii="Arial" w:hAnsi="Arial" w:cs="Arial"/>
          <w:sz w:val="20"/>
          <w:szCs w:val="20"/>
          <w:lang w:val="id-ID"/>
        </w:rPr>
        <w:t xml:space="preserve">In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{"citationItems":[{"id":"ITEM-1","itemData":{"DOI":"doi.org/10.32639/27ke6j85","ISSN":"2623-2480","abstract":"This study aims to analyze the effect of financial literacy, financial attitudes, and personality on financial management behavior. This study uses a quantitative method, the sampling technique is Non-Probability Sampling, purposive sampling approach, the number of samples is 100 respondents. The data analysis technique used in this study is descriptive statistical test, classical assumption test, multiple linear regression test, model fit test, and hypothesis testing with the analytical tool used is SPSS. The results of the analysis show that financial literacy and personality partially have a positive and significant effect on financial management behavior. Meanwhile, financial attitudes have a negative and significant effect on financial management behavior.","author":[{"dropping-particle":"","family":"Rahmawati","given":"Ika Yustina","non-dropping-particle":"","parse-names":false,"suffix":""},{"dropping-particle":"","family":"Dkk","given":"","non-dropping-particle":"","parse-names":false,"suffix":""}],"container-title":"FokBis : Media Pengkajian Manajemen dan Akuntansi","id":"ITEM-1","issue":"2","issued":{"date-parts":[["2024"]]},"page":"177-188","title":"The Influence of Financial Literacy, Financial Attitudes, and Personality on Financial Management Behavior of SME in Banyumas Regency","type":"article-journal","volume":"23"},"uris":["http://www.mendeley.com/documents/?uuid=d764d389-9369-4579-a99f-f1e276bdcd9b"]}],"mendeley":{"formattedCitation":"(Rahmawati and Dkk 2024)","manualFormatting":"Rahmawati and et al. (2024)","plainTextFormattedCitation":"(Rahmawati and Dkk 2024)","previouslyFormattedCitation":"(Rahmawati and Dkk 2024)"},"properties":{"noteIndex":0},"schema":"https://github.com/citation-style-language/schema/raw/master/csl-citation.json"}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Rahmawati and et al. (2024)</w:t>
      </w:r>
      <w:r w:rsidRPr="00994ADB">
        <w:rPr>
          <w:rFonts w:ascii="Arial" w:hAnsi="Arial" w:cs="Arial"/>
          <w:sz w:val="20"/>
          <w:szCs w:val="20"/>
          <w:lang w:val="id-ID"/>
        </w:rPr>
        <w:fldChar w:fldCharType="end"/>
      </w:r>
      <w:r w:rsidRPr="00994ADB">
        <w:rPr>
          <w:rFonts w:ascii="Arial" w:hAnsi="Arial" w:cs="Arial"/>
          <w:sz w:val="20"/>
          <w:szCs w:val="20"/>
          <w:lang w:val="id-ID"/>
        </w:rPr>
        <w:t xml:space="preserve">, one’s decision-making ability and improve the economy through budgeting, saving, investing, recognizing the difference between personal and business funds, and making debt payments on time is known as financial literacy. Whereas according to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Kenale Sada, (2022)</w:t>
      </w:r>
      <w:r w:rsidRPr="00994ADB">
        <w:rPr>
          <w:rFonts w:ascii="Arial" w:hAnsi="Arial" w:cs="Arial"/>
          <w:sz w:val="20"/>
          <w:szCs w:val="20"/>
          <w:lang w:val="id-ID"/>
        </w:rPr>
        <w:fldChar w:fldCharType="end"/>
      </w:r>
      <w:r w:rsidRPr="00994ADB">
        <w:rPr>
          <w:rFonts w:ascii="Arial" w:hAnsi="Arial" w:cs="Arial"/>
          <w:sz w:val="20"/>
          <w:szCs w:val="20"/>
          <w:lang w:val="id-ID"/>
        </w:rPr>
        <w:t xml:space="preserve">, financial literacy is one’s capacity to evaluate their financial condition and use this understanding to conduct behavior with the aim of controlling their finances to avoid financial problems. A lack of financial literacy will hinder a person’s ability to optimize their financial behavior, which will lead to long-term consequences </w:t>
      </w:r>
      <w:r w:rsidRPr="00994ADB">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2022)","plainTextFormattedCitation":"(Purwidianti et al. 2022)","previouslyFormattedCitation":"(Purwidianti et al.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(Purwidianti et al. 2022)</w:t>
      </w:r>
      <w:r w:rsidRPr="00994ADB">
        <w:rPr>
          <w:rFonts w:ascii="Arial" w:hAnsi="Arial" w:cs="Arial"/>
          <w:sz w:val="20"/>
          <w:szCs w:val="20"/>
          <w:lang w:val="id-ID"/>
        </w:rPr>
        <w:fldChar w:fldCharType="end"/>
      </w:r>
      <w:r w:rsidRPr="00994ADB">
        <w:rPr>
          <w:rFonts w:ascii="Arial" w:hAnsi="Arial" w:cs="Arial"/>
          <w:sz w:val="20"/>
          <w:szCs w:val="20"/>
          <w:lang w:val="id-ID"/>
        </w:rPr>
        <w:t xml:space="preserve">. This is in line with the Theory of Planned Behavior, which explains that perceived behavioral control can measure how easy or difficult it is for someone to perform an action,and this is thought to reflect previous experience in dealing with various obstacles and difficulties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(Ajzen 1991)</w:t>
      </w:r>
      <w:r w:rsidRPr="00994ADB">
        <w:rPr>
          <w:rFonts w:ascii="Arial" w:hAnsi="Arial" w:cs="Arial"/>
          <w:sz w:val="20"/>
          <w:szCs w:val="20"/>
          <w:lang w:val="id-ID"/>
        </w:rPr>
        <w:fldChar w:fldCharType="end"/>
      </w:r>
      <w:r w:rsidRPr="00994ADB">
        <w:rPr>
          <w:rFonts w:ascii="Arial" w:hAnsi="Arial" w:cs="Arial"/>
          <w:sz w:val="20"/>
          <w:szCs w:val="20"/>
          <w:lang w:val="id-ID"/>
        </w:rPr>
        <w:t xml:space="preserve">. Business people will behave better financially if they have sufficient understanding of finance. This statement is in line with </w:t>
      </w:r>
      <w:r w:rsidRPr="00994ADB">
        <w:rPr>
          <w:rFonts w:ascii="Arial" w:hAnsi="Arial" w:cs="Arial"/>
          <w:sz w:val="20"/>
          <w:szCs w:val="20"/>
          <w:lang w:val="id-ID"/>
        </w:rPr>
        <w:lastRenderedPageBreak/>
        <w:t xml:space="preserve">research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Mahasiswa","type":"article-journal","volume":"7"},"uris":["http://www.mendeley.com/documents/?uuid=298b2c24-c65f-4a51-934c-1eb1aaf28c01"]},{"id":"ITEM-4","itemData":{"DOI":"10.21067/mbr.v5i2.6083","abstract":"This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Review","id":"ITEM-4","issue":"2","issued":{"date-parts":[["2021","11","14"]]},"page":"310-324","publisher":"University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 Fadilah and Purwanto 2022; Kenale Sada 2022; Wahyuni, Kinanti, and Dkk 2023)","manualFormatting":"(Anisyah, Pinem, and Hidayati 2021; Fadilah and Purwanto 2022; Kenale Sada 2022; Wahyuni, Kinanti, and et al. 2023)","plainTextFormattedCitation":"(Anisyah, Pinem, and Hidayati 2021; Fadilah and Purwanto 2022; Kenale Sada 2022; Wahyuni, Kinanti, and Dkk 2023)","previouslyFormattedCitation":"(Anisyah, Pinem, and Hidayati 2021; Fadilah and Purwanto 2022; Kenale Sada 2022; Wahyuni, Kinanti, and Dkk 2023)"},"properties":{"noteIndex":0},"schema":"https://github.com/citation-style-language/schema/raw/master/csl-citation.json"}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(Anisyah, Pinem, and Hidayati 2021; Fadilah and Purwanto 2022; Kenale Sada 2022; Wahyuni, Kinanti, and et al. 2023)</w:t>
      </w:r>
      <w:r w:rsidRPr="00994ADB">
        <w:rPr>
          <w:rFonts w:ascii="Arial" w:hAnsi="Arial" w:cs="Arial"/>
          <w:sz w:val="20"/>
          <w:szCs w:val="20"/>
          <w:lang w:val="id-ID"/>
        </w:rPr>
        <w:fldChar w:fldCharType="end"/>
      </w:r>
      <w:r w:rsidRPr="00994ADB">
        <w:rPr>
          <w:rFonts w:ascii="Arial" w:hAnsi="Arial" w:cs="Arial"/>
          <w:sz w:val="20"/>
          <w:szCs w:val="20"/>
          <w:lang w:val="id-ID"/>
        </w:rPr>
        <w:t xml:space="preserve">, whitch holds that financial literacy has a positive effects financial behavior. </w:t>
      </w:r>
    </w:p>
    <w:p w14:paraId="3F38DB2F" w14:textId="77777777" w:rsidR="00994ADB" w:rsidRPr="00825149" w:rsidRDefault="00994ADB" w:rsidP="00910524">
      <w:pPr>
        <w:spacing w:after="0"/>
        <w:rPr>
          <w:rFonts w:ascii="Arial" w:hAnsi="Arial"/>
          <w:b/>
          <w:bCs/>
          <w:sz w:val="20"/>
          <w:szCs w:val="20"/>
          <w:lang w:val="id-ID"/>
        </w:rPr>
      </w:pPr>
    </w:p>
    <w:p w14:paraId="3A65524F" w14:textId="348F60AD" w:rsidR="00825149"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H1: Financial </w:t>
      </w:r>
      <w:r w:rsidR="00B51DD5" w:rsidRPr="00B51DD5">
        <w:rPr>
          <w:rFonts w:ascii="Arial" w:hAnsi="Arial"/>
          <w:sz w:val="20"/>
          <w:szCs w:val="20"/>
          <w:lang w:val="id-ID"/>
        </w:rPr>
        <w:t>L</w:t>
      </w:r>
      <w:r w:rsidRPr="00B51DD5">
        <w:rPr>
          <w:rFonts w:ascii="Arial" w:hAnsi="Arial"/>
          <w:sz w:val="20"/>
          <w:szCs w:val="20"/>
          <w:lang w:val="id-ID"/>
        </w:rPr>
        <w:t xml:space="preserve">iteracy has a positive effect on the </w:t>
      </w:r>
      <w:r w:rsidR="00B51DD5" w:rsidRPr="00B51DD5">
        <w:rPr>
          <w:rFonts w:ascii="Arial" w:hAnsi="Arial"/>
          <w:sz w:val="20"/>
          <w:szCs w:val="20"/>
          <w:lang w:val="id-ID"/>
        </w:rPr>
        <w:t>Fi</w:t>
      </w:r>
      <w:r w:rsidRPr="00B51DD5">
        <w:rPr>
          <w:rFonts w:ascii="Arial" w:hAnsi="Arial"/>
          <w:sz w:val="20"/>
          <w:szCs w:val="20"/>
          <w:lang w:val="id-ID"/>
        </w:rPr>
        <w:t xml:space="preserve">nancial </w:t>
      </w:r>
      <w:r w:rsidR="00B51DD5" w:rsidRPr="00B51DD5">
        <w:rPr>
          <w:rFonts w:ascii="Arial" w:hAnsi="Arial"/>
          <w:sz w:val="20"/>
          <w:szCs w:val="20"/>
          <w:lang w:val="id-ID"/>
        </w:rPr>
        <w:t>B</w:t>
      </w:r>
      <w:r w:rsidRPr="00B51DD5">
        <w:rPr>
          <w:rFonts w:ascii="Arial" w:hAnsi="Arial"/>
          <w:sz w:val="20"/>
          <w:szCs w:val="20"/>
          <w:lang w:val="id-ID"/>
        </w:rPr>
        <w:t>ehavior</w:t>
      </w:r>
    </w:p>
    <w:p w14:paraId="02B3F92D" w14:textId="77777777" w:rsidR="00825149" w:rsidRPr="00825149" w:rsidRDefault="00825149" w:rsidP="00910524">
      <w:pPr>
        <w:spacing w:after="0"/>
        <w:rPr>
          <w:rFonts w:ascii="Arial" w:hAnsi="Arial"/>
          <w:b/>
          <w:bCs/>
          <w:sz w:val="20"/>
          <w:szCs w:val="20"/>
          <w:lang w:val="id-ID"/>
        </w:rPr>
      </w:pPr>
    </w:p>
    <w:p w14:paraId="3E123076" w14:textId="5A97B739" w:rsidR="00910524" w:rsidRDefault="00910524" w:rsidP="00910524">
      <w:pPr>
        <w:spacing w:after="0"/>
        <w:rPr>
          <w:rFonts w:ascii="Arial" w:hAnsi="Arial"/>
          <w:b/>
          <w:bCs/>
          <w:sz w:val="22"/>
          <w:szCs w:val="22"/>
          <w:lang w:val="id-ID"/>
        </w:rPr>
      </w:pPr>
      <w:r>
        <w:rPr>
          <w:rFonts w:ascii="Arial" w:hAnsi="Arial"/>
          <w:b/>
          <w:bCs/>
          <w:sz w:val="22"/>
          <w:szCs w:val="22"/>
          <w:lang w:val="id-ID"/>
        </w:rPr>
        <w:t>2.3 Financial Attitude</w:t>
      </w:r>
    </w:p>
    <w:p w14:paraId="3577C3E5" w14:textId="77777777" w:rsidR="00994ADB" w:rsidRPr="00994ADB" w:rsidRDefault="00994ADB" w:rsidP="00910524">
      <w:pPr>
        <w:spacing w:after="0"/>
        <w:rPr>
          <w:rFonts w:ascii="Arial" w:hAnsi="Arial"/>
          <w:b/>
          <w:bCs/>
          <w:sz w:val="20"/>
          <w:szCs w:val="20"/>
          <w:lang w:val="id-ID"/>
        </w:rPr>
      </w:pPr>
    </w:p>
    <w:p w14:paraId="653EBEF8" w14:textId="03B79546"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Financial attitude is a person's positive or negative perspective on money which can influence their behavior in managing money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{"citationItems":[{"id":"ITEM-1","itemData":{"DOI":"10.21009/japa.0501.14","abstract":"In this study, the role of locus of control in mediating the relationship between financial management behavior and financial literacy and attitude will be examined and tested. Quantitative methods are used with non-probability sampling using purposive sample techniques. The research primary data was collected through a questionnaire obtained from a total sample of 71 students of the Bachelor of Accounting, State University of Jakarta and processed using the PLS-SEM technique with SmartPLS 4.0. The results concluded that Financial Literacy and Financial Attitude significantly have a positive effect on Financial Management Behavior. In addition, both variables significantly have a positive effect on Financial Management Behavior through mediated by Locus of Control. This study provides a theoretical contribution to the Theory of Planned Behavior and contributes implications for students, especially in Bachelor of Accounting as one of the graduate competencies is as a financial analyst who needs to have good financial management behavior skills.","author":[{"dropping-particle":"","family":"Pricilla","given":"Ani","non-dropping-particle":"","parse-names":false,"suffix":""},{"dropping-particle":"","family":"Yusuf","given":"Muhammad","non-dropping-particle":"","parse-names":false,"suffix":""},{"dropping-particle":"","family":"Handarini","given":"Dwi","non-dropping-particle":"","parse-names":false,"suffix":""}],"container-title":"Jurnal Akuntansi, Perpajakan dan Auditing","id":"ITEM-1","issue":"1","issued":{"date-parts":[["2024"]]},"page":"209-226","title":"Pengaruh Financial Literacy dan Financial Attitude Terhadap Financial Management Behavior dengan Mediasi Locus of Control","type":"article-journal","volume":"5"},"uris":["http://www.mendeley.com/documents/?uuid=5cdc5fb5-0787-4464-a3ac-b7f0e81378c3"]}],"mendeley":{"formattedCitation":"(Pricilla, Yusuf, and Handarini 2024)","plainTextFormattedCitation":"(Pricilla, Yusuf, and Handarini 2024)","previouslyFormattedCitation":"(Pricilla, Yusuf, and Handarini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(Pricilla, Yusuf, and Handarini 2024)</w:t>
      </w:r>
      <w:r w:rsidRPr="0091791D">
        <w:rPr>
          <w:rFonts w:ascii="Arial" w:hAnsi="Arial" w:cs="Arial"/>
          <w:sz w:val="20"/>
          <w:szCs w:val="20"/>
          <w:lang w:val="id-ID"/>
        </w:rPr>
        <w:fldChar w:fldCharType="end"/>
      </w:r>
      <w:r w:rsidRPr="0091791D">
        <w:rPr>
          <w:rFonts w:ascii="Arial" w:hAnsi="Arial" w:cs="Arial"/>
          <w:sz w:val="20"/>
          <w:szCs w:val="20"/>
          <w:lang w:val="id-ID"/>
        </w:rPr>
        <w:t xml:space="preserve">. </w:t>
      </w:r>
      <w:r>
        <w:rPr>
          <w:rFonts w:ascii="Arial" w:hAnsi="Arial" w:cs="Arial"/>
          <w:sz w:val="20"/>
          <w:szCs w:val="20"/>
          <w:lang w:val="id-ID"/>
        </w:rPr>
        <w:t>A</w:t>
      </w:r>
      <w:r w:rsidRPr="0091791D">
        <w:rPr>
          <w:rFonts w:ascii="Arial" w:hAnsi="Arial" w:cs="Arial"/>
          <w:sz w:val="20"/>
          <w:szCs w:val="20"/>
          <w:lang w:val="id-ID"/>
        </w:rPr>
        <w:t xml:space="preserve">ccording to </w:t>
      </w:r>
      <w:r w:rsidRPr="0091791D">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Sinta and Yustina</w:t>
      </w:r>
      <w:r>
        <w:rPr>
          <w:rFonts w:ascii="Arial" w:hAnsi="Arial" w:cs="Arial"/>
          <w:noProof/>
          <w:sz w:val="20"/>
          <w:szCs w:val="20"/>
          <w:lang w:val="id-ID"/>
        </w:rPr>
        <w:t>,</w:t>
      </w:r>
      <w:r w:rsidRPr="0091791D">
        <w:rPr>
          <w:rFonts w:ascii="Arial" w:hAnsi="Arial" w:cs="Arial"/>
          <w:noProof/>
          <w:sz w:val="20"/>
          <w:szCs w:val="20"/>
          <w:lang w:val="id-ID"/>
        </w:rPr>
        <w:t xml:space="preserve"> (2025)</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financial attitude </w:t>
      </w:r>
      <w:r w:rsidRPr="0091791D">
        <w:rPr>
          <w:rFonts w:ascii="Arial" w:hAnsi="Arial" w:cs="Arial"/>
          <w:sz w:val="20"/>
          <w:szCs w:val="20"/>
          <w:lang w:val="id-ID"/>
        </w:rPr>
        <w:t xml:space="preserve">describes how a person tends to respond to financial situations influenced by their beliefs and experiences. Financial attitudes are reflected in how an individual views the importance of adopting healthy financial habits, and financial attitudes are formed from a young age. According to </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 xml:space="preserve">Ajzen </w:t>
      </w:r>
      <w:r>
        <w:rPr>
          <w:rFonts w:ascii="Arial" w:hAnsi="Arial" w:cs="Arial"/>
          <w:noProof/>
          <w:sz w:val="20"/>
          <w:szCs w:val="20"/>
          <w:lang w:val="id-ID"/>
        </w:rPr>
        <w:t>(</w:t>
      </w:r>
      <w:r w:rsidRPr="0091791D">
        <w:rPr>
          <w:rFonts w:ascii="Arial" w:hAnsi="Arial" w:cs="Arial"/>
          <w:noProof/>
          <w:sz w:val="20"/>
          <w:szCs w:val="20"/>
          <w:lang w:val="id-ID"/>
        </w:rPr>
        <w:t>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t</w:t>
      </w:r>
      <w:r w:rsidRPr="0091791D">
        <w:rPr>
          <w:rFonts w:ascii="Arial" w:hAnsi="Arial" w:cs="Arial"/>
          <w:sz w:val="20"/>
          <w:szCs w:val="20"/>
          <w:lang w:val="id-ID"/>
        </w:rPr>
        <w:t xml:space="preserve">he TPB explains the intentions and goals underlying a person's behavior. Financial attitudes are a factor influencing behavioral intentions, including financial aspects. When MSMEs have a more positive outlook, they make better financial decisions. This aligns with the findings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(Oktaviani, Nita Fuziah. 2023; Widyakto, Liyana, and Rinawati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financial attitudes have a positive influence on financial behavior.</w:t>
      </w:r>
    </w:p>
    <w:p w14:paraId="5DB188AA" w14:textId="77777777" w:rsidR="00994ADB" w:rsidRDefault="00994ADB" w:rsidP="00910524">
      <w:pPr>
        <w:spacing w:after="0"/>
        <w:rPr>
          <w:rFonts w:ascii="Arial" w:hAnsi="Arial"/>
          <w:b/>
          <w:bCs/>
          <w:sz w:val="20"/>
          <w:szCs w:val="20"/>
          <w:lang w:val="id-ID"/>
        </w:rPr>
      </w:pPr>
    </w:p>
    <w:p w14:paraId="3A07A56E" w14:textId="56A3DF36"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H2: Financial </w:t>
      </w:r>
      <w:r w:rsidR="00B51DD5" w:rsidRPr="00B51DD5">
        <w:rPr>
          <w:rFonts w:ascii="Arial" w:hAnsi="Arial"/>
          <w:sz w:val="20"/>
          <w:szCs w:val="20"/>
          <w:lang w:val="id-ID"/>
        </w:rPr>
        <w:t>A</w:t>
      </w:r>
      <w:r w:rsidRPr="00B51DD5">
        <w:rPr>
          <w:rFonts w:ascii="Arial" w:hAnsi="Arial"/>
          <w:sz w:val="20"/>
          <w:szCs w:val="20"/>
          <w:lang w:val="id-ID"/>
        </w:rPr>
        <w:t xml:space="preserve">ttitude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3B2C0CFF" w14:textId="77777777" w:rsidR="001001D5" w:rsidRPr="001001D5" w:rsidRDefault="001001D5" w:rsidP="00910524">
      <w:pPr>
        <w:spacing w:after="0"/>
        <w:rPr>
          <w:rFonts w:ascii="Arial" w:hAnsi="Arial"/>
          <w:b/>
          <w:bCs/>
          <w:sz w:val="20"/>
          <w:szCs w:val="20"/>
          <w:lang w:val="id-ID"/>
        </w:rPr>
      </w:pPr>
    </w:p>
    <w:p w14:paraId="62280C59" w14:textId="31F10583" w:rsidR="00910524" w:rsidRDefault="00910524" w:rsidP="00910524">
      <w:pPr>
        <w:spacing w:after="0"/>
        <w:rPr>
          <w:rFonts w:ascii="Arial" w:hAnsi="Arial"/>
          <w:b/>
          <w:bCs/>
          <w:sz w:val="22"/>
          <w:szCs w:val="22"/>
          <w:lang w:val="id-ID"/>
        </w:rPr>
      </w:pPr>
      <w:r>
        <w:rPr>
          <w:rFonts w:ascii="Arial" w:hAnsi="Arial"/>
          <w:b/>
          <w:bCs/>
          <w:sz w:val="22"/>
          <w:szCs w:val="22"/>
          <w:lang w:val="id-ID"/>
        </w:rPr>
        <w:t>2.4 Lifestyle</w:t>
      </w:r>
    </w:p>
    <w:p w14:paraId="51C42CB1" w14:textId="77777777" w:rsidR="00994ADB" w:rsidRPr="00994ADB" w:rsidRDefault="00994ADB" w:rsidP="00910524">
      <w:pPr>
        <w:spacing w:after="0"/>
        <w:rPr>
          <w:rFonts w:ascii="Arial" w:hAnsi="Arial"/>
          <w:b/>
          <w:bCs/>
          <w:sz w:val="20"/>
          <w:szCs w:val="20"/>
          <w:lang w:val="id-ID"/>
        </w:rPr>
      </w:pPr>
    </w:p>
    <w:p w14:paraId="7B95F817" w14:textId="5173F7D3"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Lifestyle is the way a person lives their life in various aspects, starting from the activities they do, the things they are interested in, to the views they hold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 2022)</w:t>
      </w:r>
      <w:r w:rsidRPr="0091791D">
        <w:rPr>
          <w:rFonts w:ascii="Arial" w:hAnsi="Arial" w:cs="Arial"/>
          <w:sz w:val="20"/>
          <w:szCs w:val="20"/>
          <w:lang w:val="id-ID"/>
        </w:rPr>
        <w:fldChar w:fldCharType="end"/>
      </w:r>
      <w:r w:rsidRPr="0091791D">
        <w:rPr>
          <w:rFonts w:ascii="Arial" w:hAnsi="Arial" w:cs="Arial"/>
          <w:sz w:val="20"/>
          <w:szCs w:val="20"/>
          <w:lang w:val="id-ID"/>
        </w:rPr>
        <w:t xml:space="preserve">. According to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2022)","manualFormatting":"Widyakto, Liyana, and Rinawati (2022)","plainTextFormattedCitation":"(Widyakto, Liyana, and Rinawati 2022)","previouslyFormattedCitation":"(Widyakto,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Widyakto, Liyana, and Rinawati (2022)</w:t>
      </w:r>
      <w:r w:rsidRPr="0091791D">
        <w:rPr>
          <w:rFonts w:ascii="Arial" w:hAnsi="Arial" w:cs="Arial"/>
          <w:sz w:val="20"/>
          <w:szCs w:val="20"/>
          <w:lang w:val="id-ID"/>
        </w:rPr>
        <w:fldChar w:fldCharType="end"/>
      </w:r>
      <w:r>
        <w:rPr>
          <w:rFonts w:ascii="Arial" w:hAnsi="Arial" w:cs="Arial"/>
          <w:sz w:val="20"/>
          <w:szCs w:val="20"/>
          <w:lang w:val="id-ID"/>
        </w:rPr>
        <w:t>, l</w:t>
      </w:r>
      <w:r w:rsidRPr="0091791D">
        <w:rPr>
          <w:rFonts w:ascii="Arial" w:hAnsi="Arial" w:cs="Arial"/>
          <w:sz w:val="20"/>
          <w:szCs w:val="20"/>
          <w:lang w:val="id-ID"/>
        </w:rPr>
        <w:t xml:space="preserve">ifestyle is closely related to all of a person's life activities and environment, which influences a person's financial behavior.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Ajzen (1991)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according to the Theory of Planned Behavior, with its attitude toward behavior as a factor, </w:t>
      </w:r>
      <w:r w:rsidRPr="0091791D">
        <w:rPr>
          <w:rFonts w:ascii="Arial" w:hAnsi="Arial" w:cs="Arial"/>
          <w:sz w:val="20"/>
          <w:szCs w:val="20"/>
          <w:lang w:val="id-ID"/>
        </w:rPr>
        <w:t xml:space="preserve">beliefs about the consequences of an action and assessments of the behavior itself are important factors. Lifestyle essentially reflects how a person manages their time and finances, encompassing how they live their lives, </w:t>
      </w:r>
      <w:r w:rsidR="00887516">
        <w:rPr>
          <w:rFonts w:ascii="Arial" w:hAnsi="Arial" w:cs="Arial"/>
          <w:sz w:val="20"/>
          <w:szCs w:val="20"/>
          <w:lang w:val="id-ID"/>
        </w:rPr>
        <w:t>as well as their budgeting and daily routines</w:t>
      </w:r>
      <w:r w:rsidR="00572D8A">
        <w:rPr>
          <w:rFonts w:ascii="Arial" w:hAnsi="Arial" w:cs="Arial"/>
          <w:sz w:val="20"/>
          <w:szCs w:val="20"/>
          <w:lang w:val="id-ID"/>
        </w:rPr>
        <w:t xml:space="preserve"> </w:t>
      </w:r>
      <w:r>
        <w:rPr>
          <w:rFonts w:ascii="Arial" w:hAnsi="Arial" w:cs="Arial"/>
          <w:sz w:val="20"/>
          <w:szCs w:val="20"/>
          <w:lang w:val="id-ID"/>
        </w:rPr>
        <w:t>(</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w:t>
      </w:r>
      <w:r>
        <w:rPr>
          <w:rFonts w:ascii="Arial" w:hAnsi="Arial" w:cs="Arial"/>
          <w:noProof/>
          <w:sz w:val="20"/>
          <w:szCs w:val="20"/>
          <w:lang w:val="id-ID"/>
        </w:rPr>
        <w:t>,</w:t>
      </w:r>
      <w:r w:rsidRPr="0091791D">
        <w:rPr>
          <w:rFonts w:ascii="Arial" w:hAnsi="Arial" w:cs="Arial"/>
          <w:noProof/>
          <w:sz w:val="20"/>
          <w:szCs w:val="20"/>
          <w:lang w:val="id-ID"/>
        </w:rPr>
        <w:t xml:space="preserve">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Each individual has their own consumption patterns, and financial behavior is greatly influenced by their lifestyle. A person will behave better financially if they have a better lifestyle. This statement aligns with research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(Doni Subagja and Handri 2024; Elena and Cholid 2023; Nduru, Hulu, and et al. 2024)</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lifestyle has a positive influence on financial behavior.</w:t>
      </w:r>
    </w:p>
    <w:p w14:paraId="2B118F0A" w14:textId="77777777" w:rsidR="00994ADB" w:rsidRPr="00B51DD5" w:rsidRDefault="00994ADB" w:rsidP="00910524">
      <w:pPr>
        <w:spacing w:after="0"/>
        <w:rPr>
          <w:rFonts w:ascii="Arial" w:hAnsi="Arial"/>
          <w:b/>
          <w:bCs/>
          <w:sz w:val="20"/>
          <w:szCs w:val="20"/>
          <w:lang w:val="id-ID"/>
        </w:rPr>
      </w:pPr>
    </w:p>
    <w:p w14:paraId="398FA302" w14:textId="5A002BA3"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H3: Lifestyle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01123F99" w14:textId="77777777" w:rsidR="001001D5" w:rsidRPr="001001D5" w:rsidRDefault="001001D5" w:rsidP="00910524">
      <w:pPr>
        <w:spacing w:after="0"/>
        <w:rPr>
          <w:rFonts w:ascii="Arial" w:hAnsi="Arial"/>
          <w:b/>
          <w:bCs/>
          <w:sz w:val="20"/>
          <w:szCs w:val="20"/>
          <w:lang w:val="id-ID"/>
        </w:rPr>
      </w:pPr>
    </w:p>
    <w:p w14:paraId="29799547" w14:textId="656601C0" w:rsidR="00910524" w:rsidRDefault="00910524" w:rsidP="00910524">
      <w:pPr>
        <w:spacing w:after="0"/>
        <w:rPr>
          <w:rFonts w:ascii="Arial" w:hAnsi="Arial"/>
          <w:b/>
          <w:bCs/>
          <w:sz w:val="22"/>
          <w:szCs w:val="22"/>
          <w:lang w:val="id-ID"/>
        </w:rPr>
      </w:pPr>
      <w:r>
        <w:rPr>
          <w:rFonts w:ascii="Arial" w:hAnsi="Arial"/>
          <w:b/>
          <w:bCs/>
          <w:sz w:val="22"/>
          <w:szCs w:val="22"/>
          <w:lang w:val="id-ID"/>
        </w:rPr>
        <w:t>2.5 Financial Inclusion</w:t>
      </w:r>
    </w:p>
    <w:p w14:paraId="7CD45E54" w14:textId="77777777" w:rsidR="00994ADB" w:rsidRPr="00994ADB" w:rsidRDefault="00994ADB" w:rsidP="00910524">
      <w:pPr>
        <w:spacing w:after="0"/>
        <w:rPr>
          <w:rFonts w:ascii="Arial" w:hAnsi="Arial"/>
          <w:b/>
          <w:bCs/>
          <w:sz w:val="20"/>
          <w:szCs w:val="20"/>
          <w:lang w:val="id-ID"/>
        </w:rPr>
      </w:pPr>
    </w:p>
    <w:p w14:paraId="0D05D2FF" w14:textId="56D94CC8" w:rsidR="00994ADB" w:rsidRDefault="00994ADB" w:rsidP="00994ADB">
      <w:pPr>
        <w:spacing w:after="0"/>
        <w:jc w:val="both"/>
        <w:rPr>
          <w:rFonts w:ascii="Arial" w:hAnsi="Arial" w:cs="Arial"/>
          <w:sz w:val="20"/>
          <w:szCs w:val="20"/>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Humanika","id":"ITEM-1","issue":"1","issued":{"date-parts":[["2023"]]},"page":"339-348","title":"Pengaruh Literasi Keuangan, Inklusi Keuangan pada Perilaku Keuangan Pelaku UMKM Perempuan: Studi Kasus di Jambi","type":"article-journal","volume":"11"},"uris":["http://www.mendeley.com/documents/?uuid=b6fae952-b0dc-4736-9c7a-ea4877c64b7e"]}],"mendeley":{"formattedCitation":"(Usmayanti et al. 2023)","manualFormatting":"Usmayanti et al. (2023)","plainTextFormattedCitation":"(Usmayanti et al. 2023)","previouslyFormattedCitation":"(Usmayanti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Usmayanti et al. (2023)</w:t>
      </w:r>
      <w:r w:rsidRPr="005E1216">
        <w:rPr>
          <w:rFonts w:ascii="Arial" w:hAnsi="Arial" w:cs="Arial"/>
          <w:sz w:val="20"/>
          <w:szCs w:val="20"/>
          <w:lang w:val="id-ID"/>
        </w:rPr>
        <w:fldChar w:fldCharType="end"/>
      </w:r>
      <w:r>
        <w:rPr>
          <w:rFonts w:ascii="Arial" w:hAnsi="Arial" w:cs="Arial"/>
          <w:sz w:val="20"/>
          <w:szCs w:val="20"/>
          <w:lang w:val="id-ID"/>
        </w:rPr>
        <w:t>, financial inclusion means that everyone has the same access to financial services</w:t>
      </w:r>
      <w:r w:rsidRPr="005E1216">
        <w:rPr>
          <w:rFonts w:ascii="Arial" w:hAnsi="Arial" w:cs="Arial"/>
          <w:sz w:val="20"/>
          <w:szCs w:val="20"/>
          <w:lang w:val="id-ID"/>
        </w:rPr>
        <w:t xml:space="preserve">. </w:t>
      </w:r>
      <w:r>
        <w:rPr>
          <w:rFonts w:ascii="Arial" w:hAnsi="Arial" w:cs="Arial"/>
          <w:sz w:val="20"/>
          <w:szCs w:val="20"/>
          <w:lang w:val="id-ID"/>
        </w:rPr>
        <w:t xml:space="preserve">Financial inclusion focuses on the accessibility and suitability of service ti the needs of the community in order to achieve prosperity </w:t>
      </w:r>
      <w:r>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{"citationItems":[{"id":"ITEM-1","itemData":{"DOI":"10.20473/ajim.v5i1.53990","abstract":"The growth of micro, small, and medium-sized enterprises (MSMEs) is critical to Indonesia's present economic development. This study has the purpose of examining how financial literacy, financial inclusion, and access to capital affect the performance of MSMEs in the Banyumas area. The performance of MSMEs is the dependent variable in this study, and the independent factors are financial literacy, financial inclusion, and access to finance. This study used partial Least Squares (PLS) to handle data in this work. Purposive sampling procedures were employed to select 127 MSMEs from a total of 8,559 MSMEs in the Banyumas Regency as research participants. The study's main findings of the relationship between the three variables of financial literacy, financial inclusion, and access to capital on MSME performance show that these three variables significantly influence MSME performance, both partially and simultaneously. As a result, MSMEs with a high degree of financial competence, simple access to finance, and suitable access to capital would improve MSMEs' performance in an area, resulting in the growth of the enterprises they manage. This research found that the financial literacy level of Banyumas MSMEs is quite high, available financial inclusion is easily accessible and sufficient access to capital can help MSMEs to improve their performance so that they can increase the development of the businesses they run.","author":[{"dropping-particle":"","family":"Tubastuvi","given":"Naelati","non-dropping-particle":"","parse-names":false,"suffix":""},{"dropping-particle":"","family":"Nur Ainun","given":"Rania","non-dropping-particle":"","parse-names":false,"suffix":""},{"dropping-particle":"","family":"Purwidianti","given":"Wida","non-dropping-particle":"","parse-names":false,"suffix":""},{"dropping-particle":"","family":"Zamakhsyari","given":"Luthfi","non-dropping-particle":"","parse-names":false,"suffix":""}],"container-title":"Airlangga Journal of Innovation Management","id":"ITEM-1","issue":"1","issued":{"date-parts":[["2024"]]},"page":"1-16","title":"Enhancing MSME: Exploring the Relationship between Financial Literacy, Financial Inclusion, and Capital Access to Improve Performance","type":"article-journal","volume":"5"},"uris":["http://www.mendeley.com/documents/?uuid=585e9f66-dc6e-4ed6-b1ed-02841fa63499"]}],"mendeley":{"formattedCitation":"(Tubastuvi et al. 2024)","plainTextFormattedCitation":"(Tubastuvi et al. 2024)","previouslyFormattedCitation":"(Tubastuvi et al. 2024)"},"properties":{"noteIndex":0},"schema":"https://github.com/citation-style-language/schema/raw/master/csl-citation.json"}</w:instrText>
      </w:r>
      <w:r>
        <w:rPr>
          <w:rFonts w:ascii="Arial" w:hAnsi="Arial" w:cs="Arial"/>
          <w:sz w:val="20"/>
          <w:szCs w:val="20"/>
          <w:lang w:val="id-ID"/>
        </w:rPr>
        <w:fldChar w:fldCharType="separate"/>
      </w:r>
      <w:r w:rsidRPr="00A11879">
        <w:rPr>
          <w:rFonts w:ascii="Arial" w:hAnsi="Arial" w:cs="Arial"/>
          <w:noProof/>
          <w:sz w:val="20"/>
          <w:szCs w:val="20"/>
          <w:lang w:val="id-ID"/>
        </w:rPr>
        <w:t>(Tubastuvi et al. 2024)</w:t>
      </w:r>
      <w:r>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By opening wider access to financial products for everyone, we can narrow</w:t>
      </w:r>
      <w:r>
        <w:rPr>
          <w:rFonts w:ascii="Arial" w:hAnsi="Arial" w:cs="Arial"/>
          <w:sz w:val="20"/>
          <w:szCs w:val="20"/>
          <w:lang w:val="id-ID"/>
        </w:rPr>
        <w:t xml:space="preserve"> the disparity between wealth and poverty</w:t>
      </w:r>
      <w:r w:rsidRPr="005E1216">
        <w:rPr>
          <w:rFonts w:ascii="Arial" w:hAnsi="Arial" w:cs="Arial"/>
          <w:sz w:val="20"/>
          <w:szCs w:val="20"/>
          <w:lang w:val="id-ID"/>
        </w:rPr>
        <w:t xml:space="preserve">, spur more significant economic growth, and raise the </w:t>
      </w:r>
      <w:r>
        <w:rPr>
          <w:rFonts w:ascii="Arial" w:hAnsi="Arial" w:cs="Arial"/>
          <w:sz w:val="20"/>
          <w:szCs w:val="20"/>
          <w:lang w:val="id-ID"/>
        </w:rPr>
        <w:t>overall standard of living of the community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Technology","type":"article-journal","volume":"8"},"uris":["http://www.mendeley.com/documents/?uuid=7fa96ce2-661b-4328-af0c-0a1b62efc957"]}],"mendeley":{"formattedCitation":"(Huda and Risman 2024)","manualFormatting":"Huda and Risman 2024)","plainTextFormattedCitation":"(Huda and Risman 2024)","previouslyFormattedCitation":"(Huda and 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 xml:space="preserve">Financial management in MSMEs marks an important shift from individual financial behavior to business financial behavior, </w:t>
      </w:r>
      <w:r>
        <w:rPr>
          <w:rFonts w:ascii="Arial" w:hAnsi="Arial" w:cs="Arial"/>
          <w:sz w:val="20"/>
          <w:szCs w:val="20"/>
          <w:lang w:val="id-ID"/>
        </w:rPr>
        <w:t>particularly</w:t>
      </w:r>
      <w:r w:rsidRPr="005E1216">
        <w:rPr>
          <w:rFonts w:ascii="Arial" w:hAnsi="Arial" w:cs="Arial"/>
          <w:sz w:val="20"/>
          <w:szCs w:val="20"/>
          <w:lang w:val="id-ID"/>
        </w:rPr>
        <w:t xml:space="preserve"> MSMEs, which is reflected in various financial decisions</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Based on the Theory of Planned Behavior, financial inclusion is an external factor that can increase the confidence of MSMEs in the ease of accessing financial services, thereby encouraging changes in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2024)</w:t>
      </w:r>
      <w:r w:rsidRPr="005E1216">
        <w:rPr>
          <w:rFonts w:ascii="Arial" w:hAnsi="Arial" w:cs="Arial"/>
          <w:sz w:val="20"/>
          <w:szCs w:val="20"/>
          <w:lang w:val="id-ID"/>
        </w:rPr>
        <w:fldChar w:fldCharType="end"/>
      </w:r>
      <w:r w:rsidRPr="005E1216">
        <w:rPr>
          <w:rFonts w:ascii="Arial" w:hAnsi="Arial" w:cs="Arial"/>
          <w:sz w:val="20"/>
          <w:szCs w:val="20"/>
          <w:lang w:val="id-ID"/>
        </w:rPr>
        <w:t>. This statement is in line with research</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 Jannah, Fuad, and Dewi 2023; Usmayanti et al. 2023)</w:t>
      </w:r>
      <w:r w:rsidRPr="005E1216">
        <w:rPr>
          <w:rFonts w:ascii="Arial" w:hAnsi="Arial" w:cs="Arial"/>
          <w:sz w:val="20"/>
          <w:szCs w:val="20"/>
          <w:lang w:val="id-ID"/>
        </w:rPr>
        <w:fldChar w:fldCharType="end"/>
      </w:r>
      <w:r>
        <w:rPr>
          <w:rFonts w:ascii="Arial" w:hAnsi="Arial" w:cs="Arial"/>
          <w:sz w:val="20"/>
          <w:szCs w:val="20"/>
          <w:lang w:val="id-ID"/>
        </w:rPr>
        <w:t>, whitch asserts that financial inclusion has a positive impact on financial behavior.</w:t>
      </w:r>
    </w:p>
    <w:p w14:paraId="2E90C885" w14:textId="77777777" w:rsidR="00994ADB" w:rsidRDefault="00994ADB" w:rsidP="00910524">
      <w:pPr>
        <w:spacing w:after="0"/>
        <w:rPr>
          <w:rFonts w:ascii="Arial" w:hAnsi="Arial"/>
          <w:b/>
          <w:bCs/>
          <w:sz w:val="20"/>
          <w:szCs w:val="20"/>
          <w:lang w:val="id-ID"/>
        </w:rPr>
      </w:pPr>
    </w:p>
    <w:p w14:paraId="009E386E" w14:textId="52457EAD" w:rsidR="00B51DD5" w:rsidRDefault="00B51DD5" w:rsidP="00910524">
      <w:pPr>
        <w:spacing w:after="0"/>
        <w:rPr>
          <w:rFonts w:ascii="Arial" w:hAnsi="Arial"/>
          <w:sz w:val="20"/>
          <w:szCs w:val="20"/>
          <w:lang w:val="id-ID"/>
        </w:rPr>
      </w:pPr>
      <w:r w:rsidRPr="00B51DD5">
        <w:rPr>
          <w:rFonts w:ascii="Arial" w:hAnsi="Arial"/>
          <w:sz w:val="20"/>
          <w:szCs w:val="20"/>
          <w:lang w:val="id-ID"/>
        </w:rPr>
        <w:t>H</w:t>
      </w:r>
      <w:r w:rsidR="00EB12F1">
        <w:rPr>
          <w:rFonts w:ascii="Arial" w:hAnsi="Arial"/>
          <w:sz w:val="20"/>
          <w:szCs w:val="20"/>
          <w:lang w:val="id-ID"/>
        </w:rPr>
        <w:t>4</w:t>
      </w:r>
      <w:r w:rsidRPr="00B51DD5">
        <w:rPr>
          <w:rFonts w:ascii="Arial" w:hAnsi="Arial"/>
          <w:sz w:val="20"/>
          <w:szCs w:val="20"/>
          <w:lang w:val="id-ID"/>
        </w:rPr>
        <w:t>: Financial Inclusion has a positive effect on the Financial Behavior</w:t>
      </w:r>
    </w:p>
    <w:p w14:paraId="4D1A8EAE" w14:textId="77777777" w:rsidR="00B51DD5" w:rsidRDefault="00B51DD5" w:rsidP="00910524">
      <w:pPr>
        <w:spacing w:after="0"/>
        <w:rPr>
          <w:rFonts w:ascii="Arial" w:hAnsi="Arial"/>
          <w:b/>
          <w:bCs/>
          <w:sz w:val="20"/>
          <w:szCs w:val="20"/>
          <w:lang w:val="id-ID"/>
        </w:rPr>
      </w:pPr>
    </w:p>
    <w:p w14:paraId="5C3C9E62" w14:textId="3EF836A7" w:rsidR="00C3157E" w:rsidRDefault="00C3157E" w:rsidP="00C3157E">
      <w:pPr>
        <w:spacing w:after="0"/>
        <w:jc w:val="center"/>
        <w:rPr>
          <w:rFonts w:ascii="Arial" w:hAnsi="Arial"/>
          <w:b/>
          <w:bCs/>
          <w:sz w:val="20"/>
          <w:szCs w:val="20"/>
          <w:lang w:val="id-ID"/>
        </w:rPr>
      </w:pPr>
      <w:r>
        <w:rPr>
          <w:rFonts w:cs="Arial"/>
          <w:b/>
          <w:bCs/>
          <w:noProof/>
          <w:sz w:val="20"/>
          <w:szCs w:val="20"/>
          <w:lang w:val="id-ID"/>
        </w:rPr>
        <w:lastRenderedPageBreak/>
        <mc:AlternateContent>
          <mc:Choice Requires="wpc">
            <w:drawing>
              <wp:inline distT="0" distB="0" distL="0" distR="0" wp14:anchorId="535585B3" wp14:editId="3A828869">
                <wp:extent cx="5486400" cy="2607092"/>
                <wp:effectExtent l="0" t="0" r="0" b="22225"/>
                <wp:docPr id="100654253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50452589" name="Rectangle 1850452589"/>
                        <wps:cNvSpPr/>
                        <wps:spPr>
                          <a:xfrm>
                            <a:off x="208230" y="36064"/>
                            <a:ext cx="1294646" cy="552288"/>
                          </a:xfrm>
                          <a:prstGeom prst="rect">
                            <a:avLst/>
                          </a:prstGeom>
                        </wps:spPr>
                        <wps:style>
                          <a:lnRef idx="2">
                            <a:schemeClr val="dk1"/>
                          </a:lnRef>
                          <a:fillRef idx="1">
                            <a:schemeClr val="lt1"/>
                          </a:fillRef>
                          <a:effectRef idx="0">
                            <a:schemeClr val="dk1"/>
                          </a:effectRef>
                          <a:fontRef idx="minor">
                            <a:schemeClr val="dk1"/>
                          </a:fontRef>
                        </wps:style>
                        <wps:txb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568165" name="Rectangle 2048568165"/>
                        <wps:cNvSpPr/>
                        <wps:spPr>
                          <a:xfrm>
                            <a:off x="208229" y="695873"/>
                            <a:ext cx="1294647" cy="544329"/>
                          </a:xfrm>
                          <a:prstGeom prst="rect">
                            <a:avLst/>
                          </a:prstGeom>
                        </wps:spPr>
                        <wps:style>
                          <a:lnRef idx="2">
                            <a:schemeClr val="dk1"/>
                          </a:lnRef>
                          <a:fillRef idx="1">
                            <a:schemeClr val="lt1"/>
                          </a:fillRef>
                          <a:effectRef idx="0">
                            <a:schemeClr val="dk1"/>
                          </a:effectRef>
                          <a:fontRef idx="minor">
                            <a:schemeClr val="dk1"/>
                          </a:fontRef>
                        </wps:style>
                        <wps:txb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6859910" name="Rectangle 2126859910"/>
                        <wps:cNvSpPr/>
                        <wps:spPr>
                          <a:xfrm>
                            <a:off x="208387" y="1365566"/>
                            <a:ext cx="1294489" cy="553769"/>
                          </a:xfrm>
                          <a:prstGeom prst="rect">
                            <a:avLst/>
                          </a:prstGeom>
                        </wps:spPr>
                        <wps:style>
                          <a:lnRef idx="2">
                            <a:schemeClr val="dk1"/>
                          </a:lnRef>
                          <a:fillRef idx="1">
                            <a:schemeClr val="lt1"/>
                          </a:fillRef>
                          <a:effectRef idx="0">
                            <a:schemeClr val="dk1"/>
                          </a:effectRef>
                          <a:fontRef idx="minor">
                            <a:schemeClr val="dk1"/>
                          </a:fontRef>
                        </wps:style>
                        <wps:txb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5401075" name="Rectangle 1325401075"/>
                        <wps:cNvSpPr/>
                        <wps:spPr>
                          <a:xfrm>
                            <a:off x="208229" y="2017586"/>
                            <a:ext cx="1294647" cy="589689"/>
                          </a:xfrm>
                          <a:prstGeom prst="rect">
                            <a:avLst/>
                          </a:prstGeom>
                        </wps:spPr>
                        <wps:style>
                          <a:lnRef idx="2">
                            <a:schemeClr val="dk1"/>
                          </a:lnRef>
                          <a:fillRef idx="1">
                            <a:schemeClr val="lt1"/>
                          </a:fillRef>
                          <a:effectRef idx="0">
                            <a:schemeClr val="dk1"/>
                          </a:effectRef>
                          <a:fontRef idx="minor">
                            <a:schemeClr val="dk1"/>
                          </a:fontRef>
                        </wps:style>
                        <wps:txb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067185" name="Rectangle 1052067185"/>
                        <wps:cNvSpPr/>
                        <wps:spPr>
                          <a:xfrm>
                            <a:off x="3964348" y="958466"/>
                            <a:ext cx="1322876" cy="589520"/>
                          </a:xfrm>
                          <a:prstGeom prst="rect">
                            <a:avLst/>
                          </a:prstGeom>
                        </wps:spPr>
                        <wps:style>
                          <a:lnRef idx="2">
                            <a:schemeClr val="dk1"/>
                          </a:lnRef>
                          <a:fillRef idx="1">
                            <a:schemeClr val="lt1"/>
                          </a:fillRef>
                          <a:effectRef idx="0">
                            <a:schemeClr val="dk1"/>
                          </a:effectRef>
                          <a:fontRef idx="minor">
                            <a:schemeClr val="dk1"/>
                          </a:fontRef>
                        </wps:style>
                        <wps:txb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6113955" name="Straight Arrow Connector 1186113955"/>
                        <wps:cNvCnPr>
                          <a:stCxn id="1850452589" idx="3"/>
                        </wps:cNvCnPr>
                        <wps:spPr>
                          <a:xfrm>
                            <a:off x="1502876" y="312108"/>
                            <a:ext cx="2461472" cy="756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7298439" name="Straight Arrow Connector 697298439"/>
                        <wps:cNvCnPr>
                          <a:stCxn id="1325401075" idx="3"/>
                        </wps:cNvCnPr>
                        <wps:spPr>
                          <a:xfrm flipV="1">
                            <a:off x="1502876" y="1430324"/>
                            <a:ext cx="2461472" cy="8820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9871356" name="Straight Arrow Connector 419871356"/>
                        <wps:cNvCnPr>
                          <a:stCxn id="2126859910" idx="3"/>
                        </wps:cNvCnPr>
                        <wps:spPr>
                          <a:xfrm flipV="1">
                            <a:off x="1502876" y="1303367"/>
                            <a:ext cx="2461472" cy="339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3075070" name="Straight Arrow Connector 2103075070"/>
                        <wps:cNvCnPr>
                          <a:stCxn id="2048568165" idx="3"/>
                        </wps:cNvCnPr>
                        <wps:spPr>
                          <a:xfrm>
                            <a:off x="1502876" y="968015"/>
                            <a:ext cx="2461472" cy="217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7181354" name="Rectangle 1377181354"/>
                        <wps:cNvSpPr/>
                        <wps:spPr>
                          <a:xfrm>
                            <a:off x="2018921" y="176050"/>
                            <a:ext cx="406130" cy="26922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663536" name="Text Box 1"/>
                        <wps:cNvSpPr txBox="1"/>
                        <wps:spPr>
                          <a:xfrm>
                            <a:off x="2018921" y="705760"/>
                            <a:ext cx="398145" cy="262255"/>
                          </a:xfrm>
                          <a:prstGeom prst="rect">
                            <a:avLst/>
                          </a:prstGeom>
                          <a:solidFill>
                            <a:schemeClr val="lt1"/>
                          </a:solidFill>
                          <a:ln w="6350">
                            <a:solidFill>
                              <a:schemeClr val="bg1"/>
                            </a:solidFill>
                          </a:ln>
                        </wps:spPr>
                        <wps:txb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09693295" name="Text Box 1"/>
                        <wps:cNvSpPr txBox="1"/>
                        <wps:spPr>
                          <a:xfrm>
                            <a:off x="2026906" y="1185881"/>
                            <a:ext cx="354154" cy="299267"/>
                          </a:xfrm>
                          <a:prstGeom prst="rect">
                            <a:avLst/>
                          </a:prstGeom>
                          <a:solidFill>
                            <a:schemeClr val="lt1"/>
                          </a:solidFill>
                          <a:ln w="6350">
                            <a:solidFill>
                              <a:schemeClr val="bg1"/>
                            </a:solidFill>
                          </a:ln>
                        </wps:spPr>
                        <wps:txb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6391273" name="Text Box 1"/>
                        <wps:cNvSpPr txBox="1"/>
                        <wps:spPr>
                          <a:xfrm>
                            <a:off x="2026906" y="1702056"/>
                            <a:ext cx="398145" cy="262255"/>
                          </a:xfrm>
                          <a:prstGeom prst="rect">
                            <a:avLst/>
                          </a:prstGeom>
                          <a:solidFill>
                            <a:schemeClr val="lt1"/>
                          </a:solidFill>
                          <a:ln w="6350">
                            <a:solidFill>
                              <a:schemeClr val="bg1"/>
                            </a:solidFill>
                          </a:ln>
                        </wps:spPr>
                        <wps:txb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5585B3" id="Canvas 2" o:spid="_x0000_s1026" editas="canvas" style="width:6in;height:205.3pt;mso-position-horizontal-relative:char;mso-position-vertical-relative:line" coordsize="54864,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066;visibility:visible;mso-wrap-style:square" filled="t">
                  <v:fill o:detectmouseclick="t"/>
                  <v:path o:connecttype="none"/>
                </v:shape>
                <v:rect id="Rectangle 1850452589" o:spid="_x0000_s1028" style="position:absolute;left:2082;top:360;width:12946;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" fillcolor="white [3201]" strokecolor="black [3200]" strokeweight="1pt">
                  <v:textbo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v:textbox>
                </v:rect>
                <v:rect id="Rectangle 2048568165" o:spid="_x0000_s1029" style="position:absolute;left:2082;top:6958;width:12946;height:5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" fillcolor="white [3201]" strokecolor="black [3200]" strokeweight="1pt">
                  <v:textbo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v:textbox>
                </v:rect>
                <v:rect id="Rectangle 2126859910" o:spid="_x0000_s1030" style="position:absolute;left:2083;top:13655;width:12945;height:5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" fillcolor="white [3201]" strokecolor="black [3200]" strokeweight="1pt">
                  <v:textbo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v:textbox>
                </v:rect>
                <v:rect id="Rectangle 1325401075" o:spid="_x0000_s1031" style="position:absolute;left:2082;top:20175;width:12946;height:5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" fillcolor="white [3201]" strokecolor="black [3200]" strokeweight="1pt">
                  <v:textbo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v:textbox>
                </v:rect>
                <v:rect id="Rectangle 1052067185" o:spid="_x0000_s1032" style="position:absolute;left:39643;top:9584;width:13229;height: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" fillcolor="white [3201]" strokecolor="black [3200]" strokeweight="1pt">
                  <v:textbo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v:textbox>
                </v:rect>
                <v:shapetype id="_x0000_t32" coordsize="21600,21600" o:spt="32" o:oned="t" path="m,l21600,21600e" filled="f">
                  <v:path arrowok="t" fillok="f" o:connecttype="none"/>
                  <o:lock v:ext="edit" shapetype="t"/>
                </v:shapetype>
                <v:shape id="Straight Arrow Connector 1186113955" o:spid="_x0000_s1033" type="#_x0000_t32" style="position:absolute;left:15028;top:3121;width:24615;height:7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" strokecolor="black [3200]" strokeweight=".5pt">
                  <v:stroke endarrow="block" joinstyle="miter"/>
                </v:shape>
                <v:shape id="Straight Arrow Connector 697298439" o:spid="_x0000_s1034" type="#_x0000_t32" style="position:absolute;left:15028;top:14303;width:24615;height:8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" strokecolor="black [3200]" strokeweight=".5pt">
                  <v:stroke endarrow="block" joinstyle="miter"/>
                </v:shape>
                <v:shape id="Straight Arrow Connector 419871356" o:spid="_x0000_s1035" type="#_x0000_t32" style="position:absolute;left:15028;top:13033;width:24615;height:3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" strokecolor="black [3200]" strokeweight=".5pt">
                  <v:stroke endarrow="block" joinstyle="miter"/>
                </v:shape>
                <v:shape id="Straight Arrow Connector 2103075070" o:spid="_x0000_s1036" type="#_x0000_t32" style="position:absolute;left:15028;top:9680;width:24615;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" strokecolor="black [3200]" strokeweight=".5pt">
                  <v:stroke endarrow="block" joinstyle="miter"/>
                </v:shape>
                <v:rect id="Rectangle 1377181354" o:spid="_x0000_s1037" style="position:absolute;left:20189;top:1760;width:4061;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" fillcolor="white [3201]" strokecolor="white [3212]" strokeweight="1pt">
                  <v:textbo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v:textbox>
                </v:rect>
                <v:shapetype id="_x0000_t202" coordsize="21600,21600" o:spt="202" path="m,l,21600r21600,l21600,xe">
                  <v:stroke joinstyle="miter"/>
                  <v:path gradientshapeok="t" o:connecttype="rect"/>
                </v:shapetype>
                <v:shape id="Text Box 1" o:spid="_x0000_s1038" type="#_x0000_t202" style="position:absolute;left:20189;top:7057;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" fillcolor="white [3201]" strokecolor="white [3212]" strokeweight=".5pt">
                  <v:textbo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v:textbox>
                </v:shape>
                <v:shape id="Text Box 1" o:spid="_x0000_s1039" type="#_x0000_t202" style="position:absolute;left:20269;top:11858;width:3541;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" fillcolor="white [3201]" strokecolor="white [3212]" strokeweight=".5pt">
                  <v:textbo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v:textbox>
                </v:shape>
                <v:shape id="Text Box 1" o:spid="_x0000_s1040" type="#_x0000_t202" style="position:absolute;left:20269;top:17020;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" fillcolor="white [3201]" strokecolor="white [3212]" strokeweight=".5pt">
                  <v:textbo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v:textbox>
                </v:shape>
                <w10:anchorlock/>
              </v:group>
            </w:pict>
          </mc:Fallback>
        </mc:AlternateContent>
      </w:r>
    </w:p>
    <w:p w14:paraId="05898F28" w14:textId="2ECB894B" w:rsidR="00CA2087" w:rsidRDefault="00CA2087" w:rsidP="00C3157E">
      <w:pPr>
        <w:spacing w:after="0"/>
        <w:jc w:val="center"/>
        <w:rPr>
          <w:rFonts w:ascii="Arial" w:hAnsi="Arial"/>
          <w:b/>
          <w:bCs/>
          <w:sz w:val="20"/>
          <w:szCs w:val="20"/>
          <w:lang w:val="id-ID"/>
        </w:rPr>
      </w:pPr>
      <w:r>
        <w:rPr>
          <w:rFonts w:ascii="Arial" w:hAnsi="Arial"/>
          <w:b/>
          <w:bCs/>
          <w:sz w:val="20"/>
          <w:szCs w:val="20"/>
          <w:lang w:val="id-ID"/>
        </w:rPr>
        <w:t xml:space="preserve">Fig. 2. </w:t>
      </w:r>
      <w:r w:rsidR="00AE4B00">
        <w:rPr>
          <w:rFonts w:ascii="Arial" w:hAnsi="Arial"/>
          <w:b/>
          <w:bCs/>
          <w:sz w:val="20"/>
          <w:szCs w:val="20"/>
          <w:lang w:val="id-ID"/>
        </w:rPr>
        <w:t>Con</w:t>
      </w:r>
      <w:r w:rsidR="00B04EAD">
        <w:rPr>
          <w:rFonts w:ascii="Arial" w:hAnsi="Arial"/>
          <w:b/>
          <w:bCs/>
          <w:sz w:val="20"/>
          <w:szCs w:val="20"/>
          <w:lang w:val="id-ID"/>
        </w:rPr>
        <w:t>c</w:t>
      </w:r>
      <w:r w:rsidR="00AE4B00">
        <w:rPr>
          <w:rFonts w:ascii="Arial" w:hAnsi="Arial"/>
          <w:b/>
          <w:bCs/>
          <w:sz w:val="20"/>
          <w:szCs w:val="20"/>
          <w:lang w:val="id-ID"/>
        </w:rPr>
        <w:t>eptual Framework</w:t>
      </w:r>
    </w:p>
    <w:p w14:paraId="776E83D3" w14:textId="77777777" w:rsidR="008E1DA8" w:rsidRPr="00C3157E" w:rsidRDefault="008E1DA8" w:rsidP="008E1DA8">
      <w:pPr>
        <w:spacing w:after="0"/>
        <w:rPr>
          <w:rFonts w:ascii="Arial" w:hAnsi="Arial"/>
          <w:b/>
          <w:bCs/>
          <w:sz w:val="20"/>
          <w:szCs w:val="20"/>
          <w:lang w:val="id-ID"/>
        </w:rPr>
      </w:pPr>
    </w:p>
    <w:p w14:paraId="64A369A6" w14:textId="4C974ED1" w:rsidR="00383A66" w:rsidRDefault="00383A66" w:rsidP="00910524">
      <w:pPr>
        <w:spacing w:after="0"/>
        <w:rPr>
          <w:rFonts w:ascii="Arial" w:hAnsi="Arial"/>
          <w:b/>
          <w:bCs/>
          <w:sz w:val="22"/>
          <w:szCs w:val="22"/>
          <w:lang w:val="id-ID"/>
        </w:rPr>
      </w:pPr>
      <w:r>
        <w:rPr>
          <w:rFonts w:ascii="Arial" w:hAnsi="Arial"/>
          <w:b/>
          <w:bCs/>
          <w:sz w:val="22"/>
          <w:szCs w:val="22"/>
          <w:lang w:val="id-ID"/>
        </w:rPr>
        <w:t>3. RESEARCH METHODS</w:t>
      </w:r>
    </w:p>
    <w:p w14:paraId="037A068B" w14:textId="77777777" w:rsidR="00196CD2" w:rsidRDefault="00196CD2" w:rsidP="00196CD2">
      <w:pPr>
        <w:spacing w:after="0"/>
        <w:jc w:val="both"/>
        <w:rPr>
          <w:rFonts w:ascii="Arial" w:hAnsi="Arial"/>
          <w:b/>
          <w:bCs/>
          <w:sz w:val="20"/>
          <w:szCs w:val="20"/>
          <w:lang w:val="id-ID"/>
        </w:rPr>
      </w:pPr>
    </w:p>
    <w:p w14:paraId="562F3745" w14:textId="77777777" w:rsidR="005E441C" w:rsidRPr="001601A3" w:rsidRDefault="005E441C" w:rsidP="005E441C">
      <w:pPr>
        <w:jc w:val="both"/>
        <w:rPr>
          <w:rFonts w:ascii="Arial" w:hAnsi="Arial" w:cs="Arial"/>
          <w:sz w:val="20"/>
          <w:szCs w:val="20"/>
          <w:highlight w:val="yellow"/>
        </w:rPr>
      </w:pPr>
      <w:r w:rsidRPr="001601A3">
        <w:rPr>
          <w:rFonts w:ascii="Arial" w:hAnsi="Arial" w:cs="Arial"/>
          <w:sz w:val="20"/>
          <w:szCs w:val="20"/>
          <w:highlight w:val="yellow"/>
        </w:rPr>
        <w:t xml:space="preserve">This study aims to empirically analyze how internal factors and external factors influence the financial behavior of MSMEs in </w:t>
      </w:r>
      <w:proofErr w:type="spellStart"/>
      <w:r w:rsidRPr="001601A3">
        <w:rPr>
          <w:rFonts w:ascii="Arial" w:hAnsi="Arial" w:cs="Arial"/>
          <w:sz w:val="20"/>
          <w:szCs w:val="20"/>
          <w:highlight w:val="yellow"/>
        </w:rPr>
        <w:t>Banyumas</w:t>
      </w:r>
      <w:proofErr w:type="spellEnd"/>
      <w:r w:rsidRPr="001601A3">
        <w:rPr>
          <w:rFonts w:ascii="Arial" w:hAnsi="Arial" w:cs="Arial"/>
          <w:sz w:val="20"/>
          <w:szCs w:val="20"/>
          <w:highlight w:val="yellow"/>
        </w:rPr>
        <w:t xml:space="preserve"> Regency. Specifically, this study seeks to map the influence of financial literacy, financial attitudes, lifestyle, and financial inclusion in creating sustainable business financial management. This study uses a quantitative approach with primary data. The rationale for choosing a quantitative method is to statistically test hypotheses and obtain generalizations of the relationships between the variables studied. Primary data were obtained directly from original sources through questionnaires to ensure the information obtained is relevant to the current conditions of MSMEs during the research period (September–December 2025). The population in this study was all MSMEs in </w:t>
      </w:r>
      <w:proofErr w:type="spellStart"/>
      <w:r w:rsidRPr="001601A3">
        <w:rPr>
          <w:rFonts w:ascii="Arial" w:hAnsi="Arial" w:cs="Arial"/>
          <w:sz w:val="20"/>
          <w:szCs w:val="20"/>
          <w:highlight w:val="yellow"/>
        </w:rPr>
        <w:t>Banyumas</w:t>
      </w:r>
      <w:proofErr w:type="spellEnd"/>
      <w:r w:rsidRPr="001601A3">
        <w:rPr>
          <w:rFonts w:ascii="Arial" w:hAnsi="Arial" w:cs="Arial"/>
          <w:sz w:val="20"/>
          <w:szCs w:val="20"/>
          <w:highlight w:val="yellow"/>
        </w:rPr>
        <w:t xml:space="preserve"> Regency registered with the Central Java Provincial Cooperatives and SMEs Office in 2025, amounting to 6,271 business units. To determine the minimum sample size from this large population, the researcher used the </w:t>
      </w:r>
      <w:proofErr w:type="spellStart"/>
      <w:r w:rsidRPr="001601A3">
        <w:rPr>
          <w:rFonts w:ascii="Arial" w:hAnsi="Arial" w:cs="Arial"/>
          <w:sz w:val="20"/>
          <w:szCs w:val="20"/>
          <w:highlight w:val="yellow"/>
        </w:rPr>
        <w:t>Slovin</w:t>
      </w:r>
      <w:proofErr w:type="spellEnd"/>
      <w:r w:rsidRPr="001601A3">
        <w:rPr>
          <w:rFonts w:ascii="Arial" w:hAnsi="Arial" w:cs="Arial"/>
          <w:sz w:val="20"/>
          <w:szCs w:val="20"/>
          <w:highlight w:val="yellow"/>
        </w:rPr>
        <w:t xml:space="preserve"> Formula with a 10% significance level. This formula was chosen most appropriate because the researcher had data on the exact population size, but had limited time and resources to reach the entire population. With a 10% margin of error, this formula provides a minimum threshold of scientifically acceptable representation for social research. Based on </w:t>
      </w:r>
      <w:proofErr w:type="spellStart"/>
      <w:r w:rsidRPr="001601A3">
        <w:rPr>
          <w:rFonts w:ascii="Arial" w:hAnsi="Arial" w:cs="Arial"/>
          <w:sz w:val="20"/>
          <w:szCs w:val="20"/>
          <w:highlight w:val="yellow"/>
        </w:rPr>
        <w:t>Slovin's</w:t>
      </w:r>
      <w:proofErr w:type="spellEnd"/>
      <w:r w:rsidRPr="001601A3">
        <w:rPr>
          <w:rFonts w:ascii="Arial" w:hAnsi="Arial" w:cs="Arial"/>
          <w:sz w:val="20"/>
          <w:szCs w:val="20"/>
          <w:highlight w:val="yellow"/>
        </w:rPr>
        <w:t xml:space="preserve"> calculations, the minimum sample size is 98 respondents. However, the researchers decided to expand the sample to 158 respondents to increase statistical power and reduce the margin of error. The method used was non-probability sampling with purposive sampling. This technique was chosen to ensure that the respondents had truly relevant information and were in line with the research objectives. The sample criteria were determined as follows:</w:t>
      </w:r>
    </w:p>
    <w:p w14:paraId="6C6824A3" w14:textId="7A514BC2" w:rsidR="005E441C" w:rsidRPr="001601A3" w:rsidRDefault="005E441C" w:rsidP="005E441C">
      <w:pPr>
        <w:pStyle w:val="ListParagraph"/>
        <w:numPr>
          <w:ilvl w:val="0"/>
          <w:numId w:val="12"/>
        </w:numPr>
        <w:jc w:val="both"/>
        <w:rPr>
          <w:rFonts w:ascii="Arial" w:hAnsi="Arial" w:cs="Arial"/>
          <w:sz w:val="20"/>
          <w:szCs w:val="20"/>
          <w:highlight w:val="yellow"/>
        </w:rPr>
      </w:pPr>
      <w:r w:rsidRPr="001601A3">
        <w:rPr>
          <w:rFonts w:ascii="Arial" w:hAnsi="Arial" w:cs="Arial"/>
          <w:sz w:val="20"/>
          <w:szCs w:val="20"/>
          <w:highlight w:val="yellow"/>
        </w:rPr>
        <w:t xml:space="preserve">MSMEs whose businesses are domiciled in </w:t>
      </w:r>
      <w:proofErr w:type="spellStart"/>
      <w:r w:rsidRPr="001601A3">
        <w:rPr>
          <w:rFonts w:ascii="Arial" w:hAnsi="Arial" w:cs="Arial"/>
          <w:sz w:val="20"/>
          <w:szCs w:val="20"/>
          <w:highlight w:val="yellow"/>
        </w:rPr>
        <w:t>Banyumas</w:t>
      </w:r>
      <w:proofErr w:type="spellEnd"/>
      <w:r w:rsidRPr="001601A3">
        <w:rPr>
          <w:rFonts w:ascii="Arial" w:hAnsi="Arial" w:cs="Arial"/>
          <w:sz w:val="20"/>
          <w:szCs w:val="20"/>
          <w:highlight w:val="yellow"/>
        </w:rPr>
        <w:t xml:space="preserve"> Regency.</w:t>
      </w:r>
    </w:p>
    <w:p w14:paraId="7252617F" w14:textId="43227993" w:rsidR="005E441C" w:rsidRPr="001601A3" w:rsidRDefault="005E441C" w:rsidP="005E441C">
      <w:pPr>
        <w:pStyle w:val="ListParagraph"/>
        <w:numPr>
          <w:ilvl w:val="0"/>
          <w:numId w:val="12"/>
        </w:numPr>
        <w:jc w:val="both"/>
        <w:rPr>
          <w:rFonts w:ascii="Arial" w:hAnsi="Arial" w:cs="Arial"/>
          <w:sz w:val="20"/>
          <w:szCs w:val="20"/>
          <w:highlight w:val="yellow"/>
        </w:rPr>
      </w:pPr>
      <w:r w:rsidRPr="001601A3">
        <w:rPr>
          <w:rFonts w:ascii="Arial" w:hAnsi="Arial" w:cs="Arial"/>
          <w:sz w:val="20"/>
          <w:szCs w:val="20"/>
          <w:highlight w:val="yellow"/>
        </w:rPr>
        <w:t>Businesses have been operating for at least one year (to ensure respondents have stable financial behavior patterns).</w:t>
      </w:r>
    </w:p>
    <w:p w14:paraId="62A1B714" w14:textId="70F970CD" w:rsidR="005E441C" w:rsidRDefault="005E441C" w:rsidP="005E441C">
      <w:pPr>
        <w:spacing w:after="0"/>
        <w:jc w:val="both"/>
        <w:rPr>
          <w:rFonts w:ascii="Arial" w:hAnsi="Arial" w:cs="Arial"/>
          <w:sz w:val="20"/>
          <w:szCs w:val="20"/>
        </w:rPr>
      </w:pPr>
      <w:r w:rsidRPr="001601A3">
        <w:rPr>
          <w:rFonts w:ascii="Arial" w:hAnsi="Arial" w:cs="Arial"/>
          <w:sz w:val="20"/>
          <w:szCs w:val="20"/>
          <w:highlight w:val="yellow"/>
        </w:rPr>
        <w:t xml:space="preserve">Data were collected through a survey method using a structured questionnaire. Each item was measured using a Likert scale (1-5) to accurately capture respondents' perceptions. The questionnaire was distributed online through a digital platform to more efficiently reach the </w:t>
      </w:r>
      <w:proofErr w:type="spellStart"/>
      <w:r w:rsidRPr="001601A3">
        <w:rPr>
          <w:rFonts w:ascii="Arial" w:hAnsi="Arial" w:cs="Arial"/>
          <w:sz w:val="20"/>
          <w:szCs w:val="20"/>
          <w:highlight w:val="yellow"/>
        </w:rPr>
        <w:t>Banyumas</w:t>
      </w:r>
      <w:proofErr w:type="spellEnd"/>
      <w:r w:rsidRPr="001601A3">
        <w:rPr>
          <w:rFonts w:ascii="Arial" w:hAnsi="Arial" w:cs="Arial"/>
          <w:sz w:val="20"/>
          <w:szCs w:val="20"/>
          <w:highlight w:val="yellow"/>
        </w:rPr>
        <w:t xml:space="preserve"> Regency geographic area and expedite the data tabulation process. Data analysis was performed using Structural Equation Modeling - Partial Least Squares (SEM-PLS) through </w:t>
      </w:r>
      <w:proofErr w:type="spellStart"/>
      <w:r w:rsidRPr="001601A3">
        <w:rPr>
          <w:rFonts w:ascii="Arial" w:hAnsi="Arial" w:cs="Arial"/>
          <w:sz w:val="20"/>
          <w:szCs w:val="20"/>
          <w:highlight w:val="yellow"/>
        </w:rPr>
        <w:t>SmartPLS</w:t>
      </w:r>
      <w:proofErr w:type="spellEnd"/>
      <w:r w:rsidRPr="001601A3">
        <w:rPr>
          <w:rFonts w:ascii="Arial" w:hAnsi="Arial" w:cs="Arial"/>
          <w:sz w:val="20"/>
          <w:szCs w:val="20"/>
          <w:highlight w:val="yellow"/>
        </w:rPr>
        <w:t xml:space="preserve"> 3.0 software. The analysis stages include: Outer Model (Measurement Model), Inner Model (Structural Model), Hypothesis Testing.</w:t>
      </w:r>
    </w:p>
    <w:p w14:paraId="0EBDB20C" w14:textId="77777777" w:rsidR="005E441C" w:rsidRPr="005E441C" w:rsidRDefault="005E441C" w:rsidP="005E441C">
      <w:pPr>
        <w:spacing w:after="0"/>
        <w:jc w:val="both"/>
        <w:rPr>
          <w:rFonts w:ascii="Arial" w:hAnsi="Arial" w:cs="Arial"/>
          <w:sz w:val="20"/>
          <w:szCs w:val="20"/>
        </w:rPr>
      </w:pPr>
    </w:p>
    <w:p w14:paraId="54BDF5EE" w14:textId="77777777" w:rsidR="00191D3B" w:rsidRDefault="00191D3B" w:rsidP="00191D3B">
      <w:pPr>
        <w:spacing w:after="0"/>
        <w:ind w:left="66"/>
        <w:jc w:val="center"/>
        <w:rPr>
          <w:rFonts w:ascii="Arial" w:hAnsi="Arial" w:cs="Arial"/>
          <w:b/>
          <w:bCs/>
          <w:sz w:val="20"/>
          <w:szCs w:val="20"/>
          <w:lang w:val="id-ID"/>
        </w:rPr>
      </w:pPr>
      <w:r w:rsidRPr="005E1216">
        <w:rPr>
          <w:rFonts w:ascii="Arial" w:hAnsi="Arial" w:cs="Arial"/>
          <w:b/>
          <w:bCs/>
          <w:sz w:val="20"/>
          <w:szCs w:val="20"/>
          <w:lang w:val="id-ID"/>
        </w:rPr>
        <w:t>Table 1. Operational Definition of Variables</w:t>
      </w:r>
    </w:p>
    <w:p w14:paraId="1690A0F4" w14:textId="77777777" w:rsidR="00191D3B" w:rsidRDefault="00191D3B" w:rsidP="00191D3B">
      <w:pPr>
        <w:spacing w:after="0"/>
        <w:ind w:left="66"/>
        <w:jc w:val="center"/>
        <w:rPr>
          <w:rFonts w:ascii="Arial" w:hAnsi="Arial" w:cs="Arial"/>
          <w:b/>
          <w:bCs/>
          <w:sz w:val="20"/>
          <w:szCs w:val="20"/>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2"/>
        <w:gridCol w:w="1657"/>
        <w:gridCol w:w="2732"/>
        <w:gridCol w:w="2618"/>
        <w:gridCol w:w="1801"/>
      </w:tblGrid>
      <w:tr w:rsidR="000D41EB" w:rsidRPr="005E1216" w14:paraId="522895C2" w14:textId="5F3DC186" w:rsidTr="000D41EB">
        <w:tc>
          <w:tcPr>
            <w:tcW w:w="552" w:type="dxa"/>
          </w:tcPr>
          <w:p w14:paraId="457B5CEC"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No.</w:t>
            </w:r>
          </w:p>
        </w:tc>
        <w:tc>
          <w:tcPr>
            <w:tcW w:w="1657" w:type="dxa"/>
          </w:tcPr>
          <w:p w14:paraId="28A8B0FD"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Variables</w:t>
            </w:r>
          </w:p>
        </w:tc>
        <w:tc>
          <w:tcPr>
            <w:tcW w:w="2732" w:type="dxa"/>
          </w:tcPr>
          <w:p w14:paraId="6A9A98EC"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Operational Definition of Variables</w:t>
            </w:r>
          </w:p>
        </w:tc>
        <w:tc>
          <w:tcPr>
            <w:tcW w:w="2618" w:type="dxa"/>
          </w:tcPr>
          <w:p w14:paraId="47E98CB8" w14:textId="77777777" w:rsidR="000D41EB" w:rsidRPr="005E1216" w:rsidRDefault="000D41EB" w:rsidP="00472CE8">
            <w:pPr>
              <w:tabs>
                <w:tab w:val="left" w:pos="1141"/>
              </w:tabs>
              <w:jc w:val="center"/>
              <w:rPr>
                <w:rFonts w:ascii="Arial" w:hAnsi="Arial" w:cs="Arial"/>
                <w:sz w:val="20"/>
                <w:szCs w:val="20"/>
                <w:lang w:val="id-ID"/>
              </w:rPr>
            </w:pPr>
            <w:r w:rsidRPr="005E1216">
              <w:rPr>
                <w:rFonts w:ascii="Arial" w:hAnsi="Arial" w:cs="Arial"/>
                <w:sz w:val="20"/>
                <w:szCs w:val="20"/>
                <w:lang w:val="id-ID"/>
              </w:rPr>
              <w:t>Indicator</w:t>
            </w:r>
          </w:p>
          <w:p w14:paraId="65C859C4" w14:textId="77777777" w:rsidR="000D41EB" w:rsidRPr="005E1216" w:rsidRDefault="000D41EB" w:rsidP="00472CE8">
            <w:pPr>
              <w:tabs>
                <w:tab w:val="left" w:pos="1141"/>
              </w:tabs>
              <w:jc w:val="center"/>
              <w:rPr>
                <w:rFonts w:ascii="Arial" w:hAnsi="Arial" w:cs="Arial"/>
                <w:sz w:val="20"/>
                <w:szCs w:val="20"/>
                <w:lang w:val="id-ID"/>
              </w:rPr>
            </w:pPr>
          </w:p>
        </w:tc>
        <w:tc>
          <w:tcPr>
            <w:tcW w:w="1801" w:type="dxa"/>
          </w:tcPr>
          <w:p w14:paraId="5F361050" w14:textId="77A86407" w:rsidR="000D41EB" w:rsidRPr="00D979BE" w:rsidRDefault="000D41EB" w:rsidP="00472CE8">
            <w:pPr>
              <w:tabs>
                <w:tab w:val="left" w:pos="1141"/>
              </w:tabs>
              <w:jc w:val="center"/>
              <w:rPr>
                <w:rFonts w:ascii="Arial" w:hAnsi="Arial" w:cs="Arial"/>
                <w:sz w:val="20"/>
                <w:szCs w:val="20"/>
                <w:highlight w:val="yellow"/>
                <w:lang w:val="id-ID"/>
              </w:rPr>
            </w:pPr>
            <w:r w:rsidRPr="00D979BE">
              <w:rPr>
                <w:rFonts w:ascii="Arial" w:hAnsi="Arial" w:cs="Arial"/>
                <w:sz w:val="20"/>
                <w:szCs w:val="20"/>
                <w:highlight w:val="yellow"/>
                <w:lang w:val="id-ID"/>
              </w:rPr>
              <w:t>Indicator References</w:t>
            </w:r>
          </w:p>
        </w:tc>
      </w:tr>
      <w:tr w:rsidR="000D41EB" w:rsidRPr="005E1216" w14:paraId="0DEBA55A" w14:textId="381CB6B6" w:rsidTr="000D41EB">
        <w:tc>
          <w:tcPr>
            <w:tcW w:w="552" w:type="dxa"/>
          </w:tcPr>
          <w:p w14:paraId="7A062058"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lastRenderedPageBreak/>
              <w:t>1.</w:t>
            </w:r>
          </w:p>
        </w:tc>
        <w:tc>
          <w:tcPr>
            <w:tcW w:w="1657" w:type="dxa"/>
          </w:tcPr>
          <w:p w14:paraId="5813CD3F"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Behavior (Y)</w:t>
            </w:r>
          </w:p>
        </w:tc>
        <w:tc>
          <w:tcPr>
            <w:tcW w:w="2732" w:type="dxa"/>
          </w:tcPr>
          <w:p w14:paraId="0AB5DEB4" w14:textId="77777777"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behavior is defined operationally, referring to the actual actions taken by a person by making a series of decisions regarding all aspects of their finances.</w:t>
            </w:r>
          </w:p>
        </w:tc>
        <w:tc>
          <w:tcPr>
            <w:tcW w:w="2618" w:type="dxa"/>
          </w:tcPr>
          <w:p w14:paraId="7E2D59A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Saving habits</w:t>
            </w:r>
          </w:p>
          <w:p w14:paraId="2CD6748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Be careful in debt</w:t>
            </w:r>
          </w:p>
          <w:p w14:paraId="3A42274E"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Financial goals (short, medium, long term)</w:t>
            </w:r>
          </w:p>
          <w:p w14:paraId="16EAAC43" w14:textId="77777777" w:rsidR="000D41EB" w:rsidRPr="005E1216" w:rsidRDefault="000D41E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Recording income and expenses</w:t>
            </w:r>
          </w:p>
          <w:p w14:paraId="66B6CD37" w14:textId="089B2F5B" w:rsidR="000D41EB" w:rsidRPr="000D41EB" w:rsidRDefault="000D41EB" w:rsidP="00472CE8">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Insurance</w:t>
            </w:r>
          </w:p>
        </w:tc>
        <w:tc>
          <w:tcPr>
            <w:tcW w:w="1801" w:type="dxa"/>
          </w:tcPr>
          <w:p w14:paraId="409A424D" w14:textId="39FA7C4C"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{"citationItems":[{"id":"ITEM-1","itemData":{"DOI":"10.26418/jebik.v12i1.60356","ISSN":"2087-9954","abstract":"MSMEs play a significant role in the digital economy, highlighting the need for the government to focus on their development beyond financing, and to improve their digital literacy. This study investigates the impact of Digital Financial Literacy on the Financial Performance of MSMEs in Pancer Puger Beach, Jember, with a specific focus on the role of Financial Behavior in promoting this relationship. The study uses mixed method with an exploratory sequential design, combining qualitative data gathered from focus group discussions, in-depth interviews, and observations, with quantitative data collected through questionnaires from 120 MSMEs respondents obtained via snowball sampling which analyzed using the Partial Least Square. The result shows that (1) Digital Financial Literacy affects Financial Performance, (2) Digital Financial Literacy affects Financial Behavior, and (3) Financial Behavior affects Financial Performance of MSMEs while Financial Behavior serves as a mediator between Financial Literacy and Financial Performance. The findings suggest that tourism MSMEs can adapt and thrive in line with Indonesia's digital financialization.JEL: G41, L26, L83.","author":[{"dropping-particle":"","family":"Awwaliyah","given":"Intan Nurul","non-dropping-particle":"","parse-names":false,"suffix":""},{"dropping-particle":"","family":"Sumani","given":"Sumani","non-dropping-particle":"","parse-names":false,"suffix":""},{"dropping-particle":"","family":"Singgih","given":"Marmono","non-dropping-particle":"","parse-names":false,"suffix":""},{"dropping-particle":"","family":"Widodo","given":"Roni","non-dropping-particle":"","parse-names":false,"suffix":""}],"container-title":"Jurnal Ekonomi Bisnis dan Kewirausahaan","id":"ITEM-1","issue":"1","issued":{"date-parts":[["2023"]]},"page":"128-147","title":"How Does Digital Financial Literacy Relate To Financial Performance of Msmes Tourism Firm? the Mediating Role of Financial Behavior","type":"article-journal","volume":"12"},"uris":["http://www.mendeley.com/documents/?uuid=b197d3d9-a798-4a3d-b1f6-73a6216f0d0d"]}],"mendeley":{"formattedCitation":"(Awwaliyah et al. 2023)","plainTextFormattedCitation":"(Awwaliyah et al. 2023)","previouslyFormattedCitation":"(Awwaliyah et al. 2023)"},"properties":{"noteIndex":0},"schema":"https://github.com/citation-style-language/schema/raw/master/csl-citation.json"}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(Awwaliyah et al. 2023)</w:t>
            </w:r>
            <w:r w:rsidRPr="00D979BE">
              <w:rPr>
                <w:rFonts w:ascii="Arial" w:hAnsi="Arial" w:cs="Arial"/>
                <w:sz w:val="20"/>
                <w:szCs w:val="20"/>
                <w:highlight w:val="yellow"/>
                <w:lang w:val="id-ID"/>
              </w:rPr>
              <w:fldChar w:fldCharType="end"/>
            </w:r>
          </w:p>
        </w:tc>
      </w:tr>
      <w:tr w:rsidR="000D41EB" w:rsidRPr="005E1216" w14:paraId="3FAA9ADB" w14:textId="78EE6A2C" w:rsidTr="000D41EB">
        <w:tc>
          <w:tcPr>
            <w:tcW w:w="552" w:type="dxa"/>
          </w:tcPr>
          <w:p w14:paraId="24333687"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2.</w:t>
            </w:r>
          </w:p>
        </w:tc>
        <w:tc>
          <w:tcPr>
            <w:tcW w:w="1657" w:type="dxa"/>
          </w:tcPr>
          <w:p w14:paraId="5BBFA1CC"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Literacy (X1)</w:t>
            </w:r>
          </w:p>
        </w:tc>
        <w:tc>
          <w:tcPr>
            <w:tcW w:w="2732" w:type="dxa"/>
          </w:tcPr>
          <w:p w14:paraId="61AEF742" w14:textId="1BD2EB9C"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literacy </w:t>
            </w:r>
            <w:r>
              <w:rPr>
                <w:rFonts w:ascii="Arial" w:hAnsi="Arial" w:cs="Arial"/>
                <w:sz w:val="20"/>
                <w:szCs w:val="20"/>
                <w:lang w:val="id-ID"/>
              </w:rPr>
              <w:t>refers to the expertise and selfassurance required for individuals to grasp core financial concepts, enabling them to effectively plan, oversee, and make informed choices about their money.</w:t>
            </w:r>
          </w:p>
        </w:tc>
        <w:tc>
          <w:tcPr>
            <w:tcW w:w="2618" w:type="dxa"/>
          </w:tcPr>
          <w:p w14:paraId="10508B40"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Capabilities regarding financial fundamentals</w:t>
            </w:r>
          </w:p>
          <w:p w14:paraId="7CFADBC8"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Knowledge related to managing income and expenses</w:t>
            </w:r>
          </w:p>
          <w:p w14:paraId="3ECE7713"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Savings</w:t>
            </w:r>
          </w:p>
          <w:p w14:paraId="11BAF1A4" w14:textId="77777777" w:rsidR="000D41EB" w:rsidRPr="005E1216" w:rsidRDefault="000D41E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Investment</w:t>
            </w:r>
          </w:p>
          <w:p w14:paraId="402DFF5E" w14:textId="086FBD75" w:rsidR="000D41EB" w:rsidRPr="000D41EB" w:rsidRDefault="000D41EB" w:rsidP="00472CE8">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Insurance</w:t>
            </w:r>
          </w:p>
        </w:tc>
        <w:tc>
          <w:tcPr>
            <w:tcW w:w="1801" w:type="dxa"/>
          </w:tcPr>
          <w:p w14:paraId="6D6C10E5" w14:textId="31A1C6AA"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{"citationItems":[{"id":"ITEM-1","itemData":{"DOI":"10.53682/jaim.vi.8756","abstract":"Penelitian ini bertujuan untuk menguji pengaruh literasi keuangan, sumber daya manusia, dan teknologi keuangan terhadap kinerja usaha mikro, kecil, dan menengah di Kota Mataram. Penelitian ini menggunakan jenis penelitian asosiatif dengan pendekatan kuantitatif. Menggunakan metode simple random sampling, dari populasi sebanyak 2.972 UMKM diantaranya 140 UMKM di Kota Mataram terpilih sebagai sampel penelitian. Teknik pengumpulan data menggunakan lembar observasi langsung dan online melalui google form. Analisis data penelitian dilakukan dengan menggunakan SmartPLS 3.0. Hasil penelitian menunjukkan bahwa literasi keuangan, sumber daya manusia, dan teknologi keuangan memiliki pengaruh positif dan signifikan terhadap kinerja usaha mikro, kecil, dan menengah di Kota Mataram. Hasil dari penelitian ini dapat menjadi gambaran bagi para pelaku usaha dalam upaya meningkatkan kinerja usahanya. Implikasi dari temuan ini bahwa pemahaman yang baik para pelaku usaha mengenai literasi keuangan, sumber daya manusia dan teknologi keuangan dapat membantu para pelaku usaha untuk tepat dalam mengambil keputusan dalam meningkatkan kinerja usahanya.","author":[{"dropping-particle":"","family":"Azis","given":"Muhammad Aulia Hibatullah","non-dropping-particle":"","parse-names":false,"suffix":""},{"dropping-particle":"","family":"Effendy","given":"Lukman","non-dropping-particle":"","parse-names":false,"suffix":""}],"container-title":"Jurnal Akuntansi Manado (JAIM)","id":"ITEM-1","issue":"1","issued":{"date-parts":[["2024"]]},"page":"116-132","title":"Pengaruh Literasi Keuangan, Sumber Daya Manusia dan Teknologi Keuangan Terhadap Kinerja UMKM","type":"article-journal","volume":"5"},"uris":["http://www.mendeley.com/documents/?uuid=15fbaa07-0ea3-4c7b-bb7e-17c61fe285d8"]}],"mendeley":{"formattedCitation":"(Azis and Effendy 2024)","plainTextFormattedCitation":"(Azis and Effendy 2024)","previouslyFormattedCitation":"(Azis and Effendy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(Azis and Effendy 2024)</w:t>
            </w:r>
            <w:r w:rsidRPr="00D979BE">
              <w:rPr>
                <w:rFonts w:ascii="Arial" w:hAnsi="Arial" w:cs="Arial"/>
                <w:sz w:val="20"/>
                <w:szCs w:val="20"/>
                <w:highlight w:val="yellow"/>
                <w:lang w:val="id-ID"/>
              </w:rPr>
              <w:fldChar w:fldCharType="end"/>
            </w:r>
          </w:p>
        </w:tc>
      </w:tr>
      <w:tr w:rsidR="000D41EB" w:rsidRPr="005E1216" w14:paraId="52646BBB" w14:textId="65D10538" w:rsidTr="000D41EB">
        <w:tc>
          <w:tcPr>
            <w:tcW w:w="552" w:type="dxa"/>
          </w:tcPr>
          <w:p w14:paraId="0F039802"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3.</w:t>
            </w:r>
          </w:p>
        </w:tc>
        <w:tc>
          <w:tcPr>
            <w:tcW w:w="1657" w:type="dxa"/>
          </w:tcPr>
          <w:p w14:paraId="17EB2D0A"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Attitude (X2)</w:t>
            </w:r>
          </w:p>
        </w:tc>
        <w:tc>
          <w:tcPr>
            <w:tcW w:w="2732" w:type="dxa"/>
          </w:tcPr>
          <w:p w14:paraId="342BA7D5" w14:textId="77777777"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attitude is a person's perspective and mental tendencies that influence their approach to managing their finances and personal finances in daily activities which are greatly influenced by the individual's psychology and internal thinking.</w:t>
            </w:r>
          </w:p>
        </w:tc>
        <w:tc>
          <w:tcPr>
            <w:tcW w:w="2618" w:type="dxa"/>
          </w:tcPr>
          <w:p w14:paraId="09D26FFF"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Obsession</w:t>
            </w:r>
          </w:p>
          <w:p w14:paraId="691F4667"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Power</w:t>
            </w:r>
          </w:p>
          <w:p w14:paraId="6FDCC32B"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Business</w:t>
            </w:r>
          </w:p>
          <w:p w14:paraId="03383C17"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Insufficiency</w:t>
            </w:r>
          </w:p>
          <w:p w14:paraId="1F65EE63" w14:textId="77777777" w:rsidR="000D41EB" w:rsidRPr="005E1216" w:rsidRDefault="000D41E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Retention</w:t>
            </w:r>
          </w:p>
          <w:p w14:paraId="06ADBE26" w14:textId="519BEA29" w:rsidR="000D41EB" w:rsidRPr="000D41EB" w:rsidRDefault="000D41EB" w:rsidP="00472CE8">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Guarantee</w:t>
            </w:r>
          </w:p>
        </w:tc>
        <w:tc>
          <w:tcPr>
            <w:tcW w:w="1801" w:type="dxa"/>
          </w:tcPr>
          <w:p w14:paraId="1EC22211" w14:textId="5AA2CCF2" w:rsidR="000D41EB" w:rsidRPr="00D979BE" w:rsidRDefault="000D41EB" w:rsidP="000D41EB">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000B61B6" w:rsidRPr="00D979BE">
              <w:rPr>
                <w:rFonts w:ascii="Arial" w:hAnsi="Arial" w:cs="Arial"/>
                <w:sz w:val="20"/>
                <w:szCs w:val="20"/>
                <w:highlight w:val="yellow"/>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(Santoso et al. 2024)</w:t>
            </w:r>
            <w:r w:rsidRPr="00D979BE">
              <w:rPr>
                <w:rFonts w:ascii="Arial" w:hAnsi="Arial" w:cs="Arial"/>
                <w:sz w:val="20"/>
                <w:szCs w:val="20"/>
                <w:highlight w:val="yellow"/>
                <w:lang w:val="id-ID"/>
              </w:rPr>
              <w:fldChar w:fldCharType="end"/>
            </w:r>
          </w:p>
        </w:tc>
      </w:tr>
      <w:tr w:rsidR="000D41EB" w:rsidRPr="005E1216" w14:paraId="5852A266" w14:textId="18A1AF29" w:rsidTr="000D41EB">
        <w:tc>
          <w:tcPr>
            <w:tcW w:w="552" w:type="dxa"/>
          </w:tcPr>
          <w:p w14:paraId="7185BA0D"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4.</w:t>
            </w:r>
          </w:p>
        </w:tc>
        <w:tc>
          <w:tcPr>
            <w:tcW w:w="1657" w:type="dxa"/>
          </w:tcPr>
          <w:p w14:paraId="323F6BC0"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Lifestyle (X3)</w:t>
            </w:r>
          </w:p>
        </w:tc>
        <w:tc>
          <w:tcPr>
            <w:tcW w:w="2732" w:type="dxa"/>
          </w:tcPr>
          <w:p w14:paraId="4615754C" w14:textId="77777777" w:rsidR="000D41EB" w:rsidRPr="005E1216" w:rsidRDefault="000D41EB" w:rsidP="00472CE8">
            <w:pPr>
              <w:tabs>
                <w:tab w:val="left" w:pos="1141"/>
              </w:tabs>
              <w:jc w:val="both"/>
              <w:rPr>
                <w:rFonts w:ascii="Arial" w:hAnsi="Arial" w:cs="Arial"/>
                <w:sz w:val="20"/>
                <w:szCs w:val="20"/>
                <w:lang w:val="id-ID"/>
              </w:rPr>
            </w:pPr>
            <w:r>
              <w:rPr>
                <w:rFonts w:ascii="Arial" w:hAnsi="Arial" w:cs="Arial"/>
                <w:sz w:val="20"/>
                <w:szCs w:val="20"/>
                <w:lang w:val="id-ID"/>
              </w:rPr>
              <w:t>Lifestyle is defined as an individual’s pattern of living expressed trough activities, interests, and opinions. Form an economic perspective, this phenomenon is reflected in consumption behavior and the merchanisms by whitch financial resources and time are allocated, whitch</w:t>
            </w:r>
            <w:r w:rsidRPr="005E1216">
              <w:rPr>
                <w:rFonts w:ascii="Arial" w:hAnsi="Arial" w:cs="Arial"/>
                <w:sz w:val="20"/>
                <w:szCs w:val="20"/>
                <w:lang w:val="id-ID"/>
              </w:rPr>
              <w:t>.</w:t>
            </w:r>
            <w:r>
              <w:rPr>
                <w:rFonts w:ascii="Arial" w:hAnsi="Arial" w:cs="Arial"/>
                <w:sz w:val="20"/>
                <w:szCs w:val="20"/>
                <w:lang w:val="id-ID"/>
              </w:rPr>
              <w:t>are a reflection of the individual’s personal decisions.</w:t>
            </w:r>
          </w:p>
        </w:tc>
        <w:tc>
          <w:tcPr>
            <w:tcW w:w="2618" w:type="dxa"/>
          </w:tcPr>
          <w:p w14:paraId="4041C890" w14:textId="77777777" w:rsidR="000D41EB" w:rsidRPr="005E1216" w:rsidRDefault="000D41E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Human activities in terms of activities</w:t>
            </w:r>
          </w:p>
          <w:p w14:paraId="36B821FE" w14:textId="77777777" w:rsidR="000D41EB" w:rsidRPr="005E1216" w:rsidRDefault="000D41E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Opinion</w:t>
            </w:r>
          </w:p>
          <w:p w14:paraId="0E471739" w14:textId="159680A4" w:rsidR="000D41EB" w:rsidRPr="000B61B6" w:rsidRDefault="000D41EB" w:rsidP="00472CE8">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Interest</w:t>
            </w:r>
          </w:p>
        </w:tc>
        <w:tc>
          <w:tcPr>
            <w:tcW w:w="1801" w:type="dxa"/>
          </w:tcPr>
          <w:p w14:paraId="0DC9683A" w14:textId="19BB2AF6" w:rsidR="000D41EB" w:rsidRPr="00D979BE" w:rsidRDefault="000B61B6" w:rsidP="000B61B6">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2022)","plainTextFormattedCitation":"(Widyakto, Liyana, and Rinawati 2022)","previouslyFormattedCitation":"(Widyakto, Liyana, and Rinawati 2022)"},"properties":{"noteIndex":0},"schema":"https://github.com/citation-style-language/schema/raw/master/csl-citation.json"}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(Widyakto, Liyana, and Rinawati 2022)</w:t>
            </w:r>
            <w:r w:rsidRPr="00D979BE">
              <w:rPr>
                <w:rFonts w:ascii="Arial" w:hAnsi="Arial" w:cs="Arial"/>
                <w:sz w:val="20"/>
                <w:szCs w:val="20"/>
                <w:highlight w:val="yellow"/>
                <w:lang w:val="id-ID"/>
              </w:rPr>
              <w:fldChar w:fldCharType="end"/>
            </w:r>
          </w:p>
        </w:tc>
      </w:tr>
      <w:tr w:rsidR="000D41EB" w:rsidRPr="005E1216" w14:paraId="0347471B" w14:textId="02B0329F" w:rsidTr="000D41EB">
        <w:tc>
          <w:tcPr>
            <w:tcW w:w="552" w:type="dxa"/>
          </w:tcPr>
          <w:p w14:paraId="752D01D6"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5.</w:t>
            </w:r>
          </w:p>
        </w:tc>
        <w:tc>
          <w:tcPr>
            <w:tcW w:w="1657" w:type="dxa"/>
          </w:tcPr>
          <w:p w14:paraId="5AAC6654" w14:textId="77777777" w:rsidR="000D41EB" w:rsidRPr="005E1216" w:rsidRDefault="000D41EB" w:rsidP="00472CE8">
            <w:pPr>
              <w:tabs>
                <w:tab w:val="left" w:pos="1141"/>
              </w:tabs>
              <w:rPr>
                <w:rFonts w:ascii="Arial" w:hAnsi="Arial" w:cs="Arial"/>
                <w:sz w:val="20"/>
                <w:szCs w:val="20"/>
                <w:lang w:val="id-ID"/>
              </w:rPr>
            </w:pPr>
            <w:r w:rsidRPr="005E1216">
              <w:rPr>
                <w:rFonts w:ascii="Arial" w:hAnsi="Arial" w:cs="Arial"/>
                <w:sz w:val="20"/>
                <w:szCs w:val="20"/>
                <w:lang w:val="id-ID"/>
              </w:rPr>
              <w:t>Financial Inclusion (X4)</w:t>
            </w:r>
          </w:p>
        </w:tc>
        <w:tc>
          <w:tcPr>
            <w:tcW w:w="2732" w:type="dxa"/>
          </w:tcPr>
          <w:p w14:paraId="22DE7A76" w14:textId="2C78DA7C" w:rsidR="000D41EB" w:rsidRPr="005E1216" w:rsidRDefault="000D41E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inclusion is </w:t>
            </w:r>
            <w:r>
              <w:rPr>
                <w:rFonts w:ascii="Arial" w:hAnsi="Arial" w:cs="Arial"/>
                <w:sz w:val="20"/>
                <w:szCs w:val="20"/>
                <w:lang w:val="id-ID"/>
              </w:rPr>
              <w:t>said to be access to a range of official financial institutions, goods, and services created to satisfy personal needs and capabilities. This access aims to enhance community well-being.</w:t>
            </w:r>
          </w:p>
        </w:tc>
        <w:tc>
          <w:tcPr>
            <w:tcW w:w="2618" w:type="dxa"/>
          </w:tcPr>
          <w:p w14:paraId="4C0CC174"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Access</w:t>
            </w:r>
          </w:p>
          <w:p w14:paraId="20666F03"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Quality</w:t>
            </w:r>
          </w:p>
          <w:p w14:paraId="14BD80D6" w14:textId="77777777" w:rsidR="000D41EB" w:rsidRPr="005E1216" w:rsidRDefault="000D41E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Use</w:t>
            </w:r>
          </w:p>
          <w:p w14:paraId="52362C1D" w14:textId="0163A1D8" w:rsidR="000D41EB" w:rsidRPr="000B61B6" w:rsidRDefault="000D41EB" w:rsidP="00472CE8">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Welfare</w:t>
            </w:r>
          </w:p>
        </w:tc>
        <w:tc>
          <w:tcPr>
            <w:tcW w:w="1801" w:type="dxa"/>
          </w:tcPr>
          <w:p w14:paraId="3C929E0E" w14:textId="36ED28B5" w:rsidR="000D41EB" w:rsidRPr="00D979BE" w:rsidRDefault="000B61B6" w:rsidP="000B61B6">
            <w:pPr>
              <w:tabs>
                <w:tab w:val="left" w:pos="1141"/>
              </w:tabs>
              <w:rPr>
                <w:rFonts w:ascii="Arial" w:hAnsi="Arial" w:cs="Arial"/>
                <w:sz w:val="20"/>
                <w:szCs w:val="20"/>
                <w:highlight w:val="yellow"/>
                <w:lang w:val="id-ID"/>
              </w:rPr>
            </w:pPr>
            <w:r w:rsidRPr="00D979BE">
              <w:rPr>
                <w:rFonts w:ascii="Arial" w:hAnsi="Arial" w:cs="Arial"/>
                <w:sz w:val="20"/>
                <w:szCs w:val="20"/>
                <w:highlight w:val="yellow"/>
                <w:lang w:val="id-ID"/>
              </w:rPr>
              <w:fldChar w:fldCharType="begin" w:fldLock="1"/>
            </w:r>
            <w:r w:rsidRPr="00D979BE">
              <w:rPr>
                <w:rFonts w:ascii="Arial" w:hAnsi="Arial" w:cs="Arial"/>
                <w:sz w:val="20"/>
                <w:szCs w:val="20"/>
                <w:highlight w:val="yellow"/>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2024)"},"properties":{"noteIndex":0},"schema":"https://github.com/citation-style-language/schema/raw/master/csl-citation.json"}</w:instrText>
            </w:r>
            <w:r w:rsidRPr="00D979BE">
              <w:rPr>
                <w:rFonts w:ascii="Arial" w:hAnsi="Arial" w:cs="Arial"/>
                <w:sz w:val="20"/>
                <w:szCs w:val="20"/>
                <w:highlight w:val="yellow"/>
                <w:lang w:val="id-ID"/>
              </w:rPr>
              <w:fldChar w:fldCharType="separate"/>
            </w:r>
            <w:r w:rsidRPr="00D979BE">
              <w:rPr>
                <w:rFonts w:ascii="Arial" w:hAnsi="Arial" w:cs="Arial"/>
                <w:noProof/>
                <w:sz w:val="20"/>
                <w:szCs w:val="20"/>
                <w:highlight w:val="yellow"/>
                <w:lang w:val="id-ID"/>
              </w:rPr>
              <w:t>(Rani and Desiyanti 2024)</w:t>
            </w:r>
            <w:r w:rsidRPr="00D979BE">
              <w:rPr>
                <w:rFonts w:ascii="Arial" w:hAnsi="Arial" w:cs="Arial"/>
                <w:sz w:val="20"/>
                <w:szCs w:val="20"/>
                <w:highlight w:val="yellow"/>
                <w:lang w:val="id-ID"/>
              </w:rPr>
              <w:fldChar w:fldCharType="end"/>
            </w:r>
          </w:p>
        </w:tc>
      </w:tr>
    </w:tbl>
    <w:p w14:paraId="571A8231" w14:textId="77777777" w:rsidR="00C3157E" w:rsidRDefault="00C3157E" w:rsidP="00191D3B">
      <w:pPr>
        <w:spacing w:after="0"/>
        <w:jc w:val="center"/>
        <w:rPr>
          <w:rFonts w:ascii="Arial" w:hAnsi="Arial"/>
          <w:b/>
          <w:bCs/>
          <w:sz w:val="20"/>
          <w:szCs w:val="20"/>
          <w:lang w:val="id-ID"/>
        </w:rPr>
      </w:pPr>
    </w:p>
    <w:p w14:paraId="69469B3A" w14:textId="77777777" w:rsidR="00191D3B" w:rsidRPr="00C3157E" w:rsidRDefault="00191D3B" w:rsidP="00910524">
      <w:pPr>
        <w:spacing w:after="0"/>
        <w:rPr>
          <w:rFonts w:ascii="Arial" w:hAnsi="Arial"/>
          <w:b/>
          <w:bCs/>
          <w:sz w:val="20"/>
          <w:szCs w:val="20"/>
          <w:lang w:val="id-ID"/>
        </w:rPr>
      </w:pPr>
    </w:p>
    <w:p w14:paraId="13899BE7" w14:textId="5C656961" w:rsidR="00383A66" w:rsidRDefault="00383A66" w:rsidP="00910524">
      <w:pPr>
        <w:spacing w:after="0"/>
        <w:rPr>
          <w:rFonts w:ascii="Arial" w:hAnsi="Arial"/>
          <w:b/>
          <w:bCs/>
          <w:sz w:val="22"/>
          <w:szCs w:val="22"/>
          <w:lang w:val="id-ID"/>
        </w:rPr>
      </w:pPr>
      <w:r>
        <w:rPr>
          <w:rFonts w:ascii="Arial" w:hAnsi="Arial"/>
          <w:b/>
          <w:bCs/>
          <w:sz w:val="22"/>
          <w:szCs w:val="22"/>
          <w:lang w:val="id-ID"/>
        </w:rPr>
        <w:t>4. RESULT AND DISCUSSION</w:t>
      </w:r>
    </w:p>
    <w:p w14:paraId="03B41215" w14:textId="77777777" w:rsidR="00F53ED5" w:rsidRDefault="00F53ED5" w:rsidP="00910524">
      <w:pPr>
        <w:spacing w:after="0"/>
        <w:rPr>
          <w:rFonts w:ascii="Arial" w:hAnsi="Arial"/>
          <w:b/>
          <w:bCs/>
          <w:sz w:val="22"/>
          <w:szCs w:val="22"/>
          <w:lang w:val="id-ID"/>
        </w:rPr>
      </w:pPr>
    </w:p>
    <w:p w14:paraId="54CC3AB4" w14:textId="76C2570E" w:rsidR="00910524" w:rsidRDefault="00910524" w:rsidP="00910524">
      <w:pPr>
        <w:spacing w:after="0"/>
        <w:rPr>
          <w:rFonts w:ascii="Arial" w:hAnsi="Arial"/>
          <w:b/>
          <w:bCs/>
          <w:sz w:val="22"/>
          <w:szCs w:val="22"/>
          <w:lang w:val="id-ID"/>
        </w:rPr>
      </w:pPr>
      <w:r>
        <w:rPr>
          <w:rFonts w:ascii="Arial" w:hAnsi="Arial"/>
          <w:b/>
          <w:bCs/>
          <w:sz w:val="22"/>
          <w:szCs w:val="22"/>
          <w:lang w:val="id-ID"/>
        </w:rPr>
        <w:t>4.1 Result</w:t>
      </w:r>
    </w:p>
    <w:p w14:paraId="46778F01" w14:textId="77777777" w:rsidR="00A47586" w:rsidRDefault="00A47586" w:rsidP="00910524">
      <w:pPr>
        <w:spacing w:after="0"/>
        <w:rPr>
          <w:rFonts w:ascii="Arial" w:hAnsi="Arial"/>
          <w:b/>
          <w:bCs/>
          <w:sz w:val="22"/>
          <w:szCs w:val="22"/>
          <w:lang w:val="id-ID"/>
        </w:rPr>
      </w:pPr>
    </w:p>
    <w:p w14:paraId="7D7580E8" w14:textId="78AED687" w:rsidR="00910524" w:rsidRDefault="00910524" w:rsidP="00910524">
      <w:pPr>
        <w:spacing w:after="0"/>
        <w:rPr>
          <w:rFonts w:ascii="Arial" w:hAnsi="Arial"/>
          <w:sz w:val="22"/>
          <w:szCs w:val="22"/>
          <w:lang w:val="id-ID"/>
        </w:rPr>
      </w:pPr>
      <w:r w:rsidRPr="00D979BE">
        <w:rPr>
          <w:rFonts w:ascii="Arial" w:hAnsi="Arial"/>
          <w:sz w:val="22"/>
          <w:szCs w:val="22"/>
          <w:highlight w:val="yellow"/>
          <w:lang w:val="id-ID"/>
        </w:rPr>
        <w:lastRenderedPageBreak/>
        <w:t>4.1.1 Respon</w:t>
      </w:r>
      <w:r w:rsidR="00D979BE" w:rsidRPr="00D979BE">
        <w:rPr>
          <w:rFonts w:ascii="Arial" w:hAnsi="Arial"/>
          <w:sz w:val="22"/>
          <w:szCs w:val="22"/>
          <w:highlight w:val="yellow"/>
          <w:lang w:val="id-ID"/>
        </w:rPr>
        <w:t>se</w:t>
      </w:r>
      <w:r w:rsidRPr="00D979BE">
        <w:rPr>
          <w:rFonts w:ascii="Arial" w:hAnsi="Arial"/>
          <w:sz w:val="22"/>
          <w:szCs w:val="22"/>
          <w:highlight w:val="yellow"/>
          <w:lang w:val="id-ID"/>
        </w:rPr>
        <w:t xml:space="preserve"> Rate</w:t>
      </w:r>
    </w:p>
    <w:p w14:paraId="2531AFB9" w14:textId="77777777" w:rsidR="00A47586" w:rsidRDefault="00A47586" w:rsidP="00910524">
      <w:pPr>
        <w:spacing w:after="0"/>
        <w:rPr>
          <w:rFonts w:ascii="Arial" w:hAnsi="Arial"/>
          <w:sz w:val="22"/>
          <w:szCs w:val="22"/>
          <w:lang w:val="id-ID"/>
        </w:rPr>
      </w:pPr>
    </w:p>
    <w:p w14:paraId="07397AC3" w14:textId="598730A5" w:rsidR="00A47586" w:rsidRPr="001F0857" w:rsidRDefault="00A47586" w:rsidP="00A47586">
      <w:pPr>
        <w:tabs>
          <w:tab w:val="left" w:pos="1141"/>
        </w:tabs>
        <w:spacing w:after="0"/>
        <w:jc w:val="both"/>
        <w:rPr>
          <w:rFonts w:ascii="Arial" w:hAnsi="Arial" w:cs="Arial"/>
          <w:sz w:val="22"/>
          <w:lang w:val="id-ID"/>
        </w:rPr>
      </w:pPr>
      <w:bookmarkStart w:id="1" w:name="_Hlk217232547"/>
      <w:r w:rsidRPr="005E1216">
        <w:rPr>
          <w:rFonts w:ascii="Arial" w:hAnsi="Arial" w:cs="Arial"/>
          <w:sz w:val="20"/>
          <w:szCs w:val="20"/>
          <w:lang w:val="id-ID"/>
        </w:rPr>
        <w:t xml:space="preserve">Based on the collected data, 169 respondents completed the questionnaire. This indicates a very good level of respondent participation. However, 11 respondents, or 6.5%, failed the screening process because they did not meet the specified respondent criteria, namely "Respondents must have a business duration of ≥ 1 year." As a result, only 158 respondents, or 93.5%, were considered valid and could be used for data analysis. This </w:t>
      </w:r>
      <w:bookmarkEnd w:id="1"/>
      <w:r w:rsidR="00C246E2">
        <w:rPr>
          <w:rFonts w:ascii="Arial" w:hAnsi="Arial" w:cs="Arial"/>
          <w:sz w:val="20"/>
          <w:szCs w:val="20"/>
          <w:lang w:val="id-ID"/>
        </w:rPr>
        <w:t>figure was deemed representative enough to move ahead to the following phase of the study analysis.</w:t>
      </w:r>
    </w:p>
    <w:p w14:paraId="6C92288E" w14:textId="77777777" w:rsidR="00A47586" w:rsidRPr="00A47586" w:rsidRDefault="00A47586" w:rsidP="00910524">
      <w:pPr>
        <w:spacing w:after="0"/>
        <w:rPr>
          <w:rFonts w:ascii="Arial" w:hAnsi="Arial"/>
          <w:sz w:val="22"/>
          <w:szCs w:val="22"/>
          <w:lang w:val="id-ID"/>
        </w:rPr>
      </w:pPr>
    </w:p>
    <w:p w14:paraId="6B8E866D" w14:textId="3BE961EE" w:rsidR="00910524" w:rsidRDefault="00910524" w:rsidP="00910524">
      <w:pPr>
        <w:spacing w:after="0"/>
        <w:rPr>
          <w:rFonts w:ascii="Arial" w:hAnsi="Arial"/>
          <w:sz w:val="22"/>
          <w:szCs w:val="22"/>
          <w:lang w:val="id-ID"/>
        </w:rPr>
      </w:pPr>
      <w:r>
        <w:rPr>
          <w:rFonts w:ascii="Arial" w:hAnsi="Arial"/>
          <w:sz w:val="22"/>
          <w:szCs w:val="22"/>
          <w:lang w:val="id-ID"/>
        </w:rPr>
        <w:t>4.1.2 Respondent Characteristics</w:t>
      </w:r>
    </w:p>
    <w:p w14:paraId="675B29AF" w14:textId="77777777" w:rsidR="00A47586" w:rsidRDefault="00A47586" w:rsidP="00910524">
      <w:pPr>
        <w:spacing w:after="0"/>
        <w:rPr>
          <w:rFonts w:ascii="Arial" w:hAnsi="Arial"/>
          <w:sz w:val="22"/>
          <w:szCs w:val="22"/>
          <w:lang w:val="id-ID"/>
        </w:rPr>
      </w:pPr>
    </w:p>
    <w:p w14:paraId="769597C2" w14:textId="36273B95" w:rsidR="00A47586" w:rsidRDefault="00CE6C52" w:rsidP="008B0090">
      <w:pPr>
        <w:spacing w:after="0"/>
        <w:jc w:val="both"/>
        <w:rPr>
          <w:rFonts w:ascii="Arial" w:hAnsi="Arial" w:cs="Arial"/>
          <w:sz w:val="20"/>
          <w:szCs w:val="20"/>
          <w:lang w:val="id-ID"/>
        </w:rPr>
      </w:pPr>
      <w:r>
        <w:rPr>
          <w:rFonts w:ascii="Arial" w:hAnsi="Arial" w:cs="Arial"/>
          <w:sz w:val="20"/>
          <w:szCs w:val="20"/>
          <w:lang w:val="id-ID"/>
        </w:rPr>
        <w:t>The established criteria were met by 158 participants in this study.</w:t>
      </w:r>
      <w:r w:rsidR="00A47586" w:rsidRPr="00E1000D">
        <w:rPr>
          <w:rFonts w:ascii="Arial" w:hAnsi="Arial" w:cs="Arial"/>
          <w:sz w:val="20"/>
          <w:szCs w:val="20"/>
          <w:lang w:val="id-ID"/>
        </w:rPr>
        <w:t xml:space="preserve">. Table 2 below presents the demographic data of respondents during the study period. In terms of gender, respondents is this study were predominantly female, age 21-30 years, and predominantly held a bachelor’s/diploma degree. The majority of respondents were engeged in trade, </w:t>
      </w:r>
      <w:r w:rsidR="00A47586">
        <w:rPr>
          <w:rFonts w:ascii="Arial" w:hAnsi="Arial" w:cs="Arial"/>
          <w:sz w:val="20"/>
          <w:szCs w:val="20"/>
          <w:lang w:val="id-ID"/>
        </w:rPr>
        <w:t xml:space="preserve">with thw majority having fewer than five employees </w:t>
      </w:r>
      <w:r w:rsidR="00A47586" w:rsidRPr="00E1000D">
        <w:rPr>
          <w:rFonts w:ascii="Arial" w:hAnsi="Arial" w:cs="Arial"/>
          <w:sz w:val="20"/>
          <w:szCs w:val="20"/>
          <w:lang w:val="id-ID"/>
        </w:rPr>
        <w:t>, and with a maximum business duration of 1-5 years</w:t>
      </w:r>
      <w:r w:rsidR="008B0090">
        <w:rPr>
          <w:rFonts w:ascii="Arial" w:hAnsi="Arial" w:cs="Arial"/>
          <w:sz w:val="20"/>
          <w:szCs w:val="20"/>
          <w:lang w:val="id-ID"/>
        </w:rPr>
        <w:t>.</w:t>
      </w:r>
    </w:p>
    <w:p w14:paraId="7D2BD536" w14:textId="77777777" w:rsidR="00CA5198" w:rsidRDefault="00CA5198" w:rsidP="00CA5198">
      <w:pPr>
        <w:spacing w:after="0"/>
        <w:jc w:val="center"/>
        <w:rPr>
          <w:rFonts w:ascii="Arial" w:hAnsi="Arial" w:cs="Arial"/>
          <w:sz w:val="20"/>
          <w:szCs w:val="20"/>
          <w:lang w:val="id-ID"/>
        </w:rPr>
      </w:pPr>
    </w:p>
    <w:p w14:paraId="49430EA2" w14:textId="77777777" w:rsidR="009F61B6" w:rsidRDefault="009F61B6" w:rsidP="009F61B6">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2. Respondent Characteristics</w:t>
      </w:r>
    </w:p>
    <w:p w14:paraId="02C47E31" w14:textId="77777777" w:rsidR="009F61B6" w:rsidRDefault="009F61B6" w:rsidP="009F61B6">
      <w:pPr>
        <w:tabs>
          <w:tab w:val="left" w:pos="1141"/>
        </w:tabs>
        <w:spacing w:after="0"/>
        <w:ind w:left="36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2268"/>
        <w:gridCol w:w="1518"/>
        <w:gridCol w:w="2010"/>
      </w:tblGrid>
      <w:tr w:rsidR="00F1702A" w:rsidRPr="00F1702A" w14:paraId="10738ACF" w14:textId="77777777" w:rsidTr="00BF3238">
        <w:trPr>
          <w:jc w:val="center"/>
        </w:trPr>
        <w:tc>
          <w:tcPr>
            <w:tcW w:w="2268" w:type="dxa"/>
          </w:tcPr>
          <w:p w14:paraId="5123C174" w14:textId="78666765"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Characteristics</w:t>
            </w:r>
          </w:p>
        </w:tc>
        <w:tc>
          <w:tcPr>
            <w:tcW w:w="2268" w:type="dxa"/>
          </w:tcPr>
          <w:p w14:paraId="63C150F6" w14:textId="19BDA05B"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Criteria</w:t>
            </w:r>
          </w:p>
        </w:tc>
        <w:tc>
          <w:tcPr>
            <w:tcW w:w="1518" w:type="dxa"/>
          </w:tcPr>
          <w:p w14:paraId="0A4BD4B2" w14:textId="748FB3E0"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Amount</w:t>
            </w:r>
          </w:p>
        </w:tc>
        <w:tc>
          <w:tcPr>
            <w:tcW w:w="2010" w:type="dxa"/>
          </w:tcPr>
          <w:p w14:paraId="1A2B76A6" w14:textId="0A60BC0A"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Percentage (%)</w:t>
            </w:r>
          </w:p>
        </w:tc>
      </w:tr>
      <w:tr w:rsidR="00F1702A" w:rsidRPr="00F1702A" w14:paraId="732675E9" w14:textId="77777777" w:rsidTr="00BF3238">
        <w:trPr>
          <w:jc w:val="center"/>
        </w:trPr>
        <w:tc>
          <w:tcPr>
            <w:tcW w:w="2268" w:type="dxa"/>
            <w:tcBorders>
              <w:bottom w:val="nil"/>
            </w:tcBorders>
          </w:tcPr>
          <w:p w14:paraId="3BA0EC22" w14:textId="23DE5B0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Gender</w:t>
            </w:r>
          </w:p>
        </w:tc>
        <w:tc>
          <w:tcPr>
            <w:tcW w:w="2268" w:type="dxa"/>
            <w:tcBorders>
              <w:bottom w:val="nil"/>
            </w:tcBorders>
          </w:tcPr>
          <w:p w14:paraId="278FB263" w14:textId="091573D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w:t>
            </w:r>
          </w:p>
        </w:tc>
        <w:tc>
          <w:tcPr>
            <w:tcW w:w="1518" w:type="dxa"/>
            <w:tcBorders>
              <w:bottom w:val="nil"/>
            </w:tcBorders>
          </w:tcPr>
          <w:p w14:paraId="4EBB583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66</w:t>
            </w:r>
          </w:p>
        </w:tc>
        <w:tc>
          <w:tcPr>
            <w:tcW w:w="2010" w:type="dxa"/>
            <w:tcBorders>
              <w:bottom w:val="nil"/>
            </w:tcBorders>
          </w:tcPr>
          <w:p w14:paraId="0434A83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41,7%</w:t>
            </w:r>
          </w:p>
        </w:tc>
      </w:tr>
      <w:tr w:rsidR="00F1702A" w:rsidRPr="00F1702A" w14:paraId="60083E1F" w14:textId="77777777" w:rsidTr="00BF3238">
        <w:trPr>
          <w:jc w:val="center"/>
        </w:trPr>
        <w:tc>
          <w:tcPr>
            <w:tcW w:w="2268" w:type="dxa"/>
            <w:tcBorders>
              <w:top w:val="nil"/>
              <w:bottom w:val="nil"/>
            </w:tcBorders>
          </w:tcPr>
          <w:p w14:paraId="258658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DF8D734" w14:textId="11A3A83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Woman</w:t>
            </w:r>
          </w:p>
        </w:tc>
        <w:tc>
          <w:tcPr>
            <w:tcW w:w="1518" w:type="dxa"/>
            <w:tcBorders>
              <w:top w:val="nil"/>
              <w:bottom w:val="nil"/>
            </w:tcBorders>
          </w:tcPr>
          <w:p w14:paraId="3E64C3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92</w:t>
            </w:r>
          </w:p>
        </w:tc>
        <w:tc>
          <w:tcPr>
            <w:tcW w:w="2010" w:type="dxa"/>
            <w:tcBorders>
              <w:top w:val="nil"/>
              <w:bottom w:val="nil"/>
            </w:tcBorders>
          </w:tcPr>
          <w:p w14:paraId="3AAED403"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58,3%</w:t>
            </w:r>
          </w:p>
        </w:tc>
      </w:tr>
      <w:tr w:rsidR="00F1702A" w:rsidRPr="00F1702A" w14:paraId="53FE0FD3" w14:textId="77777777" w:rsidTr="00BF3238">
        <w:trPr>
          <w:jc w:val="center"/>
        </w:trPr>
        <w:tc>
          <w:tcPr>
            <w:tcW w:w="2268" w:type="dxa"/>
            <w:tcBorders>
              <w:top w:val="nil"/>
              <w:bottom w:val="nil"/>
            </w:tcBorders>
          </w:tcPr>
          <w:p w14:paraId="37440C98" w14:textId="6CE4DAD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Age</w:t>
            </w:r>
          </w:p>
        </w:tc>
        <w:tc>
          <w:tcPr>
            <w:tcW w:w="2268" w:type="dxa"/>
            <w:tcBorders>
              <w:top w:val="nil"/>
              <w:bottom w:val="nil"/>
            </w:tcBorders>
          </w:tcPr>
          <w:p w14:paraId="48A3FB2F" w14:textId="5E0C747C"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 20 Years</w:t>
            </w:r>
          </w:p>
        </w:tc>
        <w:tc>
          <w:tcPr>
            <w:tcW w:w="1518" w:type="dxa"/>
            <w:tcBorders>
              <w:top w:val="nil"/>
              <w:bottom w:val="nil"/>
            </w:tcBorders>
          </w:tcPr>
          <w:p w14:paraId="55E81D5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44BAF96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64D621E9" w14:textId="77777777" w:rsidTr="00BF3238">
        <w:trPr>
          <w:jc w:val="center"/>
        </w:trPr>
        <w:tc>
          <w:tcPr>
            <w:tcW w:w="2268" w:type="dxa"/>
            <w:tcBorders>
              <w:top w:val="nil"/>
              <w:bottom w:val="nil"/>
            </w:tcBorders>
          </w:tcPr>
          <w:p w14:paraId="54B1E8B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839B73B" w14:textId="389D5A81"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21 – 30 Years</w:t>
            </w:r>
          </w:p>
        </w:tc>
        <w:tc>
          <w:tcPr>
            <w:tcW w:w="1518" w:type="dxa"/>
            <w:tcBorders>
              <w:top w:val="nil"/>
              <w:bottom w:val="nil"/>
            </w:tcBorders>
          </w:tcPr>
          <w:p w14:paraId="69372AD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82</w:t>
            </w:r>
          </w:p>
        </w:tc>
        <w:tc>
          <w:tcPr>
            <w:tcW w:w="2010" w:type="dxa"/>
            <w:tcBorders>
              <w:top w:val="nil"/>
              <w:bottom w:val="nil"/>
            </w:tcBorders>
          </w:tcPr>
          <w:p w14:paraId="0473AD9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51,9%</w:t>
            </w:r>
          </w:p>
        </w:tc>
      </w:tr>
      <w:tr w:rsidR="00F1702A" w:rsidRPr="00F1702A" w14:paraId="48F9737B" w14:textId="77777777" w:rsidTr="00BF3238">
        <w:trPr>
          <w:jc w:val="center"/>
        </w:trPr>
        <w:tc>
          <w:tcPr>
            <w:tcW w:w="2268" w:type="dxa"/>
            <w:tcBorders>
              <w:top w:val="nil"/>
              <w:bottom w:val="nil"/>
            </w:tcBorders>
          </w:tcPr>
          <w:p w14:paraId="05DFD51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76FFA1D5" w14:textId="001A9D0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31 – 40 Years</w:t>
            </w:r>
          </w:p>
        </w:tc>
        <w:tc>
          <w:tcPr>
            <w:tcW w:w="1518" w:type="dxa"/>
            <w:tcBorders>
              <w:top w:val="nil"/>
              <w:bottom w:val="nil"/>
            </w:tcBorders>
          </w:tcPr>
          <w:p w14:paraId="47F0629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w:t>
            </w:r>
          </w:p>
        </w:tc>
        <w:tc>
          <w:tcPr>
            <w:tcW w:w="2010" w:type="dxa"/>
            <w:tcBorders>
              <w:top w:val="nil"/>
              <w:bottom w:val="nil"/>
            </w:tcBorders>
          </w:tcPr>
          <w:p w14:paraId="6C02F838"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36,7%</w:t>
            </w:r>
          </w:p>
        </w:tc>
      </w:tr>
      <w:tr w:rsidR="00F1702A" w:rsidRPr="00F1702A" w14:paraId="2BDF21AD" w14:textId="77777777" w:rsidTr="00BF3238">
        <w:trPr>
          <w:jc w:val="center"/>
        </w:trPr>
        <w:tc>
          <w:tcPr>
            <w:tcW w:w="2268" w:type="dxa"/>
            <w:tcBorders>
              <w:top w:val="nil"/>
              <w:bottom w:val="nil"/>
            </w:tcBorders>
          </w:tcPr>
          <w:p w14:paraId="24D00855"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BDC65C4" w14:textId="6DE3B2E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40 Years</w:t>
            </w:r>
          </w:p>
        </w:tc>
        <w:tc>
          <w:tcPr>
            <w:tcW w:w="1518" w:type="dxa"/>
            <w:tcBorders>
              <w:top w:val="nil"/>
              <w:bottom w:val="nil"/>
            </w:tcBorders>
          </w:tcPr>
          <w:p w14:paraId="3138F595"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15</w:t>
            </w:r>
          </w:p>
        </w:tc>
        <w:tc>
          <w:tcPr>
            <w:tcW w:w="2010" w:type="dxa"/>
            <w:tcBorders>
              <w:top w:val="nil"/>
              <w:bottom w:val="nil"/>
            </w:tcBorders>
          </w:tcPr>
          <w:p w14:paraId="713225C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r>
      <w:tr w:rsidR="00F1702A" w:rsidRPr="00F1702A" w14:paraId="6A63AE56" w14:textId="77777777" w:rsidTr="00BF3238">
        <w:trPr>
          <w:jc w:val="center"/>
        </w:trPr>
        <w:tc>
          <w:tcPr>
            <w:tcW w:w="2268" w:type="dxa"/>
            <w:tcBorders>
              <w:top w:val="nil"/>
              <w:bottom w:val="nil"/>
            </w:tcBorders>
          </w:tcPr>
          <w:p w14:paraId="2A1BA51E" w14:textId="63EA06F2"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Level of education</w:t>
            </w:r>
          </w:p>
        </w:tc>
        <w:tc>
          <w:tcPr>
            <w:tcW w:w="2268" w:type="dxa"/>
            <w:tcBorders>
              <w:top w:val="nil"/>
              <w:bottom w:val="nil"/>
            </w:tcBorders>
          </w:tcPr>
          <w:p w14:paraId="019A3D61" w14:textId="770CDA53"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Junior High School</w:t>
            </w:r>
          </w:p>
        </w:tc>
        <w:tc>
          <w:tcPr>
            <w:tcW w:w="1518" w:type="dxa"/>
            <w:tcBorders>
              <w:top w:val="nil"/>
              <w:bottom w:val="nil"/>
            </w:tcBorders>
          </w:tcPr>
          <w:p w14:paraId="15315EA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w:t>
            </w:r>
          </w:p>
        </w:tc>
        <w:tc>
          <w:tcPr>
            <w:tcW w:w="2010" w:type="dxa"/>
            <w:tcBorders>
              <w:top w:val="nil"/>
              <w:bottom w:val="nil"/>
            </w:tcBorders>
          </w:tcPr>
          <w:p w14:paraId="2209BB5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7CA75B0" w14:textId="77777777" w:rsidTr="00BF3238">
        <w:trPr>
          <w:jc w:val="center"/>
        </w:trPr>
        <w:tc>
          <w:tcPr>
            <w:tcW w:w="2268" w:type="dxa"/>
            <w:tcBorders>
              <w:top w:val="nil"/>
              <w:bottom w:val="nil"/>
            </w:tcBorders>
          </w:tcPr>
          <w:p w14:paraId="0D23F944"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81E6398" w14:textId="39916BA8"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Senior High School</w:t>
            </w:r>
          </w:p>
        </w:tc>
        <w:tc>
          <w:tcPr>
            <w:tcW w:w="1518" w:type="dxa"/>
            <w:tcBorders>
              <w:top w:val="nil"/>
              <w:bottom w:val="nil"/>
            </w:tcBorders>
          </w:tcPr>
          <w:p w14:paraId="00DF996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63</w:t>
            </w:r>
          </w:p>
        </w:tc>
        <w:tc>
          <w:tcPr>
            <w:tcW w:w="2010" w:type="dxa"/>
            <w:tcBorders>
              <w:top w:val="nil"/>
              <w:bottom w:val="nil"/>
            </w:tcBorders>
          </w:tcPr>
          <w:p w14:paraId="1D0D06C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39,9%</w:t>
            </w:r>
          </w:p>
        </w:tc>
      </w:tr>
      <w:tr w:rsidR="00F1702A" w:rsidRPr="00F1702A" w14:paraId="5262C856" w14:textId="77777777" w:rsidTr="00BF3238">
        <w:trPr>
          <w:jc w:val="center"/>
        </w:trPr>
        <w:tc>
          <w:tcPr>
            <w:tcW w:w="2268" w:type="dxa"/>
            <w:tcBorders>
              <w:top w:val="nil"/>
              <w:bottom w:val="nil"/>
            </w:tcBorders>
          </w:tcPr>
          <w:p w14:paraId="4D119B0B"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775DCBC" w14:textId="314EBE69"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Bachelor</w:t>
            </w:r>
            <w:r w:rsidR="00F1702A">
              <w:rPr>
                <w:rFonts w:ascii="Arial" w:hAnsi="Arial" w:cs="Arial"/>
                <w:sz w:val="20"/>
                <w:szCs w:val="20"/>
                <w:lang w:val="id-ID"/>
              </w:rPr>
              <w:t>/</w:t>
            </w:r>
            <w:r w:rsidR="00F1702A" w:rsidRPr="005E1216">
              <w:rPr>
                <w:rFonts w:ascii="Arial" w:hAnsi="Arial" w:cs="Arial"/>
                <w:sz w:val="20"/>
                <w:szCs w:val="20"/>
                <w:lang w:val="id-ID"/>
              </w:rPr>
              <w:t>Diploma</w:t>
            </w:r>
          </w:p>
        </w:tc>
        <w:tc>
          <w:tcPr>
            <w:tcW w:w="1518" w:type="dxa"/>
            <w:tcBorders>
              <w:top w:val="nil"/>
              <w:bottom w:val="nil"/>
            </w:tcBorders>
          </w:tcPr>
          <w:p w14:paraId="3FA1F17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86</w:t>
            </w:r>
          </w:p>
        </w:tc>
        <w:tc>
          <w:tcPr>
            <w:tcW w:w="2010" w:type="dxa"/>
            <w:tcBorders>
              <w:top w:val="nil"/>
              <w:bottom w:val="nil"/>
            </w:tcBorders>
          </w:tcPr>
          <w:p w14:paraId="42B91B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54,4%</w:t>
            </w:r>
          </w:p>
        </w:tc>
      </w:tr>
      <w:tr w:rsidR="00F1702A" w:rsidRPr="00F1702A" w14:paraId="14E4C2F9" w14:textId="77777777" w:rsidTr="00BF3238">
        <w:trPr>
          <w:jc w:val="center"/>
        </w:trPr>
        <w:tc>
          <w:tcPr>
            <w:tcW w:w="2268" w:type="dxa"/>
            <w:tcBorders>
              <w:top w:val="nil"/>
              <w:bottom w:val="nil"/>
            </w:tcBorders>
          </w:tcPr>
          <w:p w14:paraId="32AC7C76"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E2F7FF4" w14:textId="372627AA"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Postgraduate</w:t>
            </w:r>
          </w:p>
        </w:tc>
        <w:tc>
          <w:tcPr>
            <w:tcW w:w="1518" w:type="dxa"/>
            <w:tcBorders>
              <w:top w:val="nil"/>
              <w:bottom w:val="nil"/>
            </w:tcBorders>
          </w:tcPr>
          <w:p w14:paraId="1F4C794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53D45C4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50D85C42" w14:textId="77777777" w:rsidTr="00BF3238">
        <w:trPr>
          <w:jc w:val="center"/>
        </w:trPr>
        <w:tc>
          <w:tcPr>
            <w:tcW w:w="2268" w:type="dxa"/>
            <w:tcBorders>
              <w:top w:val="nil"/>
              <w:bottom w:val="nil"/>
            </w:tcBorders>
          </w:tcPr>
          <w:p w14:paraId="27188042" w14:textId="34127B24"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Business fields</w:t>
            </w:r>
          </w:p>
        </w:tc>
        <w:tc>
          <w:tcPr>
            <w:tcW w:w="2268" w:type="dxa"/>
            <w:tcBorders>
              <w:top w:val="nil"/>
              <w:bottom w:val="nil"/>
            </w:tcBorders>
          </w:tcPr>
          <w:p w14:paraId="71FD277C" w14:textId="735BCD46"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Trading</w:t>
            </w:r>
          </w:p>
        </w:tc>
        <w:tc>
          <w:tcPr>
            <w:tcW w:w="1518" w:type="dxa"/>
            <w:tcBorders>
              <w:top w:val="nil"/>
              <w:bottom w:val="nil"/>
            </w:tcBorders>
          </w:tcPr>
          <w:p w14:paraId="17E0B32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113</w:t>
            </w:r>
          </w:p>
        </w:tc>
        <w:tc>
          <w:tcPr>
            <w:tcW w:w="2010" w:type="dxa"/>
            <w:tcBorders>
              <w:top w:val="nil"/>
              <w:bottom w:val="nil"/>
            </w:tcBorders>
          </w:tcPr>
          <w:p w14:paraId="22451F8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71,5%</w:t>
            </w:r>
          </w:p>
        </w:tc>
      </w:tr>
      <w:tr w:rsidR="00F1702A" w:rsidRPr="00F1702A" w14:paraId="3AFC7D43" w14:textId="77777777" w:rsidTr="00BF3238">
        <w:trPr>
          <w:jc w:val="center"/>
        </w:trPr>
        <w:tc>
          <w:tcPr>
            <w:tcW w:w="2268" w:type="dxa"/>
            <w:tcBorders>
              <w:top w:val="nil"/>
              <w:bottom w:val="nil"/>
            </w:tcBorders>
          </w:tcPr>
          <w:p w14:paraId="175829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C37C960" w14:textId="3B85F8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Manufacturing</w:t>
            </w:r>
          </w:p>
        </w:tc>
        <w:tc>
          <w:tcPr>
            <w:tcW w:w="1518" w:type="dxa"/>
            <w:tcBorders>
              <w:top w:val="nil"/>
              <w:bottom w:val="nil"/>
            </w:tcBorders>
          </w:tcPr>
          <w:p w14:paraId="733533A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w:t>
            </w:r>
          </w:p>
        </w:tc>
        <w:tc>
          <w:tcPr>
            <w:tcW w:w="2010" w:type="dxa"/>
            <w:tcBorders>
              <w:top w:val="nil"/>
              <w:bottom w:val="nil"/>
            </w:tcBorders>
          </w:tcPr>
          <w:p w14:paraId="5B0A737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10,7%</w:t>
            </w:r>
          </w:p>
        </w:tc>
      </w:tr>
      <w:tr w:rsidR="00F1702A" w:rsidRPr="00F1702A" w14:paraId="585F92B0" w14:textId="77777777" w:rsidTr="00BF3238">
        <w:trPr>
          <w:jc w:val="center"/>
        </w:trPr>
        <w:tc>
          <w:tcPr>
            <w:tcW w:w="2268" w:type="dxa"/>
            <w:tcBorders>
              <w:top w:val="nil"/>
              <w:bottom w:val="nil"/>
            </w:tcBorders>
          </w:tcPr>
          <w:p w14:paraId="035E55C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50E4082" w14:textId="606F4438"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Service</w:t>
            </w:r>
          </w:p>
        </w:tc>
        <w:tc>
          <w:tcPr>
            <w:tcW w:w="1518" w:type="dxa"/>
            <w:tcBorders>
              <w:top w:val="nil"/>
              <w:bottom w:val="nil"/>
            </w:tcBorders>
          </w:tcPr>
          <w:p w14:paraId="1ECDAD6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28</w:t>
            </w:r>
          </w:p>
        </w:tc>
        <w:tc>
          <w:tcPr>
            <w:tcW w:w="2010" w:type="dxa"/>
            <w:tcBorders>
              <w:top w:val="nil"/>
              <w:bottom w:val="nil"/>
            </w:tcBorders>
          </w:tcPr>
          <w:p w14:paraId="5382B4D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17,7%</w:t>
            </w:r>
          </w:p>
        </w:tc>
      </w:tr>
      <w:tr w:rsidR="00F1702A" w:rsidRPr="00F1702A" w14:paraId="5E342ECF" w14:textId="77777777" w:rsidTr="00BF3238">
        <w:trPr>
          <w:jc w:val="center"/>
        </w:trPr>
        <w:tc>
          <w:tcPr>
            <w:tcW w:w="2268" w:type="dxa"/>
            <w:tcBorders>
              <w:top w:val="nil"/>
              <w:bottom w:val="nil"/>
            </w:tcBorders>
          </w:tcPr>
          <w:p w14:paraId="658B3ED4" w14:textId="35D6F579"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Number of employees</w:t>
            </w:r>
          </w:p>
        </w:tc>
        <w:tc>
          <w:tcPr>
            <w:tcW w:w="2268" w:type="dxa"/>
            <w:tcBorders>
              <w:top w:val="nil"/>
              <w:bottom w:val="nil"/>
            </w:tcBorders>
          </w:tcPr>
          <w:p w14:paraId="29F64381" w14:textId="52AF0BC5"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&lt; 5 Employees</w:t>
            </w:r>
          </w:p>
        </w:tc>
        <w:tc>
          <w:tcPr>
            <w:tcW w:w="1518" w:type="dxa"/>
            <w:tcBorders>
              <w:top w:val="nil"/>
              <w:bottom w:val="nil"/>
            </w:tcBorders>
          </w:tcPr>
          <w:p w14:paraId="6788625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c>
          <w:tcPr>
            <w:tcW w:w="2010" w:type="dxa"/>
            <w:tcBorders>
              <w:top w:val="nil"/>
              <w:bottom w:val="nil"/>
            </w:tcBorders>
          </w:tcPr>
          <w:p w14:paraId="7631591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60,1%</w:t>
            </w:r>
          </w:p>
        </w:tc>
      </w:tr>
      <w:tr w:rsidR="00F1702A" w:rsidRPr="00F1702A" w14:paraId="491FB4FC" w14:textId="77777777" w:rsidTr="00BF3238">
        <w:trPr>
          <w:jc w:val="center"/>
        </w:trPr>
        <w:tc>
          <w:tcPr>
            <w:tcW w:w="2268" w:type="dxa"/>
            <w:tcBorders>
              <w:top w:val="nil"/>
              <w:bottom w:val="nil"/>
            </w:tcBorders>
          </w:tcPr>
          <w:p w14:paraId="12F4987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C8AAC5B" w14:textId="22F241DF"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5 – 19 Employees</w:t>
            </w:r>
          </w:p>
        </w:tc>
        <w:tc>
          <w:tcPr>
            <w:tcW w:w="1518" w:type="dxa"/>
            <w:tcBorders>
              <w:top w:val="nil"/>
              <w:bottom w:val="nil"/>
            </w:tcBorders>
          </w:tcPr>
          <w:p w14:paraId="7F02FAB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w:t>
            </w:r>
          </w:p>
        </w:tc>
        <w:tc>
          <w:tcPr>
            <w:tcW w:w="2010" w:type="dxa"/>
            <w:tcBorders>
              <w:top w:val="nil"/>
              <w:bottom w:val="nil"/>
            </w:tcBorders>
          </w:tcPr>
          <w:p w14:paraId="30585E2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3424E3E" w14:textId="77777777" w:rsidTr="00BF3238">
        <w:trPr>
          <w:jc w:val="center"/>
        </w:trPr>
        <w:tc>
          <w:tcPr>
            <w:tcW w:w="2268" w:type="dxa"/>
            <w:tcBorders>
              <w:top w:val="nil"/>
              <w:bottom w:val="nil"/>
            </w:tcBorders>
          </w:tcPr>
          <w:p w14:paraId="606F0CB3"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F47111C" w14:textId="210CE7F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20 – 99 Employees</w:t>
            </w:r>
          </w:p>
        </w:tc>
        <w:tc>
          <w:tcPr>
            <w:tcW w:w="1518" w:type="dxa"/>
            <w:tcBorders>
              <w:top w:val="nil"/>
              <w:bottom w:val="nil"/>
            </w:tcBorders>
          </w:tcPr>
          <w:p w14:paraId="0468301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2C09E92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A238C8" w:rsidRPr="00F1702A" w14:paraId="784E45AC" w14:textId="77777777" w:rsidTr="00BF3238">
        <w:trPr>
          <w:jc w:val="center"/>
        </w:trPr>
        <w:tc>
          <w:tcPr>
            <w:tcW w:w="2268" w:type="dxa"/>
            <w:tcBorders>
              <w:top w:val="nil"/>
              <w:bottom w:val="nil"/>
            </w:tcBorders>
          </w:tcPr>
          <w:p w14:paraId="71C06887" w14:textId="33FCCEC2" w:rsidR="00A238C8" w:rsidRPr="00F1702A" w:rsidRDefault="00A238C8" w:rsidP="00A238C8">
            <w:pPr>
              <w:tabs>
                <w:tab w:val="left" w:pos="1141"/>
              </w:tabs>
              <w:rPr>
                <w:rFonts w:ascii="Arial" w:hAnsi="Arial" w:cs="Arial"/>
                <w:sz w:val="20"/>
                <w:szCs w:val="20"/>
                <w:lang w:val="id-ID"/>
              </w:rPr>
            </w:pPr>
            <w:r w:rsidRPr="005E1216">
              <w:rPr>
                <w:rFonts w:ascii="Arial" w:hAnsi="Arial" w:cs="Arial"/>
                <w:sz w:val="20"/>
                <w:szCs w:val="20"/>
                <w:lang w:val="id-ID"/>
              </w:rPr>
              <w:t>Length of Business</w:t>
            </w:r>
          </w:p>
        </w:tc>
        <w:tc>
          <w:tcPr>
            <w:tcW w:w="2268" w:type="dxa"/>
            <w:tcBorders>
              <w:top w:val="nil"/>
              <w:bottom w:val="nil"/>
            </w:tcBorders>
          </w:tcPr>
          <w:p w14:paraId="7D76F23C" w14:textId="044AA210" w:rsidR="00A238C8" w:rsidRPr="00A238C8" w:rsidRDefault="00A238C8" w:rsidP="00A238C8">
            <w:pPr>
              <w:tabs>
                <w:tab w:val="left" w:pos="1141"/>
              </w:tabs>
              <w:rPr>
                <w:rFonts w:ascii="Arial" w:hAnsi="Arial" w:cs="Arial"/>
                <w:sz w:val="20"/>
                <w:szCs w:val="20"/>
                <w:lang w:val="id-ID"/>
              </w:rPr>
            </w:pPr>
            <w:r>
              <w:rPr>
                <w:rFonts w:ascii="Arial" w:hAnsi="Arial" w:cs="Arial"/>
                <w:sz w:val="20"/>
                <w:szCs w:val="20"/>
                <w:lang w:val="id-ID"/>
              </w:rPr>
              <w:t>1</w:t>
            </w:r>
            <w:r w:rsidRPr="005E1216">
              <w:rPr>
                <w:rFonts w:ascii="Arial" w:hAnsi="Arial" w:cs="Arial"/>
                <w:sz w:val="20"/>
                <w:szCs w:val="20"/>
                <w:lang w:val="id-ID"/>
              </w:rPr>
              <w:t xml:space="preserve"> –</w:t>
            </w:r>
            <w:r>
              <w:rPr>
                <w:rFonts w:ascii="Arial" w:hAnsi="Arial" w:cs="Arial"/>
                <w:sz w:val="20"/>
                <w:szCs w:val="20"/>
                <w:lang w:val="id-ID"/>
              </w:rPr>
              <w:t xml:space="preserve"> 5</w:t>
            </w:r>
            <w:r w:rsidRPr="005E1216">
              <w:rPr>
                <w:rFonts w:ascii="Arial" w:hAnsi="Arial" w:cs="Arial"/>
                <w:sz w:val="20"/>
                <w:szCs w:val="20"/>
                <w:lang w:val="id-ID"/>
              </w:rPr>
              <w:t xml:space="preserve"> Years</w:t>
            </w:r>
          </w:p>
        </w:tc>
        <w:tc>
          <w:tcPr>
            <w:tcW w:w="1518" w:type="dxa"/>
            <w:tcBorders>
              <w:top w:val="nil"/>
              <w:bottom w:val="nil"/>
            </w:tcBorders>
          </w:tcPr>
          <w:p w14:paraId="5737D6EA"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104</w:t>
            </w:r>
          </w:p>
        </w:tc>
        <w:tc>
          <w:tcPr>
            <w:tcW w:w="2010" w:type="dxa"/>
            <w:tcBorders>
              <w:top w:val="nil"/>
              <w:bottom w:val="nil"/>
            </w:tcBorders>
          </w:tcPr>
          <w:p w14:paraId="143CB73C"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66%</w:t>
            </w:r>
          </w:p>
        </w:tc>
      </w:tr>
      <w:tr w:rsidR="00F1702A" w:rsidRPr="00F1702A" w14:paraId="54D28D0E" w14:textId="77777777" w:rsidTr="00BF3238">
        <w:trPr>
          <w:jc w:val="center"/>
        </w:trPr>
        <w:tc>
          <w:tcPr>
            <w:tcW w:w="2268" w:type="dxa"/>
            <w:tcBorders>
              <w:top w:val="nil"/>
              <w:bottom w:val="nil"/>
            </w:tcBorders>
          </w:tcPr>
          <w:p w14:paraId="6DD3BF42"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F5D36D8" w14:textId="3E37E88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6 –</w:t>
            </w:r>
            <w:r w:rsidR="00A238C8">
              <w:rPr>
                <w:rFonts w:ascii="Arial" w:hAnsi="Arial" w:cs="Arial"/>
                <w:sz w:val="20"/>
                <w:szCs w:val="20"/>
                <w:lang w:val="id-ID"/>
              </w:rPr>
              <w:t xml:space="preserve"> </w:t>
            </w:r>
            <w:r w:rsidRPr="005E1216">
              <w:rPr>
                <w:rFonts w:ascii="Arial" w:hAnsi="Arial" w:cs="Arial"/>
                <w:sz w:val="20"/>
                <w:szCs w:val="20"/>
                <w:lang w:val="id-ID"/>
              </w:rPr>
              <w:t>10 Years</w:t>
            </w:r>
          </w:p>
        </w:tc>
        <w:tc>
          <w:tcPr>
            <w:tcW w:w="1518" w:type="dxa"/>
            <w:tcBorders>
              <w:top w:val="nil"/>
              <w:bottom w:val="nil"/>
            </w:tcBorders>
          </w:tcPr>
          <w:p w14:paraId="660DDDA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40</w:t>
            </w:r>
          </w:p>
        </w:tc>
        <w:tc>
          <w:tcPr>
            <w:tcW w:w="2010" w:type="dxa"/>
            <w:tcBorders>
              <w:top w:val="nil"/>
              <w:bottom w:val="nil"/>
            </w:tcBorders>
          </w:tcPr>
          <w:p w14:paraId="3CFD19C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25,1%</w:t>
            </w:r>
          </w:p>
        </w:tc>
      </w:tr>
      <w:tr w:rsidR="00F1702A" w:rsidRPr="00F1702A" w14:paraId="03CA1582" w14:textId="77777777" w:rsidTr="00BF3238">
        <w:trPr>
          <w:jc w:val="center"/>
        </w:trPr>
        <w:tc>
          <w:tcPr>
            <w:tcW w:w="2268" w:type="dxa"/>
            <w:tcBorders>
              <w:top w:val="nil"/>
              <w:bottom w:val="nil"/>
            </w:tcBorders>
          </w:tcPr>
          <w:p w14:paraId="2C7A40E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918D08E" w14:textId="2BEEFC4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11 – 15 Years</w:t>
            </w:r>
          </w:p>
        </w:tc>
        <w:tc>
          <w:tcPr>
            <w:tcW w:w="1518" w:type="dxa"/>
            <w:tcBorders>
              <w:top w:val="nil"/>
              <w:bottom w:val="nil"/>
            </w:tcBorders>
          </w:tcPr>
          <w:p w14:paraId="7805D45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w:t>
            </w:r>
          </w:p>
        </w:tc>
        <w:tc>
          <w:tcPr>
            <w:tcW w:w="2010" w:type="dxa"/>
            <w:tcBorders>
              <w:top w:val="nil"/>
              <w:bottom w:val="nil"/>
            </w:tcBorders>
          </w:tcPr>
          <w:p w14:paraId="12AFF80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w:t>
            </w:r>
          </w:p>
        </w:tc>
      </w:tr>
      <w:tr w:rsidR="00F1702A" w:rsidRPr="00F1702A" w14:paraId="30778E68" w14:textId="77777777" w:rsidTr="00BF3238">
        <w:trPr>
          <w:jc w:val="center"/>
        </w:trPr>
        <w:tc>
          <w:tcPr>
            <w:tcW w:w="2268" w:type="dxa"/>
            <w:tcBorders>
              <w:top w:val="nil"/>
              <w:bottom w:val="single" w:sz="4" w:space="0" w:color="auto"/>
            </w:tcBorders>
          </w:tcPr>
          <w:p w14:paraId="7AA7D937"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single" w:sz="4" w:space="0" w:color="auto"/>
            </w:tcBorders>
          </w:tcPr>
          <w:p w14:paraId="14450DA4" w14:textId="054A06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15 Years</w:t>
            </w:r>
          </w:p>
        </w:tc>
        <w:tc>
          <w:tcPr>
            <w:tcW w:w="1518" w:type="dxa"/>
            <w:tcBorders>
              <w:top w:val="nil"/>
              <w:bottom w:val="single" w:sz="4" w:space="0" w:color="auto"/>
            </w:tcBorders>
          </w:tcPr>
          <w:p w14:paraId="38290D6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single" w:sz="4" w:space="0" w:color="auto"/>
            </w:tcBorders>
          </w:tcPr>
          <w:p w14:paraId="19F393B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bl>
    <w:p w14:paraId="70E81F55" w14:textId="77777777" w:rsidR="005F0D20" w:rsidRDefault="005F0D20" w:rsidP="009F61B6">
      <w:pPr>
        <w:tabs>
          <w:tab w:val="left" w:pos="1141"/>
        </w:tabs>
        <w:spacing w:after="0"/>
        <w:ind w:left="360"/>
        <w:jc w:val="center"/>
        <w:rPr>
          <w:rFonts w:ascii="Arial" w:hAnsi="Arial" w:cs="Arial"/>
          <w:i/>
          <w:iCs/>
          <w:sz w:val="20"/>
          <w:szCs w:val="20"/>
          <w:lang w:val="id-ID"/>
        </w:rPr>
      </w:pPr>
      <w:r w:rsidRPr="00F1702A">
        <w:rPr>
          <w:rFonts w:ascii="Arial" w:hAnsi="Arial" w:cs="Arial"/>
          <w:i/>
          <w:iCs/>
          <w:sz w:val="20"/>
          <w:szCs w:val="20"/>
          <w:lang w:val="id-ID"/>
        </w:rPr>
        <w:t>Source: Results of quetionnaires filled out by respondents, 2025</w:t>
      </w:r>
    </w:p>
    <w:p w14:paraId="0B727464" w14:textId="77777777" w:rsidR="009F61B6" w:rsidRPr="009F61B6" w:rsidRDefault="009F61B6" w:rsidP="009F61B6">
      <w:pPr>
        <w:tabs>
          <w:tab w:val="left" w:pos="1141"/>
        </w:tabs>
        <w:spacing w:after="0"/>
        <w:ind w:left="360"/>
        <w:jc w:val="center"/>
        <w:rPr>
          <w:rFonts w:ascii="Arial" w:hAnsi="Arial" w:cs="Arial"/>
          <w:sz w:val="20"/>
          <w:szCs w:val="20"/>
          <w:lang w:val="id-ID"/>
        </w:rPr>
      </w:pPr>
    </w:p>
    <w:p w14:paraId="55486F02" w14:textId="0D113960" w:rsidR="00A47586" w:rsidRDefault="001B7C33" w:rsidP="008A0736">
      <w:pPr>
        <w:spacing w:after="0"/>
        <w:jc w:val="center"/>
        <w:rPr>
          <w:rFonts w:ascii="Arial" w:hAnsi="Arial"/>
          <w:sz w:val="20"/>
          <w:szCs w:val="20"/>
          <w:lang w:val="id-ID"/>
        </w:rPr>
      </w:pPr>
      <w:r>
        <w:rPr>
          <w:rFonts w:ascii="Arial" w:hAnsi="Arial"/>
          <w:noProof/>
          <w:sz w:val="20"/>
          <w:szCs w:val="20"/>
          <w:lang w:val="id-ID"/>
        </w:rPr>
        <w:lastRenderedPageBreak/>
        <w:drawing>
          <wp:inline distT="0" distB="0" distL="0" distR="0" wp14:anchorId="68D2E02E" wp14:editId="6F6C2880">
            <wp:extent cx="6105700" cy="4029740"/>
            <wp:effectExtent l="0" t="0" r="9525" b="8890"/>
            <wp:docPr id="21118387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38702" name="Picture 2111838702"/>
                    <pic:cNvPicPr/>
                  </pic:nvPicPr>
                  <pic:blipFill rotWithShape="1">
                    <a:blip r:embed="rId9">
                      <a:extLst>
                        <a:ext uri="{28A0092B-C50C-407E-A947-70E740481C1C}">
                          <a14:useLocalDpi xmlns:a14="http://schemas.microsoft.com/office/drawing/2010/main" val="0"/>
                        </a:ext>
                      </a:extLst>
                    </a:blip>
                    <a:srcRect t="15283"/>
                    <a:stretch>
                      <a:fillRect/>
                    </a:stretch>
                  </pic:blipFill>
                  <pic:spPr bwMode="auto">
                    <a:xfrm>
                      <a:off x="0" y="0"/>
                      <a:ext cx="6166844" cy="4070095"/>
                    </a:xfrm>
                    <a:prstGeom prst="rect">
                      <a:avLst/>
                    </a:prstGeom>
                    <a:ln>
                      <a:noFill/>
                    </a:ln>
                    <a:extLst>
                      <a:ext uri="{53640926-AAD7-44D8-BBD7-CCE9431645EC}">
                        <a14:shadowObscured xmlns:a14="http://schemas.microsoft.com/office/drawing/2010/main"/>
                      </a:ext>
                    </a:extLst>
                  </pic:spPr>
                </pic:pic>
              </a:graphicData>
            </a:graphic>
          </wp:inline>
        </w:drawing>
      </w:r>
    </w:p>
    <w:p w14:paraId="7DE034CB" w14:textId="77777777" w:rsidR="009F61B6" w:rsidRPr="005E1216" w:rsidRDefault="009F61B6" w:rsidP="009F61B6">
      <w:pPr>
        <w:tabs>
          <w:tab w:val="left" w:pos="1141"/>
        </w:tabs>
        <w:spacing w:after="0"/>
        <w:ind w:left="360"/>
        <w:jc w:val="center"/>
        <w:rPr>
          <w:rFonts w:ascii="Arial" w:hAnsi="Arial" w:cs="Arial"/>
          <w:b/>
          <w:bCs/>
          <w:sz w:val="20"/>
          <w:szCs w:val="20"/>
          <w:lang w:val="id-ID"/>
        </w:rPr>
      </w:pPr>
      <w:r>
        <w:rPr>
          <w:rFonts w:ascii="Arial" w:hAnsi="Arial"/>
          <w:b/>
          <w:bCs/>
          <w:sz w:val="20"/>
          <w:szCs w:val="20"/>
          <w:lang w:val="id-ID"/>
        </w:rPr>
        <w:t xml:space="preserve">Fig. 3. </w:t>
      </w:r>
      <w:r w:rsidRPr="005E1216">
        <w:rPr>
          <w:rFonts w:ascii="Arial" w:hAnsi="Arial" w:cs="Arial"/>
          <w:b/>
          <w:bCs/>
          <w:sz w:val="20"/>
          <w:szCs w:val="20"/>
          <w:lang w:val="id-ID"/>
        </w:rPr>
        <w:t>Hypothesis Model and Outer Loading Values</w:t>
      </w:r>
    </w:p>
    <w:p w14:paraId="1D564529" w14:textId="77777777" w:rsidR="009F61B6" w:rsidRPr="00D94742" w:rsidRDefault="009F61B6" w:rsidP="009F61B6">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5AF8E4E" w14:textId="11A801A6" w:rsidR="001B7C33" w:rsidRPr="009F61B6" w:rsidRDefault="001B7C33" w:rsidP="005F0D20">
      <w:pPr>
        <w:spacing w:after="0"/>
        <w:jc w:val="center"/>
        <w:rPr>
          <w:rFonts w:ascii="Arial" w:hAnsi="Arial"/>
          <w:b/>
          <w:bCs/>
          <w:sz w:val="20"/>
          <w:szCs w:val="20"/>
          <w:lang w:val="id-ID"/>
        </w:rPr>
      </w:pPr>
    </w:p>
    <w:p w14:paraId="21DE5E01" w14:textId="55A3D865" w:rsidR="00910524" w:rsidRDefault="00910524" w:rsidP="00910524">
      <w:pPr>
        <w:spacing w:after="0"/>
        <w:rPr>
          <w:rFonts w:ascii="Arial" w:hAnsi="Arial"/>
          <w:sz w:val="22"/>
          <w:szCs w:val="22"/>
          <w:lang w:val="id-ID"/>
        </w:rPr>
      </w:pPr>
      <w:r>
        <w:rPr>
          <w:rFonts w:ascii="Arial" w:hAnsi="Arial"/>
          <w:sz w:val="22"/>
          <w:szCs w:val="22"/>
          <w:lang w:val="id-ID"/>
        </w:rPr>
        <w:t>4.1.3 Outer Model</w:t>
      </w:r>
    </w:p>
    <w:p w14:paraId="0CE1433F" w14:textId="77777777" w:rsidR="00C16090" w:rsidRDefault="00C16090" w:rsidP="00C16090">
      <w:pPr>
        <w:tabs>
          <w:tab w:val="left" w:pos="1141"/>
        </w:tabs>
        <w:spacing w:after="0"/>
        <w:jc w:val="both"/>
        <w:rPr>
          <w:rFonts w:ascii="Arial" w:hAnsi="Arial" w:cs="Arial"/>
          <w:sz w:val="20"/>
          <w:szCs w:val="20"/>
          <w:lang w:val="id-ID"/>
        </w:rPr>
      </w:pPr>
    </w:p>
    <w:p w14:paraId="6B9F6CBF" w14:textId="32388C12" w:rsidR="008D6C43"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2022)","manualFormatting":"Purwidianti et al. (2022)","plainTextFormattedCitation":"(Purwidianti et al. 2022)","previouslyFormattedCitation":"(Purwidianti et al. 2022)"},"properties":{"noteIndex":0},"schema":"https://github.com/citation-style-language/schema/raw/master/csl-citation.json"}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Purwidianti et al. (2022)</w:t>
      </w:r>
      <w:r w:rsidRPr="005E1216">
        <w:rPr>
          <w:rFonts w:ascii="Arial" w:hAnsi="Arial" w:cs="Arial"/>
          <w:sz w:val="20"/>
          <w:szCs w:val="20"/>
          <w:lang w:val="id-ID"/>
        </w:rPr>
        <w:fldChar w:fldCharType="end"/>
      </w:r>
      <w:r>
        <w:rPr>
          <w:rFonts w:ascii="Arial" w:hAnsi="Arial" w:cs="Arial"/>
          <w:sz w:val="20"/>
          <w:szCs w:val="20"/>
          <w:lang w:val="id-ID"/>
        </w:rPr>
        <w:t>,</w:t>
      </w:r>
      <w:r w:rsidR="006D51A5">
        <w:rPr>
          <w:rFonts w:ascii="Arial" w:hAnsi="Arial" w:cs="Arial"/>
          <w:sz w:val="20"/>
          <w:szCs w:val="20"/>
          <w:lang w:val="id-ID"/>
        </w:rPr>
        <w:t xml:space="preserve"> outer to gua</w:t>
      </w:r>
      <w:r w:rsidR="00AA35FD">
        <w:rPr>
          <w:rFonts w:ascii="Arial" w:hAnsi="Arial" w:cs="Arial"/>
          <w:sz w:val="20"/>
          <w:szCs w:val="20"/>
          <w:lang w:val="id-ID"/>
        </w:rPr>
        <w:t>rantee that the measurement tool applied satisfies reliability and validity requirements</w:t>
      </w:r>
      <w:r w:rsidR="00A45BBF">
        <w:rPr>
          <w:rFonts w:ascii="Arial" w:hAnsi="Arial" w:cs="Arial"/>
          <w:sz w:val="20"/>
          <w:szCs w:val="20"/>
          <w:lang w:val="id-ID"/>
        </w:rPr>
        <w:t>, model analysis is needed</w:t>
      </w:r>
      <w:r w:rsidRPr="005E1216">
        <w:rPr>
          <w:rFonts w:ascii="Arial" w:hAnsi="Arial" w:cs="Arial"/>
          <w:sz w:val="20"/>
          <w:szCs w:val="20"/>
          <w:lang w:val="id-ID"/>
        </w:rPr>
        <w:t>. Three criteria are applied in this measurement: construct validity and reliability, convergent validity, and composite reliability.</w:t>
      </w:r>
    </w:p>
    <w:p w14:paraId="5E1BD392" w14:textId="77777777" w:rsidR="008D6C43" w:rsidRDefault="008D6C43" w:rsidP="008D6C43">
      <w:pPr>
        <w:tabs>
          <w:tab w:val="left" w:pos="1141"/>
        </w:tabs>
        <w:spacing w:after="0"/>
        <w:ind w:left="66"/>
        <w:jc w:val="both"/>
        <w:rPr>
          <w:rFonts w:ascii="Arial" w:hAnsi="Arial" w:cs="Arial"/>
          <w:sz w:val="20"/>
          <w:szCs w:val="20"/>
          <w:lang w:val="id-ID"/>
        </w:rPr>
      </w:pPr>
    </w:p>
    <w:p w14:paraId="12A1C600" w14:textId="77777777" w:rsidR="00C16090" w:rsidRDefault="008D6C43" w:rsidP="00C16090">
      <w:pPr>
        <w:tabs>
          <w:tab w:val="left" w:pos="1141"/>
        </w:tabs>
        <w:spacing w:after="0"/>
        <w:jc w:val="both"/>
        <w:rPr>
          <w:rFonts w:ascii="Arial" w:hAnsi="Arial" w:cs="Arial"/>
          <w:b/>
          <w:bCs/>
          <w:sz w:val="22"/>
          <w:lang w:val="id-ID"/>
        </w:rPr>
      </w:pPr>
      <w:r w:rsidRPr="00B94B35">
        <w:rPr>
          <w:rFonts w:ascii="Arial" w:hAnsi="Arial" w:cs="Arial"/>
          <w:sz w:val="20"/>
          <w:szCs w:val="20"/>
          <w:lang w:val="id-ID"/>
        </w:rPr>
        <w:t>Convergent validity</w:t>
      </w:r>
      <w:r>
        <w:rPr>
          <w:rFonts w:ascii="Arial" w:hAnsi="Arial" w:cs="Arial"/>
          <w:i/>
          <w:iCs/>
          <w:sz w:val="20"/>
          <w:szCs w:val="20"/>
          <w:lang w:val="id-ID"/>
        </w:rPr>
        <w:t xml:space="preserve"> </w:t>
      </w:r>
      <w:r w:rsidRPr="005E1216">
        <w:rPr>
          <w:rFonts w:ascii="Arial" w:hAnsi="Arial" w:cs="Arial"/>
          <w:sz w:val="20"/>
          <w:szCs w:val="20"/>
          <w:lang w:val="id-ID"/>
        </w:rPr>
        <w:t>helps ensure that the indicators truly describe the measured variables. This test is conducted by calculating the outer loading value of each variable indicator.</w:t>
      </w:r>
      <w:r>
        <w:rPr>
          <w:rFonts w:ascii="Arial" w:hAnsi="Arial" w:cs="Arial"/>
          <w:sz w:val="20"/>
          <w:szCs w:val="20"/>
          <w:lang w:val="id-ID"/>
        </w:rPr>
        <w:t xml:space="preserve"> </w:t>
      </w:r>
      <w:r w:rsidRPr="001A2739">
        <w:rPr>
          <w:rFonts w:ascii="Arial" w:hAnsi="Arial" w:cs="Arial"/>
          <w:sz w:val="20"/>
          <w:szCs w:val="20"/>
          <w:lang w:val="id-ID"/>
        </w:rPr>
        <w:fldChar w:fldCharType="begin" w:fldLock="1"/>
      </w:r>
      <w:r w:rsidRPr="001A2739">
        <w:rPr>
          <w:rFonts w:ascii="Arial" w:hAnsi="Arial" w:cs="Arial"/>
          <w:sz w:val="20"/>
          <w:szCs w:val="20"/>
          <w:lang w:val="id-ID"/>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F","non-dropping-particle":"","parse-names":false,"suffix":""},{"dropping-particle":"","family":"Al","given":"Et","non-dropping-particle":"","parse-names":false,"suffix":""}],"container-title":"Journal of Marketing Theory and Practice","id":"ITEM-1","issue":"2","issued":{"date-parts":[["2011"]]},"page":"139-152","title":"PLS-SEM: Indeed a silver bullet","type":"article-journal","volume":"19"},"uris":["http://www.mendeley.com/documents/?uuid=ce476343-2f4f-4f11-a0b2-0c4a7d784f85"]}],"mendeley":{"formattedCitation":"(Hair and Al 2011)","manualFormatting":"Hair et al. (2011)","plainTextFormattedCitation":"(Hair and Al 2011)","previouslyFormattedCitation":"(Hair and Al 2011)"},"properties":{"noteIndex":0},"schema":"https://github.com/citation-style-language/schema/raw/master/csl-citation.json"}</w:instrText>
      </w:r>
      <w:r w:rsidRPr="001A2739">
        <w:rPr>
          <w:rFonts w:ascii="Arial" w:hAnsi="Arial" w:cs="Arial"/>
          <w:sz w:val="20"/>
          <w:szCs w:val="20"/>
          <w:lang w:val="id-ID"/>
        </w:rPr>
        <w:fldChar w:fldCharType="separate"/>
      </w:r>
      <w:r w:rsidRPr="001A2739">
        <w:rPr>
          <w:rFonts w:ascii="Arial" w:hAnsi="Arial" w:cs="Arial"/>
          <w:noProof/>
          <w:sz w:val="20"/>
          <w:szCs w:val="20"/>
          <w:lang w:val="id-ID"/>
        </w:rPr>
        <w:t>Hair et al. (2011)</w:t>
      </w:r>
      <w:r w:rsidRPr="001A2739">
        <w:rPr>
          <w:rFonts w:ascii="Arial" w:hAnsi="Arial" w:cs="Arial"/>
          <w:sz w:val="20"/>
          <w:szCs w:val="20"/>
          <w:lang w:val="id-ID"/>
        </w:rPr>
        <w:fldChar w:fldCharType="end"/>
      </w:r>
      <w:r w:rsidRPr="001A2739">
        <w:rPr>
          <w:rFonts w:ascii="Arial" w:hAnsi="Arial" w:cs="Arial"/>
          <w:sz w:val="20"/>
          <w:szCs w:val="20"/>
          <w:lang w:val="id-ID"/>
        </w:rPr>
        <w:t>,</w:t>
      </w:r>
      <w:r w:rsidRPr="005E1216">
        <w:rPr>
          <w:rFonts w:ascii="Arial" w:hAnsi="Arial" w:cs="Arial"/>
          <w:i/>
          <w:iCs/>
          <w:sz w:val="20"/>
          <w:szCs w:val="20"/>
          <w:lang w:val="id-ID"/>
        </w:rPr>
        <w:t xml:space="preserve"> </w:t>
      </w:r>
      <w:r w:rsidRPr="005E1216">
        <w:rPr>
          <w:rFonts w:ascii="Arial" w:hAnsi="Arial" w:cs="Arial"/>
          <w:sz w:val="20"/>
          <w:szCs w:val="20"/>
          <w:lang w:val="id-ID"/>
        </w:rPr>
        <w:t>explains that an outer loading value above 0.7 indicates that an indicator has met the criteria. However, there is a development of the loading scale of 0.5 and 0.6 which are still considered valid and acceptable.</w:t>
      </w:r>
      <w:r>
        <w:rPr>
          <w:rFonts w:ascii="Arial" w:hAnsi="Arial" w:cs="Arial"/>
          <w:sz w:val="20"/>
          <w:szCs w:val="20"/>
          <w:lang w:val="id-ID"/>
        </w:rPr>
        <w:t>Based on table 3, the initial test showed that a number of indicators had outer loading value below 0,6, so these indicators were eliminated. However, there were still variables with Cornbach’s alpha values below 0,7 and AVE below 0,5</w:t>
      </w:r>
      <w:r w:rsidRPr="005E1216">
        <w:rPr>
          <w:rFonts w:ascii="Arial" w:hAnsi="Arial" w:cs="Arial"/>
          <w:sz w:val="20"/>
          <w:szCs w:val="20"/>
          <w:lang w:val="id-ID"/>
        </w:rPr>
        <w:t>. After retesting, the outer loading value used is 0.7. This is done to support the test of construct validity and reliability, so indicators with values ​​below 0.7 are eliminated again and indicators with values​​above 0.7 have met the criteria for convergent validity.</w:t>
      </w:r>
    </w:p>
    <w:p w14:paraId="1E2CB837" w14:textId="77777777" w:rsidR="00C16090" w:rsidRPr="00C16090" w:rsidRDefault="00C16090" w:rsidP="00C16090">
      <w:pPr>
        <w:tabs>
          <w:tab w:val="left" w:pos="1141"/>
        </w:tabs>
        <w:spacing w:after="0"/>
        <w:jc w:val="both"/>
        <w:rPr>
          <w:rFonts w:ascii="Arial" w:hAnsi="Arial" w:cs="Arial"/>
          <w:b/>
          <w:bCs/>
          <w:sz w:val="20"/>
          <w:szCs w:val="20"/>
          <w:lang w:val="id-ID"/>
        </w:rPr>
      </w:pPr>
    </w:p>
    <w:p w14:paraId="69EAB144" w14:textId="6335B34F" w:rsidR="008D6C43" w:rsidRPr="00C16090"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Construct validity and reliability testing, including Cronbach's alpha, composite reliability, and average variance extracted, can also be seen in Table 3. Based on Table 3, all Cronbach's alpha values ​​are above 0.7, meaning they have met the minimum limit of 0.6 used to evaluate the construct. Furthermore, the overall composite reliability value shows a value above 0.8 and has met the minimum limit of 0.7. As for the AVE value in Table 3, each variable has reached a value above 0.5, indicating that the requirements for construct validity and reliability have been met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{"citationItems":[{"id":"ITEM-1","itemData":{"DOI":"10.1016/j.wds.2023.100089","ISSN":"2772655X","abstract":"Empowerment of rural communities in development is an extensive record of sustainable village development. This study examines the relationship between village community participation, good governance, and positive perceptions supporting village government performance. Taking the background of one of the developing categories of villages in Indonesia, this research empirically proves the influence of good governance, positive perceptions, participation, and performance of village government. The study was conducted using a survey method of the heads of families of the village community and the required population. Data from the reduction process and resistance test are analyzed using structural equation modeling with help of Smart-PLS. Research results show a connection influence between good governance against the positif perception of public village with a p-value of 0.000. The effect of good governance is evident in influencing the performance village government with a p-value of 0.011. Whereas connection was not good direct governance against performance proven through perception positive with a p-value of 0.049. Furthermore, the relationship between direct good governance against participation of the public was not supported in the study, so the participation of public as the liaison between good governance and performance village government. Influence good governance against participation was supported through the perception of positive public to village government. Studies show the importance formation of a positive perception public village from trust to a village government. With thereby empowerment, public villages could improve.","author":[{"dropping-particle":"","family":"Handayani","given":"Erna","non-dropping-particle":"","parse-names":false,"suffix":""},{"dropping-particle":"","family":"Garad","given":"Askar","non-dropping-particle":"","parse-names":false,"suffix":""},{"dropping-particle":"","family":"Suyadi","given":"Aman","non-dropping-particle":"","parse-names":false,"suffix":""},{"dropping-particle":"","family":"Tubastuvi","given":"Naelati","non-dropping-particle":"","parse-names":false,"suffix":""}],"container-title":"World Development Sustainability","id":"ITEM-1","issue":"July 2022","issued":{"date-parts":[["2023"]]},"page":"100089","publisher":"Elsevier Ltd","title":"Increasing the performance of village services with good governance and participation","type":"article-journal","volume":"3"},"uris":["http://www.mendeley.com/documents/?uuid=72e3219a-169c-450d-8f59-ea28c4f50da9"]},{"id":"ITEM-2","itemData":{"abstract":"This study used a closed questionnaire to gather information on the implementation of the SDGs in private universities in Indonesia. Quantitative data were processed using SmartPLS SEM from the results of 138 questionnaires filled out by management leaders of 138 private tertiary institutions in Indonesia. SDGs implementation is tested from the social and environmental aspects of SDGs as the first and second hypotheses. Research provides support for the hypothesis of the significant effect of implementing social SDGs on university performance (β=0.391) and the opposite result on implementing environmental SDGs (β=0.028). The research results mutually support the finding that the implementation of the SDGs in private universities in Indonesia still needs to be improved. This finding reinforces the suggestion that a sustainability report is needed as part of the accreditation assessment of private tertiary institutions.","author":[{"dropping-particle":"","family":"Erna Handayani, Ira Hapsari","given":"Ali AKbar Anggara","non-dropping-particle":"","parse-names":false,"suffix":""}],"container-title":"International Journal of Reserch in Business and Social Science","id":"ITEM-2","issue":"4","issued":{"date-parts":[["2023"]]},"page":"454-460","title":"Research in Business &amp; Social Science Does the implementation of SDGs improve the performance of universities ?","type":"article-journal","volume":"12"},"uris":["http://www.mendeley.com/documents/?uuid=bca4eca1-f006-4059-8f41-8a789dc8dba8"]},{"id":"ITEM-3","itemData":{"ISBN":"9788578110796","ISSN":"17518113","PMID":"25246403","abstract":"Abstract: Within a company, leaders can influence morale, job satisfaction, security, quality of work life, and especially the level of prestige of an organization. In addition, leaders also play a critical role in helping groups, organizations or communities to achieve goals. However, leadership abilities and skills in providing direction are important factors of manager effectiveness. The objectives to be achieved in this study are to identify and analyze the influence of transformational leadership style on Organizational citizenship behavior, to identify and analyze the effect of transactional leadership style on Organizational citizenship behavior, and to identify and analyze the effect of job satisfaction on Organizational citizenship behavior. Based on the calculation of multiple linear regression analysis, it can be seen from the results of the t test that has been done that X1 (Transformational Leadership Style) with Y (Organizational Citizenship Behavior) shows t count = -0.017. Because t count t table, namely -0.017 2.06, the effect of X1 (Transformational Leadership Style) on OCB is not significant. The t test between X2 (Transactional Leadership Style) and Y (Organizational Citizenship Behavior) shows t count = 0.404. While the t table is 2.06, the effect of X2 (Transactional Leadership Style) on OCB is not significant. The t test between X3 (Job Satisfaction) and Y (Organizational Citizenship Behavior) shows t count = 2.225. While t table is 2.06, the effect of X3 (Job Satisfaction) on OCB is significant, so it can be concluded that OCB can be significantly influenced by Job Satisfaction. From the test results above, it can be seen that only the variable X3 (Job Satisfaction) has a significant influence on Organizational Citizenship Behavior.Keywords : Transformational Leadership, Transactional Leadership, Job Satisfaction, OCB","author":[{"dropping-particle":"","family":"Haryono","given":"Siswoyi","non-dropping-particle":"","parse-names":false,"suffix":""}],"container-title":"Komitmen: Jurnal Ilmiah Manajemen","id":"ITEM-3","issued":{"date-parts":[["2016"]]},"number-of-pages":"1-461","title":"Metode SEM","type":"book"},"uris":["http://www.mendeley.com/documents/?uuid=3608e392-5d93-4c3f-8811-c6b13d4c9c83"]}],"mendeley":{"formattedCitation":"(Erna Handayani, Ira Hapsari 2023; Handayani et al. 2023; Haryono 2016)","plainTextFormattedCitation":"(Erna Handayani, Ira Hapsari 2023; Handayani et al. 2023; Haryono 2016)","previouslyFormattedCitation":"(Erna Handayani, Ira Hapsari 2023; Handayani et al. 2023; Haryono 2016)"},"properties":{"noteIndex":0},"schema":"https://github.com/citation-style-language/schema/raw/master/csl-citation.json"}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(Erna Handayani, Ira Hapsari 2023; Handayani et al. 2023; Haryono 2016)</w:t>
      </w:r>
      <w:r w:rsidRPr="005E1216">
        <w:rPr>
          <w:rFonts w:ascii="Arial" w:hAnsi="Arial" w:cs="Arial"/>
          <w:sz w:val="20"/>
          <w:szCs w:val="20"/>
          <w:lang w:val="id-ID"/>
        </w:rPr>
        <w:fldChar w:fldCharType="end"/>
      </w:r>
      <w:r w:rsidRPr="005E1216">
        <w:rPr>
          <w:rFonts w:ascii="Arial" w:hAnsi="Arial" w:cs="Arial"/>
          <w:sz w:val="20"/>
          <w:szCs w:val="20"/>
          <w:lang w:val="id-ID"/>
        </w:rPr>
        <w:t>.</w:t>
      </w:r>
    </w:p>
    <w:p w14:paraId="2E160C9D" w14:textId="77777777" w:rsidR="008D6C43" w:rsidRDefault="008D6C43" w:rsidP="00C16090">
      <w:pPr>
        <w:spacing w:after="0"/>
        <w:jc w:val="center"/>
        <w:rPr>
          <w:rFonts w:ascii="Arial" w:hAnsi="Arial"/>
          <w:sz w:val="20"/>
          <w:szCs w:val="20"/>
          <w:lang w:val="id-ID"/>
        </w:rPr>
      </w:pPr>
    </w:p>
    <w:p w14:paraId="329A0428" w14:textId="77777777" w:rsidR="00C16090" w:rsidRDefault="00C16090" w:rsidP="00C16090">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3. Reliability and Validity of Constructs</w:t>
      </w:r>
    </w:p>
    <w:p w14:paraId="599E512A" w14:textId="77777777" w:rsidR="00C16090" w:rsidRPr="005E1216" w:rsidRDefault="00C16090" w:rsidP="00C16090">
      <w:pPr>
        <w:tabs>
          <w:tab w:val="left" w:pos="1141"/>
        </w:tabs>
        <w:spacing w:after="0"/>
        <w:ind w:left="360"/>
        <w:jc w:val="center"/>
        <w:rPr>
          <w:rFonts w:ascii="Arial" w:hAnsi="Arial" w:cs="Arial"/>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0"/>
        <w:gridCol w:w="994"/>
        <w:gridCol w:w="1004"/>
        <w:gridCol w:w="1004"/>
        <w:gridCol w:w="1309"/>
        <w:gridCol w:w="1250"/>
        <w:gridCol w:w="923"/>
        <w:gridCol w:w="1076"/>
      </w:tblGrid>
      <w:tr w:rsidR="00C16090" w:rsidRPr="005E1216" w14:paraId="21AAFCDC" w14:textId="77777777" w:rsidTr="00BD0BAA">
        <w:trPr>
          <w:jc w:val="center"/>
        </w:trPr>
        <w:tc>
          <w:tcPr>
            <w:tcW w:w="1843" w:type="dxa"/>
          </w:tcPr>
          <w:p w14:paraId="299CA1E9"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Items</w:t>
            </w:r>
          </w:p>
        </w:tc>
        <w:tc>
          <w:tcPr>
            <w:tcW w:w="968" w:type="dxa"/>
          </w:tcPr>
          <w:p w14:paraId="78FC1F77"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1</w:t>
            </w:r>
          </w:p>
        </w:tc>
        <w:tc>
          <w:tcPr>
            <w:tcW w:w="1005" w:type="dxa"/>
          </w:tcPr>
          <w:p w14:paraId="7B4FFE6E"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2</w:t>
            </w:r>
          </w:p>
        </w:tc>
        <w:tc>
          <w:tcPr>
            <w:tcW w:w="1005" w:type="dxa"/>
          </w:tcPr>
          <w:p w14:paraId="46E0B8DF"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3</w:t>
            </w:r>
          </w:p>
        </w:tc>
        <w:tc>
          <w:tcPr>
            <w:tcW w:w="922" w:type="dxa"/>
          </w:tcPr>
          <w:p w14:paraId="3621270B" w14:textId="1D648A85"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 xml:space="preserve">Cronbach’s </w:t>
            </w:r>
            <w:r w:rsidR="00467524">
              <w:rPr>
                <w:rFonts w:ascii="Arial" w:hAnsi="Arial" w:cs="Arial"/>
                <w:b/>
                <w:bCs/>
                <w:sz w:val="20"/>
                <w:szCs w:val="20"/>
                <w:lang w:val="id-ID"/>
              </w:rPr>
              <w:t>A</w:t>
            </w:r>
            <w:r w:rsidRPr="00785680">
              <w:rPr>
                <w:rFonts w:ascii="Arial" w:hAnsi="Arial" w:cs="Arial"/>
                <w:b/>
                <w:bCs/>
                <w:sz w:val="20"/>
                <w:szCs w:val="20"/>
                <w:lang w:val="id-ID"/>
              </w:rPr>
              <w:t>lpha</w:t>
            </w:r>
          </w:p>
        </w:tc>
        <w:tc>
          <w:tcPr>
            <w:tcW w:w="922" w:type="dxa"/>
          </w:tcPr>
          <w:p w14:paraId="30E39748"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Composite Reability</w:t>
            </w:r>
          </w:p>
        </w:tc>
        <w:tc>
          <w:tcPr>
            <w:tcW w:w="936" w:type="dxa"/>
          </w:tcPr>
          <w:p w14:paraId="262F672C"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AVE</w:t>
            </w:r>
          </w:p>
        </w:tc>
        <w:tc>
          <w:tcPr>
            <w:tcW w:w="1084" w:type="dxa"/>
          </w:tcPr>
          <w:p w14:paraId="0395B77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Criteria</w:t>
            </w:r>
          </w:p>
        </w:tc>
      </w:tr>
      <w:tr w:rsidR="00C16090" w:rsidRPr="005E1216" w14:paraId="1EE8A864" w14:textId="77777777" w:rsidTr="00BD0BAA">
        <w:trPr>
          <w:jc w:val="center"/>
        </w:trPr>
        <w:tc>
          <w:tcPr>
            <w:tcW w:w="1843" w:type="dxa"/>
          </w:tcPr>
          <w:p w14:paraId="37B34E1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Literacy</w:t>
            </w:r>
          </w:p>
        </w:tc>
        <w:tc>
          <w:tcPr>
            <w:tcW w:w="968" w:type="dxa"/>
          </w:tcPr>
          <w:p w14:paraId="74C80E8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39E2AED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4859EE08"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3D0D7BC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Pr>
          <w:p w14:paraId="4952571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0.888</w:t>
            </w:r>
          </w:p>
        </w:tc>
        <w:tc>
          <w:tcPr>
            <w:tcW w:w="936" w:type="dxa"/>
          </w:tcPr>
          <w:p w14:paraId="76E3C0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0.725</w:t>
            </w:r>
          </w:p>
        </w:tc>
        <w:tc>
          <w:tcPr>
            <w:tcW w:w="1084" w:type="dxa"/>
          </w:tcPr>
          <w:p w14:paraId="1A49DE7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6F7C96A" w14:textId="77777777" w:rsidTr="00BD0BAA">
        <w:trPr>
          <w:jc w:val="center"/>
        </w:trPr>
        <w:tc>
          <w:tcPr>
            <w:tcW w:w="1843" w:type="dxa"/>
            <w:tcBorders>
              <w:bottom w:val="nil"/>
            </w:tcBorders>
          </w:tcPr>
          <w:p w14:paraId="5E90D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w:t>
            </w:r>
          </w:p>
        </w:tc>
        <w:tc>
          <w:tcPr>
            <w:tcW w:w="968" w:type="dxa"/>
            <w:tcBorders>
              <w:bottom w:val="nil"/>
            </w:tcBorders>
          </w:tcPr>
          <w:p w14:paraId="7557986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0.675</w:t>
            </w:r>
          </w:p>
        </w:tc>
        <w:tc>
          <w:tcPr>
            <w:tcW w:w="1005" w:type="dxa"/>
            <w:tcBorders>
              <w:bottom w:val="nil"/>
            </w:tcBorders>
          </w:tcPr>
          <w:p w14:paraId="3C7F56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0.718</w:t>
            </w:r>
          </w:p>
        </w:tc>
        <w:tc>
          <w:tcPr>
            <w:tcW w:w="1005" w:type="dxa"/>
            <w:tcBorders>
              <w:bottom w:val="nil"/>
            </w:tcBorders>
          </w:tcPr>
          <w:p w14:paraId="7C2382B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22" w:type="dxa"/>
            <w:tcBorders>
              <w:bottom w:val="nil"/>
            </w:tcBorders>
          </w:tcPr>
          <w:p w14:paraId="795A8EA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21EA2E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0C5C983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5747579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507052" w14:textId="77777777" w:rsidTr="00BD0BAA">
        <w:trPr>
          <w:jc w:val="center"/>
        </w:trPr>
        <w:tc>
          <w:tcPr>
            <w:tcW w:w="1843" w:type="dxa"/>
            <w:tcBorders>
              <w:top w:val="nil"/>
              <w:bottom w:val="nil"/>
            </w:tcBorders>
          </w:tcPr>
          <w:p w14:paraId="4AF6E2FD"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2</w:t>
            </w:r>
          </w:p>
        </w:tc>
        <w:tc>
          <w:tcPr>
            <w:tcW w:w="968" w:type="dxa"/>
            <w:tcBorders>
              <w:top w:val="nil"/>
              <w:bottom w:val="nil"/>
            </w:tcBorders>
          </w:tcPr>
          <w:p w14:paraId="7C6EEA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0.643</w:t>
            </w:r>
          </w:p>
        </w:tc>
        <w:tc>
          <w:tcPr>
            <w:tcW w:w="1005" w:type="dxa"/>
            <w:tcBorders>
              <w:top w:val="nil"/>
              <w:bottom w:val="nil"/>
            </w:tcBorders>
          </w:tcPr>
          <w:p w14:paraId="4637C9A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0.672</w:t>
            </w:r>
          </w:p>
        </w:tc>
        <w:tc>
          <w:tcPr>
            <w:tcW w:w="1005" w:type="dxa"/>
            <w:tcBorders>
              <w:top w:val="nil"/>
              <w:bottom w:val="nil"/>
            </w:tcBorders>
          </w:tcPr>
          <w:p w14:paraId="6540358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B5273C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5307D2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03EDFC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71B59C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F02E534" w14:textId="77777777" w:rsidTr="00BD0BAA">
        <w:trPr>
          <w:jc w:val="center"/>
        </w:trPr>
        <w:tc>
          <w:tcPr>
            <w:tcW w:w="1843" w:type="dxa"/>
            <w:tcBorders>
              <w:top w:val="nil"/>
              <w:bottom w:val="nil"/>
            </w:tcBorders>
          </w:tcPr>
          <w:p w14:paraId="4BF2071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3</w:t>
            </w:r>
          </w:p>
        </w:tc>
        <w:tc>
          <w:tcPr>
            <w:tcW w:w="968" w:type="dxa"/>
            <w:tcBorders>
              <w:top w:val="nil"/>
              <w:bottom w:val="nil"/>
            </w:tcBorders>
          </w:tcPr>
          <w:p w14:paraId="1F07607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0.586</w:t>
            </w:r>
          </w:p>
        </w:tc>
        <w:tc>
          <w:tcPr>
            <w:tcW w:w="1005" w:type="dxa"/>
            <w:tcBorders>
              <w:top w:val="nil"/>
              <w:bottom w:val="nil"/>
            </w:tcBorders>
          </w:tcPr>
          <w:p w14:paraId="790C7D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6F4734D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19C2731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3C7387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CCDFCA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562813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8D27DA" w14:textId="77777777" w:rsidTr="00BD0BAA">
        <w:trPr>
          <w:jc w:val="center"/>
        </w:trPr>
        <w:tc>
          <w:tcPr>
            <w:tcW w:w="1843" w:type="dxa"/>
            <w:tcBorders>
              <w:top w:val="nil"/>
              <w:bottom w:val="nil"/>
            </w:tcBorders>
          </w:tcPr>
          <w:p w14:paraId="3D1FE2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4</w:t>
            </w:r>
          </w:p>
        </w:tc>
        <w:tc>
          <w:tcPr>
            <w:tcW w:w="968" w:type="dxa"/>
            <w:tcBorders>
              <w:top w:val="nil"/>
              <w:bottom w:val="nil"/>
            </w:tcBorders>
          </w:tcPr>
          <w:p w14:paraId="0B4B621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0.761</w:t>
            </w:r>
          </w:p>
        </w:tc>
        <w:tc>
          <w:tcPr>
            <w:tcW w:w="1005" w:type="dxa"/>
            <w:tcBorders>
              <w:top w:val="nil"/>
              <w:bottom w:val="nil"/>
            </w:tcBorders>
          </w:tcPr>
          <w:p w14:paraId="65FF64A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0.811</w:t>
            </w:r>
          </w:p>
        </w:tc>
        <w:tc>
          <w:tcPr>
            <w:tcW w:w="1005" w:type="dxa"/>
            <w:tcBorders>
              <w:top w:val="nil"/>
              <w:bottom w:val="nil"/>
            </w:tcBorders>
          </w:tcPr>
          <w:p w14:paraId="11C6038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0.850</w:t>
            </w:r>
          </w:p>
        </w:tc>
        <w:tc>
          <w:tcPr>
            <w:tcW w:w="922" w:type="dxa"/>
            <w:tcBorders>
              <w:top w:val="nil"/>
              <w:bottom w:val="nil"/>
            </w:tcBorders>
          </w:tcPr>
          <w:p w14:paraId="74826B9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A65A0D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7D87262"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A8F3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CE30BA" w14:textId="77777777" w:rsidTr="00BD0BAA">
        <w:trPr>
          <w:jc w:val="center"/>
        </w:trPr>
        <w:tc>
          <w:tcPr>
            <w:tcW w:w="1843" w:type="dxa"/>
            <w:tcBorders>
              <w:top w:val="nil"/>
              <w:bottom w:val="nil"/>
            </w:tcBorders>
          </w:tcPr>
          <w:p w14:paraId="6B3EB3B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5</w:t>
            </w:r>
          </w:p>
        </w:tc>
        <w:tc>
          <w:tcPr>
            <w:tcW w:w="968" w:type="dxa"/>
            <w:tcBorders>
              <w:top w:val="nil"/>
              <w:bottom w:val="nil"/>
            </w:tcBorders>
          </w:tcPr>
          <w:p w14:paraId="5F80F4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0.620</w:t>
            </w:r>
          </w:p>
        </w:tc>
        <w:tc>
          <w:tcPr>
            <w:tcW w:w="1005" w:type="dxa"/>
            <w:tcBorders>
              <w:top w:val="nil"/>
              <w:bottom w:val="nil"/>
            </w:tcBorders>
          </w:tcPr>
          <w:p w14:paraId="7134AD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0CF6ED9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805482A"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DAE67B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6CCFBF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0EC2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C655254" w14:textId="77777777" w:rsidTr="00BD0BAA">
        <w:trPr>
          <w:jc w:val="center"/>
        </w:trPr>
        <w:tc>
          <w:tcPr>
            <w:tcW w:w="1843" w:type="dxa"/>
            <w:tcBorders>
              <w:top w:val="nil"/>
              <w:bottom w:val="nil"/>
            </w:tcBorders>
          </w:tcPr>
          <w:p w14:paraId="0A30016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6</w:t>
            </w:r>
          </w:p>
        </w:tc>
        <w:tc>
          <w:tcPr>
            <w:tcW w:w="968" w:type="dxa"/>
            <w:tcBorders>
              <w:top w:val="nil"/>
              <w:bottom w:val="nil"/>
            </w:tcBorders>
          </w:tcPr>
          <w:p w14:paraId="6EB277E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0.578</w:t>
            </w:r>
          </w:p>
        </w:tc>
        <w:tc>
          <w:tcPr>
            <w:tcW w:w="1005" w:type="dxa"/>
            <w:tcBorders>
              <w:top w:val="nil"/>
              <w:bottom w:val="nil"/>
            </w:tcBorders>
          </w:tcPr>
          <w:p w14:paraId="4FADB3B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55D3C67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870FD4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1B0411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1BCE13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6191C74"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3F2F9A4" w14:textId="77777777" w:rsidTr="00BD0BAA">
        <w:trPr>
          <w:jc w:val="center"/>
        </w:trPr>
        <w:tc>
          <w:tcPr>
            <w:tcW w:w="1843" w:type="dxa"/>
            <w:tcBorders>
              <w:top w:val="nil"/>
              <w:bottom w:val="nil"/>
            </w:tcBorders>
          </w:tcPr>
          <w:p w14:paraId="26141F3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7</w:t>
            </w:r>
          </w:p>
        </w:tc>
        <w:tc>
          <w:tcPr>
            <w:tcW w:w="968" w:type="dxa"/>
            <w:tcBorders>
              <w:top w:val="nil"/>
              <w:bottom w:val="nil"/>
            </w:tcBorders>
          </w:tcPr>
          <w:p w14:paraId="6CFEF58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0.551</w:t>
            </w:r>
          </w:p>
        </w:tc>
        <w:tc>
          <w:tcPr>
            <w:tcW w:w="1005" w:type="dxa"/>
            <w:tcBorders>
              <w:top w:val="nil"/>
              <w:bottom w:val="nil"/>
            </w:tcBorders>
          </w:tcPr>
          <w:p w14:paraId="0C1ED0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15410E0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BC4E44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B769D0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072438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A943C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D9564B3" w14:textId="77777777" w:rsidTr="00BD0BAA">
        <w:trPr>
          <w:jc w:val="center"/>
        </w:trPr>
        <w:tc>
          <w:tcPr>
            <w:tcW w:w="1843" w:type="dxa"/>
            <w:tcBorders>
              <w:top w:val="nil"/>
              <w:bottom w:val="nil"/>
            </w:tcBorders>
          </w:tcPr>
          <w:p w14:paraId="1B5FC75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8</w:t>
            </w:r>
          </w:p>
        </w:tc>
        <w:tc>
          <w:tcPr>
            <w:tcW w:w="968" w:type="dxa"/>
            <w:tcBorders>
              <w:top w:val="nil"/>
              <w:bottom w:val="nil"/>
            </w:tcBorders>
          </w:tcPr>
          <w:p w14:paraId="4470433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21CFFF5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4384267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FC580D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6ECCCD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57B1CF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F11EB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4EAC283" w14:textId="77777777" w:rsidTr="00BD0BAA">
        <w:trPr>
          <w:jc w:val="center"/>
        </w:trPr>
        <w:tc>
          <w:tcPr>
            <w:tcW w:w="1843" w:type="dxa"/>
            <w:tcBorders>
              <w:top w:val="nil"/>
              <w:bottom w:val="nil"/>
            </w:tcBorders>
          </w:tcPr>
          <w:p w14:paraId="4745134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9</w:t>
            </w:r>
          </w:p>
        </w:tc>
        <w:tc>
          <w:tcPr>
            <w:tcW w:w="968" w:type="dxa"/>
            <w:tcBorders>
              <w:top w:val="nil"/>
              <w:bottom w:val="nil"/>
            </w:tcBorders>
          </w:tcPr>
          <w:p w14:paraId="400236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0.715</w:t>
            </w:r>
          </w:p>
        </w:tc>
        <w:tc>
          <w:tcPr>
            <w:tcW w:w="1005" w:type="dxa"/>
            <w:tcBorders>
              <w:top w:val="nil"/>
              <w:bottom w:val="nil"/>
            </w:tcBorders>
          </w:tcPr>
          <w:p w14:paraId="2FF1E2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0.758</w:t>
            </w:r>
          </w:p>
        </w:tc>
        <w:tc>
          <w:tcPr>
            <w:tcW w:w="1005" w:type="dxa"/>
            <w:tcBorders>
              <w:top w:val="nil"/>
              <w:bottom w:val="nil"/>
            </w:tcBorders>
          </w:tcPr>
          <w:p w14:paraId="6D82C1D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0.858</w:t>
            </w:r>
          </w:p>
        </w:tc>
        <w:tc>
          <w:tcPr>
            <w:tcW w:w="922" w:type="dxa"/>
            <w:tcBorders>
              <w:top w:val="nil"/>
              <w:bottom w:val="nil"/>
            </w:tcBorders>
          </w:tcPr>
          <w:p w14:paraId="4C524AB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C09159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538E03C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A345698"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303D5DF" w14:textId="77777777" w:rsidTr="00BD0BAA">
        <w:trPr>
          <w:jc w:val="center"/>
        </w:trPr>
        <w:tc>
          <w:tcPr>
            <w:tcW w:w="1843" w:type="dxa"/>
            <w:tcBorders>
              <w:top w:val="nil"/>
              <w:bottom w:val="nil"/>
            </w:tcBorders>
          </w:tcPr>
          <w:p w14:paraId="0D34E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10</w:t>
            </w:r>
          </w:p>
        </w:tc>
        <w:tc>
          <w:tcPr>
            <w:tcW w:w="968" w:type="dxa"/>
            <w:tcBorders>
              <w:top w:val="nil"/>
              <w:bottom w:val="nil"/>
            </w:tcBorders>
          </w:tcPr>
          <w:p w14:paraId="41512A4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0.384</w:t>
            </w:r>
          </w:p>
        </w:tc>
        <w:tc>
          <w:tcPr>
            <w:tcW w:w="1005" w:type="dxa"/>
            <w:tcBorders>
              <w:top w:val="nil"/>
              <w:bottom w:val="nil"/>
            </w:tcBorders>
          </w:tcPr>
          <w:p w14:paraId="61D0F1A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7D2EB5C"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19BE68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4E805D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435BEE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EAB3E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F2711E7" w14:textId="77777777" w:rsidTr="00BD0BAA">
        <w:trPr>
          <w:jc w:val="center"/>
        </w:trPr>
        <w:tc>
          <w:tcPr>
            <w:tcW w:w="1843" w:type="dxa"/>
            <w:tcBorders>
              <w:top w:val="nil"/>
              <w:bottom w:val="nil"/>
            </w:tcBorders>
          </w:tcPr>
          <w:p w14:paraId="35308D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11</w:t>
            </w:r>
          </w:p>
        </w:tc>
        <w:tc>
          <w:tcPr>
            <w:tcW w:w="968" w:type="dxa"/>
            <w:tcBorders>
              <w:top w:val="nil"/>
              <w:bottom w:val="nil"/>
            </w:tcBorders>
          </w:tcPr>
          <w:p w14:paraId="22B6F7A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0.490</w:t>
            </w:r>
          </w:p>
        </w:tc>
        <w:tc>
          <w:tcPr>
            <w:tcW w:w="1005" w:type="dxa"/>
            <w:tcBorders>
              <w:top w:val="nil"/>
              <w:bottom w:val="nil"/>
            </w:tcBorders>
          </w:tcPr>
          <w:p w14:paraId="60471C5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317975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B16AF7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0572D0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B67E8A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54E02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44E3EB3" w14:textId="77777777" w:rsidTr="00BD0BAA">
        <w:trPr>
          <w:jc w:val="center"/>
        </w:trPr>
        <w:tc>
          <w:tcPr>
            <w:tcW w:w="1843" w:type="dxa"/>
            <w:tcBorders>
              <w:top w:val="nil"/>
            </w:tcBorders>
          </w:tcPr>
          <w:p w14:paraId="58E6A26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12</w:t>
            </w:r>
          </w:p>
        </w:tc>
        <w:tc>
          <w:tcPr>
            <w:tcW w:w="968" w:type="dxa"/>
            <w:tcBorders>
              <w:top w:val="nil"/>
            </w:tcBorders>
          </w:tcPr>
          <w:p w14:paraId="22F25C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0.606</w:t>
            </w:r>
          </w:p>
        </w:tc>
        <w:tc>
          <w:tcPr>
            <w:tcW w:w="1005" w:type="dxa"/>
            <w:tcBorders>
              <w:top w:val="nil"/>
            </w:tcBorders>
          </w:tcPr>
          <w:p w14:paraId="46C6509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0.607</w:t>
            </w:r>
          </w:p>
        </w:tc>
        <w:tc>
          <w:tcPr>
            <w:tcW w:w="1005" w:type="dxa"/>
            <w:tcBorders>
              <w:top w:val="nil"/>
            </w:tcBorders>
          </w:tcPr>
          <w:p w14:paraId="410E4D1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5CB0CAA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055ADA8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97D7A6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2DCD9EB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8C19D31" w14:textId="77777777" w:rsidTr="00BD0BAA">
        <w:trPr>
          <w:jc w:val="center"/>
        </w:trPr>
        <w:tc>
          <w:tcPr>
            <w:tcW w:w="1843" w:type="dxa"/>
          </w:tcPr>
          <w:p w14:paraId="08C834A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Attitude</w:t>
            </w:r>
          </w:p>
        </w:tc>
        <w:tc>
          <w:tcPr>
            <w:tcW w:w="968" w:type="dxa"/>
          </w:tcPr>
          <w:p w14:paraId="03993D38"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28CE508E"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DF52ECE"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21158C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0.705</w:t>
            </w:r>
          </w:p>
        </w:tc>
        <w:tc>
          <w:tcPr>
            <w:tcW w:w="922" w:type="dxa"/>
          </w:tcPr>
          <w:p w14:paraId="3E885A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0FFC63A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0.631</w:t>
            </w:r>
          </w:p>
        </w:tc>
        <w:tc>
          <w:tcPr>
            <w:tcW w:w="1084" w:type="dxa"/>
          </w:tcPr>
          <w:p w14:paraId="608711C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29DD5C7E" w14:textId="77777777" w:rsidTr="00BD0BAA">
        <w:trPr>
          <w:jc w:val="center"/>
        </w:trPr>
        <w:tc>
          <w:tcPr>
            <w:tcW w:w="1843" w:type="dxa"/>
            <w:tcBorders>
              <w:bottom w:val="nil"/>
            </w:tcBorders>
          </w:tcPr>
          <w:p w14:paraId="76B8267B"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1</w:t>
            </w:r>
          </w:p>
        </w:tc>
        <w:tc>
          <w:tcPr>
            <w:tcW w:w="968" w:type="dxa"/>
            <w:tcBorders>
              <w:bottom w:val="nil"/>
            </w:tcBorders>
          </w:tcPr>
          <w:p w14:paraId="11A93A0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bottom w:val="nil"/>
            </w:tcBorders>
          </w:tcPr>
          <w:p w14:paraId="242467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bottom w:val="nil"/>
            </w:tcBorders>
          </w:tcPr>
          <w:p w14:paraId="23951A22"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2A18463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04AB13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4C7CF01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7013277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C90B87A" w14:textId="77777777" w:rsidTr="00BD0BAA">
        <w:trPr>
          <w:jc w:val="center"/>
        </w:trPr>
        <w:tc>
          <w:tcPr>
            <w:tcW w:w="1843" w:type="dxa"/>
            <w:tcBorders>
              <w:top w:val="nil"/>
              <w:bottom w:val="nil"/>
            </w:tcBorders>
          </w:tcPr>
          <w:p w14:paraId="2C320F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2</w:t>
            </w:r>
          </w:p>
        </w:tc>
        <w:tc>
          <w:tcPr>
            <w:tcW w:w="968" w:type="dxa"/>
            <w:tcBorders>
              <w:top w:val="nil"/>
              <w:bottom w:val="nil"/>
            </w:tcBorders>
          </w:tcPr>
          <w:p w14:paraId="1777AE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655FE4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2ABAE7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0.777</w:t>
            </w:r>
          </w:p>
        </w:tc>
        <w:tc>
          <w:tcPr>
            <w:tcW w:w="922" w:type="dxa"/>
            <w:tcBorders>
              <w:top w:val="nil"/>
              <w:bottom w:val="nil"/>
            </w:tcBorders>
          </w:tcPr>
          <w:p w14:paraId="5F42DFD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2392340B"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AE343E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BB15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DB39226" w14:textId="77777777" w:rsidTr="00BD0BAA">
        <w:trPr>
          <w:jc w:val="center"/>
        </w:trPr>
        <w:tc>
          <w:tcPr>
            <w:tcW w:w="1843" w:type="dxa"/>
            <w:tcBorders>
              <w:top w:val="nil"/>
              <w:bottom w:val="nil"/>
            </w:tcBorders>
          </w:tcPr>
          <w:p w14:paraId="7701E8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3</w:t>
            </w:r>
          </w:p>
        </w:tc>
        <w:tc>
          <w:tcPr>
            <w:tcW w:w="968" w:type="dxa"/>
            <w:tcBorders>
              <w:top w:val="nil"/>
              <w:bottom w:val="nil"/>
            </w:tcBorders>
          </w:tcPr>
          <w:p w14:paraId="1F3D873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top w:val="nil"/>
              <w:bottom w:val="nil"/>
            </w:tcBorders>
          </w:tcPr>
          <w:p w14:paraId="1679340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top w:val="nil"/>
              <w:bottom w:val="nil"/>
            </w:tcBorders>
          </w:tcPr>
          <w:p w14:paraId="42CEC63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0.748</w:t>
            </w:r>
          </w:p>
        </w:tc>
        <w:tc>
          <w:tcPr>
            <w:tcW w:w="922" w:type="dxa"/>
            <w:tcBorders>
              <w:top w:val="nil"/>
              <w:bottom w:val="nil"/>
            </w:tcBorders>
          </w:tcPr>
          <w:p w14:paraId="1197109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B65085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FDB90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AF85F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42C619" w14:textId="77777777" w:rsidTr="00BD0BAA">
        <w:trPr>
          <w:jc w:val="center"/>
        </w:trPr>
        <w:tc>
          <w:tcPr>
            <w:tcW w:w="1843" w:type="dxa"/>
            <w:tcBorders>
              <w:top w:val="nil"/>
              <w:bottom w:val="nil"/>
            </w:tcBorders>
          </w:tcPr>
          <w:p w14:paraId="7CFA9CD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4</w:t>
            </w:r>
          </w:p>
        </w:tc>
        <w:tc>
          <w:tcPr>
            <w:tcW w:w="968" w:type="dxa"/>
            <w:tcBorders>
              <w:top w:val="nil"/>
              <w:bottom w:val="nil"/>
            </w:tcBorders>
          </w:tcPr>
          <w:p w14:paraId="355FA03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3091921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5B9DE30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31B74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F55622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9A472EC"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D9BD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0BD691" w14:textId="77777777" w:rsidTr="00BD0BAA">
        <w:trPr>
          <w:jc w:val="center"/>
        </w:trPr>
        <w:tc>
          <w:tcPr>
            <w:tcW w:w="1843" w:type="dxa"/>
            <w:tcBorders>
              <w:top w:val="nil"/>
              <w:bottom w:val="nil"/>
            </w:tcBorders>
          </w:tcPr>
          <w:p w14:paraId="6CB665B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5</w:t>
            </w:r>
          </w:p>
        </w:tc>
        <w:tc>
          <w:tcPr>
            <w:tcW w:w="968" w:type="dxa"/>
            <w:tcBorders>
              <w:top w:val="nil"/>
              <w:bottom w:val="nil"/>
            </w:tcBorders>
          </w:tcPr>
          <w:p w14:paraId="2C6976B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64FB7A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1E9E544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bottom w:val="nil"/>
            </w:tcBorders>
          </w:tcPr>
          <w:p w14:paraId="3B1322C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82AB62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99A483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ED218B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6C167E" w14:textId="77777777" w:rsidTr="00BD0BAA">
        <w:trPr>
          <w:jc w:val="center"/>
        </w:trPr>
        <w:tc>
          <w:tcPr>
            <w:tcW w:w="1843" w:type="dxa"/>
            <w:tcBorders>
              <w:top w:val="nil"/>
            </w:tcBorders>
          </w:tcPr>
          <w:p w14:paraId="6A332C39"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6</w:t>
            </w:r>
          </w:p>
        </w:tc>
        <w:tc>
          <w:tcPr>
            <w:tcW w:w="968" w:type="dxa"/>
            <w:tcBorders>
              <w:top w:val="nil"/>
            </w:tcBorders>
          </w:tcPr>
          <w:p w14:paraId="483485B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21FA6C6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1F1CE09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31DFE2E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7510BC0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E09C83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785282A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5B2B4C3" w14:textId="77777777" w:rsidTr="00BD0BAA">
        <w:trPr>
          <w:jc w:val="center"/>
        </w:trPr>
        <w:tc>
          <w:tcPr>
            <w:tcW w:w="1843" w:type="dxa"/>
          </w:tcPr>
          <w:p w14:paraId="1DA7AC2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Lifestyle</w:t>
            </w:r>
          </w:p>
        </w:tc>
        <w:tc>
          <w:tcPr>
            <w:tcW w:w="968" w:type="dxa"/>
          </w:tcPr>
          <w:p w14:paraId="448324FC"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62EBDD2"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351F2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62F9947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0.799</w:t>
            </w:r>
          </w:p>
        </w:tc>
        <w:tc>
          <w:tcPr>
            <w:tcW w:w="922" w:type="dxa"/>
          </w:tcPr>
          <w:p w14:paraId="1BC10C4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0.882</w:t>
            </w:r>
          </w:p>
        </w:tc>
        <w:tc>
          <w:tcPr>
            <w:tcW w:w="936" w:type="dxa"/>
          </w:tcPr>
          <w:p w14:paraId="58007CA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0.713</w:t>
            </w:r>
          </w:p>
        </w:tc>
        <w:tc>
          <w:tcPr>
            <w:tcW w:w="1084" w:type="dxa"/>
          </w:tcPr>
          <w:p w14:paraId="25BAAE0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E020B4F" w14:textId="77777777" w:rsidTr="00BD0BAA">
        <w:trPr>
          <w:jc w:val="center"/>
        </w:trPr>
        <w:tc>
          <w:tcPr>
            <w:tcW w:w="1843" w:type="dxa"/>
            <w:tcBorders>
              <w:bottom w:val="nil"/>
            </w:tcBorders>
          </w:tcPr>
          <w:p w14:paraId="33CD4022"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1</w:t>
            </w:r>
          </w:p>
        </w:tc>
        <w:tc>
          <w:tcPr>
            <w:tcW w:w="968" w:type="dxa"/>
            <w:tcBorders>
              <w:bottom w:val="nil"/>
            </w:tcBorders>
          </w:tcPr>
          <w:p w14:paraId="6422210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0.762</w:t>
            </w:r>
          </w:p>
        </w:tc>
        <w:tc>
          <w:tcPr>
            <w:tcW w:w="1005" w:type="dxa"/>
            <w:tcBorders>
              <w:bottom w:val="nil"/>
            </w:tcBorders>
          </w:tcPr>
          <w:p w14:paraId="0C5A111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0.737</w:t>
            </w:r>
          </w:p>
        </w:tc>
        <w:tc>
          <w:tcPr>
            <w:tcW w:w="1005" w:type="dxa"/>
            <w:tcBorders>
              <w:bottom w:val="nil"/>
            </w:tcBorders>
          </w:tcPr>
          <w:p w14:paraId="764E69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0.789</w:t>
            </w:r>
          </w:p>
        </w:tc>
        <w:tc>
          <w:tcPr>
            <w:tcW w:w="922" w:type="dxa"/>
            <w:tcBorders>
              <w:bottom w:val="nil"/>
            </w:tcBorders>
          </w:tcPr>
          <w:p w14:paraId="392DC0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B30584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8B76EA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301D45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661BBBC" w14:textId="77777777" w:rsidTr="00BD0BAA">
        <w:trPr>
          <w:jc w:val="center"/>
        </w:trPr>
        <w:tc>
          <w:tcPr>
            <w:tcW w:w="1843" w:type="dxa"/>
            <w:tcBorders>
              <w:top w:val="nil"/>
              <w:bottom w:val="nil"/>
            </w:tcBorders>
          </w:tcPr>
          <w:p w14:paraId="5F78D4C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2</w:t>
            </w:r>
          </w:p>
        </w:tc>
        <w:tc>
          <w:tcPr>
            <w:tcW w:w="968" w:type="dxa"/>
            <w:tcBorders>
              <w:top w:val="nil"/>
              <w:bottom w:val="nil"/>
            </w:tcBorders>
          </w:tcPr>
          <w:p w14:paraId="3987B28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25D8D5E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0.628</w:t>
            </w:r>
          </w:p>
        </w:tc>
        <w:tc>
          <w:tcPr>
            <w:tcW w:w="1005" w:type="dxa"/>
            <w:tcBorders>
              <w:top w:val="nil"/>
              <w:bottom w:val="nil"/>
            </w:tcBorders>
          </w:tcPr>
          <w:p w14:paraId="0A922E1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24FE42C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953B44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37597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70E08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C21F8A1" w14:textId="77777777" w:rsidTr="00BD0BAA">
        <w:trPr>
          <w:jc w:val="center"/>
        </w:trPr>
        <w:tc>
          <w:tcPr>
            <w:tcW w:w="1843" w:type="dxa"/>
            <w:tcBorders>
              <w:top w:val="nil"/>
              <w:bottom w:val="nil"/>
            </w:tcBorders>
          </w:tcPr>
          <w:p w14:paraId="7E6BF35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3</w:t>
            </w:r>
          </w:p>
        </w:tc>
        <w:tc>
          <w:tcPr>
            <w:tcW w:w="968" w:type="dxa"/>
            <w:tcBorders>
              <w:top w:val="nil"/>
              <w:bottom w:val="nil"/>
            </w:tcBorders>
          </w:tcPr>
          <w:p w14:paraId="0E63147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0.821</w:t>
            </w:r>
          </w:p>
        </w:tc>
        <w:tc>
          <w:tcPr>
            <w:tcW w:w="1005" w:type="dxa"/>
            <w:tcBorders>
              <w:top w:val="nil"/>
              <w:bottom w:val="nil"/>
            </w:tcBorders>
          </w:tcPr>
          <w:p w14:paraId="0A15EF2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0.831</w:t>
            </w:r>
          </w:p>
        </w:tc>
        <w:tc>
          <w:tcPr>
            <w:tcW w:w="1005" w:type="dxa"/>
            <w:tcBorders>
              <w:top w:val="nil"/>
              <w:bottom w:val="nil"/>
            </w:tcBorders>
          </w:tcPr>
          <w:p w14:paraId="0683982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0.863</w:t>
            </w:r>
          </w:p>
        </w:tc>
        <w:tc>
          <w:tcPr>
            <w:tcW w:w="922" w:type="dxa"/>
            <w:tcBorders>
              <w:top w:val="nil"/>
              <w:bottom w:val="nil"/>
            </w:tcBorders>
          </w:tcPr>
          <w:p w14:paraId="0171283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D1FF50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E0913B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D4571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79DA471" w14:textId="77777777" w:rsidTr="00BD0BAA">
        <w:trPr>
          <w:jc w:val="center"/>
        </w:trPr>
        <w:tc>
          <w:tcPr>
            <w:tcW w:w="1843" w:type="dxa"/>
            <w:tcBorders>
              <w:top w:val="nil"/>
              <w:bottom w:val="nil"/>
            </w:tcBorders>
          </w:tcPr>
          <w:p w14:paraId="2E4BFA2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4</w:t>
            </w:r>
          </w:p>
        </w:tc>
        <w:tc>
          <w:tcPr>
            <w:tcW w:w="968" w:type="dxa"/>
            <w:tcBorders>
              <w:top w:val="nil"/>
              <w:bottom w:val="nil"/>
            </w:tcBorders>
          </w:tcPr>
          <w:p w14:paraId="33C77BF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0.506</w:t>
            </w:r>
          </w:p>
        </w:tc>
        <w:tc>
          <w:tcPr>
            <w:tcW w:w="1005" w:type="dxa"/>
            <w:tcBorders>
              <w:top w:val="nil"/>
              <w:bottom w:val="nil"/>
            </w:tcBorders>
          </w:tcPr>
          <w:p w14:paraId="06EB5A2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0DEE05C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F5F551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75031F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A9AA0A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9114C0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951684" w14:textId="77777777" w:rsidTr="00BD0BAA">
        <w:trPr>
          <w:jc w:val="center"/>
        </w:trPr>
        <w:tc>
          <w:tcPr>
            <w:tcW w:w="1843" w:type="dxa"/>
            <w:tcBorders>
              <w:top w:val="nil"/>
              <w:bottom w:val="nil"/>
            </w:tcBorders>
          </w:tcPr>
          <w:p w14:paraId="75BA7A5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5</w:t>
            </w:r>
          </w:p>
        </w:tc>
        <w:tc>
          <w:tcPr>
            <w:tcW w:w="968" w:type="dxa"/>
            <w:tcBorders>
              <w:top w:val="nil"/>
              <w:bottom w:val="nil"/>
            </w:tcBorders>
          </w:tcPr>
          <w:p w14:paraId="0DF415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67F05EF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0.660</w:t>
            </w:r>
          </w:p>
        </w:tc>
        <w:tc>
          <w:tcPr>
            <w:tcW w:w="1005" w:type="dxa"/>
            <w:tcBorders>
              <w:top w:val="nil"/>
              <w:bottom w:val="nil"/>
            </w:tcBorders>
          </w:tcPr>
          <w:p w14:paraId="0B792B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428AEAB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5C6A8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26F2E9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7E5AE1CB"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A484EF0" w14:textId="77777777" w:rsidTr="00BD0BAA">
        <w:trPr>
          <w:jc w:val="center"/>
        </w:trPr>
        <w:tc>
          <w:tcPr>
            <w:tcW w:w="1843" w:type="dxa"/>
            <w:tcBorders>
              <w:top w:val="nil"/>
            </w:tcBorders>
          </w:tcPr>
          <w:p w14:paraId="158DBA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6</w:t>
            </w:r>
          </w:p>
        </w:tc>
        <w:tc>
          <w:tcPr>
            <w:tcW w:w="968" w:type="dxa"/>
            <w:tcBorders>
              <w:top w:val="nil"/>
            </w:tcBorders>
          </w:tcPr>
          <w:p w14:paraId="7942D1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0.783</w:t>
            </w:r>
          </w:p>
        </w:tc>
        <w:tc>
          <w:tcPr>
            <w:tcW w:w="1005" w:type="dxa"/>
            <w:tcBorders>
              <w:top w:val="nil"/>
            </w:tcBorders>
          </w:tcPr>
          <w:p w14:paraId="137CAAC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0.786</w:t>
            </w:r>
          </w:p>
        </w:tc>
        <w:tc>
          <w:tcPr>
            <w:tcW w:w="1005" w:type="dxa"/>
            <w:tcBorders>
              <w:top w:val="nil"/>
            </w:tcBorders>
          </w:tcPr>
          <w:p w14:paraId="30B025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0.879</w:t>
            </w:r>
          </w:p>
        </w:tc>
        <w:tc>
          <w:tcPr>
            <w:tcW w:w="922" w:type="dxa"/>
            <w:tcBorders>
              <w:top w:val="nil"/>
            </w:tcBorders>
          </w:tcPr>
          <w:p w14:paraId="709F5D35"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CC7B96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520AE1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51C2692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756E5C1" w14:textId="77777777" w:rsidTr="00BD0BAA">
        <w:trPr>
          <w:jc w:val="center"/>
        </w:trPr>
        <w:tc>
          <w:tcPr>
            <w:tcW w:w="1843" w:type="dxa"/>
          </w:tcPr>
          <w:p w14:paraId="3309244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Inclusion</w:t>
            </w:r>
          </w:p>
        </w:tc>
        <w:tc>
          <w:tcPr>
            <w:tcW w:w="968" w:type="dxa"/>
          </w:tcPr>
          <w:p w14:paraId="00C0AE01"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E00E6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095DF3D"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0A1E7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0.706</w:t>
            </w:r>
          </w:p>
        </w:tc>
        <w:tc>
          <w:tcPr>
            <w:tcW w:w="922" w:type="dxa"/>
          </w:tcPr>
          <w:p w14:paraId="2E361AE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6CB2EAC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0.630</w:t>
            </w:r>
          </w:p>
        </w:tc>
        <w:tc>
          <w:tcPr>
            <w:tcW w:w="1084" w:type="dxa"/>
          </w:tcPr>
          <w:p w14:paraId="26E5576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15A9B291" w14:textId="77777777" w:rsidTr="00BD0BAA">
        <w:trPr>
          <w:jc w:val="center"/>
        </w:trPr>
        <w:tc>
          <w:tcPr>
            <w:tcW w:w="1843" w:type="dxa"/>
            <w:tcBorders>
              <w:bottom w:val="nil"/>
            </w:tcBorders>
          </w:tcPr>
          <w:p w14:paraId="6BB9070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1</w:t>
            </w:r>
          </w:p>
        </w:tc>
        <w:tc>
          <w:tcPr>
            <w:tcW w:w="968" w:type="dxa"/>
            <w:tcBorders>
              <w:bottom w:val="nil"/>
            </w:tcBorders>
          </w:tcPr>
          <w:p w14:paraId="3450C4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0.610</w:t>
            </w:r>
          </w:p>
        </w:tc>
        <w:tc>
          <w:tcPr>
            <w:tcW w:w="1005" w:type="dxa"/>
            <w:tcBorders>
              <w:bottom w:val="nil"/>
            </w:tcBorders>
          </w:tcPr>
          <w:p w14:paraId="198F850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0.611</w:t>
            </w:r>
          </w:p>
        </w:tc>
        <w:tc>
          <w:tcPr>
            <w:tcW w:w="1005" w:type="dxa"/>
            <w:tcBorders>
              <w:bottom w:val="nil"/>
            </w:tcBorders>
          </w:tcPr>
          <w:p w14:paraId="31EEE9D5"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358D62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BFA45F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1B5B9EA7"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24E238CC"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BDAFC09" w14:textId="77777777" w:rsidTr="00BD0BAA">
        <w:trPr>
          <w:jc w:val="center"/>
        </w:trPr>
        <w:tc>
          <w:tcPr>
            <w:tcW w:w="1843" w:type="dxa"/>
            <w:tcBorders>
              <w:top w:val="nil"/>
              <w:bottom w:val="nil"/>
            </w:tcBorders>
          </w:tcPr>
          <w:p w14:paraId="2A3430F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2</w:t>
            </w:r>
          </w:p>
        </w:tc>
        <w:tc>
          <w:tcPr>
            <w:tcW w:w="968" w:type="dxa"/>
            <w:tcBorders>
              <w:top w:val="nil"/>
              <w:bottom w:val="nil"/>
            </w:tcBorders>
          </w:tcPr>
          <w:p w14:paraId="2F46D70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4BB43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5BE0DF7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CEA2EA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F0D772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2A0872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36EC727"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EB1AC79" w14:textId="77777777" w:rsidTr="00BD0BAA">
        <w:trPr>
          <w:jc w:val="center"/>
        </w:trPr>
        <w:tc>
          <w:tcPr>
            <w:tcW w:w="1843" w:type="dxa"/>
            <w:tcBorders>
              <w:top w:val="nil"/>
              <w:bottom w:val="nil"/>
            </w:tcBorders>
          </w:tcPr>
          <w:p w14:paraId="6B03A91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3</w:t>
            </w:r>
          </w:p>
        </w:tc>
        <w:tc>
          <w:tcPr>
            <w:tcW w:w="968" w:type="dxa"/>
            <w:tcBorders>
              <w:top w:val="nil"/>
              <w:bottom w:val="nil"/>
            </w:tcBorders>
          </w:tcPr>
          <w:p w14:paraId="067A4CD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1CE3AA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64FDBB8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510421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BC39B7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A2EC49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1F37E75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1BD6EF" w14:textId="77777777" w:rsidTr="00BD0BAA">
        <w:trPr>
          <w:jc w:val="center"/>
        </w:trPr>
        <w:tc>
          <w:tcPr>
            <w:tcW w:w="1843" w:type="dxa"/>
            <w:tcBorders>
              <w:top w:val="nil"/>
              <w:bottom w:val="nil"/>
            </w:tcBorders>
          </w:tcPr>
          <w:p w14:paraId="4132719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4</w:t>
            </w:r>
          </w:p>
        </w:tc>
        <w:tc>
          <w:tcPr>
            <w:tcW w:w="968" w:type="dxa"/>
            <w:tcBorders>
              <w:top w:val="nil"/>
              <w:bottom w:val="nil"/>
            </w:tcBorders>
          </w:tcPr>
          <w:p w14:paraId="473C098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6545E31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4526F1C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2155C9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88EFBA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0582E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1F6FB8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FFFB1F" w14:textId="77777777" w:rsidTr="00BD0BAA">
        <w:trPr>
          <w:jc w:val="center"/>
        </w:trPr>
        <w:tc>
          <w:tcPr>
            <w:tcW w:w="1843" w:type="dxa"/>
            <w:tcBorders>
              <w:top w:val="nil"/>
              <w:bottom w:val="nil"/>
            </w:tcBorders>
          </w:tcPr>
          <w:p w14:paraId="761182D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5</w:t>
            </w:r>
          </w:p>
        </w:tc>
        <w:tc>
          <w:tcPr>
            <w:tcW w:w="968" w:type="dxa"/>
            <w:tcBorders>
              <w:top w:val="nil"/>
              <w:bottom w:val="nil"/>
            </w:tcBorders>
          </w:tcPr>
          <w:p w14:paraId="18D45D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0EF07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2AB3E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0.828</w:t>
            </w:r>
          </w:p>
        </w:tc>
        <w:tc>
          <w:tcPr>
            <w:tcW w:w="922" w:type="dxa"/>
            <w:tcBorders>
              <w:top w:val="nil"/>
              <w:bottom w:val="nil"/>
            </w:tcBorders>
          </w:tcPr>
          <w:p w14:paraId="4F43AB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21B569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D5AD4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666A1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BF1ABDC" w14:textId="77777777" w:rsidTr="00BD0BAA">
        <w:trPr>
          <w:jc w:val="center"/>
        </w:trPr>
        <w:tc>
          <w:tcPr>
            <w:tcW w:w="1843" w:type="dxa"/>
            <w:tcBorders>
              <w:top w:val="nil"/>
              <w:bottom w:val="nil"/>
            </w:tcBorders>
          </w:tcPr>
          <w:p w14:paraId="6F51B22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6</w:t>
            </w:r>
          </w:p>
        </w:tc>
        <w:tc>
          <w:tcPr>
            <w:tcW w:w="968" w:type="dxa"/>
            <w:tcBorders>
              <w:top w:val="nil"/>
              <w:bottom w:val="nil"/>
            </w:tcBorders>
          </w:tcPr>
          <w:p w14:paraId="2C2C262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34BFC7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0.730</w:t>
            </w:r>
          </w:p>
        </w:tc>
        <w:tc>
          <w:tcPr>
            <w:tcW w:w="1005" w:type="dxa"/>
            <w:tcBorders>
              <w:top w:val="nil"/>
              <w:bottom w:val="nil"/>
            </w:tcBorders>
          </w:tcPr>
          <w:p w14:paraId="3C50DD0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0.735</w:t>
            </w:r>
          </w:p>
        </w:tc>
        <w:tc>
          <w:tcPr>
            <w:tcW w:w="922" w:type="dxa"/>
            <w:tcBorders>
              <w:top w:val="nil"/>
              <w:bottom w:val="nil"/>
            </w:tcBorders>
          </w:tcPr>
          <w:p w14:paraId="053D55DB"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D13580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A24B12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CABF56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1E00209" w14:textId="77777777" w:rsidTr="00BD0BAA">
        <w:trPr>
          <w:jc w:val="center"/>
        </w:trPr>
        <w:tc>
          <w:tcPr>
            <w:tcW w:w="1843" w:type="dxa"/>
            <w:tcBorders>
              <w:top w:val="nil"/>
            </w:tcBorders>
          </w:tcPr>
          <w:p w14:paraId="715AE9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7</w:t>
            </w:r>
          </w:p>
        </w:tc>
        <w:tc>
          <w:tcPr>
            <w:tcW w:w="968" w:type="dxa"/>
            <w:tcBorders>
              <w:top w:val="nil"/>
            </w:tcBorders>
          </w:tcPr>
          <w:p w14:paraId="47AB27D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0C23F25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5A13E26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0.816</w:t>
            </w:r>
          </w:p>
        </w:tc>
        <w:tc>
          <w:tcPr>
            <w:tcW w:w="922" w:type="dxa"/>
            <w:tcBorders>
              <w:top w:val="nil"/>
            </w:tcBorders>
          </w:tcPr>
          <w:p w14:paraId="47E115C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10D726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BE982C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6849CA3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019882" w14:textId="77777777" w:rsidTr="00BD0BAA">
        <w:trPr>
          <w:jc w:val="center"/>
        </w:trPr>
        <w:tc>
          <w:tcPr>
            <w:tcW w:w="1843" w:type="dxa"/>
          </w:tcPr>
          <w:p w14:paraId="39BB13D9"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Behavior</w:t>
            </w:r>
          </w:p>
        </w:tc>
        <w:tc>
          <w:tcPr>
            <w:tcW w:w="968" w:type="dxa"/>
          </w:tcPr>
          <w:p w14:paraId="58F539FB"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52BE3D5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6743B5F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2BA9185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0.728</w:t>
            </w:r>
          </w:p>
        </w:tc>
        <w:tc>
          <w:tcPr>
            <w:tcW w:w="922" w:type="dxa"/>
          </w:tcPr>
          <w:p w14:paraId="111726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36" w:type="dxa"/>
          </w:tcPr>
          <w:p w14:paraId="402EFFD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0.645</w:t>
            </w:r>
          </w:p>
        </w:tc>
        <w:tc>
          <w:tcPr>
            <w:tcW w:w="1084" w:type="dxa"/>
          </w:tcPr>
          <w:p w14:paraId="66197DF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7689A236" w14:textId="77777777" w:rsidTr="00BD0BAA">
        <w:trPr>
          <w:jc w:val="center"/>
        </w:trPr>
        <w:tc>
          <w:tcPr>
            <w:tcW w:w="1843" w:type="dxa"/>
            <w:tcBorders>
              <w:bottom w:val="nil"/>
            </w:tcBorders>
          </w:tcPr>
          <w:p w14:paraId="0744AD2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1</w:t>
            </w:r>
          </w:p>
        </w:tc>
        <w:tc>
          <w:tcPr>
            <w:tcW w:w="968" w:type="dxa"/>
            <w:tcBorders>
              <w:bottom w:val="nil"/>
            </w:tcBorders>
          </w:tcPr>
          <w:p w14:paraId="70B2DF9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1937C54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0B98C5C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Borders>
              <w:bottom w:val="nil"/>
            </w:tcBorders>
          </w:tcPr>
          <w:p w14:paraId="7EE77273"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101E90DA"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FA7C46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622668A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1EB865D" w14:textId="77777777" w:rsidTr="00BD0BAA">
        <w:trPr>
          <w:jc w:val="center"/>
        </w:trPr>
        <w:tc>
          <w:tcPr>
            <w:tcW w:w="1843" w:type="dxa"/>
            <w:tcBorders>
              <w:top w:val="nil"/>
              <w:bottom w:val="nil"/>
            </w:tcBorders>
          </w:tcPr>
          <w:p w14:paraId="1920DFC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2</w:t>
            </w:r>
          </w:p>
        </w:tc>
        <w:tc>
          <w:tcPr>
            <w:tcW w:w="968" w:type="dxa"/>
            <w:tcBorders>
              <w:top w:val="nil"/>
              <w:bottom w:val="nil"/>
            </w:tcBorders>
          </w:tcPr>
          <w:p w14:paraId="1D3516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18A484D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7A8957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1F319A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2ABEB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0E2E6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BAB9E79"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4A33175" w14:textId="77777777" w:rsidTr="00BD0BAA">
        <w:trPr>
          <w:jc w:val="center"/>
        </w:trPr>
        <w:tc>
          <w:tcPr>
            <w:tcW w:w="1843" w:type="dxa"/>
            <w:tcBorders>
              <w:top w:val="nil"/>
              <w:bottom w:val="nil"/>
            </w:tcBorders>
          </w:tcPr>
          <w:p w14:paraId="338E61B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3</w:t>
            </w:r>
          </w:p>
        </w:tc>
        <w:tc>
          <w:tcPr>
            <w:tcW w:w="968" w:type="dxa"/>
            <w:tcBorders>
              <w:top w:val="nil"/>
              <w:bottom w:val="nil"/>
            </w:tcBorders>
          </w:tcPr>
          <w:p w14:paraId="7848AC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1710D1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7B3F169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E52907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07C4D58"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BAFD9F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49F75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8C7F18" w14:textId="77777777" w:rsidTr="00BD0BAA">
        <w:trPr>
          <w:jc w:val="center"/>
        </w:trPr>
        <w:tc>
          <w:tcPr>
            <w:tcW w:w="1843" w:type="dxa"/>
            <w:tcBorders>
              <w:top w:val="nil"/>
              <w:bottom w:val="nil"/>
            </w:tcBorders>
          </w:tcPr>
          <w:p w14:paraId="03AD0F5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4</w:t>
            </w:r>
          </w:p>
        </w:tc>
        <w:tc>
          <w:tcPr>
            <w:tcW w:w="968" w:type="dxa"/>
            <w:tcBorders>
              <w:top w:val="nil"/>
              <w:bottom w:val="nil"/>
            </w:tcBorders>
          </w:tcPr>
          <w:p w14:paraId="2132ABD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0.746</w:t>
            </w:r>
          </w:p>
        </w:tc>
        <w:tc>
          <w:tcPr>
            <w:tcW w:w="1005" w:type="dxa"/>
            <w:tcBorders>
              <w:top w:val="nil"/>
              <w:bottom w:val="nil"/>
            </w:tcBorders>
          </w:tcPr>
          <w:p w14:paraId="2FF811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0.745</w:t>
            </w:r>
          </w:p>
        </w:tc>
        <w:tc>
          <w:tcPr>
            <w:tcW w:w="1005" w:type="dxa"/>
            <w:tcBorders>
              <w:top w:val="nil"/>
              <w:bottom w:val="nil"/>
            </w:tcBorders>
          </w:tcPr>
          <w:p w14:paraId="5ACA21B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0.749</w:t>
            </w:r>
          </w:p>
        </w:tc>
        <w:tc>
          <w:tcPr>
            <w:tcW w:w="922" w:type="dxa"/>
            <w:tcBorders>
              <w:top w:val="nil"/>
              <w:bottom w:val="nil"/>
            </w:tcBorders>
          </w:tcPr>
          <w:p w14:paraId="177D22F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6B3D06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4FA5E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9BC97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498D8E" w14:textId="77777777" w:rsidTr="00BD0BAA">
        <w:trPr>
          <w:jc w:val="center"/>
        </w:trPr>
        <w:tc>
          <w:tcPr>
            <w:tcW w:w="1843" w:type="dxa"/>
            <w:tcBorders>
              <w:top w:val="nil"/>
            </w:tcBorders>
          </w:tcPr>
          <w:p w14:paraId="20F4A3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5</w:t>
            </w:r>
          </w:p>
        </w:tc>
        <w:tc>
          <w:tcPr>
            <w:tcW w:w="968" w:type="dxa"/>
            <w:tcBorders>
              <w:top w:val="nil"/>
            </w:tcBorders>
          </w:tcPr>
          <w:p w14:paraId="6436C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24AF509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74B3C58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tcBorders>
          </w:tcPr>
          <w:p w14:paraId="2FAD1AD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1EEA90E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27C4D01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4470FA92" w14:textId="77777777" w:rsidR="00C16090" w:rsidRPr="005E1216" w:rsidRDefault="00C16090" w:rsidP="00BD0BAA">
            <w:pPr>
              <w:tabs>
                <w:tab w:val="left" w:pos="1141"/>
              </w:tabs>
              <w:jc w:val="both"/>
              <w:rPr>
                <w:rFonts w:ascii="Arial" w:hAnsi="Arial" w:cs="Arial"/>
                <w:sz w:val="20"/>
                <w:szCs w:val="20"/>
                <w:lang w:val="id-ID"/>
              </w:rPr>
            </w:pPr>
          </w:p>
        </w:tc>
      </w:tr>
    </w:tbl>
    <w:p w14:paraId="49C8443F" w14:textId="77777777" w:rsidR="00C16090" w:rsidRPr="00734CDE" w:rsidRDefault="00C16090" w:rsidP="00C16090">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F2A3E05" w14:textId="77777777" w:rsidR="00C16090" w:rsidRDefault="00C16090" w:rsidP="00C16090">
      <w:pPr>
        <w:spacing w:after="0"/>
        <w:jc w:val="center"/>
        <w:rPr>
          <w:rFonts w:ascii="Arial" w:hAnsi="Arial"/>
          <w:sz w:val="20"/>
          <w:szCs w:val="20"/>
          <w:lang w:val="id-ID"/>
        </w:rPr>
      </w:pPr>
    </w:p>
    <w:p w14:paraId="13F3720D" w14:textId="77777777" w:rsidR="00BD096E" w:rsidRDefault="00BD096E" w:rsidP="00BD096E">
      <w:pPr>
        <w:tabs>
          <w:tab w:val="left" w:pos="1141"/>
        </w:tabs>
        <w:spacing w:after="0"/>
        <w:jc w:val="both"/>
        <w:rPr>
          <w:rFonts w:ascii="Arial" w:hAnsi="Arial" w:cs="Arial"/>
          <w:sz w:val="20"/>
          <w:szCs w:val="20"/>
          <w:lang w:val="id-ID"/>
        </w:rPr>
      </w:pPr>
      <w:r>
        <w:rPr>
          <w:rFonts w:ascii="Arial" w:hAnsi="Arial" w:cs="Arial"/>
          <w:sz w:val="20"/>
          <w:szCs w:val="20"/>
          <w:lang w:val="id-ID"/>
        </w:rPr>
        <w:t xml:space="preserve">Discriminant validity is a test that compares the AVE of each construct with its correlation with other components, used to assess discriminant validity. As see in Table 4, the results show that the square root of the AVE for each construct is greather than the correlation with other constructs, indicating that each </w:t>
      </w:r>
      <w:r>
        <w:rPr>
          <w:rFonts w:ascii="Arial" w:hAnsi="Arial" w:cs="Arial"/>
          <w:sz w:val="20"/>
          <w:szCs w:val="20"/>
          <w:lang w:val="id-ID"/>
        </w:rPr>
        <w:lastRenderedPageBreak/>
        <w:t xml:space="preserve">latent variable is distinct. Consequently, each construct meets the criteria for discriminant validity and is suitable for further SEM-PLS testing. </w:t>
      </w:r>
    </w:p>
    <w:p w14:paraId="3FA40F80" w14:textId="77777777" w:rsidR="00BD096E" w:rsidRDefault="00BD096E" w:rsidP="00BD096E">
      <w:pPr>
        <w:spacing w:after="0"/>
        <w:rPr>
          <w:rFonts w:ascii="Arial" w:hAnsi="Arial"/>
          <w:sz w:val="20"/>
          <w:szCs w:val="20"/>
          <w:lang w:val="id-ID"/>
        </w:rPr>
      </w:pPr>
    </w:p>
    <w:p w14:paraId="7423B2E3" w14:textId="77777777" w:rsidR="00E46FC3" w:rsidRDefault="00E46FC3" w:rsidP="00E46FC3">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Table 4. Discriminant Validity</w:t>
      </w:r>
    </w:p>
    <w:p w14:paraId="1892A72D" w14:textId="77777777" w:rsidR="00E46FC3" w:rsidRPr="005E1216" w:rsidRDefault="00E46FC3" w:rsidP="00E46FC3">
      <w:pPr>
        <w:tabs>
          <w:tab w:val="left" w:pos="1141"/>
        </w:tabs>
        <w:spacing w:after="0"/>
        <w:jc w:val="center"/>
        <w:rPr>
          <w:rFonts w:ascii="Arial" w:hAnsi="Arial" w:cs="Arial"/>
          <w:b/>
          <w:bCs/>
          <w:sz w:val="20"/>
          <w:szCs w:val="20"/>
          <w:lang w:val="id-ID"/>
        </w:rPr>
      </w:pPr>
    </w:p>
    <w:tbl>
      <w:tblPr>
        <w:tblStyle w:val="TableGrid"/>
        <w:tblW w:w="0" w:type="auto"/>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1434"/>
        <w:gridCol w:w="1575"/>
        <w:gridCol w:w="1554"/>
        <w:gridCol w:w="1568"/>
        <w:gridCol w:w="1571"/>
        <w:gridCol w:w="1511"/>
      </w:tblGrid>
      <w:tr w:rsidR="00E46FC3" w:rsidRPr="005E1216" w14:paraId="228E686E" w14:textId="77777777" w:rsidTr="00BD0BAA">
        <w:tc>
          <w:tcPr>
            <w:tcW w:w="1434" w:type="dxa"/>
          </w:tcPr>
          <w:p w14:paraId="4D2434CD" w14:textId="77777777" w:rsidR="00E46FC3" w:rsidRPr="005E1216" w:rsidRDefault="00E46FC3" w:rsidP="00BD0BAA">
            <w:pPr>
              <w:tabs>
                <w:tab w:val="left" w:pos="1141"/>
              </w:tabs>
              <w:jc w:val="center"/>
              <w:rPr>
                <w:rFonts w:ascii="Arial" w:hAnsi="Arial" w:cs="Arial"/>
                <w:sz w:val="20"/>
                <w:szCs w:val="20"/>
                <w:lang w:val="id-ID"/>
              </w:rPr>
            </w:pPr>
          </w:p>
        </w:tc>
        <w:tc>
          <w:tcPr>
            <w:tcW w:w="1575" w:type="dxa"/>
          </w:tcPr>
          <w:p w14:paraId="010A72F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54" w:type="dxa"/>
          </w:tcPr>
          <w:p w14:paraId="08E8528F"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68" w:type="dxa"/>
          </w:tcPr>
          <w:p w14:paraId="53B3E49B"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1" w:type="dxa"/>
          </w:tcPr>
          <w:p w14:paraId="3755FD8A"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11" w:type="dxa"/>
          </w:tcPr>
          <w:p w14:paraId="78EC7697"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r>
      <w:tr w:rsidR="00E46FC3" w:rsidRPr="005E1216" w14:paraId="05ECFC04" w14:textId="77777777" w:rsidTr="00BD0BAA">
        <w:tc>
          <w:tcPr>
            <w:tcW w:w="1434" w:type="dxa"/>
            <w:tcBorders>
              <w:bottom w:val="nil"/>
            </w:tcBorders>
          </w:tcPr>
          <w:p w14:paraId="4C491B41"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75" w:type="dxa"/>
            <w:tcBorders>
              <w:bottom w:val="nil"/>
            </w:tcBorders>
          </w:tcPr>
          <w:p w14:paraId="2BA7578B"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0.851</w:t>
            </w:r>
          </w:p>
        </w:tc>
        <w:tc>
          <w:tcPr>
            <w:tcW w:w="1554" w:type="dxa"/>
            <w:tcBorders>
              <w:bottom w:val="nil"/>
            </w:tcBorders>
          </w:tcPr>
          <w:p w14:paraId="4DD63B8C" w14:textId="77777777" w:rsidR="00E46FC3" w:rsidRPr="005E1216" w:rsidRDefault="00E46FC3" w:rsidP="00BD0BAA">
            <w:pPr>
              <w:tabs>
                <w:tab w:val="left" w:pos="1141"/>
              </w:tabs>
              <w:jc w:val="center"/>
              <w:rPr>
                <w:rFonts w:ascii="Arial" w:hAnsi="Arial" w:cs="Arial"/>
                <w:sz w:val="20"/>
                <w:szCs w:val="20"/>
                <w:lang w:val="id-ID"/>
              </w:rPr>
            </w:pPr>
          </w:p>
        </w:tc>
        <w:tc>
          <w:tcPr>
            <w:tcW w:w="1568" w:type="dxa"/>
            <w:tcBorders>
              <w:bottom w:val="nil"/>
            </w:tcBorders>
          </w:tcPr>
          <w:p w14:paraId="2EB751B6"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bottom w:val="nil"/>
            </w:tcBorders>
          </w:tcPr>
          <w:p w14:paraId="49C68384"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bottom w:val="nil"/>
            </w:tcBorders>
          </w:tcPr>
          <w:p w14:paraId="5FB034F8"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4B7BD3C6" w14:textId="77777777" w:rsidTr="00BD0BAA">
        <w:tc>
          <w:tcPr>
            <w:tcW w:w="1434" w:type="dxa"/>
            <w:tcBorders>
              <w:top w:val="nil"/>
              <w:bottom w:val="nil"/>
            </w:tcBorders>
          </w:tcPr>
          <w:p w14:paraId="6F8CEAD6"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75" w:type="dxa"/>
            <w:tcBorders>
              <w:top w:val="nil"/>
              <w:bottom w:val="nil"/>
            </w:tcBorders>
          </w:tcPr>
          <w:p w14:paraId="0C19F53A"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0.734</w:t>
            </w:r>
          </w:p>
        </w:tc>
        <w:tc>
          <w:tcPr>
            <w:tcW w:w="1554" w:type="dxa"/>
            <w:tcBorders>
              <w:top w:val="nil"/>
              <w:bottom w:val="nil"/>
            </w:tcBorders>
          </w:tcPr>
          <w:p w14:paraId="5AE171AF"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68" w:type="dxa"/>
            <w:tcBorders>
              <w:top w:val="nil"/>
              <w:bottom w:val="nil"/>
            </w:tcBorders>
          </w:tcPr>
          <w:p w14:paraId="15D32895"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top w:val="nil"/>
              <w:bottom w:val="nil"/>
            </w:tcBorders>
          </w:tcPr>
          <w:p w14:paraId="60C8A615"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0C985830"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DCD19FB" w14:textId="77777777" w:rsidTr="00BD0BAA">
        <w:tc>
          <w:tcPr>
            <w:tcW w:w="1434" w:type="dxa"/>
            <w:tcBorders>
              <w:top w:val="nil"/>
              <w:bottom w:val="nil"/>
            </w:tcBorders>
          </w:tcPr>
          <w:p w14:paraId="68781E75"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5" w:type="dxa"/>
            <w:tcBorders>
              <w:top w:val="nil"/>
              <w:bottom w:val="nil"/>
            </w:tcBorders>
          </w:tcPr>
          <w:p w14:paraId="63354BF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0.640</w:t>
            </w:r>
          </w:p>
        </w:tc>
        <w:tc>
          <w:tcPr>
            <w:tcW w:w="1554" w:type="dxa"/>
            <w:tcBorders>
              <w:top w:val="nil"/>
              <w:bottom w:val="nil"/>
            </w:tcBorders>
          </w:tcPr>
          <w:p w14:paraId="0EAF237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0.758</w:t>
            </w:r>
          </w:p>
        </w:tc>
        <w:tc>
          <w:tcPr>
            <w:tcW w:w="1568" w:type="dxa"/>
            <w:tcBorders>
              <w:top w:val="nil"/>
              <w:bottom w:val="nil"/>
            </w:tcBorders>
          </w:tcPr>
          <w:p w14:paraId="6FEF2CB8"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0.845</w:t>
            </w:r>
          </w:p>
        </w:tc>
        <w:tc>
          <w:tcPr>
            <w:tcW w:w="1571" w:type="dxa"/>
            <w:tcBorders>
              <w:top w:val="nil"/>
              <w:bottom w:val="nil"/>
            </w:tcBorders>
          </w:tcPr>
          <w:p w14:paraId="45936F0D"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44182841"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5E0758CF" w14:textId="77777777" w:rsidTr="00BD0BAA">
        <w:tc>
          <w:tcPr>
            <w:tcW w:w="1434" w:type="dxa"/>
            <w:tcBorders>
              <w:top w:val="nil"/>
              <w:bottom w:val="nil"/>
            </w:tcBorders>
          </w:tcPr>
          <w:p w14:paraId="706AA040"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75" w:type="dxa"/>
            <w:tcBorders>
              <w:top w:val="nil"/>
              <w:bottom w:val="nil"/>
            </w:tcBorders>
          </w:tcPr>
          <w:p w14:paraId="4592B102"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0.563</w:t>
            </w:r>
          </w:p>
        </w:tc>
        <w:tc>
          <w:tcPr>
            <w:tcW w:w="1554" w:type="dxa"/>
            <w:tcBorders>
              <w:top w:val="nil"/>
              <w:bottom w:val="nil"/>
            </w:tcBorders>
          </w:tcPr>
          <w:p w14:paraId="279D7A03"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0.652</w:t>
            </w:r>
          </w:p>
        </w:tc>
        <w:tc>
          <w:tcPr>
            <w:tcW w:w="1568" w:type="dxa"/>
            <w:tcBorders>
              <w:top w:val="nil"/>
              <w:bottom w:val="nil"/>
            </w:tcBorders>
          </w:tcPr>
          <w:p w14:paraId="5F5E8839"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0.636</w:t>
            </w:r>
          </w:p>
        </w:tc>
        <w:tc>
          <w:tcPr>
            <w:tcW w:w="1571" w:type="dxa"/>
            <w:tcBorders>
              <w:top w:val="nil"/>
              <w:bottom w:val="nil"/>
            </w:tcBorders>
          </w:tcPr>
          <w:p w14:paraId="489CE951"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11" w:type="dxa"/>
            <w:tcBorders>
              <w:top w:val="nil"/>
              <w:bottom w:val="nil"/>
            </w:tcBorders>
          </w:tcPr>
          <w:p w14:paraId="46AFB6DF"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4D80BAA" w14:textId="77777777" w:rsidTr="00BD0BAA">
        <w:tc>
          <w:tcPr>
            <w:tcW w:w="1434" w:type="dxa"/>
            <w:tcBorders>
              <w:top w:val="nil"/>
            </w:tcBorders>
          </w:tcPr>
          <w:p w14:paraId="5AE6E83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c>
          <w:tcPr>
            <w:tcW w:w="1575" w:type="dxa"/>
            <w:tcBorders>
              <w:top w:val="nil"/>
            </w:tcBorders>
          </w:tcPr>
          <w:p w14:paraId="6766AEB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0.732</w:t>
            </w:r>
          </w:p>
        </w:tc>
        <w:tc>
          <w:tcPr>
            <w:tcW w:w="1554" w:type="dxa"/>
            <w:tcBorders>
              <w:top w:val="nil"/>
            </w:tcBorders>
          </w:tcPr>
          <w:p w14:paraId="69487EAF"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0.773</w:t>
            </w:r>
          </w:p>
        </w:tc>
        <w:tc>
          <w:tcPr>
            <w:tcW w:w="1568" w:type="dxa"/>
            <w:tcBorders>
              <w:top w:val="nil"/>
            </w:tcBorders>
          </w:tcPr>
          <w:p w14:paraId="1D30FD3B"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0.785</w:t>
            </w:r>
          </w:p>
        </w:tc>
        <w:tc>
          <w:tcPr>
            <w:tcW w:w="1571" w:type="dxa"/>
            <w:tcBorders>
              <w:top w:val="nil"/>
            </w:tcBorders>
          </w:tcPr>
          <w:p w14:paraId="7B6F8B5C"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0.705</w:t>
            </w:r>
          </w:p>
        </w:tc>
        <w:tc>
          <w:tcPr>
            <w:tcW w:w="1511" w:type="dxa"/>
            <w:tcBorders>
              <w:top w:val="nil"/>
            </w:tcBorders>
          </w:tcPr>
          <w:p w14:paraId="01423AD7"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0.803</w:t>
            </w:r>
          </w:p>
        </w:tc>
      </w:tr>
    </w:tbl>
    <w:p w14:paraId="4F44767D" w14:textId="77777777" w:rsidR="00E46FC3" w:rsidRPr="00734CDE" w:rsidRDefault="00E46FC3" w:rsidP="00E46FC3">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DD088F9" w14:textId="77777777" w:rsidR="00E46FC3" w:rsidRPr="008D6C43" w:rsidRDefault="00E46FC3" w:rsidP="00E46FC3">
      <w:pPr>
        <w:spacing w:after="0"/>
        <w:jc w:val="center"/>
        <w:rPr>
          <w:rFonts w:ascii="Arial" w:hAnsi="Arial"/>
          <w:sz w:val="20"/>
          <w:szCs w:val="20"/>
          <w:lang w:val="id-ID"/>
        </w:rPr>
      </w:pPr>
    </w:p>
    <w:p w14:paraId="40F1A6F1" w14:textId="294AF074" w:rsidR="00910524" w:rsidRDefault="00910524" w:rsidP="00910524">
      <w:pPr>
        <w:spacing w:after="0"/>
        <w:rPr>
          <w:rFonts w:ascii="Arial" w:hAnsi="Arial"/>
          <w:sz w:val="22"/>
          <w:szCs w:val="22"/>
          <w:lang w:val="id-ID"/>
        </w:rPr>
      </w:pPr>
      <w:r>
        <w:rPr>
          <w:rFonts w:ascii="Arial" w:hAnsi="Arial"/>
          <w:sz w:val="22"/>
          <w:szCs w:val="22"/>
          <w:lang w:val="id-ID"/>
        </w:rPr>
        <w:t>4.1.4 Inner Model</w:t>
      </w:r>
    </w:p>
    <w:p w14:paraId="051081C4" w14:textId="77777777" w:rsidR="00200833" w:rsidRDefault="00200833" w:rsidP="00910524">
      <w:pPr>
        <w:spacing w:after="0"/>
        <w:rPr>
          <w:rFonts w:ascii="Arial" w:hAnsi="Arial"/>
          <w:sz w:val="20"/>
          <w:szCs w:val="20"/>
          <w:lang w:val="id-ID"/>
        </w:rPr>
      </w:pPr>
    </w:p>
    <w:p w14:paraId="2D797A13" w14:textId="77777777" w:rsidR="00200833" w:rsidRDefault="00200833" w:rsidP="00200833">
      <w:pPr>
        <w:tabs>
          <w:tab w:val="left" w:pos="1141"/>
        </w:tabs>
        <w:spacing w:after="0"/>
        <w:jc w:val="both"/>
        <w:rPr>
          <w:rFonts w:ascii="Arial" w:hAnsi="Arial" w:cs="Arial"/>
          <w:sz w:val="20"/>
          <w:szCs w:val="20"/>
          <w:lang w:val="id-ID"/>
        </w:rPr>
      </w:pPr>
      <w:r w:rsidRPr="005E1216">
        <w:rPr>
          <w:rFonts w:ascii="Arial" w:hAnsi="Arial" w:cs="Arial"/>
          <w:sz w:val="20"/>
          <w:szCs w:val="20"/>
          <w:lang w:val="id-ID"/>
        </w:rPr>
        <w:t>This study also examined the structural model (Inner Model) to determine how the latent constructs relate to each other, as predicted in this study.</w:t>
      </w:r>
      <w:r>
        <w:rPr>
          <w:rFonts w:ascii="Arial" w:hAnsi="Arial" w:cs="Arial"/>
          <w:sz w:val="20"/>
          <w:szCs w:val="20"/>
          <w:lang w:val="id-ID"/>
        </w:rPr>
        <w:t xml:space="preserve"> From table 4, the R-Square value for financial behavior is 0,759, therefore R-Square has a substantial level of accurary because according to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research","type":"article-journal","volume":"26"},"uris":["http://www.mendeley.com/documents/?uuid=c7594df9-cb39-4979-8d56-b62ab1cf8162"]}],"mendeley":{"formattedCitation":"(Hair et al. 2014)","manualFormatting":"Hair et al. (2014)","plainTextFormattedCitation":"(Hair et al. 2014)","previouslyFormattedCitation":"(Hair et al. 2014)"},"properties":{"noteIndex":0},"schema":"https://github.com/citation-style-language/schema/raw/master/csl-citation.json"}</w:instrText>
      </w:r>
      <w:r>
        <w:rPr>
          <w:rFonts w:ascii="Arial" w:hAnsi="Arial" w:cs="Arial"/>
          <w:sz w:val="20"/>
          <w:szCs w:val="20"/>
          <w:lang w:val="id-ID"/>
        </w:rPr>
        <w:fldChar w:fldCharType="separate"/>
      </w:r>
      <w:r w:rsidRPr="006E3BDC">
        <w:rPr>
          <w:rFonts w:ascii="Arial" w:hAnsi="Arial" w:cs="Arial"/>
          <w:noProof/>
          <w:sz w:val="20"/>
          <w:szCs w:val="20"/>
          <w:lang w:val="id-ID"/>
        </w:rPr>
        <w:t xml:space="preserve">Hair et al. </w:t>
      </w:r>
      <w:r>
        <w:rPr>
          <w:rFonts w:ascii="Arial" w:hAnsi="Arial" w:cs="Arial"/>
          <w:noProof/>
          <w:sz w:val="20"/>
          <w:szCs w:val="20"/>
          <w:lang w:val="id-ID"/>
        </w:rPr>
        <w:t>(</w:t>
      </w:r>
      <w:r w:rsidRPr="006E3BDC">
        <w:rPr>
          <w:rFonts w:ascii="Arial" w:hAnsi="Arial" w:cs="Arial"/>
          <w:noProof/>
          <w:sz w:val="20"/>
          <w:szCs w:val="20"/>
          <w:lang w:val="id-ID"/>
        </w:rPr>
        <w:t>2014)</w:t>
      </w:r>
      <w:r>
        <w:rPr>
          <w:rFonts w:ascii="Arial" w:hAnsi="Arial" w:cs="Arial"/>
          <w:sz w:val="20"/>
          <w:szCs w:val="20"/>
          <w:lang w:val="id-ID"/>
        </w:rPr>
        <w:fldChar w:fldCharType="end"/>
      </w:r>
      <w:r>
        <w:rPr>
          <w:rFonts w:ascii="Arial" w:hAnsi="Arial" w:cs="Arial"/>
          <w:sz w:val="20"/>
          <w:szCs w:val="20"/>
          <w:lang w:val="id-ID"/>
        </w:rPr>
        <w:t>, there are substantial, moderate, and weak levels of R-Square accuracy (0,75, 0,50, 0,25)</w:t>
      </w:r>
      <w:r w:rsidRPr="005E1216">
        <w:rPr>
          <w:rFonts w:ascii="Arial" w:hAnsi="Arial" w:cs="Arial"/>
          <w:sz w:val="20"/>
          <w:szCs w:val="20"/>
          <w:lang w:val="id-ID"/>
        </w:rPr>
        <w:t>. This indicates that the variables of financial literacy, financial attitudes, lifestyle, and financial inclusion explain 75.9% of changes in financial behavior. The remainder is influenced by other factors not discussed in this study.</w:t>
      </w:r>
    </w:p>
    <w:p w14:paraId="5B0D6F73" w14:textId="77777777" w:rsidR="00200833" w:rsidRDefault="00200833" w:rsidP="00200833">
      <w:pPr>
        <w:spacing w:after="0"/>
        <w:rPr>
          <w:rFonts w:ascii="Arial" w:hAnsi="Arial"/>
          <w:sz w:val="20"/>
          <w:szCs w:val="20"/>
          <w:lang w:val="id-ID"/>
        </w:rPr>
      </w:pPr>
    </w:p>
    <w:p w14:paraId="6151C4E6" w14:textId="77777777" w:rsidR="00200833" w:rsidRPr="005E1216" w:rsidRDefault="00200833" w:rsidP="00467524">
      <w:pPr>
        <w:tabs>
          <w:tab w:val="left" w:pos="1141"/>
        </w:tabs>
        <w:ind w:left="36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5</w:t>
      </w:r>
      <w:r w:rsidRPr="005E1216">
        <w:rPr>
          <w:rFonts w:ascii="Arial" w:hAnsi="Arial" w:cs="Arial"/>
          <w:b/>
          <w:bCs/>
          <w:sz w:val="20"/>
          <w:szCs w:val="20"/>
          <w:lang w:val="id-ID"/>
        </w:rPr>
        <w:t>. R Square Test Results</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000"/>
        <w:gridCol w:w="2995"/>
        <w:gridCol w:w="3005"/>
      </w:tblGrid>
      <w:tr w:rsidR="00200833" w:rsidRPr="005E1216" w14:paraId="2371DF17" w14:textId="77777777" w:rsidTr="00BD0BAA">
        <w:tc>
          <w:tcPr>
            <w:tcW w:w="3000" w:type="dxa"/>
          </w:tcPr>
          <w:p w14:paraId="18FBA910" w14:textId="77777777" w:rsidR="00200833" w:rsidRPr="005E1216" w:rsidRDefault="00200833" w:rsidP="00467524">
            <w:pPr>
              <w:tabs>
                <w:tab w:val="left" w:pos="1141"/>
              </w:tabs>
              <w:jc w:val="center"/>
              <w:rPr>
                <w:rFonts w:ascii="Arial" w:hAnsi="Arial" w:cs="Arial"/>
                <w:sz w:val="20"/>
                <w:szCs w:val="20"/>
                <w:lang w:val="id-ID"/>
              </w:rPr>
            </w:pPr>
          </w:p>
        </w:tc>
        <w:tc>
          <w:tcPr>
            <w:tcW w:w="2995" w:type="dxa"/>
          </w:tcPr>
          <w:p w14:paraId="099187CF"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w:t>
            </w:r>
          </w:p>
        </w:tc>
        <w:tc>
          <w:tcPr>
            <w:tcW w:w="3005" w:type="dxa"/>
          </w:tcPr>
          <w:p w14:paraId="2F13BE22"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 Adjusted</w:t>
            </w:r>
          </w:p>
        </w:tc>
      </w:tr>
      <w:tr w:rsidR="00200833" w:rsidRPr="005E1216" w14:paraId="7561D116" w14:textId="77777777" w:rsidTr="00BD0BAA">
        <w:tc>
          <w:tcPr>
            <w:tcW w:w="3000" w:type="dxa"/>
          </w:tcPr>
          <w:p w14:paraId="62884CCC"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Behavior</w:t>
            </w:r>
          </w:p>
        </w:tc>
        <w:tc>
          <w:tcPr>
            <w:tcW w:w="2995" w:type="dxa"/>
          </w:tcPr>
          <w:p w14:paraId="21F706FA"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0.759</w:t>
            </w:r>
          </w:p>
        </w:tc>
        <w:tc>
          <w:tcPr>
            <w:tcW w:w="3005" w:type="dxa"/>
          </w:tcPr>
          <w:p w14:paraId="1CD368A2"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0.753</w:t>
            </w:r>
          </w:p>
        </w:tc>
      </w:tr>
    </w:tbl>
    <w:p w14:paraId="449F28B6" w14:textId="77777777" w:rsidR="00200833" w:rsidRDefault="00200833" w:rsidP="00200833">
      <w:pPr>
        <w:tabs>
          <w:tab w:val="left" w:pos="1141"/>
        </w:tabs>
        <w:spacing w:after="0"/>
        <w:ind w:left="66"/>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4178EFC" w14:textId="77777777" w:rsidR="00602E38" w:rsidRDefault="00602E38" w:rsidP="00910524">
      <w:pPr>
        <w:spacing w:after="0"/>
        <w:rPr>
          <w:rFonts w:ascii="Arial" w:hAnsi="Arial"/>
          <w:sz w:val="20"/>
          <w:szCs w:val="20"/>
          <w:lang w:val="id-ID"/>
        </w:rPr>
      </w:pPr>
    </w:p>
    <w:p w14:paraId="5BB941E2" w14:textId="7B96D287" w:rsidR="00910524" w:rsidRDefault="00910524" w:rsidP="00910524">
      <w:pPr>
        <w:spacing w:after="0"/>
        <w:rPr>
          <w:rFonts w:ascii="Arial" w:hAnsi="Arial"/>
          <w:sz w:val="22"/>
          <w:szCs w:val="22"/>
          <w:lang w:val="id-ID"/>
        </w:rPr>
      </w:pPr>
      <w:r>
        <w:rPr>
          <w:rFonts w:ascii="Arial" w:hAnsi="Arial"/>
          <w:sz w:val="22"/>
          <w:szCs w:val="22"/>
          <w:lang w:val="id-ID"/>
        </w:rPr>
        <w:t>4.1.5 Hypothesis Testing</w:t>
      </w:r>
    </w:p>
    <w:p w14:paraId="5C6DFB22" w14:textId="77777777" w:rsidR="009F61B6" w:rsidRDefault="009F61B6" w:rsidP="009F61B6">
      <w:pPr>
        <w:tabs>
          <w:tab w:val="left" w:pos="1141"/>
        </w:tabs>
        <w:spacing w:after="0"/>
        <w:jc w:val="both"/>
        <w:rPr>
          <w:rFonts w:ascii="Arial" w:hAnsi="Arial" w:cs="Arial"/>
          <w:sz w:val="20"/>
          <w:szCs w:val="20"/>
          <w:lang w:val="id-ID"/>
        </w:rPr>
      </w:pPr>
    </w:p>
    <w:p w14:paraId="27B38079" w14:textId="01AF9E0A" w:rsidR="009F61B6" w:rsidRDefault="009F61B6" w:rsidP="009F61B6">
      <w:pPr>
        <w:tabs>
          <w:tab w:val="left" w:pos="1141"/>
        </w:tabs>
        <w:spacing w:after="0"/>
        <w:jc w:val="both"/>
        <w:rPr>
          <w:rFonts w:ascii="Arial" w:hAnsi="Arial" w:cs="Arial"/>
          <w:sz w:val="20"/>
          <w:szCs w:val="20"/>
          <w:lang w:val="id-ID"/>
        </w:rPr>
      </w:pPr>
      <w:r w:rsidRPr="005E1216">
        <w:rPr>
          <w:rFonts w:ascii="Arial" w:hAnsi="Arial" w:cs="Arial"/>
          <w:sz w:val="20"/>
          <w:szCs w:val="20"/>
          <w:lang w:val="id-ID"/>
        </w:rPr>
        <w:t xml:space="preserve">Table </w:t>
      </w:r>
      <w:r>
        <w:rPr>
          <w:rFonts w:ascii="Arial" w:hAnsi="Arial" w:cs="Arial"/>
          <w:sz w:val="20"/>
          <w:szCs w:val="20"/>
          <w:lang w:val="id-ID"/>
        </w:rPr>
        <w:t>6</w:t>
      </w:r>
      <w:r w:rsidRPr="005E1216">
        <w:rPr>
          <w:rFonts w:ascii="Arial" w:hAnsi="Arial" w:cs="Arial"/>
          <w:sz w:val="20"/>
          <w:szCs w:val="20"/>
          <w:lang w:val="id-ID"/>
        </w:rPr>
        <w:t xml:space="preserve"> shows the results of the hypothesis testing, (H1)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4.501</w:t>
      </w:r>
      <w:r w:rsidRPr="005E1216">
        <w:rPr>
          <w:rFonts w:ascii="Arial" w:hAnsi="Arial" w:cs="Arial"/>
          <w:sz w:val="20"/>
          <w:szCs w:val="20"/>
          <w:lang w:val="id-ID"/>
        </w:rPr>
        <w:t xml:space="preserve"> &gt; 1.975, so that the results state that (H1) is accepted, which means there is a significant influence between financial literacy and financial behavior. With a coefficient value of 0</w:t>
      </w:r>
      <w:r w:rsidR="00B02338">
        <w:rPr>
          <w:rFonts w:ascii="Arial" w:hAnsi="Arial" w:cs="Arial"/>
          <w:sz w:val="20"/>
          <w:szCs w:val="20"/>
          <w:lang w:val="id-ID"/>
        </w:rPr>
        <w:t>.251</w:t>
      </w:r>
      <w:r w:rsidRPr="005E1216">
        <w:rPr>
          <w:rFonts w:ascii="Arial" w:hAnsi="Arial" w:cs="Arial"/>
          <w:sz w:val="20"/>
          <w:szCs w:val="20"/>
          <w:lang w:val="id-ID"/>
        </w:rPr>
        <w:t>, this shows that increasing financial literacy provides a positive contribution to financial behavior.</w:t>
      </w:r>
    </w:p>
    <w:p w14:paraId="2381AE3C" w14:textId="77777777" w:rsidR="009F61B6" w:rsidRDefault="009F61B6" w:rsidP="009F61B6">
      <w:pPr>
        <w:tabs>
          <w:tab w:val="left" w:pos="1141"/>
        </w:tabs>
        <w:spacing w:after="0"/>
        <w:jc w:val="both"/>
        <w:rPr>
          <w:rFonts w:ascii="Arial" w:hAnsi="Arial" w:cs="Arial"/>
          <w:sz w:val="20"/>
          <w:szCs w:val="20"/>
          <w:lang w:val="id-ID"/>
        </w:rPr>
      </w:pPr>
    </w:p>
    <w:p w14:paraId="7F64A69C" w14:textId="4CB62F45" w:rsidR="00176C0F" w:rsidRDefault="0086056E"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2</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sidR="00201A30">
        <w:rPr>
          <w:rFonts w:ascii="Arial" w:hAnsi="Arial" w:cs="Arial"/>
          <w:sz w:val="20"/>
          <w:szCs w:val="20"/>
          <w:lang w:val="id-ID"/>
        </w:rPr>
        <w:t>2.</w:t>
      </w:r>
      <w:r w:rsidR="00196173">
        <w:rPr>
          <w:rFonts w:ascii="Arial" w:hAnsi="Arial" w:cs="Arial"/>
          <w:sz w:val="20"/>
          <w:szCs w:val="20"/>
          <w:lang w:val="id-ID"/>
        </w:rPr>
        <w:t>777</w:t>
      </w:r>
      <w:r w:rsidRPr="005E1216">
        <w:rPr>
          <w:rFonts w:ascii="Arial" w:hAnsi="Arial" w:cs="Arial"/>
          <w:sz w:val="20"/>
          <w:szCs w:val="20"/>
          <w:lang w:val="id-ID"/>
        </w:rPr>
        <w:t xml:space="preserve"> &gt; 1.975, so that the results state that (H</w:t>
      </w:r>
      <w:r>
        <w:rPr>
          <w:rFonts w:ascii="Arial" w:hAnsi="Arial" w:cs="Arial"/>
          <w:sz w:val="20"/>
          <w:szCs w:val="20"/>
          <w:lang w:val="id-ID"/>
        </w:rPr>
        <w:t>2</w:t>
      </w:r>
      <w:r w:rsidRPr="005E1216">
        <w:rPr>
          <w:rFonts w:ascii="Arial" w:hAnsi="Arial" w:cs="Arial"/>
          <w:sz w:val="20"/>
          <w:szCs w:val="20"/>
          <w:lang w:val="id-ID"/>
        </w:rPr>
        <w:t xml:space="preserve">) is accepted, which means there is a significant influence between financial </w:t>
      </w:r>
      <w:r w:rsidR="00201A30">
        <w:rPr>
          <w:rFonts w:ascii="Arial" w:hAnsi="Arial" w:cs="Arial"/>
          <w:sz w:val="20"/>
          <w:szCs w:val="20"/>
          <w:lang w:val="id-ID"/>
        </w:rPr>
        <w:t>attitude</w:t>
      </w:r>
      <w:r w:rsidRPr="005E1216">
        <w:rPr>
          <w:rFonts w:ascii="Arial" w:hAnsi="Arial" w:cs="Arial"/>
          <w:sz w:val="20"/>
          <w:szCs w:val="20"/>
          <w:lang w:val="id-ID"/>
        </w:rPr>
        <w:t xml:space="preserve"> and financial behavior. With a coefficient value of 0.</w:t>
      </w:r>
      <w:r w:rsidR="00B02338">
        <w:rPr>
          <w:rFonts w:ascii="Arial" w:hAnsi="Arial" w:cs="Arial"/>
          <w:sz w:val="20"/>
          <w:szCs w:val="20"/>
          <w:lang w:val="id-ID"/>
        </w:rPr>
        <w:t>182</w:t>
      </w:r>
      <w:r w:rsidRPr="005E1216">
        <w:rPr>
          <w:rFonts w:ascii="Arial" w:hAnsi="Arial" w:cs="Arial"/>
          <w:sz w:val="20"/>
          <w:szCs w:val="20"/>
          <w:lang w:val="id-ID"/>
        </w:rPr>
        <w:t xml:space="preserve">, this shows that increasing financial </w:t>
      </w:r>
      <w:r w:rsidR="00201A30">
        <w:rPr>
          <w:rFonts w:ascii="Arial" w:hAnsi="Arial" w:cs="Arial"/>
          <w:sz w:val="20"/>
          <w:szCs w:val="20"/>
          <w:lang w:val="id-ID"/>
        </w:rPr>
        <w:t xml:space="preserve">attitude </w:t>
      </w:r>
      <w:r w:rsidRPr="005E1216">
        <w:rPr>
          <w:rFonts w:ascii="Arial" w:hAnsi="Arial" w:cs="Arial"/>
          <w:sz w:val="20"/>
          <w:szCs w:val="20"/>
          <w:lang w:val="id-ID"/>
        </w:rPr>
        <w:t>provides a positive contribution to financial behavior.</w:t>
      </w:r>
    </w:p>
    <w:p w14:paraId="45D8C000" w14:textId="77777777" w:rsidR="00196173" w:rsidRDefault="00196173" w:rsidP="009F61B6">
      <w:pPr>
        <w:tabs>
          <w:tab w:val="left" w:pos="1141"/>
        </w:tabs>
        <w:spacing w:after="0"/>
        <w:jc w:val="both"/>
        <w:rPr>
          <w:rFonts w:ascii="Arial" w:hAnsi="Arial" w:cs="Arial"/>
          <w:sz w:val="20"/>
          <w:szCs w:val="20"/>
          <w:lang w:val="id-ID"/>
        </w:rPr>
      </w:pPr>
    </w:p>
    <w:p w14:paraId="71C37862" w14:textId="5EA1F5CA" w:rsidR="00196173" w:rsidRDefault="00196173"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3</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071D82">
        <w:rPr>
          <w:rFonts w:ascii="Arial" w:hAnsi="Arial" w:cs="Arial"/>
          <w:sz w:val="20"/>
          <w:szCs w:val="20"/>
          <w:lang w:val="id-ID"/>
        </w:rPr>
        <w:t>3</w:t>
      </w:r>
      <w:r w:rsidRPr="005E1216">
        <w:rPr>
          <w:rFonts w:ascii="Arial" w:hAnsi="Arial" w:cs="Arial"/>
          <w:sz w:val="20"/>
          <w:szCs w:val="20"/>
          <w:lang w:val="id-ID"/>
        </w:rPr>
        <w:t xml:space="preserve">) is accepted, which means there is a significant influence between </w:t>
      </w:r>
      <w:r w:rsidR="00071D82">
        <w:rPr>
          <w:rFonts w:ascii="Arial" w:hAnsi="Arial" w:cs="Arial"/>
          <w:sz w:val="20"/>
          <w:szCs w:val="20"/>
          <w:lang w:val="id-ID"/>
        </w:rPr>
        <w:t>lifestyle</w:t>
      </w:r>
      <w:r w:rsidRPr="005E1216">
        <w:rPr>
          <w:rFonts w:ascii="Arial" w:hAnsi="Arial" w:cs="Arial"/>
          <w:sz w:val="20"/>
          <w:szCs w:val="20"/>
          <w:lang w:val="id-ID"/>
        </w:rPr>
        <w:t xml:space="preserve"> and financial behavior. With a coefficient value of 0.3</w:t>
      </w:r>
      <w:r w:rsidR="00B02338">
        <w:rPr>
          <w:rFonts w:ascii="Arial" w:hAnsi="Arial" w:cs="Arial"/>
          <w:sz w:val="20"/>
          <w:szCs w:val="20"/>
          <w:lang w:val="id-ID"/>
        </w:rPr>
        <w:t>40</w:t>
      </w:r>
      <w:r w:rsidRPr="005E1216">
        <w:rPr>
          <w:rFonts w:ascii="Arial" w:hAnsi="Arial" w:cs="Arial"/>
          <w:sz w:val="20"/>
          <w:szCs w:val="20"/>
          <w:lang w:val="id-ID"/>
        </w:rPr>
        <w:t xml:space="preserve">, this shows that increasing </w:t>
      </w:r>
      <w:r w:rsidR="00071D82">
        <w:rPr>
          <w:rFonts w:ascii="Arial" w:hAnsi="Arial" w:cs="Arial"/>
          <w:sz w:val="20"/>
          <w:szCs w:val="20"/>
          <w:lang w:val="id-ID"/>
        </w:rPr>
        <w:t>lifestyle</w:t>
      </w:r>
      <w:r w:rsidR="00071D82" w:rsidRPr="005E1216">
        <w:rPr>
          <w:rFonts w:ascii="Arial" w:hAnsi="Arial" w:cs="Arial"/>
          <w:sz w:val="20"/>
          <w:szCs w:val="20"/>
          <w:lang w:val="id-ID"/>
        </w:rPr>
        <w:t xml:space="preserve"> </w:t>
      </w:r>
      <w:r w:rsidRPr="005E1216">
        <w:rPr>
          <w:rFonts w:ascii="Arial" w:hAnsi="Arial" w:cs="Arial"/>
          <w:sz w:val="20"/>
          <w:szCs w:val="20"/>
          <w:lang w:val="id-ID"/>
        </w:rPr>
        <w:t>provides a positive contribution to financial behavior.</w:t>
      </w:r>
    </w:p>
    <w:p w14:paraId="29530843" w14:textId="77777777" w:rsidR="00471CCD" w:rsidRDefault="00471CCD" w:rsidP="009F61B6">
      <w:pPr>
        <w:tabs>
          <w:tab w:val="left" w:pos="1141"/>
        </w:tabs>
        <w:spacing w:after="0"/>
        <w:jc w:val="both"/>
        <w:rPr>
          <w:rFonts w:ascii="Arial" w:hAnsi="Arial" w:cs="Arial"/>
          <w:sz w:val="20"/>
          <w:szCs w:val="20"/>
          <w:lang w:val="id-ID"/>
        </w:rPr>
      </w:pPr>
    </w:p>
    <w:p w14:paraId="0C9CACC2" w14:textId="31C8B3A1" w:rsidR="00471CCD" w:rsidRDefault="00471CCD" w:rsidP="00471CCD">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sidR="00A4327F">
        <w:rPr>
          <w:rFonts w:ascii="Arial" w:hAnsi="Arial" w:cs="Arial"/>
          <w:sz w:val="20"/>
          <w:szCs w:val="20"/>
          <w:lang w:val="id-ID"/>
        </w:rPr>
        <w:t>4</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A4327F">
        <w:rPr>
          <w:rFonts w:ascii="Arial" w:hAnsi="Arial" w:cs="Arial"/>
          <w:sz w:val="20"/>
          <w:szCs w:val="20"/>
          <w:lang w:val="id-ID"/>
        </w:rPr>
        <w:t>4</w:t>
      </w:r>
      <w:r w:rsidRPr="005E1216">
        <w:rPr>
          <w:rFonts w:ascii="Arial" w:hAnsi="Arial" w:cs="Arial"/>
          <w:sz w:val="20"/>
          <w:szCs w:val="20"/>
          <w:lang w:val="id-ID"/>
        </w:rPr>
        <w:t xml:space="preserve">) is accepted, which means there is a significant influence between </w:t>
      </w:r>
      <w:r w:rsidR="00752D85">
        <w:rPr>
          <w:rFonts w:ascii="Arial" w:hAnsi="Arial" w:cs="Arial"/>
          <w:sz w:val="20"/>
          <w:szCs w:val="20"/>
          <w:lang w:val="id-ID"/>
        </w:rPr>
        <w:t>financial inclusion</w:t>
      </w:r>
      <w:r w:rsidR="00752D85" w:rsidRPr="005E1216">
        <w:rPr>
          <w:rFonts w:ascii="Arial" w:hAnsi="Arial" w:cs="Arial"/>
          <w:sz w:val="20"/>
          <w:szCs w:val="20"/>
          <w:lang w:val="id-ID"/>
        </w:rPr>
        <w:t xml:space="preserve"> </w:t>
      </w:r>
      <w:r w:rsidRPr="005E1216">
        <w:rPr>
          <w:rFonts w:ascii="Arial" w:hAnsi="Arial" w:cs="Arial"/>
          <w:sz w:val="20"/>
          <w:szCs w:val="20"/>
          <w:lang w:val="id-ID"/>
        </w:rPr>
        <w:t>and financial behavior. With a coefficient value of 0.</w:t>
      </w:r>
      <w:r w:rsidR="00752D85">
        <w:rPr>
          <w:rFonts w:ascii="Arial" w:hAnsi="Arial" w:cs="Arial"/>
          <w:sz w:val="20"/>
          <w:szCs w:val="20"/>
          <w:lang w:val="id-ID"/>
        </w:rPr>
        <w:t>220</w:t>
      </w:r>
      <w:r w:rsidRPr="005E1216">
        <w:rPr>
          <w:rFonts w:ascii="Arial" w:hAnsi="Arial" w:cs="Arial"/>
          <w:sz w:val="20"/>
          <w:szCs w:val="20"/>
          <w:lang w:val="id-ID"/>
        </w:rPr>
        <w:t xml:space="preserve">, this shows that increasing </w:t>
      </w:r>
      <w:r w:rsidR="00752D85">
        <w:rPr>
          <w:rFonts w:ascii="Arial" w:hAnsi="Arial" w:cs="Arial"/>
          <w:sz w:val="20"/>
          <w:szCs w:val="20"/>
          <w:lang w:val="id-ID"/>
        </w:rPr>
        <w:t>financial inclusion</w:t>
      </w:r>
      <w:r w:rsidRPr="005E1216">
        <w:rPr>
          <w:rFonts w:ascii="Arial" w:hAnsi="Arial" w:cs="Arial"/>
          <w:sz w:val="20"/>
          <w:szCs w:val="20"/>
          <w:lang w:val="id-ID"/>
        </w:rPr>
        <w:t xml:space="preserve"> provides a positive contribution to financial behavior.</w:t>
      </w:r>
    </w:p>
    <w:p w14:paraId="7AC38424" w14:textId="77777777" w:rsidR="00FA7C08" w:rsidRDefault="00FA7C08" w:rsidP="00471CCD">
      <w:pPr>
        <w:tabs>
          <w:tab w:val="left" w:pos="1141"/>
        </w:tabs>
        <w:spacing w:after="0"/>
        <w:jc w:val="both"/>
        <w:rPr>
          <w:rFonts w:ascii="Arial" w:hAnsi="Arial" w:cs="Arial"/>
          <w:sz w:val="20"/>
          <w:szCs w:val="20"/>
          <w:lang w:val="id-ID"/>
        </w:rPr>
      </w:pPr>
    </w:p>
    <w:p w14:paraId="3F45E3AA" w14:textId="77777777" w:rsidR="00DA4F21" w:rsidRDefault="00DA4F21" w:rsidP="00FA7C08">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6</w:t>
      </w:r>
      <w:r w:rsidRPr="005E1216">
        <w:rPr>
          <w:rFonts w:ascii="Arial" w:hAnsi="Arial" w:cs="Arial"/>
          <w:b/>
          <w:bCs/>
          <w:sz w:val="20"/>
          <w:szCs w:val="20"/>
          <w:lang w:val="id-ID"/>
        </w:rPr>
        <w:t>. Hypothesis Testing</w:t>
      </w:r>
    </w:p>
    <w:p w14:paraId="5DFAA741" w14:textId="77777777" w:rsidR="00471CCD" w:rsidRPr="005E1216" w:rsidRDefault="00471CCD" w:rsidP="00FA7C08">
      <w:pPr>
        <w:tabs>
          <w:tab w:val="left" w:pos="1141"/>
        </w:tabs>
        <w:spacing w:after="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5"/>
        <w:gridCol w:w="1508"/>
        <w:gridCol w:w="1508"/>
        <w:gridCol w:w="1528"/>
        <w:gridCol w:w="1479"/>
        <w:gridCol w:w="1479"/>
      </w:tblGrid>
      <w:tr w:rsidR="00DA4F21" w:rsidRPr="005E1216" w14:paraId="587CBF27" w14:textId="77777777" w:rsidTr="00BD0BAA">
        <w:trPr>
          <w:jc w:val="center"/>
        </w:trPr>
        <w:tc>
          <w:tcPr>
            <w:tcW w:w="1445" w:type="dxa"/>
          </w:tcPr>
          <w:p w14:paraId="773BD921" w14:textId="77777777" w:rsidR="00DA4F21" w:rsidRPr="005E1216" w:rsidRDefault="00DA4F21" w:rsidP="00BD0BAA">
            <w:pPr>
              <w:tabs>
                <w:tab w:val="left" w:pos="1141"/>
              </w:tabs>
              <w:jc w:val="center"/>
              <w:rPr>
                <w:rFonts w:ascii="Arial" w:hAnsi="Arial" w:cs="Arial"/>
                <w:sz w:val="20"/>
                <w:szCs w:val="20"/>
                <w:lang w:val="id-ID"/>
              </w:rPr>
            </w:pPr>
          </w:p>
        </w:tc>
        <w:tc>
          <w:tcPr>
            <w:tcW w:w="1508" w:type="dxa"/>
          </w:tcPr>
          <w:p w14:paraId="4E05C82A" w14:textId="77777777" w:rsidR="00DA4F21" w:rsidRPr="005E1216" w:rsidRDefault="00DA4F21" w:rsidP="00BD0BAA">
            <w:pPr>
              <w:tabs>
                <w:tab w:val="left" w:pos="1141"/>
              </w:tabs>
              <w:jc w:val="center"/>
              <w:rPr>
                <w:rFonts w:ascii="Arial" w:hAnsi="Arial" w:cs="Arial"/>
                <w:b/>
                <w:bCs/>
                <w:sz w:val="20"/>
                <w:szCs w:val="20"/>
                <w:lang w:val="id-ID"/>
              </w:rPr>
            </w:pPr>
          </w:p>
        </w:tc>
        <w:tc>
          <w:tcPr>
            <w:tcW w:w="1508" w:type="dxa"/>
          </w:tcPr>
          <w:p w14:paraId="4EDCD2CA"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Original Sample</w:t>
            </w:r>
          </w:p>
        </w:tc>
        <w:tc>
          <w:tcPr>
            <w:tcW w:w="1528" w:type="dxa"/>
          </w:tcPr>
          <w:p w14:paraId="088F7FEE"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T-Statistics</w:t>
            </w:r>
          </w:p>
        </w:tc>
        <w:tc>
          <w:tcPr>
            <w:tcW w:w="1479" w:type="dxa"/>
          </w:tcPr>
          <w:p w14:paraId="042B7A32"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P-Value</w:t>
            </w:r>
          </w:p>
        </w:tc>
        <w:tc>
          <w:tcPr>
            <w:tcW w:w="1479" w:type="dxa"/>
          </w:tcPr>
          <w:p w14:paraId="12FB9480"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Conclusion</w:t>
            </w:r>
          </w:p>
        </w:tc>
      </w:tr>
      <w:tr w:rsidR="00DA4F21" w:rsidRPr="005E1216" w14:paraId="1EF4E714" w14:textId="77777777" w:rsidTr="00BD0BAA">
        <w:trPr>
          <w:jc w:val="center"/>
        </w:trPr>
        <w:tc>
          <w:tcPr>
            <w:tcW w:w="1445" w:type="dxa"/>
          </w:tcPr>
          <w:p w14:paraId="44BE0E0A"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H1</w:t>
            </w:r>
          </w:p>
        </w:tc>
        <w:tc>
          <w:tcPr>
            <w:tcW w:w="1508" w:type="dxa"/>
          </w:tcPr>
          <w:p w14:paraId="4A2D6B6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 xml:space="preserve">Financial Literacy -&gt; </w:t>
            </w:r>
            <w:r w:rsidRPr="005E1216">
              <w:rPr>
                <w:rFonts w:ascii="Arial" w:hAnsi="Arial" w:cs="Arial"/>
                <w:sz w:val="20"/>
                <w:szCs w:val="20"/>
                <w:lang w:val="id-ID"/>
              </w:rPr>
              <w:lastRenderedPageBreak/>
              <w:t>Financial Behavior</w:t>
            </w:r>
          </w:p>
        </w:tc>
        <w:tc>
          <w:tcPr>
            <w:tcW w:w="1508" w:type="dxa"/>
          </w:tcPr>
          <w:p w14:paraId="4B7F0D9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lastRenderedPageBreak/>
              <w:t>0.251</w:t>
            </w:r>
          </w:p>
        </w:tc>
        <w:tc>
          <w:tcPr>
            <w:tcW w:w="1528" w:type="dxa"/>
          </w:tcPr>
          <w:p w14:paraId="643A11C8"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4,501</w:t>
            </w:r>
          </w:p>
        </w:tc>
        <w:tc>
          <w:tcPr>
            <w:tcW w:w="1479" w:type="dxa"/>
          </w:tcPr>
          <w:p w14:paraId="22C90604"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4F8918F"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25DFB0D" w14:textId="77777777" w:rsidTr="00BD0BAA">
        <w:trPr>
          <w:jc w:val="center"/>
        </w:trPr>
        <w:tc>
          <w:tcPr>
            <w:tcW w:w="1445" w:type="dxa"/>
          </w:tcPr>
          <w:p w14:paraId="3451B2B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H2</w:t>
            </w:r>
          </w:p>
        </w:tc>
        <w:tc>
          <w:tcPr>
            <w:tcW w:w="1508" w:type="dxa"/>
          </w:tcPr>
          <w:p w14:paraId="3D422F7C"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Attitude -&gt; Financial Behavior</w:t>
            </w:r>
          </w:p>
        </w:tc>
        <w:tc>
          <w:tcPr>
            <w:tcW w:w="1508" w:type="dxa"/>
          </w:tcPr>
          <w:p w14:paraId="2F247E71"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0.182</w:t>
            </w:r>
          </w:p>
        </w:tc>
        <w:tc>
          <w:tcPr>
            <w:tcW w:w="1528" w:type="dxa"/>
          </w:tcPr>
          <w:p w14:paraId="2613791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2,777</w:t>
            </w:r>
          </w:p>
        </w:tc>
        <w:tc>
          <w:tcPr>
            <w:tcW w:w="1479" w:type="dxa"/>
          </w:tcPr>
          <w:p w14:paraId="54191822"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0.006</w:t>
            </w:r>
          </w:p>
        </w:tc>
        <w:tc>
          <w:tcPr>
            <w:tcW w:w="1479" w:type="dxa"/>
          </w:tcPr>
          <w:p w14:paraId="61BFB3B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4F4D25A4" w14:textId="77777777" w:rsidTr="00BD0BAA">
        <w:trPr>
          <w:jc w:val="center"/>
        </w:trPr>
        <w:tc>
          <w:tcPr>
            <w:tcW w:w="1445" w:type="dxa"/>
          </w:tcPr>
          <w:p w14:paraId="3A74E27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H3</w:t>
            </w:r>
          </w:p>
        </w:tc>
        <w:tc>
          <w:tcPr>
            <w:tcW w:w="1508" w:type="dxa"/>
          </w:tcPr>
          <w:p w14:paraId="3120A04F"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Lifestyle -&gt; Financial Behavior</w:t>
            </w:r>
          </w:p>
        </w:tc>
        <w:tc>
          <w:tcPr>
            <w:tcW w:w="1508" w:type="dxa"/>
          </w:tcPr>
          <w:p w14:paraId="4BB2CF90"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0.340</w:t>
            </w:r>
          </w:p>
        </w:tc>
        <w:tc>
          <w:tcPr>
            <w:tcW w:w="1528" w:type="dxa"/>
          </w:tcPr>
          <w:p w14:paraId="25D1B17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5,567</w:t>
            </w:r>
          </w:p>
        </w:tc>
        <w:tc>
          <w:tcPr>
            <w:tcW w:w="1479" w:type="dxa"/>
          </w:tcPr>
          <w:p w14:paraId="7892CAA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32750BA9"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887E119" w14:textId="77777777" w:rsidTr="00BD0BAA">
        <w:trPr>
          <w:jc w:val="center"/>
        </w:trPr>
        <w:tc>
          <w:tcPr>
            <w:tcW w:w="1445" w:type="dxa"/>
          </w:tcPr>
          <w:p w14:paraId="5DA9D6D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H4</w:t>
            </w:r>
          </w:p>
        </w:tc>
        <w:tc>
          <w:tcPr>
            <w:tcW w:w="1508" w:type="dxa"/>
          </w:tcPr>
          <w:p w14:paraId="57A42D9B"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Inclusion -&gt; Financial Behavior</w:t>
            </w:r>
          </w:p>
        </w:tc>
        <w:tc>
          <w:tcPr>
            <w:tcW w:w="1508" w:type="dxa"/>
          </w:tcPr>
          <w:p w14:paraId="507666EE"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0.220</w:t>
            </w:r>
          </w:p>
        </w:tc>
        <w:tc>
          <w:tcPr>
            <w:tcW w:w="1528" w:type="dxa"/>
          </w:tcPr>
          <w:p w14:paraId="6957873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3,588</w:t>
            </w:r>
          </w:p>
        </w:tc>
        <w:tc>
          <w:tcPr>
            <w:tcW w:w="1479" w:type="dxa"/>
          </w:tcPr>
          <w:p w14:paraId="5DEAF8C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A570C8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bl>
    <w:p w14:paraId="2FD337F3" w14:textId="77777777" w:rsidR="00DA4F21" w:rsidRPr="00D94742" w:rsidRDefault="00DA4F21" w:rsidP="00DA4F21">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2B633ED1" w14:textId="77777777" w:rsidR="00602E38" w:rsidRPr="00602E38" w:rsidRDefault="00602E38" w:rsidP="00602E38">
      <w:pPr>
        <w:spacing w:after="0"/>
        <w:jc w:val="center"/>
        <w:rPr>
          <w:rFonts w:ascii="Arial" w:hAnsi="Arial"/>
          <w:b/>
          <w:bCs/>
          <w:sz w:val="20"/>
          <w:szCs w:val="20"/>
          <w:lang w:val="id-ID"/>
        </w:rPr>
      </w:pPr>
    </w:p>
    <w:p w14:paraId="4E9432A2" w14:textId="39B14892" w:rsidR="00910524" w:rsidRDefault="00910524" w:rsidP="00FA7C08">
      <w:pPr>
        <w:tabs>
          <w:tab w:val="left" w:pos="2329"/>
        </w:tabs>
        <w:spacing w:after="0"/>
        <w:rPr>
          <w:rFonts w:ascii="Arial" w:hAnsi="Arial"/>
          <w:b/>
          <w:bCs/>
          <w:sz w:val="22"/>
          <w:szCs w:val="22"/>
          <w:lang w:val="id-ID"/>
        </w:rPr>
      </w:pPr>
      <w:r>
        <w:rPr>
          <w:rFonts w:ascii="Arial" w:hAnsi="Arial"/>
          <w:b/>
          <w:bCs/>
          <w:sz w:val="22"/>
          <w:szCs w:val="22"/>
          <w:lang w:val="id-ID"/>
        </w:rPr>
        <w:t>4.2 Discussion</w:t>
      </w:r>
      <w:r w:rsidR="00FA7C08">
        <w:rPr>
          <w:rFonts w:ascii="Arial" w:hAnsi="Arial"/>
          <w:b/>
          <w:bCs/>
          <w:sz w:val="22"/>
          <w:szCs w:val="22"/>
          <w:lang w:val="id-ID"/>
        </w:rPr>
        <w:tab/>
      </w:r>
    </w:p>
    <w:p w14:paraId="065F90CB" w14:textId="77777777" w:rsidR="00FA7C08" w:rsidRPr="00FA7C08" w:rsidRDefault="00FA7C08" w:rsidP="00FA7C08">
      <w:pPr>
        <w:tabs>
          <w:tab w:val="left" w:pos="2329"/>
        </w:tabs>
        <w:spacing w:after="0"/>
        <w:rPr>
          <w:rFonts w:ascii="Arial" w:hAnsi="Arial"/>
          <w:b/>
          <w:bCs/>
          <w:sz w:val="20"/>
          <w:szCs w:val="20"/>
          <w:lang w:val="id-ID"/>
        </w:rPr>
      </w:pPr>
    </w:p>
    <w:p w14:paraId="70B3E4FD" w14:textId="704757F2" w:rsidR="00910524" w:rsidRDefault="00910524" w:rsidP="00910524">
      <w:pPr>
        <w:spacing w:after="0"/>
        <w:rPr>
          <w:rFonts w:ascii="Arial" w:hAnsi="Arial"/>
          <w:sz w:val="22"/>
          <w:szCs w:val="22"/>
          <w:lang w:val="id-ID"/>
        </w:rPr>
      </w:pPr>
      <w:r>
        <w:rPr>
          <w:rFonts w:ascii="Arial" w:hAnsi="Arial"/>
          <w:sz w:val="22"/>
          <w:szCs w:val="22"/>
          <w:lang w:val="id-ID"/>
        </w:rPr>
        <w:t>4.2.1 The influence of Financial Literacy on Financial Behavior</w:t>
      </w:r>
    </w:p>
    <w:p w14:paraId="5BEE8F31" w14:textId="77777777" w:rsidR="00FA7C08" w:rsidRDefault="00FA7C08" w:rsidP="00910524">
      <w:pPr>
        <w:spacing w:after="0"/>
        <w:rPr>
          <w:rFonts w:ascii="Arial" w:hAnsi="Arial"/>
          <w:sz w:val="20"/>
          <w:szCs w:val="20"/>
          <w:lang w:val="id-ID"/>
        </w:rPr>
      </w:pPr>
    </w:p>
    <w:p w14:paraId="04BDFB2C" w14:textId="54B201FF" w:rsidR="006B6EC7" w:rsidRDefault="006B6EC7" w:rsidP="006B6EC7">
      <w:pPr>
        <w:tabs>
          <w:tab w:val="left" w:pos="1141"/>
        </w:tabs>
        <w:spacing w:after="0"/>
        <w:jc w:val="both"/>
        <w:rPr>
          <w:rFonts w:ascii="Arial" w:hAnsi="Arial" w:cs="Arial"/>
          <w:color w:val="000000" w:themeColor="text1"/>
          <w:sz w:val="20"/>
          <w:szCs w:val="20"/>
          <w:lang w:val="id-ID"/>
        </w:rPr>
      </w:pPr>
      <w:r>
        <w:rPr>
          <w:rFonts w:ascii="Arial" w:hAnsi="Arial" w:cs="Arial"/>
          <w:color w:val="000000" w:themeColor="text1"/>
          <w:sz w:val="20"/>
          <w:szCs w:val="20"/>
          <w:lang w:val="id-ID"/>
        </w:rPr>
        <w:t>The result of the study indicate that financial literacy have a positive effect on financial behavior</w:t>
      </w:r>
      <w:r w:rsidRPr="005E1216">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 xml:space="preserve">This phenomenon shows that MSMEs have an adequate level of financial literacy, which includes basic financial skills, conceptual understanding of income and expenditure management, saving practices and investment-related knowladge </w:t>
      </w:r>
      <w:r w:rsidRPr="005E1216">
        <w:rPr>
          <w:rFonts w:ascii="Arial" w:hAnsi="Arial" w:cs="Arial"/>
          <w:color w:val="000000" w:themeColor="text1"/>
          <w:sz w:val="20"/>
          <w:szCs w:val="20"/>
          <w:lang w:val="id-ID"/>
        </w:rPr>
        <w:fldChar w:fldCharType="begin" w:fldLock="1"/>
      </w:r>
      <w:r w:rsidRPr="005E1216">
        <w:rPr>
          <w:rFonts w:ascii="Arial" w:hAnsi="Arial" w:cs="Arial"/>
          <w:color w:val="000000" w:themeColor="text1"/>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color w:val="000000" w:themeColor="text1"/>
          <w:sz w:val="20"/>
          <w:szCs w:val="20"/>
          <w:lang w:val="id-ID"/>
        </w:rPr>
        <w:fldChar w:fldCharType="separate"/>
      </w:r>
      <w:r w:rsidRPr="005E1216">
        <w:rPr>
          <w:rFonts w:ascii="Arial" w:hAnsi="Arial" w:cs="Arial"/>
          <w:noProof/>
          <w:color w:val="000000" w:themeColor="text1"/>
          <w:sz w:val="20"/>
          <w:szCs w:val="20"/>
          <w:lang w:val="id-ID"/>
        </w:rPr>
        <w:t>(Risman 2024)</w:t>
      </w:r>
      <w:r w:rsidRPr="005E1216">
        <w:rPr>
          <w:rFonts w:ascii="Arial" w:hAnsi="Arial" w:cs="Arial"/>
          <w:color w:val="000000" w:themeColor="text1"/>
          <w:sz w:val="20"/>
          <w:szCs w:val="20"/>
          <w:lang w:val="id-ID"/>
        </w:rPr>
        <w:fldChar w:fldCharType="end"/>
      </w:r>
      <w:r>
        <w:rPr>
          <w:rFonts w:ascii="Arial" w:hAnsi="Arial" w:cs="Arial"/>
          <w:color w:val="000000" w:themeColor="text1"/>
          <w:sz w:val="20"/>
          <w:szCs w:val="20"/>
          <w:lang w:val="id-ID"/>
        </w:rPr>
        <w:t xml:space="preserve">. </w:t>
      </w:r>
      <w:r w:rsidRPr="005E1216">
        <w:rPr>
          <w:rFonts w:ascii="Arial" w:hAnsi="Arial" w:cs="Arial"/>
          <w:color w:val="000000" w:themeColor="text1"/>
          <w:sz w:val="20"/>
          <w:szCs w:val="20"/>
          <w:lang w:val="id-ID"/>
        </w:rPr>
        <w:t xml:space="preserve">This capability enhancement is essential in supporting MSMEs in maintaining long-term financial viability and strengthening their ability to strategically adapt to dynamic market conditions. </w:t>
      </w:r>
      <w:r>
        <w:rPr>
          <w:rFonts w:ascii="Arial" w:hAnsi="Arial" w:cs="Arial"/>
          <w:color w:val="000000" w:themeColor="text1"/>
          <w:sz w:val="20"/>
          <w:szCs w:val="20"/>
          <w:lang w:val="id-ID"/>
        </w:rPr>
        <w:fldChar w:fldCharType="begin" w:fldLock="1"/>
      </w:r>
      <w:r>
        <w:rPr>
          <w:rFonts w:ascii="Arial" w:hAnsi="Arial" w:cs="Arial"/>
          <w:color w:val="000000" w:themeColor="text1"/>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Pr>
          <w:rFonts w:ascii="Arial" w:hAnsi="Arial" w:cs="Arial"/>
          <w:color w:val="000000" w:themeColor="text1"/>
          <w:sz w:val="20"/>
          <w:szCs w:val="20"/>
          <w:lang w:val="id-ID"/>
        </w:rPr>
        <w:fldChar w:fldCharType="separate"/>
      </w:r>
      <w:r w:rsidRPr="000E79DC">
        <w:rPr>
          <w:rFonts w:ascii="Arial" w:hAnsi="Arial" w:cs="Arial"/>
          <w:noProof/>
          <w:color w:val="000000" w:themeColor="text1"/>
          <w:sz w:val="20"/>
          <w:szCs w:val="20"/>
          <w:lang w:val="id-ID"/>
        </w:rPr>
        <w:t xml:space="preserve">Ajzen </w:t>
      </w:r>
      <w:r>
        <w:rPr>
          <w:rFonts w:ascii="Arial" w:hAnsi="Arial" w:cs="Arial"/>
          <w:noProof/>
          <w:color w:val="000000" w:themeColor="text1"/>
          <w:sz w:val="20"/>
          <w:szCs w:val="20"/>
          <w:lang w:val="id-ID"/>
        </w:rPr>
        <w:t>(</w:t>
      </w:r>
      <w:r w:rsidRPr="000E79DC">
        <w:rPr>
          <w:rFonts w:ascii="Arial" w:hAnsi="Arial" w:cs="Arial"/>
          <w:noProof/>
          <w:color w:val="000000" w:themeColor="text1"/>
          <w:sz w:val="20"/>
          <w:szCs w:val="20"/>
          <w:lang w:val="id-ID"/>
        </w:rPr>
        <w:t>1991)</w:t>
      </w:r>
      <w:r>
        <w:rPr>
          <w:rFonts w:ascii="Arial" w:hAnsi="Arial" w:cs="Arial"/>
          <w:color w:val="000000" w:themeColor="text1"/>
          <w:sz w:val="20"/>
          <w:szCs w:val="20"/>
          <w:lang w:val="id-ID"/>
        </w:rPr>
        <w:fldChar w:fldCharType="end"/>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in theory, the result of this study </w:t>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This research is support the Theory of Planned Behavior, in which financial behavior always begins with intention. When MSMEs strive to improve their financial literacy, it shows a strong intention to change for the better. In short, the smarter they are at managing their finances (literacy), the healthier their financial practices will be in their businesses. By the findings of </w:t>
      </w:r>
      <w:r w:rsidR="0045325E">
        <w:rPr>
          <w:rFonts w:ascii="Arial" w:hAnsi="Arial" w:cs="Arial"/>
          <w:color w:val="000000" w:themeColor="text1"/>
          <w:sz w:val="20"/>
          <w:szCs w:val="20"/>
          <w:lang w:val="id-ID"/>
        </w:rPr>
        <w:t>(</w:t>
      </w:r>
      <w:r>
        <w:rPr>
          <w:rFonts w:ascii="Arial" w:hAnsi="Arial" w:cs="Arial"/>
          <w:color w:val="000000" w:themeColor="text1"/>
          <w:sz w:val="20"/>
          <w:szCs w:val="20"/>
          <w:lang w:val="id-ID"/>
        </w:rPr>
        <w:fldChar w:fldCharType="begin" w:fldLock="1"/>
      </w:r>
      <w:r w:rsidR="0045325E">
        <w:rPr>
          <w:rFonts w:ascii="Arial" w:hAnsi="Arial" w:cs="Arial"/>
          <w:color w:val="000000" w:themeColor="text1"/>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Dkk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Pr>
          <w:rFonts w:ascii="Arial" w:hAnsi="Arial" w:cs="Arial"/>
          <w:color w:val="000000" w:themeColor="text1"/>
          <w:sz w:val="20"/>
          <w:szCs w:val="20"/>
          <w:lang w:val="id-ID"/>
        </w:rPr>
        <w:fldChar w:fldCharType="separate"/>
      </w:r>
      <w:r w:rsidRPr="00967265">
        <w:rPr>
          <w:rFonts w:ascii="Arial" w:hAnsi="Arial" w:cs="Arial"/>
          <w:noProof/>
          <w:color w:val="000000" w:themeColor="text1"/>
          <w:sz w:val="20"/>
          <w:szCs w:val="20"/>
          <w:lang w:val="id-ID"/>
        </w:rPr>
        <w:t>Fadilah and Purwanto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Kenale Sada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Wahyuni, Kinanti, and Dkk 2023)</w:t>
      </w:r>
      <w:r>
        <w:rPr>
          <w:rFonts w:ascii="Arial" w:hAnsi="Arial" w:cs="Arial"/>
          <w:color w:val="000000" w:themeColor="text1"/>
          <w:sz w:val="20"/>
          <w:szCs w:val="20"/>
          <w:lang w:val="id-ID"/>
        </w:rPr>
        <w:fldChar w:fldCharType="end"/>
      </w:r>
      <w:r w:rsidR="0045325E">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which state that Financial Literacy has a positive influence on Financial Behavior.</w:t>
      </w:r>
    </w:p>
    <w:p w14:paraId="69EB58E3" w14:textId="77777777" w:rsidR="006B6EC7" w:rsidRPr="00FA7C08" w:rsidRDefault="006B6EC7" w:rsidP="00910524">
      <w:pPr>
        <w:spacing w:after="0"/>
        <w:rPr>
          <w:rFonts w:ascii="Arial" w:hAnsi="Arial"/>
          <w:sz w:val="20"/>
          <w:szCs w:val="20"/>
          <w:lang w:val="id-ID"/>
        </w:rPr>
      </w:pPr>
    </w:p>
    <w:p w14:paraId="66E57C93" w14:textId="46816088" w:rsidR="00910524" w:rsidRDefault="00910524" w:rsidP="00910524">
      <w:pPr>
        <w:spacing w:after="0"/>
        <w:rPr>
          <w:rFonts w:ascii="Arial" w:hAnsi="Arial"/>
          <w:sz w:val="22"/>
          <w:szCs w:val="22"/>
          <w:lang w:val="id-ID"/>
        </w:rPr>
      </w:pPr>
      <w:r>
        <w:rPr>
          <w:rFonts w:ascii="Arial" w:hAnsi="Arial"/>
          <w:sz w:val="22"/>
          <w:szCs w:val="22"/>
          <w:lang w:val="id-ID"/>
        </w:rPr>
        <w:t>4.2.2</w:t>
      </w:r>
      <w:r w:rsidRPr="00910524">
        <w:rPr>
          <w:rFonts w:ascii="Arial" w:hAnsi="Arial"/>
          <w:sz w:val="22"/>
          <w:szCs w:val="22"/>
          <w:lang w:val="id-ID"/>
        </w:rPr>
        <w:t xml:space="preserve"> </w:t>
      </w:r>
      <w:r>
        <w:rPr>
          <w:rFonts w:ascii="Arial" w:hAnsi="Arial"/>
          <w:sz w:val="22"/>
          <w:szCs w:val="22"/>
          <w:lang w:val="id-ID"/>
        </w:rPr>
        <w:t>The influence of Financial Attitude on Financial Behavior</w:t>
      </w:r>
    </w:p>
    <w:p w14:paraId="59843D91" w14:textId="77777777" w:rsidR="0045325E" w:rsidRDefault="0045325E" w:rsidP="00910524">
      <w:pPr>
        <w:spacing w:after="0"/>
        <w:rPr>
          <w:rFonts w:ascii="Arial" w:hAnsi="Arial"/>
          <w:sz w:val="20"/>
          <w:szCs w:val="20"/>
          <w:lang w:val="id-ID"/>
        </w:rPr>
      </w:pPr>
    </w:p>
    <w:p w14:paraId="16934200" w14:textId="0436DCF5" w:rsidR="0045325E" w:rsidRDefault="0045325E" w:rsidP="0045325E">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result of the study indicate that financial attitude have a positive effect on financial behavior. </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Sinta and Yustina (2025)</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Financial attitudes play a crucial role in shaping how a person acts regarding their finances, including when creating a budget for financial goals. Individuals with a positive outlook on finances are generally better able to monitor their financial situation. By maintaining a balance between income and expenses, MSMEs are able to develop short-, medium-, and long-term financial goals. MSMEs understand positively that business continuity depends on profits. They remain steadfast in the face of challenges, believe that their sustenance has been determined by God Almighty, and are grateful for every business income. This financial attitude influences MSMEs' self-control behavior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(Santoso et al. 2024)</w:t>
      </w:r>
      <w:r w:rsidRPr="00DA0DF9">
        <w:rPr>
          <w:rFonts w:ascii="Arial" w:hAnsi="Arial" w:cs="Arial"/>
          <w:sz w:val="20"/>
          <w:szCs w:val="20"/>
          <w:lang w:val="id-ID"/>
        </w:rPr>
        <w:fldChar w:fldCharType="end"/>
      </w:r>
      <w:r w:rsidRPr="00DA0DF9">
        <w:rPr>
          <w:rFonts w:ascii="Arial" w:hAnsi="Arial" w:cs="Arial"/>
          <w:sz w:val="20"/>
          <w:szCs w:val="20"/>
          <w:lang w:val="id-ID"/>
        </w:rPr>
        <w:t xml:space="preserve">. These results are highly relevant to the Theory of Planned Behavior (TPB)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(Ajzen 1991)</w:t>
      </w:r>
      <w:r w:rsidRPr="00DA0DF9">
        <w:rPr>
          <w:rFonts w:ascii="Arial" w:hAnsi="Arial" w:cs="Arial"/>
          <w:sz w:val="20"/>
          <w:szCs w:val="20"/>
          <w:lang w:val="id-ID"/>
        </w:rPr>
        <w:fldChar w:fldCharType="end"/>
      </w:r>
      <w:r w:rsidRPr="00DA0DF9">
        <w:rPr>
          <w:rFonts w:ascii="Arial" w:hAnsi="Arial" w:cs="Arial"/>
          <w:sz w:val="20"/>
          <w:szCs w:val="20"/>
          <w:lang w:val="id-ID"/>
        </w:rPr>
        <w:t xml:space="preserve">, which identifies financial attitudes as an internal factor in shaping individual intentions. Positive financial attitudes encourage MSMEs to engage in more effective and responsible financial behavior. The better and more positive financial attitudes, the better their financial behavior. This research is supported by the findings of </w:t>
      </w:r>
      <w:r>
        <w:rPr>
          <w:rFonts w:ascii="Arial" w:hAnsi="Arial" w:cs="Arial"/>
          <w:sz w:val="20"/>
          <w:szCs w:val="20"/>
          <w:lang w:val="id-ID"/>
        </w:rPr>
        <w:t>(</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Oktaviani, Nita Fuziah. 2023</w:t>
      </w:r>
      <w:r>
        <w:rPr>
          <w:rFonts w:ascii="Arial" w:hAnsi="Arial" w:cs="Arial"/>
          <w:noProof/>
          <w:sz w:val="20"/>
          <w:szCs w:val="20"/>
          <w:lang w:val="id-ID"/>
        </w:rPr>
        <w:t>;</w:t>
      </w:r>
      <w:r w:rsidRPr="00DA0DF9">
        <w:rPr>
          <w:rFonts w:ascii="Arial" w:hAnsi="Arial" w:cs="Arial"/>
          <w:noProof/>
          <w:sz w:val="20"/>
          <w:szCs w:val="20"/>
          <w:lang w:val="id-ID"/>
        </w:rPr>
        <w:t xml:space="preserve"> Widyakto, Liyana, and Rinawati 2022)</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who stated that Financial Attitudes have a positive influence on Financial Behavior.</w:t>
      </w:r>
    </w:p>
    <w:p w14:paraId="6F43C96D" w14:textId="77777777" w:rsidR="0045325E" w:rsidRPr="0045325E" w:rsidRDefault="0045325E" w:rsidP="00910524">
      <w:pPr>
        <w:spacing w:after="0"/>
        <w:rPr>
          <w:rFonts w:ascii="Arial" w:hAnsi="Arial"/>
          <w:sz w:val="20"/>
          <w:szCs w:val="20"/>
          <w:lang w:val="id-ID"/>
        </w:rPr>
      </w:pPr>
    </w:p>
    <w:p w14:paraId="314EF86C" w14:textId="7C4D3B6D" w:rsidR="00910524" w:rsidRDefault="00910524" w:rsidP="00910524">
      <w:pPr>
        <w:spacing w:after="0"/>
        <w:rPr>
          <w:rFonts w:ascii="Arial" w:hAnsi="Arial"/>
          <w:sz w:val="22"/>
          <w:szCs w:val="22"/>
          <w:lang w:val="id-ID"/>
        </w:rPr>
      </w:pPr>
      <w:r>
        <w:rPr>
          <w:rFonts w:ascii="Arial" w:hAnsi="Arial"/>
          <w:sz w:val="22"/>
          <w:szCs w:val="22"/>
          <w:lang w:val="id-ID"/>
        </w:rPr>
        <w:t>4.2.3</w:t>
      </w:r>
      <w:r w:rsidRPr="00910524">
        <w:rPr>
          <w:rFonts w:ascii="Arial" w:hAnsi="Arial"/>
          <w:sz w:val="22"/>
          <w:szCs w:val="22"/>
          <w:lang w:val="id-ID"/>
        </w:rPr>
        <w:t xml:space="preserve"> </w:t>
      </w:r>
      <w:r>
        <w:rPr>
          <w:rFonts w:ascii="Arial" w:hAnsi="Arial"/>
          <w:sz w:val="22"/>
          <w:szCs w:val="22"/>
          <w:lang w:val="id-ID"/>
        </w:rPr>
        <w:t>The influence of Lifestyle on Financial Behavior</w:t>
      </w:r>
    </w:p>
    <w:p w14:paraId="45F9F699" w14:textId="77777777" w:rsidR="0045325E" w:rsidRDefault="0045325E" w:rsidP="00910524">
      <w:pPr>
        <w:spacing w:after="0"/>
        <w:rPr>
          <w:rFonts w:ascii="Arial" w:hAnsi="Arial"/>
          <w:sz w:val="20"/>
          <w:szCs w:val="20"/>
          <w:lang w:val="id-ID"/>
        </w:rPr>
      </w:pPr>
    </w:p>
    <w:p w14:paraId="5E5EF767" w14:textId="6467DF8D" w:rsidR="0045325E" w:rsidRDefault="0045325E" w:rsidP="0045325E">
      <w:pPr>
        <w:spacing w:after="0"/>
        <w:jc w:val="both"/>
        <w:rPr>
          <w:rFonts w:ascii="Arial" w:hAnsi="Arial" w:cs="Arial"/>
          <w:sz w:val="20"/>
          <w:szCs w:val="20"/>
          <w:lang w:val="id-ID"/>
        </w:rPr>
      </w:pPr>
      <w:r>
        <w:rPr>
          <w:rFonts w:ascii="Arial" w:hAnsi="Arial" w:cs="Arial"/>
          <w:sz w:val="20"/>
          <w:szCs w:val="20"/>
          <w:lang w:val="id-ID"/>
        </w:rPr>
        <w:t>The result of the study indicate that lifestyle have a positive effect on financial behavior</w:t>
      </w:r>
      <w:r w:rsidRPr="005E1216">
        <w:rPr>
          <w:rFonts w:ascii="Arial" w:hAnsi="Arial" w:cs="Arial"/>
          <w:sz w:val="20"/>
          <w:szCs w:val="20"/>
          <w:lang w:val="id-ID"/>
        </w:rPr>
        <w: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(Jemba)","id":"ITEM-1","issue":"3","issued":{"date-parts":[["2024"]]},"page":"14-19","title":"Pengaruh Literasi Keuangan dan Gaya Hidup Terhadap Perilaku Pada Pelaku UMKM Kecamatan Gunungsitoli","type":"article-journal","volume":"4"},"uris":["http://www.mendeley.com/documents/?uuid=04fe5ae9-ea75-4ebb-9767-1afeff700e5d"]}],"mendeley":{"formattedCitation":"(Nduru, Hulu, and Dkk 2024)","manualFormatting":"Nduru, Hulu, and et al. (2024)","plainTextFormattedCitation":"(Nduru, Hulu, and Dkk 2024)","previouslyFormattedCitation":"(Nduru, Hulu, and Dkk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 xml:space="preserve">Nduru, Hulu, and et al. </w:t>
      </w:r>
      <w:r>
        <w:rPr>
          <w:rFonts w:ascii="Arial" w:hAnsi="Arial" w:cs="Arial"/>
          <w:noProof/>
          <w:sz w:val="20"/>
          <w:szCs w:val="20"/>
          <w:lang w:val="id-ID"/>
        </w:rPr>
        <w:t>(</w:t>
      </w:r>
      <w:r w:rsidRPr="005E1216">
        <w:rPr>
          <w:rFonts w:ascii="Arial" w:hAnsi="Arial" w:cs="Arial"/>
          <w:noProof/>
          <w:sz w:val="20"/>
          <w:szCs w:val="20"/>
          <w:lang w:val="id-ID"/>
        </w:rPr>
        <w:t>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A person is responsible for their own lifestyle, activities, interests, perspectives on themselves and others. Furthermore, each person's basic characteristics influence lifestyle. The results of this study are highly relevant to the Theory of Planned Behavior (TPB)</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(Ajzen 1991)</w:t>
      </w:r>
      <w:r w:rsidRPr="005E1216">
        <w:rPr>
          <w:rFonts w:ascii="Arial" w:hAnsi="Arial" w:cs="Arial"/>
          <w:sz w:val="20"/>
          <w:szCs w:val="20"/>
          <w:lang w:val="id-ID"/>
        </w:rPr>
        <w:fldChar w:fldCharType="end"/>
      </w:r>
      <w:r w:rsidRPr="005E1216">
        <w:rPr>
          <w:rFonts w:ascii="Arial" w:hAnsi="Arial" w:cs="Arial"/>
          <w:sz w:val="20"/>
          <w:szCs w:val="20"/>
          <w:lang w:val="id-ID"/>
        </w:rPr>
        <w:t xml:space="preserve">, lifestyle here is defined as a combination of activities, perspectives, and interests that shape financial behavior. A positive lifestyle of </w:t>
      </w:r>
      <w:r w:rsidRPr="005E1216">
        <w:rPr>
          <w:rFonts w:ascii="Arial" w:hAnsi="Arial" w:cs="Arial"/>
          <w:sz w:val="20"/>
          <w:szCs w:val="20"/>
          <w:lang w:val="id-ID"/>
        </w:rPr>
        <w:lastRenderedPageBreak/>
        <w:t>MSME actors, such as being proactive in seeking management information, having an interest in the appropriate use of capital, and adopting a perspective of income and expenditure balance, strengthens the intention to engage in good financial behavior. Thus, this study confirms that lifestyle functions as an internal factor influencing intention in the Theory of Planned Behavior, which ultimately drives the realization of MSME behavior in Banyumas Regency. The better and more positive the lifestyle of MSME actors, the better their financial behavior.</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sidR="00660E93">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Dkk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Pr>
          <w:rFonts w:ascii="Arial" w:hAnsi="Arial" w:cs="Arial"/>
          <w:sz w:val="20"/>
          <w:szCs w:val="20"/>
          <w:lang w:val="id-ID"/>
        </w:rPr>
        <w:fldChar w:fldCharType="separate"/>
      </w:r>
      <w:r w:rsidRPr="00477ECB">
        <w:rPr>
          <w:rFonts w:ascii="Arial" w:hAnsi="Arial" w:cs="Arial"/>
          <w:noProof/>
          <w:sz w:val="20"/>
          <w:szCs w:val="20"/>
          <w:lang w:val="id-ID"/>
        </w:rPr>
        <w:t>Doni Subagja and Handri 2024</w:t>
      </w:r>
      <w:r w:rsidR="00660E93">
        <w:rPr>
          <w:rFonts w:ascii="Arial" w:hAnsi="Arial" w:cs="Arial"/>
          <w:noProof/>
          <w:sz w:val="20"/>
          <w:szCs w:val="20"/>
          <w:lang w:val="id-ID"/>
        </w:rPr>
        <w:t>;</w:t>
      </w:r>
      <w:r w:rsidRPr="00477ECB">
        <w:rPr>
          <w:rFonts w:ascii="Arial" w:hAnsi="Arial" w:cs="Arial"/>
          <w:noProof/>
          <w:sz w:val="20"/>
          <w:szCs w:val="20"/>
          <w:lang w:val="id-ID"/>
        </w:rPr>
        <w:t xml:space="preserve"> Elena and Cholid 2023</w:t>
      </w:r>
      <w:r w:rsidR="00660E93">
        <w:rPr>
          <w:rFonts w:ascii="Arial" w:hAnsi="Arial" w:cs="Arial"/>
          <w:noProof/>
          <w:sz w:val="20"/>
          <w:szCs w:val="20"/>
          <w:lang w:val="id-ID"/>
        </w:rPr>
        <w:t>;</w:t>
      </w:r>
      <w:r w:rsidRPr="00477ECB">
        <w:rPr>
          <w:rFonts w:ascii="Arial" w:hAnsi="Arial" w:cs="Arial"/>
          <w:noProof/>
          <w:sz w:val="20"/>
          <w:szCs w:val="20"/>
          <w:lang w:val="id-ID"/>
        </w:rPr>
        <w:t xml:space="preserve"> Nduru, Hulu, and Dkk 2024)</w:t>
      </w:r>
      <w:r>
        <w:rPr>
          <w:rFonts w:ascii="Arial" w:hAnsi="Arial" w:cs="Arial"/>
          <w:sz w:val="20"/>
          <w:szCs w:val="20"/>
          <w:lang w:val="id-ID"/>
        </w:rPr>
        <w:fldChar w:fldCharType="end"/>
      </w:r>
      <w:r w:rsidR="00660E93">
        <w:rPr>
          <w:rFonts w:ascii="Arial" w:hAnsi="Arial" w:cs="Arial"/>
          <w:sz w:val="20"/>
          <w:szCs w:val="20"/>
          <w:lang w:val="id-ID"/>
        </w:rPr>
        <w:t>,</w:t>
      </w:r>
      <w:r>
        <w:rPr>
          <w:rFonts w:ascii="Arial" w:hAnsi="Arial" w:cs="Arial"/>
          <w:sz w:val="20"/>
          <w:szCs w:val="20"/>
          <w:lang w:val="id-ID"/>
        </w:rPr>
        <w:t xml:space="preserve"> who stated that Lifestyle has a positive influence on Financial Behavior.</w:t>
      </w:r>
    </w:p>
    <w:p w14:paraId="5E0E3A81" w14:textId="77777777" w:rsidR="0045325E" w:rsidRPr="0045325E" w:rsidRDefault="0045325E" w:rsidP="00910524">
      <w:pPr>
        <w:spacing w:after="0"/>
        <w:rPr>
          <w:rFonts w:ascii="Arial" w:hAnsi="Arial"/>
          <w:sz w:val="20"/>
          <w:szCs w:val="20"/>
          <w:lang w:val="id-ID"/>
        </w:rPr>
      </w:pPr>
    </w:p>
    <w:p w14:paraId="49286170" w14:textId="07711992" w:rsidR="00910524" w:rsidRDefault="00910524" w:rsidP="00910524">
      <w:pPr>
        <w:spacing w:after="0"/>
        <w:rPr>
          <w:rFonts w:ascii="Arial" w:hAnsi="Arial"/>
          <w:sz w:val="22"/>
          <w:szCs w:val="22"/>
          <w:lang w:val="id-ID"/>
        </w:rPr>
      </w:pPr>
      <w:r>
        <w:rPr>
          <w:rFonts w:ascii="Arial" w:hAnsi="Arial"/>
          <w:sz w:val="22"/>
          <w:szCs w:val="22"/>
          <w:lang w:val="id-ID"/>
        </w:rPr>
        <w:t>4.2.4 The influence of Financial Inclusion on Financial Behavior</w:t>
      </w:r>
    </w:p>
    <w:p w14:paraId="67CC1E21" w14:textId="77777777" w:rsidR="00660E93" w:rsidRDefault="00660E93" w:rsidP="00910524">
      <w:pPr>
        <w:spacing w:after="0"/>
        <w:rPr>
          <w:rFonts w:ascii="Arial" w:hAnsi="Arial"/>
          <w:sz w:val="20"/>
          <w:szCs w:val="20"/>
          <w:lang w:val="id-ID"/>
        </w:rPr>
      </w:pPr>
    </w:p>
    <w:p w14:paraId="2A474320" w14:textId="2A06877F" w:rsidR="00660E93" w:rsidRDefault="00660E93" w:rsidP="00660E93">
      <w:pPr>
        <w:tabs>
          <w:tab w:val="left" w:pos="1141"/>
        </w:tabs>
        <w:spacing w:after="0"/>
        <w:jc w:val="both"/>
        <w:rPr>
          <w:rFonts w:ascii="Arial" w:hAnsi="Arial" w:cs="Arial"/>
          <w:sz w:val="20"/>
          <w:szCs w:val="20"/>
          <w:lang w:val="id-ID"/>
        </w:rPr>
      </w:pPr>
      <w:r>
        <w:rPr>
          <w:rFonts w:ascii="Arial" w:hAnsi="Arial" w:cs="Arial"/>
          <w:sz w:val="20"/>
          <w:szCs w:val="20"/>
          <w:lang w:val="id-ID"/>
        </w:rPr>
        <w:t>The result of the study indicate that financial inclusion have a positive effect on financial behavior</w:t>
      </w:r>
      <w:r w:rsidRPr="005E1216">
        <w:rPr>
          <w:rFonts w:ascii="Arial" w:hAnsi="Arial" w:cs="Arial"/>
          <w:sz w:val="20"/>
          <w:szCs w:val="20"/>
          <w:lang w:val="id-ID"/>
        </w:rPr>
        <w:t>. The results of this study indicate that easy access to financial services has made it easier for MSMEs to obtain funding, quality financial services, and ease of use of financial services, as well as the welfare of MSMEs when using financial services. Financial inclusion encourages MSMEs. This finding is relevant to the Theory of Planned Behavior, which states that financial inclusion is an external factor that can influence MSMEs to improve their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The better and more positive financial inclusion, the better financial behavior will be.</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Humanika","id":"ITEM-2","issue":"1","issued":{"date-parts":[["2023"]]},"page":"339-348","title":"Pengaruh Literasi Keuangan, Inklusi Keuangan pada Perilaku Keuangan Pelaku UMKM Perempuan: Studi Kasus di Jambi","type":"article-journal","volume":"11"},"uris":["http://www.mendeley.com/documents/?uuid=b6fae952-b0dc-4736-9c7a-ea4877c64b7e"]},{"id":"ITEM-3","itemData":{"DOI":"10.55903/juria.v2i3.132","abstract":"Penelitian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Utama","id":"ITEM-3","issue":"3","issued":{"date-parts":[["2023"]]},"page":"298-306","title":"Pengaruh Literasi Keuangan, Inklusi Keuangan dan Pendapatan Terhadap Perilaku Keuangan Pelaku UMKM di Langsa Kota","type":"article-journal","volume":"2"},"uris":["http://www.mendeley.com/documents/?uuid=177650ef-cb18-4112-9ec8-b6cf5e7d05ae"]}],"mendeley":{"formattedCitation":"(Huda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Pr>
          <w:rFonts w:ascii="Arial" w:hAnsi="Arial" w:cs="Arial"/>
          <w:sz w:val="20"/>
          <w:szCs w:val="20"/>
          <w:lang w:val="id-ID"/>
        </w:rPr>
        <w:fldChar w:fldCharType="separate"/>
      </w:r>
      <w:r w:rsidRPr="006A3E5E">
        <w:rPr>
          <w:rFonts w:ascii="Arial" w:hAnsi="Arial" w:cs="Arial"/>
          <w:noProof/>
          <w:sz w:val="20"/>
          <w:szCs w:val="20"/>
          <w:lang w:val="id-ID"/>
        </w:rPr>
        <w:t>Huda and Risman 2024</w:t>
      </w:r>
      <w:r>
        <w:rPr>
          <w:rFonts w:ascii="Arial" w:hAnsi="Arial" w:cs="Arial"/>
          <w:noProof/>
          <w:sz w:val="20"/>
          <w:szCs w:val="20"/>
          <w:lang w:val="id-ID"/>
        </w:rPr>
        <w:t>,</w:t>
      </w:r>
      <w:r w:rsidRPr="006A3E5E">
        <w:rPr>
          <w:rFonts w:ascii="Arial" w:hAnsi="Arial" w:cs="Arial"/>
          <w:noProof/>
          <w:sz w:val="20"/>
          <w:szCs w:val="20"/>
          <w:lang w:val="id-ID"/>
        </w:rPr>
        <w:t xml:space="preserve"> Jannah, Fuad, and Dewi 2023</w:t>
      </w:r>
      <w:r>
        <w:rPr>
          <w:rFonts w:ascii="Arial" w:hAnsi="Arial" w:cs="Arial"/>
          <w:noProof/>
          <w:sz w:val="20"/>
          <w:szCs w:val="20"/>
          <w:lang w:val="id-ID"/>
        </w:rPr>
        <w:t>;</w:t>
      </w:r>
      <w:r w:rsidRPr="006A3E5E">
        <w:rPr>
          <w:rFonts w:ascii="Arial" w:hAnsi="Arial" w:cs="Arial"/>
          <w:noProof/>
          <w:sz w:val="20"/>
          <w:szCs w:val="20"/>
          <w:lang w:val="id-ID"/>
        </w:rPr>
        <w:t xml:space="preserve"> Usmayanti et al. 2023)</w:t>
      </w:r>
      <w:r>
        <w:rPr>
          <w:rFonts w:ascii="Arial" w:hAnsi="Arial" w:cs="Arial"/>
          <w:sz w:val="20"/>
          <w:szCs w:val="20"/>
          <w:lang w:val="id-ID"/>
        </w:rPr>
        <w:fldChar w:fldCharType="end"/>
      </w:r>
      <w:r>
        <w:rPr>
          <w:rFonts w:ascii="Arial" w:hAnsi="Arial" w:cs="Arial"/>
          <w:sz w:val="20"/>
          <w:szCs w:val="20"/>
          <w:lang w:val="id-ID"/>
        </w:rPr>
        <w:t xml:space="preserve">, who stated that Financial Inclution has a positive influence on Financial Behavior. </w:t>
      </w:r>
    </w:p>
    <w:p w14:paraId="0D714750" w14:textId="77777777" w:rsidR="00660E93" w:rsidRPr="00660E93" w:rsidRDefault="00660E93" w:rsidP="00910524">
      <w:pPr>
        <w:spacing w:after="0"/>
        <w:rPr>
          <w:rFonts w:ascii="Arial" w:hAnsi="Arial"/>
          <w:sz w:val="20"/>
          <w:szCs w:val="20"/>
          <w:lang w:val="id-ID"/>
        </w:rPr>
      </w:pPr>
    </w:p>
    <w:p w14:paraId="45801CF2" w14:textId="00A17CFE" w:rsidR="00383A66" w:rsidRDefault="00383A66" w:rsidP="00910524">
      <w:pPr>
        <w:spacing w:after="0"/>
        <w:rPr>
          <w:rFonts w:ascii="Arial" w:hAnsi="Arial"/>
          <w:b/>
          <w:bCs/>
          <w:sz w:val="22"/>
          <w:szCs w:val="22"/>
          <w:lang w:val="id-ID"/>
        </w:rPr>
      </w:pPr>
      <w:r>
        <w:rPr>
          <w:rFonts w:ascii="Arial" w:hAnsi="Arial"/>
          <w:b/>
          <w:bCs/>
          <w:sz w:val="22"/>
          <w:szCs w:val="22"/>
          <w:lang w:val="id-ID"/>
        </w:rPr>
        <w:t>5. CONCLU</w:t>
      </w:r>
      <w:r w:rsidR="00910524">
        <w:rPr>
          <w:rFonts w:ascii="Arial" w:hAnsi="Arial"/>
          <w:b/>
          <w:bCs/>
          <w:sz w:val="22"/>
          <w:szCs w:val="22"/>
          <w:lang w:val="id-ID"/>
        </w:rPr>
        <w:t>SION</w:t>
      </w:r>
    </w:p>
    <w:p w14:paraId="21591A4F" w14:textId="77777777" w:rsidR="00660E93" w:rsidRDefault="00660E93" w:rsidP="00910524">
      <w:pPr>
        <w:spacing w:after="0"/>
        <w:rPr>
          <w:rFonts w:ascii="Arial" w:hAnsi="Arial"/>
          <w:sz w:val="20"/>
          <w:szCs w:val="20"/>
          <w:lang w:val="id-ID"/>
        </w:rPr>
      </w:pPr>
    </w:p>
    <w:p w14:paraId="1D957062" w14:textId="4398F2B9" w:rsidR="00F52253" w:rsidRPr="00C51340" w:rsidRDefault="00C51340" w:rsidP="00332E93">
      <w:pPr>
        <w:spacing w:after="0"/>
        <w:jc w:val="both"/>
        <w:rPr>
          <w:rFonts w:ascii="Arial" w:hAnsi="Arial" w:cs="Arial"/>
          <w:sz w:val="20"/>
          <w:szCs w:val="20"/>
          <w:lang w:val="id-ID"/>
        </w:rPr>
      </w:pPr>
      <w:r w:rsidRPr="00D979BE">
        <w:rPr>
          <w:rFonts w:ascii="Arial" w:hAnsi="Arial" w:cs="Arial"/>
          <w:bCs/>
          <w:sz w:val="20"/>
          <w:szCs w:val="20"/>
          <w:highlight w:val="yellow"/>
          <w:lang w:val="en-GB"/>
        </w:rPr>
        <w:t xml:space="preserve">This study provides empirical evidence that the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of MSMEs in </w:t>
      </w:r>
      <w:proofErr w:type="spellStart"/>
      <w:r w:rsidRPr="00D979BE">
        <w:rPr>
          <w:rFonts w:ascii="Arial" w:hAnsi="Arial" w:cs="Arial"/>
          <w:bCs/>
          <w:sz w:val="20"/>
          <w:szCs w:val="20"/>
          <w:highlight w:val="yellow"/>
          <w:lang w:val="en-GB"/>
        </w:rPr>
        <w:t>Banyumas</w:t>
      </w:r>
      <w:proofErr w:type="spellEnd"/>
      <w:r w:rsidRPr="00D979BE">
        <w:rPr>
          <w:rFonts w:ascii="Arial" w:hAnsi="Arial" w:cs="Arial"/>
          <w:bCs/>
          <w:sz w:val="20"/>
          <w:szCs w:val="20"/>
          <w:highlight w:val="yellow"/>
          <w:lang w:val="en-GB"/>
        </w:rPr>
        <w:t xml:space="preserve"> Regency is significantly determined by the synergy between internal and external factors. These findings confirm the relevance of the Theory of Planned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(TPB), where financial literacy and positive financial attitudes serve as cognitive and psychological foundations that foster disciplined financial management. MSMEs with adequate financial understanding have been shown to be more adept at planning, investing, and controlling cash flow. This is reinforced by a prudent lifestyle, where the separation of personal consumption needs and business capital is key to successful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Externally, easy access to formal financial inclusion complements individual capabilities by providing the tools necessary for sustainable business growth. As a strategic step, policymakers and MSMEs are advised to focus not only on capital provision but also on strengthening literacy through ongoing technical guidance to foster disciplined financial attitudes. For future scientific development, further research is encouraged to expand the geographic scope to increase the generalizability of the findings. The integration of contemporary variables such as financial technology (fintech) adoption and the influence of the social environment would provide a more modern perspective. Furthermore, the use of mixed research methods and longitudinal analysis is highly recommended to monitor the transformation of MSME financial </w:t>
      </w:r>
      <w:proofErr w:type="spellStart"/>
      <w:r w:rsidRPr="00D979BE">
        <w:rPr>
          <w:rFonts w:ascii="Arial" w:hAnsi="Arial" w:cs="Arial"/>
          <w:bCs/>
          <w:sz w:val="20"/>
          <w:szCs w:val="20"/>
          <w:highlight w:val="yellow"/>
          <w:lang w:val="en-GB"/>
        </w:rPr>
        <w:t>behavior</w:t>
      </w:r>
      <w:proofErr w:type="spellEnd"/>
      <w:r w:rsidRPr="00D979BE">
        <w:rPr>
          <w:rFonts w:ascii="Arial" w:hAnsi="Arial" w:cs="Arial"/>
          <w:bCs/>
          <w:sz w:val="20"/>
          <w:szCs w:val="20"/>
          <w:highlight w:val="yellow"/>
          <w:lang w:val="en-GB"/>
        </w:rPr>
        <w:t xml:space="preserve"> in a more in-depth and holistic manner along with the development of the digital economic ecosystem.</w:t>
      </w:r>
    </w:p>
    <w:p w14:paraId="430510AD" w14:textId="77777777" w:rsidR="00660E93" w:rsidRDefault="00660E93" w:rsidP="00910524">
      <w:pPr>
        <w:spacing w:after="0"/>
        <w:rPr>
          <w:rFonts w:ascii="Arial" w:hAnsi="Arial"/>
          <w:b/>
          <w:bCs/>
          <w:sz w:val="20"/>
          <w:szCs w:val="20"/>
          <w:lang w:val="id-ID"/>
        </w:rPr>
      </w:pPr>
    </w:p>
    <w:p w14:paraId="7B8061AD" w14:textId="77777777" w:rsidR="00BF40F5" w:rsidRDefault="00BF40F5" w:rsidP="00910524">
      <w:pPr>
        <w:spacing w:after="0"/>
        <w:rPr>
          <w:rFonts w:ascii="Arial" w:hAnsi="Arial"/>
          <w:b/>
          <w:bCs/>
          <w:sz w:val="20"/>
          <w:szCs w:val="20"/>
          <w:lang w:val="id-ID"/>
        </w:rPr>
      </w:pPr>
    </w:p>
    <w:p w14:paraId="3644558C" w14:textId="77777777" w:rsidR="00843097" w:rsidRPr="00740879" w:rsidRDefault="00843097" w:rsidP="00843097">
      <w:pPr>
        <w:rPr>
          <w:highlight w:val="yellow"/>
        </w:rPr>
      </w:pPr>
      <w:r w:rsidRPr="00740879">
        <w:rPr>
          <w:highlight w:val="yellow"/>
        </w:rPr>
        <w:t>Disclaimer (Artificial intelligence)</w:t>
      </w:r>
    </w:p>
    <w:p w14:paraId="7692A8CF" w14:textId="77777777" w:rsidR="00843097" w:rsidRPr="00740879" w:rsidRDefault="00843097" w:rsidP="0084309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A1C847" w14:textId="77777777" w:rsidR="00BF40F5" w:rsidRDefault="00BF40F5" w:rsidP="00910524">
      <w:pPr>
        <w:spacing w:after="0"/>
        <w:rPr>
          <w:rFonts w:ascii="Arial" w:hAnsi="Arial"/>
          <w:b/>
          <w:bCs/>
          <w:sz w:val="20"/>
          <w:szCs w:val="20"/>
          <w:lang w:val="id-ID"/>
        </w:rPr>
      </w:pPr>
    </w:p>
    <w:p w14:paraId="1FC93CE9" w14:textId="77777777" w:rsidR="00BF40F5" w:rsidRDefault="00BF40F5" w:rsidP="00910524">
      <w:pPr>
        <w:spacing w:after="0"/>
        <w:rPr>
          <w:rFonts w:ascii="Arial" w:hAnsi="Arial"/>
          <w:b/>
          <w:bCs/>
          <w:sz w:val="20"/>
          <w:szCs w:val="20"/>
          <w:lang w:val="id-ID"/>
        </w:rPr>
      </w:pPr>
    </w:p>
    <w:p w14:paraId="56B39DB8" w14:textId="0FF38D95" w:rsidR="00BF40F5" w:rsidRDefault="00095616" w:rsidP="00910524">
      <w:pPr>
        <w:spacing w:after="0"/>
        <w:rPr>
          <w:rFonts w:ascii="Arial" w:hAnsi="Arial"/>
          <w:b/>
          <w:bCs/>
          <w:sz w:val="20"/>
          <w:szCs w:val="20"/>
          <w:lang w:val="id-ID"/>
        </w:rPr>
      </w:pPr>
      <w:r w:rsidRPr="00095616">
        <w:rPr>
          <w:rFonts w:ascii="Arial" w:hAnsi="Arial"/>
          <w:b/>
          <w:bCs/>
          <w:sz w:val="20"/>
          <w:szCs w:val="20"/>
          <w:lang w:val="id-ID"/>
        </w:rPr>
        <w:t>REFERENCES</w:t>
      </w:r>
    </w:p>
    <w:p w14:paraId="4996EEB4" w14:textId="77777777" w:rsidR="00BF40F5" w:rsidRDefault="00BF40F5" w:rsidP="00910524">
      <w:pPr>
        <w:spacing w:after="0"/>
        <w:rPr>
          <w:rFonts w:ascii="Arial" w:hAnsi="Arial"/>
          <w:b/>
          <w:bCs/>
          <w:sz w:val="20"/>
          <w:szCs w:val="20"/>
          <w:lang w:val="id-ID"/>
        </w:rPr>
      </w:pPr>
    </w:p>
    <w:p w14:paraId="0AF363D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Ajzen, Icek. 1991. “The Theory of Planned Behavior.” Organizational Behavior and Human Decision Processes 50: 179–211.</w:t>
      </w:r>
    </w:p>
    <w:p w14:paraId="364A684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Amelia, Amelia. 2022. “The Influence of Financial Literacy, Financial Attitudes, and Personality on Financial Management Behavior in MSME Actors in Gedong Village, East Jakarta.” Jurnal Maksipreneur: Manajemen, Koperasi, dan Entrepreneurship 12(1): 129–43. doi:10.30588/jmp.v12i1.890.</w:t>
      </w:r>
    </w:p>
    <w:p w14:paraId="5F8E591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Andriyani, Puput, and Ari Sulistyowati. 2021. “Analysis of the Influence of Financial Literacy, Financial Inclusion, and Education Level on the Financial Behavior of MSME Food Stall/Warung Owners in Bahagia Village, Bekasi Regency.” Management, Alliance Journal, Business: 61–70. www.kemenkopukm.go.id.</w:t>
      </w:r>
    </w:p>
    <w:p w14:paraId="72FC61C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Anisyah, Eka Nur, Dahlia Pinem, and Siti Hidayati. 2021. “The Influence of Financial Literacy, Financial Inclusion and Financial Technology on the Financial Behavior of MSME Actors in Sekupang District.” Management and Business Review 5(2): 310–24. doi:10.21067/mbr.v5i2.6083.</w:t>
      </w:r>
    </w:p>
    <w:p w14:paraId="5740FA3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Arianti, Baiq Fitri. 2022. “Financial Literacy (Theory and Implementation).” : 1–20.</w:t>
      </w:r>
    </w:p>
    <w:p w14:paraId="249B3BA3"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Awwaliyah, Intan Nurul, Sumani Sumani, Marmono Singgih, and Roni Widodo. 2023. “How Does Digital Financial Literacy Relate To Financial Performance of MSMEs Tourism Firm? The Mediating Role of Financial Behavior.” Jurnal Ekonomi Bisnis dan Kewirausahaan 12(1): 128–47. doi:10.26418/jebik.v12i1.60356.</w:t>
      </w:r>
    </w:p>
    <w:p w14:paraId="72CD17A1" w14:textId="1332F2D9"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 Azis, Muhammad Aulia Hibatullah, and Lukman Effendy. 2024. “The Influence of Financial Literacy, Human Resources, and Financial Technology on MSME Performance.” Manado Accounting Journal (JAIM) 5(1): 116–32. doi:10.53682/jaim.vi.8756.</w:t>
      </w:r>
    </w:p>
    <w:p w14:paraId="4110660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Azizah, Farinda Hauna, Maulida Nurul Innayah, Naelati Tubastuvi, and Yudhistira Pradhipta Aryoko. 2024. “Factors Affecting Financial Behavior of Micro, Small and Medium Enterprises (MSMEs): The Role of Financial Inclusion, Financial Literacy and Financial Technology Factors Affecting Financial Behavior of Micro, Small and Medium Enterprises (MSMEs): T.” 8(2): 113–28. doi:10.30741/adv.v8i2.1333.</w:t>
      </w:r>
    </w:p>
    <w:p w14:paraId="2D274C8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Doni Subagja, and Handri. 2024. “The Influence of Financial Literacy and Lifestyle on Financial Behavior.” Bandung Conference Series: Business and Management 4(1): 633–39. doi:10.29313/bcsbm.v4i1.11541.</w:t>
      </w:r>
    </w:p>
    <w:p w14:paraId="57AE8D2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Elena, Ester, and Idham Cholid. 2023. “The Influence of Financial Literacy, Education, and Lifestyle on the Financial Behavior of MSME Workers in Palembang.” MDP Student Conference 2(2): 560–66. doi:10.35957/mdp-sc.v2i2.4392.</w:t>
      </w:r>
    </w:p>
    <w:p w14:paraId="5E6B373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Erna Handayani, Ira Hapsari, Ali AKbar Anggara. 2023. “Research in Business &amp; Social Science Does the Implementation of SDGs Improve the Performance of Universities?” International Journal of Research in Business and Social Science 12(4): 454–60.</w:t>
      </w:r>
    </w:p>
    <w:p w14:paraId="5232FFF7"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Fadilah, Salma Juliana, and Eko Purwanto. 2022. “The Influence of Locus of Control, Planning and Financial Literacy on the Financial Behavior of MSMEs.” Al-Kharaj: Journal of Islamic Economics, Finance &amp; Business 4(5): 1476–88. doi:10.47467/alkharaj.v4i5.1003.</w:t>
      </w:r>
    </w:p>
    <w:p w14:paraId="09929AA6"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Ginanjar, Yogi. 2023. “Financial Behavior of MSMEs in Majalengka Regency: Personality, Attitude and Financial Knowledge Perspectives.” Competitive Accounting Journal 6(3): 436–43. doi:10.35446/akuntansikompetif.v6i3.1498.</w:t>
      </w:r>
    </w:p>
    <w:p w14:paraId="584385B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Hair, Joe F., Marko Sarstedt, Lucas Hopkins, and Volker G. Kuppelwieser. 2014. “Partial Least Squares Structural Equation Modeling (PLS-SEM): An Emerging Tool in Business Research.” European Business Review 26(2): 106–21. doi:10.1108/EBR-10-2013-0128.</w:t>
      </w:r>
    </w:p>
    <w:p w14:paraId="316D3B7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Hair, Joe F, and Et Al. 2011. “PLS-SEM: Indeed a Silver Bullet.” Journal of Marketing Theory and Practice 19(2): 139–52. doi:10.2753/MTP1069-6679190202.</w:t>
      </w:r>
    </w:p>
    <w:p w14:paraId="468ED50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Handayani, Erna, Askar Garad, Aman Suyadi, and Naelati Tubastuvi. 2023. “Increasing the Performance of Village Services with Good Governance and Participation.” World Development Sustainability 3(July 2022): 100089. doi:10.1016/j.wds.2023.100089.</w:t>
      </w:r>
    </w:p>
    <w:p w14:paraId="6F42A0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Hariyanti, Anggun. 2024. “The Influence of Financial Literacy and Financial Attitudes on the Financial Behavior of MSMEs in Bendungan Hilir Village: A Conceptual Model.” (July). doi:10.13140/RG.2.2.31364.33922. </w:t>
      </w:r>
    </w:p>
    <w:p w14:paraId="708EC84D" w14:textId="0675C63C"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Haryono, Siswoyi. 2016. Commitment: Scientific Journal of Management SEM Method.</w:t>
      </w:r>
    </w:p>
    <w:p w14:paraId="30A7279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Huda, Nurrizal, and Asep Risman. 2024. “The Behavioral Finance of MSMEs: Financial Inclusion and Financial Technology.” Indikator: Jurnal Ilmiah Manajemen dan Bisnis 8(2): 19–29. doi:10.22441/indikator.v8i2.26780.</w:t>
      </w:r>
    </w:p>
    <w:p w14:paraId="17A76C6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Huyasin, Yasifa, and Iman Waskito. 2025. “The Influence of Financial Literacy, Financial Attitudes, and Financial Experience on Financial Behavior in Islamic Boarding School Managers in East Lombok Regency.” East Asian Journal of Multidisciplinary Research (EAJMR) 4(2): 915–28.</w:t>
      </w:r>
    </w:p>
    <w:p w14:paraId="0CF6985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Jannah, Miftahul, Muhammad Fuad, and Meutia Dewi. 2023. “The Influence of Financial Literacy, Financial Inclusion and Income on the Financial Behavior of MSME Actors in Langsa City.” Jurnal Ekonomi Utama 2(3): 298–306. doi:10.55903/juria.v2i3.132.</w:t>
      </w:r>
    </w:p>
    <w:p w14:paraId="6B4005A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Jateng, Dinkop-UMKM. 2025. “Data on the Number of MSMEs in Banyumas Regency.” Central Java Provincial Cooperative and Small and Medium Enterprises Office. https://satudata.dinkop-umkm.jatengprov.go.id/umkm.</w:t>
      </w:r>
    </w:p>
    <w:p w14:paraId="09CF3729" w14:textId="6F687A18"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Kenale Sada, Yohanes Maria Vianey. 2022. “The Influence of Financial Literacy, Lifestyle and Environment</w:t>
      </w:r>
      <w:r w:rsidRPr="00095616">
        <w:t xml:space="preserve"> </w:t>
      </w:r>
      <w:r w:rsidRPr="00095616">
        <w:rPr>
          <w:rFonts w:ascii="Arial" w:hAnsi="Arial"/>
          <w:sz w:val="20"/>
          <w:szCs w:val="20"/>
          <w:lang w:val="id-ID"/>
        </w:rPr>
        <w:t>Social Aspects of Students' Financial Behavior.” Journal of Accounting Literacy 2(2): 86–99. doi:10.55587/jla.v2i2.35.</w:t>
      </w:r>
    </w:p>
    <w:p w14:paraId="6D83D9A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KEPDPDRI. 2024. Decision of the Regional Representative Council of the Republic of Indonesia Number 41/DPD RI/IV/2023-2024 Concerning the Results of the DPD RI's Supervision of the Implementation of Law Number 20 of 2008 Concerning Micro, Small and Medium Enterprises. https://jdih.dpd.go.id/dokumen/index2?id=Pengawasan&amp;page=3&amp;per-page=5.</w:t>
      </w:r>
    </w:p>
    <w:p w14:paraId="76422A5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Muchlis, Aulia Fikriarini. 2023. “Survey-Questionnaire Research Method for Crowding and Privacy in Dormitory Housing.” Indonesian Built Environment Journal 12(3): 154–63. doi:10.32315/jlbi.v12i3.252.</w:t>
      </w:r>
    </w:p>
    <w:p w14:paraId="635E646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Munthay, Salik Farhan, and Masta Sembiring. 2024. “The Influence of Financial Literacy and Financial Inclusion on the Financial Management of MSMEs in Kisaran Barat District, Asahan Regency.” Owner 8(1): 22–35. doi:10.33395/owner.v8i1.1902.</w:t>
      </w:r>
    </w:p>
    <w:p w14:paraId="373FA54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Nduru, Elisander, Faebuadodo Hulu, and Others. 2024. “The Influence of Financial Literacy and Lifestyle on Behavior in MSME Actors in Gunungsitoli District.” Journal of Business Economics, Management and Accounting (Jemba) 4(3): 14–19. doi:doi.org/jebma.v4n3.4790.</w:t>
      </w:r>
    </w:p>
    <w:p w14:paraId="1FB576E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Oktaviani, Nita Fuziah., et al. 2023. “Identification of the Influence of Financial Knowledge, and Financial Attitude on Financial Behavior in Embroidery MSMEs in Tasikmalaya City.” E-Journal ECOBISMA (Journal of Economics, Business and Management) 10(1): 35–42.</w:t>
      </w:r>
    </w:p>
    <w:p w14:paraId="0F9F66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Pricilla, Ani, Muhammad Yusuf, and Dwi Handarini. 2024. “The Influence of Financial Literacy and Financial Attitude on Financial Management Behavior with Locus of Control as a Mediator.” Journal of Accounting, Taxation and Auditing 5(1): 209–26. doi:10.21009/japa.0501.14.</w:t>
      </w:r>
    </w:p>
    <w:p w14:paraId="7127E86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Purwidianti, Wida, Naelati Tubastuvi, Akhmad Darmawan, and Ika Yustina Rahmawati. 2022. “Does Financial Behavior Mediate The Relationship Between Financial Literacy and Financial Experience Towards Financial Performance of Small Businesses?” Proceedings of the International Conference on Sustainable Innovation Track Accounting and Management Sciences (ICOSIAMS 2021) 201(Icosiams 2021): 235–41. doi:10.2991/aebmr.k.211225.033.</w:t>
      </w:r>
    </w:p>
    <w:p w14:paraId="230CEFEC"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Rahmawati, Ika Yustina, et al. 2024. “The Influence of Financial Literacy, Financial Attitudes, and Personality on Financial Management Behavior of SMEs in Banyumas Regency.” FokBis: Media for Management and Accounting Studies 23(2): 177–88. doi:doi.org/10.32639/27ke6j85.</w:t>
      </w:r>
    </w:p>
    <w:p w14:paraId="425D057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Rani, Gita Mai, and Rika Desiyanti. 2024. “The Influence of Financial Literacy, Financial Inclusion and Digital Payment on the Performance of Food &amp; Beverage SMEs in Padang City.” EKOMABIS: Journal of Economics Management Business 5(02): 161–74. doi:10.37366/ekomabis.v5i02.1403.</w:t>
      </w:r>
    </w:p>
    <w:p w14:paraId="05A803D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Risman, Asep. 2024. “Behavioral Finance of MSME: Digital Finance, Managerial Biases, Financial Literacy.” Dinasti International Journal of Economics, Finance &amp; Accounting 5(2): 641–49. doi:10.38035/dijefa.v5i2.2660.</w:t>
      </w:r>
    </w:p>
    <w:p w14:paraId="19A940B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Risman, Asep, Anees Janee Ali, Mochamad Soelton, and Indra Siswanti. 2023. “The Behavioral Finance of MSMEs in the Advancement of Financial Inclusion and Financial Technology (Fintech).” The Indonesian Accounting Review 13(1): 91–101. doi:10.14414/tiar.v13i1.3213.</w:t>
      </w:r>
    </w:p>
    <w:p w14:paraId="0D24FAB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Safitri, Eka, Fera Sriyunianti, and Novrina Chandra. 2023. “The Influence of Financial Literacy and Financial Attitudes on the Financial Management Behavior of MSMEs (Case Study on Micro-Enterprises in the Handicraft Sector in Padang City).” Jurnal Akuntansi, Bisnis dan Ekonomi Indonesia (JABEI) 2(1): 118–28. doi:10.30630/jabei.v2i1.64.</w:t>
      </w:r>
    </w:p>
    <w:p w14:paraId="5EB1E09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Santoso, Rahmat Agus, Elok Vilantika, Djoko Soelistya, and Yaoping Liu. 2024. “Locus of Control Mediates The Impact of Financial Knowledge, Attitudes, and Experience on Financial Behavior.” Jurnal Manajemen Bisnis 15(2): 406–18. doi:10.18196/mb.v15i2.23506.</w:t>
      </w:r>
    </w:p>
    <w:p w14:paraId="6902ED7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Sinta, Dwi, Ika Yustina, Naelati Tubastuvi, and others. 2025. “Financial Behavior of University Students: A Theory of Planned Behavior Approach Through Cognitive, Socioeconomic, and Psychological Lenses.” South Asian Journal of Social Studies and Economics 22(7): 175–88.</w:t>
      </w:r>
    </w:p>
    <w:p w14:paraId="305C761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Tubastuvi, Naelati, Rania Nur Ainun, Wida Purwidianti, and Luthfi Zamakhsyari. 2024. “Enhancing MSME: Exploring the Relationship between Financial Literacy, Financial Inclusion, and Capital Access to Improve Performance.” Airlangga Journal of Innovation Management 5(1): 1–16. doi:10.20473/ajim.v5i1.53990.</w:t>
      </w:r>
    </w:p>
    <w:p w14:paraId="662B79B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Usmayanti, Vivi, Melani Kadar, Muhammad Haris Saputra, Effiyaldi, and Kanaya Puspa Kirana Lie. 2023. “The Influence of Financial Literacy, Financial Inclusion on the Financial Behavior of Female MSME </w:t>
      </w:r>
      <w:r w:rsidRPr="00095616">
        <w:rPr>
          <w:rFonts w:ascii="Arial" w:hAnsi="Arial"/>
          <w:sz w:val="20"/>
          <w:szCs w:val="20"/>
          <w:lang w:val="id-ID"/>
        </w:rPr>
        <w:lastRenderedPageBreak/>
        <w:t>Actors: A Case Study in Jambi.” Jurnal Ilmiah Akuntansi dan Humanika 11(1): 339–48. doi:10.23887/jiah.v13i3.66803.</w:t>
      </w:r>
    </w:p>
    <w:p w14:paraId="2CE8689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et al. 2024. “The Link Between Financial Literacy and Income on Financial Well-being: Mediation of Financial Behavior of the Sandwich Generation.” Bursa: Jurnal Ekonomi dan Bisnis 3(3): 31–43.</w:t>
      </w:r>
    </w:p>
    <w:p w14:paraId="6B02761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Dini Kinanti, and et al. 2023. “The Influence of Financial Literacy, Hedonistic Lifestyle and Personal Financial Attitudes on Student Financial Behavior.” Owner 7(1): 656–71. doi:10.33395/owner.v7i1.1304.</w:t>
      </w:r>
    </w:p>
    <w:p w14:paraId="69F23982" w14:textId="5002D991"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Widyakto, Adhi, Ziyana Wahyu Liyana, and Tri Rinawati. 2022. “The Influence of Financial Literacy, Financial</w:t>
      </w:r>
      <w:r w:rsidRPr="00095616">
        <w:t xml:space="preserve"> </w:t>
      </w:r>
      <w:r w:rsidRPr="00095616">
        <w:rPr>
          <w:rFonts w:ascii="Arial" w:hAnsi="Arial"/>
          <w:sz w:val="20"/>
          <w:szCs w:val="20"/>
          <w:lang w:val="id-ID"/>
        </w:rPr>
        <w:t>Attitudes, and Lifestyle on Financial Behavior.” Diponegoro International Journal of Business 5(1): 33–46. doi:10.14710/dijb.5.1.2022.33-46.</w:t>
      </w:r>
    </w:p>
    <w:p w14:paraId="29414C2B" w14:textId="0C95203F"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Zafira, Diana, Muhammad Fuad, and Ziaul Maula. 2025. “The Influence of Financial Literacy, Financial Attitudes, and Digital Literacy on the Financial Behavior of MSME Actors in Secanggang District.” Journal of Taxation &amp; Business 6(1): 66–73</w:t>
      </w:r>
    </w:p>
    <w:p w14:paraId="180E74CC" w14:textId="77777777" w:rsidR="00BF40F5" w:rsidRDefault="00BF40F5" w:rsidP="00910524">
      <w:pPr>
        <w:spacing w:after="0"/>
        <w:rPr>
          <w:rFonts w:ascii="Arial" w:hAnsi="Arial"/>
          <w:b/>
          <w:bCs/>
          <w:sz w:val="20"/>
          <w:szCs w:val="20"/>
          <w:lang w:val="id-ID"/>
        </w:rPr>
      </w:pPr>
    </w:p>
    <w:p w14:paraId="028F003A" w14:textId="77777777" w:rsidR="00BF40F5" w:rsidRDefault="00BF40F5" w:rsidP="00910524">
      <w:pPr>
        <w:spacing w:after="0"/>
        <w:rPr>
          <w:rFonts w:ascii="Arial" w:hAnsi="Arial"/>
          <w:b/>
          <w:bCs/>
          <w:sz w:val="20"/>
          <w:szCs w:val="20"/>
          <w:lang w:val="id-ID"/>
        </w:rPr>
      </w:pPr>
    </w:p>
    <w:p w14:paraId="338D65F7" w14:textId="77777777" w:rsidR="00BF40F5" w:rsidRDefault="00BF40F5" w:rsidP="00910524">
      <w:pPr>
        <w:spacing w:after="0"/>
        <w:rPr>
          <w:rFonts w:ascii="Arial" w:hAnsi="Arial"/>
          <w:b/>
          <w:bCs/>
          <w:sz w:val="20"/>
          <w:szCs w:val="20"/>
          <w:lang w:val="id-ID"/>
        </w:rPr>
      </w:pPr>
    </w:p>
    <w:p w14:paraId="1C35E21E" w14:textId="77777777" w:rsidR="00BF40F5" w:rsidRDefault="00BF40F5" w:rsidP="00910524">
      <w:pPr>
        <w:spacing w:after="0"/>
        <w:rPr>
          <w:rFonts w:ascii="Arial" w:hAnsi="Arial"/>
          <w:b/>
          <w:bCs/>
          <w:sz w:val="20"/>
          <w:szCs w:val="20"/>
          <w:lang w:val="id-ID"/>
        </w:rPr>
      </w:pPr>
    </w:p>
    <w:p w14:paraId="0CDD0ECC" w14:textId="77777777" w:rsidR="00BF40F5" w:rsidRDefault="00BF40F5" w:rsidP="00910524">
      <w:pPr>
        <w:spacing w:after="0"/>
        <w:rPr>
          <w:rFonts w:ascii="Arial" w:hAnsi="Arial"/>
          <w:b/>
          <w:bCs/>
          <w:sz w:val="20"/>
          <w:szCs w:val="20"/>
          <w:lang w:val="id-ID"/>
        </w:rPr>
      </w:pPr>
    </w:p>
    <w:p w14:paraId="24B77E66" w14:textId="77777777" w:rsidR="00BF40F5" w:rsidRPr="00660E93" w:rsidRDefault="00BF40F5" w:rsidP="00910524">
      <w:pPr>
        <w:spacing w:after="0"/>
        <w:rPr>
          <w:rFonts w:ascii="Arial" w:hAnsi="Arial"/>
          <w:b/>
          <w:bCs/>
          <w:sz w:val="20"/>
          <w:szCs w:val="20"/>
          <w:lang w:val="id-ID"/>
        </w:rPr>
      </w:pPr>
    </w:p>
    <w:p w14:paraId="5902D2ED" w14:textId="77777777" w:rsidR="00332E93" w:rsidRDefault="00332E93" w:rsidP="00605B3F">
      <w:pPr>
        <w:spacing w:after="0"/>
        <w:jc w:val="both"/>
        <w:rPr>
          <w:rFonts w:ascii="Arial" w:hAnsi="Arial"/>
          <w:b/>
          <w:bCs/>
          <w:sz w:val="22"/>
          <w:szCs w:val="22"/>
          <w:lang w:val="id-ID"/>
        </w:rPr>
      </w:pPr>
    </w:p>
    <w:sectPr w:rsidR="00332E93">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29F34" w14:textId="77777777" w:rsidR="00201091" w:rsidRDefault="00201091" w:rsidP="00EA431A">
      <w:pPr>
        <w:spacing w:after="0"/>
      </w:pPr>
      <w:r>
        <w:separator/>
      </w:r>
    </w:p>
  </w:endnote>
  <w:endnote w:type="continuationSeparator" w:id="0">
    <w:p w14:paraId="2BFECB67" w14:textId="77777777" w:rsidR="00201091" w:rsidRDefault="00201091" w:rsidP="00EA4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3786D" w14:textId="77777777" w:rsidR="00201091" w:rsidRDefault="00201091" w:rsidP="00EA431A">
      <w:pPr>
        <w:spacing w:after="0"/>
      </w:pPr>
      <w:r>
        <w:separator/>
      </w:r>
    </w:p>
  </w:footnote>
  <w:footnote w:type="continuationSeparator" w:id="0">
    <w:p w14:paraId="219211F6" w14:textId="77777777" w:rsidR="00201091" w:rsidRDefault="00201091" w:rsidP="00EA43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3A3A" w14:textId="2F2EEBF5" w:rsidR="00EA431A" w:rsidRDefault="00201091">
    <w:pPr>
      <w:pStyle w:val="Header"/>
    </w:pPr>
    <w:r>
      <w:rPr>
        <w:noProof/>
      </w:rPr>
      <w:pict w14:anchorId="68696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8662" w14:textId="1B62F495" w:rsidR="00EA431A" w:rsidRDefault="00201091">
    <w:pPr>
      <w:pStyle w:val="Header"/>
    </w:pPr>
    <w:r>
      <w:rPr>
        <w:noProof/>
      </w:rPr>
      <w:pict w14:anchorId="6F97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6F17" w14:textId="761ADCD5" w:rsidR="00EA431A" w:rsidRDefault="00201091">
    <w:pPr>
      <w:pStyle w:val="Header"/>
    </w:pPr>
    <w:r>
      <w:rPr>
        <w:noProof/>
      </w:rPr>
      <w:pict w14:anchorId="173C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17"/>
    <w:multiLevelType w:val="hybridMultilevel"/>
    <w:tmpl w:val="437E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4C5"/>
    <w:multiLevelType w:val="multilevel"/>
    <w:tmpl w:val="833E463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AF08B9"/>
    <w:multiLevelType w:val="hybridMultilevel"/>
    <w:tmpl w:val="B640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C1300"/>
    <w:multiLevelType w:val="hybridMultilevel"/>
    <w:tmpl w:val="229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749EE"/>
    <w:multiLevelType w:val="hybridMultilevel"/>
    <w:tmpl w:val="18E0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522A0"/>
    <w:multiLevelType w:val="multilevel"/>
    <w:tmpl w:val="9D44BDC8"/>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E06F09"/>
    <w:multiLevelType w:val="hybridMultilevel"/>
    <w:tmpl w:val="4330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D5668"/>
    <w:multiLevelType w:val="hybridMultilevel"/>
    <w:tmpl w:val="1C5E8AF8"/>
    <w:lvl w:ilvl="0" w:tplc="792E6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25D3A"/>
    <w:multiLevelType w:val="hybridMultilevel"/>
    <w:tmpl w:val="BF3C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419F5"/>
    <w:multiLevelType w:val="hybridMultilevel"/>
    <w:tmpl w:val="E1A4CFB2"/>
    <w:lvl w:ilvl="0" w:tplc="3B6A9DB0">
      <w:start w:val="1"/>
      <w:numFmt w:val="decimal"/>
      <w:lvlText w:val="%1."/>
      <w:lvlJc w:val="left"/>
      <w:pPr>
        <w:ind w:left="426" w:hanging="360"/>
      </w:pPr>
      <w:rPr>
        <w:rFonts w:eastAsiaTheme="minorEastAsia" w:hint="default"/>
        <w:b w:val="0"/>
        <w:sz w:val="2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60086950"/>
    <w:multiLevelType w:val="hybridMultilevel"/>
    <w:tmpl w:val="E7D44C2A"/>
    <w:lvl w:ilvl="0" w:tplc="504AA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32D0"/>
    <w:multiLevelType w:val="hybridMultilevel"/>
    <w:tmpl w:val="A490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7884"/>
    <w:multiLevelType w:val="hybridMultilevel"/>
    <w:tmpl w:val="306E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9"/>
  </w:num>
  <w:num w:numId="5">
    <w:abstractNumId w:val="6"/>
  </w:num>
  <w:num w:numId="6">
    <w:abstractNumId w:val="0"/>
  </w:num>
  <w:num w:numId="7">
    <w:abstractNumId w:val="11"/>
  </w:num>
  <w:num w:numId="8">
    <w:abstractNumId w:val="1"/>
  </w:num>
  <w:num w:numId="9">
    <w:abstractNumId w:val="5"/>
  </w:num>
  <w:num w:numId="10">
    <w:abstractNumId w:val="7"/>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3D"/>
    <w:rsid w:val="00071D82"/>
    <w:rsid w:val="00084797"/>
    <w:rsid w:val="00095616"/>
    <w:rsid w:val="000975B5"/>
    <w:rsid w:val="000B61B6"/>
    <w:rsid w:val="000C4716"/>
    <w:rsid w:val="000C517C"/>
    <w:rsid w:val="000D41EB"/>
    <w:rsid w:val="000E0849"/>
    <w:rsid w:val="001001D5"/>
    <w:rsid w:val="001215F3"/>
    <w:rsid w:val="001601A3"/>
    <w:rsid w:val="00172294"/>
    <w:rsid w:val="00176C0F"/>
    <w:rsid w:val="00191D3B"/>
    <w:rsid w:val="00194C20"/>
    <w:rsid w:val="00196173"/>
    <w:rsid w:val="00196CD2"/>
    <w:rsid w:val="001A22C2"/>
    <w:rsid w:val="001B7C33"/>
    <w:rsid w:val="001C6F57"/>
    <w:rsid w:val="001D4D92"/>
    <w:rsid w:val="001E3FF1"/>
    <w:rsid w:val="00200833"/>
    <w:rsid w:val="00201091"/>
    <w:rsid w:val="00201A15"/>
    <w:rsid w:val="00201A30"/>
    <w:rsid w:val="002268B6"/>
    <w:rsid w:val="00237CF7"/>
    <w:rsid w:val="00294C2A"/>
    <w:rsid w:val="002B19DE"/>
    <w:rsid w:val="002B2EAB"/>
    <w:rsid w:val="002D489D"/>
    <w:rsid w:val="002F493D"/>
    <w:rsid w:val="00303E03"/>
    <w:rsid w:val="0031552E"/>
    <w:rsid w:val="00316D64"/>
    <w:rsid w:val="00317967"/>
    <w:rsid w:val="0032037F"/>
    <w:rsid w:val="00320930"/>
    <w:rsid w:val="00332E93"/>
    <w:rsid w:val="00362524"/>
    <w:rsid w:val="003633A2"/>
    <w:rsid w:val="00383A66"/>
    <w:rsid w:val="003D5C80"/>
    <w:rsid w:val="003E684C"/>
    <w:rsid w:val="003E74BA"/>
    <w:rsid w:val="00405750"/>
    <w:rsid w:val="00431546"/>
    <w:rsid w:val="0045325E"/>
    <w:rsid w:val="00467524"/>
    <w:rsid w:val="00471CCD"/>
    <w:rsid w:val="004771FD"/>
    <w:rsid w:val="004E6F8B"/>
    <w:rsid w:val="00521D41"/>
    <w:rsid w:val="0056719A"/>
    <w:rsid w:val="00572D8A"/>
    <w:rsid w:val="005E269F"/>
    <w:rsid w:val="005E441C"/>
    <w:rsid w:val="005F0D20"/>
    <w:rsid w:val="005F4A29"/>
    <w:rsid w:val="00602E38"/>
    <w:rsid w:val="00603024"/>
    <w:rsid w:val="00605B3F"/>
    <w:rsid w:val="006317A0"/>
    <w:rsid w:val="00660E93"/>
    <w:rsid w:val="006B6EC7"/>
    <w:rsid w:val="006D51A5"/>
    <w:rsid w:val="0070320D"/>
    <w:rsid w:val="00715C63"/>
    <w:rsid w:val="00752D85"/>
    <w:rsid w:val="0075714A"/>
    <w:rsid w:val="00762809"/>
    <w:rsid w:val="00792098"/>
    <w:rsid w:val="00792EAE"/>
    <w:rsid w:val="007A17A6"/>
    <w:rsid w:val="007C1597"/>
    <w:rsid w:val="00825149"/>
    <w:rsid w:val="008370E9"/>
    <w:rsid w:val="00843097"/>
    <w:rsid w:val="00845972"/>
    <w:rsid w:val="008459B7"/>
    <w:rsid w:val="0086056E"/>
    <w:rsid w:val="00887516"/>
    <w:rsid w:val="00887FF7"/>
    <w:rsid w:val="008A0736"/>
    <w:rsid w:val="008A40DA"/>
    <w:rsid w:val="008B0090"/>
    <w:rsid w:val="008D6C43"/>
    <w:rsid w:val="008E1DA8"/>
    <w:rsid w:val="008E563D"/>
    <w:rsid w:val="008F574C"/>
    <w:rsid w:val="00910524"/>
    <w:rsid w:val="00984BA9"/>
    <w:rsid w:val="00985282"/>
    <w:rsid w:val="00991C59"/>
    <w:rsid w:val="00994ADB"/>
    <w:rsid w:val="009D7C96"/>
    <w:rsid w:val="009F61B6"/>
    <w:rsid w:val="00A22230"/>
    <w:rsid w:val="00A238C8"/>
    <w:rsid w:val="00A23BF6"/>
    <w:rsid w:val="00A4327F"/>
    <w:rsid w:val="00A45BBF"/>
    <w:rsid w:val="00A47586"/>
    <w:rsid w:val="00A54157"/>
    <w:rsid w:val="00A6069B"/>
    <w:rsid w:val="00A74DED"/>
    <w:rsid w:val="00A76286"/>
    <w:rsid w:val="00A92564"/>
    <w:rsid w:val="00AA17EC"/>
    <w:rsid w:val="00AA35FD"/>
    <w:rsid w:val="00AB4908"/>
    <w:rsid w:val="00AB5BBF"/>
    <w:rsid w:val="00AD2DED"/>
    <w:rsid w:val="00AE0342"/>
    <w:rsid w:val="00AE33E7"/>
    <w:rsid w:val="00AE4B00"/>
    <w:rsid w:val="00B02338"/>
    <w:rsid w:val="00B04EAD"/>
    <w:rsid w:val="00B12CAA"/>
    <w:rsid w:val="00B41B5A"/>
    <w:rsid w:val="00B51DD5"/>
    <w:rsid w:val="00B7268D"/>
    <w:rsid w:val="00BB492A"/>
    <w:rsid w:val="00BD096E"/>
    <w:rsid w:val="00BF2D0D"/>
    <w:rsid w:val="00BF3238"/>
    <w:rsid w:val="00BF40F5"/>
    <w:rsid w:val="00BF7103"/>
    <w:rsid w:val="00C16090"/>
    <w:rsid w:val="00C246E2"/>
    <w:rsid w:val="00C3157E"/>
    <w:rsid w:val="00C44850"/>
    <w:rsid w:val="00C51340"/>
    <w:rsid w:val="00C537B1"/>
    <w:rsid w:val="00C776B0"/>
    <w:rsid w:val="00CA2087"/>
    <w:rsid w:val="00CA5198"/>
    <w:rsid w:val="00CA72FD"/>
    <w:rsid w:val="00CD6BCB"/>
    <w:rsid w:val="00CE6C52"/>
    <w:rsid w:val="00CF3BEF"/>
    <w:rsid w:val="00D34FC7"/>
    <w:rsid w:val="00D54C39"/>
    <w:rsid w:val="00D979BE"/>
    <w:rsid w:val="00DA4F21"/>
    <w:rsid w:val="00DE4AAB"/>
    <w:rsid w:val="00E20038"/>
    <w:rsid w:val="00E25AB1"/>
    <w:rsid w:val="00E46FC3"/>
    <w:rsid w:val="00E97E45"/>
    <w:rsid w:val="00EA431A"/>
    <w:rsid w:val="00EA563A"/>
    <w:rsid w:val="00EA6245"/>
    <w:rsid w:val="00EB12F1"/>
    <w:rsid w:val="00EB58E4"/>
    <w:rsid w:val="00EE4CE1"/>
    <w:rsid w:val="00EF3CE2"/>
    <w:rsid w:val="00EF71FB"/>
    <w:rsid w:val="00F1702A"/>
    <w:rsid w:val="00F52253"/>
    <w:rsid w:val="00F53ED5"/>
    <w:rsid w:val="00F71872"/>
    <w:rsid w:val="00FA1DF4"/>
    <w:rsid w:val="00FA7C08"/>
    <w:rsid w:val="00FC25B6"/>
    <w:rsid w:val="00FC38B4"/>
    <w:rsid w:val="00FC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D75E2"/>
  <w15:chartTrackingRefBased/>
  <w15:docId w15:val="{57EFDA07-1727-4D23-B78E-130C6F0E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3D"/>
    <w:rPr>
      <w:rFonts w:eastAsiaTheme="majorEastAsia" w:cstheme="majorBidi"/>
      <w:color w:val="272727" w:themeColor="text1" w:themeTint="D8"/>
    </w:rPr>
  </w:style>
  <w:style w:type="paragraph" w:styleId="Title">
    <w:name w:val="Title"/>
    <w:basedOn w:val="Normal"/>
    <w:next w:val="Normal"/>
    <w:link w:val="TitleChar"/>
    <w:uiPriority w:val="10"/>
    <w:qFormat/>
    <w:rsid w:val="002F49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3D"/>
    <w:pPr>
      <w:spacing w:before="160"/>
      <w:jc w:val="center"/>
    </w:pPr>
    <w:rPr>
      <w:i/>
      <w:iCs/>
      <w:color w:val="404040" w:themeColor="text1" w:themeTint="BF"/>
    </w:rPr>
  </w:style>
  <w:style w:type="character" w:customStyle="1" w:styleId="QuoteChar">
    <w:name w:val="Quote Char"/>
    <w:basedOn w:val="DefaultParagraphFont"/>
    <w:link w:val="Quote"/>
    <w:uiPriority w:val="29"/>
    <w:rsid w:val="002F493D"/>
    <w:rPr>
      <w:i/>
      <w:iCs/>
      <w:color w:val="404040" w:themeColor="text1" w:themeTint="BF"/>
    </w:rPr>
  </w:style>
  <w:style w:type="paragraph" w:styleId="ListParagraph">
    <w:name w:val="List Paragraph"/>
    <w:basedOn w:val="Normal"/>
    <w:uiPriority w:val="34"/>
    <w:qFormat/>
    <w:rsid w:val="002F493D"/>
    <w:pPr>
      <w:ind w:left="720"/>
      <w:contextualSpacing/>
    </w:pPr>
  </w:style>
  <w:style w:type="character" w:styleId="IntenseEmphasis">
    <w:name w:val="Intense Emphasis"/>
    <w:basedOn w:val="DefaultParagraphFont"/>
    <w:uiPriority w:val="21"/>
    <w:qFormat/>
    <w:rsid w:val="002F493D"/>
    <w:rPr>
      <w:i/>
      <w:iCs/>
      <w:color w:val="2F5496" w:themeColor="accent1" w:themeShade="BF"/>
    </w:rPr>
  </w:style>
  <w:style w:type="paragraph" w:styleId="IntenseQuote">
    <w:name w:val="Intense Quote"/>
    <w:basedOn w:val="Normal"/>
    <w:next w:val="Normal"/>
    <w:link w:val="IntenseQuoteChar"/>
    <w:uiPriority w:val="30"/>
    <w:qFormat/>
    <w:rsid w:val="002F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93D"/>
    <w:rPr>
      <w:i/>
      <w:iCs/>
      <w:color w:val="2F5496" w:themeColor="accent1" w:themeShade="BF"/>
    </w:rPr>
  </w:style>
  <w:style w:type="character" w:styleId="IntenseReference">
    <w:name w:val="Intense Reference"/>
    <w:basedOn w:val="DefaultParagraphFont"/>
    <w:uiPriority w:val="32"/>
    <w:qFormat/>
    <w:rsid w:val="002F493D"/>
    <w:rPr>
      <w:b/>
      <w:bCs/>
      <w:smallCaps/>
      <w:color w:val="2F5496" w:themeColor="accent1" w:themeShade="BF"/>
      <w:spacing w:val="5"/>
    </w:rPr>
  </w:style>
  <w:style w:type="table" w:styleId="TableGrid">
    <w:name w:val="Table Grid"/>
    <w:basedOn w:val="TableNormal"/>
    <w:uiPriority w:val="39"/>
    <w:rsid w:val="002F4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FC7"/>
    <w:rPr>
      <w:color w:val="0563C1" w:themeColor="hyperlink"/>
      <w:u w:val="single"/>
    </w:rPr>
  </w:style>
  <w:style w:type="character" w:styleId="UnresolvedMention">
    <w:name w:val="Unresolved Mention"/>
    <w:basedOn w:val="DefaultParagraphFont"/>
    <w:uiPriority w:val="99"/>
    <w:semiHidden/>
    <w:unhideWhenUsed/>
    <w:rsid w:val="00D34FC7"/>
    <w:rPr>
      <w:color w:val="605E5C"/>
      <w:shd w:val="clear" w:color="auto" w:fill="E1DFDD"/>
    </w:rPr>
  </w:style>
  <w:style w:type="paragraph" w:styleId="Header">
    <w:name w:val="header"/>
    <w:basedOn w:val="Normal"/>
    <w:link w:val="HeaderChar"/>
    <w:uiPriority w:val="99"/>
    <w:unhideWhenUsed/>
    <w:rsid w:val="00EA431A"/>
    <w:pPr>
      <w:tabs>
        <w:tab w:val="center" w:pos="4680"/>
        <w:tab w:val="right" w:pos="9360"/>
      </w:tabs>
      <w:spacing w:after="0"/>
    </w:pPr>
  </w:style>
  <w:style w:type="character" w:customStyle="1" w:styleId="HeaderChar">
    <w:name w:val="Header Char"/>
    <w:basedOn w:val="DefaultParagraphFont"/>
    <w:link w:val="Header"/>
    <w:uiPriority w:val="99"/>
    <w:rsid w:val="00EA431A"/>
  </w:style>
  <w:style w:type="paragraph" w:styleId="Footer">
    <w:name w:val="footer"/>
    <w:basedOn w:val="Normal"/>
    <w:link w:val="FooterChar"/>
    <w:uiPriority w:val="99"/>
    <w:unhideWhenUsed/>
    <w:rsid w:val="00EA431A"/>
    <w:pPr>
      <w:tabs>
        <w:tab w:val="center" w:pos="4680"/>
        <w:tab w:val="right" w:pos="9360"/>
      </w:tabs>
      <w:spacing w:after="0"/>
    </w:pPr>
  </w:style>
  <w:style w:type="character" w:customStyle="1" w:styleId="FooterChar">
    <w:name w:val="Footer Char"/>
    <w:basedOn w:val="DefaultParagraphFont"/>
    <w:link w:val="Footer"/>
    <w:uiPriority w:val="99"/>
    <w:rsid w:val="00EA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3"/>
              <c:tx>
                <c:rich>
                  <a:bodyPr/>
                  <a:lstStyle/>
                  <a:p>
                    <a:r>
                      <a:rPr lang="en-US"/>
                      <a:t>6.271</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3B-4517-9F53-B56483C8E5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Sheet1!$B$2:$B$5</c:f>
              <c:numCache>
                <c:formatCode>General</c:formatCode>
                <c:ptCount val="4"/>
                <c:pt idx="0">
                  <c:v>8.5510000000000002</c:v>
                </c:pt>
                <c:pt idx="1">
                  <c:v>5.4379999999999997</c:v>
                </c:pt>
                <c:pt idx="2">
                  <c:v>6.0049999999999999</c:v>
                </c:pt>
                <c:pt idx="3">
                  <c:v>4.5</c:v>
                </c:pt>
              </c:numCache>
            </c:numRef>
          </c:val>
          <c:smooth val="0"/>
          <c:extLst>
            <c:ext xmlns:c16="http://schemas.microsoft.com/office/drawing/2014/chart" uri="{C3380CC4-5D6E-409C-BE32-E72D297353CC}">
              <c16:uniqueId val="{00000000-E23B-4517-9F53-B56483C8E502}"/>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Sheet1!$C$2:$C$5</c:f>
              <c:numCache>
                <c:formatCode>General</c:formatCode>
                <c:ptCount val="4"/>
              </c:numCache>
            </c:numRef>
          </c:val>
          <c:smooth val="0"/>
          <c:extLst>
            <c:ext xmlns:c16="http://schemas.microsoft.com/office/drawing/2014/chart" uri="{C3380CC4-5D6E-409C-BE32-E72D297353CC}">
              <c16:uniqueId val="{00000001-E23B-4517-9F53-B56483C8E502}"/>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Sheet1!$D$2:$D$5</c:f>
              <c:numCache>
                <c:formatCode>General</c:formatCode>
                <c:ptCount val="4"/>
              </c:numCache>
            </c:numRef>
          </c:val>
          <c:smooth val="0"/>
          <c:extLst>
            <c:ext xmlns:c16="http://schemas.microsoft.com/office/drawing/2014/chart" uri="{C3380CC4-5D6E-409C-BE32-E72D297353CC}">
              <c16:uniqueId val="{00000002-E23B-4517-9F53-B56483C8E50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05996031"/>
        <c:axId val="505999391"/>
      </c:lineChart>
      <c:catAx>
        <c:axId val="50599603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Time Period</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9391"/>
        <c:crosses val="autoZero"/>
        <c:auto val="1"/>
        <c:lblAlgn val="ctr"/>
        <c:lblOffset val="100"/>
        <c:noMultiLvlLbl val="0"/>
      </c:catAx>
      <c:valAx>
        <c:axId val="505999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Number of MSMEs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603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35CD-72E3-475A-A91F-EA44C5AF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38724</Words>
  <Characters>220733</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 Swastika</dc:creator>
  <cp:keywords/>
  <dc:description/>
  <cp:lastModifiedBy>SDI 1089</cp:lastModifiedBy>
  <cp:revision>11</cp:revision>
  <dcterms:created xsi:type="dcterms:W3CDTF">2026-01-11T14:39:00Z</dcterms:created>
  <dcterms:modified xsi:type="dcterms:W3CDTF">2026-01-13T07:24:00Z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5f532fb1-01eb-3934-851c-bf7b783da7e7</vt:lpwstr>
  </property>
  <property fmtid="{D5CDD505-2E9C-101B-9397-08002B2CF9AE}" pid="24" name="Mendeley Citation Style_1">
    <vt:lpwstr>http://www.zotero.org/styles/american-political-science-association</vt:lpwstr>
  </property>
</Properties>
</file>