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4768" w14:textId="77777777" w:rsidR="00792EAE" w:rsidRDefault="00792EAE" w:rsidP="00A23BF6">
      <w:pPr>
        <w:spacing w:after="0"/>
        <w:jc w:val="right"/>
        <w:rPr>
          <w:rFonts w:ascii="Arial" w:hAnsi="Arial"/>
          <w:i/>
          <w:iCs/>
          <w:sz w:val="20"/>
          <w:szCs w:val="20"/>
          <w:lang w:val="id-ID"/>
        </w:rPr>
      </w:pPr>
      <w:r w:rsidRPr="00792EAE">
        <w:rPr>
          <w:rFonts w:ascii="Arial" w:hAnsi="Arial"/>
          <w:i/>
          <w:iCs/>
          <w:sz w:val="20"/>
          <w:szCs w:val="20"/>
          <w:lang w:val="id-ID"/>
        </w:rPr>
        <w:t>Original Research Article</w:t>
      </w:r>
    </w:p>
    <w:p w14:paraId="1578AE03" w14:textId="77777777" w:rsidR="00792EAE" w:rsidRDefault="00792EAE" w:rsidP="00A23BF6">
      <w:pPr>
        <w:spacing w:after="0"/>
        <w:jc w:val="right"/>
        <w:rPr>
          <w:rFonts w:ascii="Arial" w:hAnsi="Arial"/>
          <w:i/>
          <w:iCs/>
          <w:sz w:val="20"/>
          <w:szCs w:val="20"/>
          <w:lang w:val="id-ID"/>
        </w:rPr>
      </w:pPr>
    </w:p>
    <w:p w14:paraId="68A33E86" w14:textId="24A70439" w:rsidR="00A6069B" w:rsidRDefault="00383A66" w:rsidP="00A23BF6">
      <w:pPr>
        <w:spacing w:after="0"/>
        <w:jc w:val="right"/>
        <w:rPr>
          <w:rFonts w:ascii="Arial" w:hAnsi="Arial"/>
          <w:b/>
          <w:bCs/>
          <w:sz w:val="48"/>
          <w:szCs w:val="48"/>
          <w:lang w:val="id-ID"/>
        </w:rPr>
      </w:pPr>
      <w:r>
        <w:rPr>
          <w:rFonts w:ascii="Arial" w:hAnsi="Arial"/>
          <w:i/>
          <w:iCs/>
          <w:sz w:val="20"/>
          <w:szCs w:val="20"/>
          <w:lang w:val="id-ID"/>
        </w:rPr>
        <w:t xml:space="preserve"> </w:t>
      </w:r>
      <w:r w:rsidR="005E269F">
        <w:rPr>
          <w:rFonts w:ascii="Arial" w:hAnsi="Arial"/>
          <w:b/>
          <w:bCs/>
          <w:sz w:val="48"/>
          <w:szCs w:val="48"/>
          <w:lang w:val="id-ID"/>
        </w:rPr>
        <w:t>The Influence of Financial Literacy, Financial Attitude, Lifestyle, and Financial Inclusion on Financial Behavior in MSMEs</w:t>
      </w:r>
    </w:p>
    <w:p w14:paraId="4148BCAE" w14:textId="77777777" w:rsidR="00A23BF6" w:rsidRDefault="00A23BF6" w:rsidP="00A23BF6">
      <w:pPr>
        <w:spacing w:after="0"/>
        <w:jc w:val="right"/>
        <w:rPr>
          <w:rFonts w:ascii="Arial" w:hAnsi="Arial"/>
          <w:b/>
          <w:bCs/>
          <w:sz w:val="48"/>
          <w:szCs w:val="48"/>
          <w:lang w:val="id-ID"/>
        </w:rPr>
      </w:pPr>
    </w:p>
    <w:p w14:paraId="1D9C84F7" w14:textId="76D07DC1" w:rsidR="00EA563A" w:rsidRPr="00B12CAA" w:rsidRDefault="00EA563A" w:rsidP="000975B5">
      <w:pPr>
        <w:pBdr>
          <w:bottom w:val="single" w:sz="12" w:space="1" w:color="auto"/>
        </w:pBdr>
        <w:spacing w:after="0"/>
        <w:jc w:val="right"/>
        <w:rPr>
          <w:rFonts w:ascii="Arial" w:hAnsi="Arial"/>
          <w:b/>
          <w:bCs/>
          <w:sz w:val="20"/>
          <w:szCs w:val="20"/>
          <w:lang w:val="id-ID"/>
        </w:rPr>
      </w:pPr>
    </w:p>
    <w:p w14:paraId="0DD526EB" w14:textId="77777777" w:rsidR="00B12CAA" w:rsidRPr="00EA563A" w:rsidRDefault="00B12CAA" w:rsidP="000975B5">
      <w:pPr>
        <w:pBdr>
          <w:bottom w:val="single" w:sz="12" w:space="1" w:color="auto"/>
        </w:pBdr>
        <w:spacing w:after="0"/>
        <w:jc w:val="right"/>
        <w:rPr>
          <w:rFonts w:ascii="Arial" w:hAnsi="Arial"/>
          <w:b/>
          <w:bCs/>
          <w:sz w:val="20"/>
          <w:szCs w:val="20"/>
          <w:lang w:val="id-ID"/>
        </w:rPr>
      </w:pPr>
    </w:p>
    <w:p w14:paraId="4170AD19" w14:textId="77777777" w:rsidR="008459B7" w:rsidRDefault="008459B7" w:rsidP="000975B5">
      <w:pPr>
        <w:spacing w:after="0"/>
        <w:jc w:val="right"/>
        <w:rPr>
          <w:rFonts w:ascii="Arial" w:hAnsi="Arial"/>
          <w:b/>
          <w:bCs/>
          <w:sz w:val="20"/>
          <w:szCs w:val="20"/>
          <w:lang w:val="id-ID"/>
        </w:rPr>
      </w:pPr>
    </w:p>
    <w:p w14:paraId="75B0D1BA" w14:textId="471CC279" w:rsidR="008459B7" w:rsidRDefault="00362524" w:rsidP="008459B7">
      <w:pPr>
        <w:spacing w:after="0"/>
        <w:rPr>
          <w:rFonts w:ascii="Arial" w:hAnsi="Arial"/>
          <w:b/>
          <w:bCs/>
          <w:sz w:val="22"/>
          <w:szCs w:val="22"/>
          <w:lang w:val="id-ID"/>
        </w:rPr>
      </w:pPr>
      <w:r>
        <w:rPr>
          <w:rFonts w:ascii="Arial" w:hAnsi="Arial"/>
          <w:b/>
          <w:bCs/>
          <w:sz w:val="22"/>
          <w:szCs w:val="22"/>
          <w:lang w:val="id-ID"/>
        </w:rPr>
        <w:t>Abstarct</w:t>
      </w:r>
    </w:p>
    <w:p w14:paraId="7215CD8C" w14:textId="77777777" w:rsidR="008459B7" w:rsidRPr="005E441C" w:rsidRDefault="008459B7" w:rsidP="008459B7">
      <w:pPr>
        <w:spacing w:after="0"/>
        <w:rPr>
          <w:rFonts w:ascii="Arial" w:hAnsi="Arial" w:cs="Arial"/>
          <w:bCs/>
          <w:sz w:val="18"/>
          <w:szCs w:val="18"/>
          <w:lang w:val="id-ID"/>
        </w:rPr>
      </w:pPr>
    </w:p>
    <w:tbl>
      <w:tblPr>
        <w:tblStyle w:val="TableGrid"/>
        <w:tblW w:w="0" w:type="auto"/>
        <w:shd w:val="clear" w:color="auto" w:fill="D4D4D4"/>
        <w:tblLook w:val="04A0" w:firstRow="1" w:lastRow="0" w:firstColumn="1" w:lastColumn="0" w:noHBand="0" w:noVBand="1"/>
      </w:tblPr>
      <w:tblGrid>
        <w:gridCol w:w="9350"/>
      </w:tblGrid>
      <w:tr w:rsidR="00201A15" w:rsidRPr="005E441C" w14:paraId="45F2667E" w14:textId="77777777" w:rsidTr="00201A15">
        <w:tc>
          <w:tcPr>
            <w:tcW w:w="9350" w:type="dxa"/>
            <w:shd w:val="clear" w:color="auto" w:fill="D4D4D4"/>
          </w:tcPr>
          <w:p w14:paraId="67FF3DCA" w14:textId="74D9B5E3" w:rsidR="00201A15" w:rsidRPr="005E441C" w:rsidRDefault="005E441C" w:rsidP="00201A15">
            <w:pPr>
              <w:jc w:val="both"/>
              <w:rPr>
                <w:rFonts w:ascii="Arial" w:hAnsi="Arial" w:cs="Arial"/>
                <w:bCs/>
                <w:sz w:val="18"/>
                <w:szCs w:val="18"/>
                <w:lang w:val="id-ID"/>
              </w:rPr>
            </w:pPr>
            <w:r w:rsidRPr="00D979BE">
              <w:rPr>
                <w:rFonts w:ascii="Arial" w:hAnsi="Arial" w:cs="Arial"/>
                <w:bCs/>
                <w:sz w:val="20"/>
                <w:szCs w:val="20"/>
                <w:highlight w:val="yellow"/>
                <w:lang w:val="en-GB"/>
              </w:rPr>
              <w:t>This study aims to analyze the influence of financial literacy, financial attitudes, lifestyle, and financial inclusion on the financial behavior of MSMEs in Banyumas Regency. Financial behavior is an individual's ability to manage, plan, and control personal and business funds to achieve economic well-being. Using a quantitative approach, primary data was collected through questionnaires from 158 respondents selected using a purposive sampling technique from a population of 6,271 MSMEs. Data analysis was performed using the SEM-SmartPLS 3.0 tool from September to December 2025. The results showed that financial literacy, financial attitudes, lifestyle, and financial inclusion had a significant positive effect on financial behavior. These findings highlight the importance of increasing managerial training capacity through and utilizing access to formal financial services to strengthen the financial resilience of MSMEs. This research provides an important contribution to the development of financial management theory and the formulation of regional economic training policies.</w:t>
            </w:r>
          </w:p>
        </w:tc>
      </w:tr>
    </w:tbl>
    <w:p w14:paraId="14269EA1" w14:textId="0570317B" w:rsidR="007C1597" w:rsidRDefault="007C1597" w:rsidP="008459B7">
      <w:pPr>
        <w:spacing w:after="0"/>
        <w:rPr>
          <w:rFonts w:ascii="Arial" w:hAnsi="Arial"/>
          <w:b/>
          <w:bCs/>
          <w:sz w:val="22"/>
          <w:szCs w:val="22"/>
          <w:lang w:val="id-ID"/>
        </w:rPr>
      </w:pPr>
    </w:p>
    <w:p w14:paraId="590375DA" w14:textId="6472A217" w:rsidR="00BB492A" w:rsidRPr="00BB492A" w:rsidRDefault="00BB492A" w:rsidP="008459B7">
      <w:pPr>
        <w:spacing w:after="0"/>
        <w:rPr>
          <w:rFonts w:ascii="Arial" w:hAnsi="Arial"/>
          <w:sz w:val="20"/>
          <w:szCs w:val="20"/>
          <w:lang w:val="id-ID"/>
        </w:rPr>
      </w:pPr>
      <w:r w:rsidRPr="00BB492A">
        <w:rPr>
          <w:rFonts w:ascii="Arial" w:hAnsi="Arial"/>
          <w:sz w:val="20"/>
          <w:szCs w:val="20"/>
          <w:lang w:val="id-ID"/>
        </w:rPr>
        <w:t xml:space="preserve">Keywoard: </w:t>
      </w:r>
      <w:r>
        <w:rPr>
          <w:rFonts w:ascii="Arial" w:hAnsi="Arial"/>
          <w:sz w:val="20"/>
          <w:szCs w:val="20"/>
          <w:lang w:val="id-ID"/>
        </w:rPr>
        <w:t>Financial Literacy, Financial Attitude, Lifestyle</w:t>
      </w:r>
      <w:r w:rsidR="008370E9">
        <w:rPr>
          <w:rFonts w:ascii="Arial" w:hAnsi="Arial"/>
          <w:sz w:val="20"/>
          <w:szCs w:val="20"/>
          <w:lang w:val="id-ID"/>
        </w:rPr>
        <w:t>, Financial Inclusion, Financial Behavior</w:t>
      </w:r>
    </w:p>
    <w:p w14:paraId="79928BBF" w14:textId="77777777" w:rsidR="00BB492A" w:rsidRPr="00BB492A" w:rsidRDefault="00BB492A" w:rsidP="008459B7">
      <w:pPr>
        <w:spacing w:after="0"/>
        <w:rPr>
          <w:rFonts w:ascii="Arial" w:hAnsi="Arial"/>
          <w:b/>
          <w:bCs/>
          <w:sz w:val="22"/>
          <w:szCs w:val="22"/>
          <w:lang w:val="id-ID"/>
        </w:rPr>
      </w:pPr>
    </w:p>
    <w:p w14:paraId="5CD75C35" w14:textId="08D7CAC2" w:rsidR="00383A66" w:rsidRDefault="00383A66" w:rsidP="00910524">
      <w:pPr>
        <w:spacing w:after="0"/>
        <w:rPr>
          <w:rFonts w:ascii="Arial" w:hAnsi="Arial"/>
          <w:b/>
          <w:bCs/>
          <w:sz w:val="22"/>
          <w:szCs w:val="22"/>
          <w:lang w:val="id-ID"/>
        </w:rPr>
      </w:pPr>
      <w:r>
        <w:rPr>
          <w:rFonts w:ascii="Arial" w:hAnsi="Arial"/>
          <w:b/>
          <w:bCs/>
          <w:sz w:val="22"/>
          <w:szCs w:val="22"/>
          <w:lang w:val="id-ID"/>
        </w:rPr>
        <w:t>1. INTRODUCTION</w:t>
      </w:r>
    </w:p>
    <w:p w14:paraId="0FD492B8" w14:textId="77777777" w:rsidR="00910524" w:rsidRPr="00A74DED" w:rsidRDefault="00910524" w:rsidP="00910524">
      <w:pPr>
        <w:spacing w:after="0"/>
        <w:rPr>
          <w:rFonts w:ascii="Arial" w:hAnsi="Arial"/>
          <w:b/>
          <w:bCs/>
          <w:sz w:val="20"/>
          <w:szCs w:val="20"/>
          <w:lang w:val="id-ID"/>
        </w:rPr>
      </w:pPr>
    </w:p>
    <w:p w14:paraId="7F0DCEA9" w14:textId="448A668C" w:rsidR="00FC38B4" w:rsidRDefault="00C44850" w:rsidP="00603024">
      <w:pPr>
        <w:spacing w:after="0"/>
        <w:jc w:val="both"/>
        <w:rPr>
          <w:rFonts w:ascii="Arial" w:hAnsi="Arial"/>
          <w:sz w:val="20"/>
          <w:szCs w:val="20"/>
          <w:lang w:val="id-ID"/>
        </w:rPr>
      </w:pPr>
      <w:r w:rsidRPr="00D54C39">
        <w:rPr>
          <w:rFonts w:ascii="Arial" w:hAnsi="Arial"/>
          <w:sz w:val="20"/>
          <w:szCs w:val="20"/>
          <w:lang w:val="id-ID"/>
        </w:rPr>
        <w:t xml:space="preserve">Micro, Small, and Medium Enterprises (MSMEs) are independent and productive small-scale business activities carried out by individuals or business entities in the economic sector </w:t>
      </w:r>
      <w:r w:rsidRPr="00D54C39">
        <w:rPr>
          <w:rFonts w:ascii="Arial" w:hAnsi="Arial"/>
          <w:sz w:val="20"/>
          <w:szCs w:val="20"/>
          <w:lang w:val="id-ID"/>
        </w:rPr>
        <w:fldChar w:fldCharType="begin" w:fldLock="1"/>
      </w:r>
      <w:r w:rsidRPr="00D54C39">
        <w:rPr>
          <w:rFonts w:ascii="Arial" w:hAnsi="Arial"/>
          <w:sz w:val="20"/>
          <w:szCs w:val="20"/>
          <w:lang w:val="id-ID"/>
        </w:rPr>
        <w:instrText>ADDIN CSL_CITATION {"citationItems":[{"id":"ITEM-1","itemData":{"DOI":"10.55903/juria.v2i3.132","abstract":"Penelitian ini bertujuan untuk mengetahui pengaruh literasi keuangan, inklusi keuangan dan pendapatan terhadap perilaku keuangan pelaku UMKM di Langsa Kota (usaha pakaian jadi). Populasi pada penelitian ini yaitu berjumlah 73 pelaku UMKM di Langsa Kota yang masih aktif dan sampelnya berjumlah 73 pelaku UMKM. Teknik pengambilan sampel menggunakan sampel jenuh. Metode analisis data yang digunakan adalah analisis regresi linear berganda, uji t, uji F dan koefisien determinasi. Hasil penelitian menunjukkan Y = 1.108 - 0.128X1 + 0.391X2 + 0.440X3 Konstanta bernilai 1.108 merupakan nilai perilaku keuangan pada pelaku UMKM apabila literasi keuangan, inklusi keuangan dan pendapatan bernilai tetap. Koefisien regresi variabel inklusi keuangan dan pendapatan berpengaruh positif terhadap perilaku keuangan tetapi untuk variabel literasi keuangan berpengaruh negatif terhadap perilaku keuangan. Hasil penelitian untuk uji t untuk variabel inklusi keuangan dan pendapatan diperoleh t sig &lt; 0.05 sehingga berpengaruh signifikan terhadap perilaku keuangan akan tetapi untuk variabel literasi keuangan diperoleh t sig &gt; 0.05 yang berarti literasi keuangan berpengaruh namun tidak signifikan terhadap perilaku keuangan. Hasil uji F menunjukkan bahwa variabel literasi keuangan, inklusi keuangan dan pendapatan secara simultan berpengaruh signifikan terhadap perilaku keuangan. untuk hasil uji koefisien determinasi (Adjusted R2) diperoleh nilai sebesar 54% yang berarti bahwa perilaku perilaku keuangan dipengaruhi sebesar 54% oleh variabel literasi keuangan, inklusi keuangan, dan pendapatan.","author":[{"dropping-particle":"","family":"Jannah","given":"Miftahul","non-dropping-particle":"","parse-names":false,"suffix":""},{"dropping-particle":"","family":"Fuad","given":"Muhammad","non-dropping-particle":"","parse-names":false,"suffix":""},{"dropping-particle":"","family":"Dewi","given":"Meutia","non-dropping-particle":"","parse-names":false,"suffix":""}],"container-title":"Jurnal Ekonomi Utama","id":"ITEM-1","issue":"3","issued":{"date-parts":[["2023"]]},"page":"298-306","title":"Pengaruh Literasi Keuangan, Inklusi Keuangan dan Pendapatan Terhadap Perilaku Keuangan Pelaku UMKM di Langsa Kota","type":"article-journal","volume":"2"},"uris":["http://www.mendeley.com/documents/?uuid=177650ef-cb18-4112-9ec8-b6cf5e7d05ae"]}],"mendeley":{"formattedCitation":"(Jannah, Fuad, and Dewi 2023)","plainTextFormattedCitation":"(Jannah, Fuad, and Dewi 2023)","previouslyFormattedCitation":"(Jannah, Fuad, and Dewi 2023)"},"properties":{"noteIndex":0},"schema":"https://github.com/citation-style-language/schema/raw/master/csl-citation.json"}</w:instrText>
      </w:r>
      <w:r w:rsidRPr="00D54C39">
        <w:rPr>
          <w:rFonts w:ascii="Arial" w:hAnsi="Arial"/>
          <w:sz w:val="20"/>
          <w:szCs w:val="20"/>
          <w:lang w:val="id-ID"/>
        </w:rPr>
        <w:fldChar w:fldCharType="separate"/>
      </w:r>
      <w:r w:rsidRPr="00D54C39">
        <w:rPr>
          <w:rFonts w:ascii="Arial" w:hAnsi="Arial"/>
          <w:noProof/>
          <w:sz w:val="20"/>
          <w:szCs w:val="20"/>
          <w:lang w:val="id-ID"/>
        </w:rPr>
        <w:t>(Jannah, Fuad, and Dewi 2023)</w:t>
      </w:r>
      <w:r w:rsidRPr="00D54C39">
        <w:rPr>
          <w:rFonts w:ascii="Arial" w:hAnsi="Arial"/>
          <w:sz w:val="20"/>
          <w:szCs w:val="20"/>
          <w:lang w:val="id-ID"/>
        </w:rPr>
        <w:fldChar w:fldCharType="end"/>
      </w:r>
      <w:r w:rsidRPr="00D54C39">
        <w:rPr>
          <w:rFonts w:ascii="Arial" w:hAnsi="Arial"/>
          <w:sz w:val="20"/>
          <w:szCs w:val="20"/>
          <w:lang w:val="id-ID"/>
        </w:rPr>
        <w:t xml:space="preserve">. The </w:t>
      </w:r>
      <w:r w:rsidRPr="00D54C39">
        <w:rPr>
          <w:rFonts w:ascii="Arial" w:hAnsi="Arial"/>
          <w:sz w:val="20"/>
          <w:szCs w:val="20"/>
          <w:lang w:val="id-ID"/>
        </w:rPr>
        <w:fldChar w:fldCharType="begin" w:fldLock="1"/>
      </w:r>
      <w:r w:rsidRPr="00D54C39">
        <w:rPr>
          <w:rFonts w:ascii="Arial" w:hAnsi="Arial"/>
          <w:sz w:val="20"/>
          <w:szCs w:val="20"/>
          <w:lang w:val="id-ID"/>
        </w:rPr>
        <w:instrText>ADDIN CSL_CITATION {"citationItems":[{"id":"ITEM-1","itemData":{"abstract":"Bahwa Dewan Perwakilan Daerah Republik Indonesia dapat melakukan pengawasan atas pelaksanaan undang-undang mengenai otonomi daerah, pembentukan, pemekaran dan penggabungan daerah, hubungan pusat dan daerah, pengelolaan sumber daya alam dan sumber daya ekonomi lainnya, pelaksanaan anggaran pendapatan dan belanja negara, pajak, pendidikan, dan agama serta menyampaikan hasil pengawasannya itu kepada Dewan Perwakilan Rakyat sebagai bahan pertimbangan untuk ditindaklanjuti; Dewan Perwakilan Daerah Republik Indonesia telah menerima berbagai aspirasi masyarakat dan daerah mengenai pelaksanaan Undang-Undang Nomor 20 Tahun 2008 tentang Usaha Mikro, Kecil dan Menengah; Dasar Hukum UU Pasal 22D ayat (3) Tahun 1945;UU No 17 Tahun 2014;UU No 20 Tahun 2008;Peraturan DPD No 6 Tahun 2012; Peraturan DPD No 1 Tahun 2022; Undang-undang Dasar Negara Republik Indonesia (UUD NRI) Tahun 1945 Pasal 22D ayat (3), serta Undang-Undang Nomor 13 Tahun 2019 tentang Perubahan Ketiga atas Undang-Undang Nomor 17 tahun 2014 tentang MPR, DPR, DPD, dan DPRD Pasal 249 ayat (1) huruf e dan Pasal 256 huruf e, mengamanatkan DPD RI dapat melakukan pengawasan atas pelaksanaan undang-undang mengenai otonomi daerah, pembentukan, pemekaran dan penggabungan daerah, hubungan pusat dan daerah, pengelolaan sumber daya alam dan sumber daya ekonomi lainnya, pelaksanaan APBN, pajak, pendidikan, dan agama serta menyampaikan hasil pengawasannya kepada DPR RI. Pada masa Sidang IV Tahun Sidang 2023-2024 ini DPD RI melalui Komite IV melakukan pengawasan atas pelaksanaan Undang-Undang Nomor 20 Tahun 2008 tentang Usaha Mikro, Kecil dan Menengah (UMKM).","author":[{"dropping-particle":"","family":"KEPDPDRI","given":"","non-dropping-particle":"","parse-names":false,"suffix":""}],"id":"ITEM-1","issued":{"date-parts":[["2024"]]},"page":"1-28","title":"Keputusan Dewan Perwakilan Daerah Republik Indonesia Nomor 41/DPD RI/IV/2023-2024 Tentang Hasil Pengawasan DPD RI Atas Pelaksanaan Undang-Undang Nomor 20 Tahun 2008 Tentang Usaha Mikro, Kecil dan Menengah","type":"legislation"},"uris":["http://www.mendeley.com/documents/?uuid=1bfc6926-ee43-494f-a08a-96de5b6a9882"]}],"mendeley":{"formattedCitation":"(KEPDPDRI 2024)","manualFormatting":"KEPDPDRI (2024)","plainTextFormattedCitation":"(KEPDPDRI 2024)","previouslyFormattedCitation":"(KEPDPDRI 2024)"},"properties":{"noteIndex":0},"schema":"https://github.com/citation-style-language/schema/raw/master/csl-citation.json"}</w:instrText>
      </w:r>
      <w:r w:rsidRPr="00D54C39">
        <w:rPr>
          <w:rFonts w:ascii="Arial" w:hAnsi="Arial"/>
          <w:sz w:val="20"/>
          <w:szCs w:val="20"/>
          <w:lang w:val="id-ID"/>
        </w:rPr>
        <w:fldChar w:fldCharType="separate"/>
      </w:r>
      <w:r w:rsidRPr="00D54C39">
        <w:rPr>
          <w:rFonts w:ascii="Arial" w:hAnsi="Arial"/>
          <w:noProof/>
          <w:sz w:val="20"/>
          <w:szCs w:val="20"/>
          <w:lang w:val="id-ID"/>
        </w:rPr>
        <w:t>KEPDPDRI (2024)</w:t>
      </w:r>
      <w:r w:rsidRPr="00D54C39">
        <w:rPr>
          <w:rFonts w:ascii="Arial" w:hAnsi="Arial"/>
          <w:sz w:val="20"/>
          <w:szCs w:val="20"/>
          <w:lang w:val="id-ID"/>
        </w:rPr>
        <w:fldChar w:fldCharType="end"/>
      </w:r>
      <w:r w:rsidRPr="00D54C39">
        <w:rPr>
          <w:rFonts w:ascii="Arial" w:hAnsi="Arial"/>
          <w:sz w:val="20"/>
          <w:szCs w:val="20"/>
          <w:lang w:val="id-ID"/>
        </w:rPr>
        <w:t xml:space="preserve">, explains that there are 64,2 milion MSMEs that contribute directly to Indonesia’s Gross Domestic Product (GDP) by 61% or equivalent to Rp. 9.580 trilion. The Central Java Provincial Cooperative and Small and Medium Enterprises Agency in Central Java </w:t>
      </w:r>
      <w:r w:rsidRPr="00D54C39">
        <w:rPr>
          <w:rFonts w:ascii="Arial" w:hAnsi="Arial"/>
          <w:sz w:val="20"/>
          <w:szCs w:val="20"/>
          <w:lang w:val="id-ID"/>
        </w:rPr>
        <w:fldChar w:fldCharType="begin" w:fldLock="1"/>
      </w:r>
      <w:r w:rsidR="00D54C39" w:rsidRPr="00D54C39">
        <w:rPr>
          <w:rFonts w:ascii="Arial" w:hAnsi="Arial"/>
          <w:sz w:val="20"/>
          <w:szCs w:val="20"/>
          <w:lang w:val="id-ID"/>
        </w:rPr>
        <w:instrText>ADDIN CSL_CITATION {"citationItems":[{"id":"ITEM-1","itemData":{"URL":"https://satudata.dinkop-umkm.jatengprov.go.id/umkm","author":[{"dropping-particle":"","family":"Jateng","given":"Dinkop-UMKM","non-dropping-particle":"","parse-names":false,"suffix":""}],"container-title":"Dinas Koperasi Usaha Kecil Menengah Provinsi Jawa Tengah","id":"ITEM-1","issued":{"date-parts":[["2025"]]},"note":"Accessed 11 Dec 2025. Metadata (judul/penulis/tahun terbit) belum diverifikasi.","title":"Data Jumlah UMKM di Kabupaten Banyumas","type":"webpage"},"uris":["http://www.mendeley.com/documents/?uuid=816c2bf6-a4f0-4909-b945-d581b17ae591"]}],"mendeley":{"formattedCitation":"(Jateng 2025)","manualFormatting":"(2025)","plainTextFormattedCitation":"(Jateng 2025)","previouslyFormattedCitation":"(Jateng 2025)"},"properties":{"noteIndex":0},"schema":"https://github.com/citation-style-language/schema/raw/master/csl-citation.json"}</w:instrText>
      </w:r>
      <w:r w:rsidRPr="00D54C39">
        <w:rPr>
          <w:rFonts w:ascii="Arial" w:hAnsi="Arial"/>
          <w:sz w:val="20"/>
          <w:szCs w:val="20"/>
          <w:lang w:val="id-ID"/>
        </w:rPr>
        <w:fldChar w:fldCharType="separate"/>
      </w:r>
      <w:r w:rsidR="00FC38B4" w:rsidRPr="00D54C39">
        <w:rPr>
          <w:rFonts w:ascii="Arial" w:hAnsi="Arial"/>
          <w:noProof/>
          <w:sz w:val="20"/>
          <w:szCs w:val="20"/>
          <w:lang w:val="id-ID"/>
        </w:rPr>
        <w:t>(</w:t>
      </w:r>
      <w:r w:rsidRPr="00D54C39">
        <w:rPr>
          <w:rFonts w:ascii="Arial" w:hAnsi="Arial"/>
          <w:noProof/>
          <w:sz w:val="20"/>
          <w:szCs w:val="20"/>
          <w:lang w:val="id-ID"/>
        </w:rPr>
        <w:t>2025)</w:t>
      </w:r>
      <w:r w:rsidRPr="00D54C39">
        <w:rPr>
          <w:rFonts w:ascii="Arial" w:hAnsi="Arial"/>
          <w:sz w:val="20"/>
          <w:szCs w:val="20"/>
          <w:lang w:val="id-ID"/>
        </w:rPr>
        <w:fldChar w:fldCharType="end"/>
      </w:r>
      <w:r w:rsidR="00FC38B4" w:rsidRPr="00D54C39">
        <w:rPr>
          <w:rFonts w:ascii="Arial" w:hAnsi="Arial"/>
          <w:sz w:val="20"/>
          <w:szCs w:val="20"/>
          <w:lang w:val="id-ID"/>
        </w:rPr>
        <w:t>, reports that there are 193.200 MSMEs undergoing guidance in Central Java in 2025</w:t>
      </w:r>
      <w:r w:rsidR="00792098">
        <w:rPr>
          <w:rFonts w:ascii="Arial" w:hAnsi="Arial"/>
          <w:sz w:val="20"/>
          <w:szCs w:val="20"/>
          <w:lang w:val="id-ID"/>
        </w:rPr>
        <w:t>.</w:t>
      </w:r>
    </w:p>
    <w:p w14:paraId="1DC1E9C9" w14:textId="77777777" w:rsidR="008F574C" w:rsidRDefault="008F574C" w:rsidP="00603024">
      <w:pPr>
        <w:spacing w:after="0"/>
        <w:jc w:val="both"/>
        <w:rPr>
          <w:rFonts w:ascii="Arial" w:hAnsi="Arial"/>
          <w:sz w:val="20"/>
          <w:szCs w:val="20"/>
          <w:lang w:val="id-ID"/>
        </w:rPr>
      </w:pPr>
    </w:p>
    <w:p w14:paraId="770CDDBB" w14:textId="33C937B4" w:rsidR="00792098" w:rsidRPr="008F574C" w:rsidRDefault="008F574C" w:rsidP="008F574C">
      <w:pPr>
        <w:spacing w:after="0"/>
        <w:jc w:val="center"/>
        <w:rPr>
          <w:rFonts w:ascii="Arial" w:hAnsi="Arial"/>
          <w:sz w:val="20"/>
          <w:szCs w:val="20"/>
          <w:lang w:val="id-ID"/>
        </w:rPr>
      </w:pPr>
      <w:r>
        <w:rPr>
          <w:rFonts w:ascii="Arial" w:hAnsi="Arial"/>
          <w:noProof/>
          <w:sz w:val="20"/>
          <w:szCs w:val="20"/>
          <w:lang w:val="id-ID"/>
        </w:rPr>
        <w:lastRenderedPageBreak/>
        <w:drawing>
          <wp:inline distT="0" distB="0" distL="0" distR="0" wp14:anchorId="239D0CCA" wp14:editId="4AA67699">
            <wp:extent cx="3840480" cy="2488758"/>
            <wp:effectExtent l="0" t="0" r="7620" b="6985"/>
            <wp:docPr id="186524822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8DB60C" w14:textId="56F102FF" w:rsidR="00FC38B4" w:rsidRPr="00AB4908" w:rsidRDefault="007A17A6" w:rsidP="00845972">
      <w:pPr>
        <w:spacing w:after="0"/>
        <w:jc w:val="center"/>
        <w:rPr>
          <w:rFonts w:ascii="Arial" w:hAnsi="Arial"/>
          <w:b/>
          <w:bCs/>
          <w:sz w:val="20"/>
          <w:szCs w:val="20"/>
          <w:lang w:val="id-ID"/>
        </w:rPr>
      </w:pPr>
      <w:r w:rsidRPr="00AB4908">
        <w:rPr>
          <w:rFonts w:ascii="Arial" w:hAnsi="Arial"/>
          <w:b/>
          <w:bCs/>
          <w:sz w:val="20"/>
          <w:szCs w:val="20"/>
          <w:lang w:val="id-ID"/>
        </w:rPr>
        <w:t>Fig</w:t>
      </w:r>
      <w:r w:rsidR="00FC25B6" w:rsidRPr="00AB4908">
        <w:rPr>
          <w:rFonts w:ascii="Arial" w:hAnsi="Arial"/>
          <w:b/>
          <w:bCs/>
          <w:sz w:val="20"/>
          <w:szCs w:val="20"/>
          <w:lang w:val="id-ID"/>
        </w:rPr>
        <w:t>. 1. Graph of the Number of MSMEs in Banyumas Regency</w:t>
      </w:r>
    </w:p>
    <w:p w14:paraId="6929C4E7" w14:textId="59F7E568" w:rsidR="00FC25B6" w:rsidRPr="00AB4908" w:rsidRDefault="003633A2" w:rsidP="00845972">
      <w:pPr>
        <w:spacing w:after="0"/>
        <w:jc w:val="center"/>
        <w:rPr>
          <w:rFonts w:ascii="Arial" w:hAnsi="Arial"/>
          <w:i/>
          <w:iCs/>
          <w:sz w:val="20"/>
          <w:szCs w:val="20"/>
          <w:lang w:val="id-ID"/>
        </w:rPr>
      </w:pPr>
      <w:r w:rsidRPr="00AB4908">
        <w:rPr>
          <w:rFonts w:ascii="Arial" w:hAnsi="Arial"/>
          <w:i/>
          <w:iCs/>
          <w:sz w:val="20"/>
          <w:szCs w:val="20"/>
          <w:lang w:val="id-ID"/>
        </w:rPr>
        <w:t xml:space="preserve">Source: </w:t>
      </w:r>
      <w:r w:rsidR="00AE33E7" w:rsidRPr="00AB4908">
        <w:rPr>
          <w:rFonts w:ascii="Arial" w:hAnsi="Arial"/>
          <w:i/>
          <w:iCs/>
          <w:sz w:val="20"/>
          <w:szCs w:val="20"/>
          <w:lang w:val="id-ID"/>
        </w:rPr>
        <w:t>Central Java Small and Medium Enterprises Cooperative Agency</w:t>
      </w:r>
    </w:p>
    <w:p w14:paraId="2550F2DC" w14:textId="77777777" w:rsidR="006317A0" w:rsidRDefault="006317A0" w:rsidP="006317A0">
      <w:pPr>
        <w:spacing w:after="0"/>
        <w:jc w:val="both"/>
        <w:rPr>
          <w:rFonts w:ascii="Arial" w:hAnsi="Arial"/>
          <w:sz w:val="20"/>
          <w:szCs w:val="20"/>
          <w:lang w:val="id-ID"/>
        </w:rPr>
      </w:pPr>
    </w:p>
    <w:p w14:paraId="6FF1AB99" w14:textId="172DD854" w:rsidR="006317A0" w:rsidRDefault="006317A0" w:rsidP="00D54C39">
      <w:pPr>
        <w:spacing w:after="0"/>
        <w:jc w:val="both"/>
        <w:rPr>
          <w:rFonts w:ascii="Arial" w:hAnsi="Arial"/>
          <w:sz w:val="20"/>
          <w:szCs w:val="20"/>
          <w:lang w:val="id-ID"/>
        </w:rPr>
      </w:pPr>
      <w:r w:rsidRPr="00D54C39">
        <w:rPr>
          <w:rFonts w:ascii="Arial" w:hAnsi="Arial"/>
          <w:sz w:val="20"/>
          <w:szCs w:val="20"/>
          <w:lang w:val="id-ID"/>
        </w:rPr>
        <w:t xml:space="preserve">Meanwhile, in Banyumas Regency itself, there are fluctuations in the number of MSMEs under guidance based on data from the Central Java Small and Medium Entreprises Cooperative Office. Therefore in this situation, competence becomes an important aspect needed by MSME actors to anticipate instability in the business world </w:t>
      </w:r>
      <w:r w:rsidRPr="00D54C39">
        <w:rPr>
          <w:rFonts w:ascii="Arial" w:hAnsi="Arial"/>
          <w:sz w:val="20"/>
          <w:szCs w:val="20"/>
          <w:lang w:val="id-ID"/>
        </w:rPr>
        <w:fldChar w:fldCharType="begin" w:fldLock="1"/>
      </w:r>
      <w:r>
        <w:rPr>
          <w:rFonts w:ascii="Arial" w:hAnsi="Arial"/>
          <w:sz w:val="20"/>
          <w:szCs w:val="20"/>
          <w:lang w:val="id-ID"/>
        </w:rPr>
        <w:instrText>ADDIN CSL_CITATION {"citationItems":[{"id":"ITEM-1","itemData":{"DOI":"10.30741/adv.v8i2.1333","abstract":"ABSTRACT The research examines the factors that influence the financial behaviour of micro, small and medium-sized enterprises (MSMEs), focusing on the roles of financial inclusion, financial literacy, and financial technology, framed within the Theory of Planned Behavior. The population for this research consisted of 89,553 MSME players, with a sampling technique utilizing the Slovin formula to achieve a sample size of 142 respondents. Using a mixed-methods approach, the research combines quantitative surveys of MSME owners. The findings reveal that financial inclusion significantly enhances access to credit and financial services, thereby improving the financial behavior of MSMEs. Additionally, higher levels of financial literacy correlate with better financial management practices, leading to increased profitability and sustainability. The study also highlights the transformative impact of financial technology, which facilitates easier access to financial resources and enhances operational efficiency. The results indicate that financial inclusion, financial literacy, and financial technology have a positive and significant effect on the financial behavior of MSMEs. This suggests that targeted interventions in these areas could foster greater economic resilience and growth within this vital sector. Keywords:","author":[{"dropping-particle":"","family":"Azizah","given":"Farinda Hauna","non-dropping-particle":"","parse-names":false,"suffix":""},{"dropping-particle":"","family":"Innayah","given":"Maulida Nurul","non-dropping-particle":"","parse-names":false,"suffix":""},{"dropping-particle":"","family":"Tubastuvi","given":"Naelati","non-dropping-particle":"","parse-names":false,"suffix":""},{"dropping-particle":"","family":"Aryoko","given":"Yudhistira Pradhipta","non-dropping-particle":"","parse-names":false,"suffix":""}],"id":"ITEM-1","issue":"2","issued":{"date-parts":[["2024"]]},"page":"113-128","title":"Factors Affecting Financial Behavior of Micro , Small and Medium Enterprises ( MSMEs ): The Role of Financial Inclusion , Financial Literacy and Financial Technology Factors Affecting Financial Behavior of Micro , Small and Medium Enterprises ( MSMEs ): T","type":"article-journal","volume":"8"},"uris":["http://www.mendeley.com/documents/?uuid=37d44cc0-6698-44e2-aa41-14a2f2d81983"]}],"mendeley":{"formattedCitation":"(Azizah et al. 2024)","plainTextFormattedCitation":"(Azizah et al. 2024)","previouslyFormattedCitation":"(Azizah et al. 2024)"},"properties":{"noteIndex":0},"schema":"https://github.com/citation-style-language/schema/raw/master/csl-citation.json"}</w:instrText>
      </w:r>
      <w:r w:rsidRPr="00D54C39">
        <w:rPr>
          <w:rFonts w:ascii="Arial" w:hAnsi="Arial"/>
          <w:sz w:val="20"/>
          <w:szCs w:val="20"/>
          <w:lang w:val="id-ID"/>
        </w:rPr>
        <w:fldChar w:fldCharType="separate"/>
      </w:r>
      <w:r w:rsidRPr="00D54C39">
        <w:rPr>
          <w:rFonts w:ascii="Arial" w:hAnsi="Arial"/>
          <w:noProof/>
          <w:sz w:val="20"/>
          <w:szCs w:val="20"/>
          <w:lang w:val="id-ID"/>
        </w:rPr>
        <w:t>(Azizah et al. 2024)</w:t>
      </w:r>
      <w:r w:rsidRPr="00D54C39">
        <w:rPr>
          <w:rFonts w:ascii="Arial" w:hAnsi="Arial"/>
          <w:sz w:val="20"/>
          <w:szCs w:val="20"/>
          <w:lang w:val="id-ID"/>
        </w:rPr>
        <w:fldChar w:fldCharType="end"/>
      </w:r>
      <w:r>
        <w:rPr>
          <w:rFonts w:ascii="Arial" w:hAnsi="Arial"/>
          <w:sz w:val="20"/>
          <w:szCs w:val="20"/>
          <w:lang w:val="id-ID"/>
        </w:rPr>
        <w:t>.</w:t>
      </w:r>
    </w:p>
    <w:p w14:paraId="32B472B3" w14:textId="77777777" w:rsidR="006317A0" w:rsidRDefault="006317A0" w:rsidP="00D54C39">
      <w:pPr>
        <w:spacing w:after="0"/>
        <w:jc w:val="both"/>
        <w:rPr>
          <w:rFonts w:ascii="Arial" w:hAnsi="Arial" w:cs="Arial"/>
          <w:noProof/>
          <w:sz w:val="20"/>
          <w:szCs w:val="20"/>
          <w:lang w:val="id-ID"/>
        </w:rPr>
      </w:pPr>
    </w:p>
    <w:p w14:paraId="59B0997E" w14:textId="78C18266" w:rsidR="00D54C39" w:rsidRDefault="00D54C39" w:rsidP="00D54C39">
      <w:pPr>
        <w:spacing w:after="0"/>
        <w:jc w:val="both"/>
        <w:rPr>
          <w:rFonts w:ascii="Arial" w:hAnsi="Arial" w:cs="Arial"/>
          <w:sz w:val="20"/>
          <w:szCs w:val="20"/>
          <w:lang w:val="id-ID"/>
        </w:rPr>
      </w:pPr>
      <w:r w:rsidRPr="00652411">
        <w:rPr>
          <w:rFonts w:ascii="Arial" w:hAnsi="Arial" w:cs="Arial"/>
          <w:noProof/>
          <w:sz w:val="20"/>
          <w:szCs w:val="20"/>
          <w:lang w:val="id-ID"/>
        </w:rPr>
        <w:t xml:space="preserve">Instability </w:t>
      </w:r>
      <w:r w:rsidRPr="00652411">
        <w:rPr>
          <w:rFonts w:ascii="Arial" w:hAnsi="Arial" w:cs="Arial"/>
          <w:sz w:val="20"/>
          <w:szCs w:val="20"/>
          <w:lang w:val="id-ID"/>
        </w:rPr>
        <w:t xml:space="preserve">the number of MSMEs in Banyumas Regency is in line with research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{"citationItems":[{"id":"ITEM-1","itemData":{"DOI":"10.33395/owner.v8i1.1902","ISSN":"2548-7507","abstract":"Financial Literacy is a person's understanding or ability to measure financial concepts and have the ability to manage finances well. Financial literacy is very important for MSMEs in managing their business finances. Financial inclusion is the availability of access to various institutions, products and financial services according to the needs and capabilities of the community in order to improve people's welfare. This study aims to examine and analyze the effect of financial literacy and financial inclusion on MSME financial management in Kisaran Barat District. This type of research is quantitative research. The total population in this study was 390 MSME actors and the sample in this study were 80 MSME actors in Kisaran Barat District. Data collection techniques in this study were interviews and questionnaires. The data analysis method uses multiple linear regression analysis. The research results show that financial literacy and financial inclusion partially and simultaneously influence financial management.","author":[{"dropping-particle":"","family":"Munthay","given":"Salik Farhan","non-dropping-particle":"","parse-names":false,"suffix":""},{"dropping-particle":"","family":"Sembiring","given":"Masta","non-dropping-particle":"","parse-names":false,"suffix":""}],"container-title":"Owner","id":"ITEM-1","issue":"1","issued":{"date-parts":[["2024"]]},"page":"22-35","title":"Pengaruh Literasi Keuangan Dan Inklusi Keuangan Terhadap Pengelolaan Keuangan UMKM Di Kecamatan Kisaran Barat Kabupaten Asahan","type":"article-journal","volume":"8"},"uris":["http://www.mendeley.com/documents/?uuid=6f39e84c-88cd-4a39-8908-8a4f362d2f71"]}],"mendeley":{"formattedCitation":"(Munthay and Sembiring 2024)","manualFormatting":"Munthay and Sembiring (2024)","plainTextFormattedCitation":"(Munthay and Sembiring 2024)","previouslyFormattedCitation":"(Munthay and Sembiring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Munthay and Sembiring (2024)</w:t>
      </w:r>
      <w:r w:rsidRPr="00652411">
        <w:rPr>
          <w:rFonts w:ascii="Arial" w:hAnsi="Arial" w:cs="Arial"/>
          <w:sz w:val="20"/>
          <w:szCs w:val="20"/>
          <w:lang w:val="id-ID"/>
        </w:rPr>
        <w:fldChar w:fldCharType="end"/>
      </w:r>
      <w:r w:rsidRPr="00652411">
        <w:rPr>
          <w:rFonts w:ascii="Arial" w:hAnsi="Arial" w:cs="Arial"/>
          <w:sz w:val="20"/>
          <w:szCs w:val="20"/>
          <w:lang w:val="id-ID"/>
        </w:rPr>
        <w:t xml:space="preserve"> which explains that many MSMEs feel that their businesses are running well as they should, but in reality, they fail to grow and experience losses due to a lack of knowledge about how to calculate business results. Many MSMEs lack budgeting skills, which is closely related to the preparation of short, medium, and long term financial goals. Furthermore, MSMEs have a low understanding of the procedures for recording incoming and outgoing budgets for their businesses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{"citationItems":[{"id":"ITEM-1","itemData":{"DOI":"10.30741/adv.v8i2.1333","abstract":"ABSTRACT The research examines the factors that influence the financial behaviour of micro, small and medium-sized enterprises (MSMEs), focusing on the roles of financial inclusion, financial literacy, and financial technology, framed within the Theory of Planned Behavior. The population for this research consisted of 89,553 MSME players, with a sampling technique utilizing the Slovin formula to achieve a sample size of 142 respondents. Using a mixed-methods approach, the research combines quantitative surveys of MSME owners. The findings reveal that financial inclusion significantly enhances access to credit and financial services, thereby improving the financial behavior of MSMEs. Additionally, higher levels of financial literacy correlate with better financial management practices, leading to increased profitability and sustainability. The study also highlights the transformative impact of financial technology, which facilitates easier access to financial resources and enhances operational efficiency. The results indicate that financial inclusion, financial literacy, and financial technology have a positive and significant effect on the financial behavior of MSMEs. This suggests that targeted interventions in these areas could foster greater economic resilience and growth within this vital sector. Keywords:","author":[{"dropping-particle":"","family":"Azizah","given":"Farinda Hauna","non-dropping-particle":"","parse-names":false,"suffix":""},{"dropping-particle":"","family":"Innayah","given":"Maulida Nurul","non-dropping-particle":"","parse-names":false,"suffix":""},{"dropping-particle":"","family":"Tubastuvi","given":"Naelati","non-dropping-particle":"","parse-names":false,"suffix":""},{"dropping-particle":"","family":"Aryoko","given":"Yudhistira Pradhipta","non-dropping-particle":"","parse-names":false,"suffix":""}],"id":"ITEM-1","issue":"2","issued":{"date-parts":[["2024"]]},"page":"113-128","title":"Factors Affecting Financial Behavior of Micro , Small and Medium Enterprises ( MSMEs ): The Role of Financial Inclusion , Financial Literacy and Financial Technology Factors Affecting Financial Behavior of Micro , Small and Medium Enterprises ( MSMEs ): T","type":"article-journal","volume":"8"},"uris":["http://www.mendeley.com/documents/?uuid=37d44cc0-6698-44e2-aa41-14a2f2d81983"]}],"mendeley":{"formattedCitation":"(Azizah et al. 2024)","plainTextFormattedCitation":"(Azizah et al. 2024)","previouslyFormattedCitation":"(Azizah et al.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(Azizah et al. 2024)</w:t>
      </w:r>
      <w:r w:rsidRPr="00652411">
        <w:rPr>
          <w:rFonts w:ascii="Arial" w:hAnsi="Arial" w:cs="Arial"/>
          <w:sz w:val="20"/>
          <w:szCs w:val="20"/>
          <w:lang w:val="id-ID"/>
        </w:rPr>
        <w:fldChar w:fldCharType="end"/>
      </w:r>
      <w:r w:rsidRPr="00652411">
        <w:rPr>
          <w:rFonts w:ascii="Arial" w:hAnsi="Arial" w:cs="Arial"/>
          <w:sz w:val="20"/>
          <w:szCs w:val="20"/>
          <w:lang w:val="id-ID"/>
        </w:rPr>
        <w:t xml:space="preserve">. The success of a business is greatly influenced by the financial behavior of its owner. Financial behavior encompasses how a person treats, manages, and utilizes their financial resources. A person with good financial behavior demonstrates the ability to manage finances and take responsibility for every decision made, in line with established financial goals </w:t>
      </w:r>
      <w:r>
        <w:rPr>
          <w:rFonts w:ascii="Arial" w:hAnsi="Arial" w:cs="Arial"/>
          <w:sz w:val="20"/>
          <w:szCs w:val="20"/>
          <w:lang w:val="id-ID"/>
        </w:rPr>
        <w:t>(</w:t>
      </w:r>
      <w:r w:rsidRPr="00652411">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{"citationItems":[{"id":"ITEM-1","itemData":{"abstract":"Tujuan dari penelitian ini adalah untuk mengetahui pengaruh literasi keuangan, sikap keuangan dan digital literacy terhadap perilaku keuangan pelaku UMKM di Kecamatan Secanggang. Metode yang digunakan adalah metode kuantitatif. Populasi dalam penelitian ini adalah 184 pelaku UMKM di Kecamatan Secanggang dan sampel berjumlah 127 responden. Metode pengumpulan data menggunakan metode wawancara, penyebaran kuesioner, dokumentasi dan studi kepustakaan. Metode analisis data yang digunakan yaitu Uji t dan Uji F. Adapun hasil penelitian ini menunjukan hasil analisis regresi dengan persamaan Y = 10.551 + 0.268X1 + 0.136X2 + 0.230X3. Hasil uji t untuk pengaruh literasi keuangan (X1) terhadap perilaku keuangan (Y) adalah sebesar 8.581 dan nilai t-sig lebih kecil dari nilai alpha yaitu sebesar 0,000 &lt; 0,05, untuk pengaruh sikap keuangan (X2) terhadap perilaku keuangan (Y) adalah sebesar 4.818 dan nilai t-sig lebih kecil dari nilai alpha yaitu sebesar 0,000 &lt; 0,05, untuk pengaruh digital literacy (X3) terhadap perilaku keuangan (Y) adalah sebesar 5.623 dan nilai t-sig lebih kecil dari nilai alpha yaitu sebesar 0,000 &lt; 0,05. Dan untuk uji F dengan nilai signifikansi sebesar 0,000 &lt; 0,05.","author":[{"dropping-particle":"","family":"Zafira","given":"Diana","non-dropping-particle":"","parse-names":false,"suffix":""},{"dropping-particle":"","family":"Fuad","given":"Muhammad","non-dropping-particle":"","parse-names":false,"suffix":""},{"dropping-particle":"","family":"Maula","given":"Ziaul","non-dropping-particle":"","parse-names":false,"suffix":""}],"container-title":"Jurnal Pajak &amp; Bisnis","id":"ITEM-1","issue":"1","issued":{"date-parts":[["2025"]]},"page":"66-73","title":"Pengaruh Literasi Keuangan, Sikap Keuangan, Digital Literacy Terhadap Perilaku Keuangan Pelaku UMKM di Kecamatan Secanggang","type":"article-journal","volume":"6"},"uris":["http://www.mendeley.com/documents/?uuid=12780564-4dbf-4ca6-8524-54b90b5ce109"]}],"mendeley":{"formattedCitation":"(Zafira, Fuad, and Maula 2025)","manualFormatting":"Zafira, Fuad, and Maula 2025)","plainTextFormattedCitation":"(Zafira, Fuad, and Maula 2025)","previouslyFormattedCitation":"(Zafira, Fuad, and Maula 2025)"},"properties":{"noteIndex":0},"schema":"https://github.com/citation-style-language/schema/raw/master/csl-citation.json"}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Zafira, Fuad, and Maula 2025)</w:t>
      </w:r>
      <w:r w:rsidRPr="00652411">
        <w:rPr>
          <w:rFonts w:ascii="Arial" w:hAnsi="Arial" w:cs="Arial"/>
          <w:sz w:val="20"/>
          <w:szCs w:val="20"/>
          <w:lang w:val="id-ID"/>
        </w:rPr>
        <w:fldChar w:fldCharType="end"/>
      </w:r>
      <w:r w:rsidRPr="00652411">
        <w:rPr>
          <w:rFonts w:ascii="Arial" w:hAnsi="Arial" w:cs="Arial"/>
          <w:sz w:val="20"/>
          <w:szCs w:val="20"/>
          <w:lang w:val="id-ID"/>
        </w:rPr>
        <w:t xml:space="preserve">.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{"citationItems":[{"id":"ITEM-1","itemData":{"abstract":"Studi ini meneliti pengaruh Literasi Keuangan dan Pendapatan terhadap kesejahteraan finansial, dengan Perilaku Keuangan sebagai variabel perantara dalam Generasi Sandwich di Medan. Menggunakan metode kuantitatif dan pendekatan asosiatif, penelitian ini mengambil 100 responden melalui quota sampling dari populasi yang belum diketahui jumlah pastinya. Instrumen utama untuk pengumpulan data adalah observasi serta kuesioner. Data yang terkumpul dianalisis menggunakan perangkat lunak Partial Least Square (PLS), meliputi uji model eksternal dan internal serta pengujian hipotesis. Hasil menunjukkan bahwa baik Literasi Keuangan maupun Pendapatan secara langsung meningkatkan kesejahteraan finansial. Selain itu, variabel-variabel ini juga berdampak pada Perilaku Keuangan, yang berperan sebagai jalur mediasi dalam hubungan dengan kesejahteraan finansial. Dengan demikian, penelitian ini membuktikan adanya pengaruh langsung dan mediasi dari Literasi Keuangan dan Pendapatan terhadap kesejahteraan finansial dalam konteks Generasi Sandwich di Kota Medan.","author":[{"dropping-particle":"","family":"Wahyuni, Sri Fitri.","given":"Dkk","non-dropping-particle":"","parse-names":false,"suffix":""}],"container-title":"Bursa: Jurnal Ekonomi dan Bisnis","id":"ITEM-1","issue":"3","issued":{"date-parts":[["2024"]]},"page":"31-43","title":"Keterkaitan antara Literasi Keuangan dan Pendapatan Pada Kesejahteraan Keuangan : Mediasi Perilaku Keuangan Generasi Sandwich","type":"article-journal","volume":"3"},"uris":["http://www.mendeley.com/documents/?uuid=2f4b60d2-5484-4431-9c9a-0bb048e03714"]}],"mendeley":{"formattedCitation":"(Wahyuni, Sri Fitri. 2024)","manualFormatting":"Wahyuni, Sri Fitri. (2024)","plainTextFormattedCitation":"(Wahyuni, Sri Fitri. 2024)","previouslyFormattedCitation":"(Wahyuni, Sri Fitri.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Wahyuni, Sri Fitri. (2024)</w:t>
      </w:r>
      <w:r w:rsidRPr="00652411">
        <w:rPr>
          <w:rFonts w:ascii="Arial" w:hAnsi="Arial" w:cs="Arial"/>
          <w:sz w:val="20"/>
          <w:szCs w:val="20"/>
          <w:lang w:val="id-ID"/>
        </w:rPr>
        <w:fldChar w:fldCharType="end"/>
      </w:r>
      <w:r w:rsidRPr="00652411">
        <w:rPr>
          <w:rFonts w:ascii="Arial" w:hAnsi="Arial" w:cs="Arial"/>
          <w:sz w:val="20"/>
          <w:szCs w:val="20"/>
          <w:lang w:val="id-ID"/>
        </w:rPr>
        <w:t>, financial stability and business sustainability are influenced by the level of financial literacy, ease of access to financial services and also the lifestyle of business actors.</w:t>
      </w:r>
    </w:p>
    <w:p w14:paraId="202CBBA6" w14:textId="77777777" w:rsidR="00D54C39" w:rsidRDefault="00D54C39" w:rsidP="00D54C39">
      <w:pPr>
        <w:spacing w:after="0"/>
        <w:jc w:val="both"/>
        <w:rPr>
          <w:rFonts w:ascii="Arial" w:hAnsi="Arial" w:cs="Arial"/>
          <w:sz w:val="20"/>
          <w:szCs w:val="20"/>
          <w:lang w:val="id-ID"/>
        </w:rPr>
      </w:pPr>
    </w:p>
    <w:p w14:paraId="38284CC1" w14:textId="77777777" w:rsidR="00DE4AAB" w:rsidRDefault="00D54C39" w:rsidP="00D54C39">
      <w:pPr>
        <w:spacing w:after="0"/>
        <w:jc w:val="both"/>
        <w:rPr>
          <w:rFonts w:ascii="Arial" w:hAnsi="Arial" w:cs="Arial"/>
          <w:sz w:val="20"/>
          <w:szCs w:val="20"/>
          <w:lang w:val="id-ID"/>
        </w:rPr>
      </w:pPr>
      <w:r w:rsidRPr="00652411">
        <w:rPr>
          <w:rFonts w:ascii="Arial" w:hAnsi="Arial" w:cs="Arial"/>
          <w:sz w:val="20"/>
          <w:szCs w:val="20"/>
          <w:lang w:val="id-ID"/>
        </w:rPr>
        <w:t>Financial literacy is a major factor influencing financial behavior. By managing financial plans, financial litera</w:t>
      </w:r>
      <w:r w:rsidR="00316D64">
        <w:rPr>
          <w:rFonts w:ascii="Arial" w:hAnsi="Arial" w:cs="Arial"/>
          <w:sz w:val="20"/>
          <w:szCs w:val="20"/>
          <w:lang w:val="id-ID"/>
        </w:rPr>
        <w:t>cy</w:t>
      </w:r>
      <w:r w:rsidRPr="00652411">
        <w:rPr>
          <w:rFonts w:ascii="Arial" w:hAnsi="Arial" w:cs="Arial"/>
          <w:sz w:val="20"/>
          <w:szCs w:val="20"/>
          <w:lang w:val="id-ID"/>
        </w:rPr>
        <w:t xml:space="preserve"> individuals can optimize the time value of money, increase their income, and boost their quality of life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{"citationItems":[{"id":"ITEM-1","itemData":{"abstract":"Kajian dalam buku ini bertujuan untuk mengetahui bahwa literasi keuangan merupakan kemampuan dalam membuat penilaian informasi dan mengambil keputusan yang efektif tentang penggunaan dan pengelolaan uang. Literasi keuangan juga merupakan kombinasi dari kemampuan individu, pengetahuan, sikap dan akhirnya perilaku individu yang berhubungan dengan uang serta bisa membedakan kebutuhan dan keinginan. Jika seseorang memiliki literasi keuangan yang rendah maka pengetahuan tentang keuangan juga rendah, hal ini sangat penting bagi seorang individu agar tidak salah dalam mengelola keuangannya. Pengetahuan tentang keuangan yang kurang mengakibatkan kerugian bagi individu karena terjadinya kesalahan dalam mengelola keuangannya seperti kesalahan dalam penggunaan kredit/utang yang tidak tepat, penggunaan kartu kredit yang tidak bijak, tidak adanya perencanaan keuangan yang baik dan sebagainya. Keterbatasan financial dapat menyebabkan stress dan rendahnya kepercayaan diri.","author":[{"dropping-particle":"","family":"Arianti","given":"Baiq Fitri","non-dropping-particle":"","parse-names":false,"suffix":""}],"id":"ITEM-1","issued":{"date-parts":[["2022"]]},"page":"1-20","title":"Literasi Keuangan (Teori dan Implementasinya)","type":"article-journal"},"uris":["http://www.mendeley.com/documents/?uuid=f70557c2-8c44-4e4d-b97c-8dcc1979dd33"]}],"mendeley":{"formattedCitation":"(Arianti 2022)","plainTextFormattedCitation":"(Arianti 2022)","previouslyFormattedCitation":"(Arianti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(Arianti 2022)</w:t>
      </w:r>
      <w:r w:rsidRPr="00652411">
        <w:rPr>
          <w:rFonts w:ascii="Arial" w:hAnsi="Arial" w:cs="Arial"/>
          <w:sz w:val="20"/>
          <w:szCs w:val="20"/>
          <w:lang w:val="id-ID"/>
        </w:rPr>
        <w:fldChar w:fldCharType="end"/>
      </w:r>
      <w:r w:rsidRPr="00652411">
        <w:rPr>
          <w:rFonts w:ascii="Arial" w:hAnsi="Arial" w:cs="Arial"/>
          <w:sz w:val="20"/>
          <w:szCs w:val="20"/>
          <w:lang w:val="id-ID"/>
        </w:rPr>
        <w:t xml:space="preserve">. For MSMEs, financial literacy is crucial for better managing their business finances and raising their standards. Making wise financial decisions will be a challenge for MSMEs if they lack adequate financial literacy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{"citationItems":[{"id":"ITEM-1","itemData":{"DOI":"10.37366/ekomabis.v5i02.1403","abstract":"Fokus dari penelitian ini adalah untuk mengetahui bagaimana literasi keuangan, inklusi keuangan, dan digital payment mempengaruhi kinerja usaha kecil dan menengah (UMKM) makanan dan minuman di Kota Padang. Dalam analisis ini  menggunakan sampel sebesar 87 partisipan. Pendekatan validitas yang dipakai yaitu confirmatory factor analysis (CFA), sementara analisis regresi berganda dengan menggunakan STATA  12 dipakai untuk pengujian hipotesis dalam penelitian ini. Data yang diperoleh dari hasil temuan ini menunjukan bahwa literasi keuangan dan inklusi keuangan tidak mendukung hipotesis, sementara itu digital Payment memberikan pengaruh positif terhadap kinerja UMKM makanan dan minuman di Kota Padang. Penelitian ini menyoroti perlunya perhatian khusus dalam pengembangan dan pemanfaatan strategi pengetahuan finansial layanan keuangan yang lebih efektif untuk UMKM agar dapat mencapai dampak positif yang besar terhadap pertumbuhan dan keberlanjutan usaha. Penelitian ini juga memberikan wawasan berharga bagi pelaku UMKM dan pihak terkait untuk meningkatkan digital payment sebagai upaya peningkatan produktivitas UMKM.\r The purpose of this research is to determine the effects of digital payments, financial inclusion, and financial literacy on the performance of food and beverage micro, small, and medium-sized enterprises (MSMEs) in Padang City. A sample of 87 responders was employed in this investigation. Within this research, the hypothesis is tested through multiple regression analysis using STATA 12, and the validity method is confirmatory factor analysis (CFA). The findings of the research show that while the performance of Padang City’s food and beverage MSMEs is positively impacted by digital payment, financial literacy and financial inclusion do not support the hypothesis. This study emphasizes the necessity of giving greater consideration to creating and implementing more efficient financial inclusion and literacy initiatives for MSMEs in order for them to have.","author":[{"dropping-particle":"","family":"Rani","given":"Gita Mai","non-dropping-particle":"","parse-names":false,"suffix":""},{"dropping-particle":"","family":"Desiyanti","given":"Rika","non-dropping-particle":"","parse-names":false,"suffix":""}],"container-title":"EKOMABIS: Jurnal Ekonomi Manajemen Bisnis","id":"ITEM-1","issue":"02","issued":{"date-parts":[["2024"]]},"page":"161-174","title":"Pengaruh Literasi Keuangan, Inklusi Keuangan dan Digital Payment Terhadap Kinerja UMKM Makanan &amp; Minuman di Kota Padang","type":"article-journal","volume":"5"},"uris":["http://www.mendeley.com/documents/?uuid=50caa7bd-2cfd-49ee-87f0-dead8d3a8523"]}],"mendeley":{"formattedCitation":"(Rani and Desiyanti 2024)","plainTextFormattedCitation":"(Rani and Desiyanti 2024)","previouslyFormattedCitation":"(Rani and Desiyanti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(Rani and Desiyanti 2024)</w:t>
      </w:r>
      <w:r w:rsidRPr="00652411">
        <w:rPr>
          <w:rFonts w:ascii="Arial" w:hAnsi="Arial" w:cs="Arial"/>
          <w:sz w:val="20"/>
          <w:szCs w:val="20"/>
          <w:lang w:val="id-ID"/>
        </w:rPr>
        <w:fldChar w:fldCharType="end"/>
      </w:r>
      <w:r w:rsidRPr="00652411">
        <w:rPr>
          <w:rFonts w:ascii="Arial" w:hAnsi="Arial" w:cs="Arial"/>
          <w:sz w:val="20"/>
          <w:szCs w:val="20"/>
          <w:lang w:val="id-ID"/>
        </w:rPr>
        <w:t>. One element that influences the financial behavior of MSMEs is financial literacy, this is consistent with research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{"citationItems":[{"id":"ITEM-1","itemData":{"DOI":"10.47467/alkharaj.v4i5.1003","ISSN":"2656-2871","abstract":"MSMEs are one of the drivers of the economy in Indonesia, in carrying out their business activities MSMEs are definitely influenced by the environment with the existence of self-control, financial planning and financial knowledge in those who carry out activities so that the business they run develops and creates good financial behavior. Behavioral finance is an attitude in which a person is able to consider and plan how to obtain a budget to meet business and individual needs. This study aims to analyze the effect of locus of control, financial planning, and financial literacy on financial behavior. The population in this study is MSMEs in Magetan Regency which are engaged in food and beverages. The sampling technique was done by purposive sampling. The sampling technique used the Slovin formula. The sample used in this study were 186 respondents. The data used in this study are primary data and secondary data, namely data from questionnaires from the answers of 186 respondents. The analysis technique in this study uses Partial Least Square (PLS). The results showed that locus of control, financial planning, and financial literacy had a significant positive effect on financial behavior.\r Keywords: Locus of Control; Financial Planing; Financial Literacy; Financial Behavior","author":[{"dropping-particle":"","family":"Fadilah","given":"Salma Juliana","non-dropping-particle":"","parse-names":false,"suffix":""},{"dropping-particle":"","family":"Purwanto","given":"Eko","non-dropping-particle":"","parse-names":false,"suffix":""}],"container-title":"Al-Kharaj : Jurnal Ekonomi, Keuangan &amp; Bisnis Syariah","id":"ITEM-1","issue":"5","issued":{"date-parts":[["2022"]]},"page":"1476-1488","title":"Pengaruh Locus of Control, Perencanaan dean Literasi Keuangan terhadap Perilaku Keuangan UMKM","type":"article-journal","volume":"4"},"uris":["http://www.mendeley.com/documents/?uuid=b628080f-d5fb-4102-ae2d-55fdc71cbf3a"]},{"id":"ITEM-2","itemData":{"DOI":"10.55587/jla.v2i2.35","abstract":"Tujuan: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Akuntansi","id":"ITEM-2","issue":"2","issued":{"date-parts":[["2022"]]},"page":"86-99","title":"Pengaruh Literasi Keuangan, Gaya Hidup dan Lingkungan Sosial Terhadap Perilaku Keuangan Mahasiswa","type":"article-journal","volume":"2"},"uris":["http://www.mendeley.com/documents/?uuid=29c88fd5-4a1d-4441-90f3-ab5e7ec785e6"]},{"id":"ITEM-3","itemData":{"DOI":"10.33395/owner.v7i1.1304","ISSN":"2548-7507","abstract":"Financial behavior is a person's ability to manage planning, budgeting, checking, managing, controlling, finding and storing daily financial funds. One of the factors that influence financial behavior is knowledge about financial literacy. The author's purpose is to determine the effect of financial literacy, hedonic lifestyle and personal financial attitudes on financial behavior in students of the economics faculty of management study program class l2018. The numberl of samplesl in thisl study werel 84 students usingl the slovinl formula. Thel analysis technique inl this studyl uses multiplel linear lregression, multiple correlationl determination, t testl and F ltest. Thel results ofl this studyl indicate thatl financial literacyl (X1) hasl a positivel and significantl effect onl financial behavior (Y). Hedonic Lifestyle (X2) hasl no effectl on financial behavior (Y). Personal financial attitude (X3) hasl no effectl on financial behavior (Y). Financiall literacy, hedonic lifestyle and personal financial attitudes simultaneously have a significant effect on financial behavior (studentsll of the 2018 classl of managementl study programl at Universitas Muhammadiyahl Sumatera Utara).","author":[{"dropping-particle":"","family":"Wahyuni","given":"Sri Fitri","non-dropping-particle":"","parse-names":false,"suffix":""},{"dropping-particle":"","family":"Kinanti","given":"Dini","non-dropping-particle":"","parse-names":false,"suffix":""},{"dropping-particle":"","family":"Dkk","given":"","non-dropping-particle":"","parse-names":false,"suffix":""}],"container-title":"Owner","id":"ITEM-3","issue":"1","issued":{"date-parts":[["2023"]]},"page":"656-671","title":"Pengaruh Literasi Keuangan, Lifestyle Hedonis dan Sikap Keuangan Pribadi Terhadap Perilaku Keuangan Mahasiswa","type":"article-journal","volume":"7"},"uris":["http://www.mendeley.com/documents/?uuid=298b2c24-c65f-4a51-934c-1eb1aaf28c01"]}],"mendeley":{"formattedCitation":"(Fadilah and Purwanto 2022; Kenale Sada 2022; Wahyuni, Kinanti, and Dkk 2023)","manualFormatting":"Fadilah and Purwanto 2022; Kenale Sada 2022; Wahyuni, Kinanti, and et al. 2023)","plainTextFormattedCitation":"(Fadilah and Purwanto 2022; Kenale Sada 2022; Wahyuni, Kinanti, and Dkk 2023)","previouslyFormattedCitation":"(Fadilah and Purwanto 2022; Kenale Sada 2022; Wahyuni, Kinanti, and Dkk 2023)"},"properties":{"noteIndex":0},"schema":"https://github.com/citation-style-language/schema/raw/master/csl-citation.json"}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Fadilah and Purwanto 2022; Kenale Sada 2022; Wahyuni, Kinanti, and et al. 2023)</w:t>
      </w:r>
      <w:r w:rsidRPr="00652411">
        <w:rPr>
          <w:rFonts w:ascii="Arial" w:hAnsi="Arial" w:cs="Arial"/>
          <w:sz w:val="20"/>
          <w:szCs w:val="20"/>
          <w:lang w:val="id-ID"/>
        </w:rPr>
        <w:fldChar w:fldCharType="end"/>
      </w:r>
      <w:r w:rsidRPr="00652411">
        <w:rPr>
          <w:rFonts w:ascii="Arial" w:hAnsi="Arial" w:cs="Arial"/>
          <w:sz w:val="20"/>
          <w:szCs w:val="20"/>
          <w:lang w:val="id-ID"/>
        </w:rPr>
        <w:t>. However, according to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{"citationItems":[{"id":"ITEM-1","itemData":{"abstract":"This research aims to empirically test the influence of financial literacy, attitudes, and experience on the financial behavior of managers at boarding schools in East Lombok Regency. The study utilizes primary data directly collected from respondents using questionnaires. The sample consists of 56 Islamic boarding schools in East Lombok Regency, selected based on the criteria of legal status and having more than 300 students by 2024. Partial Least Square (PLS) analysis is conducted using SmartPLS 4 software. The findings reveal that financial attitudes positively and significantly influence financial behavior. Conversely, financial experience does not show a significant effect on financial behavior. Interestingly, financial literacy exerts a significant yet negative impact on financial behavior, suggesting that simply increasing financial literacy does not automatically enhance favorable financial behavior among pesantren managers.","author":[{"dropping-particle":"","family":"Huyasin","given":"Yasifa","non-dropping-particle":"","parse-names":false,"suffix":""},{"dropping-particle":"","family":"Waskito","given":"Iman","non-dropping-particle":"","parse-names":false,"suffix":""}],"container-title":"East Asian Journal of Multidisciplinary Research (EAJMR)","id":"ITEM-1","issue":"2","issued":{"date-parts":[["2025"]]},"page":"915-928","title":"The Influence of Financial Literacy , Financial Attitudes , and Financial Experience on Financial Behavior in Islamic Boarding School Managers in East Lombok Regency","type":"article-journal","volume":"4"},"uris":["http://www.mendeley.com/documents/?uuid=ee59db6b-bfde-49ae-a599-736c2de6be0e"]},{"id":"ITEM-2","itemData":{"DOI":"10.14710/dijb.5.1.2022.33-46","ISSN":"2580-4987","abstract":"This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behavior","type":"article-journal","volume":"5"},"uris":["http://www.mendeley.com/documents/?uuid=8cc55b9e-d914-3882-acdb-a35224fc8291"]}],"mendeley":{"formattedCitation":"(Huyasin and Waskito 2025; Widyakto, Liyana, and Rinawati 2022)","manualFormatting":"Huyasin and Waskito 2025; Widyakto, Liyana, and Rinawati 2022)","plainTextFormattedCitation":"(Huyasin and Waskito 2025; Widyakto, Liyana, and Rinawati 2022)","previouslyFormattedCitation":"(Huyasin and Waskito 2025; Widyakto, Liyana, and Rinawati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Huyasin and Waskito 2025; Widyakto, Liyana, and Rinawati 2022)</w:t>
      </w:r>
      <w:r w:rsidRPr="00652411">
        <w:rPr>
          <w:rFonts w:ascii="Arial" w:hAnsi="Arial" w:cs="Arial"/>
          <w:sz w:val="20"/>
          <w:szCs w:val="20"/>
          <w:lang w:val="id-ID"/>
        </w:rPr>
        <w:fldChar w:fldCharType="end"/>
      </w:r>
      <w:r w:rsidRPr="00652411">
        <w:rPr>
          <w:rFonts w:ascii="Arial" w:hAnsi="Arial" w:cs="Arial"/>
          <w:sz w:val="20"/>
          <w:szCs w:val="20"/>
          <w:lang w:val="id-ID"/>
        </w:rPr>
        <w:t xml:space="preserve"> stated that literacy does not affect financial behavior.</w:t>
      </w:r>
    </w:p>
    <w:p w14:paraId="34848B8B" w14:textId="77777777" w:rsidR="00DE4AAB" w:rsidRDefault="00DE4AAB" w:rsidP="00D54C39">
      <w:pPr>
        <w:spacing w:after="0"/>
        <w:jc w:val="both"/>
        <w:rPr>
          <w:rFonts w:ascii="Arial" w:hAnsi="Arial" w:cs="Arial"/>
          <w:sz w:val="20"/>
          <w:szCs w:val="20"/>
          <w:lang w:val="id-ID"/>
        </w:rPr>
      </w:pPr>
    </w:p>
    <w:p w14:paraId="3DE4635A" w14:textId="77777777" w:rsidR="00C776B0" w:rsidRDefault="00316D64" w:rsidP="00C776B0">
      <w:pPr>
        <w:spacing w:after="0"/>
        <w:jc w:val="both"/>
        <w:rPr>
          <w:rFonts w:ascii="Arial" w:hAnsi="Arial" w:cs="Arial"/>
          <w:sz w:val="20"/>
          <w:szCs w:val="20"/>
          <w:lang w:val="id-ID"/>
        </w:rPr>
      </w:pPr>
      <w:r w:rsidRPr="00652411">
        <w:rPr>
          <w:rFonts w:ascii="Arial" w:hAnsi="Arial" w:cs="Arial"/>
          <w:sz w:val="20"/>
          <w:szCs w:val="20"/>
          <w:lang w:val="id-ID"/>
        </w:rPr>
        <w:t xml:space="preserve">Financial Attitude, which refers to a person’s perceptions, ideas, and assessment of money, is yet another element influencing financial behavior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{"citationItems":[{"id":"ITEM-1","itemData":{"DOI":"10.30588/jmp.v12i1.890","ISSN":"2089-550X","abstract":"This research aimed to determine the effect of financial literacy on financial management behavior, the influence of financial attitudes on financial management behavior, and the influence of personality on financial management behavior in MSME actors in Gedong Village, East Jakarta, Jakarta Special Capital Region. This research is included in associative causal research. The subjects of this study were 96 wholesale and retail SMEs in a car and motorcycle repair shop in Gedong Village, East Jakarta. Data collection techniques using a questionnaire. Validity and reliability tests were conducted on 96 MSME respondents in Gedong Village, East Jakarta. The analysis prerequisite test includes a linearity test, multicollinearity test, and heteroscedasticity test. The method of data analysis used in this research is multiple linear regression. The results showed that financial literacy, financial attitude, and personality variables have a positive and significant effect on financial management behavior.","author":[{"dropping-particle":"","family":"Amelia","given":"Amelia","non-dropping-particle":"","parse-names":false,"suffix":""}],"container-title":"Jurnal Maksipreneur: Manajemen, Koperasi, dan Entrepreneurship","id":"ITEM-1","issue":"1","issued":{"date-parts":[["2022"]]},"page":"129-143","title":"Pengaruh Literasi Keuangan, Sikap Keuangan, dan Kepribadian terhadap Perilaku Pengelolaan Keuangan pada Pelaku UMKM Kelurahan Gedong, Jakarta Timur","type":"article-journal","volume":"12"},"uris":["http://www.mendeley.com/documents/?uuid=b866546a-62c0-4471-a2b6-d9e485786d7f"]}],"mendeley":{"formattedCitation":"(Amelia 2022)","plainTextFormattedCitation":"(Amelia 2022)","previouslyFormattedCitation":"(Amelia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(Amelia 2022)</w:t>
      </w:r>
      <w:r w:rsidRPr="00652411">
        <w:rPr>
          <w:rFonts w:ascii="Arial" w:hAnsi="Arial" w:cs="Arial"/>
          <w:sz w:val="20"/>
          <w:szCs w:val="20"/>
          <w:lang w:val="id-ID"/>
        </w:rPr>
        <w:fldChar w:fldCharType="end"/>
      </w:r>
      <w:r w:rsidRPr="00652411">
        <w:rPr>
          <w:rFonts w:ascii="Arial" w:hAnsi="Arial" w:cs="Arial"/>
          <w:sz w:val="20"/>
          <w:szCs w:val="20"/>
          <w:lang w:val="id-ID"/>
        </w:rPr>
        <w:t xml:space="preserve">. Meanwhile, according to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{"citationItems":[{"id":"ITEM-1","itemData":{"DOI":"10.30630/jabei.v2i1.64","abstract":"Penelitian ini dilakukan untuk mengetahui pengaruh literasi keuangan dan sikap keuangan terhadap perilaku pengelolaan keuangan UMKM (studi kasus pada usaha mikro bidang kerajinan di Kota Padang). Usaha mikro bidang kerajinan banyak digemari masyarakat pada umumnya ditambah lagi dengan adanya dorongan dari pemerintah untuk memberikan pembinaan kepada pelaku usaha berupa program unggulan sehingga meningkatkan jumlah pelaku usaha, namun masih banyak masalah yang dihadapi pelaku usaha dalam mengelola keuangan usahanya. Penelitian ini menggunakan pendekatan kuantitatif. Responden adalah pelaku usaha yang bergerak dalam bidang kerajinan di wilayah Kota Padang. Data yang digunakan adalah data primer yang diperoleh melalui penyebaran kuesioner secara langsung maupun menggunakan google form secara online. Hipotesis di uji secara statistik dengan menggunakan analisis regresi linear berganda dengan menggunakan program IBM SPSS versi 25.  Berdasarkan hasil pengolahan data yang dilakukan diperoleh hasil bahwa variabel literasi keuangan tidak berpengaruh terhadap perilaku pengelolaan keuangan UMKM, sedangkan variabel sikap keuangan berpengaruh terhadap perilaku pengelolaan keuangan UMKM. Sehingga dapat disimpulkan bahwa perilaku pengelolaan keuangan dipengeruhi oleh sikap keuangan, yang mana artinya semakin baik sikap keuangan pelaku usaha, maka semakin baik pula pengelolaan keuangannya.","author":[{"dropping-particle":"","family":"Safitri","given":"Eka","non-dropping-particle":"","parse-names":false,"suffix":""},{"dropping-particle":"","family":"Sriyunianti","given":"Fera","non-dropping-particle":"","parse-names":false,"suffix":""},{"dropping-particle":"","family":"Chandra","given":"Novrina","non-dropping-particle":"","parse-names":false,"suffix":""}],"container-title":"Jurnal Akuntansi, Bisnis dan Ekonomi Indonesia (JABEI)","id":"ITEM-1","issue":"1","issued":{"date-parts":[["2023"]]},"page":"118-128","title":"Pengaruh Literasi Keuangan dan Sikap Keuangan terhadap Perilaku Pengelolaan Keuangan UMKM (Studi Kasus pada Usaha Mikro Bidang Kerajinan di kota Padang)","type":"article-journal","volume":"2"},"uris":["http://www.mendeley.com/documents/?uuid=ce05597d-39b2-43e5-adfd-7fe1c7a3e91e"]}],"mendeley":{"formattedCitation":"(Safitri, Sriyunianti, and Chandra 2023)","manualFormatting":"Safitri, Sriyunianti, and Chandra (2023)","plainTextFormattedCitation":"(Safitri, Sriyunianti, and Chandra 2023)","previouslyFormattedCitation":"(Safitri, Sriyunianti, and Chandra 2023)"},"properties":{"noteIndex":0},"schema":"https://github.com/citation-style-language/schema/raw/master/csl-citation.json"}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Safitri, Sriyunianti, and Chandra (2023)</w:t>
      </w:r>
      <w:r w:rsidRPr="00652411">
        <w:rPr>
          <w:rFonts w:ascii="Arial" w:hAnsi="Arial" w:cs="Arial"/>
          <w:sz w:val="20"/>
          <w:szCs w:val="20"/>
          <w:lang w:val="id-ID"/>
        </w:rPr>
        <w:fldChar w:fldCharType="end"/>
      </w:r>
      <w:r w:rsidRPr="00652411">
        <w:rPr>
          <w:rFonts w:ascii="Arial" w:hAnsi="Arial" w:cs="Arial"/>
          <w:sz w:val="20"/>
          <w:szCs w:val="20"/>
          <w:lang w:val="id-ID"/>
        </w:rPr>
        <w:t>, financial attitude is how a person evaluates the money they have. Financial attitude is closely related to financial management. MSMEs will demonstrate a more capable approach to financial management if they have favorable long-term financial projections. According to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{"citationItems":[{"id":"ITEM-1","itemData":{"abstract":"The purpose of this research is to analyze the influence of financial knowledge and financial attitude on financial behavior in Micro, Small and Medium Enterprises of Embroidery in Tasikmalaya City. This research was conducted with descriptive and quantitative methods using secondary data. The sample in this study was 100 Embroidery SMEs in Tasikmalaya City with purposive sampling method. Analysis of the data used in this study is multiple linear regression. The results showed that partially financial knowledge and financial attitude had a significant positive effect on financial behavior. And simultaneously financial knowledge and financial attitude have a significant effect on financial behavior with a coefficient of determination of 0.532 or 53.2%. This means that the Embroidery MSMEs in the City of Tasikmalaya need to improve their financial knowledge and financial attitude in order to improve financial behavior.","author":[{"dropping-particle":"","family":"Oktaviani, Nita Fuziah.","given":"Dkk","non-dropping-particle":"","parse-names":false,"suffix":""}],"container-title":"E-Journal ECOBISMA (Jurnal Ekonomi, Bisnis dan Manajemen)","id":"ITEM-1","issue":"1","issued":{"date-parts":[["2023"]]},"page":"35-42","title":"Identifikasi Pengaruh Financial Knowledge, dan Financial Attitude Terhadap Financial Behavior Pada UMKM Bordir Di Kota Tasikmalaya","type":"article-journal","volume":"10"},"uris":["http://www.mendeley.com/documents/?uuid=d5138f56-b94a-4f27-a773-0680f26bfaed"]},{"id":"ITEM-2","itemData":{"DOI":"10.14710/dijb.5.1.2022.33-46","ISSN":"2580-4987","abstract":"This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behavior","type":"article-journal","volume":"5"},"uris":["http://www.mendeley.com/documents/?uuid=8cc55b9e-d914-3882-acdb-a35224fc8291"]}],"mendeley":{"formattedCitation":"(Oktaviani, Nita Fuziah. 2023; Widyakto, Liyana, and Rinawati 2022)","manualFormatting":"Oktaviani, Nita Fuziah. 2023; Widyakto, Liyana, and Rinawati 2022)","plainTextFormattedCitation":"(Oktaviani, Nita Fuziah. 2023; Widyakto, Liyana, and Rinawati 2022)","previouslyFormattedCitation":"(Oktaviani, Nita Fuziah. 2023; Widyakto, Liyana, and Rinawati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Oktaviani, Nita Fuziah. 2023; Widyakto, Liyana, and Rinawati 2022)</w:t>
      </w:r>
      <w:r w:rsidRPr="00652411">
        <w:rPr>
          <w:rFonts w:ascii="Arial" w:hAnsi="Arial" w:cs="Arial"/>
          <w:sz w:val="20"/>
          <w:szCs w:val="20"/>
          <w:lang w:val="id-ID"/>
        </w:rPr>
        <w:fldChar w:fldCharType="end"/>
      </w:r>
      <w:r w:rsidRPr="00652411">
        <w:rPr>
          <w:rFonts w:ascii="Arial" w:hAnsi="Arial" w:cs="Arial"/>
          <w:sz w:val="20"/>
          <w:szCs w:val="20"/>
          <w:lang w:val="id-ID"/>
        </w:rPr>
        <w:t xml:space="preserve">, financial behavior is influenced by financial attitudes. However, according to </w:t>
      </w:r>
      <w:r>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{"citationItems":[{"id":"ITEM-1","itemData":{"DOI":"10.35446/akuntansikompetif.v6i3.1498","abstract":"UMKM mempunyai peran penting dalam upaya meningkatkan pertumbuhan perekonomian di Indonesia. Sebagian besar pelaku UMKM tidak menyiapkan anggaran keuangan dengan baik dalam manajemen usahanya, hal tersebut ditunjukan dengan masih banyaknya pelaku UMKM yang masih belum mengerti sepenuhnya tentang bagaimana cara menyiapkan atau menyusun anggaran keuangan dengan baik. Penelitian ini bertujuan untuk mengetahui pengaruh pengetahuan keuangan, sikap keuangan dan kepribadian terhadap perilaku keuangan. Metode yang digunakan dalam penelitian ini adalah metode analisis deskriptif dan analisis verifikatif. Populasi dalam penelitian ini adalah pelaku UMKM di Kabupaten Majalengka. Sampel ditentukan dengan menggunakan metode random sampling sehingga diperoleh 100 responden. Analisis data menggunakan analisis regresi linear berganda. Data diproses menggunakan bantuan program SPSS dan microsoftt excel. Hasil penelitian menunjukan bahwa pengetahuan keuangan berpengaruh signifikan terhadap perilaku. Sikap keuangan tidak berpengaruh signifikan terhadap perilaku keuangan Kepribadian berpengaruh signifikan terhadap perilaku keuangan.\r  \r Keywords: Pengetahuan Keuangan, Sikap Keuangan, Kepribadian, Perilaku Keuangan","author":[{"dropping-particle":"","family":"Ginanjar","given":"Yogi","non-dropping-particle":"","parse-names":false,"suffix":""}],"container-title":"Jurnal Akuntansi Kompetif","id":"ITEM-1","issue":"3","issued":{"date-parts":[["2023"]]},"page":"436-443","title":"Perilaku Keuangan Umkm Di Kabupaten Majalengka Perspektif Kepribadian, Sikap Dan Pengetahuan Keuangan","type":"article-journal","volume":"6"},"uris":["http://www.mendeley.com/documents/?uuid=9743fb0c-f052-4ce3-bff0-0ac3e14a54c1"]}],"mendeley":{"formattedCitation":"(Ginanjar 2023)","manualFormatting":"Ginanjar (2023)","plainTextFormattedCitation":"(Ginanjar 2023)","previouslyFormattedCitation":"(Ginanjar 2023)"},"properties":{"noteIndex":0},"schema":"https://github.com/citation-style-language/schema/raw/master/csl-citation.json"}</w:instrText>
      </w:r>
      <w:r>
        <w:rPr>
          <w:rFonts w:ascii="Arial" w:hAnsi="Arial" w:cs="Arial"/>
          <w:sz w:val="20"/>
          <w:szCs w:val="20"/>
          <w:lang w:val="id-ID"/>
        </w:rPr>
        <w:fldChar w:fldCharType="separate"/>
      </w:r>
      <w:r w:rsidRPr="009E1ED0">
        <w:rPr>
          <w:rFonts w:ascii="Arial" w:hAnsi="Arial" w:cs="Arial"/>
          <w:noProof/>
          <w:sz w:val="20"/>
          <w:szCs w:val="20"/>
          <w:lang w:val="id-ID"/>
        </w:rPr>
        <w:t xml:space="preserve">Ginanjar </w:t>
      </w:r>
      <w:r>
        <w:rPr>
          <w:rFonts w:ascii="Arial" w:hAnsi="Arial" w:cs="Arial"/>
          <w:noProof/>
          <w:sz w:val="20"/>
          <w:szCs w:val="20"/>
          <w:lang w:val="id-ID"/>
        </w:rPr>
        <w:t>(</w:t>
      </w:r>
      <w:r w:rsidRPr="009E1ED0">
        <w:rPr>
          <w:rFonts w:ascii="Arial" w:hAnsi="Arial" w:cs="Arial"/>
          <w:noProof/>
          <w:sz w:val="20"/>
          <w:szCs w:val="20"/>
          <w:lang w:val="id-ID"/>
        </w:rPr>
        <w:t>2023)</w:t>
      </w:r>
      <w:r>
        <w:rPr>
          <w:rFonts w:ascii="Arial" w:hAnsi="Arial" w:cs="Arial"/>
          <w:sz w:val="20"/>
          <w:szCs w:val="20"/>
          <w:lang w:val="id-ID"/>
        </w:rPr>
        <w:fldChar w:fldCharType="end"/>
      </w:r>
      <w:r>
        <w:rPr>
          <w:rFonts w:ascii="Arial" w:hAnsi="Arial" w:cs="Arial"/>
          <w:sz w:val="20"/>
          <w:szCs w:val="20"/>
          <w:lang w:val="id-ID"/>
        </w:rPr>
        <w:t xml:space="preserve">, </w:t>
      </w:r>
      <w:r w:rsidRPr="00652411">
        <w:rPr>
          <w:rFonts w:ascii="Arial" w:hAnsi="Arial" w:cs="Arial"/>
          <w:sz w:val="20"/>
          <w:szCs w:val="20"/>
          <w:lang w:val="id-ID"/>
        </w:rPr>
        <w:t>shows that financial behavior is not influenced by financial attitudes</w:t>
      </w:r>
      <w:r w:rsidR="00DE4AAB">
        <w:rPr>
          <w:rFonts w:ascii="Arial" w:hAnsi="Arial" w:cs="Arial"/>
          <w:sz w:val="20"/>
          <w:szCs w:val="20"/>
          <w:lang w:val="id-ID"/>
        </w:rPr>
        <w:t>.</w:t>
      </w:r>
    </w:p>
    <w:p w14:paraId="7046A246" w14:textId="77777777" w:rsidR="00C776B0" w:rsidRDefault="00C776B0" w:rsidP="00C776B0">
      <w:pPr>
        <w:spacing w:after="0"/>
        <w:jc w:val="both"/>
        <w:rPr>
          <w:rFonts w:ascii="Arial" w:hAnsi="Arial" w:cs="Arial"/>
          <w:sz w:val="20"/>
          <w:szCs w:val="20"/>
          <w:lang w:val="id-ID"/>
        </w:rPr>
      </w:pPr>
    </w:p>
    <w:p w14:paraId="3F9AFB68" w14:textId="77777777" w:rsidR="00984BA9" w:rsidRDefault="00C776B0" w:rsidP="00D54C39">
      <w:pPr>
        <w:spacing w:after="0"/>
        <w:jc w:val="both"/>
        <w:rPr>
          <w:rFonts w:ascii="Arial" w:hAnsi="Arial" w:cs="Arial"/>
          <w:sz w:val="20"/>
          <w:szCs w:val="20"/>
          <w:lang w:val="id-ID"/>
        </w:rPr>
      </w:pPr>
      <w:r w:rsidRPr="00652411">
        <w:rPr>
          <w:rFonts w:ascii="Arial" w:hAnsi="Arial" w:cs="Arial"/>
          <w:sz w:val="20"/>
          <w:szCs w:val="20"/>
          <w:lang w:val="id-ID"/>
        </w:rPr>
        <w:lastRenderedPageBreak/>
        <w:t xml:space="preserve">Lifestyle factors also have an influence on financial behavior.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{"citationItems":[{"id":"ITEM-1","itemData":{"DOI":"10.33395/owner.v7i1.1304","ISSN":"2548-7507","abstract":"Financial behavior is a person's ability to manage planning, budgeting, checking, managing, controlling, finding and storing daily financial funds. One of the factors that influence financial behavior is knowledge about financial literacy. The author's purpose is to determine the effect of financial literacy, hedonic lifestyle and personal financial attitudes on financial behavior in students of the economics faculty of management study program class l2018. The numberl of samplesl in thisl study werel 84 students usingl the slovinl formula. Thel analysis technique inl this studyl uses multiplel linear lregression, multiple correlationl determination, t testl and F ltest. Thel results ofl this studyl indicate thatl financial literacyl (X1) hasl a positivel and significantl effect onl financial behavior (Y). Hedonic Lifestyle (X2) hasl no effectl on financial behavior (Y). Personal financial attitude (X3) hasl no effectl on financial behavior (Y). Financiall literacy, hedonic lifestyle and personal financial attitudes simultaneously have a significant effect on financial behavior (studentsll of the 2018 classl of managementl study programl at Universitas Muhammadiyahl Sumatera Utara).","author":[{"dropping-particle":"","family":"Wahyuni","given":"Sri Fitri","non-dropping-particle":"","parse-names":false,"suffix":""},{"dropping-particle":"","family":"Kinanti","given":"Dini","non-dropping-particle":"","parse-names":false,"suffix":""},{"dropping-particle":"","family":"Dkk","given":"","non-dropping-particle":"","parse-names":false,"suffix":""}],"container-title":"Owner","id":"ITEM-1","issue":"1","issued":{"date-parts":[["2023"]]},"page":"656-671","title":"Pengaruh Literasi Keuangan, Lifestyle Hedonis dan Sikap Keuangan Pribadi Terhadap Perilaku Keuangan Mahasiswa","type":"article-journal","volume":"7"},"uris":["http://www.mendeley.com/documents/?uuid=298b2c24-c65f-4a51-934c-1eb1aaf28c01"]}],"mendeley":{"formattedCitation":"(Wahyuni, Kinanti, and Dkk 2023)","manualFormatting":"Wahyuni, Kinanti, and et al. (2023)","plainTextFormattedCitation":"(Wahyuni, Kinanti, and Dkk 2023)","previouslyFormattedCitation":"(Wahyuni, Kinanti, and Dkk 2023)"},"properties":{"noteIndex":0},"schema":"https://github.com/citation-style-language/schema/raw/master/csl-citation.json"}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Wahyuni, Kinanti, and et al. (2023)</w:t>
      </w:r>
      <w:r w:rsidRPr="00652411">
        <w:rPr>
          <w:rFonts w:ascii="Arial" w:hAnsi="Arial" w:cs="Arial"/>
          <w:sz w:val="20"/>
          <w:szCs w:val="20"/>
          <w:lang w:val="id-ID"/>
        </w:rPr>
        <w:fldChar w:fldCharType="end"/>
      </w:r>
      <w:r w:rsidRPr="00652411">
        <w:rPr>
          <w:rFonts w:ascii="Arial" w:hAnsi="Arial" w:cs="Arial"/>
          <w:sz w:val="20"/>
          <w:szCs w:val="20"/>
          <w:lang w:val="id-ID"/>
        </w:rPr>
        <w:t>, lifestyle describes a pattern of individual behavior that indicates a person's way of life, financial habits, and time management. Following life events will indirectly introduce people to major lifestyle changes, which are usually triggered by consumerism and inadequate money management in an attempt to keep up with the times and social circles.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{"citationItems":[{"id":"ITEM-1","itemData":{"DOI":"10.29313/bcsbm.v4i1.11541","abstract":"B It is important for a student to have good financial literacy and financial behavior. This is important to support students' financial intelligence in managing their finances to fulfill their needs. Financial intelligence in the long term, will result in students having wise financial behavior in making the right and correct consumption and not easily influenced by product offerings that tend to place the position of the younger generation as marketing segmentation. That way, students will develop into a generation that is able to control finances properly and correctly which in general will have an impact on the mentality to create the next generation who are anti-corruption. This research is a type of descriptive and verifiative research with quantitative methods. The sampling technique used is representative behavior. The population in this study was Unisba Management students class of 2020 and a sample of 75 people was obtained. The data analysis used is descriptive and verifiative analysis using multiple linear regression analysis, F test, t test, and coefficient of determination. The results of this study show that Financial Literacy partially has a positive and significant effect on Financial Behavior. Lifestyle partially has a positive and significant effect on Financial Behavior however. Then simultaneously Financial Literacy and Lifestyle have a significant effect on the Financial Behavior of Unisba Management students class of 2020.","author":[{"dropping-particle":"","family":"Doni Subagja","given":"","non-dropping-particle":"","parse-names":false,"suffix":""},{"dropping-particle":"","family":"Handri","given":"","non-dropping-particle":"","parse-names":false,"suffix":""}],"container-title":"Bandung Conference Series: Business and Management","id":"ITEM-1","issue":"1","issued":{"date-parts":[["2024"]]},"page":"633-639","title":"Pengaruh Literasi Keuangan dan Gaya Hidup terhadap Perilaku keuangan","type":"article-journal","volume":"4"},"uris":["http://www.mendeley.com/documents/?uuid=f70804c2-c92c-40d7-8cad-053242c54c9d"]},{"id":"ITEM-2","itemData":{"DOI":"10.35957/mdp-sc.v2i2.4392","abstract":"Tujuan dari penelitian ini adalah untuk menguji pengaruh literasi keuangan, pendapatan dan gaya hidup terhadap perilaku keuangan pegawai UMKM Pempek di kota Palembang. Populasi yang digunakan adalah Kecamatan Bukit Kecil, Ilir Timur II, Ilir Barat I, Kalidon dan Sako serta sampel sebanyak 267 pekerja UMKM Pempek. Metode yang digunakan dalam penelitian ini adalah kuantitatif, dimana sampel ditentukan dengan cara probability sampling. Metode analisis data meliputi uji validitas, uji reliabilitas, uji kepastian, analisis multilinier, uji normalitas, uji multikolinearitas, uji heteroskedastisitas, uji t, dan uji f. Hasil penelitian ini menunjukkan bahwa pendidikan keuangan (X1), pendapatan (X2) dan gaya hidup (X3) secara parsial dan simultan berpengaruh terhadap perilaku keuangan (Y) pekerja UMKM Pempek di kota Palembang.","author":[{"dropping-particle":"","family":"Elena","given":"Ester","non-dropping-particle":"","parse-names":false,"suffix":""},{"dropping-particle":"","family":"Cholid","given":"Idham","non-dropping-particle":"","parse-names":false,"suffix":""}],"container-title":"MDP Student Conference","id":"ITEM-2","issue":"2","issued":{"date-parts":[["2023"]]},"page":"560-566","title":"Pengaruh Literasi Keuangan, Pendidikan, Gaya Hidup Terhadap Perilaku Keuangan Pekerja UMKM Palembang","type":"article-journal","volume":"2"},"uris":["http://www.mendeley.com/documents/?uuid=d7c48fa9-171a-4a1e-986f-526678a48d43"]},{"id":"ITEM-3","itemData":{"DOI":"doi.org/jebma.v4n3.4790","abstract":"Pada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(Jemba)","id":"ITEM-3","issue":"3","issued":{"date-parts":[["2024"]]},"page":"14-19","title":"Pengaruh Literasi Keuangan dan Gaya Hidup Terhadap Perilaku Pada Pelaku UMKM Kecamatan Gunungsitoli","type":"article-journal","volume":"4"},"uris":["http://www.mendeley.com/documents/?uuid=04fe5ae9-ea75-4ebb-9767-1afeff700e5d"]}],"mendeley":{"formattedCitation":"(Doni Subagja and Handri 2024; Elena and Cholid 2023; Nduru, Hulu, and Dkk 2024)","manualFormatting":"Doni Subagja and Handri 2024; Elena and Cholid 2023; Nduru, Hulu, and et al. 2024)","plainTextFormattedCitation":"(Doni Subagja and Handri 2024; Elena and Cholid 2023; Nduru, Hulu, and Dkk 2024)","previouslyFormattedCitation":"(Doni Subagja and Handri 2024; Elena and Cholid 2023; Nduru, Hulu, and Dkk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Doni Subagja and Handri 2024; Elena and Cholid 2023; Nduru, Hulu, and et al. 2024)</w:t>
      </w:r>
      <w:r w:rsidRPr="00652411">
        <w:rPr>
          <w:rFonts w:ascii="Arial" w:hAnsi="Arial" w:cs="Arial"/>
          <w:sz w:val="20"/>
          <w:szCs w:val="20"/>
          <w:lang w:val="id-ID"/>
        </w:rPr>
        <w:fldChar w:fldCharType="end"/>
      </w:r>
      <w:r w:rsidRPr="00652411">
        <w:rPr>
          <w:rFonts w:ascii="Arial" w:hAnsi="Arial" w:cs="Arial"/>
          <w:sz w:val="20"/>
          <w:szCs w:val="20"/>
          <w:lang w:val="id-ID"/>
        </w:rPr>
        <w:t>, explains that lifestyle influences financial behavior. Meanwhile in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Akuntansi","id":"ITEM-1","issue":"2","issued":{"date-parts":[["2022"]]},"page":"86-99","title":"Pengaruh Literasi Keuangan, Gaya Hidup dan Lingkungan Sosial Terhadap Perilaku Keuangan Mahasiswa","type":"article-journal","volume":"2"},"uris":["http://www.mendeley.com/documents/?uuid=29c88fd5-4a1d-4441-90f3-ab5e7ec785e6"]},{"id":"ITEM-2","itemData":{"DOI":"10.14710/dijb.5.1.2022.33-46","ISSN":"2580-4987","abstract":"This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behavior","type":"article-journal","volume":"5"},"uris":["http://www.mendeley.com/documents/?uuid=8cc55b9e-d914-3882-acdb-a35224fc8291"]}],"mendeley":{"formattedCitation":"(Kenale Sada 2022; Widyakto, Liyana, and Rinawati 2022)","manualFormatting":"Kenale Sada 2022; Widyakto, Liyana, and Rinawati 2022)","plainTextFormattedCitation":"(Kenale Sada 2022; Widyakto, Liyana, and Rinawati 2022)","previouslyFormattedCitation":"(Kenale Sada 2022; Widyakto, Liyana, and Rinawati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Kenale Sada 2022; Widyakto, Liyana, and Rinawati 2022)</w:t>
      </w:r>
      <w:r w:rsidRPr="00652411">
        <w:rPr>
          <w:rFonts w:ascii="Arial" w:hAnsi="Arial" w:cs="Arial"/>
          <w:sz w:val="20"/>
          <w:szCs w:val="20"/>
          <w:lang w:val="id-ID"/>
        </w:rPr>
        <w:fldChar w:fldCharType="end"/>
      </w:r>
      <w:r w:rsidRPr="00652411">
        <w:rPr>
          <w:rFonts w:ascii="Arial" w:hAnsi="Arial" w:cs="Arial"/>
          <w:sz w:val="20"/>
          <w:szCs w:val="20"/>
          <w:lang w:val="id-ID"/>
        </w:rPr>
        <w:t>, shows that lifestyle does not influence financial behavior.</w:t>
      </w:r>
    </w:p>
    <w:p w14:paraId="4D950F92" w14:textId="77777777" w:rsidR="00984BA9" w:rsidRDefault="00984BA9" w:rsidP="00D54C39">
      <w:pPr>
        <w:spacing w:after="0"/>
        <w:jc w:val="both"/>
        <w:rPr>
          <w:rFonts w:ascii="Arial" w:hAnsi="Arial" w:cs="Arial"/>
          <w:sz w:val="20"/>
          <w:szCs w:val="20"/>
          <w:lang w:val="id-ID"/>
        </w:rPr>
      </w:pPr>
    </w:p>
    <w:p w14:paraId="7AD56A33" w14:textId="77777777" w:rsidR="00984BA9" w:rsidRDefault="00984BA9" w:rsidP="00984BA9">
      <w:pPr>
        <w:spacing w:after="0"/>
        <w:jc w:val="both"/>
        <w:rPr>
          <w:rFonts w:ascii="Arial" w:hAnsi="Arial" w:cs="Arial"/>
          <w:sz w:val="20"/>
          <w:szCs w:val="20"/>
          <w:lang w:val="id-ID"/>
        </w:rPr>
      </w:pPr>
      <w:r w:rsidRPr="00652411">
        <w:rPr>
          <w:rFonts w:ascii="Arial" w:hAnsi="Arial" w:cs="Arial"/>
          <w:sz w:val="20"/>
          <w:szCs w:val="20"/>
          <w:lang w:val="id-ID"/>
        </w:rPr>
        <w:t xml:space="preserve">Financial inclusion is emphasized as a consideration for MSMEs to reduce financial problems in a business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{"citationItems":[{"id":"ITEM-1","itemData":{"abstract":"This study aims to determine the effect of financial literacy on financial behavior, the effect of financial inclusion on financial behavior, and the effect of education level on financial behavior. The method in data processing used in this research is to use PLS (Partial Least Square) with the object of research being SMEs in the food stalls/shops in the Bahagia Village, Bekasi Regency. The sampling technique used was purposive probability with the form of non-probability sampling. The data collection technique used a questionnaire as many as 106 SMEs in the food stalls/ shops in the Bahagia Village, Bekasi Regency. The results of this study indicate that there is a significant influence of financial literacy on the financial behavior of SMEs in food stalls/food stalls in Bahagia Village with t statistics 2.618 greater than t table 1.659, and a significant value of financial inclusion on financial behavior with t statistics 2.462 greater than t table 1.659, as well as the significant value of education level on the financial behavior of SMEs in food stalls/shops in Bahagia Village with a t statistics of 2.689 which is greater than a t table of 1.659.","author":[{"dropping-particle":"","family":"Andriyani","given":"Puput","non-dropping-particle":"","parse-names":false,"suffix":""},{"dropping-particle":"","family":"Sulistyowati","given":"Ari","non-dropping-particle":"","parse-names":false,"suffix":""}],"container-title":"Manajemen, Jurnal Aliansi, Bisnis","id":"ITEM-1","issued":{"date-parts":[["2021"]]},"page":"61-70","title":"Analisis Pengaruh Literasi Keuangan, Inklusi Keuangan, Dan Tingkat Pendidikan Terhadap Perilaku Keuangan Pelaku UMKM Kedai/Warung Makanan Di Desa Bahagia Kabupaten Bekasi","type":"article-journal"},"uris":["http://www.mendeley.com/documents/?uuid=788be25c-9039-4b59-ab02-0a93374c2a90"]}],"mendeley":{"formattedCitation":"(Andriyani and Sulistyowati 2021)","plainTextFormattedCitation":"(Andriyani and Sulistyowati 2021)","previouslyFormattedCitation":"(Andriyani and Sulistyowati 2021)"},"properties":{"noteIndex":0},"schema":"https://github.com/citation-style-language/schema/raw/master/csl-citation.json"}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(Andriyani and Sulistyowati 2021)</w:t>
      </w:r>
      <w:r w:rsidRPr="00652411">
        <w:rPr>
          <w:rFonts w:ascii="Arial" w:hAnsi="Arial" w:cs="Arial"/>
          <w:sz w:val="20"/>
          <w:szCs w:val="20"/>
          <w:lang w:val="id-ID"/>
        </w:rPr>
        <w:fldChar w:fldCharType="end"/>
      </w:r>
      <w:r w:rsidRPr="00652411">
        <w:rPr>
          <w:rFonts w:ascii="Arial" w:hAnsi="Arial" w:cs="Arial"/>
          <w:sz w:val="20"/>
          <w:szCs w:val="20"/>
          <w:lang w:val="id-ID"/>
        </w:rPr>
        <w:t xml:space="preserve">. Financial inclusion is defined as an effort to expand access to economic activities in order to promote equitable economic progress in Presidential Regulation No. 114 of 2020 concerning the National Strategy for Financial Inclusion (SNKI). By providing MSMEs with access to financing to increase their capital and promoting MSME empowerment, financial inclusion will create opportunities for them to develop their businesses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{"citationItems":[{"id":"ITEM-1","itemData":{"DOI":"10.37366/ekomabis.v5i02.1403","abstract":"Fokus dari penelitian ini adalah untuk mengetahui bagaimana literasi keuangan, inklusi keuangan, dan digital payment mempengaruhi kinerja usaha kecil dan menengah (UMKM) makanan dan minuman di Kota Padang. Dalam analisis ini  menggunakan sampel sebesar 87 partisipan. Pendekatan validitas yang dipakai yaitu confirmatory factor analysis (CFA), sementara analisis regresi berganda dengan menggunakan STATA  12 dipakai untuk pengujian hipotesis dalam penelitian ini. Data yang diperoleh dari hasil temuan ini menunjukan bahwa literasi keuangan dan inklusi keuangan tidak mendukung hipotesis, sementara itu digital Payment memberikan pengaruh positif terhadap kinerja UMKM makanan dan minuman di Kota Padang. Penelitian ini menyoroti perlunya perhatian khusus dalam pengembangan dan pemanfaatan strategi pengetahuan finansial layanan keuangan yang lebih efektif untuk UMKM agar dapat mencapai dampak positif yang besar terhadap pertumbuhan dan keberlanjutan usaha. Penelitian ini juga memberikan wawasan berharga bagi pelaku UMKM dan pihak terkait untuk meningkatkan digital payment sebagai upaya peningkatan produktivitas UMKM.\r The purpose of this research is to determine the effects of digital payments, financial inclusion, and financial literacy on the performance of food and beverage micro, small, and medium-sized enterprises (MSMEs) in Padang City. A sample of 87 responders was employed in this investigation. Within this research, the hypothesis is tested through multiple regression analysis using STATA 12, and the validity method is confirmatory factor analysis (CFA). The findings of the research show that while the performance of Padang City’s food and beverage MSMEs is positively impacted by digital payment, financial literacy and financial inclusion do not support the hypothesis. This study emphasizes the necessity of giving greater consideration to creating and implementing more efficient financial inclusion and literacy initiatives for MSMEs in order for them to have.","author":[{"dropping-particle":"","family":"Rani","given":"Gita Mai","non-dropping-particle":"","parse-names":false,"suffix":""},{"dropping-particle":"","family":"Desiyanti","given":"Rika","non-dropping-particle":"","parse-names":false,"suffix":""}],"container-title":"EKOMABIS: Jurnal Ekonomi Manajemen Bisnis","id":"ITEM-1","issue":"02","issued":{"date-parts":[["2024"]]},"page":"161-174","title":"Pengaruh Literasi Keuangan, Inklusi Keuangan dan Digital Payment Terhadap Kinerja UMKM Makanan &amp; Minuman di Kota Padang","type":"article-journal","volume":"5"},"uris":["http://www.mendeley.com/documents/?uuid=50caa7bd-2cfd-49ee-87f0-dead8d3a8523"]}],"mendeley":{"formattedCitation":"(Rani and Desiyanti 2024)","plainTextFormattedCitation":"(Rani and Desiyanti 2024)","previouslyFormattedCitation":"(Rani and Desiyanti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(Rani and Desiyanti 2024)</w:t>
      </w:r>
      <w:r w:rsidRPr="00652411">
        <w:rPr>
          <w:rFonts w:ascii="Arial" w:hAnsi="Arial" w:cs="Arial"/>
          <w:sz w:val="20"/>
          <w:szCs w:val="20"/>
          <w:lang w:val="id-ID"/>
        </w:rPr>
        <w:fldChar w:fldCharType="end"/>
      </w:r>
      <w:r w:rsidRPr="00652411">
        <w:rPr>
          <w:rFonts w:ascii="Arial" w:hAnsi="Arial" w:cs="Arial"/>
          <w:sz w:val="20"/>
          <w:szCs w:val="20"/>
          <w:lang w:val="id-ID"/>
        </w:rPr>
        <w:t>. In line with research findings that financial inclusion influences financial behavior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{"citationItems":[{"id":"ITEM-1","itemData":{"DOI":"10.22441/indikator.v8i2.26780","ISSN":"2598-6783","abstract":"This project is to gather empirical data on the topic to gain a better understanding of how financial technology, or Fintech, affects the financial behavior of micro, small, and medium-sized firms (MSMEs). 110 MSMEs spread over West Jakarta made up the sample in 2023. As part of the data gathering method, a random sample questionnaire with a 5-point Likert scale was created using the online tool Google Forms. The Structural Equation Modeling (SEM) model was applied to the data using Partial Least Squares (PLS) software. The results of the study show that financial inclusion and financial technology (Fintech) have a positive influence on MSMEs' financial behavior. Financial technology, or Fintech, may function as a mediator and positively influence MSMEs' financial behavior by promoting broader financial inclusion. This information will be useful to financial institutions, relevant governments, entrepreneurs, and business support organizations that aim to improve the financial behavior and practices of MSMEs. The significance of programs intended to promote good financial conduct, expand financial inclusion, and educate the public about the advantages of fintech in order to enable MSMEs to adopt more responsible financial practices.","author":[{"dropping-particle":"","family":"Huda","given":"Nurrizal","non-dropping-particle":"","parse-names":false,"suffix":""},{"dropping-particle":"","family":"Risman","given":"Asep","non-dropping-particle":"","parse-names":false,"suffix":""}],"container-title":"Indikator: Jurnal Ilmiah Manajemen dan Bisnis","id":"ITEM-1","issue":"2","issued":{"date-parts":[["2024"]]},"page":"19-29","title":"The Behavioral Finance of MSMEs: Financial Inclusion and Financial Technology","type":"article-journal","volume":"8"},"uris":["http://www.mendeley.com/documents/?uuid=7fa96ce2-661b-4328-af0c-0a1b62efc957"]},{"id":"ITEM-2","itemData":{"DOI":"10.55903/juria.v2i3.132","abstract":"Penelitian ini bertujuan untuk mengetahui pengaruh literasi keuangan, inklusi keuangan dan pendapatan terhadap perilaku keuangan pelaku UMKM di Langsa Kota (usaha pakaian jadi). Populasi pada penelitian ini yaitu berjumlah 73 pelaku UMKM di Langsa Kota yang masih aktif dan sampelnya berjumlah 73 pelaku UMKM. Teknik pengambilan sampel menggunakan sampel jenuh. Metode analisis data yang digunakan adalah analisis regresi linear berganda, uji t, uji F dan koefisien determinasi. Hasil penelitian menunjukkan Y = 1.108 - 0.128X1 + 0.391X2 + 0.440X3 Konstanta bernilai 1.108 merupakan nilai perilaku keuangan pada pelaku UMKM apabila literasi keuangan, inklusi keuangan dan pendapatan bernilai tetap. Koefisien regresi variabel inklusi keuangan dan pendapatan berpengaruh positif terhadap perilaku keuangan tetapi untuk variabel literasi keuangan berpengaruh negatif terhadap perilaku keuangan. Hasil penelitian untuk uji t untuk variabel inklusi keuangan dan pendapatan diperoleh t sig &lt; 0.05 sehingga berpengaruh signifikan terhadap perilaku keuangan akan tetapi untuk variabel literasi keuangan diperoleh t sig &gt; 0.05 yang berarti literasi keuangan berpengaruh namun tidak signifikan terhadap perilaku keuangan. Hasil uji F menunjukkan bahwa variabel literasi keuangan, inklusi keuangan dan pendapatan secara simultan berpengaruh signifikan terhadap perilaku keuangan. untuk hasil uji koefisien determinasi (Adjusted R2) diperoleh nilai sebesar 54% yang berarti bahwa perilaku perilaku keuangan dipengaruhi sebesar 54% oleh variabel literasi keuangan, inklusi keuangan, dan pendapatan.","author":[{"dropping-particle":"","family":"Jannah","given":"Miftahul","non-dropping-particle":"","parse-names":false,"suffix":""},{"dropping-particle":"","family":"Fuad","given":"Muhammad","non-dropping-particle":"","parse-names":false,"suffix":""},{"dropping-particle":"","family":"Dewi","given":"Meutia","non-dropping-particle":"","parse-names":false,"suffix":""}],"container-title":"Jurnal Ekonomi Utama","id":"ITEM-2","issue":"3","issued":{"date-parts":[["2023"]]},"page":"298-306","title":"Pengaruh Literasi Keuangan, Inklusi Keuangan dan Pendapatan Terhadap Perilaku Keuangan Pelaku UMKM di Langsa Kota","type":"article-journal","volume":"2"},"uris":["http://www.mendeley.com/documents/?uuid=177650ef-cb18-4112-9ec8-b6cf5e7d05ae"]},{"id":"ITEM-3","itemData":{"DOI":"10.23887/jiah.v13i3.66803","ISSN":"2089-3310","abstract":"Tujuan dari penelitian ini yaitu menguji literasi keuangan, inklusi keuangan dan perilaku keuangan yang diterapkan oleh pelaku UMKM perempuan di Jambi. Pelaku UMKM dengan gender perempuan, menjadi subjek dari penelitian serta berdomisili di Jambi. Kemudian, sampel dalam penelitian ini sebanyak 167 pelaku UMKM perempuan. Data dihimpun melalui survei daring selama periode tiga bulan. Hasil dari penelitian ini menegaskan bahwa literasi keuangan memiliki dampak positif terhadap inklusi keuangan dan perilaku keuangan, sementara inklusi keuangan juga berpengaruh positif terhadap perilaku keuangan. Lebih lanjut, hasil dari uji hipotesis dalam penelitian ini dapat menjadi alat untuk penetapan strategi dari UMKM dengan pemahaman literasi keuangan dan inklusi keuangan pada kelangsungan bisnis jangka panjang.","author":[{"dropping-particle":"","family":"Usmayanti","given":"Vivi","non-dropping-particle":"","parse-names":false,"suffix":""},{"dropping-particle":"","family":"Kadar","given":"Melani","non-dropping-particle":"","parse-names":false,"suffix":""},{"dropping-particle":"","family":"Saputra","given":"Muhammad Haris","non-dropping-particle":"","parse-names":false,"suffix":""},{"dropping-particle":"","family":"Effiyaldi","given":"","non-dropping-particle":"","parse-names":false,"suffix":""},{"dropping-particle":"","family":"Lie","given":"Kanaya Puspa Kirana","non-dropping-particle":"","parse-names":false,"suffix":""}],"container-title":"Jurnal Ilmiah Akuntansi dan Humanika","id":"ITEM-3","issue":"1","issued":{"date-parts":[["2023"]]},"page":"339-348","title":"Pengaruh Literasi Keuangan, Inklusi Keuangan pada Perilaku Keuangan Pelaku UMKM Perempuan: Studi Kasus di Jambi","type":"article-journal","volume":"11"},"uris":["http://www.mendeley.com/documents/?uuid=b6fae952-b0dc-4736-9c7a-ea4877c64b7e"]}],"mendeley":{"formattedCitation":"(Huda and Risman 2024; Jannah, Fuad, and Dewi 2023; Usmayanti et al. 2023)","manualFormatting":"Huda and Risman 2024; Jannah, Fuad, and Dewi 2023; Usmayanti et al. 2023)","plainTextFormattedCitation":"(Huda and Risman 2024; Jannah, Fuad, and Dewi 2023; Usmayanti et al. 2023)","previouslyFormattedCitation":"(Huda and Risman 2024; Jannah, Fuad, and Dewi 2023; Usmayanti et al. 2023)"},"properties":{"noteIndex":0},"schema":"https://github.com/citation-style-language/schema/raw/master/csl-citation.json"}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Huda and Risman 2024; Jannah, Fuad, and Dewi 2023; Usmayanti et al. 2023)</w:t>
      </w:r>
      <w:r w:rsidRPr="00652411">
        <w:rPr>
          <w:rFonts w:ascii="Arial" w:hAnsi="Arial" w:cs="Arial"/>
          <w:sz w:val="20"/>
          <w:szCs w:val="20"/>
          <w:lang w:val="id-ID"/>
        </w:rPr>
        <w:fldChar w:fldCharType="end"/>
      </w:r>
      <w:r w:rsidRPr="00652411">
        <w:rPr>
          <w:rFonts w:ascii="Arial" w:hAnsi="Arial" w:cs="Arial"/>
          <w:sz w:val="20"/>
          <w:szCs w:val="20"/>
          <w:lang w:val="id-ID"/>
        </w:rPr>
        <w:t xml:space="preserve">. However, the findings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{"citationItems":[{"id":"ITEM-1","itemData":{"DOI":"10.21067/mbr.v5i2.6083","abstract":"This research is using a descriptive quantitative study that aims to see and analyze the influence of financial literacy, financial inclusion, and financial technology on the financial behavior of SMEs in Sekupang District. This research uses a sample of 54 MSME actors in Sekupang District, Batam City. Smart PLS 3.0 Software are used on the Hypothesis testing and data processing to achieved number that can be analyze. The results obtained from the examiners are there is a significant effect of financial literacy on financial behavior, there is no significant effect of financial inclusion on financial behavior, there is no significant effect of financial technology on financial behavior.","author":[{"dropping-particle":"","family":"Anisyah","given":"Eka Nur","non-dropping-particle":"","parse-names":false,"suffix":""},{"dropping-particle":"","family":"Pinem","given":"Dahlia","non-dropping-particle":"","parse-names":false,"suffix":""},{"dropping-particle":"","family":"Hidayati","given":"Siti","non-dropping-particle":"","parse-names":false,"suffix":""}],"container-title":"Management and Business Review","id":"ITEM-1","issue":"2","issued":{"date-parts":[["2021","11","14"]]},"page":"310-324","publisher":"University of Kanjuruhan Malang","title":"Pengaruh literasi keuangan, inklusi keuangan dan financial technology terhadap perilaku keuangan pelaku UMKM di Kecamatan Sekupang","type":"article-journal","volume":"5"},"uris":["http://www.mendeley.com/documents/?uuid=c7275181-1d5a-3141-8d6a-2b773e3892c8"]}],"mendeley":{"formattedCitation":"(Anisyah, Pinem, and Hidayati 2021)","manualFormatting":"Anisyah, Pinem, and Hidayati (2021)","plainTextFormattedCitation":"(Anisyah, Pinem, and Hidayati 2021)","previouslyFormattedCitation":"(Anisyah, Pinem, and Hidayati 2021)"},"properties":{"noteIndex":0},"schema":"https://github.com/citation-style-language/schema/raw/master/csl-citation.json"}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Anisyah, Pinem, and Hidayati (2021)</w:t>
      </w:r>
      <w:r w:rsidRPr="00652411">
        <w:rPr>
          <w:rFonts w:ascii="Arial" w:hAnsi="Arial" w:cs="Arial"/>
          <w:sz w:val="20"/>
          <w:szCs w:val="20"/>
          <w:lang w:val="id-ID"/>
        </w:rPr>
        <w:fldChar w:fldCharType="end"/>
      </w:r>
      <w:r w:rsidRPr="00652411">
        <w:rPr>
          <w:rFonts w:ascii="Arial" w:hAnsi="Arial" w:cs="Arial"/>
          <w:sz w:val="20"/>
          <w:szCs w:val="20"/>
          <w:lang w:val="id-ID"/>
        </w:rPr>
        <w:t>, shows financial inclution does not affect financial behavior.</w:t>
      </w:r>
    </w:p>
    <w:p w14:paraId="16D2FCB4" w14:textId="77777777" w:rsidR="00984BA9" w:rsidRDefault="00984BA9" w:rsidP="00984BA9">
      <w:pPr>
        <w:spacing w:after="0"/>
        <w:jc w:val="both"/>
        <w:rPr>
          <w:rFonts w:ascii="Arial" w:hAnsi="Arial" w:cs="Arial"/>
          <w:sz w:val="20"/>
          <w:szCs w:val="20"/>
          <w:lang w:val="id-ID"/>
        </w:rPr>
      </w:pPr>
    </w:p>
    <w:p w14:paraId="1979F4E4" w14:textId="68581964" w:rsidR="00984BA9" w:rsidRDefault="00984BA9" w:rsidP="00984BA9">
      <w:pPr>
        <w:spacing w:after="0"/>
        <w:jc w:val="both"/>
        <w:rPr>
          <w:rFonts w:ascii="Arial" w:hAnsi="Arial" w:cs="Arial"/>
          <w:sz w:val="20"/>
          <w:szCs w:val="20"/>
          <w:lang w:val="id-ID"/>
        </w:rPr>
      </w:pPr>
      <w:r w:rsidRPr="00652411">
        <w:rPr>
          <w:rFonts w:ascii="Arial" w:hAnsi="Arial" w:cs="Arial"/>
          <w:sz w:val="20"/>
          <w:szCs w:val="20"/>
          <w:lang w:val="id-ID"/>
        </w:rPr>
        <w:t xml:space="preserve">Based on previous research by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Business","id":"ITEM-1","issue":"1","issued":{"date-parts":[["2022","6","30"]]},"page":"33-46","publisher":"Institute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id":"ITEM-2","itemData":{"DOI":"10.13140/RG.2.2.31364.33922","author":[{"dropping-particle":"","family":"Hariyanti","given":"Anggun","non-dropping-particle":"","parse-names":false,"suffix":""}],"id":"ITEM-2","issue":"July","issued":{"date-parts":[["2024"]]},"title":"Pengaruh Literasi Keuangan dan Sikap Keuangan terhadap Perilaku Keuangan UMKM di Kelurahan Bendungan Hilir : Model Konseptual","type":"article-journal"},"uris":["http://www.mendeley.com/documents/?uuid=74b2187a-b96d-424b-969f-1960d2e5b307"]},{"id":"ITEM-3","itemData":{"DOI":"doi.org/jebma.v4n3.4790","abstract":"Pada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(Jemba)","id":"ITEM-3","issue":"3","issued":{"date-parts":[["2024"]]},"page":"14-19","title":"Pengaruh Literasi Keuangan dan Gaya Hidup Terhadap Perilaku Pada Pelaku UMKM Kecamatan Gunungsitoli","type":"article-journal","volume":"4"},"uris":["http://www.mendeley.com/documents/?uuid=04fe5ae9-ea75-4ebb-9767-1afeff700e5d"]},{"id":"ITEM-4","itemData":{"DOI":"10.29313/bcsbm.v4i1.11541","abstract":"B It is important for a student to have good financial literacy and financial behavior. This is important to support students' financial intelligence in managing their finances to fulfill their needs. Financial intelligence in the long term, will result in students having wise financial behavior in making the right and correct consumption and not easily influenced by product offerings that tend to place the position of the younger generation as marketing segmentation. That way, students will develop into a generation that is able to control finances properly and correctly which in general will have an impact on the mentality to create the next generation who are anti-corruption. This research is a type of descriptive and verifiative research with quantitative methods. The sampling technique used is representative behavior. The population in this study was Unisba Management students class of 2020 and a sample of 75 people was obtained. The data analysis used is descriptive and verifiative analysis using multiple linear regression analysis, F test, t test, and coefficient of determination. The results of this study show that Financial Literacy partially has a positive and significant effect on Financial Behavior. Lifestyle partially has a positive and significant effect on Financial Behavior however. Then simultaneously Financial Literacy and Lifestyle have a significant effect on the Financial Behavior of Unisba Management students class of 2020.","author":[{"dropping-particle":"","family":"Doni Subagja","given":"","non-dropping-particle":"","parse-names":false,"suffix":""},{"dropping-particle":"","family":"Handri","given":"","non-dropping-particle":"","parse-names":false,"suffix":""}],"container-title":"Bandung Conference Series: Business and Management","id":"ITEM-4","issue":"1","issued":{"date-parts":[["2024"]]},"page":"633-639","title":"Pengaruh Literasi Keuangan dan Gaya Hidup terhadap Perilaku keuangan","type":"article-journal","volume":"4"},"uris":["http://www.mendeley.com/documents/?uuid=f70804c2-c92c-40d7-8cad-053242c54c9d"]}],"mendeley":{"formattedCitation":"(Doni Subagja and Handri 2024; Hariyanti 2024; Nduru, Hulu, and Dkk 2024; Widyakto, Liyana, and Rinawati 2022)","plainTextFormattedCitation":"(Doni Subagja and Handri 2024; Hariyanti 2024; Nduru, Hulu, and Dkk 2024; Widyakto, Liyana, and Rinawati 2022)","previouslyFormattedCitation":"(Doni Subagja and Handri 2024; Hariyanti 2024; Nduru, Hulu, and Dkk 2024; Widyakto, Liyana, and Rinawati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(Doni Subagja and Handri 2024; Hariyanti 2024; Nduru, Hulu, and Dkk 2024; Widyakto, Liyana, and Rinawati 2022)</w:t>
      </w:r>
      <w:r w:rsidRPr="00652411">
        <w:rPr>
          <w:rFonts w:ascii="Arial" w:hAnsi="Arial" w:cs="Arial"/>
          <w:sz w:val="20"/>
          <w:szCs w:val="20"/>
          <w:lang w:val="id-ID"/>
        </w:rPr>
        <w:fldChar w:fldCharType="end"/>
      </w:r>
      <w:r w:rsidRPr="00652411">
        <w:rPr>
          <w:rFonts w:ascii="Arial" w:hAnsi="Arial" w:cs="Arial"/>
          <w:sz w:val="20"/>
          <w:szCs w:val="20"/>
          <w:lang w:val="id-ID"/>
        </w:rPr>
        <w:t>, which examined the influence of financial literacy, financial attitudes, and lifestyle as internal factors on financial behavior. This study did not consider external factors that might shape financial behavior. Therefore, this study added the variable of financial inclusion as an external individual factor. By adding this variable, the researchers aimed to test whether the availability of financial services could influence financial behavior.</w:t>
      </w:r>
    </w:p>
    <w:p w14:paraId="74FB3EEA" w14:textId="77777777" w:rsidR="00D54C39" w:rsidRPr="00D54C39" w:rsidRDefault="00D54C39" w:rsidP="00D54C39">
      <w:pPr>
        <w:spacing w:after="0"/>
        <w:jc w:val="both"/>
        <w:rPr>
          <w:rFonts w:ascii="Arial" w:hAnsi="Arial"/>
          <w:sz w:val="20"/>
          <w:szCs w:val="20"/>
          <w:lang w:val="id-ID"/>
        </w:rPr>
      </w:pPr>
    </w:p>
    <w:p w14:paraId="64B8A8D7" w14:textId="2AD98C53" w:rsidR="00383A66" w:rsidRDefault="00383A66" w:rsidP="00910524">
      <w:pPr>
        <w:spacing w:after="0"/>
        <w:rPr>
          <w:rFonts w:ascii="Arial" w:hAnsi="Arial"/>
          <w:b/>
          <w:bCs/>
          <w:sz w:val="22"/>
          <w:szCs w:val="22"/>
          <w:lang w:val="id-ID"/>
        </w:rPr>
      </w:pPr>
      <w:r>
        <w:rPr>
          <w:rFonts w:ascii="Arial" w:hAnsi="Arial"/>
          <w:b/>
          <w:bCs/>
          <w:sz w:val="22"/>
          <w:szCs w:val="22"/>
          <w:lang w:val="id-ID"/>
        </w:rPr>
        <w:t>2. LITERATURE REVIEW</w:t>
      </w:r>
    </w:p>
    <w:p w14:paraId="72320952" w14:textId="77777777" w:rsidR="00E97E45" w:rsidRDefault="00E97E45" w:rsidP="00910524">
      <w:pPr>
        <w:spacing w:after="0"/>
        <w:rPr>
          <w:rFonts w:ascii="Arial" w:hAnsi="Arial"/>
          <w:b/>
          <w:bCs/>
          <w:sz w:val="22"/>
          <w:szCs w:val="22"/>
          <w:lang w:val="id-ID"/>
        </w:rPr>
      </w:pPr>
    </w:p>
    <w:p w14:paraId="20679F3E" w14:textId="3139C898" w:rsidR="00910524" w:rsidRDefault="00910524" w:rsidP="00910524">
      <w:pPr>
        <w:spacing w:after="0"/>
        <w:rPr>
          <w:rFonts w:ascii="Arial" w:hAnsi="Arial"/>
          <w:b/>
          <w:bCs/>
          <w:sz w:val="22"/>
          <w:szCs w:val="22"/>
          <w:lang w:val="id-ID"/>
        </w:rPr>
      </w:pPr>
      <w:r>
        <w:rPr>
          <w:rFonts w:ascii="Arial" w:hAnsi="Arial"/>
          <w:b/>
          <w:bCs/>
          <w:sz w:val="22"/>
          <w:szCs w:val="22"/>
          <w:lang w:val="id-ID"/>
        </w:rPr>
        <w:t>2.1 Theory of Planned Behavior</w:t>
      </w:r>
    </w:p>
    <w:p w14:paraId="03F2E5CA" w14:textId="77777777" w:rsidR="00E97E45" w:rsidRPr="00994ADB" w:rsidRDefault="00E97E45" w:rsidP="005E441C">
      <w:pPr>
        <w:spacing w:after="0"/>
        <w:rPr>
          <w:rFonts w:ascii="Arial" w:hAnsi="Arial"/>
          <w:b/>
          <w:bCs/>
          <w:sz w:val="20"/>
          <w:szCs w:val="20"/>
          <w:lang w:val="id-ID"/>
        </w:rPr>
      </w:pPr>
    </w:p>
    <w:p w14:paraId="788C3839" w14:textId="76B7CCD5" w:rsidR="00994ADB" w:rsidRPr="005E441C" w:rsidRDefault="005E441C" w:rsidP="005E441C">
      <w:pPr>
        <w:spacing w:after="0"/>
        <w:jc w:val="both"/>
        <w:rPr>
          <w:rFonts w:ascii="Arial" w:hAnsi="Arial" w:cs="Arial"/>
          <w:sz w:val="20"/>
          <w:szCs w:val="20"/>
          <w:lang w:val="id-ID"/>
        </w:rPr>
      </w:pPr>
      <w:r w:rsidRPr="005E441C">
        <w:rPr>
          <w:rFonts w:ascii="Arial" w:hAnsi="Arial" w:cs="Arial"/>
          <w:sz w:val="20"/>
          <w:szCs w:val="20"/>
          <w:lang w:val="id-ID"/>
        </w:rPr>
        <w:t xml:space="preserve">According </w:t>
      </w:r>
      <w:r w:rsidRPr="005E441C">
        <w:rPr>
          <w:rFonts w:ascii="Arial" w:hAnsi="Arial" w:cs="Arial"/>
          <w:sz w:val="20"/>
          <w:szCs w:val="20"/>
          <w:lang w:val="id-ID"/>
        </w:rPr>
        <w:fldChar w:fldCharType="begin" w:fldLock="1"/>
      </w:r>
      <w:r w:rsidRPr="005E441C">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1991)","manualFormatting":"Ajzen (1991)","plainTextFormattedCitation":"(Ajzen 1991)","previouslyFormattedCitation":"(Ajzen 1991)"},"properties":{"noteIndex":0},"schema":"https://github.com/citation-style-language/schema/raw/master/csl-citation.json"}</w:instrText>
      </w:r>
      <w:r w:rsidRPr="005E441C">
        <w:rPr>
          <w:rFonts w:ascii="Arial" w:hAnsi="Arial" w:cs="Arial"/>
          <w:sz w:val="20"/>
          <w:szCs w:val="20"/>
          <w:lang w:val="id-ID"/>
        </w:rPr>
        <w:fldChar w:fldCharType="separate"/>
      </w:r>
      <w:r w:rsidRPr="005E441C">
        <w:rPr>
          <w:rFonts w:ascii="Arial" w:hAnsi="Arial" w:cs="Arial"/>
          <w:noProof/>
          <w:sz w:val="20"/>
          <w:szCs w:val="20"/>
          <w:lang w:val="id-ID"/>
        </w:rPr>
        <w:t>Ajzen (1991)</w:t>
      </w:r>
      <w:r w:rsidRPr="005E441C">
        <w:rPr>
          <w:rFonts w:ascii="Arial" w:hAnsi="Arial" w:cs="Arial"/>
          <w:sz w:val="20"/>
          <w:szCs w:val="20"/>
          <w:lang w:val="id-ID"/>
        </w:rPr>
        <w:fldChar w:fldCharType="end"/>
      </w:r>
      <w:r w:rsidRPr="005E441C">
        <w:rPr>
          <w:rFonts w:ascii="Arial" w:hAnsi="Arial" w:cs="Arial"/>
          <w:sz w:val="20"/>
          <w:szCs w:val="20"/>
          <w:lang w:val="id-ID"/>
        </w:rPr>
        <w:t xml:space="preserve">, Theory of Planned Behavior (TPB) a person’s intention to execute a behavior is greatly impacted by yhe sensed ease or difficulty of the action. This intention is formed from the interaction of three main components: individual attitudes, subjective norms, and perceived behavioral control. According to Ajzen, individual, informational, and social factors contribute to these three components. A person's background, experience, and environment collectively influence how they evaluate a behavior, perceive social pressure, and feel capable of performing it. The Theory of Planned Behavior therefore posits that behavior is affected by inside and outside elements determining a person’s intentions </w:t>
      </w:r>
      <w:r w:rsidRPr="005E441C">
        <w:rPr>
          <w:rFonts w:ascii="Arial" w:hAnsi="Arial" w:cs="Arial"/>
          <w:sz w:val="20"/>
          <w:szCs w:val="20"/>
          <w:lang w:val="id-ID"/>
        </w:rPr>
        <w:fldChar w:fldCharType="begin" w:fldLock="1"/>
      </w:r>
      <w:r w:rsidRPr="005E441C">
        <w:rPr>
          <w:rFonts w:ascii="Arial" w:hAnsi="Arial" w:cs="Arial"/>
          <w:sz w:val="20"/>
          <w:szCs w:val="20"/>
          <w:lang w:val="id-ID"/>
        </w:rPr>
        <w:instrText>ADDIN CSL_CITATION {"citationItems":[{"id":"ITEM-1","itemData":{"abstract":"University students' financial behavior has been greatly impacted by the growing integration of digital technologies like e-wallets, mobile banking, and online shopping platforms, which frequently encourage impulsive spending. This study examines the effects of financial attitude, financial knowledge, income, and locus of control on students' financial conduct, guided by the Theory of Planned Behavior. A total of 100 students were selected using the Slovin formula from three universities in Purwokerto consisting of public, private, and Islamic institutions. Data analysis was conducted using Structural Equation Modeling (SEM) with SmartPLS 3.0. The results reveal that financial attitude, financial knowledge, and locus of control significantly influence financial behavior, while income does not show a notable effect. These results provide educators and policymakers with useful guidance when creating focused financial education initiatives that foster responsible financial attitudes, increase financial knowledge, and students' internal locus of control.","author":[{"dropping-particle":"","family":"Sinta","given":"Dwi","non-dropping-particle":"","parse-names":false,"suffix":""},{"dropping-particle":"","family":"Yustina","given":"Ika","non-dropping-particle":"","parse-names":false,"suffix":""},{"dropping-particle":"","family":"Tubastuvi","given":"Naelati","non-dropping-particle":"","parse-names":false,"suffix":""},{"dropping-particle":"","family":"Dkk","given":"","non-dropping-particle":"","parse-names":false,"suffix":""}],"container-title":"South Asian Journal of Social Studies and Economics","id":"ITEM-1","issue":"7","issued":{"date-parts":[["2025"]]},"page":"175-188","title":"Financial Behavior of University Students : A Theory of Planned Behavior Approach Through Cognitive , Socioeconomic , and Psychological Lenses","type":"article-journal","volume":"22"},"uris":["http://www.mendeley.com/documents/?uuid=ed6ee58c-c739-4cc1-9d56-644cb638bebc"]}],"mendeley":{"formattedCitation":"(Sinta et al. 2025)","plainTextFormattedCitation":"(Sinta et al. 2025)","previouslyFormattedCitation":"(Sinta et al. 2025)"},"properties":{"noteIndex":0},"schema":"https://github.com/citation-style-language/schema/raw/master/csl-citation.json"}</w:instrText>
      </w:r>
      <w:r w:rsidRPr="005E441C">
        <w:rPr>
          <w:rFonts w:ascii="Arial" w:hAnsi="Arial" w:cs="Arial"/>
          <w:sz w:val="20"/>
          <w:szCs w:val="20"/>
          <w:lang w:val="id-ID"/>
        </w:rPr>
        <w:fldChar w:fldCharType="separate"/>
      </w:r>
      <w:r w:rsidRPr="005E441C">
        <w:rPr>
          <w:rFonts w:ascii="Arial" w:hAnsi="Arial" w:cs="Arial"/>
          <w:noProof/>
          <w:sz w:val="20"/>
          <w:szCs w:val="20"/>
          <w:lang w:val="id-ID"/>
        </w:rPr>
        <w:t>(Sinta et al. 2025)</w:t>
      </w:r>
      <w:r w:rsidRPr="005E441C">
        <w:rPr>
          <w:rFonts w:ascii="Arial" w:hAnsi="Arial" w:cs="Arial"/>
          <w:sz w:val="20"/>
          <w:szCs w:val="20"/>
          <w:lang w:val="id-ID"/>
        </w:rPr>
        <w:fldChar w:fldCharType="end"/>
      </w:r>
      <w:r w:rsidRPr="005E441C">
        <w:rPr>
          <w:rFonts w:ascii="Arial" w:hAnsi="Arial" w:cs="Arial"/>
          <w:sz w:val="20"/>
          <w:szCs w:val="20"/>
          <w:lang w:val="id-ID"/>
        </w:rPr>
        <w:t xml:space="preserve">. </w:t>
      </w:r>
      <w:r w:rsidRPr="00D979BE">
        <w:rPr>
          <w:rFonts w:ascii="Arial" w:hAnsi="Arial" w:cs="Arial"/>
          <w:sz w:val="20"/>
          <w:szCs w:val="20"/>
          <w:highlight w:val="yellow"/>
          <w:lang w:val="id-ID"/>
        </w:rPr>
        <w:t xml:space="preserve">According to Ajzen (1991), as explained by </w:t>
      </w:r>
      <w:r w:rsidRPr="00D979BE">
        <w:rPr>
          <w:rFonts w:ascii="Arial" w:hAnsi="Arial" w:cs="Arial"/>
          <w:sz w:val="20"/>
          <w:szCs w:val="20"/>
          <w:highlight w:val="yellow"/>
          <w:lang w:val="id-ID"/>
        </w:rPr>
        <w:fldChar w:fldCharType="begin" w:fldLock="1"/>
      </w:r>
      <w:r w:rsidR="000D41EB" w:rsidRPr="00D979BE">
        <w:rPr>
          <w:rFonts w:ascii="Arial" w:hAnsi="Arial" w:cs="Arial"/>
          <w:sz w:val="20"/>
          <w:szCs w:val="20"/>
          <w:highlight w:val="yellow"/>
          <w:lang w:val="id-ID"/>
        </w:rPr>
        <w:instrText>ADDIN CSL_CITATION {"citationItems":[{"id":"ITEM-1","itemData":{"abstract":"The research of this study investigates financial management behaviour among the user of the Paylater in Surabaya. It also analyzes the relationship between financial socialization, financial knowledge, financial experience, and locus of control as a mediating variable. This research is conclusive causality, used purposive sampling and snowball sampling techniques. The total number of respondents obtained was 234 respondents by distributing questionnaires online. Data analyzed using the Structural Equation Modeling (SEM) analysis technique in the AMOS software. The results show that financial knowledge significantly impacts financial management behaviour, while financial socialization, financial experience, and locus of control do not affect financial management behaviour. The mediation testing result shows that locus of control cannot mediate between financial knowledge and financial management behaviour. Because the sample dominant is the student and age range between 15 and 24, almost all of them still have income from their parents, so they can not manage financial independence to the greatest extent and do not have much experience related to finance. It was also caused by female respondents who often engage in impulsive buying. This study could be helpful to references for various parties, especially Paylater users, to be responsible for making financial decisions and wise in managing their finances.","author":[{"dropping-particle":"","family":"Dewanti","given":"Vicky Pradita","non-dropping-particle":"","parse-names":false,"suffix":""},{"dropping-particle":"","family":"Asandimitra","given":"Nadia","non-dropping-particle":"","parse-names":false,"suffix":""}],"container-title":"Jurnal Ilmu Manajemen","id":"ITEM-1","issue":"3","issued":{"date-parts":[["2021"]]},"page":"863-875","title":"Pengaruh Financial Socialization, Financial Knowledge, Financial Experience terhadap Financial Management Behavior dengan LocuDewanti, V. P., &amp; Asandimitra, N. (2021). Pengaruh Financial Socialization, Financial Knowledge, Financial Experience terhadap Fi","type":"article-journal","volume":"9"},"uris":["http://www.mendeley.com/documents/?uuid=2d25548f-40ae-41ec-9cee-361c8610be2a"]}],"mendeley":{"formattedCitation":"(Dewanti and Asandimitra 2021)","manualFormatting":"Dewanti and Asandimitra (2021)","plainTextFormattedCitation":"(Dewanti and Asandimitra 2021)","previouslyFormattedCitation":"(Dewanti and Asandimitra 2021)"},"properties":{"noteIndex":0},"schema":"https://github.com/citation-style-language/schema/raw/master/csl-citation.json"}</w:instrText>
      </w:r>
      <w:r w:rsidRPr="00D979BE">
        <w:rPr>
          <w:rFonts w:ascii="Arial" w:hAnsi="Arial" w:cs="Arial"/>
          <w:sz w:val="20"/>
          <w:szCs w:val="20"/>
          <w:highlight w:val="yellow"/>
          <w:lang w:val="id-ID"/>
        </w:rPr>
        <w:fldChar w:fldCharType="separate"/>
      </w:r>
      <w:r w:rsidRPr="00D979BE">
        <w:rPr>
          <w:rFonts w:ascii="Arial" w:hAnsi="Arial" w:cs="Arial"/>
          <w:noProof/>
          <w:sz w:val="20"/>
          <w:szCs w:val="20"/>
          <w:highlight w:val="yellow"/>
          <w:lang w:val="id-ID"/>
        </w:rPr>
        <w:t>Dewanti and Asandimitra (2021)</w:t>
      </w:r>
      <w:r w:rsidRPr="00D979BE">
        <w:rPr>
          <w:rFonts w:ascii="Arial" w:hAnsi="Arial" w:cs="Arial"/>
          <w:sz w:val="20"/>
          <w:szCs w:val="20"/>
          <w:highlight w:val="yellow"/>
          <w:lang w:val="id-ID"/>
        </w:rPr>
        <w:fldChar w:fldCharType="end"/>
      </w:r>
      <w:r w:rsidRPr="00D979BE">
        <w:rPr>
          <w:rFonts w:ascii="Arial" w:hAnsi="Arial" w:cs="Arial"/>
          <w:sz w:val="20"/>
          <w:szCs w:val="20"/>
          <w:highlight w:val="yellow"/>
          <w:lang w:val="id-ID"/>
        </w:rPr>
        <w:t>, a decision arises from a complex interweaving of three types of determinants. These include internal factors such as feelings and reason, the mental aspect of knowledge and track record, and social factors such as gender, age, and economic status. Thus, it is this combination of factors that shapes a person's mindset before ultimately acting.</w:t>
      </w:r>
    </w:p>
    <w:p w14:paraId="518C6D32" w14:textId="77777777" w:rsidR="005E441C" w:rsidRDefault="005E441C" w:rsidP="00B7268D">
      <w:pPr>
        <w:spacing w:after="0"/>
        <w:jc w:val="both"/>
        <w:rPr>
          <w:rFonts w:ascii="Arial" w:hAnsi="Arial"/>
          <w:b/>
          <w:bCs/>
          <w:sz w:val="22"/>
          <w:szCs w:val="22"/>
          <w:lang w:val="id-ID"/>
        </w:rPr>
      </w:pPr>
    </w:p>
    <w:p w14:paraId="4423E1B4" w14:textId="1174001A" w:rsidR="00910524" w:rsidRDefault="00910524" w:rsidP="00910524">
      <w:pPr>
        <w:spacing w:after="0"/>
        <w:rPr>
          <w:rFonts w:ascii="Arial" w:hAnsi="Arial"/>
          <w:b/>
          <w:bCs/>
          <w:sz w:val="22"/>
          <w:szCs w:val="22"/>
          <w:lang w:val="id-ID"/>
        </w:rPr>
      </w:pPr>
      <w:r>
        <w:rPr>
          <w:rFonts w:ascii="Arial" w:hAnsi="Arial"/>
          <w:b/>
          <w:bCs/>
          <w:sz w:val="22"/>
          <w:szCs w:val="22"/>
          <w:lang w:val="id-ID"/>
        </w:rPr>
        <w:t>2.2 Financial Literacy</w:t>
      </w:r>
    </w:p>
    <w:p w14:paraId="1104898E" w14:textId="77777777" w:rsidR="00994ADB" w:rsidRPr="00994ADB" w:rsidRDefault="00994ADB" w:rsidP="00994ADB">
      <w:pPr>
        <w:spacing w:after="0"/>
        <w:jc w:val="both"/>
        <w:rPr>
          <w:rFonts w:ascii="Arial" w:hAnsi="Arial"/>
          <w:b/>
          <w:bCs/>
          <w:sz w:val="20"/>
          <w:szCs w:val="20"/>
          <w:lang w:val="id-ID"/>
        </w:rPr>
      </w:pPr>
    </w:p>
    <w:p w14:paraId="033D6D06" w14:textId="512C3471" w:rsidR="00994ADB" w:rsidRPr="00994ADB" w:rsidRDefault="00994ADB" w:rsidP="00994ADB">
      <w:pPr>
        <w:spacing w:after="0"/>
        <w:jc w:val="both"/>
        <w:rPr>
          <w:rFonts w:ascii="Arial" w:hAnsi="Arial" w:cs="Arial"/>
          <w:sz w:val="20"/>
          <w:szCs w:val="20"/>
          <w:lang w:val="id-ID"/>
        </w:rPr>
      </w:pPr>
      <w:r w:rsidRPr="00994ADB">
        <w:rPr>
          <w:rFonts w:ascii="Arial" w:hAnsi="Arial" w:cs="Arial"/>
          <w:sz w:val="20"/>
          <w:szCs w:val="20"/>
          <w:lang w:val="id-ID"/>
        </w:rPr>
        <w:t xml:space="preserve">In </w:t>
      </w:r>
      <w:r w:rsidRPr="00994ADB">
        <w:rPr>
          <w:rFonts w:ascii="Arial" w:hAnsi="Arial" w:cs="Arial"/>
          <w:sz w:val="20"/>
          <w:szCs w:val="20"/>
          <w:lang w:val="id-ID"/>
        </w:rPr>
        <w:fldChar w:fldCharType="begin" w:fldLock="1"/>
      </w:r>
      <w:r w:rsidRPr="00994ADB">
        <w:rPr>
          <w:rFonts w:ascii="Arial" w:hAnsi="Arial" w:cs="Arial"/>
          <w:sz w:val="20"/>
          <w:szCs w:val="20"/>
          <w:lang w:val="id-ID"/>
        </w:rPr>
        <w:instrText>ADDIN CSL_CITATION {"citationItems":[{"id":"ITEM-1","itemData":{"DOI":"doi.org/10.32639/27ke6j85","ISSN":"2623-2480","abstract":"This study aims to analyze the effect of financial literacy, financial attitudes, and personality on financial management behavior. This study uses a quantitative method, the sampling technique is Non-Probability Sampling, purposive sampling approach, the number of samples is 100 respondents. The data analysis technique used in this study is descriptive statistical test, classical assumption test, multiple linear regression test, model fit test, and hypothesis testing with the analytical tool used is SPSS. The results of the analysis show that financial literacy and personality partially have a positive and significant effect on financial management behavior. Meanwhile, financial attitudes have a negative and significant effect on financial management behavior.","author":[{"dropping-particle":"","family":"Rahmawati","given":"Ika Yustina","non-dropping-particle":"","parse-names":false,"suffix":""},{"dropping-particle":"","family":"Dkk","given":"","non-dropping-particle":"","parse-names":false,"suffix":""}],"container-title":"FokBis : Media Pengkajian Manajemen dan Akuntansi","id":"ITEM-1","issue":"2","issued":{"date-parts":[["2024"]]},"page":"177-188","title":"The Influence of Financial Literacy, Financial Attitudes, and Personality on Financial Management Behavior of SME in Banyumas Regency","type":"article-journal","volume":"23"},"uris":["http://www.mendeley.com/documents/?uuid=d764d389-9369-4579-a99f-f1e276bdcd9b"]}],"mendeley":{"formattedCitation":"(Rahmawati and Dkk 2024)","manualFormatting":"Rahmawati and et al. (2024)","plainTextFormattedCitation":"(Rahmawati and Dkk 2024)","previouslyFormattedCitation":"(Rahmawati and Dkk 2024)"},"properties":{"noteIndex":0},"schema":"https://github.com/citation-style-language/schema/raw/master/csl-citation.json"}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Rahmawati and et al. (2024)</w:t>
      </w:r>
      <w:r w:rsidRPr="00994ADB">
        <w:rPr>
          <w:rFonts w:ascii="Arial" w:hAnsi="Arial" w:cs="Arial"/>
          <w:sz w:val="20"/>
          <w:szCs w:val="20"/>
          <w:lang w:val="id-ID"/>
        </w:rPr>
        <w:fldChar w:fldCharType="end"/>
      </w:r>
      <w:r w:rsidRPr="00994ADB">
        <w:rPr>
          <w:rFonts w:ascii="Arial" w:hAnsi="Arial" w:cs="Arial"/>
          <w:sz w:val="20"/>
          <w:szCs w:val="20"/>
          <w:lang w:val="id-ID"/>
        </w:rPr>
        <w:t xml:space="preserve">, one’s decision-making ability and improve the economy through budgeting, saving, investing, recognizing the difference between personal and business funds, and making debt payments on time is known as financial literacy. Whereas according to </w:t>
      </w:r>
      <w:r w:rsidRPr="00994ADB">
        <w:rPr>
          <w:rFonts w:ascii="Arial" w:hAnsi="Arial" w:cs="Arial"/>
          <w:sz w:val="20"/>
          <w:szCs w:val="20"/>
          <w:lang w:val="id-ID"/>
        </w:rPr>
        <w:fldChar w:fldCharType="begin" w:fldLock="1"/>
      </w:r>
      <w:r w:rsidRPr="00994ADB">
        <w:rPr>
          <w:rFonts w:ascii="Arial" w:hAnsi="Arial" w:cs="Arial"/>
          <w:sz w:val="20"/>
          <w:szCs w:val="20"/>
          <w:lang w:val="id-ID"/>
        </w:rPr>
        <w:instrText>ADDIN CSL_CITATION {"citationItems":[{"id":"ITEM-1","itemData":{"DOI":"10.55587/jla.v2i2.35","abstract":"Tujuan: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Akuntansi","id":"ITEM-1","issue":"2","issued":{"date-parts":[["2022"]]},"page":"86-99","title":"Pengaruh Literasi Keuangan, Gaya Hidup dan Lingkungan Sosial Terhadap Perilaku Keuangan Mahasiswa","type":"article-journal","volume":"2"},"uris":["http://www.mendeley.com/documents/?uuid=29c88fd5-4a1d-4441-90f3-ab5e7ec785e6"]}],"mendeley":{"formattedCitation":"(Kenale Sada 2022)","manualFormatting":"Kenale Sada, (2022)","plainTextFormattedCitation":"(Kenale Sada 2022)","previouslyFormattedCitation":"(Kenale Sada 2022)"},"properties":{"noteIndex":0},"schema":"https://github.com/citation-style-language/schema/raw/master/csl-citation.json"}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Kenale Sada, (2022)</w:t>
      </w:r>
      <w:r w:rsidRPr="00994ADB">
        <w:rPr>
          <w:rFonts w:ascii="Arial" w:hAnsi="Arial" w:cs="Arial"/>
          <w:sz w:val="20"/>
          <w:szCs w:val="20"/>
          <w:lang w:val="id-ID"/>
        </w:rPr>
        <w:fldChar w:fldCharType="end"/>
      </w:r>
      <w:r w:rsidRPr="00994ADB">
        <w:rPr>
          <w:rFonts w:ascii="Arial" w:hAnsi="Arial" w:cs="Arial"/>
          <w:sz w:val="20"/>
          <w:szCs w:val="20"/>
          <w:lang w:val="id-ID"/>
        </w:rPr>
        <w:t xml:space="preserve">, financial literacy is one’s capacity to evaluate their financial condition and use this understanding to conduct behavior with the aim of controlling their finances to avoid financial problems. A lack of financial literacy will hinder a person’s ability to optimize their financial behavior, which will lead to long-term consequences </w:t>
      </w:r>
      <w:r w:rsidRPr="00994ADB">
        <w:rPr>
          <w:rFonts w:ascii="Arial" w:hAnsi="Arial" w:cs="Arial"/>
          <w:sz w:val="20"/>
          <w:szCs w:val="20"/>
          <w:lang w:val="id-ID"/>
        </w:rPr>
        <w:fldChar w:fldCharType="begin" w:fldLock="1"/>
      </w:r>
      <w:r w:rsidR="00F52253">
        <w:rPr>
          <w:rFonts w:ascii="Arial" w:hAnsi="Arial" w:cs="Arial"/>
          <w:sz w:val="20"/>
          <w:szCs w:val="20"/>
          <w:lang w:val="id-ID"/>
        </w:rPr>
        <w:instrText>ADDIN CSL_CITATION {"citationItems":[{"id":"ITEM-1","itemData":{"DOI":"10.2991/aebmr.k.211225.033","abstract":"This study examines the effect of financial literacy and financial experience on financial performance using financial behavior as a mediator. One novelty of this research is to test the role of financial behavior as a mediating variable. The sample of this study was 91 SMEs located in Purwokerto, Indonesia. This study provides evidence of the positive effect of financial literacy on SMEs' financial behavior and financial performance. This study has not provided evidence of the mediating role of financial behavior on the relationship between financial literacy and financial experience on SME financial performance.","author":[{"dropping-particle":"","family":"Purwidianti","given":"Wida","non-dropping-particle":"","parse-names":false,"suffix":""},{"dropping-particle":"","family":"Tubastuvi","given":"Naelati","non-dropping-particle":"","parse-names":false,"suffix":""},{"dropping-particle":"","family":"Darmawan","given":"Akhmad","non-dropping-particle":"","parse-names":false,"suffix":""},{"dropping-particle":"","family":"Rahmawati","given":"Ika Yustina","non-dropping-particle":"","parse-names":false,"suffix":""}],"container-title":"Proceedings of the International Conference on Sustainable Innovation Track Accounting and Management Sciences (ICOSIAMS 2021)","id":"ITEM-1","issue":"Icosiams 2021","issued":{"date-parts":[["2022"]]},"page":"235-241","title":"Does Financial Behavior Mediate The Relationship Between Financial Literacy and Financial Experience Towards Financial Performance of Small Businesses?","type":"article-journal","volume":"201"},"uris":["http://www.mendeley.com/documents/?uuid=46d370e7-a46b-4161-be9a-5869d4b55a11"]}],"mendeley":{"formattedCitation":"(Purwidianti et al. 2022)","plainTextFormattedCitation":"(Purwidianti et al. 2022)","previouslyFormattedCitation":"(Purwidianti et al. 2022)"},"properties":{"noteIndex":0},"schema":"https://github.com/citation-style-language/schema/raw/master/csl-citation.json"}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(Purwidianti et al. 2022)</w:t>
      </w:r>
      <w:r w:rsidRPr="00994ADB">
        <w:rPr>
          <w:rFonts w:ascii="Arial" w:hAnsi="Arial" w:cs="Arial"/>
          <w:sz w:val="20"/>
          <w:szCs w:val="20"/>
          <w:lang w:val="id-ID"/>
        </w:rPr>
        <w:fldChar w:fldCharType="end"/>
      </w:r>
      <w:r w:rsidRPr="00994ADB">
        <w:rPr>
          <w:rFonts w:ascii="Arial" w:hAnsi="Arial" w:cs="Arial"/>
          <w:sz w:val="20"/>
          <w:szCs w:val="20"/>
          <w:lang w:val="id-ID"/>
        </w:rPr>
        <w:t xml:space="preserve">. This is in line with the Theory of Planned Behavior, which explains that perceived behavioral control can measure how easy or difficult it is for someone to perform an action,and this is thought to reflect previous experience in dealing with various obstacles and difficulties </w:t>
      </w:r>
      <w:r w:rsidRPr="00994ADB">
        <w:rPr>
          <w:rFonts w:ascii="Arial" w:hAnsi="Arial" w:cs="Arial"/>
          <w:sz w:val="20"/>
          <w:szCs w:val="20"/>
          <w:lang w:val="id-ID"/>
        </w:rPr>
        <w:fldChar w:fldCharType="begin" w:fldLock="1"/>
      </w:r>
      <w:r w:rsidRPr="00994ADB">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1991)","plainTextFormattedCitation":"(Ajzen 1991)","previouslyFormattedCitation":"(Ajzen 1991)"},"properties":{"noteIndex":0},"schema":"https://github.com/citation-style-language/schema/raw/master/csl-citation.json"}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(Ajzen 1991)</w:t>
      </w:r>
      <w:r w:rsidRPr="00994ADB">
        <w:rPr>
          <w:rFonts w:ascii="Arial" w:hAnsi="Arial" w:cs="Arial"/>
          <w:sz w:val="20"/>
          <w:szCs w:val="20"/>
          <w:lang w:val="id-ID"/>
        </w:rPr>
        <w:fldChar w:fldCharType="end"/>
      </w:r>
      <w:r w:rsidRPr="00994ADB">
        <w:rPr>
          <w:rFonts w:ascii="Arial" w:hAnsi="Arial" w:cs="Arial"/>
          <w:sz w:val="20"/>
          <w:szCs w:val="20"/>
          <w:lang w:val="id-ID"/>
        </w:rPr>
        <w:t xml:space="preserve">. Business people will behave better financially if they have sufficient understanding of finance. This statement is in line with </w:t>
      </w:r>
      <w:r w:rsidRPr="00994ADB">
        <w:rPr>
          <w:rFonts w:ascii="Arial" w:hAnsi="Arial" w:cs="Arial"/>
          <w:sz w:val="20"/>
          <w:szCs w:val="20"/>
          <w:lang w:val="id-ID"/>
        </w:rPr>
        <w:lastRenderedPageBreak/>
        <w:t xml:space="preserve">research </w:t>
      </w:r>
      <w:r w:rsidRPr="00994ADB">
        <w:rPr>
          <w:rFonts w:ascii="Arial" w:hAnsi="Arial" w:cs="Arial"/>
          <w:sz w:val="20"/>
          <w:szCs w:val="20"/>
          <w:lang w:val="id-ID"/>
        </w:rPr>
        <w:fldChar w:fldCharType="begin" w:fldLock="1"/>
      </w:r>
      <w:r w:rsidRPr="00994ADB">
        <w:rPr>
          <w:rFonts w:ascii="Arial" w:hAnsi="Arial" w:cs="Arial"/>
          <w:sz w:val="20"/>
          <w:szCs w:val="20"/>
          <w:lang w:val="id-ID"/>
        </w:rPr>
        <w:instrText>ADDIN CSL_CITATION {"citationItems":[{"id":"ITEM-1","itemData":{"DOI":"10.47467/alkharaj.v4i5.1003","ISSN":"2656-2871","abstract":"MSMEs are one of the drivers of the economy in Indonesia, in carrying out their business activities MSMEs are definitely influenced by the environment with the existence of self-control, financial planning and financial knowledge in those who carry out activities so that the business they run develops and creates good financial behavior. Behavioral finance is an attitude in which a person is able to consider and plan how to obtain a budget to meet business and individual needs. This study aims to analyze the effect of locus of control, financial planning, and financial literacy on financial behavior. The population in this study is MSMEs in Magetan Regency which are engaged in food and beverages. The sampling technique was done by purposive sampling. The sampling technique used the Slovin formula. The sample used in this study were 186 respondents. The data used in this study are primary data and secondary data, namely data from questionnaires from the answers of 186 respondents. The analysis technique in this study uses Partial Least Square (PLS). The results showed that locus of control, financial planning, and financial literacy had a significant positive effect on financial behavior.\r Keywords: Locus of Control; Financial Planing; Financial Literacy; Financial Behavior","author":[{"dropping-particle":"","family":"Fadilah","given":"Salma Juliana","non-dropping-particle":"","parse-names":false,"suffix":""},{"dropping-particle":"","family":"Purwanto","given":"Eko","non-dropping-particle":"","parse-names":false,"suffix":""}],"container-title":"Al-Kharaj : Jurnal Ekonomi, Keuangan &amp; Bisnis Syariah","id":"ITEM-1","issue":"5","issued":{"date-parts":[["2022"]]},"page":"1476-1488","title":"Pengaruh Locus of Control, Perencanaan dean Literasi Keuangan terhadap Perilaku Keuangan UMKM","type":"article-journal","volume":"4"},"uris":["http://www.mendeley.com/documents/?uuid=b628080f-d5fb-4102-ae2d-55fdc71cbf3a"]},{"id":"ITEM-2","itemData":{"DOI":"10.55587/jla.v2i2.35","abstract":"Tujuan: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Akuntansi","id":"ITEM-2","issue":"2","issued":{"date-parts":[["2022"]]},"page":"86-99","title":"Pengaruh Literasi Keuangan, Gaya Hidup dan Lingkungan Sosial Terhadap Perilaku Keuangan Mahasiswa","type":"article-journal","volume":"2"},"uris":["http://www.mendeley.com/documents/?uuid=29c88fd5-4a1d-4441-90f3-ab5e7ec785e6"]},{"id":"ITEM-3","itemData":{"DOI":"10.33395/owner.v7i1.1304","ISSN":"2548-7507","abstract":"Financial behavior is a person's ability to manage planning, budgeting, checking, managing, controlling, finding and storing daily financial funds. One of the factors that influence financial behavior is knowledge about financial literacy. The author's purpose is to determine the effect of financial literacy, hedonic lifestyle and personal financial attitudes on financial behavior in students of the economics faculty of management study program class l2018. The numberl of samplesl in thisl study werel 84 students usingl the slovinl formula. Thel analysis technique inl this studyl uses multiplel linear lregression, multiple correlationl determination, t testl and F ltest. Thel results ofl this studyl indicate thatl financial literacyl (X1) hasl a positivel and significantl effect onl financial behavior (Y). Hedonic Lifestyle (X2) hasl no effectl on financial behavior (Y). Personal financial attitude (X3) hasl no effectl on financial behavior (Y). Financiall literacy, hedonic lifestyle and personal financial attitudes simultaneously have a significant effect on financial behavior (studentsll of the 2018 classl of managementl study programl at Universitas Muhammadiyahl Sumatera Utara).","author":[{"dropping-particle":"","family":"Wahyuni","given":"Sri Fitri","non-dropping-particle":"","parse-names":false,"suffix":""},{"dropping-particle":"","family":"Kinanti","given":"Dini","non-dropping-particle":"","parse-names":false,"suffix":""},{"dropping-particle":"","family":"Dkk","given":"","non-dropping-particle":"","parse-names":false,"suffix":""}],"container-title":"Owner","id":"ITEM-3","issue":"1","issued":{"date-parts":[["2023"]]},"page":"656-671","title":"Pengaruh Literasi Keuangan, Lifestyle Hedonis dan Sikap Keuangan Pribadi Terhadap Perilaku Keuangan Mahasiswa","type":"article-journal","volume":"7"},"uris":["http://www.mendeley.com/documents/?uuid=298b2c24-c65f-4a51-934c-1eb1aaf28c01"]},{"id":"ITEM-4","itemData":{"DOI":"10.21067/mbr.v5i2.6083","abstract":"This research is using a descriptive quantitative study that aims to see and analyze the influence of financial literacy, financial inclusion, and financial technology on the financial behavior of SMEs in Sekupang District. This research uses a sample of 54 MSME actors in Sekupang District, Batam City. Smart PLS 3.0 Software are used on the Hypothesis testing and data processing to achieved number that can be analyze. The results obtained from the examiners are there is a significant effect of financial literacy on financial behavior, there is no significant effect of financial inclusion on financial behavior, there is no significant effect of financial technology on financial behavior.","author":[{"dropping-particle":"","family":"Anisyah","given":"Eka Nur","non-dropping-particle":"","parse-names":false,"suffix":""},{"dropping-particle":"","family":"Pinem","given":"Dahlia","non-dropping-particle":"","parse-names":false,"suffix":""},{"dropping-particle":"","family":"Hidayati","given":"Siti","non-dropping-particle":"","parse-names":false,"suffix":""}],"container-title":"Management and Business Review","id":"ITEM-4","issue":"2","issued":{"date-parts":[["2021","11","14"]]},"page":"310-324","publisher":"University of Kanjuruhan Malang","title":"Pengaruh literasi keuangan, inklusi keuangan dan financial technology terhadap perilaku keuangan pelaku UMKM di Kecamatan Sekupang","type":"article-journal","volume":"5"},"uris":["http://www.mendeley.com/documents/?uuid=c7275181-1d5a-3141-8d6a-2b773e3892c8"]}],"mendeley":{"formattedCitation":"(Anisyah, Pinem, and Hidayati 2021; Fadilah and Purwanto 2022; Kenale Sada 2022; Wahyuni, Kinanti, and Dkk 2023)","manualFormatting":"(Anisyah, Pinem, and Hidayati 2021; Fadilah and Purwanto 2022; Kenale Sada 2022; Wahyuni, Kinanti, and et al. 2023)","plainTextFormattedCitation":"(Anisyah, Pinem, and Hidayati 2021; Fadilah and Purwanto 2022; Kenale Sada 2022; Wahyuni, Kinanti, and Dkk 2023)","previouslyFormattedCitation":"(Anisyah, Pinem, and Hidayati 2021; Fadilah and Purwanto 2022; Kenale Sada 2022; Wahyuni, Kinanti, and Dkk 2023)"},"properties":{"noteIndex":0},"schema":"https://github.com/citation-style-language/schema/raw/master/csl-citation.json"}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(Anisyah, Pinem, and Hidayati 2021; Fadilah and Purwanto 2022; Kenale Sada 2022; Wahyuni, Kinanti, and et al. 2023)</w:t>
      </w:r>
      <w:r w:rsidRPr="00994ADB">
        <w:rPr>
          <w:rFonts w:ascii="Arial" w:hAnsi="Arial" w:cs="Arial"/>
          <w:sz w:val="20"/>
          <w:szCs w:val="20"/>
          <w:lang w:val="id-ID"/>
        </w:rPr>
        <w:fldChar w:fldCharType="end"/>
      </w:r>
      <w:r w:rsidRPr="00994ADB">
        <w:rPr>
          <w:rFonts w:ascii="Arial" w:hAnsi="Arial" w:cs="Arial"/>
          <w:sz w:val="20"/>
          <w:szCs w:val="20"/>
          <w:lang w:val="id-ID"/>
        </w:rPr>
        <w:t xml:space="preserve">, whitch holds that financial literacy has a positive effects financial behavior. </w:t>
      </w:r>
    </w:p>
    <w:p w14:paraId="3F38DB2F" w14:textId="77777777" w:rsidR="00994ADB" w:rsidRPr="00825149" w:rsidRDefault="00994ADB" w:rsidP="00910524">
      <w:pPr>
        <w:spacing w:after="0"/>
        <w:rPr>
          <w:rFonts w:ascii="Arial" w:hAnsi="Arial"/>
          <w:b/>
          <w:bCs/>
          <w:sz w:val="20"/>
          <w:szCs w:val="20"/>
          <w:lang w:val="id-ID"/>
        </w:rPr>
      </w:pPr>
    </w:p>
    <w:p w14:paraId="3A65524F" w14:textId="348F60AD" w:rsidR="00825149" w:rsidRPr="00B51DD5" w:rsidRDefault="001001D5" w:rsidP="00910524">
      <w:pPr>
        <w:spacing w:after="0"/>
        <w:rPr>
          <w:rFonts w:ascii="Arial" w:hAnsi="Arial"/>
          <w:sz w:val="20"/>
          <w:szCs w:val="20"/>
          <w:lang w:val="id-ID"/>
        </w:rPr>
      </w:pPr>
      <w:r w:rsidRPr="00B51DD5">
        <w:rPr>
          <w:rFonts w:ascii="Arial" w:hAnsi="Arial"/>
          <w:sz w:val="20"/>
          <w:szCs w:val="20"/>
          <w:lang w:val="id-ID"/>
        </w:rPr>
        <w:t xml:space="preserve">H1: Financial </w:t>
      </w:r>
      <w:r w:rsidR="00B51DD5" w:rsidRPr="00B51DD5">
        <w:rPr>
          <w:rFonts w:ascii="Arial" w:hAnsi="Arial"/>
          <w:sz w:val="20"/>
          <w:szCs w:val="20"/>
          <w:lang w:val="id-ID"/>
        </w:rPr>
        <w:t>L</w:t>
      </w:r>
      <w:r w:rsidRPr="00B51DD5">
        <w:rPr>
          <w:rFonts w:ascii="Arial" w:hAnsi="Arial"/>
          <w:sz w:val="20"/>
          <w:szCs w:val="20"/>
          <w:lang w:val="id-ID"/>
        </w:rPr>
        <w:t xml:space="preserve">iteracy has a positive effect on the </w:t>
      </w:r>
      <w:r w:rsidR="00B51DD5" w:rsidRPr="00B51DD5">
        <w:rPr>
          <w:rFonts w:ascii="Arial" w:hAnsi="Arial"/>
          <w:sz w:val="20"/>
          <w:szCs w:val="20"/>
          <w:lang w:val="id-ID"/>
        </w:rPr>
        <w:t>Fi</w:t>
      </w:r>
      <w:r w:rsidRPr="00B51DD5">
        <w:rPr>
          <w:rFonts w:ascii="Arial" w:hAnsi="Arial"/>
          <w:sz w:val="20"/>
          <w:szCs w:val="20"/>
          <w:lang w:val="id-ID"/>
        </w:rPr>
        <w:t xml:space="preserve">nancial </w:t>
      </w:r>
      <w:r w:rsidR="00B51DD5" w:rsidRPr="00B51DD5">
        <w:rPr>
          <w:rFonts w:ascii="Arial" w:hAnsi="Arial"/>
          <w:sz w:val="20"/>
          <w:szCs w:val="20"/>
          <w:lang w:val="id-ID"/>
        </w:rPr>
        <w:t>B</w:t>
      </w:r>
      <w:r w:rsidRPr="00B51DD5">
        <w:rPr>
          <w:rFonts w:ascii="Arial" w:hAnsi="Arial"/>
          <w:sz w:val="20"/>
          <w:szCs w:val="20"/>
          <w:lang w:val="id-ID"/>
        </w:rPr>
        <w:t>ehavior</w:t>
      </w:r>
    </w:p>
    <w:p w14:paraId="02B3F92D" w14:textId="77777777" w:rsidR="00825149" w:rsidRPr="00825149" w:rsidRDefault="00825149" w:rsidP="00910524">
      <w:pPr>
        <w:spacing w:after="0"/>
        <w:rPr>
          <w:rFonts w:ascii="Arial" w:hAnsi="Arial"/>
          <w:b/>
          <w:bCs/>
          <w:sz w:val="20"/>
          <w:szCs w:val="20"/>
          <w:lang w:val="id-ID"/>
        </w:rPr>
      </w:pPr>
    </w:p>
    <w:p w14:paraId="3E123076" w14:textId="5A97B739" w:rsidR="00910524" w:rsidRDefault="00910524" w:rsidP="00910524">
      <w:pPr>
        <w:spacing w:after="0"/>
        <w:rPr>
          <w:rFonts w:ascii="Arial" w:hAnsi="Arial"/>
          <w:b/>
          <w:bCs/>
          <w:sz w:val="22"/>
          <w:szCs w:val="22"/>
          <w:lang w:val="id-ID"/>
        </w:rPr>
      </w:pPr>
      <w:r>
        <w:rPr>
          <w:rFonts w:ascii="Arial" w:hAnsi="Arial"/>
          <w:b/>
          <w:bCs/>
          <w:sz w:val="22"/>
          <w:szCs w:val="22"/>
          <w:lang w:val="id-ID"/>
        </w:rPr>
        <w:t>2.3 Financial Attitude</w:t>
      </w:r>
    </w:p>
    <w:p w14:paraId="3577C3E5" w14:textId="77777777" w:rsidR="00994ADB" w:rsidRPr="00994ADB" w:rsidRDefault="00994ADB" w:rsidP="00910524">
      <w:pPr>
        <w:spacing w:after="0"/>
        <w:rPr>
          <w:rFonts w:ascii="Arial" w:hAnsi="Arial"/>
          <w:b/>
          <w:bCs/>
          <w:sz w:val="20"/>
          <w:szCs w:val="20"/>
          <w:lang w:val="id-ID"/>
        </w:rPr>
      </w:pPr>
    </w:p>
    <w:p w14:paraId="653EBEF8" w14:textId="03B79546" w:rsidR="00994ADB" w:rsidRDefault="00994ADB" w:rsidP="00994ADB">
      <w:pPr>
        <w:spacing w:after="0"/>
        <w:jc w:val="both"/>
        <w:rPr>
          <w:rFonts w:ascii="Arial" w:hAnsi="Arial" w:cs="Arial"/>
          <w:sz w:val="20"/>
          <w:szCs w:val="20"/>
          <w:lang w:val="id-ID"/>
        </w:rPr>
      </w:pPr>
      <w:r w:rsidRPr="0091791D">
        <w:rPr>
          <w:rFonts w:ascii="Arial" w:hAnsi="Arial" w:cs="Arial"/>
          <w:sz w:val="20"/>
          <w:szCs w:val="20"/>
          <w:lang w:val="id-ID"/>
        </w:rPr>
        <w:t xml:space="preserve">Financial attitude is a person's positive or negative perspective on money which can influence their behavior in managing money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{"citationItems":[{"id":"ITEM-1","itemData":{"DOI":"10.21009/japa.0501.14","abstract":"In this study, the role of locus of control in mediating the relationship between financial management behavior and financial literacy and attitude will be examined and tested. Quantitative methods are used with non-probability sampling using purposive sample techniques. The research primary data was collected through a questionnaire obtained from a total sample of 71 students of the Bachelor of Accounting, State University of Jakarta and processed using the PLS-SEM technique with SmartPLS 4.0. The results concluded that Financial Literacy and Financial Attitude significantly have a positive effect on Financial Management Behavior. In addition, both variables significantly have a positive effect on Financial Management Behavior through mediated by Locus of Control. This study provides a theoretical contribution to the Theory of Planned Behavior and contributes implications for students, especially in Bachelor of Accounting as one of the graduate competencies is as a financial analyst who needs to have good financial management behavior skills.","author":[{"dropping-particle":"","family":"Pricilla","given":"Ani","non-dropping-particle":"","parse-names":false,"suffix":""},{"dropping-particle":"","family":"Yusuf","given":"Muhammad","non-dropping-particle":"","parse-names":false,"suffix":""},{"dropping-particle":"","family":"Handarini","given":"Dwi","non-dropping-particle":"","parse-names":false,"suffix":""}],"container-title":"Jurnal Akuntansi, Perpajakan dan Auditing","id":"ITEM-1","issue":"1","issued":{"date-parts":[["2024"]]},"page":"209-226","title":"Pengaruh Financial Literacy dan Financial Attitude Terhadap Financial Management Behavior dengan Mediasi Locus of Control","type":"article-journal","volume":"5"},"uris":["http://www.mendeley.com/documents/?uuid=5cdc5fb5-0787-4464-a3ac-b7f0e81378c3"]}],"mendeley":{"formattedCitation":"(Pricilla, Yusuf, and Handarini 2024)","plainTextFormattedCitation":"(Pricilla, Yusuf, and Handarini 2024)","previouslyFormattedCitation":"(Pricilla, Yusuf, and Handarini 2024)"},"properties":{"noteIndex":0},"schema":"https://github.com/citation-style-language/schema/raw/master/csl-citation.json"}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(Pricilla, Yusuf, and Handarini 2024)</w:t>
      </w:r>
      <w:r w:rsidRPr="0091791D">
        <w:rPr>
          <w:rFonts w:ascii="Arial" w:hAnsi="Arial" w:cs="Arial"/>
          <w:sz w:val="20"/>
          <w:szCs w:val="20"/>
          <w:lang w:val="id-ID"/>
        </w:rPr>
        <w:fldChar w:fldCharType="end"/>
      </w:r>
      <w:r w:rsidRPr="0091791D">
        <w:rPr>
          <w:rFonts w:ascii="Arial" w:hAnsi="Arial" w:cs="Arial"/>
          <w:sz w:val="20"/>
          <w:szCs w:val="20"/>
          <w:lang w:val="id-ID"/>
        </w:rPr>
        <w:t xml:space="preserve">. </w:t>
      </w:r>
      <w:r>
        <w:rPr>
          <w:rFonts w:ascii="Arial" w:hAnsi="Arial" w:cs="Arial"/>
          <w:sz w:val="20"/>
          <w:szCs w:val="20"/>
          <w:lang w:val="id-ID"/>
        </w:rPr>
        <w:t>A</w:t>
      </w:r>
      <w:r w:rsidRPr="0091791D">
        <w:rPr>
          <w:rFonts w:ascii="Arial" w:hAnsi="Arial" w:cs="Arial"/>
          <w:sz w:val="20"/>
          <w:szCs w:val="20"/>
          <w:lang w:val="id-ID"/>
        </w:rPr>
        <w:t xml:space="preserve">ccording to </w:t>
      </w:r>
      <w:r w:rsidRPr="0091791D">
        <w:rPr>
          <w:rFonts w:ascii="Arial" w:hAnsi="Arial" w:cs="Arial"/>
          <w:sz w:val="20"/>
          <w:szCs w:val="20"/>
          <w:lang w:val="id-ID"/>
        </w:rPr>
        <w:fldChar w:fldCharType="begin" w:fldLock="1"/>
      </w:r>
      <w:r w:rsidR="00F52253">
        <w:rPr>
          <w:rFonts w:ascii="Arial" w:hAnsi="Arial" w:cs="Arial"/>
          <w:sz w:val="20"/>
          <w:szCs w:val="20"/>
          <w:lang w:val="id-ID"/>
        </w:rPr>
        <w:instrText>ADDIN CSL_CITATION {"citationItems":[{"id":"ITEM-1","itemData":{"abstract":"University students' financial behavior has been greatly impacted by the growing integration of digital technologies like e-wallets, mobile banking, and online shopping platforms, which frequently encourage impulsive spending. This study examines the effects of financial attitude, financial knowledge, income, and locus of control on students' financial conduct, guided by the Theory of Planned Behavior. A total of 100 students were selected using the Slovin formula from three universities in Purwokerto consisting of public, private, and Islamic institutions. Data analysis was conducted using Structural Equation Modeling (SEM) with SmartPLS 3.0. The results reveal that financial attitude, financial knowledge, and locus of control significantly influence financial behavior, while income does not show a notable effect. These results provide educators and policymakers with useful guidance when creating focused financial education initiatives that foster responsible financial attitudes, increase financial knowledge, and students' internal locus of control.","author":[{"dropping-particle":"","family":"Sinta","given":"Dwi","non-dropping-particle":"","parse-names":false,"suffix":""},{"dropping-particle":"","family":"Yustina","given":"Ika","non-dropping-particle":"","parse-names":false,"suffix":""},{"dropping-particle":"","family":"Tubastuvi","given":"Naelati","non-dropping-particle":"","parse-names":false,"suffix":""},{"dropping-particle":"","family":"Dkk","given":"","non-dropping-particle":"","parse-names":false,"suffix":""}],"container-title":"South Asian Journal of Social Studies and Economics","id":"ITEM-1","issue":"7","issued":{"date-parts":[["2025"]]},"page":"175-188","title":"Financial Behavior of University Students : A Theory of Planned Behavior Approach Through Cognitive , Socioeconomic , and Psychological Lenses","type":"article-journal","volume":"22"},"uris":["http://www.mendeley.com/documents/?uuid=ed6ee58c-c739-4cc1-9d56-644cb638bebc"]}],"mendeley":{"formattedCitation":"(Sinta et al. 2025)","manualFormatting":"Sinta and Yustina, (2025)","plainTextFormattedCitation":"(Sinta et al. 2025)","previouslyFormattedCitation":"(Sinta et al. 2025)"},"properties":{"noteIndex":0},"schema":"https://github.com/citation-style-language/schema/raw/master/csl-citation.json"}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Sinta and Yustina</w:t>
      </w:r>
      <w:r>
        <w:rPr>
          <w:rFonts w:ascii="Arial" w:hAnsi="Arial" w:cs="Arial"/>
          <w:noProof/>
          <w:sz w:val="20"/>
          <w:szCs w:val="20"/>
          <w:lang w:val="id-ID"/>
        </w:rPr>
        <w:t>,</w:t>
      </w:r>
      <w:r w:rsidRPr="0091791D">
        <w:rPr>
          <w:rFonts w:ascii="Arial" w:hAnsi="Arial" w:cs="Arial"/>
          <w:noProof/>
          <w:sz w:val="20"/>
          <w:szCs w:val="20"/>
          <w:lang w:val="id-ID"/>
        </w:rPr>
        <w:t xml:space="preserve"> (2025)</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t>
      </w:r>
      <w:r>
        <w:rPr>
          <w:rFonts w:ascii="Arial" w:hAnsi="Arial" w:cs="Arial"/>
          <w:sz w:val="20"/>
          <w:szCs w:val="20"/>
          <w:lang w:val="id-ID"/>
        </w:rPr>
        <w:t xml:space="preserve">financial attitude </w:t>
      </w:r>
      <w:r w:rsidRPr="0091791D">
        <w:rPr>
          <w:rFonts w:ascii="Arial" w:hAnsi="Arial" w:cs="Arial"/>
          <w:sz w:val="20"/>
          <w:szCs w:val="20"/>
          <w:lang w:val="id-ID"/>
        </w:rPr>
        <w:t xml:space="preserve">describes how a person tends to respond to financial situations influenced by their beliefs and experiences. Financial attitudes are reflected in how an individual views the importance of adopting healthy financial habits, and financial attitudes are formed from a young age. According to </w:t>
      </w:r>
      <w:r w:rsidRPr="0091791D">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1991)","manualFormatting":"Ajzen (1991)","plainTextFormattedCitation":"(Ajzen 1991)","previouslyFormattedCitation":"(Ajzen 1991)"},"properties":{"noteIndex":0},"schema":"https://github.com/citation-style-language/schema/raw/master/csl-citation.json"}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 xml:space="preserve">Ajzen </w:t>
      </w:r>
      <w:r>
        <w:rPr>
          <w:rFonts w:ascii="Arial" w:hAnsi="Arial" w:cs="Arial"/>
          <w:noProof/>
          <w:sz w:val="20"/>
          <w:szCs w:val="20"/>
          <w:lang w:val="id-ID"/>
        </w:rPr>
        <w:t>(</w:t>
      </w:r>
      <w:r w:rsidRPr="0091791D">
        <w:rPr>
          <w:rFonts w:ascii="Arial" w:hAnsi="Arial" w:cs="Arial"/>
          <w:noProof/>
          <w:sz w:val="20"/>
          <w:szCs w:val="20"/>
          <w:lang w:val="id-ID"/>
        </w:rPr>
        <w:t>1991)</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t>
      </w:r>
      <w:r>
        <w:rPr>
          <w:rFonts w:ascii="Arial" w:hAnsi="Arial" w:cs="Arial"/>
          <w:sz w:val="20"/>
          <w:szCs w:val="20"/>
          <w:lang w:val="id-ID"/>
        </w:rPr>
        <w:t>t</w:t>
      </w:r>
      <w:r w:rsidRPr="0091791D">
        <w:rPr>
          <w:rFonts w:ascii="Arial" w:hAnsi="Arial" w:cs="Arial"/>
          <w:sz w:val="20"/>
          <w:szCs w:val="20"/>
          <w:lang w:val="id-ID"/>
        </w:rPr>
        <w:t xml:space="preserve">he TPB explains the intentions and goals underlying a person's behavior. Financial attitudes are a factor influencing behavioral intentions, including financial aspects. When MSMEs have a more positive outlook, they make better financial decisions. This aligns with the findings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{"citationItems":[{"id":"ITEM-1","itemData":{"abstract":"The purpose of this research is to analyze the influence of financial knowledge and financial attitude on financial behavior in Micro, Small and Medium Enterprises of Embroidery in Tasikmalaya City. This research was conducted with descriptive and quantitative methods using secondary data. The sample in this study was 100 Embroidery SMEs in Tasikmalaya City with purposive sampling method. Analysis of the data used in this study is multiple linear regression. The results showed that partially financial knowledge and financial attitude had a significant positive effect on financial behavior. And simultaneously financial knowledge and financial attitude have a significant effect on financial behavior with a coefficient of determination of 0.532 or 53.2%. This means that the Embroidery MSMEs in the City of Tasikmalaya need to improve their financial knowledge and financial attitude in order to improve financial behavior.","author":[{"dropping-particle":"","family":"Oktaviani, Nita Fuziah.","given":"Dkk","non-dropping-particle":"","parse-names":false,"suffix":""}],"container-title":"E-Journal ECOBISMA (Jurnal Ekonomi, Bisnis dan Manajemen)","id":"ITEM-1","issue":"1","issued":{"date-parts":[["2023"]]},"page":"35-42","title":"Identifikasi Pengaruh Financial Knowledge, dan Financial Attitude Terhadap Financial Behavior Pada UMKM Bordir Di Kota Tasikmalaya","type":"article-journal","volume":"10"},"uris":["http://www.mendeley.com/documents/?uuid=d5138f56-b94a-4f27-a773-0680f26bfaed"]},{"id":"ITEM-2","itemData":{"DOI":"10.14710/dijb.5.1.2022.33-46","ISSN":"2580-4987","abstract":"This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behavior","type":"article-journal","volume":"5"},"uris":["http://www.mendeley.com/documents/?uuid=8cc55b9e-d914-3882-acdb-a35224fc8291"]}],"mendeley":{"formattedCitation":"(Oktaviani, Nita Fuziah. 2023; Widyakto, Liyana, and Rinawati 2022)","plainTextFormattedCitation":"(Oktaviani, Nita Fuziah. 2023; Widyakto, Liyana, and Rinawati 2022)","previouslyFormattedCitation":"(Oktaviani, Nita Fuziah. 2023; Widyakto, Liyana, and Rinawati 2022)"},"properties":{"noteIndex":0},"schema":"https://github.com/citation-style-language/schema/raw/master/csl-citation.json"}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(Oktaviani, Nita Fuziah. 2023; Widyakto, Liyana, and Rinawati 2022)</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which states that financial attitudes have a positive influence on financial behavior.</w:t>
      </w:r>
    </w:p>
    <w:p w14:paraId="5DB188AA" w14:textId="77777777" w:rsidR="00994ADB" w:rsidRDefault="00994ADB" w:rsidP="00910524">
      <w:pPr>
        <w:spacing w:after="0"/>
        <w:rPr>
          <w:rFonts w:ascii="Arial" w:hAnsi="Arial"/>
          <w:b/>
          <w:bCs/>
          <w:sz w:val="20"/>
          <w:szCs w:val="20"/>
          <w:lang w:val="id-ID"/>
        </w:rPr>
      </w:pPr>
    </w:p>
    <w:p w14:paraId="3A07A56E" w14:textId="56A3DF36" w:rsidR="001001D5" w:rsidRPr="00B51DD5" w:rsidRDefault="001001D5" w:rsidP="00910524">
      <w:pPr>
        <w:spacing w:after="0"/>
        <w:rPr>
          <w:rFonts w:ascii="Arial" w:hAnsi="Arial"/>
          <w:sz w:val="20"/>
          <w:szCs w:val="20"/>
          <w:lang w:val="id-ID"/>
        </w:rPr>
      </w:pPr>
      <w:r w:rsidRPr="00B51DD5">
        <w:rPr>
          <w:rFonts w:ascii="Arial" w:hAnsi="Arial"/>
          <w:sz w:val="20"/>
          <w:szCs w:val="20"/>
          <w:lang w:val="id-ID"/>
        </w:rPr>
        <w:t xml:space="preserve">H2: Financial </w:t>
      </w:r>
      <w:r w:rsidR="00B51DD5" w:rsidRPr="00B51DD5">
        <w:rPr>
          <w:rFonts w:ascii="Arial" w:hAnsi="Arial"/>
          <w:sz w:val="20"/>
          <w:szCs w:val="20"/>
          <w:lang w:val="id-ID"/>
        </w:rPr>
        <w:t>A</w:t>
      </w:r>
      <w:r w:rsidRPr="00B51DD5">
        <w:rPr>
          <w:rFonts w:ascii="Arial" w:hAnsi="Arial"/>
          <w:sz w:val="20"/>
          <w:szCs w:val="20"/>
          <w:lang w:val="id-ID"/>
        </w:rPr>
        <w:t xml:space="preserve">ttitude has a positive effect on the </w:t>
      </w:r>
      <w:r w:rsidR="00B51DD5" w:rsidRPr="00B51DD5">
        <w:rPr>
          <w:rFonts w:ascii="Arial" w:hAnsi="Arial"/>
          <w:sz w:val="20"/>
          <w:szCs w:val="20"/>
          <w:lang w:val="id-ID"/>
        </w:rPr>
        <w:t>F</w:t>
      </w:r>
      <w:r w:rsidRPr="00B51DD5">
        <w:rPr>
          <w:rFonts w:ascii="Arial" w:hAnsi="Arial"/>
          <w:sz w:val="20"/>
          <w:szCs w:val="20"/>
          <w:lang w:val="id-ID"/>
        </w:rPr>
        <w:t xml:space="preserve">inancial </w:t>
      </w:r>
      <w:r w:rsidR="00B51DD5" w:rsidRPr="00B51DD5">
        <w:rPr>
          <w:rFonts w:ascii="Arial" w:hAnsi="Arial"/>
          <w:sz w:val="20"/>
          <w:szCs w:val="20"/>
          <w:lang w:val="id-ID"/>
        </w:rPr>
        <w:t>B</w:t>
      </w:r>
      <w:r w:rsidRPr="00B51DD5">
        <w:rPr>
          <w:rFonts w:ascii="Arial" w:hAnsi="Arial"/>
          <w:sz w:val="20"/>
          <w:szCs w:val="20"/>
          <w:lang w:val="id-ID"/>
        </w:rPr>
        <w:t>ehavior</w:t>
      </w:r>
    </w:p>
    <w:p w14:paraId="3B2C0CFF" w14:textId="77777777" w:rsidR="001001D5" w:rsidRPr="001001D5" w:rsidRDefault="001001D5" w:rsidP="00910524">
      <w:pPr>
        <w:spacing w:after="0"/>
        <w:rPr>
          <w:rFonts w:ascii="Arial" w:hAnsi="Arial"/>
          <w:b/>
          <w:bCs/>
          <w:sz w:val="20"/>
          <w:szCs w:val="20"/>
          <w:lang w:val="id-ID"/>
        </w:rPr>
      </w:pPr>
    </w:p>
    <w:p w14:paraId="62280C59" w14:textId="31F10583" w:rsidR="00910524" w:rsidRDefault="00910524" w:rsidP="00910524">
      <w:pPr>
        <w:spacing w:after="0"/>
        <w:rPr>
          <w:rFonts w:ascii="Arial" w:hAnsi="Arial"/>
          <w:b/>
          <w:bCs/>
          <w:sz w:val="22"/>
          <w:szCs w:val="22"/>
          <w:lang w:val="id-ID"/>
        </w:rPr>
      </w:pPr>
      <w:r>
        <w:rPr>
          <w:rFonts w:ascii="Arial" w:hAnsi="Arial"/>
          <w:b/>
          <w:bCs/>
          <w:sz w:val="22"/>
          <w:szCs w:val="22"/>
          <w:lang w:val="id-ID"/>
        </w:rPr>
        <w:t>2.4 Lifestyle</w:t>
      </w:r>
    </w:p>
    <w:p w14:paraId="51C42CB1" w14:textId="77777777" w:rsidR="00994ADB" w:rsidRPr="00994ADB" w:rsidRDefault="00994ADB" w:rsidP="00910524">
      <w:pPr>
        <w:spacing w:after="0"/>
        <w:rPr>
          <w:rFonts w:ascii="Arial" w:hAnsi="Arial"/>
          <w:b/>
          <w:bCs/>
          <w:sz w:val="20"/>
          <w:szCs w:val="20"/>
          <w:lang w:val="id-ID"/>
        </w:rPr>
      </w:pPr>
    </w:p>
    <w:p w14:paraId="7B95F817" w14:textId="5173F7D3" w:rsidR="00994ADB" w:rsidRDefault="00994ADB" w:rsidP="00994ADB">
      <w:pPr>
        <w:spacing w:after="0"/>
        <w:jc w:val="both"/>
        <w:rPr>
          <w:rFonts w:ascii="Arial" w:hAnsi="Arial" w:cs="Arial"/>
          <w:sz w:val="20"/>
          <w:szCs w:val="20"/>
          <w:lang w:val="id-ID"/>
        </w:rPr>
      </w:pPr>
      <w:r w:rsidRPr="0091791D">
        <w:rPr>
          <w:rFonts w:ascii="Arial" w:hAnsi="Arial" w:cs="Arial"/>
          <w:sz w:val="20"/>
          <w:szCs w:val="20"/>
          <w:lang w:val="id-ID"/>
        </w:rPr>
        <w:t xml:space="preserve">Lifestyle is the way a person lives their life in various aspects, starting from the activities they do, the things they are interested in, to the views they hold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Akuntansi","id":"ITEM-1","issue":"2","issued":{"date-parts":[["2022"]]},"page":"86-99","title":"Pengaruh Literasi Keuangan, Gaya Hidup dan Lingkungan Sosial Terhadap Perilaku Keuangan Mahasiswa","type":"article-journal","volume":"2"},"uris":["http://www.mendeley.com/documents/?uuid=29c88fd5-4a1d-4441-90f3-ab5e7ec785e6"]}],"mendeley":{"formattedCitation":"(Kenale Sada 2022)","plainTextFormattedCitation":"(Kenale Sada 2022)","previouslyFormattedCitation":"(Kenale Sada 2022)"},"properties":{"noteIndex":0},"schema":"https://github.com/citation-style-language/schema/raw/master/csl-citation.json"}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(Kenale Sada 2022)</w:t>
      </w:r>
      <w:r w:rsidRPr="0091791D">
        <w:rPr>
          <w:rFonts w:ascii="Arial" w:hAnsi="Arial" w:cs="Arial"/>
          <w:sz w:val="20"/>
          <w:szCs w:val="20"/>
          <w:lang w:val="id-ID"/>
        </w:rPr>
        <w:fldChar w:fldCharType="end"/>
      </w:r>
      <w:r w:rsidRPr="0091791D">
        <w:rPr>
          <w:rFonts w:ascii="Arial" w:hAnsi="Arial" w:cs="Arial"/>
          <w:sz w:val="20"/>
          <w:szCs w:val="20"/>
          <w:lang w:val="id-ID"/>
        </w:rPr>
        <w:t xml:space="preserve">. According to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Business","id":"ITEM-1","issue":"1","issued":{"date-parts":[["2022","6","30"]]},"page":"33-46","publisher":"Institute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behavior","type":"article-journal","volume":"5"},"uris":["http://www.mendeley.com/documents/?uuid=8cc55b9e-d914-3882-acdb-a35224fc8291"]}],"mendeley":{"formattedCitation":"(Widyakto, Liyana, and Rinawati 2022)","manualFormatting":"Widyakto, Liyana, and Rinawati (2022)","plainTextFormattedCitation":"(Widyakto, Liyana, and Rinawati 2022)","previouslyFormattedCitation":"(Widyakto, Liyana, and Rinawati 2022)"},"properties":{"noteIndex":0},"schema":"https://github.com/citation-style-language/schema/raw/master/csl-citation.json"}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Widyakto, Liyana, and Rinawati (2022)</w:t>
      </w:r>
      <w:r w:rsidRPr="0091791D">
        <w:rPr>
          <w:rFonts w:ascii="Arial" w:hAnsi="Arial" w:cs="Arial"/>
          <w:sz w:val="20"/>
          <w:szCs w:val="20"/>
          <w:lang w:val="id-ID"/>
        </w:rPr>
        <w:fldChar w:fldCharType="end"/>
      </w:r>
      <w:r>
        <w:rPr>
          <w:rFonts w:ascii="Arial" w:hAnsi="Arial" w:cs="Arial"/>
          <w:sz w:val="20"/>
          <w:szCs w:val="20"/>
          <w:lang w:val="id-ID"/>
        </w:rPr>
        <w:t>, l</w:t>
      </w:r>
      <w:r w:rsidRPr="0091791D">
        <w:rPr>
          <w:rFonts w:ascii="Arial" w:hAnsi="Arial" w:cs="Arial"/>
          <w:sz w:val="20"/>
          <w:szCs w:val="20"/>
          <w:lang w:val="id-ID"/>
        </w:rPr>
        <w:t xml:space="preserve">ifestyle is closely related to all of a person's life activities and environment, which influences a person's financial behavior.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1991)","manualFormatting":"Ajzen (1991)","plainTextFormattedCitation":"(Ajzen 1991)","previouslyFormattedCitation":"(Ajzen 1991)"},"properties":{"noteIndex":0},"schema":"https://github.com/citation-style-language/schema/raw/master/csl-citation.json"}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Ajzen (1991)</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t>
      </w:r>
      <w:r>
        <w:rPr>
          <w:rFonts w:ascii="Arial" w:hAnsi="Arial" w:cs="Arial"/>
          <w:sz w:val="20"/>
          <w:szCs w:val="20"/>
          <w:lang w:val="id-ID"/>
        </w:rPr>
        <w:t xml:space="preserve">according to the Theory of Planned Behavior, with its attitude toward behavior as a factor, </w:t>
      </w:r>
      <w:r w:rsidRPr="0091791D">
        <w:rPr>
          <w:rFonts w:ascii="Arial" w:hAnsi="Arial" w:cs="Arial"/>
          <w:sz w:val="20"/>
          <w:szCs w:val="20"/>
          <w:lang w:val="id-ID"/>
        </w:rPr>
        <w:t xml:space="preserve">beliefs about the consequences of an action and assessments of the behavior itself are important factors. Lifestyle essentially reflects how a person manages their time and finances, encompassing how they live their lives, </w:t>
      </w:r>
      <w:r w:rsidR="00887516">
        <w:rPr>
          <w:rFonts w:ascii="Arial" w:hAnsi="Arial" w:cs="Arial"/>
          <w:sz w:val="20"/>
          <w:szCs w:val="20"/>
          <w:lang w:val="id-ID"/>
        </w:rPr>
        <w:t>as well as their budgeting and daily routines</w:t>
      </w:r>
      <w:r w:rsidR="00572D8A">
        <w:rPr>
          <w:rFonts w:ascii="Arial" w:hAnsi="Arial" w:cs="Arial"/>
          <w:sz w:val="20"/>
          <w:szCs w:val="20"/>
          <w:lang w:val="id-ID"/>
        </w:rPr>
        <w:t xml:space="preserve"> </w:t>
      </w:r>
      <w:r>
        <w:rPr>
          <w:rFonts w:ascii="Arial" w:hAnsi="Arial" w:cs="Arial"/>
          <w:sz w:val="20"/>
          <w:szCs w:val="20"/>
          <w:lang w:val="id-ID"/>
        </w:rPr>
        <w:t>(</w:t>
      </w:r>
      <w:r w:rsidRPr="0091791D">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Akuntansi","id":"ITEM-1","issue":"2","issued":{"date-parts":[["2022"]]},"page":"86-99","title":"Pengaruh Literasi Keuangan, Gaya Hidup dan Lingkungan Sosial Terhadap Perilaku Keuangan Mahasiswa","type":"article-journal","volume":"2"},"uris":["http://www.mendeley.com/documents/?uuid=29c88fd5-4a1d-4441-90f3-ab5e7ec785e6"]}],"mendeley":{"formattedCitation":"(Kenale Sada 2022)","manualFormatting":"Kenale Sada, 2022)","plainTextFormattedCitation":"(Kenale Sada 2022)","previouslyFormattedCitation":"(Kenale Sada 2022)"},"properties":{"noteIndex":0},"schema":"https://github.com/citation-style-language/schema/raw/master/csl-citation.json"}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Kenale Sada</w:t>
      </w:r>
      <w:r>
        <w:rPr>
          <w:rFonts w:ascii="Arial" w:hAnsi="Arial" w:cs="Arial"/>
          <w:noProof/>
          <w:sz w:val="20"/>
          <w:szCs w:val="20"/>
          <w:lang w:val="id-ID"/>
        </w:rPr>
        <w:t>,</w:t>
      </w:r>
      <w:r w:rsidRPr="0091791D">
        <w:rPr>
          <w:rFonts w:ascii="Arial" w:hAnsi="Arial" w:cs="Arial"/>
          <w:noProof/>
          <w:sz w:val="20"/>
          <w:szCs w:val="20"/>
          <w:lang w:val="id-ID"/>
        </w:rPr>
        <w:t xml:space="preserve"> 2022)</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Each individual has their own consumption patterns, and financial behavior is greatly influenced by their lifestyle. A person will behave better financially if they have a better lifestyle. This statement aligns with research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{"citationItems":[{"id":"ITEM-1","itemData":{"DOI":"10.29313/bcsbm.v4i1.11541","abstract":"B It is important for a student to have good financial literacy and financial behavior. This is important to support students' financial intelligence in managing their finances to fulfill their needs. Financial intelligence in the long term, will result in students having wise financial behavior in making the right and correct consumption and not easily influenced by product offerings that tend to place the position of the younger generation as marketing segmentation. That way, students will develop into a generation that is able to control finances properly and correctly which in general will have an impact on the mentality to create the next generation who are anti-corruption. This research is a type of descriptive and verifiative research with quantitative methods. The sampling technique used is representative behavior. The population in this study was Unisba Management students class of 2020 and a sample of 75 people was obtained. The data analysis used is descriptive and verifiative analysis using multiple linear regression analysis, F test, t test, and coefficient of determination. The results of this study show that Financial Literacy partially has a positive and significant effect on Financial Behavior. Lifestyle partially has a positive and significant effect on Financial Behavior however. Then simultaneously Financial Literacy and Lifestyle have a significant effect on the Financial Behavior of Unisba Management students class of 2020.","author":[{"dropping-particle":"","family":"Doni Subagja","given":"","non-dropping-particle":"","parse-names":false,"suffix":""},{"dropping-particle":"","family":"Handri","given":"","non-dropping-particle":"","parse-names":false,"suffix":""}],"container-title":"Bandung Conference Series: Business and Management","id":"ITEM-1","issue":"1","issued":{"date-parts":[["2024"]]},"page":"633-639","title":"Pengaruh Literasi Keuangan dan Gaya Hidup terhadap Perilaku keuangan","type":"article-journal","volume":"4"},"uris":["http://www.mendeley.com/documents/?uuid=f70804c2-c92c-40d7-8cad-053242c54c9d"]},{"id":"ITEM-2","itemData":{"DOI":"10.35957/mdp-sc.v2i2.4392","abstract":"Tujuan dari penelitian ini adalah untuk menguji pengaruh literasi keuangan, pendapatan dan gaya hidup terhadap perilaku keuangan pegawai UMKM Pempek di kota Palembang. Populasi yang digunakan adalah Kecamatan Bukit Kecil, Ilir Timur II, Ilir Barat I, Kalidon dan Sako serta sampel sebanyak 267 pekerja UMKM Pempek. Metode yang digunakan dalam penelitian ini adalah kuantitatif, dimana sampel ditentukan dengan cara probability sampling. Metode analisis data meliputi uji validitas, uji reliabilitas, uji kepastian, analisis multilinier, uji normalitas, uji multikolinearitas, uji heteroskedastisitas, uji t, dan uji f. Hasil penelitian ini menunjukkan bahwa pendidikan keuangan (X1), pendapatan (X2) dan gaya hidup (X3) secara parsial dan simultan berpengaruh terhadap perilaku keuangan (Y) pekerja UMKM Pempek di kota Palembang.","author":[{"dropping-particle":"","family":"Elena","given":"Ester","non-dropping-particle":"","parse-names":false,"suffix":""},{"dropping-particle":"","family":"Cholid","given":"Idham","non-dropping-particle":"","parse-names":false,"suffix":""}],"container-title":"MDP Student Conference","id":"ITEM-2","issue":"2","issued":{"date-parts":[["2023"]]},"page":"560-566","title":"Pengaruh Literasi Keuangan, Pendidikan, Gaya Hidup Terhadap Perilaku Keuangan Pekerja UMKM Palembang","type":"article-journal","volume":"2"},"uris":["http://www.mendeley.com/documents/?uuid=d7c48fa9-171a-4a1e-986f-526678a48d43"]},{"id":"ITEM-3","itemData":{"DOI":"doi.org/jebma.v4n3.4790","abstract":"Pada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(Jemba)","id":"ITEM-3","issue":"3","issued":{"date-parts":[["2024"]]},"page":"14-19","title":"Pengaruh Literasi Keuangan dan Gaya Hidup Terhadap Perilaku Pada Pelaku UMKM Kecamatan Gunungsitoli","type":"article-journal","volume":"4"},"uris":["http://www.mendeley.com/documents/?uuid=04fe5ae9-ea75-4ebb-9767-1afeff700e5d"]}],"mendeley":{"formattedCitation":"(Doni Subagja and Handri 2024; Elena and Cholid 2023; Nduru, Hulu, and Dkk 2024)","manualFormatting":"(Doni Subagja and Handri 2024; Elena and Cholid 2023; Nduru, Hulu, and et al. 2024)","plainTextFormattedCitation":"(Doni Subagja and Handri 2024; Elena and Cholid 2023; Nduru, Hulu, and Dkk 2024)","previouslyFormattedCitation":"(Doni Subagja and Handri 2024; Elena and Cholid 2023; Nduru, Hulu, and Dkk 2024)"},"properties":{"noteIndex":0},"schema":"https://github.com/citation-style-language/schema/raw/master/csl-citation.json"}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(Doni Subagja and Handri 2024; Elena and Cholid 2023; Nduru, Hulu, and et al. 2024)</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which states that lifestyle has a positive influence on financial behavior.</w:t>
      </w:r>
    </w:p>
    <w:p w14:paraId="2B118F0A" w14:textId="77777777" w:rsidR="00994ADB" w:rsidRPr="00B51DD5" w:rsidRDefault="00994ADB" w:rsidP="00910524">
      <w:pPr>
        <w:spacing w:after="0"/>
        <w:rPr>
          <w:rFonts w:ascii="Arial" w:hAnsi="Arial"/>
          <w:b/>
          <w:bCs/>
          <w:sz w:val="20"/>
          <w:szCs w:val="20"/>
          <w:lang w:val="id-ID"/>
        </w:rPr>
      </w:pPr>
    </w:p>
    <w:p w14:paraId="398FA302" w14:textId="5A002BA3" w:rsidR="001001D5" w:rsidRPr="00B51DD5" w:rsidRDefault="001001D5" w:rsidP="00910524">
      <w:pPr>
        <w:spacing w:after="0"/>
        <w:rPr>
          <w:rFonts w:ascii="Arial" w:hAnsi="Arial"/>
          <w:sz w:val="20"/>
          <w:szCs w:val="20"/>
          <w:lang w:val="id-ID"/>
        </w:rPr>
      </w:pPr>
      <w:r w:rsidRPr="00B51DD5">
        <w:rPr>
          <w:rFonts w:ascii="Arial" w:hAnsi="Arial"/>
          <w:sz w:val="20"/>
          <w:szCs w:val="20"/>
          <w:lang w:val="id-ID"/>
        </w:rPr>
        <w:t xml:space="preserve">H3: Lifestyle has a positive effect on the </w:t>
      </w:r>
      <w:r w:rsidR="00B51DD5" w:rsidRPr="00B51DD5">
        <w:rPr>
          <w:rFonts w:ascii="Arial" w:hAnsi="Arial"/>
          <w:sz w:val="20"/>
          <w:szCs w:val="20"/>
          <w:lang w:val="id-ID"/>
        </w:rPr>
        <w:t>F</w:t>
      </w:r>
      <w:r w:rsidRPr="00B51DD5">
        <w:rPr>
          <w:rFonts w:ascii="Arial" w:hAnsi="Arial"/>
          <w:sz w:val="20"/>
          <w:szCs w:val="20"/>
          <w:lang w:val="id-ID"/>
        </w:rPr>
        <w:t xml:space="preserve">inancial </w:t>
      </w:r>
      <w:r w:rsidR="00B51DD5" w:rsidRPr="00B51DD5">
        <w:rPr>
          <w:rFonts w:ascii="Arial" w:hAnsi="Arial"/>
          <w:sz w:val="20"/>
          <w:szCs w:val="20"/>
          <w:lang w:val="id-ID"/>
        </w:rPr>
        <w:t>B</w:t>
      </w:r>
      <w:r w:rsidRPr="00B51DD5">
        <w:rPr>
          <w:rFonts w:ascii="Arial" w:hAnsi="Arial"/>
          <w:sz w:val="20"/>
          <w:szCs w:val="20"/>
          <w:lang w:val="id-ID"/>
        </w:rPr>
        <w:t>ehavior</w:t>
      </w:r>
    </w:p>
    <w:p w14:paraId="01123F99" w14:textId="77777777" w:rsidR="001001D5" w:rsidRPr="001001D5" w:rsidRDefault="001001D5" w:rsidP="00910524">
      <w:pPr>
        <w:spacing w:after="0"/>
        <w:rPr>
          <w:rFonts w:ascii="Arial" w:hAnsi="Arial"/>
          <w:b/>
          <w:bCs/>
          <w:sz w:val="20"/>
          <w:szCs w:val="20"/>
          <w:lang w:val="id-ID"/>
        </w:rPr>
      </w:pPr>
    </w:p>
    <w:p w14:paraId="29799547" w14:textId="656601C0" w:rsidR="00910524" w:rsidRDefault="00910524" w:rsidP="00910524">
      <w:pPr>
        <w:spacing w:after="0"/>
        <w:rPr>
          <w:rFonts w:ascii="Arial" w:hAnsi="Arial"/>
          <w:b/>
          <w:bCs/>
          <w:sz w:val="22"/>
          <w:szCs w:val="22"/>
          <w:lang w:val="id-ID"/>
        </w:rPr>
      </w:pPr>
      <w:r>
        <w:rPr>
          <w:rFonts w:ascii="Arial" w:hAnsi="Arial"/>
          <w:b/>
          <w:bCs/>
          <w:sz w:val="22"/>
          <w:szCs w:val="22"/>
          <w:lang w:val="id-ID"/>
        </w:rPr>
        <w:t>2.5 Financial Inclusion</w:t>
      </w:r>
    </w:p>
    <w:p w14:paraId="7CD45E54" w14:textId="77777777" w:rsidR="00994ADB" w:rsidRPr="00994ADB" w:rsidRDefault="00994ADB" w:rsidP="00910524">
      <w:pPr>
        <w:spacing w:after="0"/>
        <w:rPr>
          <w:rFonts w:ascii="Arial" w:hAnsi="Arial"/>
          <w:b/>
          <w:bCs/>
          <w:sz w:val="20"/>
          <w:szCs w:val="20"/>
          <w:lang w:val="id-ID"/>
        </w:rPr>
      </w:pPr>
    </w:p>
    <w:p w14:paraId="0D05D2FF" w14:textId="56D94CC8" w:rsidR="00994ADB" w:rsidRDefault="00994ADB" w:rsidP="00994ADB">
      <w:pPr>
        <w:spacing w:after="0"/>
        <w:jc w:val="both"/>
        <w:rPr>
          <w:rFonts w:ascii="Arial" w:hAnsi="Arial" w:cs="Arial"/>
          <w:sz w:val="20"/>
          <w:szCs w:val="20"/>
          <w:lang w:val="id-ID"/>
        </w:rPr>
      </w:pPr>
      <w:r w:rsidRPr="005E1216">
        <w:rPr>
          <w:rFonts w:ascii="Arial" w:hAnsi="Arial" w:cs="Arial"/>
          <w:sz w:val="20"/>
          <w:szCs w:val="20"/>
          <w:lang w:val="id-ID"/>
        </w:rPr>
        <w:t>According to</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{"citationItems":[{"id":"ITEM-1","itemData":{"DOI":"10.23887/jiah.v13i3.66803","ISSN":"2089-3310","abstract":"Tujuan dari penelitian ini yaitu menguji literasi keuangan, inklusi keuangan dan perilaku keuangan yang diterapkan oleh pelaku UMKM perempuan di Jambi. Pelaku UMKM dengan gender perempuan, menjadi subjek dari penelitian serta berdomisili di Jambi. Kemudian, sampel dalam penelitian ini sebanyak 167 pelaku UMKM perempuan. Data dihimpun melalui survei daring selama periode tiga bulan. Hasil dari penelitian ini menegaskan bahwa literasi keuangan memiliki dampak positif terhadap inklusi keuangan dan perilaku keuangan, sementara inklusi keuangan juga berpengaruh positif terhadap perilaku keuangan. Lebih lanjut, hasil dari uji hipotesis dalam penelitian ini dapat menjadi alat untuk penetapan strategi dari UMKM dengan pemahaman literasi keuangan dan inklusi keuangan pada kelangsungan bisnis jangka panjang.","author":[{"dropping-particle":"","family":"Usmayanti","given":"Vivi","non-dropping-particle":"","parse-names":false,"suffix":""},{"dropping-particle":"","family":"Kadar","given":"Melani","non-dropping-particle":"","parse-names":false,"suffix":""},{"dropping-particle":"","family":"Saputra","given":"Muhammad Haris","non-dropping-particle":"","parse-names":false,"suffix":""},{"dropping-particle":"","family":"Effiyaldi","given":"","non-dropping-particle":"","parse-names":false,"suffix":""},{"dropping-particle":"","family":"Lie","given":"Kanaya Puspa Kirana","non-dropping-particle":"","parse-names":false,"suffix":""}],"container-title":"Jurnal Ilmiah Akuntansi dan Humanika","id":"ITEM-1","issue":"1","issued":{"date-parts":[["2023"]]},"page":"339-348","title":"Pengaruh Literasi Keuangan, Inklusi Keuangan pada Perilaku Keuangan Pelaku UMKM Perempuan: Studi Kasus di Jambi","type":"article-journal","volume":"11"},"uris":["http://www.mendeley.com/documents/?uuid=b6fae952-b0dc-4736-9c7a-ea4877c64b7e"]}],"mendeley":{"formattedCitation":"(Usmayanti et al. 2023)","manualFormatting":"Usmayanti et al. (2023)","plainTextFormattedCitation":"(Usmayanti et al. 2023)","previouslyFormattedCitation":"(Usmayanti et al.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Usmayanti et al. (2023)</w:t>
      </w:r>
      <w:r w:rsidRPr="005E1216">
        <w:rPr>
          <w:rFonts w:ascii="Arial" w:hAnsi="Arial" w:cs="Arial"/>
          <w:sz w:val="20"/>
          <w:szCs w:val="20"/>
          <w:lang w:val="id-ID"/>
        </w:rPr>
        <w:fldChar w:fldCharType="end"/>
      </w:r>
      <w:r>
        <w:rPr>
          <w:rFonts w:ascii="Arial" w:hAnsi="Arial" w:cs="Arial"/>
          <w:sz w:val="20"/>
          <w:szCs w:val="20"/>
          <w:lang w:val="id-ID"/>
        </w:rPr>
        <w:t>, financial inclusion means that everyone has the same access to financial services</w:t>
      </w:r>
      <w:r w:rsidRPr="005E1216">
        <w:rPr>
          <w:rFonts w:ascii="Arial" w:hAnsi="Arial" w:cs="Arial"/>
          <w:sz w:val="20"/>
          <w:szCs w:val="20"/>
          <w:lang w:val="id-ID"/>
        </w:rPr>
        <w:t xml:space="preserve">. </w:t>
      </w:r>
      <w:r>
        <w:rPr>
          <w:rFonts w:ascii="Arial" w:hAnsi="Arial" w:cs="Arial"/>
          <w:sz w:val="20"/>
          <w:szCs w:val="20"/>
          <w:lang w:val="id-ID"/>
        </w:rPr>
        <w:t xml:space="preserve">Financial inclusion focuses on the accessibility and suitability of service ti the needs of the community in order to achieve prosperity </w:t>
      </w:r>
      <w:r>
        <w:rPr>
          <w:rFonts w:ascii="Arial" w:hAnsi="Arial" w:cs="Arial"/>
          <w:sz w:val="20"/>
          <w:szCs w:val="20"/>
          <w:lang w:val="id-ID"/>
        </w:rPr>
        <w:fldChar w:fldCharType="begin" w:fldLock="1"/>
      </w:r>
      <w:r w:rsidR="00F52253">
        <w:rPr>
          <w:rFonts w:ascii="Arial" w:hAnsi="Arial" w:cs="Arial"/>
          <w:sz w:val="20"/>
          <w:szCs w:val="20"/>
          <w:lang w:val="id-ID"/>
        </w:rPr>
        <w:instrText>ADDIN CSL_CITATION {"citationItems":[{"id":"ITEM-1","itemData":{"DOI":"10.20473/ajim.v5i1.53990","abstract":"The growth of micro, small, and medium-sized enterprises (MSMEs) is critical to Indonesia's present economic development. This study has the purpose of examining how financial literacy, financial inclusion, and access to capital affect the performance of MSMEs in the Banyumas area. The performance of MSMEs is the dependent variable in this study, and the independent factors are financial literacy, financial inclusion, and access to finance. This study used partial Least Squares (PLS) to handle data in this work. Purposive sampling procedures were employed to select 127 MSMEs from a total of 8,559 MSMEs in the Banyumas Regency as research participants. The study's main findings of the relationship between the three variables of financial literacy, financial inclusion, and access to capital on MSME performance show that these three variables significantly influence MSME performance, both partially and simultaneously. As a result, MSMEs with a high degree of financial competence, simple access to finance, and suitable access to capital would improve MSMEs' performance in an area, resulting in the growth of the enterprises they manage. This research found that the financial literacy level of Banyumas MSMEs is quite high, available financial inclusion is easily accessible and sufficient access to capital can help MSMEs to improve their performance so that they can increase the development of the businesses they run.","author":[{"dropping-particle":"","family":"Tubastuvi","given":"Naelati","non-dropping-particle":"","parse-names":false,"suffix":""},{"dropping-particle":"","family":"Nur Ainun","given":"Rania","non-dropping-particle":"","parse-names":false,"suffix":""},{"dropping-particle":"","family":"Purwidianti","given":"Wida","non-dropping-particle":"","parse-names":false,"suffix":""},{"dropping-particle":"","family":"Zamakhsyari","given":"Luthfi","non-dropping-particle":"","parse-names":false,"suffix":""}],"container-title":"Airlangga Journal of Innovation Management","id":"ITEM-1","issue":"1","issued":{"date-parts":[["2024"]]},"page":"1-16","title":"Enhancing MSME: Exploring the Relationship between Financial Literacy, Financial Inclusion, and Capital Access to Improve Performance","type":"article-journal","volume":"5"},"uris":["http://www.mendeley.com/documents/?uuid=585e9f66-dc6e-4ed6-b1ed-02841fa63499"]}],"mendeley":{"formattedCitation":"(Tubastuvi et al. 2024)","plainTextFormattedCitation":"(Tubastuvi et al. 2024)","previouslyFormattedCitation":"(Tubastuvi et al. 2024)"},"properties":{"noteIndex":0},"schema":"https://github.com/citation-style-language/schema/raw/master/csl-citation.json"}</w:instrText>
      </w:r>
      <w:r>
        <w:rPr>
          <w:rFonts w:ascii="Arial" w:hAnsi="Arial" w:cs="Arial"/>
          <w:sz w:val="20"/>
          <w:szCs w:val="20"/>
          <w:lang w:val="id-ID"/>
        </w:rPr>
        <w:fldChar w:fldCharType="separate"/>
      </w:r>
      <w:r w:rsidRPr="00A11879">
        <w:rPr>
          <w:rFonts w:ascii="Arial" w:hAnsi="Arial" w:cs="Arial"/>
          <w:noProof/>
          <w:sz w:val="20"/>
          <w:szCs w:val="20"/>
          <w:lang w:val="id-ID"/>
        </w:rPr>
        <w:t>(Tubastuvi et al. 2024)</w:t>
      </w:r>
      <w:r>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By opening wider access to financial products for everyone, we can narrow</w:t>
      </w:r>
      <w:r>
        <w:rPr>
          <w:rFonts w:ascii="Arial" w:hAnsi="Arial" w:cs="Arial"/>
          <w:sz w:val="20"/>
          <w:szCs w:val="20"/>
          <w:lang w:val="id-ID"/>
        </w:rPr>
        <w:t xml:space="preserve"> the disparity between wealth and poverty</w:t>
      </w:r>
      <w:r w:rsidRPr="005E1216">
        <w:rPr>
          <w:rFonts w:ascii="Arial" w:hAnsi="Arial" w:cs="Arial"/>
          <w:sz w:val="20"/>
          <w:szCs w:val="20"/>
          <w:lang w:val="id-ID"/>
        </w:rPr>
        <w:t xml:space="preserve">, spur more significant economic growth, and raise the </w:t>
      </w:r>
      <w:r>
        <w:rPr>
          <w:rFonts w:ascii="Arial" w:hAnsi="Arial" w:cs="Arial"/>
          <w:sz w:val="20"/>
          <w:szCs w:val="20"/>
          <w:lang w:val="id-ID"/>
        </w:rPr>
        <w:t>overall standard of living of the community (</w:t>
      </w:r>
      <w:r w:rsidRPr="005E1216">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{"citationItems":[{"id":"ITEM-1","itemData":{"DOI":"10.22441/indikator.v8i2.26780","ISSN":"2598-6783","abstract":"This project is to gather empirical data on the topic to gain a better understanding of how financial technology, or Fintech, affects the financial behavior of micro, small, and medium-sized firms (MSMEs). 110 MSMEs spread over West Jakarta made up the sample in 2023. As part of the data gathering method, a random sample questionnaire with a 5-point Likert scale was created using the online tool Google Forms. The Structural Equation Modeling (SEM) model was applied to the data using Partial Least Squares (PLS) software. The results of the study show that financial inclusion and financial technology (Fintech) have a positive influence on MSMEs' financial behavior. Financial technology, or Fintech, may function as a mediator and positively influence MSMEs' financial behavior by promoting broader financial inclusion. This information will be useful to financial institutions, relevant governments, entrepreneurs, and business support organizations that aim to improve the financial behavior and practices of MSMEs. The significance of programs intended to promote good financial conduct, expand financial inclusion, and educate the public about the advantages of fintech in order to enable MSMEs to adopt more responsible financial practices.","author":[{"dropping-particle":"","family":"Huda","given":"Nurrizal","non-dropping-particle":"","parse-names":false,"suffix":""},{"dropping-particle":"","family":"Risman","given":"Asep","non-dropping-particle":"","parse-names":false,"suffix":""}],"container-title":"Indikator: Jurnal Ilmiah Manajemen dan Bisnis","id":"ITEM-1","issue":"2","issued":{"date-parts":[["2024"]]},"page":"19-29","title":"The Behavioral Finance of MSMEs: Financial Inclusion and Financial Technology","type":"article-journal","volume":"8"},"uris":["http://www.mendeley.com/documents/?uuid=7fa96ce2-661b-4328-af0c-0a1b62efc957"]}],"mendeley":{"formattedCitation":"(Huda and Risman 2024)","manualFormatting":"Huda and Risman 2024)","plainTextFormattedCitation":"(Huda and Risman 2024)","previouslyFormattedCitation":"(Huda and Risman 2024)"},"properties":{"noteIndex":0},"schema":"https://github.com/citation-style-language/schema/raw/master/csl-citation.json"}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Huda and Risman 2024)</w:t>
      </w:r>
      <w:r w:rsidRPr="005E1216">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 xml:space="preserve">Financial management in MSMEs marks an important shift from individual financial behavior to business financial behavior, </w:t>
      </w:r>
      <w:r>
        <w:rPr>
          <w:rFonts w:ascii="Arial" w:hAnsi="Arial" w:cs="Arial"/>
          <w:sz w:val="20"/>
          <w:szCs w:val="20"/>
          <w:lang w:val="id-ID"/>
        </w:rPr>
        <w:t>particularly</w:t>
      </w:r>
      <w:r w:rsidRPr="005E1216">
        <w:rPr>
          <w:rFonts w:ascii="Arial" w:hAnsi="Arial" w:cs="Arial"/>
          <w:sz w:val="20"/>
          <w:szCs w:val="20"/>
          <w:lang w:val="id-ID"/>
        </w:rPr>
        <w:t xml:space="preserve"> MSMEs, which is reflected in various financial decisions</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{"citationItems":[{"id":"ITEM-1","itemData":{"DOI":"10.14414/tiar.v13i1.3213","ISSN":"2086-3802","abstract":"This study aims to determine empirical evidence of the effect of financial inclusion and financial technology (fintech) on the behavioral finance of MSMEs. This study uses a quantitative method with a positivist paradigm approach. The population of this study is all MSMEs in Indonesia. The sample used in this study is 205 respondents (MSME owners) from all over Indonesia. Sampling is carried out using a random technique. Data collection is carried out by distributing questionnaires, both manually and online using Google Forms, and is measured using a 5-point Likert scale. The data processing is carried out using Partial Least Square (PLS) software with a Structural Equation Modeling (SEM) model. The results of this study show that financial inclusion and financial technology (fintech) have a direct positive effect on the behavioral finance of MSMEs. Financial technology (fintech) can mediate and increase the effect of financial inclusion on the behavioral finance of MSMEs.","author":[{"dropping-particle":"","family":"Risman","given":"Asep","non-dropping-particle":"","parse-names":false,"suffix":""},{"dropping-particle":"","family":"Ali","given":"Anees Janee","non-dropping-particle":"","parse-names":false,"suffix":""},{"dropping-particle":"","family":"Soelton","given":"Mochamad","non-dropping-particle":"","parse-names":false,"suffix":""},{"dropping-particle":"","family":"Siswanti","given":"Indra","non-dropping-particle":"","parse-names":false,"suffix":""}],"container-title":"The Indonesian Accounting Review","id":"ITEM-1","issue":"1","issued":{"date-parts":[["2023"]]},"page":"91-101","title":"The behavioral finance of MSMEs in the advancement of financial inclusion and financial technology (Fintech)","type":"article-journal","volume":"13"},"uris":["http://www.mendeley.com/documents/?uuid=140ad8ba-9816-4118-a5a3-5ef7cc984eda"]}],"mendeley":{"formattedCitation":"(Risman et al. 2023)","plainTextFormattedCitation":"(Risman et al. 2023)","previouslyFormattedCitation":"(Risman et al.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(Risman et al. 2023)</w:t>
      </w:r>
      <w:r w:rsidRPr="005E1216">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Based on the Theory of Planned Behavior, financial inclusion is an external factor that can increase the confidence of MSMEs in the ease of accessing financial services, thereby encouraging changes in financial behavior</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{"citationItems":[{"id":"ITEM-1","itemData":{"DOI":"10.38035/dijefa.v5i2.2660","ISSN":"2721-3021","abstract":"This research aims to find empirical evidence of influence digital finance, managerial biases, and financial literacy on the MSMEs financial behavior. The population of this research is all MSMEs in DKI Jakarta. The sample used in this research was 200 respondents (MSME owners) from all 210 MSMEs who were willing to become respondents. Sampling was carried out using random techniques. Data collection was carried out by manually and online distributing questionnaires using Google Forms, and measured using a 5-point Likert scale. Data processing was carried out using Partial Least Square (PLS) software. The results of this research show that digital finance and financial literacy positively affect the MSMEs financial behavior. However, managerial biases does not affect the MSMEs financial behavior.","author":[{"dropping-particle":"","family":"Risman","given":"Asep","non-dropping-particle":"","parse-names":false,"suffix":""}],"container-title":"Dinasti International Journal of Economics, Finance &amp; Accounting","id":"ITEM-1","issue":"2","issued":{"date-parts":[["2024"]]},"page":"641-649","title":"Behavioral Finance of MSME: Digital Finance, Managerial Biases, Financial Literacy","type":"article-journal","volume":"5"},"uris":["http://www.mendeley.com/documents/?uuid=3e94b525-3e72-4df2-aff7-f28b8b553543"]}],"mendeley":{"formattedCitation":"(Risman 2024)","plainTextFormattedCitation":"(Risman 2024)","previouslyFormattedCitation":"(Risman 2024)"},"properties":{"noteIndex":0},"schema":"https://github.com/citation-style-language/schema/raw/master/csl-citation.json"}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(Risman 2024)</w:t>
      </w:r>
      <w:r w:rsidRPr="005E1216">
        <w:rPr>
          <w:rFonts w:ascii="Arial" w:hAnsi="Arial" w:cs="Arial"/>
          <w:sz w:val="20"/>
          <w:szCs w:val="20"/>
          <w:lang w:val="id-ID"/>
        </w:rPr>
        <w:fldChar w:fldCharType="end"/>
      </w:r>
      <w:r w:rsidRPr="005E1216">
        <w:rPr>
          <w:rFonts w:ascii="Arial" w:hAnsi="Arial" w:cs="Arial"/>
          <w:sz w:val="20"/>
          <w:szCs w:val="20"/>
          <w:lang w:val="id-ID"/>
        </w:rPr>
        <w:t>. This statement is in line with research</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{"citationItems":[{"id":"ITEM-1","itemData":{"DOI":"10.22441/indikator.v8i2.26780","ISSN":"2598-6783","abstract":"This project is to gather empirical data on the topic to gain a better understanding of how financial technology, or Fintech, affects the financial behavior of micro, small, and medium-sized firms (MSMEs). 110 MSMEs spread over West Jakarta made up the sample in 2023. As part of the data gathering method, a random sample questionnaire with a 5-point Likert scale was created using the online tool Google Forms. The Structural Equation Modeling (SEM) model was applied to the data using Partial Least Squares (PLS) software. The results of the study show that financial inclusion and financial technology (Fintech) have a positive influence on MSMEs' financial behavior. Financial technology, or Fintech, may function as a mediator and positively influence MSMEs' financial behavior by promoting broader financial inclusion. This information will be useful to financial institutions, relevant governments, entrepreneurs, and business support organizations that aim to improve the financial behavior and practices of MSMEs. The significance of programs intended to promote good financial conduct, expand financial inclusion, and educate the public about the advantages of fintech in order to enable MSMEs to adopt more responsible financial practices.","author":[{"dropping-particle":"","family":"Huda","given":"Nurrizal","non-dropping-particle":"","parse-names":false,"suffix":""},{"dropping-particle":"","family":"Risman","given":"Asep","non-dropping-particle":"","parse-names":false,"suffix":""}],"container-title":"Indikator: Jurnal Ilmiah Manajemen dan Bisnis","id":"ITEM-1","issue":"2","issued":{"date-parts":[["2024"]]},"page":"19-29","title":"The Behavioral Finance of MSMEs: Financial Inclusion and Financial Technology","type":"article-journal","volume":"8"},"uris":["http://www.mendeley.com/documents/?uuid=7fa96ce2-661b-4328-af0c-0a1b62efc957"]},{"id":"ITEM-2","itemData":{"DOI":"10.55903/juria.v2i3.132","abstract":"Penelitian ini bertujuan untuk mengetahui pengaruh literasi keuangan, inklusi keuangan dan pendapatan terhadap perilaku keuangan pelaku UMKM di Langsa Kota (usaha pakaian jadi). Populasi pada penelitian ini yaitu berjumlah 73 pelaku UMKM di Langsa Kota yang masih aktif dan sampelnya berjumlah 73 pelaku UMKM. Teknik pengambilan sampel menggunakan sampel jenuh. Metode analisis data yang digunakan adalah analisis regresi linear berganda, uji t, uji F dan koefisien determinasi. Hasil penelitian menunjukkan Y = 1.108 - 0.128X1 + 0.391X2 + 0.440X3 Konstanta bernilai 1.108 merupakan nilai perilaku keuangan pada pelaku UMKM apabila literasi keuangan, inklusi keuangan dan pendapatan bernilai tetap. Koefisien regresi variabel inklusi keuangan dan pendapatan berpengaruh positif terhadap perilaku keuangan tetapi untuk variabel literasi keuangan berpengaruh negatif terhadap perilaku keuangan. Hasil penelitian untuk uji t untuk variabel inklusi keuangan dan pendapatan diperoleh t sig &lt; 0.05 sehingga berpengaruh signifikan terhadap perilaku keuangan akan tetapi untuk variabel literasi keuangan diperoleh t sig &gt; 0.05 yang berarti literasi keuangan berpengaruh namun tidak signifikan terhadap perilaku keuangan. Hasil uji F menunjukkan bahwa variabel literasi keuangan, inklusi keuangan dan pendapatan secara simultan berpengaruh signifikan terhadap perilaku keuangan. untuk hasil uji koefisien determinasi (Adjusted R2) diperoleh nilai sebesar 54% yang berarti bahwa perilaku perilaku keuangan dipengaruhi sebesar 54% oleh variabel literasi keuangan, inklusi keuangan, dan pendapatan.","author":[{"dropping-particle":"","family":"Jannah","given":"Miftahul","non-dropping-particle":"","parse-names":false,"suffix":""},{"dropping-particle":"","family":"Fuad","given":"Muhammad","non-dropping-particle":"","parse-names":false,"suffix":""},{"dropping-particle":"","family":"Dewi","given":"Meutia","non-dropping-particle":"","parse-names":false,"suffix":""}],"container-title":"Jurnal Ekonomi Utama","id":"ITEM-2","issue":"3","issued":{"date-parts":[["2023"]]},"page":"298-306","title":"Pengaruh Literasi Keuangan, Inklusi Keuangan dan Pendapatan Terhadap Perilaku Keuangan Pelaku UMKM di Langsa Kota","type":"article-journal","volume":"2"},"uris":["http://www.mendeley.com/documents/?uuid=177650ef-cb18-4112-9ec8-b6cf5e7d05ae"]},{"id":"ITEM-3","itemData":{"DOI":"10.23887/jiah.v13i3.66803","ISSN":"2089-3310","abstract":"Tujuan dari penelitian ini yaitu menguji literasi keuangan, inklusi keuangan dan perilaku keuangan yang diterapkan oleh pelaku UMKM perempuan di Jambi. Pelaku UMKM dengan gender perempuan, menjadi subjek dari penelitian serta berdomisili di Jambi. Kemudian, sampel dalam penelitian ini sebanyak 167 pelaku UMKM perempuan. Data dihimpun melalui survei daring selama periode tiga bulan. Hasil dari penelitian ini menegaskan bahwa literasi keuangan memiliki dampak positif terhadap inklusi keuangan dan perilaku keuangan, sementara inklusi keuangan juga berpengaruh positif terhadap perilaku keuangan. Lebih lanjut, hasil dari uji hipotesis dalam penelitian ini dapat menjadi alat untuk penetapan strategi dari UMKM dengan pemahaman literasi keuangan dan inklusi keuangan pada kelangsungan bisnis jangka panjang.","author":[{"dropping-particle":"","family":"Usmayanti","given":"Vivi","non-dropping-particle":"","parse-names":false,"suffix":""},{"dropping-particle":"","family":"Kadar","given":"Melani","non-dropping-particle":"","parse-names":false,"suffix":""},{"dropping-particle":"","family":"Saputra","given":"Muhammad Haris","non-dropping-particle":"","parse-names":false,"suffix":""},{"dropping-particle":"","family":"Effiyaldi","given":"","non-dropping-particle":"","parse-names":false,"suffix":""},{"dropping-particle":"","family":"Lie","given":"Kanaya Puspa Kirana","non-dropping-particle":"","parse-names":false,"suffix":""}],"container-title":"Jurnal Ilmiah Akuntansi dan Humanika","id":"ITEM-3","issue":"1","issued":{"date-parts":[["2023"]]},"page":"339-348","title":"Pengaruh Literasi Keuangan, Inklusi Keuangan pada Perilaku Keuangan Pelaku UMKM Perempuan: Studi Kasus di Jambi","type":"article-journal","volume":"11"},"uris":["http://www.mendeley.com/documents/?uuid=b6fae952-b0dc-4736-9c7a-ea4877c64b7e"]}],"mendeley":{"formattedCitation":"(Huda and Risman 2024; Jannah, Fuad, and Dewi 2023; Usmayanti et al. 2023)","plainTextFormattedCitation":"(Huda and Risman 2024; Jannah, Fuad, and Dewi 2023; Usmayanti et al. 2023)","previouslyFormattedCitation":"(Huda and Risman 2024; Jannah, Fuad, and Dewi 2023; Usmayanti et al.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(Huda and Risman 2024; Jannah, Fuad, and Dewi 2023; Usmayanti et al. 2023)</w:t>
      </w:r>
      <w:r w:rsidRPr="005E1216">
        <w:rPr>
          <w:rFonts w:ascii="Arial" w:hAnsi="Arial" w:cs="Arial"/>
          <w:sz w:val="20"/>
          <w:szCs w:val="20"/>
          <w:lang w:val="id-ID"/>
        </w:rPr>
        <w:fldChar w:fldCharType="end"/>
      </w:r>
      <w:r>
        <w:rPr>
          <w:rFonts w:ascii="Arial" w:hAnsi="Arial" w:cs="Arial"/>
          <w:sz w:val="20"/>
          <w:szCs w:val="20"/>
          <w:lang w:val="id-ID"/>
        </w:rPr>
        <w:t>, whitch asserts that financial inclusion has a positive impact on financial behavior.</w:t>
      </w:r>
    </w:p>
    <w:p w14:paraId="2E90C885" w14:textId="77777777" w:rsidR="00994ADB" w:rsidRDefault="00994ADB" w:rsidP="00910524">
      <w:pPr>
        <w:spacing w:after="0"/>
        <w:rPr>
          <w:rFonts w:ascii="Arial" w:hAnsi="Arial"/>
          <w:b/>
          <w:bCs/>
          <w:sz w:val="20"/>
          <w:szCs w:val="20"/>
          <w:lang w:val="id-ID"/>
        </w:rPr>
      </w:pPr>
    </w:p>
    <w:p w14:paraId="009E386E" w14:textId="52457EAD" w:rsidR="00B51DD5" w:rsidRDefault="00B51DD5" w:rsidP="00910524">
      <w:pPr>
        <w:spacing w:after="0"/>
        <w:rPr>
          <w:rFonts w:ascii="Arial" w:hAnsi="Arial"/>
          <w:sz w:val="20"/>
          <w:szCs w:val="20"/>
          <w:lang w:val="id-ID"/>
        </w:rPr>
      </w:pPr>
      <w:r w:rsidRPr="00B51DD5">
        <w:rPr>
          <w:rFonts w:ascii="Arial" w:hAnsi="Arial"/>
          <w:sz w:val="20"/>
          <w:szCs w:val="20"/>
          <w:lang w:val="id-ID"/>
        </w:rPr>
        <w:t>H</w:t>
      </w:r>
      <w:r w:rsidR="00EB12F1">
        <w:rPr>
          <w:rFonts w:ascii="Arial" w:hAnsi="Arial"/>
          <w:sz w:val="20"/>
          <w:szCs w:val="20"/>
          <w:lang w:val="id-ID"/>
        </w:rPr>
        <w:t>4</w:t>
      </w:r>
      <w:r w:rsidRPr="00B51DD5">
        <w:rPr>
          <w:rFonts w:ascii="Arial" w:hAnsi="Arial"/>
          <w:sz w:val="20"/>
          <w:szCs w:val="20"/>
          <w:lang w:val="id-ID"/>
        </w:rPr>
        <w:t>: Financial Inclusion has a positive effect on the Financial Behavior</w:t>
      </w:r>
    </w:p>
    <w:p w14:paraId="4D1A8EAE" w14:textId="77777777" w:rsidR="00B51DD5" w:rsidRDefault="00B51DD5" w:rsidP="00910524">
      <w:pPr>
        <w:spacing w:after="0"/>
        <w:rPr>
          <w:rFonts w:ascii="Arial" w:hAnsi="Arial"/>
          <w:b/>
          <w:bCs/>
          <w:sz w:val="20"/>
          <w:szCs w:val="20"/>
          <w:lang w:val="id-ID"/>
        </w:rPr>
      </w:pPr>
    </w:p>
    <w:p w14:paraId="5C3C9E62" w14:textId="3EF836A7" w:rsidR="00C3157E" w:rsidRDefault="00C3157E" w:rsidP="00C3157E">
      <w:pPr>
        <w:spacing w:after="0"/>
        <w:jc w:val="center"/>
        <w:rPr>
          <w:rFonts w:ascii="Arial" w:hAnsi="Arial"/>
          <w:b/>
          <w:bCs/>
          <w:sz w:val="20"/>
          <w:szCs w:val="20"/>
          <w:lang w:val="id-ID"/>
        </w:rPr>
      </w:pPr>
      <w:r>
        <w:rPr>
          <w:rFonts w:cs="Arial"/>
          <w:b/>
          <w:bCs/>
          <w:noProof/>
          <w:sz w:val="20"/>
          <w:szCs w:val="20"/>
          <w:lang w:val="id-ID"/>
        </w:rPr>
        <w:lastRenderedPageBreak/>
        <mc:AlternateContent>
          <mc:Choice Requires="wpc">
            <w:drawing>
              <wp:inline distT="0" distB="0" distL="0" distR="0" wp14:anchorId="535585B3" wp14:editId="3A828869">
                <wp:extent cx="5486400" cy="2607092"/>
                <wp:effectExtent l="0" t="0" r="0" b="22225"/>
                <wp:docPr id="100654253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50452589" name="Rectangle 1850452589"/>
                        <wps:cNvSpPr/>
                        <wps:spPr>
                          <a:xfrm>
                            <a:off x="208230" y="36064"/>
                            <a:ext cx="1294646" cy="552288"/>
                          </a:xfrm>
                          <a:prstGeom prst="rect">
                            <a:avLst/>
                          </a:prstGeom>
                        </wps:spPr>
                        <wps:style>
                          <a:lnRef idx="2">
                            <a:schemeClr val="dk1"/>
                          </a:lnRef>
                          <a:fillRef idx="1">
                            <a:schemeClr val="lt1"/>
                          </a:fillRef>
                          <a:effectRef idx="0">
                            <a:schemeClr val="dk1"/>
                          </a:effectRef>
                          <a:fontRef idx="minor">
                            <a:schemeClr val="dk1"/>
                          </a:fontRef>
                        </wps:style>
                        <wps:txbx>
                          <w:txbxContent>
                            <w:p w14:paraId="053493B7" w14:textId="77777777" w:rsidR="00C3157E" w:rsidRPr="00CD6BCB" w:rsidRDefault="00C3157E" w:rsidP="00C3157E">
                              <w:pPr>
                                <w:jc w:val="center"/>
                                <w:rPr>
                                  <w:rFonts w:ascii="Arial" w:hAnsi="Arial" w:cs="Arial"/>
                                  <w:sz w:val="20"/>
                                  <w:szCs w:val="20"/>
                                  <w:lang w:val="id-ID"/>
                                </w:rPr>
                              </w:pPr>
                              <w:r w:rsidRPr="00CD6BCB">
                                <w:rPr>
                                  <w:rFonts w:ascii="Arial" w:hAnsi="Arial" w:cs="Arial"/>
                                  <w:sz w:val="20"/>
                                  <w:szCs w:val="20"/>
                                  <w:lang w:val="id-ID"/>
                                </w:rPr>
                                <w:t>Financial Literacy</w:t>
                              </w:r>
                            </w:p>
                            <w:p w14:paraId="4D137CFE" w14:textId="77777777" w:rsidR="00C3157E" w:rsidRPr="00CD6BCB" w:rsidRDefault="00C3157E" w:rsidP="00C3157E">
                              <w:pPr>
                                <w:jc w:val="center"/>
                                <w:rPr>
                                  <w:rFonts w:ascii="Arial" w:hAnsi="Arial" w:cs="Arial"/>
                                  <w:sz w:val="20"/>
                                  <w:szCs w:val="20"/>
                                  <w:lang w:val="id-ID"/>
                                </w:rPr>
                              </w:pPr>
                              <w:r w:rsidRPr="00CD6BCB">
                                <w:rPr>
                                  <w:rFonts w:ascii="Arial" w:hAnsi="Arial" w:cs="Arial"/>
                                  <w:sz w:val="20"/>
                                  <w:szCs w:val="20"/>
                                  <w:lang w:val="id-ID"/>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568165" name="Rectangle 2048568165"/>
                        <wps:cNvSpPr/>
                        <wps:spPr>
                          <a:xfrm>
                            <a:off x="208229" y="695873"/>
                            <a:ext cx="1294647" cy="544329"/>
                          </a:xfrm>
                          <a:prstGeom prst="rect">
                            <a:avLst/>
                          </a:prstGeom>
                        </wps:spPr>
                        <wps:style>
                          <a:lnRef idx="2">
                            <a:schemeClr val="dk1"/>
                          </a:lnRef>
                          <a:fillRef idx="1">
                            <a:schemeClr val="lt1"/>
                          </a:fillRef>
                          <a:effectRef idx="0">
                            <a:schemeClr val="dk1"/>
                          </a:effectRef>
                          <a:fontRef idx="minor">
                            <a:schemeClr val="dk1"/>
                          </a:fontRef>
                        </wps:style>
                        <wps:txbx>
                          <w:txbxContent>
                            <w:p w14:paraId="740260C7"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Attitude</w:t>
                              </w:r>
                            </w:p>
                            <w:p w14:paraId="1A479B6C"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6859910" name="Rectangle 2126859910"/>
                        <wps:cNvSpPr/>
                        <wps:spPr>
                          <a:xfrm>
                            <a:off x="208387" y="1365566"/>
                            <a:ext cx="1294489" cy="553769"/>
                          </a:xfrm>
                          <a:prstGeom prst="rect">
                            <a:avLst/>
                          </a:prstGeom>
                        </wps:spPr>
                        <wps:style>
                          <a:lnRef idx="2">
                            <a:schemeClr val="dk1"/>
                          </a:lnRef>
                          <a:fillRef idx="1">
                            <a:schemeClr val="lt1"/>
                          </a:fillRef>
                          <a:effectRef idx="0">
                            <a:schemeClr val="dk1"/>
                          </a:effectRef>
                          <a:fontRef idx="minor">
                            <a:schemeClr val="dk1"/>
                          </a:fontRef>
                        </wps:style>
                        <wps:txbx>
                          <w:txbxContent>
                            <w:p w14:paraId="61F3EF22"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Lifestyle</w:t>
                              </w:r>
                            </w:p>
                            <w:p w14:paraId="6629DB84"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5401075" name="Rectangle 1325401075"/>
                        <wps:cNvSpPr/>
                        <wps:spPr>
                          <a:xfrm>
                            <a:off x="208229" y="2017586"/>
                            <a:ext cx="1294647" cy="589689"/>
                          </a:xfrm>
                          <a:prstGeom prst="rect">
                            <a:avLst/>
                          </a:prstGeom>
                        </wps:spPr>
                        <wps:style>
                          <a:lnRef idx="2">
                            <a:schemeClr val="dk1"/>
                          </a:lnRef>
                          <a:fillRef idx="1">
                            <a:schemeClr val="lt1"/>
                          </a:fillRef>
                          <a:effectRef idx="0">
                            <a:schemeClr val="dk1"/>
                          </a:effectRef>
                          <a:fontRef idx="minor">
                            <a:schemeClr val="dk1"/>
                          </a:fontRef>
                        </wps:style>
                        <wps:txbx>
                          <w:txbxContent>
                            <w:p w14:paraId="55BBD0C3"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Inclusion</w:t>
                              </w:r>
                            </w:p>
                            <w:p w14:paraId="2144BA0F"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2067185" name="Rectangle 1052067185"/>
                        <wps:cNvSpPr/>
                        <wps:spPr>
                          <a:xfrm>
                            <a:off x="3964348" y="958466"/>
                            <a:ext cx="1322876" cy="589520"/>
                          </a:xfrm>
                          <a:prstGeom prst="rect">
                            <a:avLst/>
                          </a:prstGeom>
                        </wps:spPr>
                        <wps:style>
                          <a:lnRef idx="2">
                            <a:schemeClr val="dk1"/>
                          </a:lnRef>
                          <a:fillRef idx="1">
                            <a:schemeClr val="lt1"/>
                          </a:fillRef>
                          <a:effectRef idx="0">
                            <a:schemeClr val="dk1"/>
                          </a:effectRef>
                          <a:fontRef idx="minor">
                            <a:schemeClr val="dk1"/>
                          </a:fontRef>
                        </wps:style>
                        <wps:txbx>
                          <w:txbxContent>
                            <w:p w14:paraId="4C75CB61"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Behavior</w:t>
                              </w:r>
                            </w:p>
                            <w:p w14:paraId="5E081843"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6113955" name="Straight Arrow Connector 1186113955"/>
                        <wps:cNvCnPr>
                          <a:stCxn id="1850452589" idx="3"/>
                        </wps:cNvCnPr>
                        <wps:spPr>
                          <a:xfrm>
                            <a:off x="1502876" y="312108"/>
                            <a:ext cx="2461472" cy="7560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97298439" name="Straight Arrow Connector 697298439"/>
                        <wps:cNvCnPr>
                          <a:stCxn id="1325401075" idx="3"/>
                        </wps:cNvCnPr>
                        <wps:spPr>
                          <a:xfrm flipV="1">
                            <a:off x="1502876" y="1430324"/>
                            <a:ext cx="2461472" cy="8820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9871356" name="Straight Arrow Connector 419871356"/>
                        <wps:cNvCnPr>
                          <a:stCxn id="2126859910" idx="3"/>
                        </wps:cNvCnPr>
                        <wps:spPr>
                          <a:xfrm flipV="1">
                            <a:off x="1502876" y="1303367"/>
                            <a:ext cx="2461472" cy="3390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03075070" name="Straight Arrow Connector 2103075070"/>
                        <wps:cNvCnPr>
                          <a:stCxn id="2048568165" idx="3"/>
                        </wps:cNvCnPr>
                        <wps:spPr>
                          <a:xfrm>
                            <a:off x="1502876" y="968015"/>
                            <a:ext cx="2461472" cy="2178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77181354" name="Rectangle 1377181354"/>
                        <wps:cNvSpPr/>
                        <wps:spPr>
                          <a:xfrm>
                            <a:off x="2018921" y="176050"/>
                            <a:ext cx="406130" cy="26922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E43E2E7" w14:textId="77777777" w:rsidR="00C3157E" w:rsidRPr="00CD6BCB" w:rsidRDefault="00C3157E" w:rsidP="00C3157E">
                              <w:pPr>
                                <w:rPr>
                                  <w:rFonts w:ascii="Arial" w:hAnsi="Arial" w:cs="Arial"/>
                                  <w:sz w:val="20"/>
                                  <w:szCs w:val="20"/>
                                  <w:lang w:val="id-ID"/>
                                </w:rPr>
                              </w:pPr>
                              <w:r w:rsidRPr="00CD6BCB">
                                <w:rPr>
                                  <w:rFonts w:ascii="Arial" w:hAnsi="Arial" w:cs="Arial"/>
                                  <w:sz w:val="20"/>
                                  <w:szCs w:val="20"/>
                                  <w:lang w:val="id-ID"/>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2663536" name="Text Box 1"/>
                        <wps:cNvSpPr txBox="1"/>
                        <wps:spPr>
                          <a:xfrm>
                            <a:off x="2018921" y="705760"/>
                            <a:ext cx="398145" cy="262255"/>
                          </a:xfrm>
                          <a:prstGeom prst="rect">
                            <a:avLst/>
                          </a:prstGeom>
                          <a:solidFill>
                            <a:schemeClr val="lt1"/>
                          </a:solidFill>
                          <a:ln w="6350">
                            <a:solidFill>
                              <a:schemeClr val="bg1"/>
                            </a:solidFill>
                          </a:ln>
                        </wps:spPr>
                        <wps:txbx>
                          <w:txbxContent>
                            <w:p w14:paraId="72E5B76D" w14:textId="36127C93" w:rsidR="00C3157E" w:rsidRDefault="00CD6BCB" w:rsidP="00C3157E">
                              <w:pPr>
                                <w:spacing w:line="276" w:lineRule="auto"/>
                                <w:rPr>
                                  <w:rFonts w:ascii="Arial" w:eastAsia="Calibri" w:hAnsi="Arial"/>
                                  <w:sz w:val="20"/>
                                  <w:szCs w:val="20"/>
                                  <w:lang w:val="id-ID"/>
                                  <w14:ligatures w14:val="none"/>
                                </w:rPr>
                              </w:pPr>
                              <w:r>
                                <w:rPr>
                                  <w:rFonts w:ascii="Arial" w:eastAsia="Calibri" w:hAnsi="Arial"/>
                                  <w:sz w:val="20"/>
                                  <w:szCs w:val="20"/>
                                  <w:lang w:val="id-ID"/>
                                </w:rPr>
                                <w:t>H2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09693295" name="Text Box 1"/>
                        <wps:cNvSpPr txBox="1"/>
                        <wps:spPr>
                          <a:xfrm>
                            <a:off x="2026906" y="1185881"/>
                            <a:ext cx="354154" cy="299267"/>
                          </a:xfrm>
                          <a:prstGeom prst="rect">
                            <a:avLst/>
                          </a:prstGeom>
                          <a:solidFill>
                            <a:schemeClr val="lt1"/>
                          </a:solidFill>
                          <a:ln w="6350">
                            <a:solidFill>
                              <a:schemeClr val="bg1"/>
                            </a:solidFill>
                          </a:ln>
                        </wps:spPr>
                        <wps:txbx>
                          <w:txbxContent>
                            <w:p w14:paraId="25ACE872" w14:textId="0C5EE05C" w:rsidR="00C3157E" w:rsidRDefault="00CD6BCB" w:rsidP="00C3157E">
                              <w:pPr>
                                <w:spacing w:line="276" w:lineRule="auto"/>
                                <w:rPr>
                                  <w:rFonts w:ascii="Arial" w:eastAsia="Calibri" w:hAnsi="Arial"/>
                                  <w:sz w:val="20"/>
                                  <w:szCs w:val="20"/>
                                  <w:lang w:val="id-ID"/>
                                  <w14:ligatures w14:val="none"/>
                                </w:rPr>
                              </w:pPr>
                              <w:r>
                                <w:rPr>
                                  <w:rFonts w:ascii="Arial" w:eastAsia="Calibri" w:hAnsi="Arial"/>
                                  <w:sz w:val="20"/>
                                  <w:szCs w:val="20"/>
                                  <w:lang w:val="id-ID"/>
                                </w:rPr>
                                <w:t>H3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6391273" name="Text Box 1"/>
                        <wps:cNvSpPr txBox="1"/>
                        <wps:spPr>
                          <a:xfrm>
                            <a:off x="2026906" y="1702056"/>
                            <a:ext cx="398145" cy="262255"/>
                          </a:xfrm>
                          <a:prstGeom prst="rect">
                            <a:avLst/>
                          </a:prstGeom>
                          <a:solidFill>
                            <a:schemeClr val="lt1"/>
                          </a:solidFill>
                          <a:ln w="6350">
                            <a:solidFill>
                              <a:schemeClr val="bg1"/>
                            </a:solidFill>
                          </a:ln>
                        </wps:spPr>
                        <wps:txbx>
                          <w:txbxContent>
                            <w:p w14:paraId="3A694B10" w14:textId="4E560798" w:rsidR="00C3157E" w:rsidRDefault="00CD6BCB" w:rsidP="00C3157E">
                              <w:pPr>
                                <w:spacing w:line="276" w:lineRule="auto"/>
                                <w:rPr>
                                  <w:rFonts w:ascii="Arial" w:eastAsia="Calibri" w:hAnsi="Arial"/>
                                  <w:sz w:val="20"/>
                                  <w:szCs w:val="20"/>
                                  <w:lang w:val="id-ID"/>
                                </w:rPr>
                              </w:pPr>
                              <w:r>
                                <w:rPr>
                                  <w:rFonts w:ascii="Arial" w:eastAsia="Calibri" w:hAnsi="Arial"/>
                                  <w:sz w:val="20"/>
                                  <w:szCs w:val="20"/>
                                  <w:lang w:val="id-ID"/>
                                </w:rPr>
                                <w:t>H4</w:t>
                              </w:r>
                            </w:p>
                            <w:p w14:paraId="7E43F120" w14:textId="77777777" w:rsidR="00CD6BCB" w:rsidRDefault="00CD6BCB" w:rsidP="00C3157E">
                              <w:pPr>
                                <w:spacing w:line="276" w:lineRule="auto"/>
                                <w:rPr>
                                  <w:rFonts w:ascii="Arial" w:eastAsia="Calibri" w:hAnsi="Arial"/>
                                  <w:sz w:val="20"/>
                                  <w:szCs w:val="20"/>
                                  <w:lang w:val="id-ID"/>
                                  <w14:ligatures w14:val="none"/>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35585B3" id="Canvas 2" o:spid="_x0000_s1026" editas="canvas" style="width:6in;height:205.3pt;mso-position-horizontal-relative:char;mso-position-vertical-relative:line" coordsize="54864,26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6066;visibility:visible;mso-wrap-style:square" filled="t">
                  <v:fill o:detectmouseclick="t"/>
                  <v:path o:connecttype="none"/>
                </v:shape>
                <v:rect id="Rectangle 1850452589" o:spid="_x0000_s1028" style="position:absolute;left:2082;top:360;width:12946;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" fillcolor="white [3201]" strokecolor="black [3200]" strokeweight="1pt">
                  <v:textbox>
                    <w:txbxContent>
                      <w:p w14:paraId="053493B7" w14:textId="77777777" w:rsidR="00C3157E" w:rsidRPr="00CD6BCB" w:rsidRDefault="00C3157E" w:rsidP="00C3157E">
                        <w:pPr>
                          <w:jc w:val="center"/>
                          <w:rPr>
                            <w:rFonts w:ascii="Arial" w:hAnsi="Arial" w:cs="Arial"/>
                            <w:sz w:val="20"/>
                            <w:szCs w:val="20"/>
                            <w:lang w:val="id-ID"/>
                          </w:rPr>
                        </w:pPr>
                        <w:r w:rsidRPr="00CD6BCB">
                          <w:rPr>
                            <w:rFonts w:ascii="Arial" w:hAnsi="Arial" w:cs="Arial"/>
                            <w:sz w:val="20"/>
                            <w:szCs w:val="20"/>
                            <w:lang w:val="id-ID"/>
                          </w:rPr>
                          <w:t>Financial Literacy</w:t>
                        </w:r>
                      </w:p>
                      <w:p w14:paraId="4D137CFE" w14:textId="77777777" w:rsidR="00C3157E" w:rsidRPr="00CD6BCB" w:rsidRDefault="00C3157E" w:rsidP="00C3157E">
                        <w:pPr>
                          <w:jc w:val="center"/>
                          <w:rPr>
                            <w:rFonts w:ascii="Arial" w:hAnsi="Arial" w:cs="Arial"/>
                            <w:sz w:val="20"/>
                            <w:szCs w:val="20"/>
                            <w:lang w:val="id-ID"/>
                          </w:rPr>
                        </w:pPr>
                        <w:r w:rsidRPr="00CD6BCB">
                          <w:rPr>
                            <w:rFonts w:ascii="Arial" w:hAnsi="Arial" w:cs="Arial"/>
                            <w:sz w:val="20"/>
                            <w:szCs w:val="20"/>
                            <w:lang w:val="id-ID"/>
                          </w:rPr>
                          <w:t>(X1)</w:t>
                        </w:r>
                      </w:p>
                    </w:txbxContent>
                  </v:textbox>
                </v:rect>
                <v:rect id="Rectangle 2048568165" o:spid="_x0000_s1029" style="position:absolute;left:2082;top:6958;width:12946;height:5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" fillcolor="white [3201]" strokecolor="black [3200]" strokeweight="1pt">
                  <v:textbox>
                    <w:txbxContent>
                      <w:p w14:paraId="740260C7"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Attitude</w:t>
                        </w:r>
                      </w:p>
                      <w:p w14:paraId="1A479B6C"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(X2)</w:t>
                        </w:r>
                      </w:p>
                    </w:txbxContent>
                  </v:textbox>
                </v:rect>
                <v:rect id="Rectangle 2126859910" o:spid="_x0000_s1030" style="position:absolute;left:2083;top:13655;width:12945;height:5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" fillcolor="white [3201]" strokecolor="black [3200]" strokeweight="1pt">
                  <v:textbox>
                    <w:txbxContent>
                      <w:p w14:paraId="61F3EF22"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Lifestyle</w:t>
                        </w:r>
                      </w:p>
                      <w:p w14:paraId="6629DB84"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(X3)</w:t>
                        </w:r>
                      </w:p>
                    </w:txbxContent>
                  </v:textbox>
                </v:rect>
                <v:rect id="Rectangle 1325401075" o:spid="_x0000_s1031" style="position:absolute;left:2082;top:20175;width:12946;height:5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" fillcolor="white [3201]" strokecolor="black [3200]" strokeweight="1pt">
                  <v:textbox>
                    <w:txbxContent>
                      <w:p w14:paraId="55BBD0C3"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Inclusion</w:t>
                        </w:r>
                      </w:p>
                      <w:p w14:paraId="2144BA0F"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(X4)</w:t>
                        </w:r>
                      </w:p>
                    </w:txbxContent>
                  </v:textbox>
                </v:rect>
                <v:rect id="Rectangle 1052067185" o:spid="_x0000_s1032" style="position:absolute;left:39643;top:9584;width:13229;height:5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" fillcolor="white [3201]" strokecolor="black [3200]" strokeweight="1pt">
                  <v:textbox>
                    <w:txbxContent>
                      <w:p w14:paraId="4C75CB61"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Behavior</w:t>
                        </w:r>
                      </w:p>
                      <w:p w14:paraId="5E081843"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(Y)</w:t>
                        </w:r>
                      </w:p>
                    </w:txbxContent>
                  </v:textbox>
                </v:rect>
                <v:shapetype id="_x0000_t32" coordsize="21600,21600" o:spt="32" o:oned="t" path="m,l21600,21600e" filled="f">
                  <v:path arrowok="t" fillok="f" o:connecttype="none"/>
                  <o:lock v:ext="edit" shapetype="t"/>
                </v:shapetype>
                <v:shape id="Straight Arrow Connector 1186113955" o:spid="_x0000_s1033" type="#_x0000_t32" style="position:absolute;left:15028;top:3121;width:24615;height:7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" strokecolor="black [3200]" strokeweight=".5pt">
                  <v:stroke endarrow="block" joinstyle="miter"/>
                </v:shape>
                <v:shape id="Straight Arrow Connector 697298439" o:spid="_x0000_s1034" type="#_x0000_t32" style="position:absolute;left:15028;top:14303;width:24615;height:88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" strokecolor="black [3200]" strokeweight=".5pt">
                  <v:stroke endarrow="block" joinstyle="miter"/>
                </v:shape>
                <v:shape id="Straight Arrow Connector 419871356" o:spid="_x0000_s1035" type="#_x0000_t32" style="position:absolute;left:15028;top:13033;width:24615;height:33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" strokecolor="black [3200]" strokeweight=".5pt">
                  <v:stroke endarrow="block" joinstyle="miter"/>
                </v:shape>
                <v:shape id="Straight Arrow Connector 2103075070" o:spid="_x0000_s1036" type="#_x0000_t32" style="position:absolute;left:15028;top:9680;width:24615;height:2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" strokecolor="black [3200]" strokeweight=".5pt">
                  <v:stroke endarrow="block" joinstyle="miter"/>
                </v:shape>
                <v:rect id="Rectangle 1377181354" o:spid="_x0000_s1037" style="position:absolute;left:20189;top:1760;width:4061;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" fillcolor="white [3201]" strokecolor="white [3212]" strokeweight="1pt">
                  <v:textbox>
                    <w:txbxContent>
                      <w:p w14:paraId="0E43E2E7" w14:textId="77777777" w:rsidR="00C3157E" w:rsidRPr="00CD6BCB" w:rsidRDefault="00C3157E" w:rsidP="00C3157E">
                        <w:pPr>
                          <w:rPr>
                            <w:rFonts w:ascii="Arial" w:hAnsi="Arial" w:cs="Arial"/>
                            <w:sz w:val="20"/>
                            <w:szCs w:val="20"/>
                            <w:lang w:val="id-ID"/>
                          </w:rPr>
                        </w:pPr>
                        <w:r w:rsidRPr="00CD6BCB">
                          <w:rPr>
                            <w:rFonts w:ascii="Arial" w:hAnsi="Arial" w:cs="Arial"/>
                            <w:sz w:val="20"/>
                            <w:szCs w:val="20"/>
                            <w:lang w:val="id-ID"/>
                          </w:rPr>
                          <w:t>H1</w:t>
                        </w:r>
                      </w:p>
                    </w:txbxContent>
                  </v:textbox>
                </v:rect>
                <v:shapetype id="_x0000_t202" coordsize="21600,21600" o:spt="202" path="m,l,21600r21600,l21600,xe">
                  <v:stroke joinstyle="miter"/>
                  <v:path gradientshapeok="t" o:connecttype="rect"/>
                </v:shapetype>
                <v:shape id="Text Box 1" o:spid="_x0000_s1038" type="#_x0000_t202" style="position:absolute;left:20189;top:7057;width:398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" fillcolor="white [3201]" strokecolor="white [3212]" strokeweight=".5pt">
                  <v:textbox>
                    <w:txbxContent>
                      <w:p w14:paraId="72E5B76D" w14:textId="36127C93" w:rsidR="00C3157E" w:rsidRDefault="00CD6BCB" w:rsidP="00C3157E">
                        <w:pPr>
                          <w:spacing w:line="276" w:lineRule="auto"/>
                          <w:rPr>
                            <w:rFonts w:ascii="Arial" w:eastAsia="Calibri" w:hAnsi="Arial"/>
                            <w:sz w:val="20"/>
                            <w:szCs w:val="20"/>
                            <w:lang w:val="id-ID"/>
                            <w14:ligatures w14:val="none"/>
                          </w:rPr>
                        </w:pPr>
                        <w:r>
                          <w:rPr>
                            <w:rFonts w:ascii="Arial" w:eastAsia="Calibri" w:hAnsi="Arial"/>
                            <w:sz w:val="20"/>
                            <w:szCs w:val="20"/>
                            <w:lang w:val="id-ID"/>
                          </w:rPr>
                          <w:t>H2</w:t>
                        </w:r>
                      </w:p>
                    </w:txbxContent>
                  </v:textbox>
                </v:shape>
                <v:shape id="Text Box 1" o:spid="_x0000_s1039" type="#_x0000_t202" style="position:absolute;left:20269;top:11858;width:3541;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" fillcolor="white [3201]" strokecolor="white [3212]" strokeweight=".5pt">
                  <v:textbox>
                    <w:txbxContent>
                      <w:p w14:paraId="25ACE872" w14:textId="0C5EE05C" w:rsidR="00C3157E" w:rsidRDefault="00CD6BCB" w:rsidP="00C3157E">
                        <w:pPr>
                          <w:spacing w:line="276" w:lineRule="auto"/>
                          <w:rPr>
                            <w:rFonts w:ascii="Arial" w:eastAsia="Calibri" w:hAnsi="Arial"/>
                            <w:sz w:val="20"/>
                            <w:szCs w:val="20"/>
                            <w:lang w:val="id-ID"/>
                            <w14:ligatures w14:val="none"/>
                          </w:rPr>
                        </w:pPr>
                        <w:r>
                          <w:rPr>
                            <w:rFonts w:ascii="Arial" w:eastAsia="Calibri" w:hAnsi="Arial"/>
                            <w:sz w:val="20"/>
                            <w:szCs w:val="20"/>
                            <w:lang w:val="id-ID"/>
                          </w:rPr>
                          <w:t>H3</w:t>
                        </w:r>
                      </w:p>
                    </w:txbxContent>
                  </v:textbox>
                </v:shape>
                <v:shape id="Text Box 1" o:spid="_x0000_s1040" type="#_x0000_t202" style="position:absolute;left:20269;top:17020;width:398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" fillcolor="white [3201]" strokecolor="white [3212]" strokeweight=".5pt">
                  <v:textbox>
                    <w:txbxContent>
                      <w:p w14:paraId="3A694B10" w14:textId="4E560798" w:rsidR="00C3157E" w:rsidRDefault="00CD6BCB" w:rsidP="00C3157E">
                        <w:pPr>
                          <w:spacing w:line="276" w:lineRule="auto"/>
                          <w:rPr>
                            <w:rFonts w:ascii="Arial" w:eastAsia="Calibri" w:hAnsi="Arial"/>
                            <w:sz w:val="20"/>
                            <w:szCs w:val="20"/>
                            <w:lang w:val="id-ID"/>
                          </w:rPr>
                        </w:pPr>
                        <w:r>
                          <w:rPr>
                            <w:rFonts w:ascii="Arial" w:eastAsia="Calibri" w:hAnsi="Arial"/>
                            <w:sz w:val="20"/>
                            <w:szCs w:val="20"/>
                            <w:lang w:val="id-ID"/>
                          </w:rPr>
                          <w:t>H4</w:t>
                        </w:r>
                      </w:p>
                      <w:p w14:paraId="7E43F120" w14:textId="77777777" w:rsidR="00CD6BCB" w:rsidRDefault="00CD6BCB" w:rsidP="00C3157E">
                        <w:pPr>
                          <w:spacing w:line="276" w:lineRule="auto"/>
                          <w:rPr>
                            <w:rFonts w:ascii="Arial" w:eastAsia="Calibri" w:hAnsi="Arial"/>
                            <w:sz w:val="20"/>
                            <w:szCs w:val="20"/>
                            <w:lang w:val="id-ID"/>
                            <w14:ligatures w14:val="none"/>
                          </w:rPr>
                        </w:pPr>
                      </w:p>
                    </w:txbxContent>
                  </v:textbox>
                </v:shape>
                <w10:anchorlock/>
              </v:group>
            </w:pict>
          </mc:Fallback>
        </mc:AlternateContent>
      </w:r>
    </w:p>
    <w:p w14:paraId="05898F28" w14:textId="2ECB894B" w:rsidR="00CA2087" w:rsidRDefault="00CA2087" w:rsidP="00C3157E">
      <w:pPr>
        <w:spacing w:after="0"/>
        <w:jc w:val="center"/>
        <w:rPr>
          <w:rFonts w:ascii="Arial" w:hAnsi="Arial"/>
          <w:b/>
          <w:bCs/>
          <w:sz w:val="20"/>
          <w:szCs w:val="20"/>
          <w:lang w:val="id-ID"/>
        </w:rPr>
      </w:pPr>
      <w:r>
        <w:rPr>
          <w:rFonts w:ascii="Arial" w:hAnsi="Arial"/>
          <w:b/>
          <w:bCs/>
          <w:sz w:val="20"/>
          <w:szCs w:val="20"/>
          <w:lang w:val="id-ID"/>
        </w:rPr>
        <w:t xml:space="preserve">Fig. 2. </w:t>
      </w:r>
      <w:r w:rsidR="00AE4B00">
        <w:rPr>
          <w:rFonts w:ascii="Arial" w:hAnsi="Arial"/>
          <w:b/>
          <w:bCs/>
          <w:sz w:val="20"/>
          <w:szCs w:val="20"/>
          <w:lang w:val="id-ID"/>
        </w:rPr>
        <w:t>Con</w:t>
      </w:r>
      <w:r w:rsidR="00B04EAD">
        <w:rPr>
          <w:rFonts w:ascii="Arial" w:hAnsi="Arial"/>
          <w:b/>
          <w:bCs/>
          <w:sz w:val="20"/>
          <w:szCs w:val="20"/>
          <w:lang w:val="id-ID"/>
        </w:rPr>
        <w:t>c</w:t>
      </w:r>
      <w:r w:rsidR="00AE4B00">
        <w:rPr>
          <w:rFonts w:ascii="Arial" w:hAnsi="Arial"/>
          <w:b/>
          <w:bCs/>
          <w:sz w:val="20"/>
          <w:szCs w:val="20"/>
          <w:lang w:val="id-ID"/>
        </w:rPr>
        <w:t>eptual Framework</w:t>
      </w:r>
    </w:p>
    <w:p w14:paraId="776E83D3" w14:textId="77777777" w:rsidR="008E1DA8" w:rsidRPr="00C3157E" w:rsidRDefault="008E1DA8" w:rsidP="008E1DA8">
      <w:pPr>
        <w:spacing w:after="0"/>
        <w:rPr>
          <w:rFonts w:ascii="Arial" w:hAnsi="Arial"/>
          <w:b/>
          <w:bCs/>
          <w:sz w:val="20"/>
          <w:szCs w:val="20"/>
          <w:lang w:val="id-ID"/>
        </w:rPr>
      </w:pPr>
    </w:p>
    <w:p w14:paraId="64A369A6" w14:textId="4C974ED1" w:rsidR="00383A66" w:rsidRDefault="00383A66" w:rsidP="00910524">
      <w:pPr>
        <w:spacing w:after="0"/>
        <w:rPr>
          <w:rFonts w:ascii="Arial" w:hAnsi="Arial"/>
          <w:b/>
          <w:bCs/>
          <w:sz w:val="22"/>
          <w:szCs w:val="22"/>
          <w:lang w:val="id-ID"/>
        </w:rPr>
      </w:pPr>
      <w:r>
        <w:rPr>
          <w:rFonts w:ascii="Arial" w:hAnsi="Arial"/>
          <w:b/>
          <w:bCs/>
          <w:sz w:val="22"/>
          <w:szCs w:val="22"/>
          <w:lang w:val="id-ID"/>
        </w:rPr>
        <w:t>3. RESEARCH METHODS</w:t>
      </w:r>
    </w:p>
    <w:p w14:paraId="037A068B" w14:textId="77777777" w:rsidR="00196CD2" w:rsidRDefault="00196CD2" w:rsidP="00196CD2">
      <w:pPr>
        <w:spacing w:after="0"/>
        <w:jc w:val="both"/>
        <w:rPr>
          <w:rFonts w:ascii="Arial" w:hAnsi="Arial"/>
          <w:b/>
          <w:bCs/>
          <w:sz w:val="20"/>
          <w:szCs w:val="20"/>
          <w:lang w:val="id-ID"/>
        </w:rPr>
      </w:pPr>
    </w:p>
    <w:p w14:paraId="562F3745" w14:textId="77777777" w:rsidR="005E441C" w:rsidRPr="001601A3" w:rsidRDefault="005E441C" w:rsidP="005E441C">
      <w:pPr>
        <w:jc w:val="both"/>
        <w:rPr>
          <w:rFonts w:ascii="Arial" w:hAnsi="Arial" w:cs="Arial"/>
          <w:sz w:val="20"/>
          <w:szCs w:val="20"/>
          <w:highlight w:val="yellow"/>
        </w:rPr>
      </w:pPr>
      <w:r w:rsidRPr="001601A3">
        <w:rPr>
          <w:rFonts w:ascii="Arial" w:hAnsi="Arial" w:cs="Arial"/>
          <w:sz w:val="20"/>
          <w:szCs w:val="20"/>
          <w:highlight w:val="yellow"/>
        </w:rPr>
        <w:t>This study aims to empirically analyze how internal factors and external factors influence the financial behavior of MSMEs in Banyumas Regency. Specifically, this study seeks to map the influence of financial literacy, financial attitudes, lifestyle, and financial inclusion in creating sustainable business financial management. This study uses a quantitative approach with primary data. The rationale for choosing a quantitative method is to statistically test hypotheses and obtain generalizations of the relationships between the variables studied. Primary data were obtained directly from original sources through questionnaires to ensure the information obtained is relevant to the current conditions of MSMEs during the research period (September–December 2025). The population in this study was all MSMEs in Banyumas Regency registered with the Central Java Provincial Cooperatives and SMEs Office in 2025, amounting to 6,271 business units. To determine the minimum sample size from this large population, the researcher used the Slovin Formula with a 10% significance level. This formula was chosen most appropriate because the researcher had data on the exact population size, but had limited time and resources to reach the entire population. With a 10% margin of error, this formula provides a minimum threshold of scientifically acceptable representation for social research. Based on Slovin's calculations, the minimum sample size is 98 respondents. However, the researchers decided to expand the sample to 158 respondents to increase statistical power and reduce the margin of error. The method used was non-probability sampling with purposive sampling. This technique was chosen to ensure that the respondents had truly relevant information and were in line with the research objectives. The sample criteria were determined as follows:</w:t>
      </w:r>
    </w:p>
    <w:p w14:paraId="6C6824A3" w14:textId="7A514BC2" w:rsidR="005E441C" w:rsidRPr="001601A3" w:rsidRDefault="005E441C" w:rsidP="005E441C">
      <w:pPr>
        <w:pStyle w:val="ListParagraph"/>
        <w:numPr>
          <w:ilvl w:val="0"/>
          <w:numId w:val="12"/>
        </w:numPr>
        <w:jc w:val="both"/>
        <w:rPr>
          <w:rFonts w:ascii="Arial" w:hAnsi="Arial" w:cs="Arial"/>
          <w:sz w:val="20"/>
          <w:szCs w:val="20"/>
          <w:highlight w:val="yellow"/>
        </w:rPr>
      </w:pPr>
      <w:r w:rsidRPr="001601A3">
        <w:rPr>
          <w:rFonts w:ascii="Arial" w:hAnsi="Arial" w:cs="Arial"/>
          <w:sz w:val="20"/>
          <w:szCs w:val="20"/>
          <w:highlight w:val="yellow"/>
        </w:rPr>
        <w:t>MSMEs whose businesses are domiciled in Banyumas Regency.</w:t>
      </w:r>
    </w:p>
    <w:p w14:paraId="7252617F" w14:textId="43227993" w:rsidR="005E441C" w:rsidRPr="001601A3" w:rsidRDefault="005E441C" w:rsidP="005E441C">
      <w:pPr>
        <w:pStyle w:val="ListParagraph"/>
        <w:numPr>
          <w:ilvl w:val="0"/>
          <w:numId w:val="12"/>
        </w:numPr>
        <w:jc w:val="both"/>
        <w:rPr>
          <w:rFonts w:ascii="Arial" w:hAnsi="Arial" w:cs="Arial"/>
          <w:sz w:val="20"/>
          <w:szCs w:val="20"/>
          <w:highlight w:val="yellow"/>
        </w:rPr>
      </w:pPr>
      <w:r w:rsidRPr="001601A3">
        <w:rPr>
          <w:rFonts w:ascii="Arial" w:hAnsi="Arial" w:cs="Arial"/>
          <w:sz w:val="20"/>
          <w:szCs w:val="20"/>
          <w:highlight w:val="yellow"/>
        </w:rPr>
        <w:t>Businesses have been operating for at least one year (to ensure respondents have stable financial behavior patterns).</w:t>
      </w:r>
    </w:p>
    <w:p w14:paraId="62A1B714" w14:textId="70F970CD" w:rsidR="005E441C" w:rsidRDefault="005E441C" w:rsidP="005E441C">
      <w:pPr>
        <w:spacing w:after="0"/>
        <w:jc w:val="both"/>
        <w:rPr>
          <w:rFonts w:ascii="Arial" w:hAnsi="Arial" w:cs="Arial"/>
          <w:sz w:val="20"/>
          <w:szCs w:val="20"/>
        </w:rPr>
      </w:pPr>
      <w:r w:rsidRPr="001601A3">
        <w:rPr>
          <w:rFonts w:ascii="Arial" w:hAnsi="Arial" w:cs="Arial"/>
          <w:sz w:val="20"/>
          <w:szCs w:val="20"/>
          <w:highlight w:val="yellow"/>
        </w:rPr>
        <w:t>Data were collected through a survey method using a structured questionnaire. Each item was measured using a Likert scale (1-5) to accurately capture respondents' perceptions. The questionnaire was distributed online through a digital platform to more efficiently reach the Banyumas Regency geographic area and expedite the data tabulation process. Data analysis was performed using Structural Equation Modeling - Partial Least Squares (SEM-PLS) through SmartPLS 3.0 software. The analysis stages include: Outer Model (Measurement Model), Inner Model (Structural Model), Hypothesis Testing.</w:t>
      </w:r>
    </w:p>
    <w:p w14:paraId="0EBDB20C" w14:textId="77777777" w:rsidR="005E441C" w:rsidRPr="005E441C" w:rsidRDefault="005E441C" w:rsidP="005E441C">
      <w:pPr>
        <w:spacing w:after="0"/>
        <w:jc w:val="both"/>
        <w:rPr>
          <w:rFonts w:ascii="Arial" w:hAnsi="Arial" w:cs="Arial"/>
          <w:sz w:val="20"/>
          <w:szCs w:val="20"/>
        </w:rPr>
      </w:pPr>
    </w:p>
    <w:p w14:paraId="54BDF5EE" w14:textId="77777777" w:rsidR="00191D3B" w:rsidRDefault="00191D3B" w:rsidP="00191D3B">
      <w:pPr>
        <w:spacing w:after="0"/>
        <w:ind w:left="66"/>
        <w:jc w:val="center"/>
        <w:rPr>
          <w:rFonts w:ascii="Arial" w:hAnsi="Arial" w:cs="Arial"/>
          <w:b/>
          <w:bCs/>
          <w:sz w:val="20"/>
          <w:szCs w:val="20"/>
          <w:lang w:val="id-ID"/>
        </w:rPr>
      </w:pPr>
      <w:r w:rsidRPr="005E1216">
        <w:rPr>
          <w:rFonts w:ascii="Arial" w:hAnsi="Arial" w:cs="Arial"/>
          <w:b/>
          <w:bCs/>
          <w:sz w:val="20"/>
          <w:szCs w:val="20"/>
          <w:lang w:val="id-ID"/>
        </w:rPr>
        <w:t>Table 1. Operational Definition of Variables</w:t>
      </w:r>
    </w:p>
    <w:p w14:paraId="1690A0F4" w14:textId="77777777" w:rsidR="00191D3B" w:rsidRDefault="00191D3B" w:rsidP="00191D3B">
      <w:pPr>
        <w:spacing w:after="0"/>
        <w:ind w:left="66"/>
        <w:jc w:val="center"/>
        <w:rPr>
          <w:rFonts w:ascii="Arial" w:hAnsi="Arial" w:cs="Arial"/>
          <w:b/>
          <w:bCs/>
          <w:sz w:val="20"/>
          <w:szCs w:val="20"/>
          <w:lang w:val="id-ID"/>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52"/>
        <w:gridCol w:w="1657"/>
        <w:gridCol w:w="2732"/>
        <w:gridCol w:w="2618"/>
        <w:gridCol w:w="1801"/>
      </w:tblGrid>
      <w:tr w:rsidR="000D41EB" w:rsidRPr="005E1216" w14:paraId="522895C2" w14:textId="5F3DC186" w:rsidTr="000D41EB">
        <w:tc>
          <w:tcPr>
            <w:tcW w:w="552" w:type="dxa"/>
          </w:tcPr>
          <w:p w14:paraId="457B5CEC" w14:textId="77777777" w:rsidR="000D41EB" w:rsidRPr="005E1216" w:rsidRDefault="000D41EB" w:rsidP="00472CE8">
            <w:pPr>
              <w:tabs>
                <w:tab w:val="left" w:pos="1141"/>
              </w:tabs>
              <w:jc w:val="center"/>
              <w:rPr>
                <w:rFonts w:ascii="Arial" w:hAnsi="Arial" w:cs="Arial"/>
                <w:sz w:val="20"/>
                <w:szCs w:val="20"/>
                <w:lang w:val="id-ID"/>
              </w:rPr>
            </w:pPr>
            <w:r w:rsidRPr="005E1216">
              <w:rPr>
                <w:rFonts w:ascii="Arial" w:hAnsi="Arial" w:cs="Arial"/>
                <w:sz w:val="20"/>
                <w:szCs w:val="20"/>
                <w:lang w:val="id-ID"/>
              </w:rPr>
              <w:t>No.</w:t>
            </w:r>
          </w:p>
        </w:tc>
        <w:tc>
          <w:tcPr>
            <w:tcW w:w="1657" w:type="dxa"/>
          </w:tcPr>
          <w:p w14:paraId="28A8B0FD" w14:textId="77777777" w:rsidR="000D41EB" w:rsidRPr="005E1216" w:rsidRDefault="000D41EB" w:rsidP="00472CE8">
            <w:pPr>
              <w:tabs>
                <w:tab w:val="left" w:pos="1141"/>
              </w:tabs>
              <w:jc w:val="center"/>
              <w:rPr>
                <w:rFonts w:ascii="Arial" w:hAnsi="Arial" w:cs="Arial"/>
                <w:sz w:val="20"/>
                <w:szCs w:val="20"/>
                <w:lang w:val="id-ID"/>
              </w:rPr>
            </w:pPr>
            <w:r w:rsidRPr="005E1216">
              <w:rPr>
                <w:rFonts w:ascii="Arial" w:hAnsi="Arial" w:cs="Arial"/>
                <w:sz w:val="20"/>
                <w:szCs w:val="20"/>
                <w:lang w:val="id-ID"/>
              </w:rPr>
              <w:t>Variables</w:t>
            </w:r>
          </w:p>
        </w:tc>
        <w:tc>
          <w:tcPr>
            <w:tcW w:w="2732" w:type="dxa"/>
          </w:tcPr>
          <w:p w14:paraId="6A9A98EC" w14:textId="77777777" w:rsidR="000D41EB" w:rsidRPr="005E1216" w:rsidRDefault="000D41EB" w:rsidP="00472CE8">
            <w:pPr>
              <w:tabs>
                <w:tab w:val="left" w:pos="1141"/>
              </w:tabs>
              <w:jc w:val="center"/>
              <w:rPr>
                <w:rFonts w:ascii="Arial" w:hAnsi="Arial" w:cs="Arial"/>
                <w:sz w:val="20"/>
                <w:szCs w:val="20"/>
                <w:lang w:val="id-ID"/>
              </w:rPr>
            </w:pPr>
            <w:r w:rsidRPr="005E1216">
              <w:rPr>
                <w:rFonts w:ascii="Arial" w:hAnsi="Arial" w:cs="Arial"/>
                <w:sz w:val="20"/>
                <w:szCs w:val="20"/>
                <w:lang w:val="id-ID"/>
              </w:rPr>
              <w:t>Operational Definition of Variables</w:t>
            </w:r>
          </w:p>
        </w:tc>
        <w:tc>
          <w:tcPr>
            <w:tcW w:w="2618" w:type="dxa"/>
          </w:tcPr>
          <w:p w14:paraId="47E98CB8" w14:textId="77777777" w:rsidR="000D41EB" w:rsidRPr="005E1216" w:rsidRDefault="000D41EB" w:rsidP="00472CE8">
            <w:pPr>
              <w:tabs>
                <w:tab w:val="left" w:pos="1141"/>
              </w:tabs>
              <w:jc w:val="center"/>
              <w:rPr>
                <w:rFonts w:ascii="Arial" w:hAnsi="Arial" w:cs="Arial"/>
                <w:sz w:val="20"/>
                <w:szCs w:val="20"/>
                <w:lang w:val="id-ID"/>
              </w:rPr>
            </w:pPr>
            <w:r w:rsidRPr="005E1216">
              <w:rPr>
                <w:rFonts w:ascii="Arial" w:hAnsi="Arial" w:cs="Arial"/>
                <w:sz w:val="20"/>
                <w:szCs w:val="20"/>
                <w:lang w:val="id-ID"/>
              </w:rPr>
              <w:t>Indicator</w:t>
            </w:r>
          </w:p>
          <w:p w14:paraId="65C859C4" w14:textId="77777777" w:rsidR="000D41EB" w:rsidRPr="005E1216" w:rsidRDefault="000D41EB" w:rsidP="00472CE8">
            <w:pPr>
              <w:tabs>
                <w:tab w:val="left" w:pos="1141"/>
              </w:tabs>
              <w:jc w:val="center"/>
              <w:rPr>
                <w:rFonts w:ascii="Arial" w:hAnsi="Arial" w:cs="Arial"/>
                <w:sz w:val="20"/>
                <w:szCs w:val="20"/>
                <w:lang w:val="id-ID"/>
              </w:rPr>
            </w:pPr>
          </w:p>
        </w:tc>
        <w:tc>
          <w:tcPr>
            <w:tcW w:w="1801" w:type="dxa"/>
          </w:tcPr>
          <w:p w14:paraId="5F361050" w14:textId="77A86407" w:rsidR="000D41EB" w:rsidRPr="00D979BE" w:rsidRDefault="000D41EB" w:rsidP="00472CE8">
            <w:pPr>
              <w:tabs>
                <w:tab w:val="left" w:pos="1141"/>
              </w:tabs>
              <w:jc w:val="center"/>
              <w:rPr>
                <w:rFonts w:ascii="Arial" w:hAnsi="Arial" w:cs="Arial"/>
                <w:sz w:val="20"/>
                <w:szCs w:val="20"/>
                <w:highlight w:val="yellow"/>
                <w:lang w:val="id-ID"/>
              </w:rPr>
            </w:pPr>
            <w:r w:rsidRPr="00D979BE">
              <w:rPr>
                <w:rFonts w:ascii="Arial" w:hAnsi="Arial" w:cs="Arial"/>
                <w:sz w:val="20"/>
                <w:szCs w:val="20"/>
                <w:highlight w:val="yellow"/>
                <w:lang w:val="id-ID"/>
              </w:rPr>
              <w:t>Indicator References</w:t>
            </w:r>
          </w:p>
        </w:tc>
      </w:tr>
      <w:tr w:rsidR="000D41EB" w:rsidRPr="005E1216" w14:paraId="0DEBA55A" w14:textId="381CB6B6" w:rsidTr="000D41EB">
        <w:tc>
          <w:tcPr>
            <w:tcW w:w="552" w:type="dxa"/>
          </w:tcPr>
          <w:p w14:paraId="7A062058"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lastRenderedPageBreak/>
              <w:t>1.</w:t>
            </w:r>
          </w:p>
        </w:tc>
        <w:tc>
          <w:tcPr>
            <w:tcW w:w="1657" w:type="dxa"/>
          </w:tcPr>
          <w:p w14:paraId="5813CD3F"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Financial Behavior (Y)</w:t>
            </w:r>
          </w:p>
        </w:tc>
        <w:tc>
          <w:tcPr>
            <w:tcW w:w="2732" w:type="dxa"/>
          </w:tcPr>
          <w:p w14:paraId="0AB5DEB4" w14:textId="77777777" w:rsidR="000D41EB" w:rsidRPr="005E1216" w:rsidRDefault="000D41EB" w:rsidP="00472CE8">
            <w:pPr>
              <w:tabs>
                <w:tab w:val="left" w:pos="1141"/>
              </w:tabs>
              <w:jc w:val="both"/>
              <w:rPr>
                <w:rFonts w:ascii="Arial" w:hAnsi="Arial" w:cs="Arial"/>
                <w:sz w:val="20"/>
                <w:szCs w:val="20"/>
                <w:lang w:val="id-ID"/>
              </w:rPr>
            </w:pPr>
            <w:r w:rsidRPr="005E1216">
              <w:rPr>
                <w:rFonts w:ascii="Arial" w:hAnsi="Arial" w:cs="Arial"/>
                <w:sz w:val="20"/>
                <w:szCs w:val="20"/>
                <w:lang w:val="id-ID"/>
              </w:rPr>
              <w:t>Financial behavior is defined operationally, referring to the actual actions taken by a person by making a series of decisions regarding all aspects of their finances.</w:t>
            </w:r>
          </w:p>
        </w:tc>
        <w:tc>
          <w:tcPr>
            <w:tcW w:w="2618" w:type="dxa"/>
          </w:tcPr>
          <w:p w14:paraId="7E2D59AE" w14:textId="77777777" w:rsidR="000D41EB" w:rsidRPr="005E1216" w:rsidRDefault="000D41EB" w:rsidP="00191D3B">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Saving habits</w:t>
            </w:r>
          </w:p>
          <w:p w14:paraId="2CD6748E" w14:textId="77777777" w:rsidR="000D41EB" w:rsidRPr="005E1216" w:rsidRDefault="000D41EB" w:rsidP="00191D3B">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Be careful in debt</w:t>
            </w:r>
          </w:p>
          <w:p w14:paraId="3A42274E" w14:textId="77777777" w:rsidR="000D41EB" w:rsidRPr="005E1216" w:rsidRDefault="000D41EB" w:rsidP="00191D3B">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Financial goals (short, medium, long term)</w:t>
            </w:r>
          </w:p>
          <w:p w14:paraId="16EAAC43" w14:textId="77777777" w:rsidR="000D41EB" w:rsidRPr="005E1216" w:rsidRDefault="000D41EB" w:rsidP="00191D3B">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Recording income and expenses</w:t>
            </w:r>
          </w:p>
          <w:p w14:paraId="66B6CD37" w14:textId="089B2F5B" w:rsidR="000D41EB" w:rsidRPr="000D41EB" w:rsidRDefault="000D41EB" w:rsidP="00472CE8">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Insurance</w:t>
            </w:r>
          </w:p>
        </w:tc>
        <w:tc>
          <w:tcPr>
            <w:tcW w:w="1801" w:type="dxa"/>
          </w:tcPr>
          <w:p w14:paraId="409A424D" w14:textId="39FA7C4C" w:rsidR="000D41EB" w:rsidRPr="00D979BE" w:rsidRDefault="000D41EB" w:rsidP="000D41EB">
            <w:pPr>
              <w:tabs>
                <w:tab w:val="left" w:pos="1141"/>
              </w:tabs>
              <w:rPr>
                <w:rFonts w:ascii="Arial" w:hAnsi="Arial" w:cs="Arial"/>
                <w:sz w:val="20"/>
                <w:szCs w:val="20"/>
                <w:highlight w:val="yellow"/>
                <w:lang w:val="id-ID"/>
              </w:rPr>
            </w:pPr>
            <w:r w:rsidRPr="00D979BE">
              <w:rPr>
                <w:rFonts w:ascii="Arial" w:hAnsi="Arial" w:cs="Arial"/>
                <w:sz w:val="20"/>
                <w:szCs w:val="20"/>
                <w:highlight w:val="yellow"/>
                <w:lang w:val="id-ID"/>
              </w:rPr>
              <w:fldChar w:fldCharType="begin" w:fldLock="1"/>
            </w:r>
            <w:r w:rsidRPr="00D979BE">
              <w:rPr>
                <w:rFonts w:ascii="Arial" w:hAnsi="Arial" w:cs="Arial"/>
                <w:sz w:val="20"/>
                <w:szCs w:val="20"/>
                <w:highlight w:val="yellow"/>
                <w:lang w:val="id-ID"/>
              </w:rPr>
              <w:instrText>ADDIN CSL_CITATION {"citationItems":[{"id":"ITEM-1","itemData":{"DOI":"10.26418/jebik.v12i1.60356","ISSN":"2087-9954","abstract":"MSMEs play a significant role in the digital economy, highlighting the need for the government to focus on their development beyond financing, and to improve their digital literacy. This study investigates the impact of Digital Financial Literacy on the Financial Performance of MSMEs in Pancer Puger Beach, Jember, with a specific focus on the role of Financial Behavior in promoting this relationship. The study uses mixed method with an exploratory sequential design, combining qualitative data gathered from focus group discussions, in-depth interviews, and observations, with quantitative data collected through questionnaires from 120 MSMEs respondents obtained via snowball sampling which analyzed using the Partial Least Square. The result shows that (1) Digital Financial Literacy affects Financial Performance, (2) Digital Financial Literacy affects Financial Behavior, and (3) Financial Behavior affects Financial Performance of MSMEs while Financial Behavior serves as a mediator between Financial Literacy and Financial Performance. The findings suggest that tourism MSMEs can adapt and thrive in line with Indonesia's digital financialization.JEL: G41, L26, L83.","author":[{"dropping-particle":"","family":"Awwaliyah","given":"Intan Nurul","non-dropping-particle":"","parse-names":false,"suffix":""},{"dropping-particle":"","family":"Sumani","given":"Sumani","non-dropping-particle":"","parse-names":false,"suffix":""},{"dropping-particle":"","family":"Singgih","given":"Marmono","non-dropping-particle":"","parse-names":false,"suffix":""},{"dropping-particle":"","family":"Widodo","given":"Roni","non-dropping-particle":"","parse-names":false,"suffix":""}],"container-title":"Jurnal Ekonomi Bisnis dan Kewirausahaan","id":"ITEM-1","issue":"1","issued":{"date-parts":[["2023"]]},"page":"128-147","title":"How Does Digital Financial Literacy Relate To Financial Performance of Msmes Tourism Firm? the Mediating Role of Financial Behavior","type":"article-journal","volume":"12"},"uris":["http://www.mendeley.com/documents/?uuid=b197d3d9-a798-4a3d-b1f6-73a6216f0d0d"]}],"mendeley":{"formattedCitation":"(Awwaliyah et al. 2023)","plainTextFormattedCitation":"(Awwaliyah et al. 2023)","previouslyFormattedCitation":"(Awwaliyah et al. 2023)"},"properties":{"noteIndex":0},"schema":"https://github.com/citation-style-language/schema/raw/master/csl-citation.json"}</w:instrText>
            </w:r>
            <w:r w:rsidRPr="00D979BE">
              <w:rPr>
                <w:rFonts w:ascii="Arial" w:hAnsi="Arial" w:cs="Arial"/>
                <w:sz w:val="20"/>
                <w:szCs w:val="20"/>
                <w:highlight w:val="yellow"/>
                <w:lang w:val="id-ID"/>
              </w:rPr>
              <w:fldChar w:fldCharType="separate"/>
            </w:r>
            <w:r w:rsidRPr="00D979BE">
              <w:rPr>
                <w:rFonts w:ascii="Arial" w:hAnsi="Arial" w:cs="Arial"/>
                <w:noProof/>
                <w:sz w:val="20"/>
                <w:szCs w:val="20"/>
                <w:highlight w:val="yellow"/>
                <w:lang w:val="id-ID"/>
              </w:rPr>
              <w:t>(Awwaliyah et al. 2023)</w:t>
            </w:r>
            <w:r w:rsidRPr="00D979BE">
              <w:rPr>
                <w:rFonts w:ascii="Arial" w:hAnsi="Arial" w:cs="Arial"/>
                <w:sz w:val="20"/>
                <w:szCs w:val="20"/>
                <w:highlight w:val="yellow"/>
                <w:lang w:val="id-ID"/>
              </w:rPr>
              <w:fldChar w:fldCharType="end"/>
            </w:r>
          </w:p>
        </w:tc>
      </w:tr>
      <w:tr w:rsidR="000D41EB" w:rsidRPr="005E1216" w14:paraId="3FAA9ADB" w14:textId="78EE6A2C" w:rsidTr="000D41EB">
        <w:tc>
          <w:tcPr>
            <w:tcW w:w="552" w:type="dxa"/>
          </w:tcPr>
          <w:p w14:paraId="24333687"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2.</w:t>
            </w:r>
          </w:p>
        </w:tc>
        <w:tc>
          <w:tcPr>
            <w:tcW w:w="1657" w:type="dxa"/>
          </w:tcPr>
          <w:p w14:paraId="5BBFA1CC"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Financial Literacy (X1)</w:t>
            </w:r>
          </w:p>
        </w:tc>
        <w:tc>
          <w:tcPr>
            <w:tcW w:w="2732" w:type="dxa"/>
          </w:tcPr>
          <w:p w14:paraId="61AEF742" w14:textId="1BD2EB9C" w:rsidR="000D41EB" w:rsidRPr="005E1216" w:rsidRDefault="000D41EB" w:rsidP="00472CE8">
            <w:pPr>
              <w:tabs>
                <w:tab w:val="left" w:pos="1141"/>
              </w:tabs>
              <w:jc w:val="both"/>
              <w:rPr>
                <w:rFonts w:ascii="Arial" w:hAnsi="Arial" w:cs="Arial"/>
                <w:sz w:val="20"/>
                <w:szCs w:val="20"/>
                <w:lang w:val="id-ID"/>
              </w:rPr>
            </w:pPr>
            <w:r w:rsidRPr="005E1216">
              <w:rPr>
                <w:rFonts w:ascii="Arial" w:hAnsi="Arial" w:cs="Arial"/>
                <w:sz w:val="20"/>
                <w:szCs w:val="20"/>
                <w:lang w:val="id-ID"/>
              </w:rPr>
              <w:t xml:space="preserve">Financial literacy </w:t>
            </w:r>
            <w:r>
              <w:rPr>
                <w:rFonts w:ascii="Arial" w:hAnsi="Arial" w:cs="Arial"/>
                <w:sz w:val="20"/>
                <w:szCs w:val="20"/>
                <w:lang w:val="id-ID"/>
              </w:rPr>
              <w:t>refers to the expertise and selfassurance required for individuals to grasp core financial concepts, enabling them to effectively plan, oversee, and make informed choices about their money.</w:t>
            </w:r>
          </w:p>
        </w:tc>
        <w:tc>
          <w:tcPr>
            <w:tcW w:w="2618" w:type="dxa"/>
          </w:tcPr>
          <w:p w14:paraId="10508B40" w14:textId="77777777" w:rsidR="000D41EB" w:rsidRPr="005E1216" w:rsidRDefault="000D41EB" w:rsidP="00191D3B">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Capabilities regarding financial fundamentals</w:t>
            </w:r>
          </w:p>
          <w:p w14:paraId="7CFADBC8" w14:textId="77777777" w:rsidR="000D41EB" w:rsidRPr="005E1216" w:rsidRDefault="000D41EB" w:rsidP="00191D3B">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Knowledge related to managing income and expenses</w:t>
            </w:r>
          </w:p>
          <w:p w14:paraId="3ECE7713" w14:textId="77777777" w:rsidR="000D41EB" w:rsidRPr="005E1216" w:rsidRDefault="000D41EB" w:rsidP="00191D3B">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Savings</w:t>
            </w:r>
          </w:p>
          <w:p w14:paraId="11BAF1A4" w14:textId="77777777" w:rsidR="000D41EB" w:rsidRPr="005E1216" w:rsidRDefault="000D41EB" w:rsidP="00191D3B">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Investment</w:t>
            </w:r>
          </w:p>
          <w:p w14:paraId="402DFF5E" w14:textId="086FBD75" w:rsidR="000D41EB" w:rsidRPr="000D41EB" w:rsidRDefault="000D41EB" w:rsidP="00472CE8">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Insurance</w:t>
            </w:r>
          </w:p>
        </w:tc>
        <w:tc>
          <w:tcPr>
            <w:tcW w:w="1801" w:type="dxa"/>
          </w:tcPr>
          <w:p w14:paraId="6D6C10E5" w14:textId="31A1C6AA" w:rsidR="000D41EB" w:rsidRPr="00D979BE" w:rsidRDefault="000D41EB" w:rsidP="000D41EB">
            <w:pPr>
              <w:tabs>
                <w:tab w:val="left" w:pos="1141"/>
              </w:tabs>
              <w:rPr>
                <w:rFonts w:ascii="Arial" w:hAnsi="Arial" w:cs="Arial"/>
                <w:sz w:val="20"/>
                <w:szCs w:val="20"/>
                <w:highlight w:val="yellow"/>
                <w:lang w:val="id-ID"/>
              </w:rPr>
            </w:pPr>
            <w:r w:rsidRPr="00D979BE">
              <w:rPr>
                <w:rFonts w:ascii="Arial" w:hAnsi="Arial" w:cs="Arial"/>
                <w:sz w:val="20"/>
                <w:szCs w:val="20"/>
                <w:highlight w:val="yellow"/>
                <w:lang w:val="id-ID"/>
              </w:rPr>
              <w:fldChar w:fldCharType="begin" w:fldLock="1"/>
            </w:r>
            <w:r w:rsidRPr="00D979BE">
              <w:rPr>
                <w:rFonts w:ascii="Arial" w:hAnsi="Arial" w:cs="Arial"/>
                <w:sz w:val="20"/>
                <w:szCs w:val="20"/>
                <w:highlight w:val="yellow"/>
                <w:lang w:val="id-ID"/>
              </w:rPr>
              <w:instrText>ADDIN CSL_CITATION {"citationItems":[{"id":"ITEM-1","itemData":{"DOI":"10.53682/jaim.vi.8756","abstract":"Penelitian ini bertujuan untuk menguji pengaruh literasi keuangan, sumber daya manusia, dan teknologi keuangan terhadap kinerja usaha mikro, kecil, dan menengah di Kota Mataram. Penelitian ini menggunakan jenis penelitian asosiatif dengan pendekatan kuantitatif. Menggunakan metode simple random sampling, dari populasi sebanyak 2.972 UMKM diantaranya 140 UMKM di Kota Mataram terpilih sebagai sampel penelitian. Teknik pengumpulan data menggunakan lembar observasi langsung dan online melalui google form. Analisis data penelitian dilakukan dengan menggunakan SmartPLS 3.0. Hasil penelitian menunjukkan bahwa literasi keuangan, sumber daya manusia, dan teknologi keuangan memiliki pengaruh positif dan signifikan terhadap kinerja usaha mikro, kecil, dan menengah di Kota Mataram. Hasil dari penelitian ini dapat menjadi gambaran bagi para pelaku usaha dalam upaya meningkatkan kinerja usahanya. Implikasi dari temuan ini bahwa pemahaman yang baik para pelaku usaha mengenai literasi keuangan, sumber daya manusia dan teknologi keuangan dapat membantu para pelaku usaha untuk tepat dalam mengambil keputusan dalam meningkatkan kinerja usahanya.","author":[{"dropping-particle":"","family":"Azis","given":"Muhammad Aulia Hibatullah","non-dropping-particle":"","parse-names":false,"suffix":""},{"dropping-particle":"","family":"Effendy","given":"Lukman","non-dropping-particle":"","parse-names":false,"suffix":""}],"container-title":"Jurnal Akuntansi Manado (JAIM)","id":"ITEM-1","issue":"1","issued":{"date-parts":[["2024"]]},"page":"116-132","title":"Pengaruh Literasi Keuangan, Sumber Daya Manusia dan Teknologi Keuangan Terhadap Kinerja UMKM","type":"article-journal","volume":"5"},"uris":["http://www.mendeley.com/documents/?uuid=15fbaa07-0ea3-4c7b-bb7e-17c61fe285d8"]}],"mendeley":{"formattedCitation":"(Azis and Effendy 2024)","plainTextFormattedCitation":"(Azis and Effendy 2024)","previouslyFormattedCitation":"(Azis and Effendy 2024)"},"properties":{"noteIndex":0},"schema":"https://github.com/citation-style-language/schema/raw/master/csl-citation.json"}</w:instrText>
            </w:r>
            <w:r w:rsidRPr="00D979BE">
              <w:rPr>
                <w:rFonts w:ascii="Arial" w:hAnsi="Arial" w:cs="Arial"/>
                <w:sz w:val="20"/>
                <w:szCs w:val="20"/>
                <w:highlight w:val="yellow"/>
                <w:lang w:val="id-ID"/>
              </w:rPr>
              <w:fldChar w:fldCharType="separate"/>
            </w:r>
            <w:r w:rsidRPr="00D979BE">
              <w:rPr>
                <w:rFonts w:ascii="Arial" w:hAnsi="Arial" w:cs="Arial"/>
                <w:noProof/>
                <w:sz w:val="20"/>
                <w:szCs w:val="20"/>
                <w:highlight w:val="yellow"/>
                <w:lang w:val="id-ID"/>
              </w:rPr>
              <w:t>(Azis and Effendy 2024)</w:t>
            </w:r>
            <w:r w:rsidRPr="00D979BE">
              <w:rPr>
                <w:rFonts w:ascii="Arial" w:hAnsi="Arial" w:cs="Arial"/>
                <w:sz w:val="20"/>
                <w:szCs w:val="20"/>
                <w:highlight w:val="yellow"/>
                <w:lang w:val="id-ID"/>
              </w:rPr>
              <w:fldChar w:fldCharType="end"/>
            </w:r>
          </w:p>
        </w:tc>
      </w:tr>
      <w:tr w:rsidR="000D41EB" w:rsidRPr="005E1216" w14:paraId="52646BBB" w14:textId="65D10538" w:rsidTr="000D41EB">
        <w:tc>
          <w:tcPr>
            <w:tcW w:w="552" w:type="dxa"/>
          </w:tcPr>
          <w:p w14:paraId="0F039802"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3.</w:t>
            </w:r>
          </w:p>
        </w:tc>
        <w:tc>
          <w:tcPr>
            <w:tcW w:w="1657" w:type="dxa"/>
          </w:tcPr>
          <w:p w14:paraId="17EB2D0A"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Financial Attitude (X2)</w:t>
            </w:r>
          </w:p>
        </w:tc>
        <w:tc>
          <w:tcPr>
            <w:tcW w:w="2732" w:type="dxa"/>
          </w:tcPr>
          <w:p w14:paraId="342BA7D5" w14:textId="77777777" w:rsidR="000D41EB" w:rsidRPr="005E1216" w:rsidRDefault="000D41EB" w:rsidP="00472CE8">
            <w:pPr>
              <w:tabs>
                <w:tab w:val="left" w:pos="1141"/>
              </w:tabs>
              <w:jc w:val="both"/>
              <w:rPr>
                <w:rFonts w:ascii="Arial" w:hAnsi="Arial" w:cs="Arial"/>
                <w:sz w:val="20"/>
                <w:szCs w:val="20"/>
                <w:lang w:val="id-ID"/>
              </w:rPr>
            </w:pPr>
            <w:r w:rsidRPr="005E1216">
              <w:rPr>
                <w:rFonts w:ascii="Arial" w:hAnsi="Arial" w:cs="Arial"/>
                <w:sz w:val="20"/>
                <w:szCs w:val="20"/>
                <w:lang w:val="id-ID"/>
              </w:rPr>
              <w:t>Financial attitude is a person's perspective and mental tendencies that influence their approach to managing their finances and personal finances in daily activities which are greatly influenced by the individual's psychology and internal thinking.</w:t>
            </w:r>
          </w:p>
        </w:tc>
        <w:tc>
          <w:tcPr>
            <w:tcW w:w="2618" w:type="dxa"/>
          </w:tcPr>
          <w:p w14:paraId="09D26FFF" w14:textId="77777777" w:rsidR="000D41EB" w:rsidRPr="005E1216" w:rsidRDefault="000D41E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Obsession</w:t>
            </w:r>
          </w:p>
          <w:p w14:paraId="691F4667" w14:textId="77777777" w:rsidR="000D41EB" w:rsidRPr="005E1216" w:rsidRDefault="000D41E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Power</w:t>
            </w:r>
          </w:p>
          <w:p w14:paraId="6FDCC32B" w14:textId="77777777" w:rsidR="000D41EB" w:rsidRPr="005E1216" w:rsidRDefault="000D41E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Business</w:t>
            </w:r>
          </w:p>
          <w:p w14:paraId="03383C17" w14:textId="77777777" w:rsidR="000D41EB" w:rsidRPr="005E1216" w:rsidRDefault="000D41E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Insufficiency</w:t>
            </w:r>
          </w:p>
          <w:p w14:paraId="1F65EE63" w14:textId="77777777" w:rsidR="000D41EB" w:rsidRPr="005E1216" w:rsidRDefault="000D41E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Retention</w:t>
            </w:r>
          </w:p>
          <w:p w14:paraId="06ADBE26" w14:textId="519BEA29" w:rsidR="000D41EB" w:rsidRPr="000D41EB" w:rsidRDefault="000D41EB" w:rsidP="00472CE8">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Guarantee</w:t>
            </w:r>
          </w:p>
        </w:tc>
        <w:tc>
          <w:tcPr>
            <w:tcW w:w="1801" w:type="dxa"/>
          </w:tcPr>
          <w:p w14:paraId="1EC22211" w14:textId="5AA2CCF2" w:rsidR="000D41EB" w:rsidRPr="00D979BE" w:rsidRDefault="000D41EB" w:rsidP="000D41EB">
            <w:pPr>
              <w:tabs>
                <w:tab w:val="left" w:pos="1141"/>
              </w:tabs>
              <w:rPr>
                <w:rFonts w:ascii="Arial" w:hAnsi="Arial" w:cs="Arial"/>
                <w:sz w:val="20"/>
                <w:szCs w:val="20"/>
                <w:highlight w:val="yellow"/>
                <w:lang w:val="id-ID"/>
              </w:rPr>
            </w:pPr>
            <w:r w:rsidRPr="00D979BE">
              <w:rPr>
                <w:rFonts w:ascii="Arial" w:hAnsi="Arial" w:cs="Arial"/>
                <w:sz w:val="20"/>
                <w:szCs w:val="20"/>
                <w:highlight w:val="yellow"/>
                <w:lang w:val="id-ID"/>
              </w:rPr>
              <w:fldChar w:fldCharType="begin" w:fldLock="1"/>
            </w:r>
            <w:r w:rsidR="000B61B6" w:rsidRPr="00D979BE">
              <w:rPr>
                <w:rFonts w:ascii="Arial" w:hAnsi="Arial" w:cs="Arial"/>
                <w:sz w:val="20"/>
                <w:szCs w:val="20"/>
                <w:highlight w:val="yellow"/>
                <w:lang w:val="id-ID"/>
              </w:rPr>
              <w:instrText>ADDIN CSL_CITATION {"citationItems":[{"id":"ITEM-1","itemData":{"DOI":"10.18196/mb.v15i2.23506","ISSN":"2086-8200","abstract":"Research aims: This study aims to examine the effect of financial knowledge, attitudes, and experience on financial behavior, with locus of control serving as a mediating factor.Design/Methodology/Approach: This study employs a deductive research design with a causal-associative approach, targeting traditional market traders in the Gresik Regency area. A total of 100 respondents were sampled. The main data were collected through a questionnaire and analyzed using Partial Least Squares (PLS).Research findings: The study findings reveal that financial knowledge, attitudes, and experience positively influence locus of control. However, financial knowledge has a negative effect on financial behavior, while financial attitudes, experience, and locus of control have a positive effect. Notably, locus of control successfully mediates the positive relationship between financial knowledge, attitudes, experience, and financial behavior.Theoretical Contribution/Originality: This research uniquely expands the financial literacy model by incorporating the variable of financial experience. Practitioners/Policy Implications: The study findings are expected to serve as a reference model for the development and mentorship of small and medium enterprises in the Gresik district. Practitioners/Policy Implications: The findings are anticipated to serve as a reference model for the development and mentorship of Small and Medium Enterprises in the Gresik district.","author":[{"dropping-particle":"","family":"Santoso","given":"Rahmat Agus","non-dropping-particle":"","parse-names":false,"suffix":""},{"dropping-particle":"","family":"Vilantika","given":"Elok","non-dropping-particle":"","parse-names":false,"suffix":""},{"dropping-particle":"","family":"Soelistya","given":"Djoko","non-dropping-particle":"","parse-names":false,"suffix":""},{"dropping-particle":"","family":"Liu","given":"Yaoping","non-dropping-particle":"","parse-names":false,"suffix":""}],"container-title":"Jurnal Manajemen Bisnis","id":"ITEM-1","issue":"2","issued":{"date-parts":[["2024"]]},"page":"406-418","title":"Locus of Control Mediates The Impact of Financial Knowledge, Attitudes, and Experience on Financial Behavior","type":"article-journal","volume":"15"},"uris":["http://www.mendeley.com/documents/?uuid=09cb3fbf-f9a9-4169-85f8-c1392d339af6"]}],"mendeley":{"formattedCitation":"(Santoso et al. 2024)","plainTextFormattedCitation":"(Santoso et al. 2024)","previouslyFormattedCitation":"(Santoso et al. 2024)"},"properties":{"noteIndex":0},"schema":"https://github.com/citation-style-language/schema/raw/master/csl-citation.json"}</w:instrText>
            </w:r>
            <w:r w:rsidRPr="00D979BE">
              <w:rPr>
                <w:rFonts w:ascii="Arial" w:hAnsi="Arial" w:cs="Arial"/>
                <w:sz w:val="20"/>
                <w:szCs w:val="20"/>
                <w:highlight w:val="yellow"/>
                <w:lang w:val="id-ID"/>
              </w:rPr>
              <w:fldChar w:fldCharType="separate"/>
            </w:r>
            <w:r w:rsidRPr="00D979BE">
              <w:rPr>
                <w:rFonts w:ascii="Arial" w:hAnsi="Arial" w:cs="Arial"/>
                <w:noProof/>
                <w:sz w:val="20"/>
                <w:szCs w:val="20"/>
                <w:highlight w:val="yellow"/>
                <w:lang w:val="id-ID"/>
              </w:rPr>
              <w:t>(Santoso et al. 2024)</w:t>
            </w:r>
            <w:r w:rsidRPr="00D979BE">
              <w:rPr>
                <w:rFonts w:ascii="Arial" w:hAnsi="Arial" w:cs="Arial"/>
                <w:sz w:val="20"/>
                <w:szCs w:val="20"/>
                <w:highlight w:val="yellow"/>
                <w:lang w:val="id-ID"/>
              </w:rPr>
              <w:fldChar w:fldCharType="end"/>
            </w:r>
          </w:p>
        </w:tc>
      </w:tr>
      <w:tr w:rsidR="000D41EB" w:rsidRPr="005E1216" w14:paraId="5852A266" w14:textId="18A1AF29" w:rsidTr="000D41EB">
        <w:tc>
          <w:tcPr>
            <w:tcW w:w="552" w:type="dxa"/>
          </w:tcPr>
          <w:p w14:paraId="7185BA0D"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4.</w:t>
            </w:r>
          </w:p>
        </w:tc>
        <w:tc>
          <w:tcPr>
            <w:tcW w:w="1657" w:type="dxa"/>
          </w:tcPr>
          <w:p w14:paraId="323F6BC0"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Lifestyle (X3)</w:t>
            </w:r>
          </w:p>
        </w:tc>
        <w:tc>
          <w:tcPr>
            <w:tcW w:w="2732" w:type="dxa"/>
          </w:tcPr>
          <w:p w14:paraId="4615754C" w14:textId="77777777" w:rsidR="000D41EB" w:rsidRPr="005E1216" w:rsidRDefault="000D41EB" w:rsidP="00472CE8">
            <w:pPr>
              <w:tabs>
                <w:tab w:val="left" w:pos="1141"/>
              </w:tabs>
              <w:jc w:val="both"/>
              <w:rPr>
                <w:rFonts w:ascii="Arial" w:hAnsi="Arial" w:cs="Arial"/>
                <w:sz w:val="20"/>
                <w:szCs w:val="20"/>
                <w:lang w:val="id-ID"/>
              </w:rPr>
            </w:pPr>
            <w:r>
              <w:rPr>
                <w:rFonts w:ascii="Arial" w:hAnsi="Arial" w:cs="Arial"/>
                <w:sz w:val="20"/>
                <w:szCs w:val="20"/>
                <w:lang w:val="id-ID"/>
              </w:rPr>
              <w:t>Lifestyle is defined as an individual’s pattern of living expressed trough activities, interests, and opinions. Form an economic perspective, this phenomenon is reflected in consumption behavior and the merchanisms by whitch financial resources and time are allocated, whitch</w:t>
            </w:r>
            <w:r w:rsidRPr="005E1216">
              <w:rPr>
                <w:rFonts w:ascii="Arial" w:hAnsi="Arial" w:cs="Arial"/>
                <w:sz w:val="20"/>
                <w:szCs w:val="20"/>
                <w:lang w:val="id-ID"/>
              </w:rPr>
              <w:t>.</w:t>
            </w:r>
            <w:r>
              <w:rPr>
                <w:rFonts w:ascii="Arial" w:hAnsi="Arial" w:cs="Arial"/>
                <w:sz w:val="20"/>
                <w:szCs w:val="20"/>
                <w:lang w:val="id-ID"/>
              </w:rPr>
              <w:t>are a reflection of the individual’s personal decisions.</w:t>
            </w:r>
          </w:p>
        </w:tc>
        <w:tc>
          <w:tcPr>
            <w:tcW w:w="2618" w:type="dxa"/>
          </w:tcPr>
          <w:p w14:paraId="4041C890" w14:textId="77777777" w:rsidR="000D41EB" w:rsidRPr="005E1216" w:rsidRDefault="000D41EB" w:rsidP="00191D3B">
            <w:pPr>
              <w:pStyle w:val="ListParagraph"/>
              <w:numPr>
                <w:ilvl w:val="0"/>
                <w:numId w:val="8"/>
              </w:numPr>
              <w:tabs>
                <w:tab w:val="left" w:pos="1141"/>
              </w:tabs>
              <w:rPr>
                <w:rFonts w:ascii="Arial" w:hAnsi="Arial" w:cs="Arial"/>
                <w:sz w:val="20"/>
                <w:szCs w:val="20"/>
                <w:lang w:val="id-ID"/>
              </w:rPr>
            </w:pPr>
            <w:r w:rsidRPr="005E1216">
              <w:rPr>
                <w:rFonts w:ascii="Arial" w:hAnsi="Arial" w:cs="Arial"/>
                <w:sz w:val="20"/>
                <w:szCs w:val="20"/>
                <w:lang w:val="id-ID"/>
              </w:rPr>
              <w:t>Human activities in terms of activities</w:t>
            </w:r>
          </w:p>
          <w:p w14:paraId="36B821FE" w14:textId="77777777" w:rsidR="000D41EB" w:rsidRPr="005E1216" w:rsidRDefault="000D41EB" w:rsidP="00191D3B">
            <w:pPr>
              <w:pStyle w:val="ListParagraph"/>
              <w:numPr>
                <w:ilvl w:val="0"/>
                <w:numId w:val="8"/>
              </w:numPr>
              <w:tabs>
                <w:tab w:val="left" w:pos="1141"/>
              </w:tabs>
              <w:rPr>
                <w:rFonts w:ascii="Arial" w:hAnsi="Arial" w:cs="Arial"/>
                <w:sz w:val="20"/>
                <w:szCs w:val="20"/>
                <w:lang w:val="id-ID"/>
              </w:rPr>
            </w:pPr>
            <w:r w:rsidRPr="005E1216">
              <w:rPr>
                <w:rFonts w:ascii="Arial" w:hAnsi="Arial" w:cs="Arial"/>
                <w:sz w:val="20"/>
                <w:szCs w:val="20"/>
                <w:lang w:val="id-ID"/>
              </w:rPr>
              <w:t>Opinion</w:t>
            </w:r>
          </w:p>
          <w:p w14:paraId="0E471739" w14:textId="159680A4" w:rsidR="000D41EB" w:rsidRPr="000B61B6" w:rsidRDefault="000D41EB" w:rsidP="00472CE8">
            <w:pPr>
              <w:pStyle w:val="ListParagraph"/>
              <w:numPr>
                <w:ilvl w:val="0"/>
                <w:numId w:val="8"/>
              </w:numPr>
              <w:tabs>
                <w:tab w:val="left" w:pos="1141"/>
              </w:tabs>
              <w:rPr>
                <w:rFonts w:ascii="Arial" w:hAnsi="Arial" w:cs="Arial"/>
                <w:sz w:val="20"/>
                <w:szCs w:val="20"/>
                <w:lang w:val="id-ID"/>
              </w:rPr>
            </w:pPr>
            <w:r w:rsidRPr="005E1216">
              <w:rPr>
                <w:rFonts w:ascii="Arial" w:hAnsi="Arial" w:cs="Arial"/>
                <w:sz w:val="20"/>
                <w:szCs w:val="20"/>
                <w:lang w:val="id-ID"/>
              </w:rPr>
              <w:t>Interest</w:t>
            </w:r>
          </w:p>
        </w:tc>
        <w:tc>
          <w:tcPr>
            <w:tcW w:w="1801" w:type="dxa"/>
          </w:tcPr>
          <w:p w14:paraId="0DC9683A" w14:textId="19BB2AF6" w:rsidR="000D41EB" w:rsidRPr="00D979BE" w:rsidRDefault="000B61B6" w:rsidP="000B61B6">
            <w:pPr>
              <w:tabs>
                <w:tab w:val="left" w:pos="1141"/>
              </w:tabs>
              <w:rPr>
                <w:rFonts w:ascii="Arial" w:hAnsi="Arial" w:cs="Arial"/>
                <w:sz w:val="20"/>
                <w:szCs w:val="20"/>
                <w:highlight w:val="yellow"/>
                <w:lang w:val="id-ID"/>
              </w:rPr>
            </w:pPr>
            <w:r w:rsidRPr="00D979BE">
              <w:rPr>
                <w:rFonts w:ascii="Arial" w:hAnsi="Arial" w:cs="Arial"/>
                <w:sz w:val="20"/>
                <w:szCs w:val="20"/>
                <w:highlight w:val="yellow"/>
                <w:lang w:val="id-ID"/>
              </w:rPr>
              <w:fldChar w:fldCharType="begin" w:fldLock="1"/>
            </w:r>
            <w:r w:rsidRPr="00D979BE">
              <w:rPr>
                <w:rFonts w:ascii="Arial" w:hAnsi="Arial" w:cs="Arial"/>
                <w:sz w:val="20"/>
                <w:szCs w:val="20"/>
                <w:highlight w:val="yellow"/>
                <w:lang w:val="id-ID"/>
              </w:rPr>
              <w:instrText>ADDIN CSL_CITATION {"citationItems":[{"id":"ITEM-1","itemData":{"DOI":"10.14710/dijb.5.1.2022.33-46","ISSN":"2580-4987","abstract":"This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Business","id":"ITEM-1","issue":"1","issued":{"date-parts":[["2022","6","30"]]},"page":"33-46","publisher":"Institute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behavior","type":"article-journal","volume":"5"},"uris":["http://www.mendeley.com/documents/?uuid=8cc55b9e-d914-3882-acdb-a35224fc8291"]}],"mendeley":{"formattedCitation":"(Widyakto, Liyana, and Rinawati 2022)","plainTextFormattedCitation":"(Widyakto, Liyana, and Rinawati 2022)","previouslyFormattedCitation":"(Widyakto, Liyana, and Rinawati 2022)"},"properties":{"noteIndex":0},"schema":"https://github.com/citation-style-language/schema/raw/master/csl-citation.json"}</w:instrText>
            </w:r>
            <w:r w:rsidRPr="00D979BE">
              <w:rPr>
                <w:rFonts w:ascii="Arial" w:hAnsi="Arial" w:cs="Arial"/>
                <w:sz w:val="20"/>
                <w:szCs w:val="20"/>
                <w:highlight w:val="yellow"/>
                <w:lang w:val="id-ID"/>
              </w:rPr>
              <w:fldChar w:fldCharType="separate"/>
            </w:r>
            <w:r w:rsidRPr="00D979BE">
              <w:rPr>
                <w:rFonts w:ascii="Arial" w:hAnsi="Arial" w:cs="Arial"/>
                <w:noProof/>
                <w:sz w:val="20"/>
                <w:szCs w:val="20"/>
                <w:highlight w:val="yellow"/>
                <w:lang w:val="id-ID"/>
              </w:rPr>
              <w:t>(Widyakto, Liyana, and Rinawati 2022)</w:t>
            </w:r>
            <w:r w:rsidRPr="00D979BE">
              <w:rPr>
                <w:rFonts w:ascii="Arial" w:hAnsi="Arial" w:cs="Arial"/>
                <w:sz w:val="20"/>
                <w:szCs w:val="20"/>
                <w:highlight w:val="yellow"/>
                <w:lang w:val="id-ID"/>
              </w:rPr>
              <w:fldChar w:fldCharType="end"/>
            </w:r>
          </w:p>
        </w:tc>
      </w:tr>
      <w:tr w:rsidR="000D41EB" w:rsidRPr="005E1216" w14:paraId="0347471B" w14:textId="02B0329F" w:rsidTr="000D41EB">
        <w:tc>
          <w:tcPr>
            <w:tcW w:w="552" w:type="dxa"/>
          </w:tcPr>
          <w:p w14:paraId="752D01D6"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5.</w:t>
            </w:r>
          </w:p>
        </w:tc>
        <w:tc>
          <w:tcPr>
            <w:tcW w:w="1657" w:type="dxa"/>
          </w:tcPr>
          <w:p w14:paraId="5AAC6654"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Financial Inclusion (X4)</w:t>
            </w:r>
          </w:p>
        </w:tc>
        <w:tc>
          <w:tcPr>
            <w:tcW w:w="2732" w:type="dxa"/>
          </w:tcPr>
          <w:p w14:paraId="22DE7A76" w14:textId="2C78DA7C" w:rsidR="000D41EB" w:rsidRPr="005E1216" w:rsidRDefault="000D41EB" w:rsidP="00472CE8">
            <w:pPr>
              <w:tabs>
                <w:tab w:val="left" w:pos="1141"/>
              </w:tabs>
              <w:jc w:val="both"/>
              <w:rPr>
                <w:rFonts w:ascii="Arial" w:hAnsi="Arial" w:cs="Arial"/>
                <w:sz w:val="20"/>
                <w:szCs w:val="20"/>
                <w:lang w:val="id-ID"/>
              </w:rPr>
            </w:pPr>
            <w:r w:rsidRPr="005E1216">
              <w:rPr>
                <w:rFonts w:ascii="Arial" w:hAnsi="Arial" w:cs="Arial"/>
                <w:sz w:val="20"/>
                <w:szCs w:val="20"/>
                <w:lang w:val="id-ID"/>
              </w:rPr>
              <w:t xml:space="preserve">Financial inclusion is </w:t>
            </w:r>
            <w:r>
              <w:rPr>
                <w:rFonts w:ascii="Arial" w:hAnsi="Arial" w:cs="Arial"/>
                <w:sz w:val="20"/>
                <w:szCs w:val="20"/>
                <w:lang w:val="id-ID"/>
              </w:rPr>
              <w:t>said to be access to a range of official financial institutions, goods, and services created to satisfy personal needs and capabilities. This access aims to enhance community well-being.</w:t>
            </w:r>
          </w:p>
        </w:tc>
        <w:tc>
          <w:tcPr>
            <w:tcW w:w="2618" w:type="dxa"/>
          </w:tcPr>
          <w:p w14:paraId="4C0CC174" w14:textId="77777777" w:rsidR="000D41EB" w:rsidRPr="005E1216" w:rsidRDefault="000D41EB" w:rsidP="00191D3B">
            <w:pPr>
              <w:pStyle w:val="ListParagraph"/>
              <w:numPr>
                <w:ilvl w:val="0"/>
                <w:numId w:val="9"/>
              </w:numPr>
              <w:tabs>
                <w:tab w:val="left" w:pos="1141"/>
              </w:tabs>
              <w:rPr>
                <w:rFonts w:ascii="Arial" w:hAnsi="Arial" w:cs="Arial"/>
                <w:sz w:val="20"/>
                <w:szCs w:val="20"/>
                <w:lang w:val="id-ID"/>
              </w:rPr>
            </w:pPr>
            <w:r w:rsidRPr="005E1216">
              <w:rPr>
                <w:rFonts w:ascii="Arial" w:hAnsi="Arial" w:cs="Arial"/>
                <w:sz w:val="20"/>
                <w:szCs w:val="20"/>
                <w:lang w:val="id-ID"/>
              </w:rPr>
              <w:t>Access</w:t>
            </w:r>
          </w:p>
          <w:p w14:paraId="20666F03" w14:textId="77777777" w:rsidR="000D41EB" w:rsidRPr="005E1216" w:rsidRDefault="000D41EB" w:rsidP="00191D3B">
            <w:pPr>
              <w:pStyle w:val="ListParagraph"/>
              <w:numPr>
                <w:ilvl w:val="0"/>
                <w:numId w:val="9"/>
              </w:numPr>
              <w:tabs>
                <w:tab w:val="left" w:pos="1141"/>
              </w:tabs>
              <w:rPr>
                <w:rFonts w:ascii="Arial" w:hAnsi="Arial" w:cs="Arial"/>
                <w:sz w:val="20"/>
                <w:szCs w:val="20"/>
                <w:lang w:val="id-ID"/>
              </w:rPr>
            </w:pPr>
            <w:r w:rsidRPr="005E1216">
              <w:rPr>
                <w:rFonts w:ascii="Arial" w:hAnsi="Arial" w:cs="Arial"/>
                <w:sz w:val="20"/>
                <w:szCs w:val="20"/>
                <w:lang w:val="id-ID"/>
              </w:rPr>
              <w:t>Quality</w:t>
            </w:r>
          </w:p>
          <w:p w14:paraId="14BD80D6" w14:textId="77777777" w:rsidR="000D41EB" w:rsidRPr="005E1216" w:rsidRDefault="000D41EB" w:rsidP="00191D3B">
            <w:pPr>
              <w:pStyle w:val="ListParagraph"/>
              <w:numPr>
                <w:ilvl w:val="0"/>
                <w:numId w:val="9"/>
              </w:numPr>
              <w:tabs>
                <w:tab w:val="left" w:pos="1141"/>
              </w:tabs>
              <w:rPr>
                <w:rFonts w:ascii="Arial" w:hAnsi="Arial" w:cs="Arial"/>
                <w:sz w:val="20"/>
                <w:szCs w:val="20"/>
                <w:lang w:val="id-ID"/>
              </w:rPr>
            </w:pPr>
            <w:r w:rsidRPr="005E1216">
              <w:rPr>
                <w:rFonts w:ascii="Arial" w:hAnsi="Arial" w:cs="Arial"/>
                <w:sz w:val="20"/>
                <w:szCs w:val="20"/>
                <w:lang w:val="id-ID"/>
              </w:rPr>
              <w:t>Use</w:t>
            </w:r>
          </w:p>
          <w:p w14:paraId="52362C1D" w14:textId="0163A1D8" w:rsidR="000D41EB" w:rsidRPr="000B61B6" w:rsidRDefault="000D41EB" w:rsidP="00472CE8">
            <w:pPr>
              <w:pStyle w:val="ListParagraph"/>
              <w:numPr>
                <w:ilvl w:val="0"/>
                <w:numId w:val="9"/>
              </w:numPr>
              <w:tabs>
                <w:tab w:val="left" w:pos="1141"/>
              </w:tabs>
              <w:rPr>
                <w:rFonts w:ascii="Arial" w:hAnsi="Arial" w:cs="Arial"/>
                <w:sz w:val="20"/>
                <w:szCs w:val="20"/>
                <w:lang w:val="id-ID"/>
              </w:rPr>
            </w:pPr>
            <w:r w:rsidRPr="005E1216">
              <w:rPr>
                <w:rFonts w:ascii="Arial" w:hAnsi="Arial" w:cs="Arial"/>
                <w:sz w:val="20"/>
                <w:szCs w:val="20"/>
                <w:lang w:val="id-ID"/>
              </w:rPr>
              <w:t>Welfare</w:t>
            </w:r>
          </w:p>
        </w:tc>
        <w:tc>
          <w:tcPr>
            <w:tcW w:w="1801" w:type="dxa"/>
          </w:tcPr>
          <w:p w14:paraId="3C929E0E" w14:textId="36ED28B5" w:rsidR="000D41EB" w:rsidRPr="00D979BE" w:rsidRDefault="000B61B6" w:rsidP="000B61B6">
            <w:pPr>
              <w:tabs>
                <w:tab w:val="left" w:pos="1141"/>
              </w:tabs>
              <w:rPr>
                <w:rFonts w:ascii="Arial" w:hAnsi="Arial" w:cs="Arial"/>
                <w:sz w:val="20"/>
                <w:szCs w:val="20"/>
                <w:highlight w:val="yellow"/>
                <w:lang w:val="id-ID"/>
              </w:rPr>
            </w:pPr>
            <w:r w:rsidRPr="00D979BE">
              <w:rPr>
                <w:rFonts w:ascii="Arial" w:hAnsi="Arial" w:cs="Arial"/>
                <w:sz w:val="20"/>
                <w:szCs w:val="20"/>
                <w:highlight w:val="yellow"/>
                <w:lang w:val="id-ID"/>
              </w:rPr>
              <w:fldChar w:fldCharType="begin" w:fldLock="1"/>
            </w:r>
            <w:r w:rsidRPr="00D979BE">
              <w:rPr>
                <w:rFonts w:ascii="Arial" w:hAnsi="Arial" w:cs="Arial"/>
                <w:sz w:val="20"/>
                <w:szCs w:val="20"/>
                <w:highlight w:val="yellow"/>
                <w:lang w:val="id-ID"/>
              </w:rPr>
              <w:instrText>ADDIN CSL_CITATION {"citationItems":[{"id":"ITEM-1","itemData":{"DOI":"10.37366/ekomabis.v5i02.1403","abstract":"Fokus dari penelitian ini adalah untuk mengetahui bagaimana literasi keuangan, inklusi keuangan, dan digital payment mempengaruhi kinerja usaha kecil dan menengah (UMKM) makanan dan minuman di Kota Padang. Dalam analisis ini  menggunakan sampel sebesar 87 partisipan. Pendekatan validitas yang dipakai yaitu confirmatory factor analysis (CFA), sementara analisis regresi berganda dengan menggunakan STATA  12 dipakai untuk pengujian hipotesis dalam penelitian ini. Data yang diperoleh dari hasil temuan ini menunjukan bahwa literasi keuangan dan inklusi keuangan tidak mendukung hipotesis, sementara itu digital Payment memberikan pengaruh positif terhadap kinerja UMKM makanan dan minuman di Kota Padang. Penelitian ini menyoroti perlunya perhatian khusus dalam pengembangan dan pemanfaatan strategi pengetahuan finansial layanan keuangan yang lebih efektif untuk UMKM agar dapat mencapai dampak positif yang besar terhadap pertumbuhan dan keberlanjutan usaha. Penelitian ini juga memberikan wawasan berharga bagi pelaku UMKM dan pihak terkait untuk meningkatkan digital payment sebagai upaya peningkatan produktivitas UMKM.\r The purpose of this research is to determine the effects of digital payments, financial inclusion, and financial literacy on the performance of food and beverage micro, small, and medium-sized enterprises (MSMEs) in Padang City. A sample of 87 responders was employed in this investigation. Within this research, the hypothesis is tested through multiple regression analysis using STATA 12, and the validity method is confirmatory factor analysis (CFA). The findings of the research show that while the performance of Padang City’s food and beverage MSMEs is positively impacted by digital payment, financial literacy and financial inclusion do not support the hypothesis. This study emphasizes the necessity of giving greater consideration to creating and implementing more efficient financial inclusion and literacy initiatives for MSMEs in order for them to have.","author":[{"dropping-particle":"","family":"Rani","given":"Gita Mai","non-dropping-particle":"","parse-names":false,"suffix":""},{"dropping-particle":"","family":"Desiyanti","given":"Rika","non-dropping-particle":"","parse-names":false,"suffix":""}],"container-title":"EKOMABIS: Jurnal Ekonomi Manajemen Bisnis","id":"ITEM-1","issue":"02","issued":{"date-parts":[["2024"]]},"page":"161-174","title":"Pengaruh Literasi Keuangan, Inklusi Keuangan dan Digital Payment Terhadap Kinerja UMKM Makanan &amp; Minuman di Kota Padang","type":"article-journal","volume":"5"},"uris":["http://www.mendeley.com/documents/?uuid=50caa7bd-2cfd-49ee-87f0-dead8d3a8523"]}],"mendeley":{"formattedCitation":"(Rani and Desiyanti 2024)","plainTextFormattedCitation":"(Rani and Desiyanti 2024)"},"properties":{"noteIndex":0},"schema":"https://github.com/citation-style-language/schema/raw/master/csl-citation.json"}</w:instrText>
            </w:r>
            <w:r w:rsidRPr="00D979BE">
              <w:rPr>
                <w:rFonts w:ascii="Arial" w:hAnsi="Arial" w:cs="Arial"/>
                <w:sz w:val="20"/>
                <w:szCs w:val="20"/>
                <w:highlight w:val="yellow"/>
                <w:lang w:val="id-ID"/>
              </w:rPr>
              <w:fldChar w:fldCharType="separate"/>
            </w:r>
            <w:r w:rsidRPr="00D979BE">
              <w:rPr>
                <w:rFonts w:ascii="Arial" w:hAnsi="Arial" w:cs="Arial"/>
                <w:noProof/>
                <w:sz w:val="20"/>
                <w:szCs w:val="20"/>
                <w:highlight w:val="yellow"/>
                <w:lang w:val="id-ID"/>
              </w:rPr>
              <w:t>(Rani and Desiyanti 2024)</w:t>
            </w:r>
            <w:r w:rsidRPr="00D979BE">
              <w:rPr>
                <w:rFonts w:ascii="Arial" w:hAnsi="Arial" w:cs="Arial"/>
                <w:sz w:val="20"/>
                <w:szCs w:val="20"/>
                <w:highlight w:val="yellow"/>
                <w:lang w:val="id-ID"/>
              </w:rPr>
              <w:fldChar w:fldCharType="end"/>
            </w:r>
          </w:p>
        </w:tc>
      </w:tr>
    </w:tbl>
    <w:p w14:paraId="571A8231" w14:textId="77777777" w:rsidR="00C3157E" w:rsidRDefault="00C3157E" w:rsidP="00191D3B">
      <w:pPr>
        <w:spacing w:after="0"/>
        <w:jc w:val="center"/>
        <w:rPr>
          <w:rFonts w:ascii="Arial" w:hAnsi="Arial"/>
          <w:b/>
          <w:bCs/>
          <w:sz w:val="20"/>
          <w:szCs w:val="20"/>
          <w:lang w:val="id-ID"/>
        </w:rPr>
      </w:pPr>
    </w:p>
    <w:p w14:paraId="69469B3A" w14:textId="77777777" w:rsidR="00191D3B" w:rsidRPr="00C3157E" w:rsidRDefault="00191D3B" w:rsidP="00910524">
      <w:pPr>
        <w:spacing w:after="0"/>
        <w:rPr>
          <w:rFonts w:ascii="Arial" w:hAnsi="Arial"/>
          <w:b/>
          <w:bCs/>
          <w:sz w:val="20"/>
          <w:szCs w:val="20"/>
          <w:lang w:val="id-ID"/>
        </w:rPr>
      </w:pPr>
    </w:p>
    <w:p w14:paraId="13899BE7" w14:textId="5C656961" w:rsidR="00383A66" w:rsidRDefault="00383A66" w:rsidP="00910524">
      <w:pPr>
        <w:spacing w:after="0"/>
        <w:rPr>
          <w:rFonts w:ascii="Arial" w:hAnsi="Arial"/>
          <w:b/>
          <w:bCs/>
          <w:sz w:val="22"/>
          <w:szCs w:val="22"/>
          <w:lang w:val="id-ID"/>
        </w:rPr>
      </w:pPr>
      <w:r>
        <w:rPr>
          <w:rFonts w:ascii="Arial" w:hAnsi="Arial"/>
          <w:b/>
          <w:bCs/>
          <w:sz w:val="22"/>
          <w:szCs w:val="22"/>
          <w:lang w:val="id-ID"/>
        </w:rPr>
        <w:t>4. RESULT AND DISCUSSION</w:t>
      </w:r>
    </w:p>
    <w:p w14:paraId="03B41215" w14:textId="77777777" w:rsidR="00F53ED5" w:rsidRDefault="00F53ED5" w:rsidP="00910524">
      <w:pPr>
        <w:spacing w:after="0"/>
        <w:rPr>
          <w:rFonts w:ascii="Arial" w:hAnsi="Arial"/>
          <w:b/>
          <w:bCs/>
          <w:sz w:val="22"/>
          <w:szCs w:val="22"/>
          <w:lang w:val="id-ID"/>
        </w:rPr>
      </w:pPr>
    </w:p>
    <w:p w14:paraId="54CC3AB4" w14:textId="76C2570E" w:rsidR="00910524" w:rsidRDefault="00910524" w:rsidP="00910524">
      <w:pPr>
        <w:spacing w:after="0"/>
        <w:rPr>
          <w:rFonts w:ascii="Arial" w:hAnsi="Arial"/>
          <w:b/>
          <w:bCs/>
          <w:sz w:val="22"/>
          <w:szCs w:val="22"/>
          <w:lang w:val="id-ID"/>
        </w:rPr>
      </w:pPr>
      <w:r>
        <w:rPr>
          <w:rFonts w:ascii="Arial" w:hAnsi="Arial"/>
          <w:b/>
          <w:bCs/>
          <w:sz w:val="22"/>
          <w:szCs w:val="22"/>
          <w:lang w:val="id-ID"/>
        </w:rPr>
        <w:t>4.1 Result</w:t>
      </w:r>
    </w:p>
    <w:p w14:paraId="46778F01" w14:textId="77777777" w:rsidR="00A47586" w:rsidRDefault="00A47586" w:rsidP="00910524">
      <w:pPr>
        <w:spacing w:after="0"/>
        <w:rPr>
          <w:rFonts w:ascii="Arial" w:hAnsi="Arial"/>
          <w:b/>
          <w:bCs/>
          <w:sz w:val="22"/>
          <w:szCs w:val="22"/>
          <w:lang w:val="id-ID"/>
        </w:rPr>
      </w:pPr>
    </w:p>
    <w:p w14:paraId="7D7580E8" w14:textId="78AED687" w:rsidR="00910524" w:rsidRDefault="00910524" w:rsidP="00910524">
      <w:pPr>
        <w:spacing w:after="0"/>
        <w:rPr>
          <w:rFonts w:ascii="Arial" w:hAnsi="Arial"/>
          <w:sz w:val="22"/>
          <w:szCs w:val="22"/>
          <w:lang w:val="id-ID"/>
        </w:rPr>
      </w:pPr>
      <w:r w:rsidRPr="00D979BE">
        <w:rPr>
          <w:rFonts w:ascii="Arial" w:hAnsi="Arial"/>
          <w:sz w:val="22"/>
          <w:szCs w:val="22"/>
          <w:highlight w:val="yellow"/>
          <w:lang w:val="id-ID"/>
        </w:rPr>
        <w:lastRenderedPageBreak/>
        <w:t>4.1.1 Respon</w:t>
      </w:r>
      <w:r w:rsidR="00D979BE" w:rsidRPr="00D979BE">
        <w:rPr>
          <w:rFonts w:ascii="Arial" w:hAnsi="Arial"/>
          <w:sz w:val="22"/>
          <w:szCs w:val="22"/>
          <w:highlight w:val="yellow"/>
          <w:lang w:val="id-ID"/>
        </w:rPr>
        <w:t>se</w:t>
      </w:r>
      <w:r w:rsidRPr="00D979BE">
        <w:rPr>
          <w:rFonts w:ascii="Arial" w:hAnsi="Arial"/>
          <w:sz w:val="22"/>
          <w:szCs w:val="22"/>
          <w:highlight w:val="yellow"/>
          <w:lang w:val="id-ID"/>
        </w:rPr>
        <w:t xml:space="preserve"> Rate</w:t>
      </w:r>
    </w:p>
    <w:p w14:paraId="2531AFB9" w14:textId="77777777" w:rsidR="00A47586" w:rsidRDefault="00A47586" w:rsidP="00910524">
      <w:pPr>
        <w:spacing w:after="0"/>
        <w:rPr>
          <w:rFonts w:ascii="Arial" w:hAnsi="Arial"/>
          <w:sz w:val="22"/>
          <w:szCs w:val="22"/>
          <w:lang w:val="id-ID"/>
        </w:rPr>
      </w:pPr>
    </w:p>
    <w:p w14:paraId="07397AC3" w14:textId="598730A5" w:rsidR="00A47586" w:rsidRPr="001F0857" w:rsidRDefault="00A47586" w:rsidP="00A47586">
      <w:pPr>
        <w:tabs>
          <w:tab w:val="left" w:pos="1141"/>
        </w:tabs>
        <w:spacing w:after="0"/>
        <w:jc w:val="both"/>
        <w:rPr>
          <w:rFonts w:ascii="Arial" w:hAnsi="Arial" w:cs="Arial"/>
          <w:sz w:val="22"/>
          <w:lang w:val="id-ID"/>
        </w:rPr>
      </w:pPr>
      <w:bookmarkStart w:id="0" w:name="_Hlk217232547"/>
      <w:r w:rsidRPr="005E1216">
        <w:rPr>
          <w:rFonts w:ascii="Arial" w:hAnsi="Arial" w:cs="Arial"/>
          <w:sz w:val="20"/>
          <w:szCs w:val="20"/>
          <w:lang w:val="id-ID"/>
        </w:rPr>
        <w:t xml:space="preserve">Based on the collected data, 169 respondents completed the questionnaire. This indicates a very good level of respondent participation. However, 11 respondents, or 6.5%, failed the screening process because they did not meet the specified respondent criteria, namely "Respondents must have a business duration of ≥ 1 year." As a result, only 158 respondents, or 93.5%, were considered valid and could be used for data analysis. This </w:t>
      </w:r>
      <w:bookmarkEnd w:id="0"/>
      <w:r w:rsidR="00C246E2">
        <w:rPr>
          <w:rFonts w:ascii="Arial" w:hAnsi="Arial" w:cs="Arial"/>
          <w:sz w:val="20"/>
          <w:szCs w:val="20"/>
          <w:lang w:val="id-ID"/>
        </w:rPr>
        <w:t>figure was deemed representative enough to move ahead to the following phase of the study analysis.</w:t>
      </w:r>
    </w:p>
    <w:p w14:paraId="6C92288E" w14:textId="77777777" w:rsidR="00A47586" w:rsidRPr="00A47586" w:rsidRDefault="00A47586" w:rsidP="00910524">
      <w:pPr>
        <w:spacing w:after="0"/>
        <w:rPr>
          <w:rFonts w:ascii="Arial" w:hAnsi="Arial"/>
          <w:sz w:val="22"/>
          <w:szCs w:val="22"/>
          <w:lang w:val="id-ID"/>
        </w:rPr>
      </w:pPr>
    </w:p>
    <w:p w14:paraId="6B8E866D" w14:textId="3BE961EE" w:rsidR="00910524" w:rsidRDefault="00910524" w:rsidP="00910524">
      <w:pPr>
        <w:spacing w:after="0"/>
        <w:rPr>
          <w:rFonts w:ascii="Arial" w:hAnsi="Arial"/>
          <w:sz w:val="22"/>
          <w:szCs w:val="22"/>
          <w:lang w:val="id-ID"/>
        </w:rPr>
      </w:pPr>
      <w:r>
        <w:rPr>
          <w:rFonts w:ascii="Arial" w:hAnsi="Arial"/>
          <w:sz w:val="22"/>
          <w:szCs w:val="22"/>
          <w:lang w:val="id-ID"/>
        </w:rPr>
        <w:t>4.1.2 Respondent Characteristics</w:t>
      </w:r>
    </w:p>
    <w:p w14:paraId="675B29AF" w14:textId="77777777" w:rsidR="00A47586" w:rsidRDefault="00A47586" w:rsidP="00910524">
      <w:pPr>
        <w:spacing w:after="0"/>
        <w:rPr>
          <w:rFonts w:ascii="Arial" w:hAnsi="Arial"/>
          <w:sz w:val="22"/>
          <w:szCs w:val="22"/>
          <w:lang w:val="id-ID"/>
        </w:rPr>
      </w:pPr>
    </w:p>
    <w:p w14:paraId="769597C2" w14:textId="36273B95" w:rsidR="00A47586" w:rsidRDefault="00CE6C52" w:rsidP="008B0090">
      <w:pPr>
        <w:spacing w:after="0"/>
        <w:jc w:val="both"/>
        <w:rPr>
          <w:rFonts w:ascii="Arial" w:hAnsi="Arial" w:cs="Arial"/>
          <w:sz w:val="20"/>
          <w:szCs w:val="20"/>
          <w:lang w:val="id-ID"/>
        </w:rPr>
      </w:pPr>
      <w:r>
        <w:rPr>
          <w:rFonts w:ascii="Arial" w:hAnsi="Arial" w:cs="Arial"/>
          <w:sz w:val="20"/>
          <w:szCs w:val="20"/>
          <w:lang w:val="id-ID"/>
        </w:rPr>
        <w:t>The established criteria were met by 158 participants in this study.</w:t>
      </w:r>
      <w:r w:rsidR="00A47586" w:rsidRPr="00E1000D">
        <w:rPr>
          <w:rFonts w:ascii="Arial" w:hAnsi="Arial" w:cs="Arial"/>
          <w:sz w:val="20"/>
          <w:szCs w:val="20"/>
          <w:lang w:val="id-ID"/>
        </w:rPr>
        <w:t xml:space="preserve">. Table 2 below presents the demographic data of respondents during the study period. In terms of gender, respondents is this study were predominantly female, age 21-30 years, and predominantly held a bachelor’s/diploma degree. The majority of respondents were engeged in trade, </w:t>
      </w:r>
      <w:r w:rsidR="00A47586">
        <w:rPr>
          <w:rFonts w:ascii="Arial" w:hAnsi="Arial" w:cs="Arial"/>
          <w:sz w:val="20"/>
          <w:szCs w:val="20"/>
          <w:lang w:val="id-ID"/>
        </w:rPr>
        <w:t xml:space="preserve">with thw majority having fewer than five employees </w:t>
      </w:r>
      <w:r w:rsidR="00A47586" w:rsidRPr="00E1000D">
        <w:rPr>
          <w:rFonts w:ascii="Arial" w:hAnsi="Arial" w:cs="Arial"/>
          <w:sz w:val="20"/>
          <w:szCs w:val="20"/>
          <w:lang w:val="id-ID"/>
        </w:rPr>
        <w:t>, and with a maximum business duration of 1-5 years</w:t>
      </w:r>
      <w:r w:rsidR="008B0090">
        <w:rPr>
          <w:rFonts w:ascii="Arial" w:hAnsi="Arial" w:cs="Arial"/>
          <w:sz w:val="20"/>
          <w:szCs w:val="20"/>
          <w:lang w:val="id-ID"/>
        </w:rPr>
        <w:t>.</w:t>
      </w:r>
    </w:p>
    <w:p w14:paraId="7D2BD536" w14:textId="77777777" w:rsidR="00CA5198" w:rsidRDefault="00CA5198" w:rsidP="00CA5198">
      <w:pPr>
        <w:spacing w:after="0"/>
        <w:jc w:val="center"/>
        <w:rPr>
          <w:rFonts w:ascii="Arial" w:hAnsi="Arial" w:cs="Arial"/>
          <w:sz w:val="20"/>
          <w:szCs w:val="20"/>
          <w:lang w:val="id-ID"/>
        </w:rPr>
      </w:pPr>
    </w:p>
    <w:p w14:paraId="49430EA2" w14:textId="77777777" w:rsidR="009F61B6" w:rsidRDefault="009F61B6" w:rsidP="009F61B6">
      <w:pPr>
        <w:tabs>
          <w:tab w:val="left" w:pos="1141"/>
        </w:tabs>
        <w:spacing w:after="0"/>
        <w:ind w:left="360"/>
        <w:jc w:val="center"/>
        <w:rPr>
          <w:rFonts w:ascii="Arial" w:hAnsi="Arial" w:cs="Arial"/>
          <w:b/>
          <w:bCs/>
          <w:sz w:val="20"/>
          <w:szCs w:val="20"/>
          <w:lang w:val="id-ID"/>
        </w:rPr>
      </w:pPr>
      <w:r w:rsidRPr="005E1216">
        <w:rPr>
          <w:rFonts w:ascii="Arial" w:hAnsi="Arial" w:cs="Arial"/>
          <w:b/>
          <w:bCs/>
          <w:sz w:val="20"/>
          <w:szCs w:val="20"/>
          <w:lang w:val="id-ID"/>
        </w:rPr>
        <w:t>Table 2. Respondent Characteristics</w:t>
      </w:r>
    </w:p>
    <w:p w14:paraId="02C47E31" w14:textId="77777777" w:rsidR="009F61B6" w:rsidRDefault="009F61B6" w:rsidP="009F61B6">
      <w:pPr>
        <w:tabs>
          <w:tab w:val="left" w:pos="1141"/>
        </w:tabs>
        <w:spacing w:after="0"/>
        <w:ind w:left="360"/>
        <w:jc w:val="center"/>
        <w:rPr>
          <w:rFonts w:ascii="Arial" w:hAnsi="Arial" w:cs="Arial"/>
          <w:b/>
          <w:bCs/>
          <w:sz w:val="20"/>
          <w:szCs w:val="20"/>
          <w:lang w:val="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8"/>
        <w:gridCol w:w="2268"/>
        <w:gridCol w:w="1518"/>
        <w:gridCol w:w="2010"/>
      </w:tblGrid>
      <w:tr w:rsidR="00F1702A" w:rsidRPr="00F1702A" w14:paraId="10738ACF" w14:textId="77777777" w:rsidTr="00BF3238">
        <w:trPr>
          <w:jc w:val="center"/>
        </w:trPr>
        <w:tc>
          <w:tcPr>
            <w:tcW w:w="2268" w:type="dxa"/>
          </w:tcPr>
          <w:p w14:paraId="5123C174" w14:textId="78666765" w:rsidR="00F1702A" w:rsidRPr="00F1702A" w:rsidRDefault="00F1702A" w:rsidP="00F1702A">
            <w:pPr>
              <w:tabs>
                <w:tab w:val="left" w:pos="1141"/>
              </w:tabs>
              <w:rPr>
                <w:rFonts w:ascii="Arial" w:hAnsi="Arial" w:cs="Arial"/>
                <w:b/>
                <w:bCs/>
                <w:sz w:val="20"/>
                <w:szCs w:val="20"/>
                <w:lang w:val="id-ID"/>
              </w:rPr>
            </w:pPr>
            <w:r w:rsidRPr="005E1216">
              <w:rPr>
                <w:rFonts w:ascii="Arial" w:hAnsi="Arial" w:cs="Arial"/>
                <w:b/>
                <w:bCs/>
                <w:sz w:val="20"/>
                <w:szCs w:val="20"/>
                <w:lang w:val="id-ID"/>
              </w:rPr>
              <w:t>Characteristics</w:t>
            </w:r>
          </w:p>
        </w:tc>
        <w:tc>
          <w:tcPr>
            <w:tcW w:w="2268" w:type="dxa"/>
          </w:tcPr>
          <w:p w14:paraId="63C150F6" w14:textId="19BDA05B" w:rsidR="00F1702A" w:rsidRPr="00F1702A" w:rsidRDefault="00F1702A" w:rsidP="00F1702A">
            <w:pPr>
              <w:tabs>
                <w:tab w:val="left" w:pos="1141"/>
              </w:tabs>
              <w:rPr>
                <w:rFonts w:ascii="Arial" w:hAnsi="Arial" w:cs="Arial"/>
                <w:b/>
                <w:bCs/>
                <w:sz w:val="20"/>
                <w:szCs w:val="20"/>
                <w:lang w:val="id-ID"/>
              </w:rPr>
            </w:pPr>
            <w:r w:rsidRPr="005E1216">
              <w:rPr>
                <w:rFonts w:ascii="Arial" w:hAnsi="Arial" w:cs="Arial"/>
                <w:b/>
                <w:bCs/>
                <w:sz w:val="20"/>
                <w:szCs w:val="20"/>
                <w:lang w:val="id-ID"/>
              </w:rPr>
              <w:t>Criteria</w:t>
            </w:r>
          </w:p>
        </w:tc>
        <w:tc>
          <w:tcPr>
            <w:tcW w:w="1518" w:type="dxa"/>
          </w:tcPr>
          <w:p w14:paraId="0A4BD4B2" w14:textId="748FB3E0" w:rsidR="00F1702A" w:rsidRPr="00F1702A" w:rsidRDefault="00F1702A" w:rsidP="00F1702A">
            <w:pPr>
              <w:tabs>
                <w:tab w:val="left" w:pos="1141"/>
              </w:tabs>
              <w:rPr>
                <w:rFonts w:ascii="Arial" w:hAnsi="Arial" w:cs="Arial"/>
                <w:b/>
                <w:bCs/>
                <w:sz w:val="20"/>
                <w:szCs w:val="20"/>
                <w:lang w:val="id-ID"/>
              </w:rPr>
            </w:pPr>
            <w:r w:rsidRPr="005E1216">
              <w:rPr>
                <w:rFonts w:ascii="Arial" w:hAnsi="Arial" w:cs="Arial"/>
                <w:b/>
                <w:bCs/>
                <w:sz w:val="20"/>
                <w:szCs w:val="20"/>
                <w:lang w:val="id-ID"/>
              </w:rPr>
              <w:t>Amount</w:t>
            </w:r>
          </w:p>
        </w:tc>
        <w:tc>
          <w:tcPr>
            <w:tcW w:w="2010" w:type="dxa"/>
          </w:tcPr>
          <w:p w14:paraId="1A2B76A6" w14:textId="0A60BC0A" w:rsidR="00F1702A" w:rsidRPr="00F1702A" w:rsidRDefault="00F1702A" w:rsidP="00F1702A">
            <w:pPr>
              <w:tabs>
                <w:tab w:val="left" w:pos="1141"/>
              </w:tabs>
              <w:rPr>
                <w:rFonts w:ascii="Arial" w:hAnsi="Arial" w:cs="Arial"/>
                <w:b/>
                <w:bCs/>
                <w:sz w:val="20"/>
                <w:szCs w:val="20"/>
                <w:lang w:val="id-ID"/>
              </w:rPr>
            </w:pPr>
            <w:r w:rsidRPr="005E1216">
              <w:rPr>
                <w:rFonts w:ascii="Arial" w:hAnsi="Arial" w:cs="Arial"/>
                <w:b/>
                <w:bCs/>
                <w:sz w:val="20"/>
                <w:szCs w:val="20"/>
                <w:lang w:val="id-ID"/>
              </w:rPr>
              <w:t>Percentage (%)</w:t>
            </w:r>
          </w:p>
        </w:tc>
      </w:tr>
      <w:tr w:rsidR="00F1702A" w:rsidRPr="00F1702A" w14:paraId="732675E9" w14:textId="77777777" w:rsidTr="00BF3238">
        <w:trPr>
          <w:jc w:val="center"/>
        </w:trPr>
        <w:tc>
          <w:tcPr>
            <w:tcW w:w="2268" w:type="dxa"/>
            <w:tcBorders>
              <w:bottom w:val="nil"/>
            </w:tcBorders>
          </w:tcPr>
          <w:p w14:paraId="3BA0EC22" w14:textId="23DE5B00"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Gender</w:t>
            </w:r>
          </w:p>
        </w:tc>
        <w:tc>
          <w:tcPr>
            <w:tcW w:w="2268" w:type="dxa"/>
            <w:tcBorders>
              <w:bottom w:val="nil"/>
            </w:tcBorders>
          </w:tcPr>
          <w:p w14:paraId="278FB263" w14:textId="091573DE"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Man</w:t>
            </w:r>
          </w:p>
        </w:tc>
        <w:tc>
          <w:tcPr>
            <w:tcW w:w="1518" w:type="dxa"/>
            <w:tcBorders>
              <w:bottom w:val="nil"/>
            </w:tcBorders>
          </w:tcPr>
          <w:p w14:paraId="4EBB583B"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66</w:t>
            </w:r>
          </w:p>
        </w:tc>
        <w:tc>
          <w:tcPr>
            <w:tcW w:w="2010" w:type="dxa"/>
            <w:tcBorders>
              <w:bottom w:val="nil"/>
            </w:tcBorders>
          </w:tcPr>
          <w:p w14:paraId="0434A83A"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41,7%</w:t>
            </w:r>
          </w:p>
        </w:tc>
      </w:tr>
      <w:tr w:rsidR="00F1702A" w:rsidRPr="00F1702A" w14:paraId="60083E1F" w14:textId="77777777" w:rsidTr="00BF3238">
        <w:trPr>
          <w:jc w:val="center"/>
        </w:trPr>
        <w:tc>
          <w:tcPr>
            <w:tcW w:w="2268" w:type="dxa"/>
            <w:tcBorders>
              <w:top w:val="nil"/>
              <w:bottom w:val="nil"/>
            </w:tcBorders>
          </w:tcPr>
          <w:p w14:paraId="2586585E"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2DF8D734" w14:textId="11A3A830"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Woman</w:t>
            </w:r>
          </w:p>
        </w:tc>
        <w:tc>
          <w:tcPr>
            <w:tcW w:w="1518" w:type="dxa"/>
            <w:tcBorders>
              <w:top w:val="nil"/>
              <w:bottom w:val="nil"/>
            </w:tcBorders>
          </w:tcPr>
          <w:p w14:paraId="3E64C38D"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92</w:t>
            </w:r>
          </w:p>
        </w:tc>
        <w:tc>
          <w:tcPr>
            <w:tcW w:w="2010" w:type="dxa"/>
            <w:tcBorders>
              <w:top w:val="nil"/>
              <w:bottom w:val="nil"/>
            </w:tcBorders>
          </w:tcPr>
          <w:p w14:paraId="3AAED403"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58,3%</w:t>
            </w:r>
          </w:p>
        </w:tc>
      </w:tr>
      <w:tr w:rsidR="00F1702A" w:rsidRPr="00F1702A" w14:paraId="53FE0FD3" w14:textId="77777777" w:rsidTr="00BF3238">
        <w:trPr>
          <w:jc w:val="center"/>
        </w:trPr>
        <w:tc>
          <w:tcPr>
            <w:tcW w:w="2268" w:type="dxa"/>
            <w:tcBorders>
              <w:top w:val="nil"/>
              <w:bottom w:val="nil"/>
            </w:tcBorders>
          </w:tcPr>
          <w:p w14:paraId="37440C98" w14:textId="6CE4DADB"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Age</w:t>
            </w:r>
          </w:p>
        </w:tc>
        <w:tc>
          <w:tcPr>
            <w:tcW w:w="2268" w:type="dxa"/>
            <w:tcBorders>
              <w:top w:val="nil"/>
              <w:bottom w:val="nil"/>
            </w:tcBorders>
          </w:tcPr>
          <w:p w14:paraId="48A3FB2F" w14:textId="5E0C747C"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 20 Years</w:t>
            </w:r>
          </w:p>
        </w:tc>
        <w:tc>
          <w:tcPr>
            <w:tcW w:w="1518" w:type="dxa"/>
            <w:tcBorders>
              <w:top w:val="nil"/>
              <w:bottom w:val="nil"/>
            </w:tcBorders>
          </w:tcPr>
          <w:p w14:paraId="55E81D5A"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w:t>
            </w:r>
          </w:p>
        </w:tc>
        <w:tc>
          <w:tcPr>
            <w:tcW w:w="2010" w:type="dxa"/>
            <w:tcBorders>
              <w:top w:val="nil"/>
              <w:bottom w:val="nil"/>
            </w:tcBorders>
          </w:tcPr>
          <w:p w14:paraId="44BAF962"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1,9%</w:t>
            </w:r>
          </w:p>
        </w:tc>
      </w:tr>
      <w:tr w:rsidR="00F1702A" w:rsidRPr="00F1702A" w14:paraId="64D621E9" w14:textId="77777777" w:rsidTr="00BF3238">
        <w:trPr>
          <w:jc w:val="center"/>
        </w:trPr>
        <w:tc>
          <w:tcPr>
            <w:tcW w:w="2268" w:type="dxa"/>
            <w:tcBorders>
              <w:top w:val="nil"/>
              <w:bottom w:val="nil"/>
            </w:tcBorders>
          </w:tcPr>
          <w:p w14:paraId="54B1E8B8"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4839B73B" w14:textId="389D5A81"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21 – 30 Years</w:t>
            </w:r>
          </w:p>
        </w:tc>
        <w:tc>
          <w:tcPr>
            <w:tcW w:w="1518" w:type="dxa"/>
            <w:tcBorders>
              <w:top w:val="nil"/>
              <w:bottom w:val="nil"/>
            </w:tcBorders>
          </w:tcPr>
          <w:p w14:paraId="69372AD9"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82</w:t>
            </w:r>
          </w:p>
        </w:tc>
        <w:tc>
          <w:tcPr>
            <w:tcW w:w="2010" w:type="dxa"/>
            <w:tcBorders>
              <w:top w:val="nil"/>
              <w:bottom w:val="nil"/>
            </w:tcBorders>
          </w:tcPr>
          <w:p w14:paraId="0473AD9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51,9%</w:t>
            </w:r>
          </w:p>
        </w:tc>
      </w:tr>
      <w:tr w:rsidR="00F1702A" w:rsidRPr="00F1702A" w14:paraId="48F9737B" w14:textId="77777777" w:rsidTr="00BF3238">
        <w:trPr>
          <w:jc w:val="center"/>
        </w:trPr>
        <w:tc>
          <w:tcPr>
            <w:tcW w:w="2268" w:type="dxa"/>
            <w:tcBorders>
              <w:top w:val="nil"/>
              <w:bottom w:val="nil"/>
            </w:tcBorders>
          </w:tcPr>
          <w:p w14:paraId="05DFD51E"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76FFA1D5" w14:textId="001A9D0B"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31 – 40 Years</w:t>
            </w:r>
          </w:p>
        </w:tc>
        <w:tc>
          <w:tcPr>
            <w:tcW w:w="1518" w:type="dxa"/>
            <w:tcBorders>
              <w:top w:val="nil"/>
              <w:bottom w:val="nil"/>
            </w:tcBorders>
          </w:tcPr>
          <w:p w14:paraId="47F0629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58</w:t>
            </w:r>
          </w:p>
        </w:tc>
        <w:tc>
          <w:tcPr>
            <w:tcW w:w="2010" w:type="dxa"/>
            <w:tcBorders>
              <w:top w:val="nil"/>
              <w:bottom w:val="nil"/>
            </w:tcBorders>
          </w:tcPr>
          <w:p w14:paraId="6C02F838"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36,7%</w:t>
            </w:r>
          </w:p>
        </w:tc>
      </w:tr>
      <w:tr w:rsidR="00F1702A" w:rsidRPr="00F1702A" w14:paraId="2BDF21AD" w14:textId="77777777" w:rsidTr="00BF3238">
        <w:trPr>
          <w:jc w:val="center"/>
        </w:trPr>
        <w:tc>
          <w:tcPr>
            <w:tcW w:w="2268" w:type="dxa"/>
            <w:tcBorders>
              <w:top w:val="nil"/>
              <w:bottom w:val="nil"/>
            </w:tcBorders>
          </w:tcPr>
          <w:p w14:paraId="24D00855"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5BDC65C4" w14:textId="6DE3B2EE"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&gt; 40 Years</w:t>
            </w:r>
          </w:p>
        </w:tc>
        <w:tc>
          <w:tcPr>
            <w:tcW w:w="1518" w:type="dxa"/>
            <w:tcBorders>
              <w:top w:val="nil"/>
              <w:bottom w:val="nil"/>
            </w:tcBorders>
          </w:tcPr>
          <w:p w14:paraId="3138F595"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15</w:t>
            </w:r>
          </w:p>
        </w:tc>
        <w:tc>
          <w:tcPr>
            <w:tcW w:w="2010" w:type="dxa"/>
            <w:tcBorders>
              <w:top w:val="nil"/>
              <w:bottom w:val="nil"/>
            </w:tcBorders>
          </w:tcPr>
          <w:p w14:paraId="713225C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9,5%</w:t>
            </w:r>
          </w:p>
        </w:tc>
      </w:tr>
      <w:tr w:rsidR="00F1702A" w:rsidRPr="00F1702A" w14:paraId="6A63AE56" w14:textId="77777777" w:rsidTr="00BF3238">
        <w:trPr>
          <w:jc w:val="center"/>
        </w:trPr>
        <w:tc>
          <w:tcPr>
            <w:tcW w:w="2268" w:type="dxa"/>
            <w:tcBorders>
              <w:top w:val="nil"/>
              <w:bottom w:val="nil"/>
            </w:tcBorders>
          </w:tcPr>
          <w:p w14:paraId="2A1BA51E" w14:textId="63EA06F2"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Level of education</w:t>
            </w:r>
          </w:p>
        </w:tc>
        <w:tc>
          <w:tcPr>
            <w:tcW w:w="2268" w:type="dxa"/>
            <w:tcBorders>
              <w:top w:val="nil"/>
              <w:bottom w:val="nil"/>
            </w:tcBorders>
          </w:tcPr>
          <w:p w14:paraId="019A3D61" w14:textId="770CDA53" w:rsidR="00F1702A" w:rsidRPr="00F1702A" w:rsidRDefault="008A0736" w:rsidP="00F1702A">
            <w:pPr>
              <w:tabs>
                <w:tab w:val="left" w:pos="1141"/>
              </w:tabs>
              <w:rPr>
                <w:rFonts w:ascii="Arial" w:hAnsi="Arial" w:cs="Arial"/>
                <w:sz w:val="20"/>
                <w:szCs w:val="20"/>
                <w:lang w:val="id-ID"/>
              </w:rPr>
            </w:pPr>
            <w:r>
              <w:rPr>
                <w:rFonts w:ascii="Arial" w:hAnsi="Arial" w:cs="Arial"/>
                <w:sz w:val="20"/>
                <w:szCs w:val="20"/>
                <w:lang w:val="id-ID"/>
              </w:rPr>
              <w:t>Junior High School</w:t>
            </w:r>
          </w:p>
        </w:tc>
        <w:tc>
          <w:tcPr>
            <w:tcW w:w="1518" w:type="dxa"/>
            <w:tcBorders>
              <w:top w:val="nil"/>
              <w:bottom w:val="nil"/>
            </w:tcBorders>
          </w:tcPr>
          <w:p w14:paraId="15315EAC"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w:t>
            </w:r>
          </w:p>
        </w:tc>
        <w:tc>
          <w:tcPr>
            <w:tcW w:w="2010" w:type="dxa"/>
            <w:tcBorders>
              <w:top w:val="nil"/>
              <w:bottom w:val="nil"/>
            </w:tcBorders>
          </w:tcPr>
          <w:p w14:paraId="2209BB5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3,8%</w:t>
            </w:r>
          </w:p>
        </w:tc>
      </w:tr>
      <w:tr w:rsidR="00F1702A" w:rsidRPr="00F1702A" w14:paraId="17CA75B0" w14:textId="77777777" w:rsidTr="00BF3238">
        <w:trPr>
          <w:jc w:val="center"/>
        </w:trPr>
        <w:tc>
          <w:tcPr>
            <w:tcW w:w="2268" w:type="dxa"/>
            <w:tcBorders>
              <w:top w:val="nil"/>
              <w:bottom w:val="nil"/>
            </w:tcBorders>
          </w:tcPr>
          <w:p w14:paraId="0D23F944"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381E6398" w14:textId="39916BA8" w:rsidR="00F1702A" w:rsidRPr="00F1702A" w:rsidRDefault="008A0736" w:rsidP="00F1702A">
            <w:pPr>
              <w:tabs>
                <w:tab w:val="left" w:pos="1141"/>
              </w:tabs>
              <w:rPr>
                <w:rFonts w:ascii="Arial" w:hAnsi="Arial" w:cs="Arial"/>
                <w:sz w:val="20"/>
                <w:szCs w:val="20"/>
                <w:lang w:val="id-ID"/>
              </w:rPr>
            </w:pPr>
            <w:r>
              <w:rPr>
                <w:rFonts w:ascii="Arial" w:hAnsi="Arial" w:cs="Arial"/>
                <w:sz w:val="20"/>
                <w:szCs w:val="20"/>
                <w:lang w:val="id-ID"/>
              </w:rPr>
              <w:t>Senior High School</w:t>
            </w:r>
          </w:p>
        </w:tc>
        <w:tc>
          <w:tcPr>
            <w:tcW w:w="1518" w:type="dxa"/>
            <w:tcBorders>
              <w:top w:val="nil"/>
              <w:bottom w:val="nil"/>
            </w:tcBorders>
          </w:tcPr>
          <w:p w14:paraId="00DF9969"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63</w:t>
            </w:r>
          </w:p>
        </w:tc>
        <w:tc>
          <w:tcPr>
            <w:tcW w:w="2010" w:type="dxa"/>
            <w:tcBorders>
              <w:top w:val="nil"/>
              <w:bottom w:val="nil"/>
            </w:tcBorders>
          </w:tcPr>
          <w:p w14:paraId="1D0D06CC"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39,9%</w:t>
            </w:r>
          </w:p>
        </w:tc>
      </w:tr>
      <w:tr w:rsidR="00F1702A" w:rsidRPr="00F1702A" w14:paraId="5262C856" w14:textId="77777777" w:rsidTr="00BF3238">
        <w:trPr>
          <w:jc w:val="center"/>
        </w:trPr>
        <w:tc>
          <w:tcPr>
            <w:tcW w:w="2268" w:type="dxa"/>
            <w:tcBorders>
              <w:top w:val="nil"/>
              <w:bottom w:val="nil"/>
            </w:tcBorders>
          </w:tcPr>
          <w:p w14:paraId="4D119B0B"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3775DCBC" w14:textId="314EBE69" w:rsidR="00F1702A" w:rsidRPr="00F1702A" w:rsidRDefault="008A0736" w:rsidP="00F1702A">
            <w:pPr>
              <w:tabs>
                <w:tab w:val="left" w:pos="1141"/>
              </w:tabs>
              <w:rPr>
                <w:rFonts w:ascii="Arial" w:hAnsi="Arial" w:cs="Arial"/>
                <w:sz w:val="20"/>
                <w:szCs w:val="20"/>
                <w:lang w:val="id-ID"/>
              </w:rPr>
            </w:pPr>
            <w:r>
              <w:rPr>
                <w:rFonts w:ascii="Arial" w:hAnsi="Arial" w:cs="Arial"/>
                <w:sz w:val="20"/>
                <w:szCs w:val="20"/>
                <w:lang w:val="id-ID"/>
              </w:rPr>
              <w:t>Bachelor</w:t>
            </w:r>
            <w:r w:rsidR="00F1702A">
              <w:rPr>
                <w:rFonts w:ascii="Arial" w:hAnsi="Arial" w:cs="Arial"/>
                <w:sz w:val="20"/>
                <w:szCs w:val="20"/>
                <w:lang w:val="id-ID"/>
              </w:rPr>
              <w:t>/</w:t>
            </w:r>
            <w:r w:rsidR="00F1702A" w:rsidRPr="005E1216">
              <w:rPr>
                <w:rFonts w:ascii="Arial" w:hAnsi="Arial" w:cs="Arial"/>
                <w:sz w:val="20"/>
                <w:szCs w:val="20"/>
                <w:lang w:val="id-ID"/>
              </w:rPr>
              <w:t>Diploma</w:t>
            </w:r>
          </w:p>
        </w:tc>
        <w:tc>
          <w:tcPr>
            <w:tcW w:w="1518" w:type="dxa"/>
            <w:tcBorders>
              <w:top w:val="nil"/>
              <w:bottom w:val="nil"/>
            </w:tcBorders>
          </w:tcPr>
          <w:p w14:paraId="3FA1F17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86</w:t>
            </w:r>
          </w:p>
        </w:tc>
        <w:tc>
          <w:tcPr>
            <w:tcW w:w="2010" w:type="dxa"/>
            <w:tcBorders>
              <w:top w:val="nil"/>
              <w:bottom w:val="nil"/>
            </w:tcBorders>
          </w:tcPr>
          <w:p w14:paraId="42B91B8D"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54,4%</w:t>
            </w:r>
          </w:p>
        </w:tc>
      </w:tr>
      <w:tr w:rsidR="00F1702A" w:rsidRPr="00F1702A" w14:paraId="14E4C2F9" w14:textId="77777777" w:rsidTr="00BF3238">
        <w:trPr>
          <w:jc w:val="center"/>
        </w:trPr>
        <w:tc>
          <w:tcPr>
            <w:tcW w:w="2268" w:type="dxa"/>
            <w:tcBorders>
              <w:top w:val="nil"/>
              <w:bottom w:val="nil"/>
            </w:tcBorders>
          </w:tcPr>
          <w:p w14:paraId="32AC7C76"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1E2F7FF4" w14:textId="372627AA" w:rsidR="00F1702A" w:rsidRPr="00F1702A" w:rsidRDefault="008A0736" w:rsidP="00F1702A">
            <w:pPr>
              <w:tabs>
                <w:tab w:val="left" w:pos="1141"/>
              </w:tabs>
              <w:rPr>
                <w:rFonts w:ascii="Arial" w:hAnsi="Arial" w:cs="Arial"/>
                <w:sz w:val="20"/>
                <w:szCs w:val="20"/>
                <w:lang w:val="id-ID"/>
              </w:rPr>
            </w:pPr>
            <w:r>
              <w:rPr>
                <w:rFonts w:ascii="Arial" w:hAnsi="Arial" w:cs="Arial"/>
                <w:sz w:val="20"/>
                <w:szCs w:val="20"/>
                <w:lang w:val="id-ID"/>
              </w:rPr>
              <w:t>Postgraduate</w:t>
            </w:r>
          </w:p>
        </w:tc>
        <w:tc>
          <w:tcPr>
            <w:tcW w:w="1518" w:type="dxa"/>
            <w:tcBorders>
              <w:top w:val="nil"/>
              <w:bottom w:val="nil"/>
            </w:tcBorders>
          </w:tcPr>
          <w:p w14:paraId="1F4C794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w:t>
            </w:r>
          </w:p>
        </w:tc>
        <w:tc>
          <w:tcPr>
            <w:tcW w:w="2010" w:type="dxa"/>
            <w:tcBorders>
              <w:top w:val="nil"/>
              <w:bottom w:val="nil"/>
            </w:tcBorders>
          </w:tcPr>
          <w:p w14:paraId="53D45C4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1,9%</w:t>
            </w:r>
          </w:p>
        </w:tc>
      </w:tr>
      <w:tr w:rsidR="00F1702A" w:rsidRPr="00F1702A" w14:paraId="50D85C42" w14:textId="77777777" w:rsidTr="00BF3238">
        <w:trPr>
          <w:jc w:val="center"/>
        </w:trPr>
        <w:tc>
          <w:tcPr>
            <w:tcW w:w="2268" w:type="dxa"/>
            <w:tcBorders>
              <w:top w:val="nil"/>
              <w:bottom w:val="nil"/>
            </w:tcBorders>
          </w:tcPr>
          <w:p w14:paraId="27188042" w14:textId="34127B24"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Business fields</w:t>
            </w:r>
          </w:p>
        </w:tc>
        <w:tc>
          <w:tcPr>
            <w:tcW w:w="2268" w:type="dxa"/>
            <w:tcBorders>
              <w:top w:val="nil"/>
              <w:bottom w:val="nil"/>
            </w:tcBorders>
          </w:tcPr>
          <w:p w14:paraId="71FD277C" w14:textId="735BCD46"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Trading</w:t>
            </w:r>
          </w:p>
        </w:tc>
        <w:tc>
          <w:tcPr>
            <w:tcW w:w="1518" w:type="dxa"/>
            <w:tcBorders>
              <w:top w:val="nil"/>
              <w:bottom w:val="nil"/>
            </w:tcBorders>
          </w:tcPr>
          <w:p w14:paraId="17E0B324"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113</w:t>
            </w:r>
          </w:p>
        </w:tc>
        <w:tc>
          <w:tcPr>
            <w:tcW w:w="2010" w:type="dxa"/>
            <w:tcBorders>
              <w:top w:val="nil"/>
              <w:bottom w:val="nil"/>
            </w:tcBorders>
          </w:tcPr>
          <w:p w14:paraId="22451F8E"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71,5%</w:t>
            </w:r>
          </w:p>
        </w:tc>
      </w:tr>
      <w:tr w:rsidR="00F1702A" w:rsidRPr="00F1702A" w14:paraId="3AFC7D43" w14:textId="77777777" w:rsidTr="00BF3238">
        <w:trPr>
          <w:jc w:val="center"/>
        </w:trPr>
        <w:tc>
          <w:tcPr>
            <w:tcW w:w="2268" w:type="dxa"/>
            <w:tcBorders>
              <w:top w:val="nil"/>
              <w:bottom w:val="nil"/>
            </w:tcBorders>
          </w:tcPr>
          <w:p w14:paraId="1758295E"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2C37C960" w14:textId="3B85F827"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Manufacturing</w:t>
            </w:r>
          </w:p>
        </w:tc>
        <w:tc>
          <w:tcPr>
            <w:tcW w:w="1518" w:type="dxa"/>
            <w:tcBorders>
              <w:top w:val="nil"/>
              <w:bottom w:val="nil"/>
            </w:tcBorders>
          </w:tcPr>
          <w:p w14:paraId="733533A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17</w:t>
            </w:r>
          </w:p>
        </w:tc>
        <w:tc>
          <w:tcPr>
            <w:tcW w:w="2010" w:type="dxa"/>
            <w:tcBorders>
              <w:top w:val="nil"/>
              <w:bottom w:val="nil"/>
            </w:tcBorders>
          </w:tcPr>
          <w:p w14:paraId="5B0A7377"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10,7%</w:t>
            </w:r>
          </w:p>
        </w:tc>
      </w:tr>
      <w:tr w:rsidR="00F1702A" w:rsidRPr="00F1702A" w14:paraId="585F92B0" w14:textId="77777777" w:rsidTr="00BF3238">
        <w:trPr>
          <w:jc w:val="center"/>
        </w:trPr>
        <w:tc>
          <w:tcPr>
            <w:tcW w:w="2268" w:type="dxa"/>
            <w:tcBorders>
              <w:top w:val="nil"/>
              <w:bottom w:val="nil"/>
            </w:tcBorders>
          </w:tcPr>
          <w:p w14:paraId="035E55CD"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550E4082" w14:textId="606F4438"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Service</w:t>
            </w:r>
          </w:p>
        </w:tc>
        <w:tc>
          <w:tcPr>
            <w:tcW w:w="1518" w:type="dxa"/>
            <w:tcBorders>
              <w:top w:val="nil"/>
              <w:bottom w:val="nil"/>
            </w:tcBorders>
          </w:tcPr>
          <w:p w14:paraId="1ECDAD6B"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28</w:t>
            </w:r>
          </w:p>
        </w:tc>
        <w:tc>
          <w:tcPr>
            <w:tcW w:w="2010" w:type="dxa"/>
            <w:tcBorders>
              <w:top w:val="nil"/>
              <w:bottom w:val="nil"/>
            </w:tcBorders>
          </w:tcPr>
          <w:p w14:paraId="5382B4D1"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17,7%</w:t>
            </w:r>
          </w:p>
        </w:tc>
      </w:tr>
      <w:tr w:rsidR="00F1702A" w:rsidRPr="00F1702A" w14:paraId="5E342ECF" w14:textId="77777777" w:rsidTr="00BF3238">
        <w:trPr>
          <w:jc w:val="center"/>
        </w:trPr>
        <w:tc>
          <w:tcPr>
            <w:tcW w:w="2268" w:type="dxa"/>
            <w:tcBorders>
              <w:top w:val="nil"/>
              <w:bottom w:val="nil"/>
            </w:tcBorders>
          </w:tcPr>
          <w:p w14:paraId="658B3ED4" w14:textId="35D6F579"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Number of employees</w:t>
            </w:r>
          </w:p>
        </w:tc>
        <w:tc>
          <w:tcPr>
            <w:tcW w:w="2268" w:type="dxa"/>
            <w:tcBorders>
              <w:top w:val="nil"/>
              <w:bottom w:val="nil"/>
            </w:tcBorders>
          </w:tcPr>
          <w:p w14:paraId="29F64381" w14:textId="52AF0BC5"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&lt; 5 Employees</w:t>
            </w:r>
          </w:p>
        </w:tc>
        <w:tc>
          <w:tcPr>
            <w:tcW w:w="1518" w:type="dxa"/>
            <w:tcBorders>
              <w:top w:val="nil"/>
              <w:bottom w:val="nil"/>
            </w:tcBorders>
          </w:tcPr>
          <w:p w14:paraId="6788625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95</w:t>
            </w:r>
          </w:p>
        </w:tc>
        <w:tc>
          <w:tcPr>
            <w:tcW w:w="2010" w:type="dxa"/>
            <w:tcBorders>
              <w:top w:val="nil"/>
              <w:bottom w:val="nil"/>
            </w:tcBorders>
          </w:tcPr>
          <w:p w14:paraId="7631591A"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60,1%</w:t>
            </w:r>
          </w:p>
        </w:tc>
      </w:tr>
      <w:tr w:rsidR="00F1702A" w:rsidRPr="00F1702A" w14:paraId="491FB4FC" w14:textId="77777777" w:rsidTr="00BF3238">
        <w:trPr>
          <w:jc w:val="center"/>
        </w:trPr>
        <w:tc>
          <w:tcPr>
            <w:tcW w:w="2268" w:type="dxa"/>
            <w:tcBorders>
              <w:top w:val="nil"/>
              <w:bottom w:val="nil"/>
            </w:tcBorders>
          </w:tcPr>
          <w:p w14:paraId="12F4987D"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4C8AAC5B" w14:textId="22F241DF"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5 – 19 Employees</w:t>
            </w:r>
          </w:p>
        </w:tc>
        <w:tc>
          <w:tcPr>
            <w:tcW w:w="1518" w:type="dxa"/>
            <w:tcBorders>
              <w:top w:val="nil"/>
              <w:bottom w:val="nil"/>
            </w:tcBorders>
          </w:tcPr>
          <w:p w14:paraId="7F02FAB1"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60</w:t>
            </w:r>
          </w:p>
        </w:tc>
        <w:tc>
          <w:tcPr>
            <w:tcW w:w="2010" w:type="dxa"/>
            <w:tcBorders>
              <w:top w:val="nil"/>
              <w:bottom w:val="nil"/>
            </w:tcBorders>
          </w:tcPr>
          <w:p w14:paraId="30585E2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38%</w:t>
            </w:r>
          </w:p>
        </w:tc>
      </w:tr>
      <w:tr w:rsidR="00F1702A" w:rsidRPr="00F1702A" w14:paraId="13424E3E" w14:textId="77777777" w:rsidTr="00BF3238">
        <w:trPr>
          <w:jc w:val="center"/>
        </w:trPr>
        <w:tc>
          <w:tcPr>
            <w:tcW w:w="2268" w:type="dxa"/>
            <w:tcBorders>
              <w:top w:val="nil"/>
              <w:bottom w:val="nil"/>
            </w:tcBorders>
          </w:tcPr>
          <w:p w14:paraId="606F0CB3"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1F47111C" w14:textId="210CE7F7"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20 – 99 Employees</w:t>
            </w:r>
          </w:p>
        </w:tc>
        <w:tc>
          <w:tcPr>
            <w:tcW w:w="1518" w:type="dxa"/>
            <w:tcBorders>
              <w:top w:val="nil"/>
              <w:bottom w:val="nil"/>
            </w:tcBorders>
          </w:tcPr>
          <w:p w14:paraId="04683019"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w:t>
            </w:r>
          </w:p>
        </w:tc>
        <w:tc>
          <w:tcPr>
            <w:tcW w:w="2010" w:type="dxa"/>
            <w:tcBorders>
              <w:top w:val="nil"/>
              <w:bottom w:val="nil"/>
            </w:tcBorders>
          </w:tcPr>
          <w:p w14:paraId="2C09E927"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1,9%</w:t>
            </w:r>
          </w:p>
        </w:tc>
      </w:tr>
      <w:tr w:rsidR="00A238C8" w:rsidRPr="00F1702A" w14:paraId="784E45AC" w14:textId="77777777" w:rsidTr="00BF3238">
        <w:trPr>
          <w:jc w:val="center"/>
        </w:trPr>
        <w:tc>
          <w:tcPr>
            <w:tcW w:w="2268" w:type="dxa"/>
            <w:tcBorders>
              <w:top w:val="nil"/>
              <w:bottom w:val="nil"/>
            </w:tcBorders>
          </w:tcPr>
          <w:p w14:paraId="71C06887" w14:textId="33FCCEC2" w:rsidR="00A238C8" w:rsidRPr="00F1702A" w:rsidRDefault="00A238C8" w:rsidP="00A238C8">
            <w:pPr>
              <w:tabs>
                <w:tab w:val="left" w:pos="1141"/>
              </w:tabs>
              <w:rPr>
                <w:rFonts w:ascii="Arial" w:hAnsi="Arial" w:cs="Arial"/>
                <w:sz w:val="20"/>
                <w:szCs w:val="20"/>
                <w:lang w:val="id-ID"/>
              </w:rPr>
            </w:pPr>
            <w:r w:rsidRPr="005E1216">
              <w:rPr>
                <w:rFonts w:ascii="Arial" w:hAnsi="Arial" w:cs="Arial"/>
                <w:sz w:val="20"/>
                <w:szCs w:val="20"/>
                <w:lang w:val="id-ID"/>
              </w:rPr>
              <w:t>Length of Business</w:t>
            </w:r>
          </w:p>
        </w:tc>
        <w:tc>
          <w:tcPr>
            <w:tcW w:w="2268" w:type="dxa"/>
            <w:tcBorders>
              <w:top w:val="nil"/>
              <w:bottom w:val="nil"/>
            </w:tcBorders>
          </w:tcPr>
          <w:p w14:paraId="7D76F23C" w14:textId="044AA210" w:rsidR="00A238C8" w:rsidRPr="00A238C8" w:rsidRDefault="00A238C8" w:rsidP="00A238C8">
            <w:pPr>
              <w:tabs>
                <w:tab w:val="left" w:pos="1141"/>
              </w:tabs>
              <w:rPr>
                <w:rFonts w:ascii="Arial" w:hAnsi="Arial" w:cs="Arial"/>
                <w:sz w:val="20"/>
                <w:szCs w:val="20"/>
                <w:lang w:val="id-ID"/>
              </w:rPr>
            </w:pPr>
            <w:r>
              <w:rPr>
                <w:rFonts w:ascii="Arial" w:hAnsi="Arial" w:cs="Arial"/>
                <w:sz w:val="20"/>
                <w:szCs w:val="20"/>
                <w:lang w:val="id-ID"/>
              </w:rPr>
              <w:t>1</w:t>
            </w:r>
            <w:r w:rsidRPr="005E1216">
              <w:rPr>
                <w:rFonts w:ascii="Arial" w:hAnsi="Arial" w:cs="Arial"/>
                <w:sz w:val="20"/>
                <w:szCs w:val="20"/>
                <w:lang w:val="id-ID"/>
              </w:rPr>
              <w:t xml:space="preserve"> –</w:t>
            </w:r>
            <w:r>
              <w:rPr>
                <w:rFonts w:ascii="Arial" w:hAnsi="Arial" w:cs="Arial"/>
                <w:sz w:val="20"/>
                <w:szCs w:val="20"/>
                <w:lang w:val="id-ID"/>
              </w:rPr>
              <w:t xml:space="preserve"> 5</w:t>
            </w:r>
            <w:r w:rsidRPr="005E1216">
              <w:rPr>
                <w:rFonts w:ascii="Arial" w:hAnsi="Arial" w:cs="Arial"/>
                <w:sz w:val="20"/>
                <w:szCs w:val="20"/>
                <w:lang w:val="id-ID"/>
              </w:rPr>
              <w:t xml:space="preserve"> Years</w:t>
            </w:r>
          </w:p>
        </w:tc>
        <w:tc>
          <w:tcPr>
            <w:tcW w:w="1518" w:type="dxa"/>
            <w:tcBorders>
              <w:top w:val="nil"/>
              <w:bottom w:val="nil"/>
            </w:tcBorders>
          </w:tcPr>
          <w:p w14:paraId="5737D6EA" w14:textId="77777777" w:rsidR="00A238C8" w:rsidRPr="00F1702A" w:rsidRDefault="00A238C8" w:rsidP="00A238C8">
            <w:pPr>
              <w:tabs>
                <w:tab w:val="left" w:pos="1141"/>
              </w:tabs>
              <w:rPr>
                <w:rFonts w:ascii="Arial" w:hAnsi="Arial" w:cs="Arial"/>
                <w:sz w:val="20"/>
                <w:szCs w:val="20"/>
                <w:lang w:val="id-ID"/>
              </w:rPr>
            </w:pPr>
            <w:r w:rsidRPr="00F1702A">
              <w:rPr>
                <w:rFonts w:ascii="Arial" w:hAnsi="Arial" w:cs="Arial"/>
                <w:sz w:val="20"/>
                <w:szCs w:val="20"/>
                <w:lang w:val="id-ID"/>
              </w:rPr>
              <w:t>104</w:t>
            </w:r>
          </w:p>
        </w:tc>
        <w:tc>
          <w:tcPr>
            <w:tcW w:w="2010" w:type="dxa"/>
            <w:tcBorders>
              <w:top w:val="nil"/>
              <w:bottom w:val="nil"/>
            </w:tcBorders>
          </w:tcPr>
          <w:p w14:paraId="143CB73C" w14:textId="77777777" w:rsidR="00A238C8" w:rsidRPr="00F1702A" w:rsidRDefault="00A238C8" w:rsidP="00A238C8">
            <w:pPr>
              <w:tabs>
                <w:tab w:val="left" w:pos="1141"/>
              </w:tabs>
              <w:rPr>
                <w:rFonts w:ascii="Arial" w:hAnsi="Arial" w:cs="Arial"/>
                <w:sz w:val="20"/>
                <w:szCs w:val="20"/>
                <w:lang w:val="id-ID"/>
              </w:rPr>
            </w:pPr>
            <w:r w:rsidRPr="00F1702A">
              <w:rPr>
                <w:rFonts w:ascii="Arial" w:hAnsi="Arial" w:cs="Arial"/>
                <w:sz w:val="20"/>
                <w:szCs w:val="20"/>
                <w:lang w:val="id-ID"/>
              </w:rPr>
              <w:t>66%</w:t>
            </w:r>
          </w:p>
        </w:tc>
      </w:tr>
      <w:tr w:rsidR="00F1702A" w:rsidRPr="00F1702A" w14:paraId="54D28D0E" w14:textId="77777777" w:rsidTr="00BF3238">
        <w:trPr>
          <w:jc w:val="center"/>
        </w:trPr>
        <w:tc>
          <w:tcPr>
            <w:tcW w:w="2268" w:type="dxa"/>
            <w:tcBorders>
              <w:top w:val="nil"/>
              <w:bottom w:val="nil"/>
            </w:tcBorders>
          </w:tcPr>
          <w:p w14:paraId="6DD3BF42"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6F5D36D8" w14:textId="3E37E880"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6 –</w:t>
            </w:r>
            <w:r w:rsidR="00A238C8">
              <w:rPr>
                <w:rFonts w:ascii="Arial" w:hAnsi="Arial" w:cs="Arial"/>
                <w:sz w:val="20"/>
                <w:szCs w:val="20"/>
                <w:lang w:val="id-ID"/>
              </w:rPr>
              <w:t xml:space="preserve"> </w:t>
            </w:r>
            <w:r w:rsidRPr="005E1216">
              <w:rPr>
                <w:rFonts w:ascii="Arial" w:hAnsi="Arial" w:cs="Arial"/>
                <w:sz w:val="20"/>
                <w:szCs w:val="20"/>
                <w:lang w:val="id-ID"/>
              </w:rPr>
              <w:t>10 Years</w:t>
            </w:r>
          </w:p>
        </w:tc>
        <w:tc>
          <w:tcPr>
            <w:tcW w:w="1518" w:type="dxa"/>
            <w:tcBorders>
              <w:top w:val="nil"/>
              <w:bottom w:val="nil"/>
            </w:tcBorders>
          </w:tcPr>
          <w:p w14:paraId="660DDDA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40</w:t>
            </w:r>
          </w:p>
        </w:tc>
        <w:tc>
          <w:tcPr>
            <w:tcW w:w="2010" w:type="dxa"/>
            <w:tcBorders>
              <w:top w:val="nil"/>
              <w:bottom w:val="nil"/>
            </w:tcBorders>
          </w:tcPr>
          <w:p w14:paraId="3CFD19C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25,1%</w:t>
            </w:r>
          </w:p>
        </w:tc>
      </w:tr>
      <w:tr w:rsidR="00F1702A" w:rsidRPr="00F1702A" w14:paraId="03CA1582" w14:textId="77777777" w:rsidTr="00BF3238">
        <w:trPr>
          <w:jc w:val="center"/>
        </w:trPr>
        <w:tc>
          <w:tcPr>
            <w:tcW w:w="2268" w:type="dxa"/>
            <w:tcBorders>
              <w:top w:val="nil"/>
              <w:bottom w:val="nil"/>
            </w:tcBorders>
          </w:tcPr>
          <w:p w14:paraId="2C7A40E8"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6918D08E" w14:textId="2BEEFC4E"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11 – 15 Years</w:t>
            </w:r>
          </w:p>
        </w:tc>
        <w:tc>
          <w:tcPr>
            <w:tcW w:w="1518" w:type="dxa"/>
            <w:tcBorders>
              <w:top w:val="nil"/>
              <w:bottom w:val="nil"/>
            </w:tcBorders>
          </w:tcPr>
          <w:p w14:paraId="7805D457"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11</w:t>
            </w:r>
          </w:p>
        </w:tc>
        <w:tc>
          <w:tcPr>
            <w:tcW w:w="2010" w:type="dxa"/>
            <w:tcBorders>
              <w:top w:val="nil"/>
              <w:bottom w:val="nil"/>
            </w:tcBorders>
          </w:tcPr>
          <w:p w14:paraId="12AFF802"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7%</w:t>
            </w:r>
          </w:p>
        </w:tc>
      </w:tr>
      <w:tr w:rsidR="00F1702A" w:rsidRPr="00F1702A" w14:paraId="30778E68" w14:textId="77777777" w:rsidTr="00BF3238">
        <w:trPr>
          <w:jc w:val="center"/>
        </w:trPr>
        <w:tc>
          <w:tcPr>
            <w:tcW w:w="2268" w:type="dxa"/>
            <w:tcBorders>
              <w:top w:val="nil"/>
              <w:bottom w:val="single" w:sz="4" w:space="0" w:color="auto"/>
            </w:tcBorders>
          </w:tcPr>
          <w:p w14:paraId="7AA7D937"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single" w:sz="4" w:space="0" w:color="auto"/>
            </w:tcBorders>
          </w:tcPr>
          <w:p w14:paraId="14450DA4" w14:textId="054A0627"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&gt; 15 Years</w:t>
            </w:r>
          </w:p>
        </w:tc>
        <w:tc>
          <w:tcPr>
            <w:tcW w:w="1518" w:type="dxa"/>
            <w:tcBorders>
              <w:top w:val="nil"/>
              <w:bottom w:val="single" w:sz="4" w:space="0" w:color="auto"/>
            </w:tcBorders>
          </w:tcPr>
          <w:p w14:paraId="38290D64"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w:t>
            </w:r>
          </w:p>
        </w:tc>
        <w:tc>
          <w:tcPr>
            <w:tcW w:w="2010" w:type="dxa"/>
            <w:tcBorders>
              <w:top w:val="nil"/>
              <w:bottom w:val="single" w:sz="4" w:space="0" w:color="auto"/>
            </w:tcBorders>
          </w:tcPr>
          <w:p w14:paraId="19F393BE"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1,9%</w:t>
            </w:r>
          </w:p>
        </w:tc>
      </w:tr>
    </w:tbl>
    <w:p w14:paraId="70E81F55" w14:textId="77777777" w:rsidR="005F0D20" w:rsidRDefault="005F0D20" w:rsidP="009F61B6">
      <w:pPr>
        <w:tabs>
          <w:tab w:val="left" w:pos="1141"/>
        </w:tabs>
        <w:spacing w:after="0"/>
        <w:ind w:left="360"/>
        <w:jc w:val="center"/>
        <w:rPr>
          <w:rFonts w:ascii="Arial" w:hAnsi="Arial" w:cs="Arial"/>
          <w:i/>
          <w:iCs/>
          <w:sz w:val="20"/>
          <w:szCs w:val="20"/>
          <w:lang w:val="id-ID"/>
        </w:rPr>
      </w:pPr>
      <w:r w:rsidRPr="00F1702A">
        <w:rPr>
          <w:rFonts w:ascii="Arial" w:hAnsi="Arial" w:cs="Arial"/>
          <w:i/>
          <w:iCs/>
          <w:sz w:val="20"/>
          <w:szCs w:val="20"/>
          <w:lang w:val="id-ID"/>
        </w:rPr>
        <w:t>Source: Results of quetionnaires filled out by respondents, 2025</w:t>
      </w:r>
    </w:p>
    <w:p w14:paraId="0B727464" w14:textId="77777777" w:rsidR="009F61B6" w:rsidRPr="009F61B6" w:rsidRDefault="009F61B6" w:rsidP="009F61B6">
      <w:pPr>
        <w:tabs>
          <w:tab w:val="left" w:pos="1141"/>
        </w:tabs>
        <w:spacing w:after="0"/>
        <w:ind w:left="360"/>
        <w:jc w:val="center"/>
        <w:rPr>
          <w:rFonts w:ascii="Arial" w:hAnsi="Arial" w:cs="Arial"/>
          <w:sz w:val="20"/>
          <w:szCs w:val="20"/>
          <w:lang w:val="id-ID"/>
        </w:rPr>
      </w:pPr>
    </w:p>
    <w:p w14:paraId="55486F02" w14:textId="0D113960" w:rsidR="00A47586" w:rsidRDefault="001B7C33" w:rsidP="008A0736">
      <w:pPr>
        <w:spacing w:after="0"/>
        <w:jc w:val="center"/>
        <w:rPr>
          <w:rFonts w:ascii="Arial" w:hAnsi="Arial"/>
          <w:sz w:val="20"/>
          <w:szCs w:val="20"/>
          <w:lang w:val="id-ID"/>
        </w:rPr>
      </w:pPr>
      <w:r>
        <w:rPr>
          <w:rFonts w:ascii="Arial" w:hAnsi="Arial"/>
          <w:noProof/>
          <w:sz w:val="20"/>
          <w:szCs w:val="20"/>
          <w:lang w:val="id-ID"/>
        </w:rPr>
        <w:lastRenderedPageBreak/>
        <w:drawing>
          <wp:inline distT="0" distB="0" distL="0" distR="0" wp14:anchorId="68D2E02E" wp14:editId="6F6C2880">
            <wp:extent cx="6105700" cy="4029740"/>
            <wp:effectExtent l="0" t="0" r="9525" b="8890"/>
            <wp:docPr id="21118387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38702" name="Picture 2111838702"/>
                    <pic:cNvPicPr/>
                  </pic:nvPicPr>
                  <pic:blipFill rotWithShape="1">
                    <a:blip r:embed="rId9">
                      <a:extLst>
                        <a:ext uri="{28A0092B-C50C-407E-A947-70E740481C1C}">
                          <a14:useLocalDpi xmlns:a14="http://schemas.microsoft.com/office/drawing/2010/main" val="0"/>
                        </a:ext>
                      </a:extLst>
                    </a:blip>
                    <a:srcRect t="15283"/>
                    <a:stretch>
                      <a:fillRect/>
                    </a:stretch>
                  </pic:blipFill>
                  <pic:spPr bwMode="auto">
                    <a:xfrm>
                      <a:off x="0" y="0"/>
                      <a:ext cx="6166844" cy="4070095"/>
                    </a:xfrm>
                    <a:prstGeom prst="rect">
                      <a:avLst/>
                    </a:prstGeom>
                    <a:ln>
                      <a:noFill/>
                    </a:ln>
                    <a:extLst>
                      <a:ext uri="{53640926-AAD7-44D8-BBD7-CCE9431645EC}">
                        <a14:shadowObscured xmlns:a14="http://schemas.microsoft.com/office/drawing/2010/main"/>
                      </a:ext>
                    </a:extLst>
                  </pic:spPr>
                </pic:pic>
              </a:graphicData>
            </a:graphic>
          </wp:inline>
        </w:drawing>
      </w:r>
    </w:p>
    <w:p w14:paraId="7DE034CB" w14:textId="77777777" w:rsidR="009F61B6" w:rsidRPr="005E1216" w:rsidRDefault="009F61B6" w:rsidP="009F61B6">
      <w:pPr>
        <w:tabs>
          <w:tab w:val="left" w:pos="1141"/>
        </w:tabs>
        <w:spacing w:after="0"/>
        <w:ind w:left="360"/>
        <w:jc w:val="center"/>
        <w:rPr>
          <w:rFonts w:ascii="Arial" w:hAnsi="Arial" w:cs="Arial"/>
          <w:b/>
          <w:bCs/>
          <w:sz w:val="20"/>
          <w:szCs w:val="20"/>
          <w:lang w:val="id-ID"/>
        </w:rPr>
      </w:pPr>
      <w:r>
        <w:rPr>
          <w:rFonts w:ascii="Arial" w:hAnsi="Arial"/>
          <w:b/>
          <w:bCs/>
          <w:sz w:val="20"/>
          <w:szCs w:val="20"/>
          <w:lang w:val="id-ID"/>
        </w:rPr>
        <w:t xml:space="preserve">Fig. 3. </w:t>
      </w:r>
      <w:r w:rsidRPr="005E1216">
        <w:rPr>
          <w:rFonts w:ascii="Arial" w:hAnsi="Arial" w:cs="Arial"/>
          <w:b/>
          <w:bCs/>
          <w:sz w:val="20"/>
          <w:szCs w:val="20"/>
          <w:lang w:val="id-ID"/>
        </w:rPr>
        <w:t>Hypothesis Model and Outer Loading Values</w:t>
      </w:r>
    </w:p>
    <w:p w14:paraId="1D564529" w14:textId="77777777" w:rsidR="009F61B6" w:rsidRPr="00D94742" w:rsidRDefault="009F61B6" w:rsidP="009F61B6">
      <w:pPr>
        <w:tabs>
          <w:tab w:val="left" w:pos="1141"/>
        </w:tabs>
        <w:spacing w:after="0"/>
        <w:ind w:left="360"/>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15AF8E4E" w14:textId="11A801A6" w:rsidR="001B7C33" w:rsidRPr="009F61B6" w:rsidRDefault="001B7C33" w:rsidP="005F0D20">
      <w:pPr>
        <w:spacing w:after="0"/>
        <w:jc w:val="center"/>
        <w:rPr>
          <w:rFonts w:ascii="Arial" w:hAnsi="Arial"/>
          <w:b/>
          <w:bCs/>
          <w:sz w:val="20"/>
          <w:szCs w:val="20"/>
          <w:lang w:val="id-ID"/>
        </w:rPr>
      </w:pPr>
    </w:p>
    <w:p w14:paraId="21DE5E01" w14:textId="55A3D865" w:rsidR="00910524" w:rsidRDefault="00910524" w:rsidP="00910524">
      <w:pPr>
        <w:spacing w:after="0"/>
        <w:rPr>
          <w:rFonts w:ascii="Arial" w:hAnsi="Arial"/>
          <w:sz w:val="22"/>
          <w:szCs w:val="22"/>
          <w:lang w:val="id-ID"/>
        </w:rPr>
      </w:pPr>
      <w:r>
        <w:rPr>
          <w:rFonts w:ascii="Arial" w:hAnsi="Arial"/>
          <w:sz w:val="22"/>
          <w:szCs w:val="22"/>
          <w:lang w:val="id-ID"/>
        </w:rPr>
        <w:t>4.1.3 Outer Model</w:t>
      </w:r>
    </w:p>
    <w:p w14:paraId="0CE1433F" w14:textId="77777777" w:rsidR="00C16090" w:rsidRDefault="00C16090" w:rsidP="00C16090">
      <w:pPr>
        <w:tabs>
          <w:tab w:val="left" w:pos="1141"/>
        </w:tabs>
        <w:spacing w:after="0"/>
        <w:jc w:val="both"/>
        <w:rPr>
          <w:rFonts w:ascii="Arial" w:hAnsi="Arial" w:cs="Arial"/>
          <w:sz w:val="20"/>
          <w:szCs w:val="20"/>
          <w:lang w:val="id-ID"/>
        </w:rPr>
      </w:pPr>
    </w:p>
    <w:p w14:paraId="6B9F6CBF" w14:textId="32388C12" w:rsidR="008D6C43" w:rsidRDefault="008D6C43" w:rsidP="00C16090">
      <w:pPr>
        <w:tabs>
          <w:tab w:val="left" w:pos="1141"/>
        </w:tabs>
        <w:spacing w:after="0"/>
        <w:jc w:val="both"/>
        <w:rPr>
          <w:rFonts w:ascii="Arial" w:hAnsi="Arial" w:cs="Arial"/>
          <w:b/>
          <w:bCs/>
          <w:sz w:val="22"/>
          <w:lang w:val="id-ID"/>
        </w:rPr>
      </w:pPr>
      <w:r w:rsidRPr="005E1216">
        <w:rPr>
          <w:rFonts w:ascii="Arial" w:hAnsi="Arial" w:cs="Arial"/>
          <w:sz w:val="20"/>
          <w:szCs w:val="20"/>
          <w:lang w:val="id-ID"/>
        </w:rPr>
        <w:t>According to</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{"citationItems":[{"id":"ITEM-1","itemData":{"DOI":"10.2991/aebmr.k.211225.033","abstract":"This study examines the effect of financial literacy and financial experience on financial performance using financial behavior as a mediator. One novelty of this research is to test the role of financial behavior as a mediating variable. The sample of this study was 91 SMEs located in Purwokerto, Indonesia. This study provides evidence of the positive effect of financial literacy on SMEs' financial behavior and financial performance. This study has not provided evidence of the mediating role of financial behavior on the relationship between financial literacy and financial experience on SME financial performance.","author":[{"dropping-particle":"","family":"Purwidianti","given":"Wida","non-dropping-particle":"","parse-names":false,"suffix":""},{"dropping-particle":"","family":"Tubastuvi","given":"Naelati","non-dropping-particle":"","parse-names":false,"suffix":""},{"dropping-particle":"","family":"Darmawan","given":"Akhmad","non-dropping-particle":"","parse-names":false,"suffix":""},{"dropping-particle":"","family":"Rahmawati","given":"Ika Yustina","non-dropping-particle":"","parse-names":false,"suffix":""}],"container-title":"Proceedings of the International Conference on Sustainable Innovation Track Accounting and Management Sciences (ICOSIAMS 2021)","id":"ITEM-1","issue":"Icosiams 2021","issued":{"date-parts":[["2022"]]},"page":"235-241","title":"Does Financial Behavior Mediate The Relationship Between Financial Literacy and Financial Experience Towards Financial Performance of Small Businesses?","type":"article-journal","volume":"201"},"uris":["http://www.mendeley.com/documents/?uuid=46d370e7-a46b-4161-be9a-5869d4b55a11"]}],"mendeley":{"formattedCitation":"(Purwidianti et al. 2022)","manualFormatting":"Purwidianti et al. (2022)","plainTextFormattedCitation":"(Purwidianti et al. 2022)","previouslyFormattedCitation":"(Purwidianti et al. 2022)"},"properties":{"noteIndex":0},"schema":"https://github.com/citation-style-language/schema/raw/master/csl-citation.json"}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Purwidianti et al. (2022)</w:t>
      </w:r>
      <w:r w:rsidRPr="005E1216">
        <w:rPr>
          <w:rFonts w:ascii="Arial" w:hAnsi="Arial" w:cs="Arial"/>
          <w:sz w:val="20"/>
          <w:szCs w:val="20"/>
          <w:lang w:val="id-ID"/>
        </w:rPr>
        <w:fldChar w:fldCharType="end"/>
      </w:r>
      <w:r>
        <w:rPr>
          <w:rFonts w:ascii="Arial" w:hAnsi="Arial" w:cs="Arial"/>
          <w:sz w:val="20"/>
          <w:szCs w:val="20"/>
          <w:lang w:val="id-ID"/>
        </w:rPr>
        <w:t>,</w:t>
      </w:r>
      <w:r w:rsidR="006D51A5">
        <w:rPr>
          <w:rFonts w:ascii="Arial" w:hAnsi="Arial" w:cs="Arial"/>
          <w:sz w:val="20"/>
          <w:szCs w:val="20"/>
          <w:lang w:val="id-ID"/>
        </w:rPr>
        <w:t xml:space="preserve"> outer to gua</w:t>
      </w:r>
      <w:r w:rsidR="00AA35FD">
        <w:rPr>
          <w:rFonts w:ascii="Arial" w:hAnsi="Arial" w:cs="Arial"/>
          <w:sz w:val="20"/>
          <w:szCs w:val="20"/>
          <w:lang w:val="id-ID"/>
        </w:rPr>
        <w:t>rantee that the measurement tool applied satisfies reliability and validity requirements</w:t>
      </w:r>
      <w:r w:rsidR="00A45BBF">
        <w:rPr>
          <w:rFonts w:ascii="Arial" w:hAnsi="Arial" w:cs="Arial"/>
          <w:sz w:val="20"/>
          <w:szCs w:val="20"/>
          <w:lang w:val="id-ID"/>
        </w:rPr>
        <w:t>, model analysis is needed</w:t>
      </w:r>
      <w:r w:rsidRPr="005E1216">
        <w:rPr>
          <w:rFonts w:ascii="Arial" w:hAnsi="Arial" w:cs="Arial"/>
          <w:sz w:val="20"/>
          <w:szCs w:val="20"/>
          <w:lang w:val="id-ID"/>
        </w:rPr>
        <w:t>. Three criteria are applied in this measurement: construct validity and reliability, convergent validity, and composite reliability.</w:t>
      </w:r>
    </w:p>
    <w:p w14:paraId="5E1BD392" w14:textId="77777777" w:rsidR="008D6C43" w:rsidRDefault="008D6C43" w:rsidP="008D6C43">
      <w:pPr>
        <w:tabs>
          <w:tab w:val="left" w:pos="1141"/>
        </w:tabs>
        <w:spacing w:after="0"/>
        <w:ind w:left="66"/>
        <w:jc w:val="both"/>
        <w:rPr>
          <w:rFonts w:ascii="Arial" w:hAnsi="Arial" w:cs="Arial"/>
          <w:sz w:val="20"/>
          <w:szCs w:val="20"/>
          <w:lang w:val="id-ID"/>
        </w:rPr>
      </w:pPr>
    </w:p>
    <w:p w14:paraId="12A1C600" w14:textId="77777777" w:rsidR="00C16090" w:rsidRDefault="008D6C43" w:rsidP="00C16090">
      <w:pPr>
        <w:tabs>
          <w:tab w:val="left" w:pos="1141"/>
        </w:tabs>
        <w:spacing w:after="0"/>
        <w:jc w:val="both"/>
        <w:rPr>
          <w:rFonts w:ascii="Arial" w:hAnsi="Arial" w:cs="Arial"/>
          <w:b/>
          <w:bCs/>
          <w:sz w:val="22"/>
          <w:lang w:val="id-ID"/>
        </w:rPr>
      </w:pPr>
      <w:r w:rsidRPr="00B94B35">
        <w:rPr>
          <w:rFonts w:ascii="Arial" w:hAnsi="Arial" w:cs="Arial"/>
          <w:sz w:val="20"/>
          <w:szCs w:val="20"/>
          <w:lang w:val="id-ID"/>
        </w:rPr>
        <w:t>Convergent validity</w:t>
      </w:r>
      <w:r>
        <w:rPr>
          <w:rFonts w:ascii="Arial" w:hAnsi="Arial" w:cs="Arial"/>
          <w:i/>
          <w:iCs/>
          <w:sz w:val="20"/>
          <w:szCs w:val="20"/>
          <w:lang w:val="id-ID"/>
        </w:rPr>
        <w:t xml:space="preserve"> </w:t>
      </w:r>
      <w:r w:rsidRPr="005E1216">
        <w:rPr>
          <w:rFonts w:ascii="Arial" w:hAnsi="Arial" w:cs="Arial"/>
          <w:sz w:val="20"/>
          <w:szCs w:val="20"/>
          <w:lang w:val="id-ID"/>
        </w:rPr>
        <w:t>helps ensure that the indicators truly describe the measured variables. This test is conducted by calculating the outer loading value of each variable indicator.</w:t>
      </w:r>
      <w:r>
        <w:rPr>
          <w:rFonts w:ascii="Arial" w:hAnsi="Arial" w:cs="Arial"/>
          <w:sz w:val="20"/>
          <w:szCs w:val="20"/>
          <w:lang w:val="id-ID"/>
        </w:rPr>
        <w:t xml:space="preserve"> </w:t>
      </w:r>
      <w:r w:rsidRPr="001A2739">
        <w:rPr>
          <w:rFonts w:ascii="Arial" w:hAnsi="Arial" w:cs="Arial"/>
          <w:sz w:val="20"/>
          <w:szCs w:val="20"/>
          <w:lang w:val="id-ID"/>
        </w:rPr>
        <w:fldChar w:fldCharType="begin" w:fldLock="1"/>
      </w:r>
      <w:r w:rsidRPr="001A2739">
        <w:rPr>
          <w:rFonts w:ascii="Arial" w:hAnsi="Arial" w:cs="Arial"/>
          <w:sz w:val="20"/>
          <w:szCs w:val="20"/>
          <w:lang w:val="id-ID"/>
        </w:rPr>
        <w:instrText>ADDIN CSL_CITATION {"citationItems":[{"id":"ITEM-1","itemData":{"DOI":"10.2753/MTP1069-6679190202","ISBN":"1069667919","ISSN":"10696679","abstract":"Structural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\"silver bullet\" for estimating causal models in many theoretical models and empirical data situations. © 2011 M.E. Sharpe, Inc. All rights reserved.","author":[{"dropping-particle":"","family":"Hair","given":"Joe F","non-dropping-particle":"","parse-names":false,"suffix":""},{"dropping-particle":"","family":"Al","given":"Et","non-dropping-particle":"","parse-names":false,"suffix":""}],"container-title":"Journal of Marketing Theory and Practice","id":"ITEM-1","issue":"2","issued":{"date-parts":[["2011"]]},"page":"139-152","title":"PLS-SEM: Indeed a silver bullet","type":"article-journal","volume":"19"},"uris":["http://www.mendeley.com/documents/?uuid=ce476343-2f4f-4f11-a0b2-0c4a7d784f85"]}],"mendeley":{"formattedCitation":"(Hair and Al 2011)","manualFormatting":"Hair et al. (2011)","plainTextFormattedCitation":"(Hair and Al 2011)","previouslyFormattedCitation":"(Hair and Al 2011)"},"properties":{"noteIndex":0},"schema":"https://github.com/citation-style-language/schema/raw/master/csl-citation.json"}</w:instrText>
      </w:r>
      <w:r w:rsidRPr="001A2739">
        <w:rPr>
          <w:rFonts w:ascii="Arial" w:hAnsi="Arial" w:cs="Arial"/>
          <w:sz w:val="20"/>
          <w:szCs w:val="20"/>
          <w:lang w:val="id-ID"/>
        </w:rPr>
        <w:fldChar w:fldCharType="separate"/>
      </w:r>
      <w:r w:rsidRPr="001A2739">
        <w:rPr>
          <w:rFonts w:ascii="Arial" w:hAnsi="Arial" w:cs="Arial"/>
          <w:noProof/>
          <w:sz w:val="20"/>
          <w:szCs w:val="20"/>
          <w:lang w:val="id-ID"/>
        </w:rPr>
        <w:t>Hair et al. (2011)</w:t>
      </w:r>
      <w:r w:rsidRPr="001A2739">
        <w:rPr>
          <w:rFonts w:ascii="Arial" w:hAnsi="Arial" w:cs="Arial"/>
          <w:sz w:val="20"/>
          <w:szCs w:val="20"/>
          <w:lang w:val="id-ID"/>
        </w:rPr>
        <w:fldChar w:fldCharType="end"/>
      </w:r>
      <w:r w:rsidRPr="001A2739">
        <w:rPr>
          <w:rFonts w:ascii="Arial" w:hAnsi="Arial" w:cs="Arial"/>
          <w:sz w:val="20"/>
          <w:szCs w:val="20"/>
          <w:lang w:val="id-ID"/>
        </w:rPr>
        <w:t>,</w:t>
      </w:r>
      <w:r w:rsidRPr="005E1216">
        <w:rPr>
          <w:rFonts w:ascii="Arial" w:hAnsi="Arial" w:cs="Arial"/>
          <w:i/>
          <w:iCs/>
          <w:sz w:val="20"/>
          <w:szCs w:val="20"/>
          <w:lang w:val="id-ID"/>
        </w:rPr>
        <w:t xml:space="preserve"> </w:t>
      </w:r>
      <w:r w:rsidRPr="005E1216">
        <w:rPr>
          <w:rFonts w:ascii="Arial" w:hAnsi="Arial" w:cs="Arial"/>
          <w:sz w:val="20"/>
          <w:szCs w:val="20"/>
          <w:lang w:val="id-ID"/>
        </w:rPr>
        <w:t>explains that an outer loading value above 0.7 indicates that an indicator has met the criteria. However, there is a development of the loading scale of 0.5 and 0.6 which are still considered valid and acceptable.</w:t>
      </w:r>
      <w:r>
        <w:rPr>
          <w:rFonts w:ascii="Arial" w:hAnsi="Arial" w:cs="Arial"/>
          <w:sz w:val="20"/>
          <w:szCs w:val="20"/>
          <w:lang w:val="id-ID"/>
        </w:rPr>
        <w:t>Based on table 3, the initial test showed that a number of indicators had outer loading value below 0,6, so these indicators were eliminated. However, there were still variables with Cornbach’s alpha values below 0,7 and AVE below 0,5</w:t>
      </w:r>
      <w:r w:rsidRPr="005E1216">
        <w:rPr>
          <w:rFonts w:ascii="Arial" w:hAnsi="Arial" w:cs="Arial"/>
          <w:sz w:val="20"/>
          <w:szCs w:val="20"/>
          <w:lang w:val="id-ID"/>
        </w:rPr>
        <w:t>. After retesting, the outer loading value used is 0.7. This is done to support the test of construct validity and reliability, so indicators with values ​​below 0.7 are eliminated again and indicators with values​​above 0.7 have met the criteria for convergent validity.</w:t>
      </w:r>
    </w:p>
    <w:p w14:paraId="1E2CB837" w14:textId="77777777" w:rsidR="00C16090" w:rsidRPr="00C16090" w:rsidRDefault="00C16090" w:rsidP="00C16090">
      <w:pPr>
        <w:tabs>
          <w:tab w:val="left" w:pos="1141"/>
        </w:tabs>
        <w:spacing w:after="0"/>
        <w:jc w:val="both"/>
        <w:rPr>
          <w:rFonts w:ascii="Arial" w:hAnsi="Arial" w:cs="Arial"/>
          <w:b/>
          <w:bCs/>
          <w:sz w:val="20"/>
          <w:szCs w:val="20"/>
          <w:lang w:val="id-ID"/>
        </w:rPr>
      </w:pPr>
    </w:p>
    <w:p w14:paraId="69EAB144" w14:textId="6335B34F" w:rsidR="008D6C43" w:rsidRPr="00C16090" w:rsidRDefault="008D6C43" w:rsidP="00C16090">
      <w:pPr>
        <w:tabs>
          <w:tab w:val="left" w:pos="1141"/>
        </w:tabs>
        <w:spacing w:after="0"/>
        <w:jc w:val="both"/>
        <w:rPr>
          <w:rFonts w:ascii="Arial" w:hAnsi="Arial" w:cs="Arial"/>
          <w:b/>
          <w:bCs/>
          <w:sz w:val="22"/>
          <w:lang w:val="id-ID"/>
        </w:rPr>
      </w:pPr>
      <w:r w:rsidRPr="005E1216">
        <w:rPr>
          <w:rFonts w:ascii="Arial" w:hAnsi="Arial" w:cs="Arial"/>
          <w:sz w:val="20"/>
          <w:szCs w:val="20"/>
          <w:lang w:val="id-ID"/>
        </w:rPr>
        <w:t>Construct validity and reliability testing, including Cronbach's alpha, composite reliability, and average variance extracted, can also be seen in Table 3. Based on Table 3, all Cronbach's alpha values ​​are above 0.7, meaning they have met the minimum limit of 0.6 used to evaluate the construct. Furthermore, the overall composite reliability value shows a value above 0.8 and has met the minimum limit of 0.7. As for the AVE value in Table 3, each variable has reached a value above 0.5, indicating that the requirements for construct validity and reliability have been met</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{"citationItems":[{"id":"ITEM-1","itemData":{"DOI":"10.1016/j.wds.2023.100089","ISSN":"2772655X","abstract":"Empowerment of rural communities in development is an extensive record of sustainable village development. This study examines the relationship between village community participation, good governance, and positive perceptions supporting village government performance. Taking the background of one of the developing categories of villages in Indonesia, this research empirically proves the influence of good governance, positive perceptions, participation, and performance of village government. The study was conducted using a survey method of the heads of families of the village community and the required population. Data from the reduction process and resistance test are analyzed using structural equation modeling with help of Smart-PLS. Research results show a connection influence between good governance against the positif perception of public village with a p-value of 0.000. The effect of good governance is evident in influencing the performance village government with a p-value of 0.011. Whereas connection was not good direct governance against performance proven through perception positive with a p-value of 0.049. Furthermore, the relationship between direct good governance against participation of the public was not supported in the study, so the participation of public as the liaison between good governance and performance village government. Influence good governance against participation was supported through the perception of positive public to village government. Studies show the importance formation of a positive perception public village from trust to a village government. With thereby empowerment, public villages could improve.","author":[{"dropping-particle":"","family":"Handayani","given":"Erna","non-dropping-particle":"","parse-names":false,"suffix":""},{"dropping-particle":"","family":"Garad","given":"Askar","non-dropping-particle":"","parse-names":false,"suffix":""},{"dropping-particle":"","family":"Suyadi","given":"Aman","non-dropping-particle":"","parse-names":false,"suffix":""},{"dropping-particle":"","family":"Tubastuvi","given":"Naelati","non-dropping-particle":"","parse-names":false,"suffix":""}],"container-title":"World Development Sustainability","id":"ITEM-1","issue":"July 2022","issued":{"date-parts":[["2023"]]},"page":"100089","publisher":"Elsevier Ltd","title":"Increasing the performance of village services with good governance and participation","type":"article-journal","volume":"3"},"uris":["http://www.mendeley.com/documents/?uuid=72e3219a-169c-450d-8f59-ea28c4f50da9"]},{"id":"ITEM-2","itemData":{"abstract":"This study used a closed questionnaire to gather information on the implementation of the SDGs in private universities in Indonesia. Quantitative data were processed using SmartPLS SEM from the results of 138 questionnaires filled out by management leaders of 138 private tertiary institutions in Indonesia. SDGs implementation is tested from the social and environmental aspects of SDGs as the first and second hypotheses. Research provides support for the hypothesis of the significant effect of implementing social SDGs on university performance (β=0.391) and the opposite result on implementing environmental SDGs (β=0.028). The research results mutually support the finding that the implementation of the SDGs in private universities in Indonesia still needs to be improved. This finding reinforces the suggestion that a sustainability report is needed as part of the accreditation assessment of private tertiary institutions.","author":[{"dropping-particle":"","family":"Erna Handayani, Ira Hapsari","given":"Ali AKbar Anggara","non-dropping-particle":"","parse-names":false,"suffix":""}],"container-title":"International Journal of Reserch in Business and Social Science","id":"ITEM-2","issue":"4","issued":{"date-parts":[["2023"]]},"page":"454-460","title":"Research in Business &amp; Social Science Does the implementation of SDGs improve the performance of universities ?","type":"article-journal","volume":"12"},"uris":["http://www.mendeley.com/documents/?uuid=bca4eca1-f006-4059-8f41-8a789dc8dba8"]},{"id":"ITEM-3","itemData":{"ISBN":"9788578110796","ISSN":"17518113","PMID":"25246403","abstract":"Abstract: Within a company, leaders can influence morale, job satisfaction, security, quality of work life, and especially the level of prestige of an organization. In addition, leaders also play a critical role in helping groups, organizations or communities to achieve goals. However, leadership abilities and skills in providing direction are important factors of manager effectiveness. The objectives to be achieved in this study are to identify and analyze the influence of transformational leadership style on Organizational citizenship behavior, to identify and analyze the effect of transactional leadership style on Organizational citizenship behavior, and to identify and analyze the effect of job satisfaction on Organizational citizenship behavior. Based on the calculation of multiple linear regression analysis, it can be seen from the results of the t test that has been done that X1 (Transformational Leadership Style) with Y (Organizational Citizenship Behavior) shows t count = -0.017. Because t count t table, namely -0.017 2.06, the effect of X1 (Transformational Leadership Style) on OCB is not significant. The t test between X2 (Transactional Leadership Style) and Y (Organizational Citizenship Behavior) shows t count = 0.404. While the t table is 2.06, the effect of X2 (Transactional Leadership Style) on OCB is not significant. The t test between X3 (Job Satisfaction) and Y (Organizational Citizenship Behavior) shows t count = 2.225. While t table is 2.06, the effect of X3 (Job Satisfaction) on OCB is significant, so it can be concluded that OCB can be significantly influenced by Job Satisfaction. From the test results above, it can be seen that only the variable X3 (Job Satisfaction) has a significant influence on Organizational Citizenship Behavior.Keywords : Transformational Leadership, Transactional Leadership, Job Satisfaction, OCB","author":[{"dropping-particle":"","family":"Haryono","given":"Siswoyi","non-dropping-particle":"","parse-names":false,"suffix":""}],"container-title":"Komitmen: Jurnal Ilmiah Manajemen","id":"ITEM-3","issued":{"date-parts":[["2016"]]},"number-of-pages":"1-461","title":"Metode SEM","type":"book"},"uris":["http://www.mendeley.com/documents/?uuid=3608e392-5d93-4c3f-8811-c6b13d4c9c83"]}],"mendeley":{"formattedCitation":"(Erna Handayani, Ira Hapsari 2023; Handayani et al. 2023; Haryono 2016)","plainTextFormattedCitation":"(Erna Handayani, Ira Hapsari 2023; Handayani et al. 2023; Haryono 2016)","previouslyFormattedCitation":"(Erna Handayani, Ira Hapsari 2023; Handayani et al. 2023; Haryono 2016)"},"properties":{"noteIndex":0},"schema":"https://github.com/citation-style-language/schema/raw/master/csl-citation.json"}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(Erna Handayani, Ira Hapsari 2023; Handayani et al. 2023; Haryono 2016)</w:t>
      </w:r>
      <w:r w:rsidRPr="005E1216">
        <w:rPr>
          <w:rFonts w:ascii="Arial" w:hAnsi="Arial" w:cs="Arial"/>
          <w:sz w:val="20"/>
          <w:szCs w:val="20"/>
          <w:lang w:val="id-ID"/>
        </w:rPr>
        <w:fldChar w:fldCharType="end"/>
      </w:r>
      <w:r w:rsidRPr="005E1216">
        <w:rPr>
          <w:rFonts w:ascii="Arial" w:hAnsi="Arial" w:cs="Arial"/>
          <w:sz w:val="20"/>
          <w:szCs w:val="20"/>
          <w:lang w:val="id-ID"/>
        </w:rPr>
        <w:t>.</w:t>
      </w:r>
    </w:p>
    <w:p w14:paraId="2E160C9D" w14:textId="77777777" w:rsidR="008D6C43" w:rsidRDefault="008D6C43" w:rsidP="00C16090">
      <w:pPr>
        <w:spacing w:after="0"/>
        <w:jc w:val="center"/>
        <w:rPr>
          <w:rFonts w:ascii="Arial" w:hAnsi="Arial"/>
          <w:sz w:val="20"/>
          <w:szCs w:val="20"/>
          <w:lang w:val="id-ID"/>
        </w:rPr>
      </w:pPr>
    </w:p>
    <w:p w14:paraId="329A0428" w14:textId="77777777" w:rsidR="00C16090" w:rsidRDefault="00C16090" w:rsidP="00C16090">
      <w:pPr>
        <w:tabs>
          <w:tab w:val="left" w:pos="1141"/>
        </w:tabs>
        <w:spacing w:after="0"/>
        <w:ind w:left="360"/>
        <w:jc w:val="center"/>
        <w:rPr>
          <w:rFonts w:ascii="Arial" w:hAnsi="Arial" w:cs="Arial"/>
          <w:b/>
          <w:bCs/>
          <w:sz w:val="20"/>
          <w:szCs w:val="20"/>
          <w:lang w:val="id-ID"/>
        </w:rPr>
      </w:pPr>
      <w:r w:rsidRPr="005E1216">
        <w:rPr>
          <w:rFonts w:ascii="Arial" w:hAnsi="Arial" w:cs="Arial"/>
          <w:b/>
          <w:bCs/>
          <w:sz w:val="20"/>
          <w:szCs w:val="20"/>
          <w:lang w:val="id-ID"/>
        </w:rPr>
        <w:t>Table 3. Reliability and Validity of Constructs</w:t>
      </w:r>
    </w:p>
    <w:p w14:paraId="599E512A" w14:textId="77777777" w:rsidR="00C16090" w:rsidRPr="005E1216" w:rsidRDefault="00C16090" w:rsidP="00C16090">
      <w:pPr>
        <w:tabs>
          <w:tab w:val="left" w:pos="1141"/>
        </w:tabs>
        <w:spacing w:after="0"/>
        <w:ind w:left="360"/>
        <w:jc w:val="center"/>
        <w:rPr>
          <w:rFonts w:ascii="Arial" w:hAnsi="Arial" w:cs="Arial"/>
          <w:sz w:val="20"/>
          <w:szCs w:val="20"/>
          <w:lang w:val="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00"/>
        <w:gridCol w:w="994"/>
        <w:gridCol w:w="1004"/>
        <w:gridCol w:w="1004"/>
        <w:gridCol w:w="1309"/>
        <w:gridCol w:w="1250"/>
        <w:gridCol w:w="923"/>
        <w:gridCol w:w="1076"/>
      </w:tblGrid>
      <w:tr w:rsidR="00C16090" w:rsidRPr="005E1216" w14:paraId="21AAFCDC" w14:textId="77777777" w:rsidTr="00BD0BAA">
        <w:trPr>
          <w:jc w:val="center"/>
        </w:trPr>
        <w:tc>
          <w:tcPr>
            <w:tcW w:w="1843" w:type="dxa"/>
          </w:tcPr>
          <w:p w14:paraId="299CA1E9"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Items</w:t>
            </w:r>
          </w:p>
        </w:tc>
        <w:tc>
          <w:tcPr>
            <w:tcW w:w="968" w:type="dxa"/>
          </w:tcPr>
          <w:p w14:paraId="78FC1F77"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Cross Loading 1</w:t>
            </w:r>
          </w:p>
        </w:tc>
        <w:tc>
          <w:tcPr>
            <w:tcW w:w="1005" w:type="dxa"/>
          </w:tcPr>
          <w:p w14:paraId="7B4FFE6E"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Cross Loading 2</w:t>
            </w:r>
          </w:p>
        </w:tc>
        <w:tc>
          <w:tcPr>
            <w:tcW w:w="1005" w:type="dxa"/>
          </w:tcPr>
          <w:p w14:paraId="46E0B8DF"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Cross Loading 3</w:t>
            </w:r>
          </w:p>
        </w:tc>
        <w:tc>
          <w:tcPr>
            <w:tcW w:w="922" w:type="dxa"/>
          </w:tcPr>
          <w:p w14:paraId="3621270B" w14:textId="1D648A85"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 xml:space="preserve">Cronbach’s </w:t>
            </w:r>
            <w:r w:rsidR="00467524">
              <w:rPr>
                <w:rFonts w:ascii="Arial" w:hAnsi="Arial" w:cs="Arial"/>
                <w:b/>
                <w:bCs/>
                <w:sz w:val="20"/>
                <w:szCs w:val="20"/>
                <w:lang w:val="id-ID"/>
              </w:rPr>
              <w:t>A</w:t>
            </w:r>
            <w:r w:rsidRPr="00785680">
              <w:rPr>
                <w:rFonts w:ascii="Arial" w:hAnsi="Arial" w:cs="Arial"/>
                <w:b/>
                <w:bCs/>
                <w:sz w:val="20"/>
                <w:szCs w:val="20"/>
                <w:lang w:val="id-ID"/>
              </w:rPr>
              <w:t>lpha</w:t>
            </w:r>
          </w:p>
        </w:tc>
        <w:tc>
          <w:tcPr>
            <w:tcW w:w="922" w:type="dxa"/>
          </w:tcPr>
          <w:p w14:paraId="30E39748"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Composite Reability</w:t>
            </w:r>
          </w:p>
        </w:tc>
        <w:tc>
          <w:tcPr>
            <w:tcW w:w="936" w:type="dxa"/>
          </w:tcPr>
          <w:p w14:paraId="262F672C"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AVE</w:t>
            </w:r>
          </w:p>
        </w:tc>
        <w:tc>
          <w:tcPr>
            <w:tcW w:w="1084" w:type="dxa"/>
          </w:tcPr>
          <w:p w14:paraId="0395B770"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Criteria</w:t>
            </w:r>
          </w:p>
        </w:tc>
      </w:tr>
      <w:tr w:rsidR="00C16090" w:rsidRPr="005E1216" w14:paraId="1EE8A864" w14:textId="77777777" w:rsidTr="00BD0BAA">
        <w:trPr>
          <w:jc w:val="center"/>
        </w:trPr>
        <w:tc>
          <w:tcPr>
            <w:tcW w:w="1843" w:type="dxa"/>
          </w:tcPr>
          <w:p w14:paraId="37B34E1A"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Financial Literacy</w:t>
            </w:r>
          </w:p>
        </w:tc>
        <w:tc>
          <w:tcPr>
            <w:tcW w:w="968" w:type="dxa"/>
          </w:tcPr>
          <w:p w14:paraId="74C80E8A"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39E2AED5"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4859EE08"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3D0D7BC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0.810</w:t>
            </w:r>
          </w:p>
        </w:tc>
        <w:tc>
          <w:tcPr>
            <w:tcW w:w="922" w:type="dxa"/>
          </w:tcPr>
          <w:p w14:paraId="4952571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0.888</w:t>
            </w:r>
          </w:p>
        </w:tc>
        <w:tc>
          <w:tcPr>
            <w:tcW w:w="936" w:type="dxa"/>
          </w:tcPr>
          <w:p w14:paraId="76E3C00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0.725</w:t>
            </w:r>
          </w:p>
        </w:tc>
        <w:tc>
          <w:tcPr>
            <w:tcW w:w="1084" w:type="dxa"/>
          </w:tcPr>
          <w:p w14:paraId="1A49DE7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66F7C96A" w14:textId="77777777" w:rsidTr="00BD0BAA">
        <w:trPr>
          <w:jc w:val="center"/>
        </w:trPr>
        <w:tc>
          <w:tcPr>
            <w:tcW w:w="1843" w:type="dxa"/>
            <w:tcBorders>
              <w:bottom w:val="nil"/>
            </w:tcBorders>
          </w:tcPr>
          <w:p w14:paraId="5E90D56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1</w:t>
            </w:r>
          </w:p>
        </w:tc>
        <w:tc>
          <w:tcPr>
            <w:tcW w:w="968" w:type="dxa"/>
            <w:tcBorders>
              <w:bottom w:val="nil"/>
            </w:tcBorders>
          </w:tcPr>
          <w:p w14:paraId="7557986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0.675</w:t>
            </w:r>
          </w:p>
        </w:tc>
        <w:tc>
          <w:tcPr>
            <w:tcW w:w="1005" w:type="dxa"/>
            <w:tcBorders>
              <w:bottom w:val="nil"/>
            </w:tcBorders>
          </w:tcPr>
          <w:p w14:paraId="3C7F566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0.718</w:t>
            </w:r>
          </w:p>
        </w:tc>
        <w:tc>
          <w:tcPr>
            <w:tcW w:w="1005" w:type="dxa"/>
            <w:tcBorders>
              <w:bottom w:val="nil"/>
            </w:tcBorders>
          </w:tcPr>
          <w:p w14:paraId="7C2382B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0.845</w:t>
            </w:r>
          </w:p>
        </w:tc>
        <w:tc>
          <w:tcPr>
            <w:tcW w:w="922" w:type="dxa"/>
            <w:tcBorders>
              <w:bottom w:val="nil"/>
            </w:tcBorders>
          </w:tcPr>
          <w:p w14:paraId="795A8EA1"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221EA2E9"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0C5C983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57475795"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F507052" w14:textId="77777777" w:rsidTr="00BD0BAA">
        <w:trPr>
          <w:jc w:val="center"/>
        </w:trPr>
        <w:tc>
          <w:tcPr>
            <w:tcW w:w="1843" w:type="dxa"/>
            <w:tcBorders>
              <w:top w:val="nil"/>
              <w:bottom w:val="nil"/>
            </w:tcBorders>
          </w:tcPr>
          <w:p w14:paraId="4AF6E2FD"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2</w:t>
            </w:r>
          </w:p>
        </w:tc>
        <w:tc>
          <w:tcPr>
            <w:tcW w:w="968" w:type="dxa"/>
            <w:tcBorders>
              <w:top w:val="nil"/>
              <w:bottom w:val="nil"/>
            </w:tcBorders>
          </w:tcPr>
          <w:p w14:paraId="7C6EEAE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0.643</w:t>
            </w:r>
          </w:p>
        </w:tc>
        <w:tc>
          <w:tcPr>
            <w:tcW w:w="1005" w:type="dxa"/>
            <w:tcBorders>
              <w:top w:val="nil"/>
              <w:bottom w:val="nil"/>
            </w:tcBorders>
          </w:tcPr>
          <w:p w14:paraId="4637C9A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0.672</w:t>
            </w:r>
          </w:p>
        </w:tc>
        <w:tc>
          <w:tcPr>
            <w:tcW w:w="1005" w:type="dxa"/>
            <w:tcBorders>
              <w:top w:val="nil"/>
              <w:bottom w:val="nil"/>
            </w:tcBorders>
          </w:tcPr>
          <w:p w14:paraId="65403587"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6B5273C7"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55307D2C"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403EDFC5"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471B59CA"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4F02E534" w14:textId="77777777" w:rsidTr="00BD0BAA">
        <w:trPr>
          <w:jc w:val="center"/>
        </w:trPr>
        <w:tc>
          <w:tcPr>
            <w:tcW w:w="1843" w:type="dxa"/>
            <w:tcBorders>
              <w:top w:val="nil"/>
              <w:bottom w:val="nil"/>
            </w:tcBorders>
          </w:tcPr>
          <w:p w14:paraId="4BF2071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3</w:t>
            </w:r>
          </w:p>
        </w:tc>
        <w:tc>
          <w:tcPr>
            <w:tcW w:w="968" w:type="dxa"/>
            <w:tcBorders>
              <w:top w:val="nil"/>
              <w:bottom w:val="nil"/>
            </w:tcBorders>
          </w:tcPr>
          <w:p w14:paraId="1F07607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0.586</w:t>
            </w:r>
          </w:p>
        </w:tc>
        <w:tc>
          <w:tcPr>
            <w:tcW w:w="1005" w:type="dxa"/>
            <w:tcBorders>
              <w:top w:val="nil"/>
              <w:bottom w:val="nil"/>
            </w:tcBorders>
          </w:tcPr>
          <w:p w14:paraId="790C7DE8"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6F4734D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19C2731F"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53C73877"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CCDFCA8"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5628130"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D8D27DA" w14:textId="77777777" w:rsidTr="00BD0BAA">
        <w:trPr>
          <w:jc w:val="center"/>
        </w:trPr>
        <w:tc>
          <w:tcPr>
            <w:tcW w:w="1843" w:type="dxa"/>
            <w:tcBorders>
              <w:top w:val="nil"/>
              <w:bottom w:val="nil"/>
            </w:tcBorders>
          </w:tcPr>
          <w:p w14:paraId="3D1FE2C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4</w:t>
            </w:r>
          </w:p>
        </w:tc>
        <w:tc>
          <w:tcPr>
            <w:tcW w:w="968" w:type="dxa"/>
            <w:tcBorders>
              <w:top w:val="nil"/>
              <w:bottom w:val="nil"/>
            </w:tcBorders>
          </w:tcPr>
          <w:p w14:paraId="0B4B621B"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0.761</w:t>
            </w:r>
          </w:p>
        </w:tc>
        <w:tc>
          <w:tcPr>
            <w:tcW w:w="1005" w:type="dxa"/>
            <w:tcBorders>
              <w:top w:val="nil"/>
              <w:bottom w:val="nil"/>
            </w:tcBorders>
          </w:tcPr>
          <w:p w14:paraId="65FF64A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0.811</w:t>
            </w:r>
          </w:p>
        </w:tc>
        <w:tc>
          <w:tcPr>
            <w:tcW w:w="1005" w:type="dxa"/>
            <w:tcBorders>
              <w:top w:val="nil"/>
              <w:bottom w:val="nil"/>
            </w:tcBorders>
          </w:tcPr>
          <w:p w14:paraId="11C6038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0.850</w:t>
            </w:r>
          </w:p>
        </w:tc>
        <w:tc>
          <w:tcPr>
            <w:tcW w:w="922" w:type="dxa"/>
            <w:tcBorders>
              <w:top w:val="nil"/>
              <w:bottom w:val="nil"/>
            </w:tcBorders>
          </w:tcPr>
          <w:p w14:paraId="74826B91"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4A65A0D9"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37D87262"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5A8F35F"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DCE30BA" w14:textId="77777777" w:rsidTr="00BD0BAA">
        <w:trPr>
          <w:jc w:val="center"/>
        </w:trPr>
        <w:tc>
          <w:tcPr>
            <w:tcW w:w="1843" w:type="dxa"/>
            <w:tcBorders>
              <w:top w:val="nil"/>
              <w:bottom w:val="nil"/>
            </w:tcBorders>
          </w:tcPr>
          <w:p w14:paraId="6B3EB3B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5</w:t>
            </w:r>
          </w:p>
        </w:tc>
        <w:tc>
          <w:tcPr>
            <w:tcW w:w="968" w:type="dxa"/>
            <w:tcBorders>
              <w:top w:val="nil"/>
              <w:bottom w:val="nil"/>
            </w:tcBorders>
          </w:tcPr>
          <w:p w14:paraId="5F80F49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0.620</w:t>
            </w:r>
          </w:p>
        </w:tc>
        <w:tc>
          <w:tcPr>
            <w:tcW w:w="1005" w:type="dxa"/>
            <w:tcBorders>
              <w:top w:val="nil"/>
              <w:bottom w:val="nil"/>
            </w:tcBorders>
          </w:tcPr>
          <w:p w14:paraId="7134ADA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0.608</w:t>
            </w:r>
          </w:p>
        </w:tc>
        <w:tc>
          <w:tcPr>
            <w:tcW w:w="1005" w:type="dxa"/>
            <w:tcBorders>
              <w:top w:val="nil"/>
              <w:bottom w:val="nil"/>
            </w:tcBorders>
          </w:tcPr>
          <w:p w14:paraId="0CF6ED96"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7805482A"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7DAE67B1"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6CCFBFF"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0EC218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C655254" w14:textId="77777777" w:rsidTr="00BD0BAA">
        <w:trPr>
          <w:jc w:val="center"/>
        </w:trPr>
        <w:tc>
          <w:tcPr>
            <w:tcW w:w="1843" w:type="dxa"/>
            <w:tcBorders>
              <w:top w:val="nil"/>
              <w:bottom w:val="nil"/>
            </w:tcBorders>
          </w:tcPr>
          <w:p w14:paraId="0A300167"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6</w:t>
            </w:r>
          </w:p>
        </w:tc>
        <w:tc>
          <w:tcPr>
            <w:tcW w:w="968" w:type="dxa"/>
            <w:tcBorders>
              <w:top w:val="nil"/>
              <w:bottom w:val="nil"/>
            </w:tcBorders>
          </w:tcPr>
          <w:p w14:paraId="6EB277E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0.578</w:t>
            </w:r>
          </w:p>
        </w:tc>
        <w:tc>
          <w:tcPr>
            <w:tcW w:w="1005" w:type="dxa"/>
            <w:tcBorders>
              <w:top w:val="nil"/>
              <w:bottom w:val="nil"/>
            </w:tcBorders>
          </w:tcPr>
          <w:p w14:paraId="4FADB3B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55D3C67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3870FD40"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1B04110"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41BCE13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6191C74"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3F2F9A4" w14:textId="77777777" w:rsidTr="00BD0BAA">
        <w:trPr>
          <w:jc w:val="center"/>
        </w:trPr>
        <w:tc>
          <w:tcPr>
            <w:tcW w:w="1843" w:type="dxa"/>
            <w:tcBorders>
              <w:top w:val="nil"/>
              <w:bottom w:val="nil"/>
            </w:tcBorders>
          </w:tcPr>
          <w:p w14:paraId="26141F3C"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7</w:t>
            </w:r>
          </w:p>
        </w:tc>
        <w:tc>
          <w:tcPr>
            <w:tcW w:w="968" w:type="dxa"/>
            <w:tcBorders>
              <w:top w:val="nil"/>
              <w:bottom w:val="nil"/>
            </w:tcBorders>
          </w:tcPr>
          <w:p w14:paraId="6CFEF58B"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0.551</w:t>
            </w:r>
          </w:p>
        </w:tc>
        <w:tc>
          <w:tcPr>
            <w:tcW w:w="1005" w:type="dxa"/>
            <w:tcBorders>
              <w:top w:val="nil"/>
              <w:bottom w:val="nil"/>
            </w:tcBorders>
          </w:tcPr>
          <w:p w14:paraId="0C1ED0E8"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15410E0E"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7BC4E448"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4B769D02"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0724380"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5A943CF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5D9564B3" w14:textId="77777777" w:rsidTr="00BD0BAA">
        <w:trPr>
          <w:jc w:val="center"/>
        </w:trPr>
        <w:tc>
          <w:tcPr>
            <w:tcW w:w="1843" w:type="dxa"/>
            <w:tcBorders>
              <w:top w:val="nil"/>
              <w:bottom w:val="nil"/>
            </w:tcBorders>
          </w:tcPr>
          <w:p w14:paraId="1B5FC75F"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8</w:t>
            </w:r>
          </w:p>
        </w:tc>
        <w:tc>
          <w:tcPr>
            <w:tcW w:w="968" w:type="dxa"/>
            <w:tcBorders>
              <w:top w:val="nil"/>
              <w:bottom w:val="nil"/>
            </w:tcBorders>
          </w:tcPr>
          <w:p w14:paraId="4470433B"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0.623</w:t>
            </w:r>
          </w:p>
        </w:tc>
        <w:tc>
          <w:tcPr>
            <w:tcW w:w="1005" w:type="dxa"/>
            <w:tcBorders>
              <w:top w:val="nil"/>
              <w:bottom w:val="nil"/>
            </w:tcBorders>
          </w:tcPr>
          <w:p w14:paraId="21CFFF5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0.614</w:t>
            </w:r>
          </w:p>
        </w:tc>
        <w:tc>
          <w:tcPr>
            <w:tcW w:w="1005" w:type="dxa"/>
            <w:tcBorders>
              <w:top w:val="nil"/>
              <w:bottom w:val="nil"/>
            </w:tcBorders>
          </w:tcPr>
          <w:p w14:paraId="4384267E"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3FC580D9"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16ECCCD7"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57B1CF0"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F11EBF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4EAC283" w14:textId="77777777" w:rsidTr="00BD0BAA">
        <w:trPr>
          <w:jc w:val="center"/>
        </w:trPr>
        <w:tc>
          <w:tcPr>
            <w:tcW w:w="1843" w:type="dxa"/>
            <w:tcBorders>
              <w:top w:val="nil"/>
              <w:bottom w:val="nil"/>
            </w:tcBorders>
          </w:tcPr>
          <w:p w14:paraId="4745134C"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9</w:t>
            </w:r>
          </w:p>
        </w:tc>
        <w:tc>
          <w:tcPr>
            <w:tcW w:w="968" w:type="dxa"/>
            <w:tcBorders>
              <w:top w:val="nil"/>
              <w:bottom w:val="nil"/>
            </w:tcBorders>
          </w:tcPr>
          <w:p w14:paraId="4002368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0.715</w:t>
            </w:r>
          </w:p>
        </w:tc>
        <w:tc>
          <w:tcPr>
            <w:tcW w:w="1005" w:type="dxa"/>
            <w:tcBorders>
              <w:top w:val="nil"/>
              <w:bottom w:val="nil"/>
            </w:tcBorders>
          </w:tcPr>
          <w:p w14:paraId="2FF1E24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0.758</w:t>
            </w:r>
          </w:p>
        </w:tc>
        <w:tc>
          <w:tcPr>
            <w:tcW w:w="1005" w:type="dxa"/>
            <w:tcBorders>
              <w:top w:val="nil"/>
              <w:bottom w:val="nil"/>
            </w:tcBorders>
          </w:tcPr>
          <w:p w14:paraId="6D82C1D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0.858</w:t>
            </w:r>
          </w:p>
        </w:tc>
        <w:tc>
          <w:tcPr>
            <w:tcW w:w="922" w:type="dxa"/>
            <w:tcBorders>
              <w:top w:val="nil"/>
              <w:bottom w:val="nil"/>
            </w:tcBorders>
          </w:tcPr>
          <w:p w14:paraId="4C524AB6"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C091597"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538E03CB"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A345698"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303D5DF" w14:textId="77777777" w:rsidTr="00BD0BAA">
        <w:trPr>
          <w:jc w:val="center"/>
        </w:trPr>
        <w:tc>
          <w:tcPr>
            <w:tcW w:w="1843" w:type="dxa"/>
            <w:tcBorders>
              <w:top w:val="nil"/>
              <w:bottom w:val="nil"/>
            </w:tcBorders>
          </w:tcPr>
          <w:p w14:paraId="0D34E56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10</w:t>
            </w:r>
          </w:p>
        </w:tc>
        <w:tc>
          <w:tcPr>
            <w:tcW w:w="968" w:type="dxa"/>
            <w:tcBorders>
              <w:top w:val="nil"/>
              <w:bottom w:val="nil"/>
            </w:tcBorders>
          </w:tcPr>
          <w:p w14:paraId="41512A4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0.384</w:t>
            </w:r>
          </w:p>
        </w:tc>
        <w:tc>
          <w:tcPr>
            <w:tcW w:w="1005" w:type="dxa"/>
            <w:tcBorders>
              <w:top w:val="nil"/>
              <w:bottom w:val="nil"/>
            </w:tcBorders>
          </w:tcPr>
          <w:p w14:paraId="61D0F1A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27D2EB5C"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619BE689"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34E805DD"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4435BEEF"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5CEAB3E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F2711E7" w14:textId="77777777" w:rsidTr="00BD0BAA">
        <w:trPr>
          <w:jc w:val="center"/>
        </w:trPr>
        <w:tc>
          <w:tcPr>
            <w:tcW w:w="1843" w:type="dxa"/>
            <w:tcBorders>
              <w:top w:val="nil"/>
              <w:bottom w:val="nil"/>
            </w:tcBorders>
          </w:tcPr>
          <w:p w14:paraId="35308DA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11</w:t>
            </w:r>
          </w:p>
        </w:tc>
        <w:tc>
          <w:tcPr>
            <w:tcW w:w="968" w:type="dxa"/>
            <w:tcBorders>
              <w:top w:val="nil"/>
              <w:bottom w:val="nil"/>
            </w:tcBorders>
          </w:tcPr>
          <w:p w14:paraId="22B6F7A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0.490</w:t>
            </w:r>
          </w:p>
        </w:tc>
        <w:tc>
          <w:tcPr>
            <w:tcW w:w="1005" w:type="dxa"/>
            <w:tcBorders>
              <w:top w:val="nil"/>
              <w:bottom w:val="nil"/>
            </w:tcBorders>
          </w:tcPr>
          <w:p w14:paraId="60471C5A"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2317975E"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5B16AF7D"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10572D0C"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7B67E8A4"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5C54E020"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444E3EB3" w14:textId="77777777" w:rsidTr="00BD0BAA">
        <w:trPr>
          <w:jc w:val="center"/>
        </w:trPr>
        <w:tc>
          <w:tcPr>
            <w:tcW w:w="1843" w:type="dxa"/>
            <w:tcBorders>
              <w:top w:val="nil"/>
            </w:tcBorders>
          </w:tcPr>
          <w:p w14:paraId="58E6A26F"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12</w:t>
            </w:r>
          </w:p>
        </w:tc>
        <w:tc>
          <w:tcPr>
            <w:tcW w:w="968" w:type="dxa"/>
            <w:tcBorders>
              <w:top w:val="nil"/>
            </w:tcBorders>
          </w:tcPr>
          <w:p w14:paraId="22F25C2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0.606</w:t>
            </w:r>
          </w:p>
        </w:tc>
        <w:tc>
          <w:tcPr>
            <w:tcW w:w="1005" w:type="dxa"/>
            <w:tcBorders>
              <w:top w:val="nil"/>
            </w:tcBorders>
          </w:tcPr>
          <w:p w14:paraId="46C6509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0.607</w:t>
            </w:r>
          </w:p>
        </w:tc>
        <w:tc>
          <w:tcPr>
            <w:tcW w:w="1005" w:type="dxa"/>
            <w:tcBorders>
              <w:top w:val="nil"/>
            </w:tcBorders>
          </w:tcPr>
          <w:p w14:paraId="410E4D1B"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tcBorders>
          </w:tcPr>
          <w:p w14:paraId="5CB0CAA4"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055ADA83"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097D7A68"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2DCD9EB5"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8C19D31" w14:textId="77777777" w:rsidTr="00BD0BAA">
        <w:trPr>
          <w:jc w:val="center"/>
        </w:trPr>
        <w:tc>
          <w:tcPr>
            <w:tcW w:w="1843" w:type="dxa"/>
          </w:tcPr>
          <w:p w14:paraId="08C834AB"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Financial Attitude</w:t>
            </w:r>
          </w:p>
        </w:tc>
        <w:tc>
          <w:tcPr>
            <w:tcW w:w="968" w:type="dxa"/>
          </w:tcPr>
          <w:p w14:paraId="03993D38"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28CE508E"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0DF52ECE"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121158CD"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0.705</w:t>
            </w:r>
          </w:p>
        </w:tc>
        <w:tc>
          <w:tcPr>
            <w:tcW w:w="922" w:type="dxa"/>
          </w:tcPr>
          <w:p w14:paraId="3E885A4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0.836</w:t>
            </w:r>
          </w:p>
        </w:tc>
        <w:tc>
          <w:tcPr>
            <w:tcW w:w="936" w:type="dxa"/>
          </w:tcPr>
          <w:p w14:paraId="0FFC63A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0.631</w:t>
            </w:r>
          </w:p>
        </w:tc>
        <w:tc>
          <w:tcPr>
            <w:tcW w:w="1084" w:type="dxa"/>
          </w:tcPr>
          <w:p w14:paraId="608711C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29DD5C7E" w14:textId="77777777" w:rsidTr="00BD0BAA">
        <w:trPr>
          <w:jc w:val="center"/>
        </w:trPr>
        <w:tc>
          <w:tcPr>
            <w:tcW w:w="1843" w:type="dxa"/>
            <w:tcBorders>
              <w:bottom w:val="nil"/>
            </w:tcBorders>
          </w:tcPr>
          <w:p w14:paraId="76B8267B"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1</w:t>
            </w:r>
          </w:p>
        </w:tc>
        <w:tc>
          <w:tcPr>
            <w:tcW w:w="968" w:type="dxa"/>
            <w:tcBorders>
              <w:bottom w:val="nil"/>
            </w:tcBorders>
          </w:tcPr>
          <w:p w14:paraId="11A93A0B"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0.710</w:t>
            </w:r>
          </w:p>
        </w:tc>
        <w:tc>
          <w:tcPr>
            <w:tcW w:w="1005" w:type="dxa"/>
            <w:tcBorders>
              <w:bottom w:val="nil"/>
            </w:tcBorders>
          </w:tcPr>
          <w:p w14:paraId="2424672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0.688</w:t>
            </w:r>
          </w:p>
        </w:tc>
        <w:tc>
          <w:tcPr>
            <w:tcW w:w="1005" w:type="dxa"/>
            <w:tcBorders>
              <w:bottom w:val="nil"/>
            </w:tcBorders>
          </w:tcPr>
          <w:p w14:paraId="23951A22"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bottom w:val="nil"/>
            </w:tcBorders>
          </w:tcPr>
          <w:p w14:paraId="2A184639"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004AB135"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4C7CF015"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70132773"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C90B87A" w14:textId="77777777" w:rsidTr="00BD0BAA">
        <w:trPr>
          <w:jc w:val="center"/>
        </w:trPr>
        <w:tc>
          <w:tcPr>
            <w:tcW w:w="1843" w:type="dxa"/>
            <w:tcBorders>
              <w:top w:val="nil"/>
              <w:bottom w:val="nil"/>
            </w:tcBorders>
          </w:tcPr>
          <w:p w14:paraId="2C320F0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2</w:t>
            </w:r>
          </w:p>
        </w:tc>
        <w:tc>
          <w:tcPr>
            <w:tcW w:w="968" w:type="dxa"/>
            <w:tcBorders>
              <w:top w:val="nil"/>
              <w:bottom w:val="nil"/>
            </w:tcBorders>
          </w:tcPr>
          <w:p w14:paraId="1777AE2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0.716</w:t>
            </w:r>
          </w:p>
        </w:tc>
        <w:tc>
          <w:tcPr>
            <w:tcW w:w="1005" w:type="dxa"/>
            <w:tcBorders>
              <w:top w:val="nil"/>
              <w:bottom w:val="nil"/>
            </w:tcBorders>
          </w:tcPr>
          <w:p w14:paraId="655FE40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0.716</w:t>
            </w:r>
          </w:p>
        </w:tc>
        <w:tc>
          <w:tcPr>
            <w:tcW w:w="1005" w:type="dxa"/>
            <w:tcBorders>
              <w:top w:val="nil"/>
              <w:bottom w:val="nil"/>
            </w:tcBorders>
          </w:tcPr>
          <w:p w14:paraId="2ABAE72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0.777</w:t>
            </w:r>
          </w:p>
        </w:tc>
        <w:tc>
          <w:tcPr>
            <w:tcW w:w="922" w:type="dxa"/>
            <w:tcBorders>
              <w:top w:val="nil"/>
              <w:bottom w:val="nil"/>
            </w:tcBorders>
          </w:tcPr>
          <w:p w14:paraId="5F42DFD7"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2392340B"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3AE343EB"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3BB1518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4DB39226" w14:textId="77777777" w:rsidTr="00BD0BAA">
        <w:trPr>
          <w:jc w:val="center"/>
        </w:trPr>
        <w:tc>
          <w:tcPr>
            <w:tcW w:w="1843" w:type="dxa"/>
            <w:tcBorders>
              <w:top w:val="nil"/>
              <w:bottom w:val="nil"/>
            </w:tcBorders>
          </w:tcPr>
          <w:p w14:paraId="7701E86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3</w:t>
            </w:r>
          </w:p>
        </w:tc>
        <w:tc>
          <w:tcPr>
            <w:tcW w:w="968" w:type="dxa"/>
            <w:tcBorders>
              <w:top w:val="nil"/>
              <w:bottom w:val="nil"/>
            </w:tcBorders>
          </w:tcPr>
          <w:p w14:paraId="1F3D873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0.688</w:t>
            </w:r>
          </w:p>
        </w:tc>
        <w:tc>
          <w:tcPr>
            <w:tcW w:w="1005" w:type="dxa"/>
            <w:tcBorders>
              <w:top w:val="nil"/>
              <w:bottom w:val="nil"/>
            </w:tcBorders>
          </w:tcPr>
          <w:p w14:paraId="1679340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0.710</w:t>
            </w:r>
          </w:p>
        </w:tc>
        <w:tc>
          <w:tcPr>
            <w:tcW w:w="1005" w:type="dxa"/>
            <w:tcBorders>
              <w:top w:val="nil"/>
              <w:bottom w:val="nil"/>
            </w:tcBorders>
          </w:tcPr>
          <w:p w14:paraId="42CEC63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0.748</w:t>
            </w:r>
          </w:p>
        </w:tc>
        <w:tc>
          <w:tcPr>
            <w:tcW w:w="922" w:type="dxa"/>
            <w:tcBorders>
              <w:top w:val="nil"/>
              <w:bottom w:val="nil"/>
            </w:tcBorders>
          </w:tcPr>
          <w:p w14:paraId="1197109D"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B650856"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DFDB904"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9AF85FA"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042C619" w14:textId="77777777" w:rsidTr="00BD0BAA">
        <w:trPr>
          <w:jc w:val="center"/>
        </w:trPr>
        <w:tc>
          <w:tcPr>
            <w:tcW w:w="1843" w:type="dxa"/>
            <w:tcBorders>
              <w:top w:val="nil"/>
              <w:bottom w:val="nil"/>
            </w:tcBorders>
          </w:tcPr>
          <w:p w14:paraId="7CFA9CD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4</w:t>
            </w:r>
          </w:p>
        </w:tc>
        <w:tc>
          <w:tcPr>
            <w:tcW w:w="968" w:type="dxa"/>
            <w:tcBorders>
              <w:top w:val="nil"/>
              <w:bottom w:val="nil"/>
            </w:tcBorders>
          </w:tcPr>
          <w:p w14:paraId="355FA03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0.693</w:t>
            </w:r>
          </w:p>
        </w:tc>
        <w:tc>
          <w:tcPr>
            <w:tcW w:w="1005" w:type="dxa"/>
            <w:tcBorders>
              <w:top w:val="nil"/>
              <w:bottom w:val="nil"/>
            </w:tcBorders>
          </w:tcPr>
          <w:p w14:paraId="3091921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0.693</w:t>
            </w:r>
          </w:p>
        </w:tc>
        <w:tc>
          <w:tcPr>
            <w:tcW w:w="1005" w:type="dxa"/>
            <w:tcBorders>
              <w:top w:val="nil"/>
              <w:bottom w:val="nil"/>
            </w:tcBorders>
          </w:tcPr>
          <w:p w14:paraId="5B9DE307"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531B749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5F55622E"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69A472EC"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64D9BD5F"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D0BD691" w14:textId="77777777" w:rsidTr="00BD0BAA">
        <w:trPr>
          <w:jc w:val="center"/>
        </w:trPr>
        <w:tc>
          <w:tcPr>
            <w:tcW w:w="1843" w:type="dxa"/>
            <w:tcBorders>
              <w:top w:val="nil"/>
              <w:bottom w:val="nil"/>
            </w:tcBorders>
          </w:tcPr>
          <w:p w14:paraId="6CB665B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5</w:t>
            </w:r>
          </w:p>
        </w:tc>
        <w:tc>
          <w:tcPr>
            <w:tcW w:w="968" w:type="dxa"/>
            <w:tcBorders>
              <w:top w:val="nil"/>
              <w:bottom w:val="nil"/>
            </w:tcBorders>
          </w:tcPr>
          <w:p w14:paraId="2C6976B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0.731</w:t>
            </w:r>
          </w:p>
        </w:tc>
        <w:tc>
          <w:tcPr>
            <w:tcW w:w="1005" w:type="dxa"/>
            <w:tcBorders>
              <w:top w:val="nil"/>
              <w:bottom w:val="nil"/>
            </w:tcBorders>
          </w:tcPr>
          <w:p w14:paraId="64FB7AA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0.731</w:t>
            </w:r>
          </w:p>
        </w:tc>
        <w:tc>
          <w:tcPr>
            <w:tcW w:w="1005" w:type="dxa"/>
            <w:tcBorders>
              <w:top w:val="nil"/>
              <w:bottom w:val="nil"/>
            </w:tcBorders>
          </w:tcPr>
          <w:p w14:paraId="1E9E544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0.853</w:t>
            </w:r>
          </w:p>
        </w:tc>
        <w:tc>
          <w:tcPr>
            <w:tcW w:w="922" w:type="dxa"/>
            <w:tcBorders>
              <w:top w:val="nil"/>
              <w:bottom w:val="nil"/>
            </w:tcBorders>
          </w:tcPr>
          <w:p w14:paraId="3B1322C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82AB623"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499A483D"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3ED218BD"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06C167E" w14:textId="77777777" w:rsidTr="00BD0BAA">
        <w:trPr>
          <w:jc w:val="center"/>
        </w:trPr>
        <w:tc>
          <w:tcPr>
            <w:tcW w:w="1843" w:type="dxa"/>
            <w:tcBorders>
              <w:top w:val="nil"/>
            </w:tcBorders>
          </w:tcPr>
          <w:p w14:paraId="6A332C39"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6</w:t>
            </w:r>
          </w:p>
        </w:tc>
        <w:tc>
          <w:tcPr>
            <w:tcW w:w="968" w:type="dxa"/>
            <w:tcBorders>
              <w:top w:val="nil"/>
            </w:tcBorders>
          </w:tcPr>
          <w:p w14:paraId="483485B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0.664</w:t>
            </w:r>
          </w:p>
        </w:tc>
        <w:tc>
          <w:tcPr>
            <w:tcW w:w="1005" w:type="dxa"/>
            <w:tcBorders>
              <w:top w:val="nil"/>
            </w:tcBorders>
          </w:tcPr>
          <w:p w14:paraId="21FA6C6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0.664</w:t>
            </w:r>
          </w:p>
        </w:tc>
        <w:tc>
          <w:tcPr>
            <w:tcW w:w="1005" w:type="dxa"/>
            <w:tcBorders>
              <w:top w:val="nil"/>
            </w:tcBorders>
          </w:tcPr>
          <w:p w14:paraId="1F1CE091"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tcBorders>
          </w:tcPr>
          <w:p w14:paraId="31DFE2E8"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7510BC03"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1E09C836"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785282AD"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5B2B4C3" w14:textId="77777777" w:rsidTr="00BD0BAA">
        <w:trPr>
          <w:jc w:val="center"/>
        </w:trPr>
        <w:tc>
          <w:tcPr>
            <w:tcW w:w="1843" w:type="dxa"/>
          </w:tcPr>
          <w:p w14:paraId="1DA7AC21"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Lifestyle</w:t>
            </w:r>
          </w:p>
        </w:tc>
        <w:tc>
          <w:tcPr>
            <w:tcW w:w="968" w:type="dxa"/>
          </w:tcPr>
          <w:p w14:paraId="448324FC"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762EBDD2"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7A351F2A"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62F9947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0.799</w:t>
            </w:r>
          </w:p>
        </w:tc>
        <w:tc>
          <w:tcPr>
            <w:tcW w:w="922" w:type="dxa"/>
          </w:tcPr>
          <w:p w14:paraId="1BC10C4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0.882</w:t>
            </w:r>
          </w:p>
        </w:tc>
        <w:tc>
          <w:tcPr>
            <w:tcW w:w="936" w:type="dxa"/>
          </w:tcPr>
          <w:p w14:paraId="58007CA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0.713</w:t>
            </w:r>
          </w:p>
        </w:tc>
        <w:tc>
          <w:tcPr>
            <w:tcW w:w="1084" w:type="dxa"/>
          </w:tcPr>
          <w:p w14:paraId="25BAAE0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6E020B4F" w14:textId="77777777" w:rsidTr="00BD0BAA">
        <w:trPr>
          <w:jc w:val="center"/>
        </w:trPr>
        <w:tc>
          <w:tcPr>
            <w:tcW w:w="1843" w:type="dxa"/>
            <w:tcBorders>
              <w:bottom w:val="nil"/>
            </w:tcBorders>
          </w:tcPr>
          <w:p w14:paraId="33CD4022"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1</w:t>
            </w:r>
          </w:p>
        </w:tc>
        <w:tc>
          <w:tcPr>
            <w:tcW w:w="968" w:type="dxa"/>
            <w:tcBorders>
              <w:bottom w:val="nil"/>
            </w:tcBorders>
          </w:tcPr>
          <w:p w14:paraId="6422210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0.762</w:t>
            </w:r>
          </w:p>
        </w:tc>
        <w:tc>
          <w:tcPr>
            <w:tcW w:w="1005" w:type="dxa"/>
            <w:tcBorders>
              <w:bottom w:val="nil"/>
            </w:tcBorders>
          </w:tcPr>
          <w:p w14:paraId="0C5A111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0.737</w:t>
            </w:r>
          </w:p>
        </w:tc>
        <w:tc>
          <w:tcPr>
            <w:tcW w:w="1005" w:type="dxa"/>
            <w:tcBorders>
              <w:bottom w:val="nil"/>
            </w:tcBorders>
          </w:tcPr>
          <w:p w14:paraId="764E696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0.789</w:t>
            </w:r>
          </w:p>
        </w:tc>
        <w:tc>
          <w:tcPr>
            <w:tcW w:w="922" w:type="dxa"/>
            <w:tcBorders>
              <w:bottom w:val="nil"/>
            </w:tcBorders>
          </w:tcPr>
          <w:p w14:paraId="392DC020"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2B305847"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78B76EA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301D458D"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5661BBBC" w14:textId="77777777" w:rsidTr="00BD0BAA">
        <w:trPr>
          <w:jc w:val="center"/>
        </w:trPr>
        <w:tc>
          <w:tcPr>
            <w:tcW w:w="1843" w:type="dxa"/>
            <w:tcBorders>
              <w:top w:val="nil"/>
              <w:bottom w:val="nil"/>
            </w:tcBorders>
          </w:tcPr>
          <w:p w14:paraId="5F78D4C7"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2</w:t>
            </w:r>
          </w:p>
        </w:tc>
        <w:tc>
          <w:tcPr>
            <w:tcW w:w="968" w:type="dxa"/>
            <w:tcBorders>
              <w:top w:val="nil"/>
              <w:bottom w:val="nil"/>
            </w:tcBorders>
          </w:tcPr>
          <w:p w14:paraId="3987B28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0.614</w:t>
            </w:r>
          </w:p>
        </w:tc>
        <w:tc>
          <w:tcPr>
            <w:tcW w:w="1005" w:type="dxa"/>
            <w:tcBorders>
              <w:top w:val="nil"/>
              <w:bottom w:val="nil"/>
            </w:tcBorders>
          </w:tcPr>
          <w:p w14:paraId="25D8D5E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0.628</w:t>
            </w:r>
          </w:p>
        </w:tc>
        <w:tc>
          <w:tcPr>
            <w:tcW w:w="1005" w:type="dxa"/>
            <w:tcBorders>
              <w:top w:val="nil"/>
              <w:bottom w:val="nil"/>
            </w:tcBorders>
          </w:tcPr>
          <w:p w14:paraId="0A922E1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24FE42C1"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4953B443"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B37597D"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570E083"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2C21F8A1" w14:textId="77777777" w:rsidTr="00BD0BAA">
        <w:trPr>
          <w:jc w:val="center"/>
        </w:trPr>
        <w:tc>
          <w:tcPr>
            <w:tcW w:w="1843" w:type="dxa"/>
            <w:tcBorders>
              <w:top w:val="nil"/>
              <w:bottom w:val="nil"/>
            </w:tcBorders>
          </w:tcPr>
          <w:p w14:paraId="7E6BF35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3</w:t>
            </w:r>
          </w:p>
        </w:tc>
        <w:tc>
          <w:tcPr>
            <w:tcW w:w="968" w:type="dxa"/>
            <w:tcBorders>
              <w:top w:val="nil"/>
              <w:bottom w:val="nil"/>
            </w:tcBorders>
          </w:tcPr>
          <w:p w14:paraId="0E63147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0.821</w:t>
            </w:r>
          </w:p>
        </w:tc>
        <w:tc>
          <w:tcPr>
            <w:tcW w:w="1005" w:type="dxa"/>
            <w:tcBorders>
              <w:top w:val="nil"/>
              <w:bottom w:val="nil"/>
            </w:tcBorders>
          </w:tcPr>
          <w:p w14:paraId="0A15EF2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0.831</w:t>
            </w:r>
          </w:p>
        </w:tc>
        <w:tc>
          <w:tcPr>
            <w:tcW w:w="1005" w:type="dxa"/>
            <w:tcBorders>
              <w:top w:val="nil"/>
              <w:bottom w:val="nil"/>
            </w:tcBorders>
          </w:tcPr>
          <w:p w14:paraId="0683982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0.863</w:t>
            </w:r>
          </w:p>
        </w:tc>
        <w:tc>
          <w:tcPr>
            <w:tcW w:w="922" w:type="dxa"/>
            <w:tcBorders>
              <w:top w:val="nil"/>
              <w:bottom w:val="nil"/>
            </w:tcBorders>
          </w:tcPr>
          <w:p w14:paraId="01712834"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D1FF50E"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7E0913B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3D45718D"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79DA471" w14:textId="77777777" w:rsidTr="00BD0BAA">
        <w:trPr>
          <w:jc w:val="center"/>
        </w:trPr>
        <w:tc>
          <w:tcPr>
            <w:tcW w:w="1843" w:type="dxa"/>
            <w:tcBorders>
              <w:top w:val="nil"/>
              <w:bottom w:val="nil"/>
            </w:tcBorders>
          </w:tcPr>
          <w:p w14:paraId="2E4BFA20"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4</w:t>
            </w:r>
          </w:p>
        </w:tc>
        <w:tc>
          <w:tcPr>
            <w:tcW w:w="968" w:type="dxa"/>
            <w:tcBorders>
              <w:top w:val="nil"/>
              <w:bottom w:val="nil"/>
            </w:tcBorders>
          </w:tcPr>
          <w:p w14:paraId="33C77BF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0.506</w:t>
            </w:r>
          </w:p>
        </w:tc>
        <w:tc>
          <w:tcPr>
            <w:tcW w:w="1005" w:type="dxa"/>
            <w:tcBorders>
              <w:top w:val="nil"/>
              <w:bottom w:val="nil"/>
            </w:tcBorders>
          </w:tcPr>
          <w:p w14:paraId="06EB5A26"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0DEE05C0"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7F5F5516"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75031FE"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A9AA0A3"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9114C0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F951684" w14:textId="77777777" w:rsidTr="00BD0BAA">
        <w:trPr>
          <w:jc w:val="center"/>
        </w:trPr>
        <w:tc>
          <w:tcPr>
            <w:tcW w:w="1843" w:type="dxa"/>
            <w:tcBorders>
              <w:top w:val="nil"/>
              <w:bottom w:val="nil"/>
            </w:tcBorders>
          </w:tcPr>
          <w:p w14:paraId="75BA7A5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5</w:t>
            </w:r>
          </w:p>
        </w:tc>
        <w:tc>
          <w:tcPr>
            <w:tcW w:w="968" w:type="dxa"/>
            <w:tcBorders>
              <w:top w:val="nil"/>
              <w:bottom w:val="nil"/>
            </w:tcBorders>
          </w:tcPr>
          <w:p w14:paraId="0DF415A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0.608</w:t>
            </w:r>
          </w:p>
        </w:tc>
        <w:tc>
          <w:tcPr>
            <w:tcW w:w="1005" w:type="dxa"/>
            <w:tcBorders>
              <w:top w:val="nil"/>
              <w:bottom w:val="nil"/>
            </w:tcBorders>
          </w:tcPr>
          <w:p w14:paraId="67F05EF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0.660</w:t>
            </w:r>
          </w:p>
        </w:tc>
        <w:tc>
          <w:tcPr>
            <w:tcW w:w="1005" w:type="dxa"/>
            <w:tcBorders>
              <w:top w:val="nil"/>
              <w:bottom w:val="nil"/>
            </w:tcBorders>
          </w:tcPr>
          <w:p w14:paraId="0B792B9D"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428AEABF"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65C6A84"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026F2E96"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7E5AE1CB"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2A484EF0" w14:textId="77777777" w:rsidTr="00BD0BAA">
        <w:trPr>
          <w:jc w:val="center"/>
        </w:trPr>
        <w:tc>
          <w:tcPr>
            <w:tcW w:w="1843" w:type="dxa"/>
            <w:tcBorders>
              <w:top w:val="nil"/>
            </w:tcBorders>
          </w:tcPr>
          <w:p w14:paraId="158DBAC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6</w:t>
            </w:r>
          </w:p>
        </w:tc>
        <w:tc>
          <w:tcPr>
            <w:tcW w:w="968" w:type="dxa"/>
            <w:tcBorders>
              <w:top w:val="nil"/>
            </w:tcBorders>
          </w:tcPr>
          <w:p w14:paraId="7942D1E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0.783</w:t>
            </w:r>
          </w:p>
        </w:tc>
        <w:tc>
          <w:tcPr>
            <w:tcW w:w="1005" w:type="dxa"/>
            <w:tcBorders>
              <w:top w:val="nil"/>
            </w:tcBorders>
          </w:tcPr>
          <w:p w14:paraId="137CAAC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0.786</w:t>
            </w:r>
          </w:p>
        </w:tc>
        <w:tc>
          <w:tcPr>
            <w:tcW w:w="1005" w:type="dxa"/>
            <w:tcBorders>
              <w:top w:val="nil"/>
            </w:tcBorders>
          </w:tcPr>
          <w:p w14:paraId="30B0259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0.879</w:t>
            </w:r>
          </w:p>
        </w:tc>
        <w:tc>
          <w:tcPr>
            <w:tcW w:w="922" w:type="dxa"/>
            <w:tcBorders>
              <w:top w:val="nil"/>
            </w:tcBorders>
          </w:tcPr>
          <w:p w14:paraId="709F5D35"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2CC7B969"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0520AE1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51C26923"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4756E5C1" w14:textId="77777777" w:rsidTr="00BD0BAA">
        <w:trPr>
          <w:jc w:val="center"/>
        </w:trPr>
        <w:tc>
          <w:tcPr>
            <w:tcW w:w="1843" w:type="dxa"/>
          </w:tcPr>
          <w:p w14:paraId="33092441"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Financial Inclusion</w:t>
            </w:r>
          </w:p>
        </w:tc>
        <w:tc>
          <w:tcPr>
            <w:tcW w:w="968" w:type="dxa"/>
          </w:tcPr>
          <w:p w14:paraId="00C0AE01"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7AE00E6A"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0095DF3D"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10A1E76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0.706</w:t>
            </w:r>
          </w:p>
        </w:tc>
        <w:tc>
          <w:tcPr>
            <w:tcW w:w="922" w:type="dxa"/>
          </w:tcPr>
          <w:p w14:paraId="2E361AE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0.836</w:t>
            </w:r>
          </w:p>
        </w:tc>
        <w:tc>
          <w:tcPr>
            <w:tcW w:w="936" w:type="dxa"/>
          </w:tcPr>
          <w:p w14:paraId="6CB2EAC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0.630</w:t>
            </w:r>
          </w:p>
        </w:tc>
        <w:tc>
          <w:tcPr>
            <w:tcW w:w="1084" w:type="dxa"/>
          </w:tcPr>
          <w:p w14:paraId="26E5576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15A9B291" w14:textId="77777777" w:rsidTr="00BD0BAA">
        <w:trPr>
          <w:jc w:val="center"/>
        </w:trPr>
        <w:tc>
          <w:tcPr>
            <w:tcW w:w="1843" w:type="dxa"/>
            <w:tcBorders>
              <w:bottom w:val="nil"/>
            </w:tcBorders>
          </w:tcPr>
          <w:p w14:paraId="6BB9070F"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1</w:t>
            </w:r>
          </w:p>
        </w:tc>
        <w:tc>
          <w:tcPr>
            <w:tcW w:w="968" w:type="dxa"/>
            <w:tcBorders>
              <w:bottom w:val="nil"/>
            </w:tcBorders>
          </w:tcPr>
          <w:p w14:paraId="3450C48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0.610</w:t>
            </w:r>
          </w:p>
        </w:tc>
        <w:tc>
          <w:tcPr>
            <w:tcW w:w="1005" w:type="dxa"/>
            <w:tcBorders>
              <w:bottom w:val="nil"/>
            </w:tcBorders>
          </w:tcPr>
          <w:p w14:paraId="198F850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0.611</w:t>
            </w:r>
          </w:p>
        </w:tc>
        <w:tc>
          <w:tcPr>
            <w:tcW w:w="1005" w:type="dxa"/>
            <w:tcBorders>
              <w:bottom w:val="nil"/>
            </w:tcBorders>
          </w:tcPr>
          <w:p w14:paraId="31EEE9D5"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bottom w:val="nil"/>
            </w:tcBorders>
          </w:tcPr>
          <w:p w14:paraId="358D6220"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0BFA45FC"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1B5B9EA7"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24E238CC"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BDAFC09" w14:textId="77777777" w:rsidTr="00BD0BAA">
        <w:trPr>
          <w:jc w:val="center"/>
        </w:trPr>
        <w:tc>
          <w:tcPr>
            <w:tcW w:w="1843" w:type="dxa"/>
            <w:tcBorders>
              <w:top w:val="nil"/>
              <w:bottom w:val="nil"/>
            </w:tcBorders>
          </w:tcPr>
          <w:p w14:paraId="2A3430F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2</w:t>
            </w:r>
          </w:p>
        </w:tc>
        <w:tc>
          <w:tcPr>
            <w:tcW w:w="968" w:type="dxa"/>
            <w:tcBorders>
              <w:top w:val="nil"/>
              <w:bottom w:val="nil"/>
            </w:tcBorders>
          </w:tcPr>
          <w:p w14:paraId="2F46D70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0.623</w:t>
            </w:r>
          </w:p>
        </w:tc>
        <w:tc>
          <w:tcPr>
            <w:tcW w:w="1005" w:type="dxa"/>
            <w:tcBorders>
              <w:top w:val="nil"/>
              <w:bottom w:val="nil"/>
            </w:tcBorders>
          </w:tcPr>
          <w:p w14:paraId="4BB4384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0.623</w:t>
            </w:r>
          </w:p>
        </w:tc>
        <w:tc>
          <w:tcPr>
            <w:tcW w:w="1005" w:type="dxa"/>
            <w:tcBorders>
              <w:top w:val="nil"/>
              <w:bottom w:val="nil"/>
            </w:tcBorders>
          </w:tcPr>
          <w:p w14:paraId="5BE0DF7A"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5CEA2EA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1F0D7725"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62A0872D"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436EC727"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EB1AC79" w14:textId="77777777" w:rsidTr="00BD0BAA">
        <w:trPr>
          <w:jc w:val="center"/>
        </w:trPr>
        <w:tc>
          <w:tcPr>
            <w:tcW w:w="1843" w:type="dxa"/>
            <w:tcBorders>
              <w:top w:val="nil"/>
              <w:bottom w:val="nil"/>
            </w:tcBorders>
          </w:tcPr>
          <w:p w14:paraId="6B03A91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3</w:t>
            </w:r>
          </w:p>
        </w:tc>
        <w:tc>
          <w:tcPr>
            <w:tcW w:w="968" w:type="dxa"/>
            <w:tcBorders>
              <w:top w:val="nil"/>
              <w:bottom w:val="nil"/>
            </w:tcBorders>
          </w:tcPr>
          <w:p w14:paraId="067A4CD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0.661</w:t>
            </w:r>
          </w:p>
        </w:tc>
        <w:tc>
          <w:tcPr>
            <w:tcW w:w="1005" w:type="dxa"/>
            <w:tcBorders>
              <w:top w:val="nil"/>
              <w:bottom w:val="nil"/>
            </w:tcBorders>
          </w:tcPr>
          <w:p w14:paraId="1CE3AA0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0.661</w:t>
            </w:r>
          </w:p>
        </w:tc>
        <w:tc>
          <w:tcPr>
            <w:tcW w:w="1005" w:type="dxa"/>
            <w:tcBorders>
              <w:top w:val="nil"/>
              <w:bottom w:val="nil"/>
            </w:tcBorders>
          </w:tcPr>
          <w:p w14:paraId="64FDBB88"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75104212"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BC39B70"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6A2EC49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1F37E750"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B1BD6EF" w14:textId="77777777" w:rsidTr="00BD0BAA">
        <w:trPr>
          <w:jc w:val="center"/>
        </w:trPr>
        <w:tc>
          <w:tcPr>
            <w:tcW w:w="1843" w:type="dxa"/>
            <w:tcBorders>
              <w:top w:val="nil"/>
              <w:bottom w:val="nil"/>
            </w:tcBorders>
          </w:tcPr>
          <w:p w14:paraId="4132719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4</w:t>
            </w:r>
          </w:p>
        </w:tc>
        <w:tc>
          <w:tcPr>
            <w:tcW w:w="968" w:type="dxa"/>
            <w:tcBorders>
              <w:top w:val="nil"/>
              <w:bottom w:val="nil"/>
            </w:tcBorders>
          </w:tcPr>
          <w:p w14:paraId="473C098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0.615</w:t>
            </w:r>
          </w:p>
        </w:tc>
        <w:tc>
          <w:tcPr>
            <w:tcW w:w="1005" w:type="dxa"/>
            <w:tcBorders>
              <w:top w:val="nil"/>
              <w:bottom w:val="nil"/>
            </w:tcBorders>
          </w:tcPr>
          <w:p w14:paraId="6545E31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0.615</w:t>
            </w:r>
          </w:p>
        </w:tc>
        <w:tc>
          <w:tcPr>
            <w:tcW w:w="1005" w:type="dxa"/>
            <w:tcBorders>
              <w:top w:val="nil"/>
              <w:bottom w:val="nil"/>
            </w:tcBorders>
          </w:tcPr>
          <w:p w14:paraId="4526F1C1"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02155C9F"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88EFBA2"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70582E5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1F6FB85"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58FFFB1F" w14:textId="77777777" w:rsidTr="00BD0BAA">
        <w:trPr>
          <w:jc w:val="center"/>
        </w:trPr>
        <w:tc>
          <w:tcPr>
            <w:tcW w:w="1843" w:type="dxa"/>
            <w:tcBorders>
              <w:top w:val="nil"/>
              <w:bottom w:val="nil"/>
            </w:tcBorders>
          </w:tcPr>
          <w:p w14:paraId="761182D0"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5</w:t>
            </w:r>
          </w:p>
        </w:tc>
        <w:tc>
          <w:tcPr>
            <w:tcW w:w="968" w:type="dxa"/>
            <w:tcBorders>
              <w:top w:val="nil"/>
              <w:bottom w:val="nil"/>
            </w:tcBorders>
          </w:tcPr>
          <w:p w14:paraId="18D45D6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0.768</w:t>
            </w:r>
          </w:p>
        </w:tc>
        <w:tc>
          <w:tcPr>
            <w:tcW w:w="1005" w:type="dxa"/>
            <w:tcBorders>
              <w:top w:val="nil"/>
              <w:bottom w:val="nil"/>
            </w:tcBorders>
          </w:tcPr>
          <w:p w14:paraId="260EF07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0.768</w:t>
            </w:r>
          </w:p>
        </w:tc>
        <w:tc>
          <w:tcPr>
            <w:tcW w:w="1005" w:type="dxa"/>
            <w:tcBorders>
              <w:top w:val="nil"/>
              <w:bottom w:val="nil"/>
            </w:tcBorders>
          </w:tcPr>
          <w:p w14:paraId="262AB3E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0.828</w:t>
            </w:r>
          </w:p>
        </w:tc>
        <w:tc>
          <w:tcPr>
            <w:tcW w:w="922" w:type="dxa"/>
            <w:tcBorders>
              <w:top w:val="nil"/>
              <w:bottom w:val="nil"/>
            </w:tcBorders>
          </w:tcPr>
          <w:p w14:paraId="4F43AB9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721B5696"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DD5AD4F"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9666A1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2BF1ABDC" w14:textId="77777777" w:rsidTr="00BD0BAA">
        <w:trPr>
          <w:jc w:val="center"/>
        </w:trPr>
        <w:tc>
          <w:tcPr>
            <w:tcW w:w="1843" w:type="dxa"/>
            <w:tcBorders>
              <w:top w:val="nil"/>
              <w:bottom w:val="nil"/>
            </w:tcBorders>
          </w:tcPr>
          <w:p w14:paraId="6F51B22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6</w:t>
            </w:r>
          </w:p>
        </w:tc>
        <w:tc>
          <w:tcPr>
            <w:tcW w:w="968" w:type="dxa"/>
            <w:tcBorders>
              <w:top w:val="nil"/>
              <w:bottom w:val="nil"/>
            </w:tcBorders>
          </w:tcPr>
          <w:p w14:paraId="2C2C262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0.731</w:t>
            </w:r>
          </w:p>
        </w:tc>
        <w:tc>
          <w:tcPr>
            <w:tcW w:w="1005" w:type="dxa"/>
            <w:tcBorders>
              <w:top w:val="nil"/>
              <w:bottom w:val="nil"/>
            </w:tcBorders>
          </w:tcPr>
          <w:p w14:paraId="34BFC76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0.730</w:t>
            </w:r>
          </w:p>
        </w:tc>
        <w:tc>
          <w:tcPr>
            <w:tcW w:w="1005" w:type="dxa"/>
            <w:tcBorders>
              <w:top w:val="nil"/>
              <w:bottom w:val="nil"/>
            </w:tcBorders>
          </w:tcPr>
          <w:p w14:paraId="3C50DD0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0.735</w:t>
            </w:r>
          </w:p>
        </w:tc>
        <w:tc>
          <w:tcPr>
            <w:tcW w:w="922" w:type="dxa"/>
            <w:tcBorders>
              <w:top w:val="nil"/>
              <w:bottom w:val="nil"/>
            </w:tcBorders>
          </w:tcPr>
          <w:p w14:paraId="053D55DB"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1D135806"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0A24B12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3CABF563"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1E00209" w14:textId="77777777" w:rsidTr="00BD0BAA">
        <w:trPr>
          <w:jc w:val="center"/>
        </w:trPr>
        <w:tc>
          <w:tcPr>
            <w:tcW w:w="1843" w:type="dxa"/>
            <w:tcBorders>
              <w:top w:val="nil"/>
            </w:tcBorders>
          </w:tcPr>
          <w:p w14:paraId="715AE90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7</w:t>
            </w:r>
          </w:p>
        </w:tc>
        <w:tc>
          <w:tcPr>
            <w:tcW w:w="968" w:type="dxa"/>
            <w:tcBorders>
              <w:top w:val="nil"/>
            </w:tcBorders>
          </w:tcPr>
          <w:p w14:paraId="47AB27D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0.778</w:t>
            </w:r>
          </w:p>
        </w:tc>
        <w:tc>
          <w:tcPr>
            <w:tcW w:w="1005" w:type="dxa"/>
            <w:tcBorders>
              <w:top w:val="nil"/>
            </w:tcBorders>
          </w:tcPr>
          <w:p w14:paraId="0C23F25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0.778</w:t>
            </w:r>
          </w:p>
        </w:tc>
        <w:tc>
          <w:tcPr>
            <w:tcW w:w="1005" w:type="dxa"/>
            <w:tcBorders>
              <w:top w:val="nil"/>
            </w:tcBorders>
          </w:tcPr>
          <w:p w14:paraId="5A13E26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0.816</w:t>
            </w:r>
          </w:p>
        </w:tc>
        <w:tc>
          <w:tcPr>
            <w:tcW w:w="922" w:type="dxa"/>
            <w:tcBorders>
              <w:top w:val="nil"/>
            </w:tcBorders>
          </w:tcPr>
          <w:p w14:paraId="47E115C8"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210D7260"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1BE982C0"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6849CA3A"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B019882" w14:textId="77777777" w:rsidTr="00BD0BAA">
        <w:trPr>
          <w:jc w:val="center"/>
        </w:trPr>
        <w:tc>
          <w:tcPr>
            <w:tcW w:w="1843" w:type="dxa"/>
          </w:tcPr>
          <w:p w14:paraId="39BB13D9"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Financial Behavior</w:t>
            </w:r>
          </w:p>
        </w:tc>
        <w:tc>
          <w:tcPr>
            <w:tcW w:w="968" w:type="dxa"/>
          </w:tcPr>
          <w:p w14:paraId="58F539FB"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52BE3D55"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6743B5FA"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2BA9185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0.728</w:t>
            </w:r>
          </w:p>
        </w:tc>
        <w:tc>
          <w:tcPr>
            <w:tcW w:w="922" w:type="dxa"/>
          </w:tcPr>
          <w:p w14:paraId="1117268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0.845</w:t>
            </w:r>
          </w:p>
        </w:tc>
        <w:tc>
          <w:tcPr>
            <w:tcW w:w="936" w:type="dxa"/>
          </w:tcPr>
          <w:p w14:paraId="402EFFD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0.645</w:t>
            </w:r>
          </w:p>
        </w:tc>
        <w:tc>
          <w:tcPr>
            <w:tcW w:w="1084" w:type="dxa"/>
          </w:tcPr>
          <w:p w14:paraId="66197DF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7689A236" w14:textId="77777777" w:rsidTr="00BD0BAA">
        <w:trPr>
          <w:jc w:val="center"/>
        </w:trPr>
        <w:tc>
          <w:tcPr>
            <w:tcW w:w="1843" w:type="dxa"/>
            <w:tcBorders>
              <w:bottom w:val="nil"/>
            </w:tcBorders>
          </w:tcPr>
          <w:p w14:paraId="0744AD2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1</w:t>
            </w:r>
          </w:p>
        </w:tc>
        <w:tc>
          <w:tcPr>
            <w:tcW w:w="968" w:type="dxa"/>
            <w:tcBorders>
              <w:bottom w:val="nil"/>
            </w:tcBorders>
          </w:tcPr>
          <w:p w14:paraId="70B2DF9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0.711</w:t>
            </w:r>
          </w:p>
        </w:tc>
        <w:tc>
          <w:tcPr>
            <w:tcW w:w="1005" w:type="dxa"/>
            <w:tcBorders>
              <w:bottom w:val="nil"/>
            </w:tcBorders>
          </w:tcPr>
          <w:p w14:paraId="1937C54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0.711</w:t>
            </w:r>
          </w:p>
        </w:tc>
        <w:tc>
          <w:tcPr>
            <w:tcW w:w="1005" w:type="dxa"/>
            <w:tcBorders>
              <w:bottom w:val="nil"/>
            </w:tcBorders>
          </w:tcPr>
          <w:p w14:paraId="0B98C5C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0.810</w:t>
            </w:r>
          </w:p>
        </w:tc>
        <w:tc>
          <w:tcPr>
            <w:tcW w:w="922" w:type="dxa"/>
            <w:tcBorders>
              <w:bottom w:val="nil"/>
            </w:tcBorders>
          </w:tcPr>
          <w:p w14:paraId="7EE77273"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101E90DA"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7FA7C466"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622668A6"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1EB865D" w14:textId="77777777" w:rsidTr="00BD0BAA">
        <w:trPr>
          <w:jc w:val="center"/>
        </w:trPr>
        <w:tc>
          <w:tcPr>
            <w:tcW w:w="1843" w:type="dxa"/>
            <w:tcBorders>
              <w:top w:val="nil"/>
              <w:bottom w:val="nil"/>
            </w:tcBorders>
          </w:tcPr>
          <w:p w14:paraId="1920DFC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2</w:t>
            </w:r>
          </w:p>
        </w:tc>
        <w:tc>
          <w:tcPr>
            <w:tcW w:w="968" w:type="dxa"/>
            <w:tcBorders>
              <w:top w:val="nil"/>
              <w:bottom w:val="nil"/>
            </w:tcBorders>
          </w:tcPr>
          <w:p w14:paraId="1D35164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0.669</w:t>
            </w:r>
          </w:p>
        </w:tc>
        <w:tc>
          <w:tcPr>
            <w:tcW w:w="1005" w:type="dxa"/>
            <w:tcBorders>
              <w:top w:val="nil"/>
              <w:bottom w:val="nil"/>
            </w:tcBorders>
          </w:tcPr>
          <w:p w14:paraId="18A484D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0.669</w:t>
            </w:r>
          </w:p>
        </w:tc>
        <w:tc>
          <w:tcPr>
            <w:tcW w:w="1005" w:type="dxa"/>
            <w:tcBorders>
              <w:top w:val="nil"/>
              <w:bottom w:val="nil"/>
            </w:tcBorders>
          </w:tcPr>
          <w:p w14:paraId="7A89579D"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01F319A0"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62ABEB4"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0E2E65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6BAB9E79"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4A33175" w14:textId="77777777" w:rsidTr="00BD0BAA">
        <w:trPr>
          <w:jc w:val="center"/>
        </w:trPr>
        <w:tc>
          <w:tcPr>
            <w:tcW w:w="1843" w:type="dxa"/>
            <w:tcBorders>
              <w:top w:val="nil"/>
              <w:bottom w:val="nil"/>
            </w:tcBorders>
          </w:tcPr>
          <w:p w14:paraId="338E61BF"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3</w:t>
            </w:r>
          </w:p>
        </w:tc>
        <w:tc>
          <w:tcPr>
            <w:tcW w:w="968" w:type="dxa"/>
            <w:tcBorders>
              <w:top w:val="nil"/>
              <w:bottom w:val="nil"/>
            </w:tcBorders>
          </w:tcPr>
          <w:p w14:paraId="7848AC8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0.659</w:t>
            </w:r>
          </w:p>
        </w:tc>
        <w:tc>
          <w:tcPr>
            <w:tcW w:w="1005" w:type="dxa"/>
            <w:tcBorders>
              <w:top w:val="nil"/>
              <w:bottom w:val="nil"/>
            </w:tcBorders>
          </w:tcPr>
          <w:p w14:paraId="1710D16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0.659</w:t>
            </w:r>
          </w:p>
        </w:tc>
        <w:tc>
          <w:tcPr>
            <w:tcW w:w="1005" w:type="dxa"/>
            <w:tcBorders>
              <w:top w:val="nil"/>
              <w:bottom w:val="nil"/>
            </w:tcBorders>
          </w:tcPr>
          <w:p w14:paraId="7B3F1697"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3E529072"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07C4D58"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3BAFD9F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6449F75A"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588C7F18" w14:textId="77777777" w:rsidTr="00BD0BAA">
        <w:trPr>
          <w:jc w:val="center"/>
        </w:trPr>
        <w:tc>
          <w:tcPr>
            <w:tcW w:w="1843" w:type="dxa"/>
            <w:tcBorders>
              <w:top w:val="nil"/>
              <w:bottom w:val="nil"/>
            </w:tcBorders>
          </w:tcPr>
          <w:p w14:paraId="03AD0F5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4</w:t>
            </w:r>
          </w:p>
        </w:tc>
        <w:tc>
          <w:tcPr>
            <w:tcW w:w="968" w:type="dxa"/>
            <w:tcBorders>
              <w:top w:val="nil"/>
              <w:bottom w:val="nil"/>
            </w:tcBorders>
          </w:tcPr>
          <w:p w14:paraId="2132ABDD"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0.746</w:t>
            </w:r>
          </w:p>
        </w:tc>
        <w:tc>
          <w:tcPr>
            <w:tcW w:w="1005" w:type="dxa"/>
            <w:tcBorders>
              <w:top w:val="nil"/>
              <w:bottom w:val="nil"/>
            </w:tcBorders>
          </w:tcPr>
          <w:p w14:paraId="2FF811A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0.745</w:t>
            </w:r>
          </w:p>
        </w:tc>
        <w:tc>
          <w:tcPr>
            <w:tcW w:w="1005" w:type="dxa"/>
            <w:tcBorders>
              <w:top w:val="nil"/>
              <w:bottom w:val="nil"/>
            </w:tcBorders>
          </w:tcPr>
          <w:p w14:paraId="5ACA21B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0.749</w:t>
            </w:r>
          </w:p>
        </w:tc>
        <w:tc>
          <w:tcPr>
            <w:tcW w:w="922" w:type="dxa"/>
            <w:tcBorders>
              <w:top w:val="nil"/>
              <w:bottom w:val="nil"/>
            </w:tcBorders>
          </w:tcPr>
          <w:p w14:paraId="177D22F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36B3D06D"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B4FA5E3"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99BC976"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D498D8E" w14:textId="77777777" w:rsidTr="00BD0BAA">
        <w:trPr>
          <w:jc w:val="center"/>
        </w:trPr>
        <w:tc>
          <w:tcPr>
            <w:tcW w:w="1843" w:type="dxa"/>
            <w:tcBorders>
              <w:top w:val="nil"/>
            </w:tcBorders>
          </w:tcPr>
          <w:p w14:paraId="20F4A3A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5</w:t>
            </w:r>
          </w:p>
        </w:tc>
        <w:tc>
          <w:tcPr>
            <w:tcW w:w="968" w:type="dxa"/>
            <w:tcBorders>
              <w:top w:val="nil"/>
            </w:tcBorders>
          </w:tcPr>
          <w:p w14:paraId="6436C84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0.829</w:t>
            </w:r>
          </w:p>
        </w:tc>
        <w:tc>
          <w:tcPr>
            <w:tcW w:w="1005" w:type="dxa"/>
            <w:tcBorders>
              <w:top w:val="nil"/>
            </w:tcBorders>
          </w:tcPr>
          <w:p w14:paraId="24AF509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0.829</w:t>
            </w:r>
          </w:p>
        </w:tc>
        <w:tc>
          <w:tcPr>
            <w:tcW w:w="1005" w:type="dxa"/>
            <w:tcBorders>
              <w:top w:val="nil"/>
            </w:tcBorders>
          </w:tcPr>
          <w:p w14:paraId="74B3C58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0.853</w:t>
            </w:r>
          </w:p>
        </w:tc>
        <w:tc>
          <w:tcPr>
            <w:tcW w:w="922" w:type="dxa"/>
            <w:tcBorders>
              <w:top w:val="nil"/>
            </w:tcBorders>
          </w:tcPr>
          <w:p w14:paraId="2FAD1AD1"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1EEA90E1"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27C4D01F"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4470FA92" w14:textId="77777777" w:rsidR="00C16090" w:rsidRPr="005E1216" w:rsidRDefault="00C16090" w:rsidP="00BD0BAA">
            <w:pPr>
              <w:tabs>
                <w:tab w:val="left" w:pos="1141"/>
              </w:tabs>
              <w:jc w:val="both"/>
              <w:rPr>
                <w:rFonts w:ascii="Arial" w:hAnsi="Arial" w:cs="Arial"/>
                <w:sz w:val="20"/>
                <w:szCs w:val="20"/>
                <w:lang w:val="id-ID"/>
              </w:rPr>
            </w:pPr>
          </w:p>
        </w:tc>
      </w:tr>
    </w:tbl>
    <w:p w14:paraId="49C8443F" w14:textId="77777777" w:rsidR="00C16090" w:rsidRPr="00734CDE" w:rsidRDefault="00C16090" w:rsidP="00C16090">
      <w:pPr>
        <w:tabs>
          <w:tab w:val="left" w:pos="1141"/>
        </w:tabs>
        <w:spacing w:after="0"/>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1F2A3E05" w14:textId="77777777" w:rsidR="00C16090" w:rsidRDefault="00C16090" w:rsidP="00C16090">
      <w:pPr>
        <w:spacing w:after="0"/>
        <w:jc w:val="center"/>
        <w:rPr>
          <w:rFonts w:ascii="Arial" w:hAnsi="Arial"/>
          <w:sz w:val="20"/>
          <w:szCs w:val="20"/>
          <w:lang w:val="id-ID"/>
        </w:rPr>
      </w:pPr>
    </w:p>
    <w:p w14:paraId="13F3720D" w14:textId="77777777" w:rsidR="00BD096E" w:rsidRDefault="00BD096E" w:rsidP="00BD096E">
      <w:pPr>
        <w:tabs>
          <w:tab w:val="left" w:pos="1141"/>
        </w:tabs>
        <w:spacing w:after="0"/>
        <w:jc w:val="both"/>
        <w:rPr>
          <w:rFonts w:ascii="Arial" w:hAnsi="Arial" w:cs="Arial"/>
          <w:sz w:val="20"/>
          <w:szCs w:val="20"/>
          <w:lang w:val="id-ID"/>
        </w:rPr>
      </w:pPr>
      <w:r>
        <w:rPr>
          <w:rFonts w:ascii="Arial" w:hAnsi="Arial" w:cs="Arial"/>
          <w:sz w:val="20"/>
          <w:szCs w:val="20"/>
          <w:lang w:val="id-ID"/>
        </w:rPr>
        <w:t xml:space="preserve">Discriminant validity is a test that compares the AVE of each construct with its correlation with other components, used to assess discriminant validity. As see in Table 4, the results show that the square root of the AVE for each construct is greather than the correlation with other constructs, indicating that each </w:t>
      </w:r>
      <w:r>
        <w:rPr>
          <w:rFonts w:ascii="Arial" w:hAnsi="Arial" w:cs="Arial"/>
          <w:sz w:val="20"/>
          <w:szCs w:val="20"/>
          <w:lang w:val="id-ID"/>
        </w:rPr>
        <w:lastRenderedPageBreak/>
        <w:t xml:space="preserve">latent variable is distinct. Consequently, each construct meets the criteria for discriminant validity and is suitable for further SEM-PLS testing. </w:t>
      </w:r>
    </w:p>
    <w:p w14:paraId="3FA40F80" w14:textId="77777777" w:rsidR="00BD096E" w:rsidRDefault="00BD096E" w:rsidP="00BD096E">
      <w:pPr>
        <w:spacing w:after="0"/>
        <w:rPr>
          <w:rFonts w:ascii="Arial" w:hAnsi="Arial"/>
          <w:sz w:val="20"/>
          <w:szCs w:val="20"/>
          <w:lang w:val="id-ID"/>
        </w:rPr>
      </w:pPr>
    </w:p>
    <w:p w14:paraId="7423B2E3" w14:textId="77777777" w:rsidR="00E46FC3" w:rsidRDefault="00E46FC3" w:rsidP="00E46FC3">
      <w:pPr>
        <w:tabs>
          <w:tab w:val="left" w:pos="1141"/>
        </w:tabs>
        <w:spacing w:after="0"/>
        <w:jc w:val="center"/>
        <w:rPr>
          <w:rFonts w:ascii="Arial" w:hAnsi="Arial" w:cs="Arial"/>
          <w:b/>
          <w:bCs/>
          <w:sz w:val="20"/>
          <w:szCs w:val="20"/>
          <w:lang w:val="id-ID"/>
        </w:rPr>
      </w:pPr>
      <w:r w:rsidRPr="005E1216">
        <w:rPr>
          <w:rFonts w:ascii="Arial" w:hAnsi="Arial" w:cs="Arial"/>
          <w:b/>
          <w:bCs/>
          <w:sz w:val="20"/>
          <w:szCs w:val="20"/>
          <w:lang w:val="id-ID"/>
        </w:rPr>
        <w:t>Table 4. Discriminant Validity</w:t>
      </w:r>
    </w:p>
    <w:p w14:paraId="1892A72D" w14:textId="77777777" w:rsidR="00E46FC3" w:rsidRPr="005E1216" w:rsidRDefault="00E46FC3" w:rsidP="00E46FC3">
      <w:pPr>
        <w:tabs>
          <w:tab w:val="left" w:pos="1141"/>
        </w:tabs>
        <w:spacing w:after="0"/>
        <w:jc w:val="center"/>
        <w:rPr>
          <w:rFonts w:ascii="Arial" w:hAnsi="Arial" w:cs="Arial"/>
          <w:b/>
          <w:bCs/>
          <w:sz w:val="20"/>
          <w:szCs w:val="20"/>
          <w:lang w:val="id-ID"/>
        </w:rPr>
      </w:pPr>
    </w:p>
    <w:tbl>
      <w:tblPr>
        <w:tblStyle w:val="TableGrid"/>
        <w:tblW w:w="0" w:type="auto"/>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1434"/>
        <w:gridCol w:w="1575"/>
        <w:gridCol w:w="1554"/>
        <w:gridCol w:w="1568"/>
        <w:gridCol w:w="1571"/>
        <w:gridCol w:w="1511"/>
      </w:tblGrid>
      <w:tr w:rsidR="00E46FC3" w:rsidRPr="005E1216" w14:paraId="228E686E" w14:textId="77777777" w:rsidTr="00BD0BAA">
        <w:tc>
          <w:tcPr>
            <w:tcW w:w="1434" w:type="dxa"/>
          </w:tcPr>
          <w:p w14:paraId="4D2434CD" w14:textId="77777777" w:rsidR="00E46FC3" w:rsidRPr="005E1216" w:rsidRDefault="00E46FC3" w:rsidP="00BD0BAA">
            <w:pPr>
              <w:tabs>
                <w:tab w:val="left" w:pos="1141"/>
              </w:tabs>
              <w:jc w:val="center"/>
              <w:rPr>
                <w:rFonts w:ascii="Arial" w:hAnsi="Arial" w:cs="Arial"/>
                <w:sz w:val="20"/>
                <w:szCs w:val="20"/>
                <w:lang w:val="id-ID"/>
              </w:rPr>
            </w:pPr>
          </w:p>
        </w:tc>
        <w:tc>
          <w:tcPr>
            <w:tcW w:w="1575" w:type="dxa"/>
          </w:tcPr>
          <w:p w14:paraId="010A72F2"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FL</w:t>
            </w:r>
          </w:p>
        </w:tc>
        <w:tc>
          <w:tcPr>
            <w:tcW w:w="1554" w:type="dxa"/>
          </w:tcPr>
          <w:p w14:paraId="08E8528F"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FA</w:t>
            </w:r>
          </w:p>
        </w:tc>
        <w:tc>
          <w:tcPr>
            <w:tcW w:w="1568" w:type="dxa"/>
          </w:tcPr>
          <w:p w14:paraId="53B3E49B"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LS</w:t>
            </w:r>
          </w:p>
        </w:tc>
        <w:tc>
          <w:tcPr>
            <w:tcW w:w="1571" w:type="dxa"/>
          </w:tcPr>
          <w:p w14:paraId="3755FD8A"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FI</w:t>
            </w:r>
          </w:p>
        </w:tc>
        <w:tc>
          <w:tcPr>
            <w:tcW w:w="1511" w:type="dxa"/>
          </w:tcPr>
          <w:p w14:paraId="78EC7697"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FB</w:t>
            </w:r>
          </w:p>
        </w:tc>
      </w:tr>
      <w:tr w:rsidR="00E46FC3" w:rsidRPr="005E1216" w14:paraId="05ECFC04" w14:textId="77777777" w:rsidTr="00BD0BAA">
        <w:tc>
          <w:tcPr>
            <w:tcW w:w="1434" w:type="dxa"/>
            <w:tcBorders>
              <w:bottom w:val="nil"/>
            </w:tcBorders>
          </w:tcPr>
          <w:p w14:paraId="4C491B41"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FL</w:t>
            </w:r>
          </w:p>
        </w:tc>
        <w:tc>
          <w:tcPr>
            <w:tcW w:w="1575" w:type="dxa"/>
            <w:tcBorders>
              <w:bottom w:val="nil"/>
            </w:tcBorders>
          </w:tcPr>
          <w:p w14:paraId="2BA7578B"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0.851</w:t>
            </w:r>
          </w:p>
        </w:tc>
        <w:tc>
          <w:tcPr>
            <w:tcW w:w="1554" w:type="dxa"/>
            <w:tcBorders>
              <w:bottom w:val="nil"/>
            </w:tcBorders>
          </w:tcPr>
          <w:p w14:paraId="4DD63B8C" w14:textId="77777777" w:rsidR="00E46FC3" w:rsidRPr="005E1216" w:rsidRDefault="00E46FC3" w:rsidP="00BD0BAA">
            <w:pPr>
              <w:tabs>
                <w:tab w:val="left" w:pos="1141"/>
              </w:tabs>
              <w:jc w:val="center"/>
              <w:rPr>
                <w:rFonts w:ascii="Arial" w:hAnsi="Arial" w:cs="Arial"/>
                <w:sz w:val="20"/>
                <w:szCs w:val="20"/>
                <w:lang w:val="id-ID"/>
              </w:rPr>
            </w:pPr>
          </w:p>
        </w:tc>
        <w:tc>
          <w:tcPr>
            <w:tcW w:w="1568" w:type="dxa"/>
            <w:tcBorders>
              <w:bottom w:val="nil"/>
            </w:tcBorders>
          </w:tcPr>
          <w:p w14:paraId="2EB751B6" w14:textId="77777777" w:rsidR="00E46FC3" w:rsidRPr="005E1216" w:rsidRDefault="00E46FC3" w:rsidP="00BD0BAA">
            <w:pPr>
              <w:tabs>
                <w:tab w:val="left" w:pos="1141"/>
              </w:tabs>
              <w:jc w:val="center"/>
              <w:rPr>
                <w:rFonts w:ascii="Arial" w:hAnsi="Arial" w:cs="Arial"/>
                <w:sz w:val="20"/>
                <w:szCs w:val="20"/>
                <w:lang w:val="id-ID"/>
              </w:rPr>
            </w:pPr>
          </w:p>
        </w:tc>
        <w:tc>
          <w:tcPr>
            <w:tcW w:w="1571" w:type="dxa"/>
            <w:tcBorders>
              <w:bottom w:val="nil"/>
            </w:tcBorders>
          </w:tcPr>
          <w:p w14:paraId="49C68384" w14:textId="77777777" w:rsidR="00E46FC3" w:rsidRPr="005E1216" w:rsidRDefault="00E46FC3" w:rsidP="00BD0BAA">
            <w:pPr>
              <w:tabs>
                <w:tab w:val="left" w:pos="1141"/>
              </w:tabs>
              <w:jc w:val="center"/>
              <w:rPr>
                <w:rFonts w:ascii="Arial" w:hAnsi="Arial" w:cs="Arial"/>
                <w:sz w:val="20"/>
                <w:szCs w:val="20"/>
                <w:lang w:val="id-ID"/>
              </w:rPr>
            </w:pPr>
          </w:p>
        </w:tc>
        <w:tc>
          <w:tcPr>
            <w:tcW w:w="1511" w:type="dxa"/>
            <w:tcBorders>
              <w:bottom w:val="nil"/>
            </w:tcBorders>
          </w:tcPr>
          <w:p w14:paraId="5FB034F8" w14:textId="77777777" w:rsidR="00E46FC3" w:rsidRPr="005E1216" w:rsidRDefault="00E46FC3" w:rsidP="00BD0BAA">
            <w:pPr>
              <w:tabs>
                <w:tab w:val="left" w:pos="1141"/>
              </w:tabs>
              <w:jc w:val="center"/>
              <w:rPr>
                <w:rFonts w:ascii="Arial" w:hAnsi="Arial" w:cs="Arial"/>
                <w:sz w:val="20"/>
                <w:szCs w:val="20"/>
                <w:lang w:val="id-ID"/>
              </w:rPr>
            </w:pPr>
          </w:p>
        </w:tc>
      </w:tr>
      <w:tr w:rsidR="00E46FC3" w:rsidRPr="005E1216" w14:paraId="4B7BD3C6" w14:textId="77777777" w:rsidTr="00BD0BAA">
        <w:tc>
          <w:tcPr>
            <w:tcW w:w="1434" w:type="dxa"/>
            <w:tcBorders>
              <w:top w:val="nil"/>
              <w:bottom w:val="nil"/>
            </w:tcBorders>
          </w:tcPr>
          <w:p w14:paraId="6F8CEAD6"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FA</w:t>
            </w:r>
          </w:p>
        </w:tc>
        <w:tc>
          <w:tcPr>
            <w:tcW w:w="1575" w:type="dxa"/>
            <w:tcBorders>
              <w:top w:val="nil"/>
              <w:bottom w:val="nil"/>
            </w:tcBorders>
          </w:tcPr>
          <w:p w14:paraId="0C19F53A"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0.734</w:t>
            </w:r>
          </w:p>
        </w:tc>
        <w:tc>
          <w:tcPr>
            <w:tcW w:w="1554" w:type="dxa"/>
            <w:tcBorders>
              <w:top w:val="nil"/>
              <w:bottom w:val="nil"/>
            </w:tcBorders>
          </w:tcPr>
          <w:p w14:paraId="5AE171AF"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0.794</w:t>
            </w:r>
          </w:p>
        </w:tc>
        <w:tc>
          <w:tcPr>
            <w:tcW w:w="1568" w:type="dxa"/>
            <w:tcBorders>
              <w:top w:val="nil"/>
              <w:bottom w:val="nil"/>
            </w:tcBorders>
          </w:tcPr>
          <w:p w14:paraId="15D32895" w14:textId="77777777" w:rsidR="00E46FC3" w:rsidRPr="005E1216" w:rsidRDefault="00E46FC3" w:rsidP="00BD0BAA">
            <w:pPr>
              <w:tabs>
                <w:tab w:val="left" w:pos="1141"/>
              </w:tabs>
              <w:jc w:val="center"/>
              <w:rPr>
                <w:rFonts w:ascii="Arial" w:hAnsi="Arial" w:cs="Arial"/>
                <w:sz w:val="20"/>
                <w:szCs w:val="20"/>
                <w:lang w:val="id-ID"/>
              </w:rPr>
            </w:pPr>
          </w:p>
        </w:tc>
        <w:tc>
          <w:tcPr>
            <w:tcW w:w="1571" w:type="dxa"/>
            <w:tcBorders>
              <w:top w:val="nil"/>
              <w:bottom w:val="nil"/>
            </w:tcBorders>
          </w:tcPr>
          <w:p w14:paraId="60C8A615" w14:textId="77777777" w:rsidR="00E46FC3" w:rsidRPr="005E1216" w:rsidRDefault="00E46FC3" w:rsidP="00BD0BAA">
            <w:pPr>
              <w:tabs>
                <w:tab w:val="left" w:pos="1141"/>
              </w:tabs>
              <w:jc w:val="center"/>
              <w:rPr>
                <w:rFonts w:ascii="Arial" w:hAnsi="Arial" w:cs="Arial"/>
                <w:sz w:val="20"/>
                <w:szCs w:val="20"/>
                <w:lang w:val="id-ID"/>
              </w:rPr>
            </w:pPr>
          </w:p>
        </w:tc>
        <w:tc>
          <w:tcPr>
            <w:tcW w:w="1511" w:type="dxa"/>
            <w:tcBorders>
              <w:top w:val="nil"/>
              <w:bottom w:val="nil"/>
            </w:tcBorders>
          </w:tcPr>
          <w:p w14:paraId="0C985830" w14:textId="77777777" w:rsidR="00E46FC3" w:rsidRPr="005E1216" w:rsidRDefault="00E46FC3" w:rsidP="00BD0BAA">
            <w:pPr>
              <w:tabs>
                <w:tab w:val="left" w:pos="1141"/>
              </w:tabs>
              <w:jc w:val="center"/>
              <w:rPr>
                <w:rFonts w:ascii="Arial" w:hAnsi="Arial" w:cs="Arial"/>
                <w:sz w:val="20"/>
                <w:szCs w:val="20"/>
                <w:lang w:val="id-ID"/>
              </w:rPr>
            </w:pPr>
          </w:p>
        </w:tc>
      </w:tr>
      <w:tr w:rsidR="00E46FC3" w:rsidRPr="005E1216" w14:paraId="6DCD19FB" w14:textId="77777777" w:rsidTr="00BD0BAA">
        <w:tc>
          <w:tcPr>
            <w:tcW w:w="1434" w:type="dxa"/>
            <w:tcBorders>
              <w:top w:val="nil"/>
              <w:bottom w:val="nil"/>
            </w:tcBorders>
          </w:tcPr>
          <w:p w14:paraId="68781E75"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LS</w:t>
            </w:r>
          </w:p>
        </w:tc>
        <w:tc>
          <w:tcPr>
            <w:tcW w:w="1575" w:type="dxa"/>
            <w:tcBorders>
              <w:top w:val="nil"/>
              <w:bottom w:val="nil"/>
            </w:tcBorders>
          </w:tcPr>
          <w:p w14:paraId="63354BF0"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0.640</w:t>
            </w:r>
          </w:p>
        </w:tc>
        <w:tc>
          <w:tcPr>
            <w:tcW w:w="1554" w:type="dxa"/>
            <w:tcBorders>
              <w:top w:val="nil"/>
              <w:bottom w:val="nil"/>
            </w:tcBorders>
          </w:tcPr>
          <w:p w14:paraId="0EAF2370"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0.758</w:t>
            </w:r>
          </w:p>
        </w:tc>
        <w:tc>
          <w:tcPr>
            <w:tcW w:w="1568" w:type="dxa"/>
            <w:tcBorders>
              <w:top w:val="nil"/>
              <w:bottom w:val="nil"/>
            </w:tcBorders>
          </w:tcPr>
          <w:p w14:paraId="6FEF2CB8"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0.845</w:t>
            </w:r>
          </w:p>
        </w:tc>
        <w:tc>
          <w:tcPr>
            <w:tcW w:w="1571" w:type="dxa"/>
            <w:tcBorders>
              <w:top w:val="nil"/>
              <w:bottom w:val="nil"/>
            </w:tcBorders>
          </w:tcPr>
          <w:p w14:paraId="45936F0D" w14:textId="77777777" w:rsidR="00E46FC3" w:rsidRPr="005E1216" w:rsidRDefault="00E46FC3" w:rsidP="00BD0BAA">
            <w:pPr>
              <w:tabs>
                <w:tab w:val="left" w:pos="1141"/>
              </w:tabs>
              <w:jc w:val="center"/>
              <w:rPr>
                <w:rFonts w:ascii="Arial" w:hAnsi="Arial" w:cs="Arial"/>
                <w:sz w:val="20"/>
                <w:szCs w:val="20"/>
                <w:lang w:val="id-ID"/>
              </w:rPr>
            </w:pPr>
          </w:p>
        </w:tc>
        <w:tc>
          <w:tcPr>
            <w:tcW w:w="1511" w:type="dxa"/>
            <w:tcBorders>
              <w:top w:val="nil"/>
              <w:bottom w:val="nil"/>
            </w:tcBorders>
          </w:tcPr>
          <w:p w14:paraId="44182841" w14:textId="77777777" w:rsidR="00E46FC3" w:rsidRPr="005E1216" w:rsidRDefault="00E46FC3" w:rsidP="00BD0BAA">
            <w:pPr>
              <w:tabs>
                <w:tab w:val="left" w:pos="1141"/>
              </w:tabs>
              <w:jc w:val="center"/>
              <w:rPr>
                <w:rFonts w:ascii="Arial" w:hAnsi="Arial" w:cs="Arial"/>
                <w:sz w:val="20"/>
                <w:szCs w:val="20"/>
                <w:lang w:val="id-ID"/>
              </w:rPr>
            </w:pPr>
          </w:p>
        </w:tc>
      </w:tr>
      <w:tr w:rsidR="00E46FC3" w:rsidRPr="005E1216" w14:paraId="5E0758CF" w14:textId="77777777" w:rsidTr="00BD0BAA">
        <w:tc>
          <w:tcPr>
            <w:tcW w:w="1434" w:type="dxa"/>
            <w:tcBorders>
              <w:top w:val="nil"/>
              <w:bottom w:val="nil"/>
            </w:tcBorders>
          </w:tcPr>
          <w:p w14:paraId="706AA040"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FI</w:t>
            </w:r>
          </w:p>
        </w:tc>
        <w:tc>
          <w:tcPr>
            <w:tcW w:w="1575" w:type="dxa"/>
            <w:tcBorders>
              <w:top w:val="nil"/>
              <w:bottom w:val="nil"/>
            </w:tcBorders>
          </w:tcPr>
          <w:p w14:paraId="4592B102"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0.563</w:t>
            </w:r>
          </w:p>
        </w:tc>
        <w:tc>
          <w:tcPr>
            <w:tcW w:w="1554" w:type="dxa"/>
            <w:tcBorders>
              <w:top w:val="nil"/>
              <w:bottom w:val="nil"/>
            </w:tcBorders>
          </w:tcPr>
          <w:p w14:paraId="279D7A03"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0.652</w:t>
            </w:r>
          </w:p>
        </w:tc>
        <w:tc>
          <w:tcPr>
            <w:tcW w:w="1568" w:type="dxa"/>
            <w:tcBorders>
              <w:top w:val="nil"/>
              <w:bottom w:val="nil"/>
            </w:tcBorders>
          </w:tcPr>
          <w:p w14:paraId="5F5E8839"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0.636</w:t>
            </w:r>
          </w:p>
        </w:tc>
        <w:tc>
          <w:tcPr>
            <w:tcW w:w="1571" w:type="dxa"/>
            <w:tcBorders>
              <w:top w:val="nil"/>
              <w:bottom w:val="nil"/>
            </w:tcBorders>
          </w:tcPr>
          <w:p w14:paraId="489CE951"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0.794</w:t>
            </w:r>
          </w:p>
        </w:tc>
        <w:tc>
          <w:tcPr>
            <w:tcW w:w="1511" w:type="dxa"/>
            <w:tcBorders>
              <w:top w:val="nil"/>
              <w:bottom w:val="nil"/>
            </w:tcBorders>
          </w:tcPr>
          <w:p w14:paraId="46AFB6DF" w14:textId="77777777" w:rsidR="00E46FC3" w:rsidRPr="005E1216" w:rsidRDefault="00E46FC3" w:rsidP="00BD0BAA">
            <w:pPr>
              <w:tabs>
                <w:tab w:val="left" w:pos="1141"/>
              </w:tabs>
              <w:jc w:val="center"/>
              <w:rPr>
                <w:rFonts w:ascii="Arial" w:hAnsi="Arial" w:cs="Arial"/>
                <w:sz w:val="20"/>
                <w:szCs w:val="20"/>
                <w:lang w:val="id-ID"/>
              </w:rPr>
            </w:pPr>
          </w:p>
        </w:tc>
      </w:tr>
      <w:tr w:rsidR="00E46FC3" w:rsidRPr="005E1216" w14:paraId="64D80BAA" w14:textId="77777777" w:rsidTr="00BD0BAA">
        <w:tc>
          <w:tcPr>
            <w:tcW w:w="1434" w:type="dxa"/>
            <w:tcBorders>
              <w:top w:val="nil"/>
            </w:tcBorders>
          </w:tcPr>
          <w:p w14:paraId="5AE6E832"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FB</w:t>
            </w:r>
          </w:p>
        </w:tc>
        <w:tc>
          <w:tcPr>
            <w:tcW w:w="1575" w:type="dxa"/>
            <w:tcBorders>
              <w:top w:val="nil"/>
            </w:tcBorders>
          </w:tcPr>
          <w:p w14:paraId="6766AEB0"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0.732</w:t>
            </w:r>
          </w:p>
        </w:tc>
        <w:tc>
          <w:tcPr>
            <w:tcW w:w="1554" w:type="dxa"/>
            <w:tcBorders>
              <w:top w:val="nil"/>
            </w:tcBorders>
          </w:tcPr>
          <w:p w14:paraId="69487EAF"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0.773</w:t>
            </w:r>
          </w:p>
        </w:tc>
        <w:tc>
          <w:tcPr>
            <w:tcW w:w="1568" w:type="dxa"/>
            <w:tcBorders>
              <w:top w:val="nil"/>
            </w:tcBorders>
          </w:tcPr>
          <w:p w14:paraId="1D30FD3B"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0.785</w:t>
            </w:r>
          </w:p>
        </w:tc>
        <w:tc>
          <w:tcPr>
            <w:tcW w:w="1571" w:type="dxa"/>
            <w:tcBorders>
              <w:top w:val="nil"/>
            </w:tcBorders>
          </w:tcPr>
          <w:p w14:paraId="7B6F8B5C"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0.705</w:t>
            </w:r>
          </w:p>
        </w:tc>
        <w:tc>
          <w:tcPr>
            <w:tcW w:w="1511" w:type="dxa"/>
            <w:tcBorders>
              <w:top w:val="nil"/>
            </w:tcBorders>
          </w:tcPr>
          <w:p w14:paraId="01423AD7"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0.803</w:t>
            </w:r>
          </w:p>
        </w:tc>
      </w:tr>
    </w:tbl>
    <w:p w14:paraId="4F44767D" w14:textId="77777777" w:rsidR="00E46FC3" w:rsidRPr="00734CDE" w:rsidRDefault="00E46FC3" w:rsidP="00E46FC3">
      <w:pPr>
        <w:tabs>
          <w:tab w:val="left" w:pos="1141"/>
        </w:tabs>
        <w:spacing w:after="0"/>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6DD088F9" w14:textId="77777777" w:rsidR="00E46FC3" w:rsidRPr="008D6C43" w:rsidRDefault="00E46FC3" w:rsidP="00E46FC3">
      <w:pPr>
        <w:spacing w:after="0"/>
        <w:jc w:val="center"/>
        <w:rPr>
          <w:rFonts w:ascii="Arial" w:hAnsi="Arial"/>
          <w:sz w:val="20"/>
          <w:szCs w:val="20"/>
          <w:lang w:val="id-ID"/>
        </w:rPr>
      </w:pPr>
    </w:p>
    <w:p w14:paraId="40F1A6F1" w14:textId="294AF074" w:rsidR="00910524" w:rsidRDefault="00910524" w:rsidP="00910524">
      <w:pPr>
        <w:spacing w:after="0"/>
        <w:rPr>
          <w:rFonts w:ascii="Arial" w:hAnsi="Arial"/>
          <w:sz w:val="22"/>
          <w:szCs w:val="22"/>
          <w:lang w:val="id-ID"/>
        </w:rPr>
      </w:pPr>
      <w:r>
        <w:rPr>
          <w:rFonts w:ascii="Arial" w:hAnsi="Arial"/>
          <w:sz w:val="22"/>
          <w:szCs w:val="22"/>
          <w:lang w:val="id-ID"/>
        </w:rPr>
        <w:t>4.1.4 Inner Model</w:t>
      </w:r>
    </w:p>
    <w:p w14:paraId="051081C4" w14:textId="77777777" w:rsidR="00200833" w:rsidRDefault="00200833" w:rsidP="00910524">
      <w:pPr>
        <w:spacing w:after="0"/>
        <w:rPr>
          <w:rFonts w:ascii="Arial" w:hAnsi="Arial"/>
          <w:sz w:val="20"/>
          <w:szCs w:val="20"/>
          <w:lang w:val="id-ID"/>
        </w:rPr>
      </w:pPr>
    </w:p>
    <w:p w14:paraId="2D797A13" w14:textId="77777777" w:rsidR="00200833" w:rsidRDefault="00200833" w:rsidP="00200833">
      <w:pPr>
        <w:tabs>
          <w:tab w:val="left" w:pos="1141"/>
        </w:tabs>
        <w:spacing w:after="0"/>
        <w:jc w:val="both"/>
        <w:rPr>
          <w:rFonts w:ascii="Arial" w:hAnsi="Arial" w:cs="Arial"/>
          <w:sz w:val="20"/>
          <w:szCs w:val="20"/>
          <w:lang w:val="id-ID"/>
        </w:rPr>
      </w:pPr>
      <w:r w:rsidRPr="005E1216">
        <w:rPr>
          <w:rFonts w:ascii="Arial" w:hAnsi="Arial" w:cs="Arial"/>
          <w:sz w:val="20"/>
          <w:szCs w:val="20"/>
          <w:lang w:val="id-ID"/>
        </w:rPr>
        <w:t>This study also examined the structural model (Inner Model) to determine how the latent constructs relate to each other, as predicted in this study.</w:t>
      </w:r>
      <w:r>
        <w:rPr>
          <w:rFonts w:ascii="Arial" w:hAnsi="Arial" w:cs="Arial"/>
          <w:sz w:val="20"/>
          <w:szCs w:val="20"/>
          <w:lang w:val="id-ID"/>
        </w:rPr>
        <w:t xml:space="preserve"> From table 4, the R-Square value for financial behavior is 0,759, therefore R-Square has a substantial level of accurary because according to </w:t>
      </w:r>
      <w:r>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research","type":"article-journal","volume":"26"},"uris":["http://www.mendeley.com/documents/?uuid=c7594df9-cb39-4979-8d56-b62ab1cf8162"]}],"mendeley":{"formattedCitation":"(Hair et al. 2014)","manualFormatting":"Hair et al. (2014)","plainTextFormattedCitation":"(Hair et al. 2014)","previouslyFormattedCitation":"(Hair et al. 2014)"},"properties":{"noteIndex":0},"schema":"https://github.com/citation-style-language/schema/raw/master/csl-citation.json"}</w:instrText>
      </w:r>
      <w:r>
        <w:rPr>
          <w:rFonts w:ascii="Arial" w:hAnsi="Arial" w:cs="Arial"/>
          <w:sz w:val="20"/>
          <w:szCs w:val="20"/>
          <w:lang w:val="id-ID"/>
        </w:rPr>
        <w:fldChar w:fldCharType="separate"/>
      </w:r>
      <w:r w:rsidRPr="006E3BDC">
        <w:rPr>
          <w:rFonts w:ascii="Arial" w:hAnsi="Arial" w:cs="Arial"/>
          <w:noProof/>
          <w:sz w:val="20"/>
          <w:szCs w:val="20"/>
          <w:lang w:val="id-ID"/>
        </w:rPr>
        <w:t xml:space="preserve">Hair et al. </w:t>
      </w:r>
      <w:r>
        <w:rPr>
          <w:rFonts w:ascii="Arial" w:hAnsi="Arial" w:cs="Arial"/>
          <w:noProof/>
          <w:sz w:val="20"/>
          <w:szCs w:val="20"/>
          <w:lang w:val="id-ID"/>
        </w:rPr>
        <w:t>(</w:t>
      </w:r>
      <w:r w:rsidRPr="006E3BDC">
        <w:rPr>
          <w:rFonts w:ascii="Arial" w:hAnsi="Arial" w:cs="Arial"/>
          <w:noProof/>
          <w:sz w:val="20"/>
          <w:szCs w:val="20"/>
          <w:lang w:val="id-ID"/>
        </w:rPr>
        <w:t>2014)</w:t>
      </w:r>
      <w:r>
        <w:rPr>
          <w:rFonts w:ascii="Arial" w:hAnsi="Arial" w:cs="Arial"/>
          <w:sz w:val="20"/>
          <w:szCs w:val="20"/>
          <w:lang w:val="id-ID"/>
        </w:rPr>
        <w:fldChar w:fldCharType="end"/>
      </w:r>
      <w:r>
        <w:rPr>
          <w:rFonts w:ascii="Arial" w:hAnsi="Arial" w:cs="Arial"/>
          <w:sz w:val="20"/>
          <w:szCs w:val="20"/>
          <w:lang w:val="id-ID"/>
        </w:rPr>
        <w:t>, there are substantial, moderate, and weak levels of R-Square accuracy (0,75, 0,50, 0,25)</w:t>
      </w:r>
      <w:r w:rsidRPr="005E1216">
        <w:rPr>
          <w:rFonts w:ascii="Arial" w:hAnsi="Arial" w:cs="Arial"/>
          <w:sz w:val="20"/>
          <w:szCs w:val="20"/>
          <w:lang w:val="id-ID"/>
        </w:rPr>
        <w:t>. This indicates that the variables of financial literacy, financial attitudes, lifestyle, and financial inclusion explain 75.9% of changes in financial behavior. The remainder is influenced by other factors not discussed in this study.</w:t>
      </w:r>
    </w:p>
    <w:p w14:paraId="5B0D6F73" w14:textId="77777777" w:rsidR="00200833" w:rsidRDefault="00200833" w:rsidP="00200833">
      <w:pPr>
        <w:spacing w:after="0"/>
        <w:rPr>
          <w:rFonts w:ascii="Arial" w:hAnsi="Arial"/>
          <w:sz w:val="20"/>
          <w:szCs w:val="20"/>
          <w:lang w:val="id-ID"/>
        </w:rPr>
      </w:pPr>
    </w:p>
    <w:p w14:paraId="6151C4E6" w14:textId="77777777" w:rsidR="00200833" w:rsidRPr="005E1216" w:rsidRDefault="00200833" w:rsidP="00467524">
      <w:pPr>
        <w:tabs>
          <w:tab w:val="left" w:pos="1141"/>
        </w:tabs>
        <w:ind w:left="360"/>
        <w:jc w:val="center"/>
        <w:rPr>
          <w:rFonts w:ascii="Arial" w:hAnsi="Arial" w:cs="Arial"/>
          <w:b/>
          <w:bCs/>
          <w:sz w:val="20"/>
          <w:szCs w:val="20"/>
          <w:lang w:val="id-ID"/>
        </w:rPr>
      </w:pPr>
      <w:r w:rsidRPr="005E1216">
        <w:rPr>
          <w:rFonts w:ascii="Arial" w:hAnsi="Arial" w:cs="Arial"/>
          <w:b/>
          <w:bCs/>
          <w:sz w:val="20"/>
          <w:szCs w:val="20"/>
          <w:lang w:val="id-ID"/>
        </w:rPr>
        <w:t xml:space="preserve">Table </w:t>
      </w:r>
      <w:r>
        <w:rPr>
          <w:rFonts w:ascii="Arial" w:hAnsi="Arial" w:cs="Arial"/>
          <w:b/>
          <w:bCs/>
          <w:sz w:val="20"/>
          <w:szCs w:val="20"/>
          <w:lang w:val="id-ID"/>
        </w:rPr>
        <w:t>5</w:t>
      </w:r>
      <w:r w:rsidRPr="005E1216">
        <w:rPr>
          <w:rFonts w:ascii="Arial" w:hAnsi="Arial" w:cs="Arial"/>
          <w:b/>
          <w:bCs/>
          <w:sz w:val="20"/>
          <w:szCs w:val="20"/>
          <w:lang w:val="id-ID"/>
        </w:rPr>
        <w:t>. R Square Test Results</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3000"/>
        <w:gridCol w:w="2995"/>
        <w:gridCol w:w="3005"/>
      </w:tblGrid>
      <w:tr w:rsidR="00200833" w:rsidRPr="005E1216" w14:paraId="2371DF17" w14:textId="77777777" w:rsidTr="00BD0BAA">
        <w:tc>
          <w:tcPr>
            <w:tcW w:w="3000" w:type="dxa"/>
          </w:tcPr>
          <w:p w14:paraId="18FBA910" w14:textId="77777777" w:rsidR="00200833" w:rsidRPr="005E1216" w:rsidRDefault="00200833" w:rsidP="00467524">
            <w:pPr>
              <w:tabs>
                <w:tab w:val="left" w:pos="1141"/>
              </w:tabs>
              <w:jc w:val="center"/>
              <w:rPr>
                <w:rFonts w:ascii="Arial" w:hAnsi="Arial" w:cs="Arial"/>
                <w:sz w:val="20"/>
                <w:szCs w:val="20"/>
                <w:lang w:val="id-ID"/>
              </w:rPr>
            </w:pPr>
          </w:p>
        </w:tc>
        <w:tc>
          <w:tcPr>
            <w:tcW w:w="2995" w:type="dxa"/>
          </w:tcPr>
          <w:p w14:paraId="099187CF" w14:textId="77777777" w:rsidR="00200833" w:rsidRPr="005E1216" w:rsidRDefault="00200833" w:rsidP="00467524">
            <w:pPr>
              <w:tabs>
                <w:tab w:val="left" w:pos="1141"/>
              </w:tabs>
              <w:jc w:val="center"/>
              <w:rPr>
                <w:rFonts w:ascii="Arial" w:hAnsi="Arial" w:cs="Arial"/>
                <w:b/>
                <w:bCs/>
                <w:sz w:val="20"/>
                <w:szCs w:val="20"/>
                <w:lang w:val="id-ID"/>
              </w:rPr>
            </w:pPr>
            <w:r w:rsidRPr="005E1216">
              <w:rPr>
                <w:rFonts w:ascii="Arial" w:hAnsi="Arial" w:cs="Arial"/>
                <w:b/>
                <w:bCs/>
                <w:sz w:val="20"/>
                <w:szCs w:val="20"/>
                <w:lang w:val="id-ID"/>
              </w:rPr>
              <w:t>R Square</w:t>
            </w:r>
          </w:p>
        </w:tc>
        <w:tc>
          <w:tcPr>
            <w:tcW w:w="3005" w:type="dxa"/>
          </w:tcPr>
          <w:p w14:paraId="2F13BE22" w14:textId="77777777" w:rsidR="00200833" w:rsidRPr="005E1216" w:rsidRDefault="00200833" w:rsidP="00467524">
            <w:pPr>
              <w:tabs>
                <w:tab w:val="left" w:pos="1141"/>
              </w:tabs>
              <w:jc w:val="center"/>
              <w:rPr>
                <w:rFonts w:ascii="Arial" w:hAnsi="Arial" w:cs="Arial"/>
                <w:b/>
                <w:bCs/>
                <w:sz w:val="20"/>
                <w:szCs w:val="20"/>
                <w:lang w:val="id-ID"/>
              </w:rPr>
            </w:pPr>
            <w:r w:rsidRPr="005E1216">
              <w:rPr>
                <w:rFonts w:ascii="Arial" w:hAnsi="Arial" w:cs="Arial"/>
                <w:b/>
                <w:bCs/>
                <w:sz w:val="20"/>
                <w:szCs w:val="20"/>
                <w:lang w:val="id-ID"/>
              </w:rPr>
              <w:t>R Square Adjusted</w:t>
            </w:r>
          </w:p>
        </w:tc>
      </w:tr>
      <w:tr w:rsidR="00200833" w:rsidRPr="005E1216" w14:paraId="7561D116" w14:textId="77777777" w:rsidTr="00BD0BAA">
        <w:tc>
          <w:tcPr>
            <w:tcW w:w="3000" w:type="dxa"/>
          </w:tcPr>
          <w:p w14:paraId="62884CCC" w14:textId="77777777" w:rsidR="00200833" w:rsidRPr="005E1216" w:rsidRDefault="00200833" w:rsidP="00BD0BAA">
            <w:pPr>
              <w:tabs>
                <w:tab w:val="left" w:pos="1141"/>
              </w:tabs>
              <w:jc w:val="center"/>
              <w:rPr>
                <w:rFonts w:ascii="Arial" w:hAnsi="Arial" w:cs="Arial"/>
                <w:sz w:val="20"/>
                <w:szCs w:val="20"/>
                <w:lang w:val="id-ID"/>
              </w:rPr>
            </w:pPr>
            <w:r w:rsidRPr="005E1216">
              <w:rPr>
                <w:rFonts w:ascii="Arial" w:hAnsi="Arial" w:cs="Arial"/>
                <w:sz w:val="20"/>
                <w:szCs w:val="20"/>
                <w:lang w:val="id-ID"/>
              </w:rPr>
              <w:t>Financial Behavior</w:t>
            </w:r>
          </w:p>
        </w:tc>
        <w:tc>
          <w:tcPr>
            <w:tcW w:w="2995" w:type="dxa"/>
          </w:tcPr>
          <w:p w14:paraId="21F706FA" w14:textId="77777777" w:rsidR="00200833" w:rsidRPr="005E1216" w:rsidRDefault="0020083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0.759</w:t>
            </w:r>
          </w:p>
        </w:tc>
        <w:tc>
          <w:tcPr>
            <w:tcW w:w="3005" w:type="dxa"/>
          </w:tcPr>
          <w:p w14:paraId="1CD368A2" w14:textId="77777777" w:rsidR="00200833" w:rsidRPr="005E1216" w:rsidRDefault="0020083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0.753</w:t>
            </w:r>
          </w:p>
        </w:tc>
      </w:tr>
    </w:tbl>
    <w:p w14:paraId="449F28B6" w14:textId="77777777" w:rsidR="00200833" w:rsidRDefault="00200833" w:rsidP="00200833">
      <w:pPr>
        <w:tabs>
          <w:tab w:val="left" w:pos="1141"/>
        </w:tabs>
        <w:spacing w:after="0"/>
        <w:ind w:left="66"/>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64178EFC" w14:textId="77777777" w:rsidR="00602E38" w:rsidRDefault="00602E38" w:rsidP="00910524">
      <w:pPr>
        <w:spacing w:after="0"/>
        <w:rPr>
          <w:rFonts w:ascii="Arial" w:hAnsi="Arial"/>
          <w:sz w:val="20"/>
          <w:szCs w:val="20"/>
          <w:lang w:val="id-ID"/>
        </w:rPr>
      </w:pPr>
    </w:p>
    <w:p w14:paraId="5BB941E2" w14:textId="7B96D287" w:rsidR="00910524" w:rsidRDefault="00910524" w:rsidP="00910524">
      <w:pPr>
        <w:spacing w:after="0"/>
        <w:rPr>
          <w:rFonts w:ascii="Arial" w:hAnsi="Arial"/>
          <w:sz w:val="22"/>
          <w:szCs w:val="22"/>
          <w:lang w:val="id-ID"/>
        </w:rPr>
      </w:pPr>
      <w:r>
        <w:rPr>
          <w:rFonts w:ascii="Arial" w:hAnsi="Arial"/>
          <w:sz w:val="22"/>
          <w:szCs w:val="22"/>
          <w:lang w:val="id-ID"/>
        </w:rPr>
        <w:t>4.1.5 Hypothesis Testing</w:t>
      </w:r>
    </w:p>
    <w:p w14:paraId="5C6DFB22" w14:textId="77777777" w:rsidR="009F61B6" w:rsidRDefault="009F61B6" w:rsidP="009F61B6">
      <w:pPr>
        <w:tabs>
          <w:tab w:val="left" w:pos="1141"/>
        </w:tabs>
        <w:spacing w:after="0"/>
        <w:jc w:val="both"/>
        <w:rPr>
          <w:rFonts w:ascii="Arial" w:hAnsi="Arial" w:cs="Arial"/>
          <w:sz w:val="20"/>
          <w:szCs w:val="20"/>
          <w:lang w:val="id-ID"/>
        </w:rPr>
      </w:pPr>
    </w:p>
    <w:p w14:paraId="27B38079" w14:textId="01AF9E0A" w:rsidR="009F61B6" w:rsidRDefault="009F61B6" w:rsidP="009F61B6">
      <w:pPr>
        <w:tabs>
          <w:tab w:val="left" w:pos="1141"/>
        </w:tabs>
        <w:spacing w:after="0"/>
        <w:jc w:val="both"/>
        <w:rPr>
          <w:rFonts w:ascii="Arial" w:hAnsi="Arial" w:cs="Arial"/>
          <w:sz w:val="20"/>
          <w:szCs w:val="20"/>
          <w:lang w:val="id-ID"/>
        </w:rPr>
      </w:pPr>
      <w:r w:rsidRPr="005E1216">
        <w:rPr>
          <w:rFonts w:ascii="Arial" w:hAnsi="Arial" w:cs="Arial"/>
          <w:sz w:val="20"/>
          <w:szCs w:val="20"/>
          <w:lang w:val="id-ID"/>
        </w:rPr>
        <w:t xml:space="preserve">Table </w:t>
      </w:r>
      <w:r>
        <w:rPr>
          <w:rFonts w:ascii="Arial" w:hAnsi="Arial" w:cs="Arial"/>
          <w:sz w:val="20"/>
          <w:szCs w:val="20"/>
          <w:lang w:val="id-ID"/>
        </w:rPr>
        <w:t>6</w:t>
      </w:r>
      <w:r w:rsidRPr="005E1216">
        <w:rPr>
          <w:rFonts w:ascii="Arial" w:hAnsi="Arial" w:cs="Arial"/>
          <w:sz w:val="20"/>
          <w:szCs w:val="20"/>
          <w:lang w:val="id-ID"/>
        </w:rPr>
        <w:t xml:space="preserve"> shows the results of the hypothesis testing, (H1) shows a p-value &lt;0.05</w:t>
      </w:r>
      <w:r>
        <w:rPr>
          <w:rFonts w:ascii="Arial" w:hAnsi="Arial" w:cs="Arial"/>
          <w:sz w:val="20"/>
          <w:szCs w:val="20"/>
          <w:lang w:val="id-ID"/>
        </w:rPr>
        <w:t xml:space="preserve"> and a</w:t>
      </w:r>
      <w:r w:rsidRPr="005E1216">
        <w:rPr>
          <w:rFonts w:ascii="Arial" w:hAnsi="Arial" w:cs="Arial"/>
          <w:sz w:val="20"/>
          <w:szCs w:val="20"/>
          <w:lang w:val="id-ID"/>
        </w:rPr>
        <w:t xml:space="preserve"> t-statistic value of </w:t>
      </w:r>
      <w:r>
        <w:rPr>
          <w:rFonts w:ascii="Arial" w:hAnsi="Arial" w:cs="Arial"/>
          <w:sz w:val="20"/>
          <w:szCs w:val="20"/>
          <w:lang w:val="id-ID"/>
        </w:rPr>
        <w:t>4.501</w:t>
      </w:r>
      <w:r w:rsidRPr="005E1216">
        <w:rPr>
          <w:rFonts w:ascii="Arial" w:hAnsi="Arial" w:cs="Arial"/>
          <w:sz w:val="20"/>
          <w:szCs w:val="20"/>
          <w:lang w:val="id-ID"/>
        </w:rPr>
        <w:t xml:space="preserve"> &gt; 1.975, so that the results state that (H1) is accepted, which means there is a significant influence between financial literacy and financial behavior. With a coefficient value of 0</w:t>
      </w:r>
      <w:r w:rsidR="00B02338">
        <w:rPr>
          <w:rFonts w:ascii="Arial" w:hAnsi="Arial" w:cs="Arial"/>
          <w:sz w:val="20"/>
          <w:szCs w:val="20"/>
          <w:lang w:val="id-ID"/>
        </w:rPr>
        <w:t>.251</w:t>
      </w:r>
      <w:r w:rsidRPr="005E1216">
        <w:rPr>
          <w:rFonts w:ascii="Arial" w:hAnsi="Arial" w:cs="Arial"/>
          <w:sz w:val="20"/>
          <w:szCs w:val="20"/>
          <w:lang w:val="id-ID"/>
        </w:rPr>
        <w:t>, this shows that increasing financial literacy provides a positive contribution to financial behavior.</w:t>
      </w:r>
    </w:p>
    <w:p w14:paraId="2381AE3C" w14:textId="77777777" w:rsidR="009F61B6" w:rsidRDefault="009F61B6" w:rsidP="009F61B6">
      <w:pPr>
        <w:tabs>
          <w:tab w:val="left" w:pos="1141"/>
        </w:tabs>
        <w:spacing w:after="0"/>
        <w:jc w:val="both"/>
        <w:rPr>
          <w:rFonts w:ascii="Arial" w:hAnsi="Arial" w:cs="Arial"/>
          <w:sz w:val="20"/>
          <w:szCs w:val="20"/>
          <w:lang w:val="id-ID"/>
        </w:rPr>
      </w:pPr>
    </w:p>
    <w:p w14:paraId="7F64A69C" w14:textId="4CB62F45" w:rsidR="00176C0F" w:rsidRDefault="0086056E" w:rsidP="009F61B6">
      <w:pPr>
        <w:tabs>
          <w:tab w:val="left" w:pos="1141"/>
        </w:tabs>
        <w:spacing w:after="0"/>
        <w:jc w:val="both"/>
        <w:rPr>
          <w:rFonts w:ascii="Arial" w:hAnsi="Arial" w:cs="Arial"/>
          <w:sz w:val="20"/>
          <w:szCs w:val="20"/>
          <w:lang w:val="id-ID"/>
        </w:rPr>
      </w:pPr>
      <w:r>
        <w:rPr>
          <w:rFonts w:ascii="Arial" w:hAnsi="Arial" w:cs="Arial"/>
          <w:sz w:val="20"/>
          <w:szCs w:val="20"/>
          <w:lang w:val="id-ID"/>
        </w:rPr>
        <w:t xml:space="preserve">The </w:t>
      </w:r>
      <w:r w:rsidRPr="005E1216">
        <w:rPr>
          <w:rFonts w:ascii="Arial" w:hAnsi="Arial" w:cs="Arial"/>
          <w:sz w:val="20"/>
          <w:szCs w:val="20"/>
          <w:lang w:val="id-ID"/>
        </w:rPr>
        <w:t>results of the hypothesis testing, (H</w:t>
      </w:r>
      <w:r>
        <w:rPr>
          <w:rFonts w:ascii="Arial" w:hAnsi="Arial" w:cs="Arial"/>
          <w:sz w:val="20"/>
          <w:szCs w:val="20"/>
          <w:lang w:val="id-ID"/>
        </w:rPr>
        <w:t>2</w:t>
      </w:r>
      <w:r w:rsidRPr="005E1216">
        <w:rPr>
          <w:rFonts w:ascii="Arial" w:hAnsi="Arial" w:cs="Arial"/>
          <w:sz w:val="20"/>
          <w:szCs w:val="20"/>
          <w:lang w:val="id-ID"/>
        </w:rPr>
        <w:t>) shows a p-value &lt;0.05</w:t>
      </w:r>
      <w:r>
        <w:rPr>
          <w:rFonts w:ascii="Arial" w:hAnsi="Arial" w:cs="Arial"/>
          <w:sz w:val="20"/>
          <w:szCs w:val="20"/>
          <w:lang w:val="id-ID"/>
        </w:rPr>
        <w:t xml:space="preserve"> and a</w:t>
      </w:r>
      <w:r w:rsidRPr="005E1216">
        <w:rPr>
          <w:rFonts w:ascii="Arial" w:hAnsi="Arial" w:cs="Arial"/>
          <w:sz w:val="20"/>
          <w:szCs w:val="20"/>
          <w:lang w:val="id-ID"/>
        </w:rPr>
        <w:t xml:space="preserve"> t-statistic value of </w:t>
      </w:r>
      <w:r w:rsidR="00201A30">
        <w:rPr>
          <w:rFonts w:ascii="Arial" w:hAnsi="Arial" w:cs="Arial"/>
          <w:sz w:val="20"/>
          <w:szCs w:val="20"/>
          <w:lang w:val="id-ID"/>
        </w:rPr>
        <w:t>2.</w:t>
      </w:r>
      <w:r w:rsidR="00196173">
        <w:rPr>
          <w:rFonts w:ascii="Arial" w:hAnsi="Arial" w:cs="Arial"/>
          <w:sz w:val="20"/>
          <w:szCs w:val="20"/>
          <w:lang w:val="id-ID"/>
        </w:rPr>
        <w:t>777</w:t>
      </w:r>
      <w:r w:rsidRPr="005E1216">
        <w:rPr>
          <w:rFonts w:ascii="Arial" w:hAnsi="Arial" w:cs="Arial"/>
          <w:sz w:val="20"/>
          <w:szCs w:val="20"/>
          <w:lang w:val="id-ID"/>
        </w:rPr>
        <w:t xml:space="preserve"> &gt; 1.975, so that the results state that (H</w:t>
      </w:r>
      <w:r>
        <w:rPr>
          <w:rFonts w:ascii="Arial" w:hAnsi="Arial" w:cs="Arial"/>
          <w:sz w:val="20"/>
          <w:szCs w:val="20"/>
          <w:lang w:val="id-ID"/>
        </w:rPr>
        <w:t>2</w:t>
      </w:r>
      <w:r w:rsidRPr="005E1216">
        <w:rPr>
          <w:rFonts w:ascii="Arial" w:hAnsi="Arial" w:cs="Arial"/>
          <w:sz w:val="20"/>
          <w:szCs w:val="20"/>
          <w:lang w:val="id-ID"/>
        </w:rPr>
        <w:t xml:space="preserve">) is accepted, which means there is a significant influence between financial </w:t>
      </w:r>
      <w:r w:rsidR="00201A30">
        <w:rPr>
          <w:rFonts w:ascii="Arial" w:hAnsi="Arial" w:cs="Arial"/>
          <w:sz w:val="20"/>
          <w:szCs w:val="20"/>
          <w:lang w:val="id-ID"/>
        </w:rPr>
        <w:t>attitude</w:t>
      </w:r>
      <w:r w:rsidRPr="005E1216">
        <w:rPr>
          <w:rFonts w:ascii="Arial" w:hAnsi="Arial" w:cs="Arial"/>
          <w:sz w:val="20"/>
          <w:szCs w:val="20"/>
          <w:lang w:val="id-ID"/>
        </w:rPr>
        <w:t xml:space="preserve"> and financial behavior. With a coefficient value of 0.</w:t>
      </w:r>
      <w:r w:rsidR="00B02338">
        <w:rPr>
          <w:rFonts w:ascii="Arial" w:hAnsi="Arial" w:cs="Arial"/>
          <w:sz w:val="20"/>
          <w:szCs w:val="20"/>
          <w:lang w:val="id-ID"/>
        </w:rPr>
        <w:t>182</w:t>
      </w:r>
      <w:r w:rsidRPr="005E1216">
        <w:rPr>
          <w:rFonts w:ascii="Arial" w:hAnsi="Arial" w:cs="Arial"/>
          <w:sz w:val="20"/>
          <w:szCs w:val="20"/>
          <w:lang w:val="id-ID"/>
        </w:rPr>
        <w:t xml:space="preserve">, this shows that increasing financial </w:t>
      </w:r>
      <w:r w:rsidR="00201A30">
        <w:rPr>
          <w:rFonts w:ascii="Arial" w:hAnsi="Arial" w:cs="Arial"/>
          <w:sz w:val="20"/>
          <w:szCs w:val="20"/>
          <w:lang w:val="id-ID"/>
        </w:rPr>
        <w:t xml:space="preserve">attitude </w:t>
      </w:r>
      <w:r w:rsidRPr="005E1216">
        <w:rPr>
          <w:rFonts w:ascii="Arial" w:hAnsi="Arial" w:cs="Arial"/>
          <w:sz w:val="20"/>
          <w:szCs w:val="20"/>
          <w:lang w:val="id-ID"/>
        </w:rPr>
        <w:t>provides a positive contribution to financial behavior.</w:t>
      </w:r>
    </w:p>
    <w:p w14:paraId="45D8C000" w14:textId="77777777" w:rsidR="00196173" w:rsidRDefault="00196173" w:rsidP="009F61B6">
      <w:pPr>
        <w:tabs>
          <w:tab w:val="left" w:pos="1141"/>
        </w:tabs>
        <w:spacing w:after="0"/>
        <w:jc w:val="both"/>
        <w:rPr>
          <w:rFonts w:ascii="Arial" w:hAnsi="Arial" w:cs="Arial"/>
          <w:sz w:val="20"/>
          <w:szCs w:val="20"/>
          <w:lang w:val="id-ID"/>
        </w:rPr>
      </w:pPr>
    </w:p>
    <w:p w14:paraId="71C37862" w14:textId="5EA1F5CA" w:rsidR="00196173" w:rsidRDefault="00196173" w:rsidP="009F61B6">
      <w:pPr>
        <w:tabs>
          <w:tab w:val="left" w:pos="1141"/>
        </w:tabs>
        <w:spacing w:after="0"/>
        <w:jc w:val="both"/>
        <w:rPr>
          <w:rFonts w:ascii="Arial" w:hAnsi="Arial" w:cs="Arial"/>
          <w:sz w:val="20"/>
          <w:szCs w:val="20"/>
          <w:lang w:val="id-ID"/>
        </w:rPr>
      </w:pPr>
      <w:r>
        <w:rPr>
          <w:rFonts w:ascii="Arial" w:hAnsi="Arial" w:cs="Arial"/>
          <w:sz w:val="20"/>
          <w:szCs w:val="20"/>
          <w:lang w:val="id-ID"/>
        </w:rPr>
        <w:t xml:space="preserve">The </w:t>
      </w:r>
      <w:r w:rsidRPr="005E1216">
        <w:rPr>
          <w:rFonts w:ascii="Arial" w:hAnsi="Arial" w:cs="Arial"/>
          <w:sz w:val="20"/>
          <w:szCs w:val="20"/>
          <w:lang w:val="id-ID"/>
        </w:rPr>
        <w:t>results of the hypothesis testing, (H</w:t>
      </w:r>
      <w:r>
        <w:rPr>
          <w:rFonts w:ascii="Arial" w:hAnsi="Arial" w:cs="Arial"/>
          <w:sz w:val="20"/>
          <w:szCs w:val="20"/>
          <w:lang w:val="id-ID"/>
        </w:rPr>
        <w:t>3</w:t>
      </w:r>
      <w:r w:rsidRPr="005E1216">
        <w:rPr>
          <w:rFonts w:ascii="Arial" w:hAnsi="Arial" w:cs="Arial"/>
          <w:sz w:val="20"/>
          <w:szCs w:val="20"/>
          <w:lang w:val="id-ID"/>
        </w:rPr>
        <w:t>) shows a p-value &lt;0.05</w:t>
      </w:r>
      <w:r>
        <w:rPr>
          <w:rFonts w:ascii="Arial" w:hAnsi="Arial" w:cs="Arial"/>
          <w:sz w:val="20"/>
          <w:szCs w:val="20"/>
          <w:lang w:val="id-ID"/>
        </w:rPr>
        <w:t xml:space="preserve"> and a</w:t>
      </w:r>
      <w:r w:rsidRPr="005E1216">
        <w:rPr>
          <w:rFonts w:ascii="Arial" w:hAnsi="Arial" w:cs="Arial"/>
          <w:sz w:val="20"/>
          <w:szCs w:val="20"/>
          <w:lang w:val="id-ID"/>
        </w:rPr>
        <w:t xml:space="preserve"> t-statistic value of </w:t>
      </w:r>
      <w:r>
        <w:rPr>
          <w:rFonts w:ascii="Arial" w:hAnsi="Arial" w:cs="Arial"/>
          <w:sz w:val="20"/>
          <w:szCs w:val="20"/>
          <w:lang w:val="id-ID"/>
        </w:rPr>
        <w:t>5.567</w:t>
      </w:r>
      <w:r w:rsidRPr="005E1216">
        <w:rPr>
          <w:rFonts w:ascii="Arial" w:hAnsi="Arial" w:cs="Arial"/>
          <w:sz w:val="20"/>
          <w:szCs w:val="20"/>
          <w:lang w:val="id-ID"/>
        </w:rPr>
        <w:t xml:space="preserve"> &gt; 1.975, so that the results state that (H</w:t>
      </w:r>
      <w:r w:rsidR="00071D82">
        <w:rPr>
          <w:rFonts w:ascii="Arial" w:hAnsi="Arial" w:cs="Arial"/>
          <w:sz w:val="20"/>
          <w:szCs w:val="20"/>
          <w:lang w:val="id-ID"/>
        </w:rPr>
        <w:t>3</w:t>
      </w:r>
      <w:r w:rsidRPr="005E1216">
        <w:rPr>
          <w:rFonts w:ascii="Arial" w:hAnsi="Arial" w:cs="Arial"/>
          <w:sz w:val="20"/>
          <w:szCs w:val="20"/>
          <w:lang w:val="id-ID"/>
        </w:rPr>
        <w:t xml:space="preserve">) is accepted, which means there is a significant influence between </w:t>
      </w:r>
      <w:r w:rsidR="00071D82">
        <w:rPr>
          <w:rFonts w:ascii="Arial" w:hAnsi="Arial" w:cs="Arial"/>
          <w:sz w:val="20"/>
          <w:szCs w:val="20"/>
          <w:lang w:val="id-ID"/>
        </w:rPr>
        <w:t>lifestyle</w:t>
      </w:r>
      <w:r w:rsidRPr="005E1216">
        <w:rPr>
          <w:rFonts w:ascii="Arial" w:hAnsi="Arial" w:cs="Arial"/>
          <w:sz w:val="20"/>
          <w:szCs w:val="20"/>
          <w:lang w:val="id-ID"/>
        </w:rPr>
        <w:t xml:space="preserve"> and financial behavior. With a coefficient value of 0.3</w:t>
      </w:r>
      <w:r w:rsidR="00B02338">
        <w:rPr>
          <w:rFonts w:ascii="Arial" w:hAnsi="Arial" w:cs="Arial"/>
          <w:sz w:val="20"/>
          <w:szCs w:val="20"/>
          <w:lang w:val="id-ID"/>
        </w:rPr>
        <w:t>40</w:t>
      </w:r>
      <w:r w:rsidRPr="005E1216">
        <w:rPr>
          <w:rFonts w:ascii="Arial" w:hAnsi="Arial" w:cs="Arial"/>
          <w:sz w:val="20"/>
          <w:szCs w:val="20"/>
          <w:lang w:val="id-ID"/>
        </w:rPr>
        <w:t xml:space="preserve">, this shows that increasing </w:t>
      </w:r>
      <w:r w:rsidR="00071D82">
        <w:rPr>
          <w:rFonts w:ascii="Arial" w:hAnsi="Arial" w:cs="Arial"/>
          <w:sz w:val="20"/>
          <w:szCs w:val="20"/>
          <w:lang w:val="id-ID"/>
        </w:rPr>
        <w:t>lifestyle</w:t>
      </w:r>
      <w:r w:rsidR="00071D82" w:rsidRPr="005E1216">
        <w:rPr>
          <w:rFonts w:ascii="Arial" w:hAnsi="Arial" w:cs="Arial"/>
          <w:sz w:val="20"/>
          <w:szCs w:val="20"/>
          <w:lang w:val="id-ID"/>
        </w:rPr>
        <w:t xml:space="preserve"> </w:t>
      </w:r>
      <w:r w:rsidRPr="005E1216">
        <w:rPr>
          <w:rFonts w:ascii="Arial" w:hAnsi="Arial" w:cs="Arial"/>
          <w:sz w:val="20"/>
          <w:szCs w:val="20"/>
          <w:lang w:val="id-ID"/>
        </w:rPr>
        <w:t>provides a positive contribution to financial behavior.</w:t>
      </w:r>
    </w:p>
    <w:p w14:paraId="29530843" w14:textId="77777777" w:rsidR="00471CCD" w:rsidRDefault="00471CCD" w:rsidP="009F61B6">
      <w:pPr>
        <w:tabs>
          <w:tab w:val="left" w:pos="1141"/>
        </w:tabs>
        <w:spacing w:after="0"/>
        <w:jc w:val="both"/>
        <w:rPr>
          <w:rFonts w:ascii="Arial" w:hAnsi="Arial" w:cs="Arial"/>
          <w:sz w:val="20"/>
          <w:szCs w:val="20"/>
          <w:lang w:val="id-ID"/>
        </w:rPr>
      </w:pPr>
    </w:p>
    <w:p w14:paraId="0C9CACC2" w14:textId="31C8B3A1" w:rsidR="00471CCD" w:rsidRDefault="00471CCD" w:rsidP="00471CCD">
      <w:pPr>
        <w:tabs>
          <w:tab w:val="left" w:pos="1141"/>
        </w:tabs>
        <w:spacing w:after="0"/>
        <w:jc w:val="both"/>
        <w:rPr>
          <w:rFonts w:ascii="Arial" w:hAnsi="Arial" w:cs="Arial"/>
          <w:sz w:val="20"/>
          <w:szCs w:val="20"/>
          <w:lang w:val="id-ID"/>
        </w:rPr>
      </w:pPr>
      <w:r>
        <w:rPr>
          <w:rFonts w:ascii="Arial" w:hAnsi="Arial" w:cs="Arial"/>
          <w:sz w:val="20"/>
          <w:szCs w:val="20"/>
          <w:lang w:val="id-ID"/>
        </w:rPr>
        <w:t xml:space="preserve">The </w:t>
      </w:r>
      <w:r w:rsidRPr="005E1216">
        <w:rPr>
          <w:rFonts w:ascii="Arial" w:hAnsi="Arial" w:cs="Arial"/>
          <w:sz w:val="20"/>
          <w:szCs w:val="20"/>
          <w:lang w:val="id-ID"/>
        </w:rPr>
        <w:t>results of the hypothesis testing, (H</w:t>
      </w:r>
      <w:r w:rsidR="00A4327F">
        <w:rPr>
          <w:rFonts w:ascii="Arial" w:hAnsi="Arial" w:cs="Arial"/>
          <w:sz w:val="20"/>
          <w:szCs w:val="20"/>
          <w:lang w:val="id-ID"/>
        </w:rPr>
        <w:t>4</w:t>
      </w:r>
      <w:r w:rsidRPr="005E1216">
        <w:rPr>
          <w:rFonts w:ascii="Arial" w:hAnsi="Arial" w:cs="Arial"/>
          <w:sz w:val="20"/>
          <w:szCs w:val="20"/>
          <w:lang w:val="id-ID"/>
        </w:rPr>
        <w:t>) shows a p-value &lt;0.05</w:t>
      </w:r>
      <w:r>
        <w:rPr>
          <w:rFonts w:ascii="Arial" w:hAnsi="Arial" w:cs="Arial"/>
          <w:sz w:val="20"/>
          <w:szCs w:val="20"/>
          <w:lang w:val="id-ID"/>
        </w:rPr>
        <w:t xml:space="preserve"> and a</w:t>
      </w:r>
      <w:r w:rsidRPr="005E1216">
        <w:rPr>
          <w:rFonts w:ascii="Arial" w:hAnsi="Arial" w:cs="Arial"/>
          <w:sz w:val="20"/>
          <w:szCs w:val="20"/>
          <w:lang w:val="id-ID"/>
        </w:rPr>
        <w:t xml:space="preserve"> t-statistic value of </w:t>
      </w:r>
      <w:r>
        <w:rPr>
          <w:rFonts w:ascii="Arial" w:hAnsi="Arial" w:cs="Arial"/>
          <w:sz w:val="20"/>
          <w:szCs w:val="20"/>
          <w:lang w:val="id-ID"/>
        </w:rPr>
        <w:t>5.567</w:t>
      </w:r>
      <w:r w:rsidRPr="005E1216">
        <w:rPr>
          <w:rFonts w:ascii="Arial" w:hAnsi="Arial" w:cs="Arial"/>
          <w:sz w:val="20"/>
          <w:szCs w:val="20"/>
          <w:lang w:val="id-ID"/>
        </w:rPr>
        <w:t xml:space="preserve"> &gt; 1.975, so that the results state that (H</w:t>
      </w:r>
      <w:r w:rsidR="00A4327F">
        <w:rPr>
          <w:rFonts w:ascii="Arial" w:hAnsi="Arial" w:cs="Arial"/>
          <w:sz w:val="20"/>
          <w:szCs w:val="20"/>
          <w:lang w:val="id-ID"/>
        </w:rPr>
        <w:t>4</w:t>
      </w:r>
      <w:r w:rsidRPr="005E1216">
        <w:rPr>
          <w:rFonts w:ascii="Arial" w:hAnsi="Arial" w:cs="Arial"/>
          <w:sz w:val="20"/>
          <w:szCs w:val="20"/>
          <w:lang w:val="id-ID"/>
        </w:rPr>
        <w:t xml:space="preserve">) is accepted, which means there is a significant influence between </w:t>
      </w:r>
      <w:r w:rsidR="00752D85">
        <w:rPr>
          <w:rFonts w:ascii="Arial" w:hAnsi="Arial" w:cs="Arial"/>
          <w:sz w:val="20"/>
          <w:szCs w:val="20"/>
          <w:lang w:val="id-ID"/>
        </w:rPr>
        <w:t>financial inclusion</w:t>
      </w:r>
      <w:r w:rsidR="00752D85" w:rsidRPr="005E1216">
        <w:rPr>
          <w:rFonts w:ascii="Arial" w:hAnsi="Arial" w:cs="Arial"/>
          <w:sz w:val="20"/>
          <w:szCs w:val="20"/>
          <w:lang w:val="id-ID"/>
        </w:rPr>
        <w:t xml:space="preserve"> </w:t>
      </w:r>
      <w:r w:rsidRPr="005E1216">
        <w:rPr>
          <w:rFonts w:ascii="Arial" w:hAnsi="Arial" w:cs="Arial"/>
          <w:sz w:val="20"/>
          <w:szCs w:val="20"/>
          <w:lang w:val="id-ID"/>
        </w:rPr>
        <w:t>and financial behavior. With a coefficient value of 0.</w:t>
      </w:r>
      <w:r w:rsidR="00752D85">
        <w:rPr>
          <w:rFonts w:ascii="Arial" w:hAnsi="Arial" w:cs="Arial"/>
          <w:sz w:val="20"/>
          <w:szCs w:val="20"/>
          <w:lang w:val="id-ID"/>
        </w:rPr>
        <w:t>220</w:t>
      </w:r>
      <w:r w:rsidRPr="005E1216">
        <w:rPr>
          <w:rFonts w:ascii="Arial" w:hAnsi="Arial" w:cs="Arial"/>
          <w:sz w:val="20"/>
          <w:szCs w:val="20"/>
          <w:lang w:val="id-ID"/>
        </w:rPr>
        <w:t xml:space="preserve">, this shows that increasing </w:t>
      </w:r>
      <w:r w:rsidR="00752D85">
        <w:rPr>
          <w:rFonts w:ascii="Arial" w:hAnsi="Arial" w:cs="Arial"/>
          <w:sz w:val="20"/>
          <w:szCs w:val="20"/>
          <w:lang w:val="id-ID"/>
        </w:rPr>
        <w:t>financial inclusion</w:t>
      </w:r>
      <w:r w:rsidRPr="005E1216">
        <w:rPr>
          <w:rFonts w:ascii="Arial" w:hAnsi="Arial" w:cs="Arial"/>
          <w:sz w:val="20"/>
          <w:szCs w:val="20"/>
          <w:lang w:val="id-ID"/>
        </w:rPr>
        <w:t xml:space="preserve"> provides a positive contribution to financial behavior.</w:t>
      </w:r>
    </w:p>
    <w:p w14:paraId="7AC38424" w14:textId="77777777" w:rsidR="00FA7C08" w:rsidRDefault="00FA7C08" w:rsidP="00471CCD">
      <w:pPr>
        <w:tabs>
          <w:tab w:val="left" w:pos="1141"/>
        </w:tabs>
        <w:spacing w:after="0"/>
        <w:jc w:val="both"/>
        <w:rPr>
          <w:rFonts w:ascii="Arial" w:hAnsi="Arial" w:cs="Arial"/>
          <w:sz w:val="20"/>
          <w:szCs w:val="20"/>
          <w:lang w:val="id-ID"/>
        </w:rPr>
      </w:pPr>
    </w:p>
    <w:p w14:paraId="3F45E3AA" w14:textId="77777777" w:rsidR="00DA4F21" w:rsidRDefault="00DA4F21" w:rsidP="00FA7C08">
      <w:pPr>
        <w:tabs>
          <w:tab w:val="left" w:pos="1141"/>
        </w:tabs>
        <w:spacing w:after="0"/>
        <w:jc w:val="center"/>
        <w:rPr>
          <w:rFonts w:ascii="Arial" w:hAnsi="Arial" w:cs="Arial"/>
          <w:b/>
          <w:bCs/>
          <w:sz w:val="20"/>
          <w:szCs w:val="20"/>
          <w:lang w:val="id-ID"/>
        </w:rPr>
      </w:pPr>
      <w:r w:rsidRPr="005E1216">
        <w:rPr>
          <w:rFonts w:ascii="Arial" w:hAnsi="Arial" w:cs="Arial"/>
          <w:b/>
          <w:bCs/>
          <w:sz w:val="20"/>
          <w:szCs w:val="20"/>
          <w:lang w:val="id-ID"/>
        </w:rPr>
        <w:t xml:space="preserve">Table </w:t>
      </w:r>
      <w:r>
        <w:rPr>
          <w:rFonts w:ascii="Arial" w:hAnsi="Arial" w:cs="Arial"/>
          <w:b/>
          <w:bCs/>
          <w:sz w:val="20"/>
          <w:szCs w:val="20"/>
          <w:lang w:val="id-ID"/>
        </w:rPr>
        <w:t>6</w:t>
      </w:r>
      <w:r w:rsidRPr="005E1216">
        <w:rPr>
          <w:rFonts w:ascii="Arial" w:hAnsi="Arial" w:cs="Arial"/>
          <w:b/>
          <w:bCs/>
          <w:sz w:val="20"/>
          <w:szCs w:val="20"/>
          <w:lang w:val="id-ID"/>
        </w:rPr>
        <w:t>. Hypothesis Testing</w:t>
      </w:r>
    </w:p>
    <w:p w14:paraId="5DFAA741" w14:textId="77777777" w:rsidR="00471CCD" w:rsidRPr="005E1216" w:rsidRDefault="00471CCD" w:rsidP="00FA7C08">
      <w:pPr>
        <w:tabs>
          <w:tab w:val="left" w:pos="1141"/>
        </w:tabs>
        <w:spacing w:after="0"/>
        <w:jc w:val="center"/>
        <w:rPr>
          <w:rFonts w:ascii="Arial" w:hAnsi="Arial" w:cs="Arial"/>
          <w:b/>
          <w:bCs/>
          <w:sz w:val="20"/>
          <w:szCs w:val="20"/>
          <w:lang w:val="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45"/>
        <w:gridCol w:w="1508"/>
        <w:gridCol w:w="1508"/>
        <w:gridCol w:w="1528"/>
        <w:gridCol w:w="1479"/>
        <w:gridCol w:w="1479"/>
      </w:tblGrid>
      <w:tr w:rsidR="00DA4F21" w:rsidRPr="005E1216" w14:paraId="587CBF27" w14:textId="77777777" w:rsidTr="00BD0BAA">
        <w:trPr>
          <w:jc w:val="center"/>
        </w:trPr>
        <w:tc>
          <w:tcPr>
            <w:tcW w:w="1445" w:type="dxa"/>
          </w:tcPr>
          <w:p w14:paraId="773BD921" w14:textId="77777777" w:rsidR="00DA4F21" w:rsidRPr="005E1216" w:rsidRDefault="00DA4F21" w:rsidP="00BD0BAA">
            <w:pPr>
              <w:tabs>
                <w:tab w:val="left" w:pos="1141"/>
              </w:tabs>
              <w:jc w:val="center"/>
              <w:rPr>
                <w:rFonts w:ascii="Arial" w:hAnsi="Arial" w:cs="Arial"/>
                <w:sz w:val="20"/>
                <w:szCs w:val="20"/>
                <w:lang w:val="id-ID"/>
              </w:rPr>
            </w:pPr>
          </w:p>
        </w:tc>
        <w:tc>
          <w:tcPr>
            <w:tcW w:w="1508" w:type="dxa"/>
          </w:tcPr>
          <w:p w14:paraId="4E05C82A" w14:textId="77777777" w:rsidR="00DA4F21" w:rsidRPr="005E1216" w:rsidRDefault="00DA4F21" w:rsidP="00BD0BAA">
            <w:pPr>
              <w:tabs>
                <w:tab w:val="left" w:pos="1141"/>
              </w:tabs>
              <w:jc w:val="center"/>
              <w:rPr>
                <w:rFonts w:ascii="Arial" w:hAnsi="Arial" w:cs="Arial"/>
                <w:b/>
                <w:bCs/>
                <w:sz w:val="20"/>
                <w:szCs w:val="20"/>
                <w:lang w:val="id-ID"/>
              </w:rPr>
            </w:pPr>
          </w:p>
        </w:tc>
        <w:tc>
          <w:tcPr>
            <w:tcW w:w="1508" w:type="dxa"/>
          </w:tcPr>
          <w:p w14:paraId="4EDCD2CA" w14:textId="77777777" w:rsidR="00DA4F21" w:rsidRPr="005E1216" w:rsidRDefault="00DA4F21"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Original Sample</w:t>
            </w:r>
          </w:p>
        </w:tc>
        <w:tc>
          <w:tcPr>
            <w:tcW w:w="1528" w:type="dxa"/>
          </w:tcPr>
          <w:p w14:paraId="088F7FEE" w14:textId="77777777" w:rsidR="00DA4F21" w:rsidRPr="005E1216" w:rsidRDefault="00DA4F21"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T-Statistics</w:t>
            </w:r>
          </w:p>
        </w:tc>
        <w:tc>
          <w:tcPr>
            <w:tcW w:w="1479" w:type="dxa"/>
          </w:tcPr>
          <w:p w14:paraId="042B7A32" w14:textId="77777777" w:rsidR="00DA4F21" w:rsidRPr="005E1216" w:rsidRDefault="00DA4F21"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P-Value</w:t>
            </w:r>
          </w:p>
        </w:tc>
        <w:tc>
          <w:tcPr>
            <w:tcW w:w="1479" w:type="dxa"/>
          </w:tcPr>
          <w:p w14:paraId="12FB9480" w14:textId="77777777" w:rsidR="00DA4F21" w:rsidRPr="005E1216" w:rsidRDefault="00DA4F21"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Conclusion</w:t>
            </w:r>
          </w:p>
        </w:tc>
      </w:tr>
      <w:tr w:rsidR="00DA4F21" w:rsidRPr="005E1216" w14:paraId="1EF4E714" w14:textId="77777777" w:rsidTr="00BD0BAA">
        <w:trPr>
          <w:jc w:val="center"/>
        </w:trPr>
        <w:tc>
          <w:tcPr>
            <w:tcW w:w="1445" w:type="dxa"/>
          </w:tcPr>
          <w:p w14:paraId="44BE0E0A"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H1</w:t>
            </w:r>
          </w:p>
        </w:tc>
        <w:tc>
          <w:tcPr>
            <w:tcW w:w="1508" w:type="dxa"/>
          </w:tcPr>
          <w:p w14:paraId="4A2D6B6D"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 xml:space="preserve">Financial Literacy -&gt; </w:t>
            </w:r>
            <w:r w:rsidRPr="005E1216">
              <w:rPr>
                <w:rFonts w:ascii="Arial" w:hAnsi="Arial" w:cs="Arial"/>
                <w:sz w:val="20"/>
                <w:szCs w:val="20"/>
                <w:lang w:val="id-ID"/>
              </w:rPr>
              <w:lastRenderedPageBreak/>
              <w:t>Financial Behavior</w:t>
            </w:r>
          </w:p>
        </w:tc>
        <w:tc>
          <w:tcPr>
            <w:tcW w:w="1508" w:type="dxa"/>
          </w:tcPr>
          <w:p w14:paraId="4B7F0D9D"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lastRenderedPageBreak/>
              <w:t>0.251</w:t>
            </w:r>
          </w:p>
        </w:tc>
        <w:tc>
          <w:tcPr>
            <w:tcW w:w="1528" w:type="dxa"/>
          </w:tcPr>
          <w:p w14:paraId="643A11C8"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4,501</w:t>
            </w:r>
          </w:p>
        </w:tc>
        <w:tc>
          <w:tcPr>
            <w:tcW w:w="1479" w:type="dxa"/>
          </w:tcPr>
          <w:p w14:paraId="22C90604"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0.000</w:t>
            </w:r>
          </w:p>
        </w:tc>
        <w:tc>
          <w:tcPr>
            <w:tcW w:w="1479" w:type="dxa"/>
          </w:tcPr>
          <w:p w14:paraId="14F8918F" w14:textId="77777777" w:rsidR="00DA4F21" w:rsidRPr="005E1216" w:rsidRDefault="00DA4F21" w:rsidP="00BD0BAA">
            <w:pPr>
              <w:tabs>
                <w:tab w:val="left" w:pos="1141"/>
              </w:tabs>
              <w:jc w:val="center"/>
              <w:rPr>
                <w:rFonts w:ascii="Arial" w:hAnsi="Arial" w:cs="Arial"/>
                <w:i/>
                <w:iCs/>
                <w:sz w:val="20"/>
                <w:szCs w:val="20"/>
                <w:lang w:val="id-ID"/>
              </w:rPr>
            </w:pPr>
            <w:r w:rsidRPr="005E1216">
              <w:rPr>
                <w:rFonts w:ascii="Arial" w:hAnsi="Arial" w:cs="Arial"/>
                <w:i/>
                <w:iCs/>
                <w:sz w:val="20"/>
                <w:szCs w:val="20"/>
                <w:lang w:val="id-ID"/>
              </w:rPr>
              <w:t>Supported</w:t>
            </w:r>
          </w:p>
        </w:tc>
      </w:tr>
      <w:tr w:rsidR="00DA4F21" w:rsidRPr="005E1216" w14:paraId="125DFB0D" w14:textId="77777777" w:rsidTr="00BD0BAA">
        <w:trPr>
          <w:jc w:val="center"/>
        </w:trPr>
        <w:tc>
          <w:tcPr>
            <w:tcW w:w="1445" w:type="dxa"/>
          </w:tcPr>
          <w:p w14:paraId="3451B2B9"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H2</w:t>
            </w:r>
          </w:p>
        </w:tc>
        <w:tc>
          <w:tcPr>
            <w:tcW w:w="1508" w:type="dxa"/>
          </w:tcPr>
          <w:p w14:paraId="3D422F7C"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Financial Attitude -&gt; Financial Behavior</w:t>
            </w:r>
          </w:p>
        </w:tc>
        <w:tc>
          <w:tcPr>
            <w:tcW w:w="1508" w:type="dxa"/>
          </w:tcPr>
          <w:p w14:paraId="2F247E71"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0.182</w:t>
            </w:r>
          </w:p>
        </w:tc>
        <w:tc>
          <w:tcPr>
            <w:tcW w:w="1528" w:type="dxa"/>
          </w:tcPr>
          <w:p w14:paraId="26137916"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2,777</w:t>
            </w:r>
          </w:p>
        </w:tc>
        <w:tc>
          <w:tcPr>
            <w:tcW w:w="1479" w:type="dxa"/>
          </w:tcPr>
          <w:p w14:paraId="54191822"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0.006</w:t>
            </w:r>
          </w:p>
        </w:tc>
        <w:tc>
          <w:tcPr>
            <w:tcW w:w="1479" w:type="dxa"/>
          </w:tcPr>
          <w:p w14:paraId="61BFB3B4" w14:textId="77777777" w:rsidR="00DA4F21" w:rsidRPr="005E1216" w:rsidRDefault="00DA4F21" w:rsidP="00BD0BAA">
            <w:pPr>
              <w:tabs>
                <w:tab w:val="left" w:pos="1141"/>
              </w:tabs>
              <w:jc w:val="center"/>
              <w:rPr>
                <w:rFonts w:ascii="Arial" w:hAnsi="Arial" w:cs="Arial"/>
                <w:i/>
                <w:iCs/>
                <w:sz w:val="20"/>
                <w:szCs w:val="20"/>
                <w:lang w:val="id-ID"/>
              </w:rPr>
            </w:pPr>
            <w:r w:rsidRPr="005E1216">
              <w:rPr>
                <w:rFonts w:ascii="Arial" w:hAnsi="Arial" w:cs="Arial"/>
                <w:i/>
                <w:iCs/>
                <w:sz w:val="20"/>
                <w:szCs w:val="20"/>
                <w:lang w:val="id-ID"/>
              </w:rPr>
              <w:t>Supported</w:t>
            </w:r>
          </w:p>
        </w:tc>
      </w:tr>
      <w:tr w:rsidR="00DA4F21" w:rsidRPr="005E1216" w14:paraId="4F4D25A4" w14:textId="77777777" w:rsidTr="00BD0BAA">
        <w:trPr>
          <w:jc w:val="center"/>
        </w:trPr>
        <w:tc>
          <w:tcPr>
            <w:tcW w:w="1445" w:type="dxa"/>
          </w:tcPr>
          <w:p w14:paraId="3A74E276"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H3</w:t>
            </w:r>
          </w:p>
        </w:tc>
        <w:tc>
          <w:tcPr>
            <w:tcW w:w="1508" w:type="dxa"/>
          </w:tcPr>
          <w:p w14:paraId="3120A04F"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Lifestyle -&gt; Financial Behavior</w:t>
            </w:r>
          </w:p>
        </w:tc>
        <w:tc>
          <w:tcPr>
            <w:tcW w:w="1508" w:type="dxa"/>
          </w:tcPr>
          <w:p w14:paraId="4BB2CF90"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0.340</w:t>
            </w:r>
          </w:p>
        </w:tc>
        <w:tc>
          <w:tcPr>
            <w:tcW w:w="1528" w:type="dxa"/>
          </w:tcPr>
          <w:p w14:paraId="25D1B17D"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5,567</w:t>
            </w:r>
          </w:p>
        </w:tc>
        <w:tc>
          <w:tcPr>
            <w:tcW w:w="1479" w:type="dxa"/>
          </w:tcPr>
          <w:p w14:paraId="7892CAA5"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0.000</w:t>
            </w:r>
          </w:p>
        </w:tc>
        <w:tc>
          <w:tcPr>
            <w:tcW w:w="1479" w:type="dxa"/>
          </w:tcPr>
          <w:p w14:paraId="32750BA9" w14:textId="77777777" w:rsidR="00DA4F21" w:rsidRPr="005E1216" w:rsidRDefault="00DA4F21" w:rsidP="00BD0BAA">
            <w:pPr>
              <w:tabs>
                <w:tab w:val="left" w:pos="1141"/>
              </w:tabs>
              <w:jc w:val="center"/>
              <w:rPr>
                <w:rFonts w:ascii="Arial" w:hAnsi="Arial" w:cs="Arial"/>
                <w:i/>
                <w:iCs/>
                <w:sz w:val="20"/>
                <w:szCs w:val="20"/>
                <w:lang w:val="id-ID"/>
              </w:rPr>
            </w:pPr>
            <w:r w:rsidRPr="005E1216">
              <w:rPr>
                <w:rFonts w:ascii="Arial" w:hAnsi="Arial" w:cs="Arial"/>
                <w:i/>
                <w:iCs/>
                <w:sz w:val="20"/>
                <w:szCs w:val="20"/>
                <w:lang w:val="id-ID"/>
              </w:rPr>
              <w:t>Supported</w:t>
            </w:r>
          </w:p>
        </w:tc>
      </w:tr>
      <w:tr w:rsidR="00DA4F21" w:rsidRPr="005E1216" w14:paraId="1887E119" w14:textId="77777777" w:rsidTr="00BD0BAA">
        <w:trPr>
          <w:jc w:val="center"/>
        </w:trPr>
        <w:tc>
          <w:tcPr>
            <w:tcW w:w="1445" w:type="dxa"/>
          </w:tcPr>
          <w:p w14:paraId="5DA9D6D9"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H4</w:t>
            </w:r>
          </w:p>
        </w:tc>
        <w:tc>
          <w:tcPr>
            <w:tcW w:w="1508" w:type="dxa"/>
          </w:tcPr>
          <w:p w14:paraId="57A42D9B"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Financial Inclusion -&gt; Financial Behavior</w:t>
            </w:r>
          </w:p>
        </w:tc>
        <w:tc>
          <w:tcPr>
            <w:tcW w:w="1508" w:type="dxa"/>
          </w:tcPr>
          <w:p w14:paraId="507666EE"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0.220</w:t>
            </w:r>
          </w:p>
        </w:tc>
        <w:tc>
          <w:tcPr>
            <w:tcW w:w="1528" w:type="dxa"/>
          </w:tcPr>
          <w:p w14:paraId="69578735"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3,588</w:t>
            </w:r>
          </w:p>
        </w:tc>
        <w:tc>
          <w:tcPr>
            <w:tcW w:w="1479" w:type="dxa"/>
          </w:tcPr>
          <w:p w14:paraId="5DEAF8C9"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0.000</w:t>
            </w:r>
          </w:p>
        </w:tc>
        <w:tc>
          <w:tcPr>
            <w:tcW w:w="1479" w:type="dxa"/>
          </w:tcPr>
          <w:p w14:paraId="1A570C84" w14:textId="77777777" w:rsidR="00DA4F21" w:rsidRPr="005E1216" w:rsidRDefault="00DA4F21" w:rsidP="00BD0BAA">
            <w:pPr>
              <w:tabs>
                <w:tab w:val="left" w:pos="1141"/>
              </w:tabs>
              <w:jc w:val="center"/>
              <w:rPr>
                <w:rFonts w:ascii="Arial" w:hAnsi="Arial" w:cs="Arial"/>
                <w:i/>
                <w:iCs/>
                <w:sz w:val="20"/>
                <w:szCs w:val="20"/>
                <w:lang w:val="id-ID"/>
              </w:rPr>
            </w:pPr>
            <w:r w:rsidRPr="005E1216">
              <w:rPr>
                <w:rFonts w:ascii="Arial" w:hAnsi="Arial" w:cs="Arial"/>
                <w:i/>
                <w:iCs/>
                <w:sz w:val="20"/>
                <w:szCs w:val="20"/>
                <w:lang w:val="id-ID"/>
              </w:rPr>
              <w:t>Supported</w:t>
            </w:r>
          </w:p>
        </w:tc>
      </w:tr>
    </w:tbl>
    <w:p w14:paraId="2FD337F3" w14:textId="77777777" w:rsidR="00DA4F21" w:rsidRPr="00D94742" w:rsidRDefault="00DA4F21" w:rsidP="00DA4F21">
      <w:pPr>
        <w:tabs>
          <w:tab w:val="left" w:pos="1141"/>
        </w:tabs>
        <w:spacing w:after="0"/>
        <w:ind w:left="360"/>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2B633ED1" w14:textId="77777777" w:rsidR="00602E38" w:rsidRPr="00602E38" w:rsidRDefault="00602E38" w:rsidP="00602E38">
      <w:pPr>
        <w:spacing w:after="0"/>
        <w:jc w:val="center"/>
        <w:rPr>
          <w:rFonts w:ascii="Arial" w:hAnsi="Arial"/>
          <w:b/>
          <w:bCs/>
          <w:sz w:val="20"/>
          <w:szCs w:val="20"/>
          <w:lang w:val="id-ID"/>
        </w:rPr>
      </w:pPr>
    </w:p>
    <w:p w14:paraId="4E9432A2" w14:textId="39B14892" w:rsidR="00910524" w:rsidRDefault="00910524" w:rsidP="00FA7C08">
      <w:pPr>
        <w:tabs>
          <w:tab w:val="left" w:pos="2329"/>
        </w:tabs>
        <w:spacing w:after="0"/>
        <w:rPr>
          <w:rFonts w:ascii="Arial" w:hAnsi="Arial"/>
          <w:b/>
          <w:bCs/>
          <w:sz w:val="22"/>
          <w:szCs w:val="22"/>
          <w:lang w:val="id-ID"/>
        </w:rPr>
      </w:pPr>
      <w:r>
        <w:rPr>
          <w:rFonts w:ascii="Arial" w:hAnsi="Arial"/>
          <w:b/>
          <w:bCs/>
          <w:sz w:val="22"/>
          <w:szCs w:val="22"/>
          <w:lang w:val="id-ID"/>
        </w:rPr>
        <w:t>4.2 Discussion</w:t>
      </w:r>
      <w:r w:rsidR="00FA7C08">
        <w:rPr>
          <w:rFonts w:ascii="Arial" w:hAnsi="Arial"/>
          <w:b/>
          <w:bCs/>
          <w:sz w:val="22"/>
          <w:szCs w:val="22"/>
          <w:lang w:val="id-ID"/>
        </w:rPr>
        <w:tab/>
      </w:r>
    </w:p>
    <w:p w14:paraId="065F90CB" w14:textId="77777777" w:rsidR="00FA7C08" w:rsidRPr="00FA7C08" w:rsidRDefault="00FA7C08" w:rsidP="00FA7C08">
      <w:pPr>
        <w:tabs>
          <w:tab w:val="left" w:pos="2329"/>
        </w:tabs>
        <w:spacing w:after="0"/>
        <w:rPr>
          <w:rFonts w:ascii="Arial" w:hAnsi="Arial"/>
          <w:b/>
          <w:bCs/>
          <w:sz w:val="20"/>
          <w:szCs w:val="20"/>
          <w:lang w:val="id-ID"/>
        </w:rPr>
      </w:pPr>
    </w:p>
    <w:p w14:paraId="70B3E4FD" w14:textId="704757F2" w:rsidR="00910524" w:rsidRDefault="00910524" w:rsidP="00910524">
      <w:pPr>
        <w:spacing w:after="0"/>
        <w:rPr>
          <w:rFonts w:ascii="Arial" w:hAnsi="Arial"/>
          <w:sz w:val="22"/>
          <w:szCs w:val="22"/>
          <w:lang w:val="id-ID"/>
        </w:rPr>
      </w:pPr>
      <w:r>
        <w:rPr>
          <w:rFonts w:ascii="Arial" w:hAnsi="Arial"/>
          <w:sz w:val="22"/>
          <w:szCs w:val="22"/>
          <w:lang w:val="id-ID"/>
        </w:rPr>
        <w:t>4.2.1 The influence of Financial Literacy on Financial Behavior</w:t>
      </w:r>
    </w:p>
    <w:p w14:paraId="5BEE8F31" w14:textId="77777777" w:rsidR="00FA7C08" w:rsidRDefault="00FA7C08" w:rsidP="00910524">
      <w:pPr>
        <w:spacing w:after="0"/>
        <w:rPr>
          <w:rFonts w:ascii="Arial" w:hAnsi="Arial"/>
          <w:sz w:val="20"/>
          <w:szCs w:val="20"/>
          <w:lang w:val="id-ID"/>
        </w:rPr>
      </w:pPr>
    </w:p>
    <w:p w14:paraId="04BDFB2C" w14:textId="54B201FF" w:rsidR="006B6EC7" w:rsidRDefault="006B6EC7" w:rsidP="006B6EC7">
      <w:pPr>
        <w:tabs>
          <w:tab w:val="left" w:pos="1141"/>
        </w:tabs>
        <w:spacing w:after="0"/>
        <w:jc w:val="both"/>
        <w:rPr>
          <w:rFonts w:ascii="Arial" w:hAnsi="Arial" w:cs="Arial"/>
          <w:color w:val="000000" w:themeColor="text1"/>
          <w:sz w:val="20"/>
          <w:szCs w:val="20"/>
          <w:lang w:val="id-ID"/>
        </w:rPr>
      </w:pPr>
      <w:r>
        <w:rPr>
          <w:rFonts w:ascii="Arial" w:hAnsi="Arial" w:cs="Arial"/>
          <w:color w:val="000000" w:themeColor="text1"/>
          <w:sz w:val="20"/>
          <w:szCs w:val="20"/>
          <w:lang w:val="id-ID"/>
        </w:rPr>
        <w:t>The result of the study indicate that financial literacy have a positive effect on financial behavior</w:t>
      </w:r>
      <w:r w:rsidRPr="005E1216">
        <w:rPr>
          <w:rFonts w:ascii="Arial" w:hAnsi="Arial" w:cs="Arial"/>
          <w:color w:val="000000" w:themeColor="text1"/>
          <w:sz w:val="20"/>
          <w:szCs w:val="20"/>
          <w:lang w:val="id-ID"/>
        </w:rPr>
        <w:t xml:space="preserve">. </w:t>
      </w:r>
      <w:r>
        <w:rPr>
          <w:rFonts w:ascii="Arial" w:hAnsi="Arial" w:cs="Arial"/>
          <w:color w:val="000000" w:themeColor="text1"/>
          <w:sz w:val="20"/>
          <w:szCs w:val="20"/>
          <w:lang w:val="id-ID"/>
        </w:rPr>
        <w:t xml:space="preserve">This phenomenon shows that MSMEs have an adequate level of financial literacy, which includes basic financial skills, conceptual understanding of income and expenditure management, saving practices and investment-related knowladge </w:t>
      </w:r>
      <w:r w:rsidRPr="005E1216">
        <w:rPr>
          <w:rFonts w:ascii="Arial" w:hAnsi="Arial" w:cs="Arial"/>
          <w:color w:val="000000" w:themeColor="text1"/>
          <w:sz w:val="20"/>
          <w:szCs w:val="20"/>
          <w:lang w:val="id-ID"/>
        </w:rPr>
        <w:fldChar w:fldCharType="begin" w:fldLock="1"/>
      </w:r>
      <w:r w:rsidRPr="005E1216">
        <w:rPr>
          <w:rFonts w:ascii="Arial" w:hAnsi="Arial" w:cs="Arial"/>
          <w:color w:val="000000" w:themeColor="text1"/>
          <w:sz w:val="20"/>
          <w:szCs w:val="20"/>
          <w:lang w:val="id-ID"/>
        </w:rPr>
        <w:instrText>ADDIN CSL_CITATION {"citationItems":[{"id":"ITEM-1","itemData":{"DOI":"10.38035/dijefa.v5i2.2660","ISSN":"2721-3021","abstract":"This research aims to find empirical evidence of influence digital finance, managerial biases, and financial literacy on the MSMEs financial behavior. The population of this research is all MSMEs in DKI Jakarta. The sample used in this research was 200 respondents (MSME owners) from all 210 MSMEs who were willing to become respondents. Sampling was carried out using random techniques. Data collection was carried out by manually and online distributing questionnaires using Google Forms, and measured using a 5-point Likert scale. Data processing was carried out using Partial Least Square (PLS) software. The results of this research show that digital finance and financial literacy positively affect the MSMEs financial behavior. However, managerial biases does not affect the MSMEs financial behavior.","author":[{"dropping-particle":"","family":"Risman","given":"Asep","non-dropping-particle":"","parse-names":false,"suffix":""}],"container-title":"Dinasti International Journal of Economics, Finance &amp; Accounting","id":"ITEM-1","issue":"2","issued":{"date-parts":[["2024"]]},"page":"641-649","title":"Behavioral Finance of MSME: Digital Finance, Managerial Biases, Financial Literacy","type":"article-journal","volume":"5"},"uris":["http://www.mendeley.com/documents/?uuid=3e94b525-3e72-4df2-aff7-f28b8b553543"]}],"mendeley":{"formattedCitation":"(Risman 2024)","plainTextFormattedCitation":"(Risman 2024)","previouslyFormattedCitation":"(Risman 2024)"},"properties":{"noteIndex":0},"schema":"https://github.com/citation-style-language/schema/raw/master/csl-citation.json"}</w:instrText>
      </w:r>
      <w:r w:rsidRPr="005E1216">
        <w:rPr>
          <w:rFonts w:ascii="Arial" w:hAnsi="Arial" w:cs="Arial"/>
          <w:color w:val="000000" w:themeColor="text1"/>
          <w:sz w:val="20"/>
          <w:szCs w:val="20"/>
          <w:lang w:val="id-ID"/>
        </w:rPr>
        <w:fldChar w:fldCharType="separate"/>
      </w:r>
      <w:r w:rsidRPr="005E1216">
        <w:rPr>
          <w:rFonts w:ascii="Arial" w:hAnsi="Arial" w:cs="Arial"/>
          <w:noProof/>
          <w:color w:val="000000" w:themeColor="text1"/>
          <w:sz w:val="20"/>
          <w:szCs w:val="20"/>
          <w:lang w:val="id-ID"/>
        </w:rPr>
        <w:t>(Risman 2024)</w:t>
      </w:r>
      <w:r w:rsidRPr="005E1216">
        <w:rPr>
          <w:rFonts w:ascii="Arial" w:hAnsi="Arial" w:cs="Arial"/>
          <w:color w:val="000000" w:themeColor="text1"/>
          <w:sz w:val="20"/>
          <w:szCs w:val="20"/>
          <w:lang w:val="id-ID"/>
        </w:rPr>
        <w:fldChar w:fldCharType="end"/>
      </w:r>
      <w:r>
        <w:rPr>
          <w:rFonts w:ascii="Arial" w:hAnsi="Arial" w:cs="Arial"/>
          <w:color w:val="000000" w:themeColor="text1"/>
          <w:sz w:val="20"/>
          <w:szCs w:val="20"/>
          <w:lang w:val="id-ID"/>
        </w:rPr>
        <w:t xml:space="preserve">. </w:t>
      </w:r>
      <w:r w:rsidRPr="005E1216">
        <w:rPr>
          <w:rFonts w:ascii="Arial" w:hAnsi="Arial" w:cs="Arial"/>
          <w:color w:val="000000" w:themeColor="text1"/>
          <w:sz w:val="20"/>
          <w:szCs w:val="20"/>
          <w:lang w:val="id-ID"/>
        </w:rPr>
        <w:t xml:space="preserve">This capability enhancement is essential in supporting MSMEs in maintaining long-term financial viability and strengthening their ability to strategically adapt to dynamic market conditions. </w:t>
      </w:r>
      <w:r>
        <w:rPr>
          <w:rFonts w:ascii="Arial" w:hAnsi="Arial" w:cs="Arial"/>
          <w:color w:val="000000" w:themeColor="text1"/>
          <w:sz w:val="20"/>
          <w:szCs w:val="20"/>
          <w:lang w:val="id-ID"/>
        </w:rPr>
        <w:fldChar w:fldCharType="begin" w:fldLock="1"/>
      </w:r>
      <w:r>
        <w:rPr>
          <w:rFonts w:ascii="Arial" w:hAnsi="Arial" w:cs="Arial"/>
          <w:color w:val="000000" w:themeColor="text1"/>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1991)","manualFormatting":"Ajzen (1991)","plainTextFormattedCitation":"(Ajzen 1991)","previouslyFormattedCitation":"(Ajzen 1991)"},"properties":{"noteIndex":0},"schema":"https://github.com/citation-style-language/schema/raw/master/csl-citation.json"}</w:instrText>
      </w:r>
      <w:r>
        <w:rPr>
          <w:rFonts w:ascii="Arial" w:hAnsi="Arial" w:cs="Arial"/>
          <w:color w:val="000000" w:themeColor="text1"/>
          <w:sz w:val="20"/>
          <w:szCs w:val="20"/>
          <w:lang w:val="id-ID"/>
        </w:rPr>
        <w:fldChar w:fldCharType="separate"/>
      </w:r>
      <w:r w:rsidRPr="000E79DC">
        <w:rPr>
          <w:rFonts w:ascii="Arial" w:hAnsi="Arial" w:cs="Arial"/>
          <w:noProof/>
          <w:color w:val="000000" w:themeColor="text1"/>
          <w:sz w:val="20"/>
          <w:szCs w:val="20"/>
          <w:lang w:val="id-ID"/>
        </w:rPr>
        <w:t xml:space="preserve">Ajzen </w:t>
      </w:r>
      <w:r>
        <w:rPr>
          <w:rFonts w:ascii="Arial" w:hAnsi="Arial" w:cs="Arial"/>
          <w:noProof/>
          <w:color w:val="000000" w:themeColor="text1"/>
          <w:sz w:val="20"/>
          <w:szCs w:val="20"/>
          <w:lang w:val="id-ID"/>
        </w:rPr>
        <w:t>(</w:t>
      </w:r>
      <w:r w:rsidRPr="000E79DC">
        <w:rPr>
          <w:rFonts w:ascii="Arial" w:hAnsi="Arial" w:cs="Arial"/>
          <w:noProof/>
          <w:color w:val="000000" w:themeColor="text1"/>
          <w:sz w:val="20"/>
          <w:szCs w:val="20"/>
          <w:lang w:val="id-ID"/>
        </w:rPr>
        <w:t>1991)</w:t>
      </w:r>
      <w:r>
        <w:rPr>
          <w:rFonts w:ascii="Arial" w:hAnsi="Arial" w:cs="Arial"/>
          <w:color w:val="000000" w:themeColor="text1"/>
          <w:sz w:val="20"/>
          <w:szCs w:val="20"/>
          <w:lang w:val="id-ID"/>
        </w:rPr>
        <w:fldChar w:fldCharType="end"/>
      </w:r>
      <w:r w:rsidRPr="005E1216">
        <w:rPr>
          <w:rFonts w:ascii="Arial" w:hAnsi="Arial" w:cs="Arial"/>
          <w:color w:val="000000" w:themeColor="text1"/>
          <w:sz w:val="20"/>
          <w:szCs w:val="20"/>
          <w:lang w:val="id-ID"/>
        </w:rPr>
        <w:t>,</w:t>
      </w:r>
      <w:r>
        <w:rPr>
          <w:rFonts w:ascii="Arial" w:hAnsi="Arial" w:cs="Arial"/>
          <w:color w:val="000000" w:themeColor="text1"/>
          <w:sz w:val="20"/>
          <w:szCs w:val="20"/>
          <w:lang w:val="id-ID"/>
        </w:rPr>
        <w:t xml:space="preserve"> in theory, the result of this study </w:t>
      </w:r>
      <w:r w:rsidRPr="005E1216">
        <w:rPr>
          <w:rFonts w:ascii="Arial" w:hAnsi="Arial" w:cs="Arial"/>
          <w:color w:val="000000" w:themeColor="text1"/>
          <w:sz w:val="20"/>
          <w:szCs w:val="20"/>
          <w:lang w:val="id-ID"/>
        </w:rPr>
        <w:t>.</w:t>
      </w:r>
      <w:r>
        <w:rPr>
          <w:rFonts w:ascii="Arial" w:hAnsi="Arial" w:cs="Arial"/>
          <w:color w:val="000000" w:themeColor="text1"/>
          <w:sz w:val="20"/>
          <w:szCs w:val="20"/>
          <w:lang w:val="id-ID"/>
        </w:rPr>
        <w:t xml:space="preserve"> This research is support the Theory of Planned Behavior, in which financial behavior always begins with intention. When MSMEs strive to improve their financial literacy, it shows a strong intention to change for the better. In short, the smarter they are at managing their finances (literacy), the healthier their financial practices will be in their businesses. By the findings of </w:t>
      </w:r>
      <w:r w:rsidR="0045325E">
        <w:rPr>
          <w:rFonts w:ascii="Arial" w:hAnsi="Arial" w:cs="Arial"/>
          <w:color w:val="000000" w:themeColor="text1"/>
          <w:sz w:val="20"/>
          <w:szCs w:val="20"/>
          <w:lang w:val="id-ID"/>
        </w:rPr>
        <w:t>(</w:t>
      </w:r>
      <w:r>
        <w:rPr>
          <w:rFonts w:ascii="Arial" w:hAnsi="Arial" w:cs="Arial"/>
          <w:color w:val="000000" w:themeColor="text1"/>
          <w:sz w:val="20"/>
          <w:szCs w:val="20"/>
          <w:lang w:val="id-ID"/>
        </w:rPr>
        <w:fldChar w:fldCharType="begin" w:fldLock="1"/>
      </w:r>
      <w:r w:rsidR="0045325E">
        <w:rPr>
          <w:rFonts w:ascii="Arial" w:hAnsi="Arial" w:cs="Arial"/>
          <w:color w:val="000000" w:themeColor="text1"/>
          <w:sz w:val="20"/>
          <w:szCs w:val="20"/>
          <w:lang w:val="id-ID"/>
        </w:rPr>
        <w:instrText>ADDIN CSL_CITATION {"citationItems":[{"id":"ITEM-1","itemData":{"DOI":"10.47467/alkharaj.v4i5.1003","ISSN":"2656-2871","abstract":"MSMEs are one of the drivers of the economy in Indonesia, in carrying out their business activities MSMEs are definitely influenced by the environment with the existence of self-control, financial planning and financial knowledge in those who carry out activities so that the business they run develops and creates good financial behavior. Behavioral finance is an attitude in which a person is able to consider and plan how to obtain a budget to meet business and individual needs. This study aims to analyze the effect of locus of control, financial planning, and financial literacy on financial behavior. The population in this study is MSMEs in Magetan Regency which are engaged in food and beverages. The sampling technique was done by purposive sampling. The sampling technique used the Slovin formula. The sample used in this study were 186 respondents. The data used in this study are primary data and secondary data, namely data from questionnaires from the answers of 186 respondents. The analysis technique in this study uses Partial Least Square (PLS). The results showed that locus of control, financial planning, and financial literacy had a significant positive effect on financial behavior.\r Keywords: Locus of Control; Financial Planing; Financial Literacy; Financial Behavior","author":[{"dropping-particle":"","family":"Fadilah","given":"Salma Juliana","non-dropping-particle":"","parse-names":false,"suffix":""},{"dropping-particle":"","family":"Purwanto","given":"Eko","non-dropping-particle":"","parse-names":false,"suffix":""}],"container-title":"Al-Kharaj : Jurnal Ekonomi, Keuangan &amp; Bisnis Syariah","id":"ITEM-1","issue":"5","issued":{"date-parts":[["2022"]]},"page":"1476-1488","title":"Pengaruh Locus of Control, Perencanaan dean Literasi Keuangan terhadap Perilaku Keuangan UMKM","type":"article-journal","volume":"4"},"uris":["http://www.mendeley.com/documents/?uuid=b628080f-d5fb-4102-ae2d-55fdc71cbf3a"]},{"id":"ITEM-2","itemData":{"DOI":"10.55587/jla.v2i2.35","abstract":"Tujuan: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Akuntansi","id":"ITEM-2","issue":"2","issued":{"date-parts":[["2022"]]},"page":"86-99","title":"Pengaruh Literasi Keuangan, Gaya Hidup dan Lingkungan Sosial Terhadap Perilaku Keuangan Mahasiswa","type":"article-journal","volume":"2"},"uris":["http://www.mendeley.com/documents/?uuid=29c88fd5-4a1d-4441-90f3-ab5e7ec785e6"]},{"id":"ITEM-3","itemData":{"DOI":"10.33395/owner.v7i1.1304","ISSN":"2548-7507","abstract":"Financial behavior is a person's ability to manage planning, budgeting, checking, managing, controlling, finding and storing daily financial funds. One of the factors that influence financial behavior is knowledge about financial literacy. The author's purpose is to determine the effect of financial literacy, hedonic lifestyle and personal financial attitudes on financial behavior in students of the economics faculty of management study program class l2018. The numberl of samplesl in thisl study werel 84 students usingl the slovinl formula. Thel analysis technique inl this studyl uses multiplel linear lregression, multiple correlationl determination, t testl and F ltest. Thel results ofl this studyl indicate thatl financial literacyl (X1) hasl a positivel and significantl effect onl financial behavior (Y). Hedonic Lifestyle (X2) hasl no effectl on financial behavior (Y). Personal financial attitude (X3) hasl no effectl on financial behavior (Y). Financiall literacy, hedonic lifestyle and personal financial attitudes simultaneously have a significant effect on financial behavior (studentsll of the 2018 classl of managementl study programl at Universitas Muhammadiyahl Sumatera Utara).","author":[{"dropping-particle":"","family":"Wahyuni","given":"Sri Fitri","non-dropping-particle":"","parse-names":false,"suffix":""},{"dropping-particle":"","family":"Kinanti","given":"Dini","non-dropping-particle":"","parse-names":false,"suffix":""},{"dropping-particle":"","family":"Dkk","given":"","non-dropping-particle":"","parse-names":false,"suffix":""}],"container-title":"Owner","id":"ITEM-3","issue":"1","issued":{"date-parts":[["2023"]]},"page":"656-671","title":"Pengaruh Literasi Keuangan, Lifestyle Hedonis dan Sikap Keuangan Pribadi Terhadap Perilaku Keuangan Mahasiswa","type":"article-journal","volume":"7"},"uris":["http://www.mendeley.com/documents/?uuid=298b2c24-c65f-4a51-934c-1eb1aaf28c01"]}],"mendeley":{"formattedCitation":"(Fadilah and Purwanto 2022; Kenale Sada 2022; Wahyuni, Kinanti, and Dkk 2023)","manualFormatting":"Fadilah and Purwanto 2022; Kenale Sada 2022; Wahyuni, Kinanti, and Dkk 2023)","plainTextFormattedCitation":"(Fadilah and Purwanto 2022; Kenale Sada 2022; Wahyuni, Kinanti, and Dkk 2023)","previouslyFormattedCitation":"(Fadilah and Purwanto 2022; Kenale Sada 2022; Wahyuni, Kinanti, and Dkk 2023)"},"properties":{"noteIndex":0},"schema":"https://github.com/citation-style-language/schema/raw/master/csl-citation.json"}</w:instrText>
      </w:r>
      <w:r>
        <w:rPr>
          <w:rFonts w:ascii="Arial" w:hAnsi="Arial" w:cs="Arial"/>
          <w:color w:val="000000" w:themeColor="text1"/>
          <w:sz w:val="20"/>
          <w:szCs w:val="20"/>
          <w:lang w:val="id-ID"/>
        </w:rPr>
        <w:fldChar w:fldCharType="separate"/>
      </w:r>
      <w:r w:rsidRPr="00967265">
        <w:rPr>
          <w:rFonts w:ascii="Arial" w:hAnsi="Arial" w:cs="Arial"/>
          <w:noProof/>
          <w:color w:val="000000" w:themeColor="text1"/>
          <w:sz w:val="20"/>
          <w:szCs w:val="20"/>
          <w:lang w:val="id-ID"/>
        </w:rPr>
        <w:t>Fadilah and Purwanto 2022</w:t>
      </w:r>
      <w:r w:rsidR="0045325E">
        <w:rPr>
          <w:rFonts w:ascii="Arial" w:hAnsi="Arial" w:cs="Arial"/>
          <w:noProof/>
          <w:color w:val="000000" w:themeColor="text1"/>
          <w:sz w:val="20"/>
          <w:szCs w:val="20"/>
          <w:lang w:val="id-ID"/>
        </w:rPr>
        <w:t>;</w:t>
      </w:r>
      <w:r w:rsidRPr="00967265">
        <w:rPr>
          <w:rFonts w:ascii="Arial" w:hAnsi="Arial" w:cs="Arial"/>
          <w:noProof/>
          <w:color w:val="000000" w:themeColor="text1"/>
          <w:sz w:val="20"/>
          <w:szCs w:val="20"/>
          <w:lang w:val="id-ID"/>
        </w:rPr>
        <w:t xml:space="preserve"> Kenale Sada 2022</w:t>
      </w:r>
      <w:r w:rsidR="0045325E">
        <w:rPr>
          <w:rFonts w:ascii="Arial" w:hAnsi="Arial" w:cs="Arial"/>
          <w:noProof/>
          <w:color w:val="000000" w:themeColor="text1"/>
          <w:sz w:val="20"/>
          <w:szCs w:val="20"/>
          <w:lang w:val="id-ID"/>
        </w:rPr>
        <w:t>;</w:t>
      </w:r>
      <w:r w:rsidRPr="00967265">
        <w:rPr>
          <w:rFonts w:ascii="Arial" w:hAnsi="Arial" w:cs="Arial"/>
          <w:noProof/>
          <w:color w:val="000000" w:themeColor="text1"/>
          <w:sz w:val="20"/>
          <w:szCs w:val="20"/>
          <w:lang w:val="id-ID"/>
        </w:rPr>
        <w:t xml:space="preserve"> Wahyuni, Kinanti, and Dkk 2023)</w:t>
      </w:r>
      <w:r>
        <w:rPr>
          <w:rFonts w:ascii="Arial" w:hAnsi="Arial" w:cs="Arial"/>
          <w:color w:val="000000" w:themeColor="text1"/>
          <w:sz w:val="20"/>
          <w:szCs w:val="20"/>
          <w:lang w:val="id-ID"/>
        </w:rPr>
        <w:fldChar w:fldCharType="end"/>
      </w:r>
      <w:r w:rsidR="0045325E">
        <w:rPr>
          <w:rFonts w:ascii="Arial" w:hAnsi="Arial" w:cs="Arial"/>
          <w:color w:val="000000" w:themeColor="text1"/>
          <w:sz w:val="20"/>
          <w:szCs w:val="20"/>
          <w:lang w:val="id-ID"/>
        </w:rPr>
        <w:t xml:space="preserve">, </w:t>
      </w:r>
      <w:r>
        <w:rPr>
          <w:rFonts w:ascii="Arial" w:hAnsi="Arial" w:cs="Arial"/>
          <w:color w:val="000000" w:themeColor="text1"/>
          <w:sz w:val="20"/>
          <w:szCs w:val="20"/>
          <w:lang w:val="id-ID"/>
        </w:rPr>
        <w:t>which state that Financial Literacy has a positive influence on Financial Behavior.</w:t>
      </w:r>
    </w:p>
    <w:p w14:paraId="69EB58E3" w14:textId="77777777" w:rsidR="006B6EC7" w:rsidRPr="00FA7C08" w:rsidRDefault="006B6EC7" w:rsidP="00910524">
      <w:pPr>
        <w:spacing w:after="0"/>
        <w:rPr>
          <w:rFonts w:ascii="Arial" w:hAnsi="Arial"/>
          <w:sz w:val="20"/>
          <w:szCs w:val="20"/>
          <w:lang w:val="id-ID"/>
        </w:rPr>
      </w:pPr>
    </w:p>
    <w:p w14:paraId="66E57C93" w14:textId="46816088" w:rsidR="00910524" w:rsidRDefault="00910524" w:rsidP="00910524">
      <w:pPr>
        <w:spacing w:after="0"/>
        <w:rPr>
          <w:rFonts w:ascii="Arial" w:hAnsi="Arial"/>
          <w:sz w:val="22"/>
          <w:szCs w:val="22"/>
          <w:lang w:val="id-ID"/>
        </w:rPr>
      </w:pPr>
      <w:r>
        <w:rPr>
          <w:rFonts w:ascii="Arial" w:hAnsi="Arial"/>
          <w:sz w:val="22"/>
          <w:szCs w:val="22"/>
          <w:lang w:val="id-ID"/>
        </w:rPr>
        <w:t>4.2.2</w:t>
      </w:r>
      <w:r w:rsidRPr="00910524">
        <w:rPr>
          <w:rFonts w:ascii="Arial" w:hAnsi="Arial"/>
          <w:sz w:val="22"/>
          <w:szCs w:val="22"/>
          <w:lang w:val="id-ID"/>
        </w:rPr>
        <w:t xml:space="preserve"> </w:t>
      </w:r>
      <w:r>
        <w:rPr>
          <w:rFonts w:ascii="Arial" w:hAnsi="Arial"/>
          <w:sz w:val="22"/>
          <w:szCs w:val="22"/>
          <w:lang w:val="id-ID"/>
        </w:rPr>
        <w:t>The influence of Financial Attitude on Financial Behavior</w:t>
      </w:r>
    </w:p>
    <w:p w14:paraId="59843D91" w14:textId="77777777" w:rsidR="0045325E" w:rsidRDefault="0045325E" w:rsidP="00910524">
      <w:pPr>
        <w:spacing w:after="0"/>
        <w:rPr>
          <w:rFonts w:ascii="Arial" w:hAnsi="Arial"/>
          <w:sz w:val="20"/>
          <w:szCs w:val="20"/>
          <w:lang w:val="id-ID"/>
        </w:rPr>
      </w:pPr>
    </w:p>
    <w:p w14:paraId="16934200" w14:textId="0436DCF5" w:rsidR="0045325E" w:rsidRDefault="0045325E" w:rsidP="0045325E">
      <w:pPr>
        <w:tabs>
          <w:tab w:val="left" w:pos="1141"/>
        </w:tabs>
        <w:spacing w:after="0"/>
        <w:jc w:val="both"/>
        <w:rPr>
          <w:rFonts w:ascii="Arial" w:hAnsi="Arial" w:cs="Arial"/>
          <w:sz w:val="20"/>
          <w:szCs w:val="20"/>
          <w:lang w:val="id-ID"/>
        </w:rPr>
      </w:pPr>
      <w:r>
        <w:rPr>
          <w:rFonts w:ascii="Arial" w:hAnsi="Arial" w:cs="Arial"/>
          <w:sz w:val="20"/>
          <w:szCs w:val="20"/>
          <w:lang w:val="id-ID"/>
        </w:rPr>
        <w:t xml:space="preserve">The result of the study indicate that financial attitude have a positive effect on financial behavior. </w:t>
      </w:r>
      <w:r w:rsidRPr="00DA0DF9">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{"citationItems":[{"id":"ITEM-1","itemData":{"abstract":"University students' financial behavior has been greatly impacted by the growing integration of digital technologies like e-wallets, mobile banking, and online shopping platforms, which frequently encourage impulsive spending. This study examines the effects of financial attitude, financial knowledge, income, and locus of control on students' financial conduct, guided by the Theory of Planned Behavior. A total of 100 students were selected using the Slovin formula from three universities in Purwokerto consisting of public, private, and Islamic institutions. Data analysis was conducted using Structural Equation Modeling (SEM) with SmartPLS 3.0. The results reveal that financial attitude, financial knowledge, and locus of control significantly influence financial behavior, while income does not show a notable effect. These results provide educators and policymakers with useful guidance when creating focused financial education initiatives that foster responsible financial attitudes, increase financial knowledge, and students' internal locus of control.","author":[{"dropping-particle":"","family":"Sinta","given":"Dwi","non-dropping-particle":"","parse-names":false,"suffix":""},{"dropping-particle":"","family":"Yustina","given":"Ika","non-dropping-particle":"","parse-names":false,"suffix":""},{"dropping-particle":"","family":"Tubastuvi","given":"Naelati","non-dropping-particle":"","parse-names":false,"suffix":""},{"dropping-particle":"","family":"Dkk","given":"","non-dropping-particle":"","parse-names":false,"suffix":""}],"container-title":"South Asian Journal of Social Studies and Economics","id":"ITEM-1","issue":"7","issued":{"date-parts":[["2025"]]},"page":"175-188","title":"Financial Behavior of University Students : A Theory of Planned Behavior Approach Through Cognitive , Socioeconomic , and Psychological Lenses","type":"article-journal","volume":"22"},"uris":["http://www.mendeley.com/documents/?uuid=ed6ee58c-c739-4cc1-9d56-644cb638bebc"]}],"mendeley":{"formattedCitation":"(Sinta et al. 2025)","manualFormatting":"Sinta and Yustina (2025)","plainTextFormattedCitation":"(Sinta et al. 2025)","previouslyFormattedCitation":"(Sinta et al. 2025)"},"properties":{"noteIndex":0},"schema":"https://github.com/citation-style-language/schema/raw/master/csl-citation.json"}</w:instrText>
      </w:r>
      <w:r w:rsidRPr="00DA0DF9">
        <w:rPr>
          <w:rFonts w:ascii="Arial" w:hAnsi="Arial" w:cs="Arial"/>
          <w:sz w:val="20"/>
          <w:szCs w:val="20"/>
          <w:lang w:val="id-ID"/>
        </w:rPr>
        <w:fldChar w:fldCharType="separate"/>
      </w:r>
      <w:r w:rsidRPr="00DA0DF9">
        <w:rPr>
          <w:rFonts w:ascii="Arial" w:hAnsi="Arial" w:cs="Arial"/>
          <w:noProof/>
          <w:sz w:val="20"/>
          <w:szCs w:val="20"/>
          <w:lang w:val="id-ID"/>
        </w:rPr>
        <w:t>Sinta and Yustina (2025)</w:t>
      </w:r>
      <w:r w:rsidRPr="00DA0DF9">
        <w:rPr>
          <w:rFonts w:ascii="Arial" w:hAnsi="Arial" w:cs="Arial"/>
          <w:sz w:val="20"/>
          <w:szCs w:val="20"/>
          <w:lang w:val="id-ID"/>
        </w:rPr>
        <w:fldChar w:fldCharType="end"/>
      </w:r>
      <w:r>
        <w:rPr>
          <w:rFonts w:ascii="Arial" w:hAnsi="Arial" w:cs="Arial"/>
          <w:sz w:val="20"/>
          <w:szCs w:val="20"/>
          <w:lang w:val="id-ID"/>
        </w:rPr>
        <w:t>,</w:t>
      </w:r>
      <w:r w:rsidRPr="00DA0DF9">
        <w:rPr>
          <w:rFonts w:ascii="Arial" w:hAnsi="Arial" w:cs="Arial"/>
          <w:sz w:val="20"/>
          <w:szCs w:val="20"/>
          <w:lang w:val="id-ID"/>
        </w:rPr>
        <w:t xml:space="preserve"> Financial attitudes play a crucial role in shaping how a person acts regarding their finances, including when creating a budget for financial goals. Individuals with a positive outlook on finances are generally better able to monitor their financial situation. By maintaining a balance between income and expenses, MSMEs are able to develop short-, medium-, and long-term financial goals. MSMEs understand positively that business continuity depends on profits. They remain steadfast in the face of challenges, believe that their sustenance has been determined by God Almighty, and are grateful for every business income. This financial attitude influences MSMEs' self-control behavior </w:t>
      </w:r>
      <w:r w:rsidRPr="00DA0DF9">
        <w:rPr>
          <w:rFonts w:ascii="Arial" w:hAnsi="Arial" w:cs="Arial"/>
          <w:sz w:val="20"/>
          <w:szCs w:val="20"/>
          <w:lang w:val="id-ID"/>
        </w:rPr>
        <w:fldChar w:fldCharType="begin" w:fldLock="1"/>
      </w:r>
      <w:r w:rsidRPr="00DA0DF9">
        <w:rPr>
          <w:rFonts w:ascii="Arial" w:hAnsi="Arial" w:cs="Arial"/>
          <w:sz w:val="20"/>
          <w:szCs w:val="20"/>
          <w:lang w:val="id-ID"/>
        </w:rPr>
        <w:instrText>ADDIN CSL_CITATION {"citationItems":[{"id":"ITEM-1","itemData":{"DOI":"10.18196/mb.v15i2.23506","ISSN":"2086-8200","abstract":"Research aims: This study aims to examine the effect of financial knowledge, attitudes, and experience on financial behavior, with locus of control serving as a mediating factor.Design/Methodology/Approach: This study employs a deductive research design with a causal-associative approach, targeting traditional market traders in the Gresik Regency area. A total of 100 respondents were sampled. The main data were collected through a questionnaire and analyzed using Partial Least Squares (PLS).Research findings: The study findings reveal that financial knowledge, attitudes, and experience positively influence locus of control. However, financial knowledge has a negative effect on financial behavior, while financial attitudes, experience, and locus of control have a positive effect. Notably, locus of control successfully mediates the positive relationship between financial knowledge, attitudes, experience, and financial behavior.Theoretical Contribution/Originality: This research uniquely expands the financial literacy model by incorporating the variable of financial experience. Practitioners/Policy Implications: The study findings are expected to serve as a reference model for the development and mentorship of small and medium enterprises in the Gresik district. Practitioners/Policy Implications: The findings are anticipated to serve as a reference model for the development and mentorship of Small and Medium Enterprises in the Gresik district.","author":[{"dropping-particle":"","family":"Santoso","given":"Rahmat Agus","non-dropping-particle":"","parse-names":false,"suffix":""},{"dropping-particle":"","family":"Vilantika","given":"Elok","non-dropping-particle":"","parse-names":false,"suffix":""},{"dropping-particle":"","family":"Soelistya","given":"Djoko","non-dropping-particle":"","parse-names":false,"suffix":""},{"dropping-particle":"","family":"Liu","given":"Yaoping","non-dropping-particle":"","parse-names":false,"suffix":""}],"container-title":"Jurnal Manajemen Bisnis","id":"ITEM-1","issue":"2","issued":{"date-parts":[["2024"]]},"page":"406-418","title":"Locus of Control Mediates The Impact of Financial Knowledge, Attitudes, and Experience on Financial Behavior","type":"article-journal","volume":"15"},"uris":["http://www.mendeley.com/documents/?uuid=09cb3fbf-f9a9-4169-85f8-c1392d339af6"]}],"mendeley":{"formattedCitation":"(Santoso et al. 2024)","plainTextFormattedCitation":"(Santoso et al. 2024)","previouslyFormattedCitation":"(Santoso et al. 2024)"},"properties":{"noteIndex":0},"schema":"https://github.com/citation-style-language/schema/raw/master/csl-citation.json"}</w:instrText>
      </w:r>
      <w:r w:rsidRPr="00DA0DF9">
        <w:rPr>
          <w:rFonts w:ascii="Arial" w:hAnsi="Arial" w:cs="Arial"/>
          <w:sz w:val="20"/>
          <w:szCs w:val="20"/>
          <w:lang w:val="id-ID"/>
        </w:rPr>
        <w:fldChar w:fldCharType="separate"/>
      </w:r>
      <w:r w:rsidRPr="00DA0DF9">
        <w:rPr>
          <w:rFonts w:ascii="Arial" w:hAnsi="Arial" w:cs="Arial"/>
          <w:noProof/>
          <w:sz w:val="20"/>
          <w:szCs w:val="20"/>
          <w:lang w:val="id-ID"/>
        </w:rPr>
        <w:t>(Santoso et al. 2024)</w:t>
      </w:r>
      <w:r w:rsidRPr="00DA0DF9">
        <w:rPr>
          <w:rFonts w:ascii="Arial" w:hAnsi="Arial" w:cs="Arial"/>
          <w:sz w:val="20"/>
          <w:szCs w:val="20"/>
          <w:lang w:val="id-ID"/>
        </w:rPr>
        <w:fldChar w:fldCharType="end"/>
      </w:r>
      <w:r w:rsidRPr="00DA0DF9">
        <w:rPr>
          <w:rFonts w:ascii="Arial" w:hAnsi="Arial" w:cs="Arial"/>
          <w:sz w:val="20"/>
          <w:szCs w:val="20"/>
          <w:lang w:val="id-ID"/>
        </w:rPr>
        <w:t xml:space="preserve">. These results are highly relevant to the Theory of Planned Behavior (TPB) </w:t>
      </w:r>
      <w:r w:rsidRPr="00DA0DF9">
        <w:rPr>
          <w:rFonts w:ascii="Arial" w:hAnsi="Arial" w:cs="Arial"/>
          <w:sz w:val="20"/>
          <w:szCs w:val="20"/>
          <w:lang w:val="id-ID"/>
        </w:rPr>
        <w:fldChar w:fldCharType="begin" w:fldLock="1"/>
      </w:r>
      <w:r w:rsidRPr="00DA0DF9">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1991)","plainTextFormattedCitation":"(Ajzen 1991)","previouslyFormattedCitation":"(Ajzen 1991)"},"properties":{"noteIndex":0},"schema":"https://github.com/citation-style-language/schema/raw/master/csl-citation.json"}</w:instrText>
      </w:r>
      <w:r w:rsidRPr="00DA0DF9">
        <w:rPr>
          <w:rFonts w:ascii="Arial" w:hAnsi="Arial" w:cs="Arial"/>
          <w:sz w:val="20"/>
          <w:szCs w:val="20"/>
          <w:lang w:val="id-ID"/>
        </w:rPr>
        <w:fldChar w:fldCharType="separate"/>
      </w:r>
      <w:r w:rsidRPr="00DA0DF9">
        <w:rPr>
          <w:rFonts w:ascii="Arial" w:hAnsi="Arial" w:cs="Arial"/>
          <w:noProof/>
          <w:sz w:val="20"/>
          <w:szCs w:val="20"/>
          <w:lang w:val="id-ID"/>
        </w:rPr>
        <w:t>(Ajzen 1991)</w:t>
      </w:r>
      <w:r w:rsidRPr="00DA0DF9">
        <w:rPr>
          <w:rFonts w:ascii="Arial" w:hAnsi="Arial" w:cs="Arial"/>
          <w:sz w:val="20"/>
          <w:szCs w:val="20"/>
          <w:lang w:val="id-ID"/>
        </w:rPr>
        <w:fldChar w:fldCharType="end"/>
      </w:r>
      <w:r w:rsidRPr="00DA0DF9">
        <w:rPr>
          <w:rFonts w:ascii="Arial" w:hAnsi="Arial" w:cs="Arial"/>
          <w:sz w:val="20"/>
          <w:szCs w:val="20"/>
          <w:lang w:val="id-ID"/>
        </w:rPr>
        <w:t xml:space="preserve">, which identifies financial attitudes as an internal factor in shaping individual intentions. Positive financial attitudes encourage MSMEs to engage in more effective and responsible financial behavior. The better and more positive financial attitudes, the better their financial behavior. This research is supported by the findings of </w:t>
      </w:r>
      <w:r>
        <w:rPr>
          <w:rFonts w:ascii="Arial" w:hAnsi="Arial" w:cs="Arial"/>
          <w:sz w:val="20"/>
          <w:szCs w:val="20"/>
          <w:lang w:val="id-ID"/>
        </w:rPr>
        <w:t>(</w:t>
      </w:r>
      <w:r w:rsidRPr="00DA0DF9">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{"citationItems":[{"id":"ITEM-1","itemData":{"abstract":"The purpose of this research is to analyze the influence of financial knowledge and financial attitude on financial behavior in Micro, Small and Medium Enterprises of Embroidery in Tasikmalaya City. This research was conducted with descriptive and quantitative methods using secondary data. The sample in this study was 100 Embroidery SMEs in Tasikmalaya City with purposive sampling method. Analysis of the data used in this study is multiple linear regression. The results showed that partially financial knowledge and financial attitude had a significant positive effect on financial behavior. And simultaneously financial knowledge and financial attitude have a significant effect on financial behavior with a coefficient of determination of 0.532 or 53.2%. This means that the Embroidery MSMEs in the City of Tasikmalaya need to improve their financial knowledge and financial attitude in order to improve financial behavior.","author":[{"dropping-particle":"","family":"Oktaviani, Nita Fuziah.","given":"Dkk","non-dropping-particle":"","parse-names":false,"suffix":""}],"container-title":"E-Journal ECOBISMA (Jurnal Ekonomi, Bisnis dan Manajemen)","id":"ITEM-1","issue":"1","issued":{"date-parts":[["2023"]]},"page":"35-42","title":"Identifikasi Pengaruh Financial Knowledge, dan Financial Attitude Terhadap Financial Behavior Pada UMKM Bordir Di Kota Tasikmalaya","type":"article-journal","volume":"10"},"uris":["http://www.mendeley.com/documents/?uuid=d5138f56-b94a-4f27-a773-0680f26bfaed"]},{"id":"ITEM-2","itemData":{"DOI":"10.14710/dijb.5.1.2022.33-46","ISSN":"2580-4987","abstract":"This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behavior","type":"article-journal","volume":"5"},"uris":["http://www.mendeley.com/documents/?uuid=8cc55b9e-d914-3882-acdb-a35224fc8291"]}],"mendeley":{"formattedCitation":"(Oktaviani, Nita Fuziah. 2023; Widyakto, Liyana, and Rinawati 2022)","manualFormatting":"Oktaviani, Nita Fuziah. 2023; Widyakto, Liyana, and Rinawati 2022)","plainTextFormattedCitation":"(Oktaviani, Nita Fuziah. 2023; Widyakto, Liyana, and Rinawati 2022)","previouslyFormattedCitation":"(Oktaviani, Nita Fuziah. 2023; Widyakto, Liyana, and Rinawati 2022)"},"properties":{"noteIndex":0},"schema":"https://github.com/citation-style-language/schema/raw/master/csl-citation.json"}</w:instrText>
      </w:r>
      <w:r w:rsidRPr="00DA0DF9">
        <w:rPr>
          <w:rFonts w:ascii="Arial" w:hAnsi="Arial" w:cs="Arial"/>
          <w:sz w:val="20"/>
          <w:szCs w:val="20"/>
          <w:lang w:val="id-ID"/>
        </w:rPr>
        <w:fldChar w:fldCharType="separate"/>
      </w:r>
      <w:r w:rsidRPr="00DA0DF9">
        <w:rPr>
          <w:rFonts w:ascii="Arial" w:hAnsi="Arial" w:cs="Arial"/>
          <w:noProof/>
          <w:sz w:val="20"/>
          <w:szCs w:val="20"/>
          <w:lang w:val="id-ID"/>
        </w:rPr>
        <w:t>Oktaviani, Nita Fuziah. 2023</w:t>
      </w:r>
      <w:r>
        <w:rPr>
          <w:rFonts w:ascii="Arial" w:hAnsi="Arial" w:cs="Arial"/>
          <w:noProof/>
          <w:sz w:val="20"/>
          <w:szCs w:val="20"/>
          <w:lang w:val="id-ID"/>
        </w:rPr>
        <w:t>;</w:t>
      </w:r>
      <w:r w:rsidRPr="00DA0DF9">
        <w:rPr>
          <w:rFonts w:ascii="Arial" w:hAnsi="Arial" w:cs="Arial"/>
          <w:noProof/>
          <w:sz w:val="20"/>
          <w:szCs w:val="20"/>
          <w:lang w:val="id-ID"/>
        </w:rPr>
        <w:t xml:space="preserve"> Widyakto, Liyana, and Rinawati 2022)</w:t>
      </w:r>
      <w:r w:rsidRPr="00DA0DF9">
        <w:rPr>
          <w:rFonts w:ascii="Arial" w:hAnsi="Arial" w:cs="Arial"/>
          <w:sz w:val="20"/>
          <w:szCs w:val="20"/>
          <w:lang w:val="id-ID"/>
        </w:rPr>
        <w:fldChar w:fldCharType="end"/>
      </w:r>
      <w:r>
        <w:rPr>
          <w:rFonts w:ascii="Arial" w:hAnsi="Arial" w:cs="Arial"/>
          <w:sz w:val="20"/>
          <w:szCs w:val="20"/>
          <w:lang w:val="id-ID"/>
        </w:rPr>
        <w:t>,</w:t>
      </w:r>
      <w:r w:rsidRPr="00DA0DF9">
        <w:rPr>
          <w:rFonts w:ascii="Arial" w:hAnsi="Arial" w:cs="Arial"/>
          <w:sz w:val="20"/>
          <w:szCs w:val="20"/>
          <w:lang w:val="id-ID"/>
        </w:rPr>
        <w:t xml:space="preserve"> who stated that Financial Attitudes have a positive influence on Financial Behavior.</w:t>
      </w:r>
    </w:p>
    <w:p w14:paraId="6F43C96D" w14:textId="77777777" w:rsidR="0045325E" w:rsidRPr="0045325E" w:rsidRDefault="0045325E" w:rsidP="00910524">
      <w:pPr>
        <w:spacing w:after="0"/>
        <w:rPr>
          <w:rFonts w:ascii="Arial" w:hAnsi="Arial"/>
          <w:sz w:val="20"/>
          <w:szCs w:val="20"/>
          <w:lang w:val="id-ID"/>
        </w:rPr>
      </w:pPr>
    </w:p>
    <w:p w14:paraId="314EF86C" w14:textId="7C4D3B6D" w:rsidR="00910524" w:rsidRDefault="00910524" w:rsidP="00910524">
      <w:pPr>
        <w:spacing w:after="0"/>
        <w:rPr>
          <w:rFonts w:ascii="Arial" w:hAnsi="Arial"/>
          <w:sz w:val="22"/>
          <w:szCs w:val="22"/>
          <w:lang w:val="id-ID"/>
        </w:rPr>
      </w:pPr>
      <w:r>
        <w:rPr>
          <w:rFonts w:ascii="Arial" w:hAnsi="Arial"/>
          <w:sz w:val="22"/>
          <w:szCs w:val="22"/>
          <w:lang w:val="id-ID"/>
        </w:rPr>
        <w:t>4.2.3</w:t>
      </w:r>
      <w:r w:rsidRPr="00910524">
        <w:rPr>
          <w:rFonts w:ascii="Arial" w:hAnsi="Arial"/>
          <w:sz w:val="22"/>
          <w:szCs w:val="22"/>
          <w:lang w:val="id-ID"/>
        </w:rPr>
        <w:t xml:space="preserve"> </w:t>
      </w:r>
      <w:r>
        <w:rPr>
          <w:rFonts w:ascii="Arial" w:hAnsi="Arial"/>
          <w:sz w:val="22"/>
          <w:szCs w:val="22"/>
          <w:lang w:val="id-ID"/>
        </w:rPr>
        <w:t>The influence of Lifestyle on Financial Behavior</w:t>
      </w:r>
    </w:p>
    <w:p w14:paraId="45F9F699" w14:textId="77777777" w:rsidR="0045325E" w:rsidRDefault="0045325E" w:rsidP="00910524">
      <w:pPr>
        <w:spacing w:after="0"/>
        <w:rPr>
          <w:rFonts w:ascii="Arial" w:hAnsi="Arial"/>
          <w:sz w:val="20"/>
          <w:szCs w:val="20"/>
          <w:lang w:val="id-ID"/>
        </w:rPr>
      </w:pPr>
    </w:p>
    <w:p w14:paraId="5E5EF767" w14:textId="6467DF8D" w:rsidR="0045325E" w:rsidRDefault="0045325E" w:rsidP="0045325E">
      <w:pPr>
        <w:spacing w:after="0"/>
        <w:jc w:val="both"/>
        <w:rPr>
          <w:rFonts w:ascii="Arial" w:hAnsi="Arial" w:cs="Arial"/>
          <w:sz w:val="20"/>
          <w:szCs w:val="20"/>
          <w:lang w:val="id-ID"/>
        </w:rPr>
      </w:pPr>
      <w:r>
        <w:rPr>
          <w:rFonts w:ascii="Arial" w:hAnsi="Arial" w:cs="Arial"/>
          <w:sz w:val="20"/>
          <w:szCs w:val="20"/>
          <w:lang w:val="id-ID"/>
        </w:rPr>
        <w:t>The result of the study indicate that lifestyle have a positive effect on financial behavior</w:t>
      </w:r>
      <w:r w:rsidRPr="005E1216">
        <w:rPr>
          <w:rFonts w:ascii="Arial" w:hAnsi="Arial" w:cs="Arial"/>
          <w:sz w:val="20"/>
          <w:szCs w:val="20"/>
          <w:lang w:val="id-ID"/>
        </w:rPr>
        <w:t>.</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(Jemba)","id":"ITEM-1","issue":"3","issued":{"date-parts":[["2024"]]},"page":"14-19","title":"Pengaruh Literasi Keuangan dan Gaya Hidup Terhadap Perilaku Pada Pelaku UMKM Kecamatan Gunungsitoli","type":"article-journal","volume":"4"},"uris":["http://www.mendeley.com/documents/?uuid=04fe5ae9-ea75-4ebb-9767-1afeff700e5d"]}],"mendeley":{"formattedCitation":"(Nduru, Hulu, and Dkk 2024)","manualFormatting":"Nduru, Hulu, and et al. (2024)","plainTextFormattedCitation":"(Nduru, Hulu, and Dkk 2024)","previouslyFormattedCitation":"(Nduru, Hulu, and Dkk 2024)"},"properties":{"noteIndex":0},"schema":"https://github.com/citation-style-language/schema/raw/master/csl-citation.json"}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 xml:space="preserve">Nduru, Hulu, and et al. </w:t>
      </w:r>
      <w:r>
        <w:rPr>
          <w:rFonts w:ascii="Arial" w:hAnsi="Arial" w:cs="Arial"/>
          <w:noProof/>
          <w:sz w:val="20"/>
          <w:szCs w:val="20"/>
          <w:lang w:val="id-ID"/>
        </w:rPr>
        <w:t>(</w:t>
      </w:r>
      <w:r w:rsidRPr="005E1216">
        <w:rPr>
          <w:rFonts w:ascii="Arial" w:hAnsi="Arial" w:cs="Arial"/>
          <w:noProof/>
          <w:sz w:val="20"/>
          <w:szCs w:val="20"/>
          <w:lang w:val="id-ID"/>
        </w:rPr>
        <w:t>2024)</w:t>
      </w:r>
      <w:r w:rsidRPr="005E1216">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A person is responsible for their own lifestyle, activities, interests, perspectives on themselves and others. Furthermore, each person's basic characteristics influence lifestyle. The results of this study are highly relevant to the Theory of Planned Behavior (TPB)</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1991)","plainTextFormattedCitation":"(Ajzen 1991)","previouslyFormattedCitation":"(Ajzen 1991)"},"properties":{"noteIndex":0},"schema":"https://github.com/citation-style-language/schema/raw/master/csl-citation.json"}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(Ajzen 1991)</w:t>
      </w:r>
      <w:r w:rsidRPr="005E1216">
        <w:rPr>
          <w:rFonts w:ascii="Arial" w:hAnsi="Arial" w:cs="Arial"/>
          <w:sz w:val="20"/>
          <w:szCs w:val="20"/>
          <w:lang w:val="id-ID"/>
        </w:rPr>
        <w:fldChar w:fldCharType="end"/>
      </w:r>
      <w:r w:rsidRPr="005E1216">
        <w:rPr>
          <w:rFonts w:ascii="Arial" w:hAnsi="Arial" w:cs="Arial"/>
          <w:sz w:val="20"/>
          <w:szCs w:val="20"/>
          <w:lang w:val="id-ID"/>
        </w:rPr>
        <w:t xml:space="preserve">, lifestyle here is defined as a combination of activities, perspectives, and interests that shape financial behavior. A positive lifestyle of </w:t>
      </w:r>
      <w:r w:rsidRPr="005E1216">
        <w:rPr>
          <w:rFonts w:ascii="Arial" w:hAnsi="Arial" w:cs="Arial"/>
          <w:sz w:val="20"/>
          <w:szCs w:val="20"/>
          <w:lang w:val="id-ID"/>
        </w:rPr>
        <w:lastRenderedPageBreak/>
        <w:t>MSME actors, such as being proactive in seeking management information, having an interest in the appropriate use of capital, and adopting a perspective of income and expenditure balance, strengthens the intention to engage in good financial behavior. Thus, this study confirms that lifestyle functions as an internal factor influencing intention in the Theory of Planned Behavior, which ultimately drives the realization of MSME behavior in Banyumas Regency. The better and more positive the lifestyle of MSME actors, the better their financial behavior.</w:t>
      </w:r>
      <w:r>
        <w:rPr>
          <w:rFonts w:ascii="Arial" w:hAnsi="Arial" w:cs="Arial"/>
          <w:sz w:val="20"/>
          <w:szCs w:val="20"/>
          <w:lang w:val="id-ID"/>
        </w:rPr>
        <w:t xml:space="preserve"> This research is supported by (</w:t>
      </w:r>
      <w:r>
        <w:rPr>
          <w:rFonts w:ascii="Arial" w:hAnsi="Arial" w:cs="Arial"/>
          <w:sz w:val="20"/>
          <w:szCs w:val="20"/>
          <w:lang w:val="id-ID"/>
        </w:rPr>
        <w:fldChar w:fldCharType="begin" w:fldLock="1"/>
      </w:r>
      <w:r w:rsidR="00660E93">
        <w:rPr>
          <w:rFonts w:ascii="Arial" w:hAnsi="Arial" w:cs="Arial"/>
          <w:sz w:val="20"/>
          <w:szCs w:val="20"/>
          <w:lang w:val="id-ID"/>
        </w:rPr>
        <w:instrText>ADDIN CSL_CITATION {"citationItems":[{"id":"ITEM-1","itemData":{"DOI":"10.29313/bcsbm.v4i1.11541","abstract":"B It is important for a student to have good financial literacy and financial behavior. This is important to support students' financial intelligence in managing their finances to fulfill their needs. Financial intelligence in the long term, will result in students having wise financial behavior in making the right and correct consumption and not easily influenced by product offerings that tend to place the position of the younger generation as marketing segmentation. That way, students will develop into a generation that is able to control finances properly and correctly which in general will have an impact on the mentality to create the next generation who are anti-corruption. This research is a type of descriptive and verifiative research with quantitative methods. The sampling technique used is representative behavior. The population in this study was Unisba Management students class of 2020 and a sample of 75 people was obtained. The data analysis used is descriptive and verifiative analysis using multiple linear regression analysis, F test, t test, and coefficient of determination. The results of this study show that Financial Literacy partially has a positive and significant effect on Financial Behavior. Lifestyle partially has a positive and significant effect on Financial Behavior however. Then simultaneously Financial Literacy and Lifestyle have a significant effect on the Financial Behavior of Unisba Management students class of 2020.","author":[{"dropping-particle":"","family":"Doni Subagja","given":"","non-dropping-particle":"","parse-names":false,"suffix":""},{"dropping-particle":"","family":"Handri","given":"","non-dropping-particle":"","parse-names":false,"suffix":""}],"container-title":"Bandung Conference Series: Business and Management","id":"ITEM-1","issue":"1","issued":{"date-parts":[["2024"]]},"page":"633-639","title":"Pengaruh Literasi Keuangan dan Gaya Hidup terhadap Perilaku keuangan","type":"article-journal","volume":"4"},"uris":["http://www.mendeley.com/documents/?uuid=f70804c2-c92c-40d7-8cad-053242c54c9d"]},{"id":"ITEM-2","itemData":{"DOI":"10.35957/mdp-sc.v2i2.4392","abstract":"Tujuan dari penelitian ini adalah untuk menguji pengaruh literasi keuangan, pendapatan dan gaya hidup terhadap perilaku keuangan pegawai UMKM Pempek di kota Palembang. Populasi yang digunakan adalah Kecamatan Bukit Kecil, Ilir Timur II, Ilir Barat I, Kalidon dan Sako serta sampel sebanyak 267 pekerja UMKM Pempek. Metode yang digunakan dalam penelitian ini adalah kuantitatif, dimana sampel ditentukan dengan cara probability sampling. Metode analisis data meliputi uji validitas, uji reliabilitas, uji kepastian, analisis multilinier, uji normalitas, uji multikolinearitas, uji heteroskedastisitas, uji t, dan uji f. Hasil penelitian ini menunjukkan bahwa pendidikan keuangan (X1), pendapatan (X2) dan gaya hidup (X3) secara parsial dan simultan berpengaruh terhadap perilaku keuangan (Y) pekerja UMKM Pempek di kota Palembang.","author":[{"dropping-particle":"","family":"Elena","given":"Ester","non-dropping-particle":"","parse-names":false,"suffix":""},{"dropping-particle":"","family":"Cholid","given":"Idham","non-dropping-particle":"","parse-names":false,"suffix":""}],"container-title":"MDP Student Conference","id":"ITEM-2","issue":"2","issued":{"date-parts":[["2023"]]},"page":"560-566","title":"Pengaruh Literasi Keuangan, Pendidikan, Gaya Hidup Terhadap Perilaku Keuangan Pekerja UMKM Palembang","type":"article-journal","volume":"2"},"uris":["http://www.mendeley.com/documents/?uuid=d7c48fa9-171a-4a1e-986f-526678a48d43"]},{"id":"ITEM-3","itemData":{"DOI":"doi.org/jebma.v4n3.4790","abstract":"Pada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(Jemba)","id":"ITEM-3","issue":"3","issued":{"date-parts":[["2024"]]},"page":"14-19","title":"Pengaruh Literasi Keuangan dan Gaya Hidup Terhadap Perilaku Pada Pelaku UMKM Kecamatan Gunungsitoli","type":"article-journal","volume":"4"},"uris":["http://www.mendeley.com/documents/?uuid=04fe5ae9-ea75-4ebb-9767-1afeff700e5d"]}],"mendeley":{"formattedCitation":"(Doni Subagja and Handri 2024; Elena and Cholid 2023; Nduru, Hulu, and Dkk 2024)","manualFormatting":"Doni Subagja and Handri 2024; Elena and Cholid 2023; Nduru, Hulu, and Dkk 2024)","plainTextFormattedCitation":"(Doni Subagja and Handri 2024; Elena and Cholid 2023; Nduru, Hulu, and Dkk 2024)","previouslyFormattedCitation":"(Doni Subagja and Handri 2024; Elena and Cholid 2023; Nduru, Hulu, and Dkk 2024)"},"properties":{"noteIndex":0},"schema":"https://github.com/citation-style-language/schema/raw/master/csl-citation.json"}</w:instrText>
      </w:r>
      <w:r>
        <w:rPr>
          <w:rFonts w:ascii="Arial" w:hAnsi="Arial" w:cs="Arial"/>
          <w:sz w:val="20"/>
          <w:szCs w:val="20"/>
          <w:lang w:val="id-ID"/>
        </w:rPr>
        <w:fldChar w:fldCharType="separate"/>
      </w:r>
      <w:r w:rsidRPr="00477ECB">
        <w:rPr>
          <w:rFonts w:ascii="Arial" w:hAnsi="Arial" w:cs="Arial"/>
          <w:noProof/>
          <w:sz w:val="20"/>
          <w:szCs w:val="20"/>
          <w:lang w:val="id-ID"/>
        </w:rPr>
        <w:t>Doni Subagja and Handri 2024</w:t>
      </w:r>
      <w:r w:rsidR="00660E93">
        <w:rPr>
          <w:rFonts w:ascii="Arial" w:hAnsi="Arial" w:cs="Arial"/>
          <w:noProof/>
          <w:sz w:val="20"/>
          <w:szCs w:val="20"/>
          <w:lang w:val="id-ID"/>
        </w:rPr>
        <w:t>;</w:t>
      </w:r>
      <w:r w:rsidRPr="00477ECB">
        <w:rPr>
          <w:rFonts w:ascii="Arial" w:hAnsi="Arial" w:cs="Arial"/>
          <w:noProof/>
          <w:sz w:val="20"/>
          <w:szCs w:val="20"/>
          <w:lang w:val="id-ID"/>
        </w:rPr>
        <w:t xml:space="preserve"> Elena and Cholid 2023</w:t>
      </w:r>
      <w:r w:rsidR="00660E93">
        <w:rPr>
          <w:rFonts w:ascii="Arial" w:hAnsi="Arial" w:cs="Arial"/>
          <w:noProof/>
          <w:sz w:val="20"/>
          <w:szCs w:val="20"/>
          <w:lang w:val="id-ID"/>
        </w:rPr>
        <w:t>;</w:t>
      </w:r>
      <w:r w:rsidRPr="00477ECB">
        <w:rPr>
          <w:rFonts w:ascii="Arial" w:hAnsi="Arial" w:cs="Arial"/>
          <w:noProof/>
          <w:sz w:val="20"/>
          <w:szCs w:val="20"/>
          <w:lang w:val="id-ID"/>
        </w:rPr>
        <w:t xml:space="preserve"> Nduru, Hulu, and Dkk 2024)</w:t>
      </w:r>
      <w:r>
        <w:rPr>
          <w:rFonts w:ascii="Arial" w:hAnsi="Arial" w:cs="Arial"/>
          <w:sz w:val="20"/>
          <w:szCs w:val="20"/>
          <w:lang w:val="id-ID"/>
        </w:rPr>
        <w:fldChar w:fldCharType="end"/>
      </w:r>
      <w:r w:rsidR="00660E93">
        <w:rPr>
          <w:rFonts w:ascii="Arial" w:hAnsi="Arial" w:cs="Arial"/>
          <w:sz w:val="20"/>
          <w:szCs w:val="20"/>
          <w:lang w:val="id-ID"/>
        </w:rPr>
        <w:t>,</w:t>
      </w:r>
      <w:r>
        <w:rPr>
          <w:rFonts w:ascii="Arial" w:hAnsi="Arial" w:cs="Arial"/>
          <w:sz w:val="20"/>
          <w:szCs w:val="20"/>
          <w:lang w:val="id-ID"/>
        </w:rPr>
        <w:t xml:space="preserve"> who stated that Lifestyle has a positive influence on Financial Behavior.</w:t>
      </w:r>
    </w:p>
    <w:p w14:paraId="5E0E3A81" w14:textId="77777777" w:rsidR="0045325E" w:rsidRPr="0045325E" w:rsidRDefault="0045325E" w:rsidP="00910524">
      <w:pPr>
        <w:spacing w:after="0"/>
        <w:rPr>
          <w:rFonts w:ascii="Arial" w:hAnsi="Arial"/>
          <w:sz w:val="20"/>
          <w:szCs w:val="20"/>
          <w:lang w:val="id-ID"/>
        </w:rPr>
      </w:pPr>
    </w:p>
    <w:p w14:paraId="49286170" w14:textId="07711992" w:rsidR="00910524" w:rsidRDefault="00910524" w:rsidP="00910524">
      <w:pPr>
        <w:spacing w:after="0"/>
        <w:rPr>
          <w:rFonts w:ascii="Arial" w:hAnsi="Arial"/>
          <w:sz w:val="22"/>
          <w:szCs w:val="22"/>
          <w:lang w:val="id-ID"/>
        </w:rPr>
      </w:pPr>
      <w:r>
        <w:rPr>
          <w:rFonts w:ascii="Arial" w:hAnsi="Arial"/>
          <w:sz w:val="22"/>
          <w:szCs w:val="22"/>
          <w:lang w:val="id-ID"/>
        </w:rPr>
        <w:t>4.2.4 The influence of Financial Inclusion on Financial Behavior</w:t>
      </w:r>
    </w:p>
    <w:p w14:paraId="67CC1E21" w14:textId="77777777" w:rsidR="00660E93" w:rsidRDefault="00660E93" w:rsidP="00910524">
      <w:pPr>
        <w:spacing w:after="0"/>
        <w:rPr>
          <w:rFonts w:ascii="Arial" w:hAnsi="Arial"/>
          <w:sz w:val="20"/>
          <w:szCs w:val="20"/>
          <w:lang w:val="id-ID"/>
        </w:rPr>
      </w:pPr>
    </w:p>
    <w:p w14:paraId="2A474320" w14:textId="2A06877F" w:rsidR="00660E93" w:rsidRDefault="00660E93" w:rsidP="00660E93">
      <w:pPr>
        <w:tabs>
          <w:tab w:val="left" w:pos="1141"/>
        </w:tabs>
        <w:spacing w:after="0"/>
        <w:jc w:val="both"/>
        <w:rPr>
          <w:rFonts w:ascii="Arial" w:hAnsi="Arial" w:cs="Arial"/>
          <w:sz w:val="20"/>
          <w:szCs w:val="20"/>
          <w:lang w:val="id-ID"/>
        </w:rPr>
      </w:pPr>
      <w:r>
        <w:rPr>
          <w:rFonts w:ascii="Arial" w:hAnsi="Arial" w:cs="Arial"/>
          <w:sz w:val="20"/>
          <w:szCs w:val="20"/>
          <w:lang w:val="id-ID"/>
        </w:rPr>
        <w:t>The result of the study indicate that financial inclusion have a positive effect on financial behavior</w:t>
      </w:r>
      <w:r w:rsidRPr="005E1216">
        <w:rPr>
          <w:rFonts w:ascii="Arial" w:hAnsi="Arial" w:cs="Arial"/>
          <w:sz w:val="20"/>
          <w:szCs w:val="20"/>
          <w:lang w:val="id-ID"/>
        </w:rPr>
        <w:t>. The results of this study indicate that easy access to financial services has made it easier for MSMEs to obtain funding, quality financial services, and ease of use of financial services, as well as the welfare of MSMEs when using financial services. Financial inclusion encourages MSMEs. This finding is relevant to the Theory of Planned Behavior, which states that financial inclusion is an external factor that can influence MSMEs to improve their financial behavior</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{"citationItems":[{"id":"ITEM-1","itemData":{"DOI":"10.14414/tiar.v13i1.3213","ISSN":"2086-3802","abstract":"This study aims to determine empirical evidence of the effect of financial inclusion and financial technology (fintech) on the behavioral finance of MSMEs. This study uses a quantitative method with a positivist paradigm approach. The population of this study is all MSMEs in Indonesia. The sample used in this study is 205 respondents (MSME owners) from all over Indonesia. Sampling is carried out using a random technique. Data collection is carried out by distributing questionnaires, both manually and online using Google Forms, and is measured using a 5-point Likert scale. The data processing is carried out using Partial Least Square (PLS) software with a Structural Equation Modeling (SEM) model. The results of this study show that financial inclusion and financial technology (fintech) have a direct positive effect on the behavioral finance of MSMEs. Financial technology (fintech) can mediate and increase the effect of financial inclusion on the behavioral finance of MSMEs.","author":[{"dropping-particle":"","family":"Risman","given":"Asep","non-dropping-particle":"","parse-names":false,"suffix":""},{"dropping-particle":"","family":"Ali","given":"Anees Janee","non-dropping-particle":"","parse-names":false,"suffix":""},{"dropping-particle":"","family":"Soelton","given":"Mochamad","non-dropping-particle":"","parse-names":false,"suffix":""},{"dropping-particle":"","family":"Siswanti","given":"Indra","non-dropping-particle":"","parse-names":false,"suffix":""}],"container-title":"The Indonesian Accounting Review","id":"ITEM-1","issue":"1","issued":{"date-parts":[["2023"]]},"page":"91-101","title":"The behavioral finance of MSMEs in the advancement of financial inclusion and financial technology (Fintech)","type":"article-journal","volume":"13"},"uris":["http://www.mendeley.com/documents/?uuid=140ad8ba-9816-4118-a5a3-5ef7cc984eda"]}],"mendeley":{"formattedCitation":"(Risman et al. 2023)","plainTextFormattedCitation":"(Risman et al. 2023)","previouslyFormattedCitation":"(Risman et al.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(Risman et al. 2023)</w:t>
      </w:r>
      <w:r w:rsidRPr="005E1216">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The better and more positive financial inclusion, the better financial behavior will be.</w:t>
      </w:r>
      <w:r>
        <w:rPr>
          <w:rFonts w:ascii="Arial" w:hAnsi="Arial" w:cs="Arial"/>
          <w:sz w:val="20"/>
          <w:szCs w:val="20"/>
          <w:lang w:val="id-ID"/>
        </w:rPr>
        <w:t xml:space="preserve"> This research is supported by (</w:t>
      </w:r>
      <w:r>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{"citationItems":[{"id":"ITEM-1","itemData":{"DOI":"10.22441/indikator.v8i2.26780","ISSN":"2598-6783","abstract":"This project is to gather empirical data on the topic to gain a better understanding of how financial technology, or Fintech, affects the financial behavior of micro, small, and medium-sized firms (MSMEs). 110 MSMEs spread over West Jakarta made up the sample in 2023. As part of the data gathering method, a random sample questionnaire with a 5-point Likert scale was created using the online tool Google Forms. The Structural Equation Modeling (SEM) model was applied to the data using Partial Least Squares (PLS) software. The results of the study show that financial inclusion and financial technology (Fintech) have a positive influence on MSMEs' financial behavior. Financial technology, or Fintech, may function as a mediator and positively influence MSMEs' financial behavior by promoting broader financial inclusion. This information will be useful to financial institutions, relevant governments, entrepreneurs, and business support organizations that aim to improve the financial behavior and practices of MSMEs. The significance of programs intended to promote good financial conduct, expand financial inclusion, and educate the public about the advantages of fintech in order to enable MSMEs to adopt more responsible financial practices.","author":[{"dropping-particle":"","family":"Huda","given":"Nurrizal","non-dropping-particle":"","parse-names":false,"suffix":""},{"dropping-particle":"","family":"Risman","given":"Asep","non-dropping-particle":"","parse-names":false,"suffix":""}],"container-title":"Indikator: Jurnal Ilmiah Manajemen dan Bisnis","id":"ITEM-1","issue":"2","issued":{"date-parts":[["2024"]]},"page":"19-29","title":"The Behavioral Finance of MSMEs: Financial Inclusion and Financial Technology","type":"article-journal","volume":"8"},"uris":["http://www.mendeley.com/documents/?uuid=7fa96ce2-661b-4328-af0c-0a1b62efc957"]},{"id":"ITEM-2","itemData":{"DOI":"10.23887/jiah.v13i3.66803","ISSN":"2089-3310","abstract":"Tujuan dari penelitian ini yaitu menguji literasi keuangan, inklusi keuangan dan perilaku keuangan yang diterapkan oleh pelaku UMKM perempuan di Jambi. Pelaku UMKM dengan gender perempuan, menjadi subjek dari penelitian serta berdomisili di Jambi. Kemudian, sampel dalam penelitian ini sebanyak 167 pelaku UMKM perempuan. Data dihimpun melalui survei daring selama periode tiga bulan. Hasil dari penelitian ini menegaskan bahwa literasi keuangan memiliki dampak positif terhadap inklusi keuangan dan perilaku keuangan, sementara inklusi keuangan juga berpengaruh positif terhadap perilaku keuangan. Lebih lanjut, hasil dari uji hipotesis dalam penelitian ini dapat menjadi alat untuk penetapan strategi dari UMKM dengan pemahaman literasi keuangan dan inklusi keuangan pada kelangsungan bisnis jangka panjang.","author":[{"dropping-particle":"","family":"Usmayanti","given":"Vivi","non-dropping-particle":"","parse-names":false,"suffix":""},{"dropping-particle":"","family":"Kadar","given":"Melani","non-dropping-particle":"","parse-names":false,"suffix":""},{"dropping-particle":"","family":"Saputra","given":"Muhammad Haris","non-dropping-particle":"","parse-names":false,"suffix":""},{"dropping-particle":"","family":"Effiyaldi","given":"","non-dropping-particle":"","parse-names":false,"suffix":""},{"dropping-particle":"","family":"Lie","given":"Kanaya Puspa Kirana","non-dropping-particle":"","parse-names":false,"suffix":""}],"container-title":"Jurnal Ilmiah Akuntansi dan Humanika","id":"ITEM-2","issue":"1","issued":{"date-parts":[["2023"]]},"page":"339-348","title":"Pengaruh Literasi Keuangan, Inklusi Keuangan pada Perilaku Keuangan Pelaku UMKM Perempuan: Studi Kasus di Jambi","type":"article-journal","volume":"11"},"uris":["http://www.mendeley.com/documents/?uuid=b6fae952-b0dc-4736-9c7a-ea4877c64b7e"]},{"id":"ITEM-3","itemData":{"DOI":"10.55903/juria.v2i3.132","abstract":"Penelitian ini bertujuan untuk mengetahui pengaruh literasi keuangan, inklusi keuangan dan pendapatan terhadap perilaku keuangan pelaku UMKM di Langsa Kota (usaha pakaian jadi). Populasi pada penelitian ini yaitu berjumlah 73 pelaku UMKM di Langsa Kota yang masih aktif dan sampelnya berjumlah 73 pelaku UMKM. Teknik pengambilan sampel menggunakan sampel jenuh. Metode analisis data yang digunakan adalah analisis regresi linear berganda, uji t, uji F dan koefisien determinasi. Hasil penelitian menunjukkan Y = 1.108 - 0.128X1 + 0.391X2 + 0.440X3 Konstanta bernilai 1.108 merupakan nilai perilaku keuangan pada pelaku UMKM apabila literasi keuangan, inklusi keuangan dan pendapatan bernilai tetap. Koefisien regresi variabel inklusi keuangan dan pendapatan berpengaruh positif terhadap perilaku keuangan tetapi untuk variabel literasi keuangan berpengaruh negatif terhadap perilaku keuangan. Hasil penelitian untuk uji t untuk variabel inklusi keuangan dan pendapatan diperoleh t sig &lt; 0.05 sehingga berpengaruh signifikan terhadap perilaku keuangan akan tetapi untuk variabel literasi keuangan diperoleh t sig &gt; 0.05 yang berarti literasi keuangan berpengaruh namun tidak signifikan terhadap perilaku keuangan. Hasil uji F menunjukkan bahwa variabel literasi keuangan, inklusi keuangan dan pendapatan secara simultan berpengaruh signifikan terhadap perilaku keuangan. untuk hasil uji koefisien determinasi (Adjusted R2) diperoleh nilai sebesar 54% yang berarti bahwa perilaku perilaku keuangan dipengaruhi sebesar 54% oleh variabel literasi keuangan, inklusi keuangan, dan pendapatan.","author":[{"dropping-particle":"","family":"Jannah","given":"Miftahul","non-dropping-particle":"","parse-names":false,"suffix":""},{"dropping-particle":"","family":"Fuad","given":"Muhammad","non-dropping-particle":"","parse-names":false,"suffix":""},{"dropping-particle":"","family":"Dewi","given":"Meutia","non-dropping-particle":"","parse-names":false,"suffix":""}],"container-title":"Jurnal Ekonomi Utama","id":"ITEM-3","issue":"3","issued":{"date-parts":[["2023"]]},"page":"298-306","title":"Pengaruh Literasi Keuangan, Inklusi Keuangan dan Pendapatan Terhadap Perilaku Keuangan Pelaku UMKM di Langsa Kota","type":"article-journal","volume":"2"},"uris":["http://www.mendeley.com/documents/?uuid=177650ef-cb18-4112-9ec8-b6cf5e7d05ae"]}],"mendeley":{"formattedCitation":"(Huda and Risman 2024; Jannah, Fuad, and Dewi 2023; Usmayanti et al. 2023)","manualFormatting":"Huda and Risman 2024, Jannah, Fuad, and Dewi 2023; Usmayanti et al. 2023)","plainTextFormattedCitation":"(Huda and Risman 2024; Jannah, Fuad, and Dewi 2023; Usmayanti et al. 2023)","previouslyFormattedCitation":"(Huda and Risman 2024; Jannah, Fuad, and Dewi 2023; Usmayanti et al. 2023)"},"properties":{"noteIndex":0},"schema":"https://github.com/citation-style-language/schema/raw/master/csl-citation.json"}</w:instrText>
      </w:r>
      <w:r>
        <w:rPr>
          <w:rFonts w:ascii="Arial" w:hAnsi="Arial" w:cs="Arial"/>
          <w:sz w:val="20"/>
          <w:szCs w:val="20"/>
          <w:lang w:val="id-ID"/>
        </w:rPr>
        <w:fldChar w:fldCharType="separate"/>
      </w:r>
      <w:r w:rsidRPr="006A3E5E">
        <w:rPr>
          <w:rFonts w:ascii="Arial" w:hAnsi="Arial" w:cs="Arial"/>
          <w:noProof/>
          <w:sz w:val="20"/>
          <w:szCs w:val="20"/>
          <w:lang w:val="id-ID"/>
        </w:rPr>
        <w:t>Huda and Risman 2024</w:t>
      </w:r>
      <w:r>
        <w:rPr>
          <w:rFonts w:ascii="Arial" w:hAnsi="Arial" w:cs="Arial"/>
          <w:noProof/>
          <w:sz w:val="20"/>
          <w:szCs w:val="20"/>
          <w:lang w:val="id-ID"/>
        </w:rPr>
        <w:t>,</w:t>
      </w:r>
      <w:r w:rsidRPr="006A3E5E">
        <w:rPr>
          <w:rFonts w:ascii="Arial" w:hAnsi="Arial" w:cs="Arial"/>
          <w:noProof/>
          <w:sz w:val="20"/>
          <w:szCs w:val="20"/>
          <w:lang w:val="id-ID"/>
        </w:rPr>
        <w:t xml:space="preserve"> Jannah, Fuad, and Dewi 2023</w:t>
      </w:r>
      <w:r>
        <w:rPr>
          <w:rFonts w:ascii="Arial" w:hAnsi="Arial" w:cs="Arial"/>
          <w:noProof/>
          <w:sz w:val="20"/>
          <w:szCs w:val="20"/>
          <w:lang w:val="id-ID"/>
        </w:rPr>
        <w:t>;</w:t>
      </w:r>
      <w:r w:rsidRPr="006A3E5E">
        <w:rPr>
          <w:rFonts w:ascii="Arial" w:hAnsi="Arial" w:cs="Arial"/>
          <w:noProof/>
          <w:sz w:val="20"/>
          <w:szCs w:val="20"/>
          <w:lang w:val="id-ID"/>
        </w:rPr>
        <w:t xml:space="preserve"> Usmayanti et al. 2023)</w:t>
      </w:r>
      <w:r>
        <w:rPr>
          <w:rFonts w:ascii="Arial" w:hAnsi="Arial" w:cs="Arial"/>
          <w:sz w:val="20"/>
          <w:szCs w:val="20"/>
          <w:lang w:val="id-ID"/>
        </w:rPr>
        <w:fldChar w:fldCharType="end"/>
      </w:r>
      <w:r>
        <w:rPr>
          <w:rFonts w:ascii="Arial" w:hAnsi="Arial" w:cs="Arial"/>
          <w:sz w:val="20"/>
          <w:szCs w:val="20"/>
          <w:lang w:val="id-ID"/>
        </w:rPr>
        <w:t xml:space="preserve">, who stated that Financial Inclution has a positive influence on Financial Behavior. </w:t>
      </w:r>
    </w:p>
    <w:p w14:paraId="0D714750" w14:textId="77777777" w:rsidR="00660E93" w:rsidRPr="00660E93" w:rsidRDefault="00660E93" w:rsidP="00910524">
      <w:pPr>
        <w:spacing w:after="0"/>
        <w:rPr>
          <w:rFonts w:ascii="Arial" w:hAnsi="Arial"/>
          <w:sz w:val="20"/>
          <w:szCs w:val="20"/>
          <w:lang w:val="id-ID"/>
        </w:rPr>
      </w:pPr>
    </w:p>
    <w:p w14:paraId="45801CF2" w14:textId="00A17CFE" w:rsidR="00383A66" w:rsidRDefault="00383A66" w:rsidP="00910524">
      <w:pPr>
        <w:spacing w:after="0"/>
        <w:rPr>
          <w:rFonts w:ascii="Arial" w:hAnsi="Arial"/>
          <w:b/>
          <w:bCs/>
          <w:sz w:val="22"/>
          <w:szCs w:val="22"/>
          <w:lang w:val="id-ID"/>
        </w:rPr>
      </w:pPr>
      <w:r>
        <w:rPr>
          <w:rFonts w:ascii="Arial" w:hAnsi="Arial"/>
          <w:b/>
          <w:bCs/>
          <w:sz w:val="22"/>
          <w:szCs w:val="22"/>
          <w:lang w:val="id-ID"/>
        </w:rPr>
        <w:t>5. CONCLU</w:t>
      </w:r>
      <w:r w:rsidR="00910524">
        <w:rPr>
          <w:rFonts w:ascii="Arial" w:hAnsi="Arial"/>
          <w:b/>
          <w:bCs/>
          <w:sz w:val="22"/>
          <w:szCs w:val="22"/>
          <w:lang w:val="id-ID"/>
        </w:rPr>
        <w:t>SION</w:t>
      </w:r>
    </w:p>
    <w:p w14:paraId="21591A4F" w14:textId="77777777" w:rsidR="00660E93" w:rsidRDefault="00660E93" w:rsidP="00910524">
      <w:pPr>
        <w:spacing w:after="0"/>
        <w:rPr>
          <w:rFonts w:ascii="Arial" w:hAnsi="Arial"/>
          <w:sz w:val="20"/>
          <w:szCs w:val="20"/>
          <w:lang w:val="id-ID"/>
        </w:rPr>
      </w:pPr>
    </w:p>
    <w:p w14:paraId="1D957062" w14:textId="4398F2B9" w:rsidR="00F52253" w:rsidRPr="00C51340" w:rsidRDefault="00C51340" w:rsidP="00332E93">
      <w:pPr>
        <w:spacing w:after="0"/>
        <w:jc w:val="both"/>
        <w:rPr>
          <w:rFonts w:ascii="Arial" w:hAnsi="Arial" w:cs="Arial"/>
          <w:sz w:val="20"/>
          <w:szCs w:val="20"/>
          <w:lang w:val="id-ID"/>
        </w:rPr>
      </w:pPr>
      <w:r w:rsidRPr="00D979BE">
        <w:rPr>
          <w:rFonts w:ascii="Arial" w:hAnsi="Arial" w:cs="Arial"/>
          <w:bCs/>
          <w:sz w:val="20"/>
          <w:szCs w:val="20"/>
          <w:highlight w:val="yellow"/>
          <w:lang w:val="en-GB"/>
        </w:rPr>
        <w:t>This study provides empirical evidence that the financial behavior of MSMEs in Banyumas Regency is significantly determined by the synergy between internal and external factors. These findings confirm the relevance of the Theory of Planned Behavior (TPB), where financial literacy and positive financial attitudes serve as cognitive and psychological foundations that foster disciplined financial management. MSMEs with adequate financial understanding have been shown to be more adept at planning, investing, and controlling cash flow. This is reinforced by a prudent lifestyle, where the separation of personal consumption needs and business capital is key to successful financial behavior. Externally, easy access to formal financial inclusion complements individual capabilities by providing the tools necessary for sustainable business growth. As a strategic step, policymakers and MSMEs are advised to focus not only on capital provision but also on strengthening literacy through ongoing technical guidance to foster disciplined financial attitudes. For future scientific development, further research is encouraged to expand the geographic scope to increase the generalizability of the findings. The integration of contemporary variables such as financial technology (fintech) adoption and the influence of the social environment would provide a more modern perspective. Furthermore, the use of mixed research methods and longitudinal analysis is highly recommended to monitor the transformation of MSME financial behavior in a more in-depth and holistic manner along with the development of the digital economic ecosystem.</w:t>
      </w:r>
    </w:p>
    <w:p w14:paraId="430510AD" w14:textId="77777777" w:rsidR="00660E93" w:rsidRDefault="00660E93" w:rsidP="00910524">
      <w:pPr>
        <w:spacing w:after="0"/>
        <w:rPr>
          <w:rFonts w:ascii="Arial" w:hAnsi="Arial"/>
          <w:b/>
          <w:bCs/>
          <w:sz w:val="20"/>
          <w:szCs w:val="20"/>
          <w:lang w:val="id-ID"/>
        </w:rPr>
      </w:pPr>
    </w:p>
    <w:p w14:paraId="7B8061AD" w14:textId="77777777" w:rsidR="00BF40F5" w:rsidRDefault="00BF40F5" w:rsidP="00910524">
      <w:pPr>
        <w:spacing w:after="0"/>
        <w:rPr>
          <w:rFonts w:ascii="Arial" w:hAnsi="Arial"/>
          <w:b/>
          <w:bCs/>
          <w:sz w:val="20"/>
          <w:szCs w:val="20"/>
          <w:lang w:val="id-ID"/>
        </w:rPr>
      </w:pPr>
    </w:p>
    <w:p w14:paraId="3644558C" w14:textId="77777777" w:rsidR="00843097" w:rsidRPr="00740879" w:rsidRDefault="00843097" w:rsidP="00843097">
      <w:pPr>
        <w:rPr>
          <w:highlight w:val="yellow"/>
        </w:rPr>
      </w:pPr>
      <w:r w:rsidRPr="00740879">
        <w:rPr>
          <w:highlight w:val="yellow"/>
        </w:rPr>
        <w:t>Disclaimer (Artificial intelligence)</w:t>
      </w:r>
    </w:p>
    <w:p w14:paraId="7692A8CF" w14:textId="77777777" w:rsidR="00843097" w:rsidRPr="00740879" w:rsidRDefault="00843097" w:rsidP="00843097">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5DA1C847" w14:textId="77777777" w:rsidR="00BF40F5" w:rsidRDefault="00BF40F5" w:rsidP="00910524">
      <w:pPr>
        <w:spacing w:after="0"/>
        <w:rPr>
          <w:rFonts w:ascii="Arial" w:hAnsi="Arial"/>
          <w:b/>
          <w:bCs/>
          <w:sz w:val="20"/>
          <w:szCs w:val="20"/>
          <w:lang w:val="id-ID"/>
        </w:rPr>
      </w:pPr>
    </w:p>
    <w:p w14:paraId="1FC93CE9" w14:textId="77777777" w:rsidR="00BF40F5" w:rsidRDefault="00BF40F5" w:rsidP="00910524">
      <w:pPr>
        <w:spacing w:after="0"/>
        <w:rPr>
          <w:rFonts w:ascii="Arial" w:hAnsi="Arial"/>
          <w:b/>
          <w:bCs/>
          <w:sz w:val="20"/>
          <w:szCs w:val="20"/>
          <w:lang w:val="id-ID"/>
        </w:rPr>
      </w:pPr>
    </w:p>
    <w:p w14:paraId="56B39DB8" w14:textId="0FF38D95" w:rsidR="00BF40F5" w:rsidRDefault="00095616" w:rsidP="00910524">
      <w:pPr>
        <w:spacing w:after="0"/>
        <w:rPr>
          <w:rFonts w:ascii="Arial" w:hAnsi="Arial"/>
          <w:b/>
          <w:bCs/>
          <w:sz w:val="20"/>
          <w:szCs w:val="20"/>
          <w:lang w:val="id-ID"/>
        </w:rPr>
      </w:pPr>
      <w:r w:rsidRPr="00095616">
        <w:rPr>
          <w:rFonts w:ascii="Arial" w:hAnsi="Arial"/>
          <w:b/>
          <w:bCs/>
          <w:sz w:val="20"/>
          <w:szCs w:val="20"/>
          <w:lang w:val="id-ID"/>
        </w:rPr>
        <w:t>REFERENCES</w:t>
      </w:r>
    </w:p>
    <w:p w14:paraId="4996EEB4" w14:textId="77777777" w:rsidR="00BF40F5" w:rsidRDefault="00BF40F5" w:rsidP="00910524">
      <w:pPr>
        <w:spacing w:after="0"/>
        <w:rPr>
          <w:rFonts w:ascii="Arial" w:hAnsi="Arial"/>
          <w:b/>
          <w:bCs/>
          <w:sz w:val="20"/>
          <w:szCs w:val="20"/>
          <w:lang w:val="id-ID"/>
        </w:rPr>
      </w:pPr>
    </w:p>
    <w:p w14:paraId="0AF363DA"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Ajzen, Icek. 1991. “The Theory of Planned Behavior.” Organizational Behavior and Human Decision Processes 50: 179–211.</w:t>
      </w:r>
    </w:p>
    <w:p w14:paraId="364A6841"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lastRenderedPageBreak/>
        <w:t>Amelia, Amelia. 2022. “The Influence of Financial Literacy, Financial Attitudes, and Personality on Financial Management Behavior in MSME Actors in Gedong Village, East Jakarta.” Jurnal Maksipreneur: Manajemen, Koperasi, dan Entrepreneurship 12(1): 129–43. doi:10.30588/jmp.v12i1.890.</w:t>
      </w:r>
    </w:p>
    <w:p w14:paraId="5F8E5915"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Andriyani, Puput, and Ari Sulistyowati. 2021. “Analysis of the Influence of Financial Literacy, Financial Inclusion, and Education Level on the Financial Behavior of MSME Food Stall/Warung Owners in Bahagia Village, Bekasi Regency.” Management, Alliance Journal, Business: 61–70. www.kemenkopukm.go.id.</w:t>
      </w:r>
    </w:p>
    <w:p w14:paraId="72FC61CD"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Anisyah, Eka Nur, Dahlia Pinem, and Siti Hidayati. 2021. “The Influence of Financial Literacy, Financial Inclusion and Financial Technology on the Financial Behavior of MSME Actors in Sekupang District.” Management and Business Review 5(2): 310–24. doi:10.21067/mbr.v5i2.6083.</w:t>
      </w:r>
    </w:p>
    <w:p w14:paraId="5740FA3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Arianti, Baiq Fitri. 2022. “Financial Literacy (Theory and Implementation).” : 1–20.</w:t>
      </w:r>
    </w:p>
    <w:p w14:paraId="249B3BA3"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Awwaliyah, Intan Nurul, Sumani Sumani, Marmono Singgih, and Roni Widodo. 2023. “How Does Digital Financial Literacy Relate To Financial Performance of MSMEs Tourism Firm? The Mediating Role of Financial Behavior.” Jurnal Ekonomi Bisnis dan Kewirausahaan 12(1): 128–47. doi:10.26418/jebik.v12i1.60356.</w:t>
      </w:r>
    </w:p>
    <w:p w14:paraId="72CD17A1" w14:textId="1332F2D9"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 xml:space="preserve"> Azis, Muhammad Aulia Hibatullah, and Lukman Effendy. 2024. “The Influence of Financial Literacy, Human Resources, and Financial Technology on MSME Performance.” Manado Accounting Journal (JAIM) 5(1): 116–32. doi:10.53682/jaim.vi.8756.</w:t>
      </w:r>
    </w:p>
    <w:p w14:paraId="41106609"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Azizah, Farinda Hauna, Maulida Nurul Innayah, Naelati Tubastuvi, and Yudhistira Pradhipta Aryoko. 2024. “Factors Affecting Financial Behavior of Micro, Small and Medium Enterprises (MSMEs): The Role of Financial Inclusion, Financial Literacy and Financial Technology Factors Affecting Financial Behavior of Micro, Small and Medium Enterprises (MSMEs): T.” 8(2): 113–28. doi:10.30741/adv.v8i2.1333.</w:t>
      </w:r>
    </w:p>
    <w:p w14:paraId="2D274C80"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Doni Subagja, and Handri. 2024. “The Influence of Financial Literacy and Lifestyle on Financial Behavior.” Bandung Conference Series: Business and Management 4(1): 633–39. doi:10.29313/bcsbm.v4i1.11541.</w:t>
      </w:r>
    </w:p>
    <w:p w14:paraId="57AE8D2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Elena, Ester, and Idham Cholid. 2023. “The Influence of Financial Literacy, Education, and Lifestyle on the Financial Behavior of MSME Workers in Palembang.” MDP Student Conference 2(2): 560–66. doi:10.35957/mdp-sc.v2i2.4392.</w:t>
      </w:r>
    </w:p>
    <w:p w14:paraId="5E6B373D"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Erna Handayani, Ira Hapsari, Ali AKbar Anggara. 2023. “Research in Business &amp; Social Science Does the Implementation of SDGs Improve the Performance of Universities?” International Journal of Research in Business and Social Science 12(4): 454–60.</w:t>
      </w:r>
    </w:p>
    <w:p w14:paraId="5232FFF7"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Fadilah, Salma Juliana, and Eko Purwanto. 2022. “The Influence of Locus of Control, Planning and Financial Literacy on the Financial Behavior of MSMEs.” Al-Kharaj: Journal of Islamic Economics, Finance &amp; Business 4(5): 1476–88. doi:10.47467/alkharaj.v4i5.1003.</w:t>
      </w:r>
    </w:p>
    <w:p w14:paraId="09929AA6"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Ginanjar, Yogi. 2023. “Financial Behavior of MSMEs in Majalengka Regency: Personality, Attitude and Financial Knowledge Perspectives.” Competitive Accounting Journal 6(3): 436–43. doi:10.35446/akuntansikompetif.v6i3.1498.</w:t>
      </w:r>
    </w:p>
    <w:p w14:paraId="584385B4"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Hair, Joe F., Marko Sarstedt, Lucas Hopkins, and Volker G. Kuppelwieser. 2014. “Partial Least Squares Structural Equation Modeling (PLS-SEM): An Emerging Tool in Business Research.” European Business Review 26(2): 106–21. doi:10.1108/EBR-10-2013-0128.</w:t>
      </w:r>
    </w:p>
    <w:p w14:paraId="316D3B75"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Hair, Joe F, and Et Al. 2011. “PLS-SEM: Indeed a Silver Bullet.” Journal of Marketing Theory and Practice 19(2): 139–52. doi:10.2753/MTP1069-6679190202.</w:t>
      </w:r>
    </w:p>
    <w:p w14:paraId="468ED504"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Handayani, Erna, Askar Garad, Aman Suyadi, and Naelati Tubastuvi. 2023. “Increasing the Performance of Village Services with Good Governance and Participation.” World Development Sustainability 3(July 2022): 100089. doi:10.1016/j.wds.2023.100089.</w:t>
      </w:r>
    </w:p>
    <w:p w14:paraId="6F42A065"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 xml:space="preserve">Hariyanti, Anggun. 2024. “The Influence of Financial Literacy and Financial Attitudes on the Financial Behavior of MSMEs in Bendungan Hilir Village: A Conceptual Model.” (July). doi:10.13140/RG.2.2.31364.33922. </w:t>
      </w:r>
    </w:p>
    <w:p w14:paraId="708EC84D" w14:textId="0675C63C"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Haryono, Siswoyi. 2016. Commitment: Scientific Journal of Management SEM Method.</w:t>
      </w:r>
    </w:p>
    <w:p w14:paraId="30A7279D"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Huda, Nurrizal, and Asep Risman. 2024. “The Behavioral Finance of MSMEs: Financial Inclusion and Financial Technology.” Indikator: Jurnal Ilmiah Manajemen dan Bisnis 8(2): 19–29. doi:10.22441/indikator.v8i2.26780.</w:t>
      </w:r>
    </w:p>
    <w:p w14:paraId="17A76C68"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Huyasin, Yasifa, and Iman Waskito. 2025. “The Influence of Financial Literacy, Financial Attitudes, and Financial Experience on Financial Behavior in Islamic Boarding School Managers in East Lombok Regency.” East Asian Journal of Multidisciplinary Research (EAJMR) 4(2): 915–28.</w:t>
      </w:r>
    </w:p>
    <w:p w14:paraId="0CF6985E"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Jannah, Miftahul, Muhammad Fuad, and Meutia Dewi. 2023. “The Influence of Financial Literacy, Financial Inclusion and Income on the Financial Behavior of MSME Actors in Langsa City.” Jurnal Ekonomi Utama 2(3): 298–306. doi:10.55903/juria.v2i3.132.</w:t>
      </w:r>
    </w:p>
    <w:p w14:paraId="6B4005AB"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lastRenderedPageBreak/>
        <w:t>Jateng, Dinkop-UMKM. 2025. “Data on the Number of MSMEs in Banyumas Regency.” Central Java Provincial Cooperative and Small and Medium Enterprises Office. https://satudata.dinkop-umkm.jatengprov.go.id/umkm.</w:t>
      </w:r>
    </w:p>
    <w:p w14:paraId="09CF3729" w14:textId="6F687A18"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Kenale Sada, Yohanes Maria Vianey. 2022. “The Influence of Financial Literacy, Lifestyle and Environment</w:t>
      </w:r>
      <w:r w:rsidRPr="00095616">
        <w:t xml:space="preserve"> </w:t>
      </w:r>
      <w:r w:rsidRPr="00095616">
        <w:rPr>
          <w:rFonts w:ascii="Arial" w:hAnsi="Arial"/>
          <w:sz w:val="20"/>
          <w:szCs w:val="20"/>
          <w:lang w:val="id-ID"/>
        </w:rPr>
        <w:t>Social Aspects of Students' Financial Behavior.” Journal of Accounting Literacy 2(2): 86–99. doi:10.55587/jla.v2i2.35.</w:t>
      </w:r>
    </w:p>
    <w:p w14:paraId="6D83D9A9"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KEPDPDRI. 2024. Decision of the Regional Representative Council of the Republic of Indonesia Number 41/DPD RI/IV/2023-2024 Concerning the Results of the DPD RI's Supervision of the Implementation of Law Number 20 of 2008 Concerning Micro, Small and Medium Enterprises. https://jdih.dpd.go.id/dokumen/index2?id=Pengawasan&amp;page=3&amp;per-page=5.</w:t>
      </w:r>
    </w:p>
    <w:p w14:paraId="76422A51"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Muchlis, Aulia Fikriarini. 2023. “Survey-Questionnaire Research Method for Crowding and Privacy in Dormitory Housing.” Indonesian Built Environment Journal 12(3): 154–63. doi:10.32315/jlbi.v12i3.252.</w:t>
      </w:r>
    </w:p>
    <w:p w14:paraId="635E646D"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Munthay, Salik Farhan, and Masta Sembiring. 2024. “The Influence of Financial Literacy and Financial Inclusion on the Financial Management of MSMEs in Kisaran Barat District, Asahan Regency.” Owner 8(1): 22–35. doi:10.33395/owner.v8i1.1902.</w:t>
      </w:r>
    </w:p>
    <w:p w14:paraId="373FA54E"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Nduru, Elisander, Faebuadodo Hulu, and Others. 2024. “The Influence of Financial Literacy and Lifestyle on Behavior in MSME Actors in Gunungsitoli District.” Journal of Business Economics, Management and Accounting (Jemba) 4(3): 14–19. doi:doi.org/jebma.v4n3.4790.</w:t>
      </w:r>
    </w:p>
    <w:p w14:paraId="1FB576E8"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Oktaviani, Nita Fuziah., et al. 2023. “Identification of the Influence of Financial Knowledge, and Financial Attitude on Financial Behavior in Embroidery MSMEs in Tasikmalaya City.” E-Journal ECOBISMA (Journal of Economics, Business and Management) 10(1): 35–42.</w:t>
      </w:r>
    </w:p>
    <w:p w14:paraId="0F9F6665"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Pricilla, Ani, Muhammad Yusuf, and Dwi Handarini. 2024. “The Influence of Financial Literacy and Financial Attitude on Financial Management Behavior with Locus of Control as a Mediator.” Journal of Accounting, Taxation and Auditing 5(1): 209–26. doi:10.21009/japa.0501.14.</w:t>
      </w:r>
    </w:p>
    <w:p w14:paraId="7127E86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Purwidianti, Wida, Naelati Tubastuvi, Akhmad Darmawan, and Ika Yustina Rahmawati. 2022. “Does Financial Behavior Mediate The Relationship Between Financial Literacy and Financial Experience Towards Financial Performance of Small Businesses?” Proceedings of the International Conference on Sustainable Innovation Track Accounting and Management Sciences (ICOSIAMS 2021) 201(Icosiams 2021): 235–41. doi:10.2991/aebmr.k.211225.033.</w:t>
      </w:r>
    </w:p>
    <w:p w14:paraId="230CEFEC"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Rahmawati, Ika Yustina, et al. 2024. “The Influence of Financial Literacy, Financial Attitudes, and Personality on Financial Management Behavior of SMEs in Banyumas Regency.” FokBis: Media for Management and Accounting Studies 23(2): 177–88. doi:doi.org/10.32639/27ke6j85.</w:t>
      </w:r>
    </w:p>
    <w:p w14:paraId="425D057A"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Rani, Gita Mai, and Rika Desiyanti. 2024. “The Influence of Financial Literacy, Financial Inclusion and Digital Payment on the Performance of Food &amp; Beverage SMEs in Padang City.” EKOMABIS: Journal of Economics Management Business 5(02): 161–74. doi:10.37366/ekomabis.v5i02.1403.</w:t>
      </w:r>
    </w:p>
    <w:p w14:paraId="05A803D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Risman, Asep. 2024. “Behavioral Finance of MSME: Digital Finance, Managerial Biases, Financial Literacy.” Dinasti International Journal of Economics, Finance &amp; Accounting 5(2): 641–49. doi:10.38035/dijefa.v5i2.2660.</w:t>
      </w:r>
    </w:p>
    <w:p w14:paraId="19A940BB"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Risman, Asep, Anees Janee Ali, Mochamad Soelton, and Indra Siswanti. 2023. “The Behavioral Finance of MSMEs in the Advancement of Financial Inclusion and Financial Technology (Fintech).” The Indonesian Accounting Review 13(1): 91–101. doi:10.14414/tiar.v13i1.3213.</w:t>
      </w:r>
    </w:p>
    <w:p w14:paraId="0D24FAB0"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Safitri, Eka, Fera Sriyunianti, and Novrina Chandra. 2023. “The Influence of Financial Literacy and Financial Attitudes on the Financial Management Behavior of MSMEs (Case Study on Micro-Enterprises in the Handicraft Sector in Padang City).” Jurnal Akuntansi, Bisnis dan Ekonomi Indonesia (JABEI) 2(1): 118–28. doi:10.30630/jabei.v2i1.64.</w:t>
      </w:r>
    </w:p>
    <w:p w14:paraId="5EB1E09E"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Santoso, Rahmat Agus, Elok Vilantika, Djoko Soelistya, and Yaoping Liu. 2024. “Locus of Control Mediates The Impact of Financial Knowledge, Attitudes, and Experience on Financial Behavior.” Jurnal Manajemen Bisnis 15(2): 406–18. doi:10.18196/mb.v15i2.23506.</w:t>
      </w:r>
    </w:p>
    <w:p w14:paraId="6902ED74"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Sinta, Dwi, Ika Yustina, Naelati Tubastuvi, and others. 2025. “Financial Behavior of University Students: A Theory of Planned Behavior Approach Through Cognitive, Socioeconomic, and Psychological Lenses.” South Asian Journal of Social Studies and Economics 22(7): 175–88.</w:t>
      </w:r>
    </w:p>
    <w:p w14:paraId="305C7619"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Tubastuvi, Naelati, Rania Nur Ainun, Wida Purwidianti, and Luthfi Zamakhsyari. 2024. “Enhancing MSME: Exploring the Relationship between Financial Literacy, Financial Inclusion, and Capital Access to Improve Performance.” Airlangga Journal of Innovation Management 5(1): 1–16. doi:10.20473/ajim.v5i1.53990.</w:t>
      </w:r>
    </w:p>
    <w:p w14:paraId="662B79B1"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 xml:space="preserve">Usmayanti, Vivi, Melani Kadar, Muhammad Haris Saputra, Effiyaldi, and Kanaya Puspa Kirana Lie. 2023. “The Influence of Financial Literacy, Financial Inclusion on the Financial Behavior of Female MSME </w:t>
      </w:r>
      <w:r w:rsidRPr="00095616">
        <w:rPr>
          <w:rFonts w:ascii="Arial" w:hAnsi="Arial"/>
          <w:sz w:val="20"/>
          <w:szCs w:val="20"/>
          <w:lang w:val="id-ID"/>
        </w:rPr>
        <w:lastRenderedPageBreak/>
        <w:t>Actors: A Case Study in Jambi.” Jurnal Ilmiah Akuntansi dan Humanika 11(1): 339–48. doi:10.23887/jiah.v13i3.66803.</w:t>
      </w:r>
    </w:p>
    <w:p w14:paraId="2CE8689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Wahyuni, Sri Fitri, et al. 2024. “The Link Between Financial Literacy and Income on Financial Well-being: Mediation of Financial Behavior of the Sandwich Generation.” Bursa: Jurnal Ekonomi dan Bisnis 3(3): 31–43.</w:t>
      </w:r>
    </w:p>
    <w:p w14:paraId="6B02761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Wahyuni, Sri Fitri, Dini Kinanti, and et al. 2023. “The Influence of Financial Literacy, Hedonistic Lifestyle and Personal Financial Attitudes on Student Financial Behavior.” Owner 7(1): 656–71. doi:10.33395/owner.v7i1.1304.</w:t>
      </w:r>
    </w:p>
    <w:p w14:paraId="69F23982" w14:textId="5002D991"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Widyakto, Adhi, Ziyana Wahyu Liyana, and Tri Rinawati. 2022. “The Influence of Financial Literacy, Financial</w:t>
      </w:r>
      <w:r w:rsidRPr="00095616">
        <w:t xml:space="preserve"> </w:t>
      </w:r>
      <w:r w:rsidRPr="00095616">
        <w:rPr>
          <w:rFonts w:ascii="Arial" w:hAnsi="Arial"/>
          <w:sz w:val="20"/>
          <w:szCs w:val="20"/>
          <w:lang w:val="id-ID"/>
        </w:rPr>
        <w:t>Attitudes, and Lifestyle on Financial Behavior.” Diponegoro International Journal of Business 5(1): 33–46. doi:10.14710/dijb.5.1.2022.33-46.</w:t>
      </w:r>
    </w:p>
    <w:p w14:paraId="29414C2B" w14:textId="0C95203F"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Zafira, Diana, Muhammad Fuad, and Ziaul Maula. 2025. “The Influence of Financial Literacy, Financial Attitudes, and Digital Literacy on the Financial Behavior of MSME Actors in Secanggang District.” Journal of Taxation &amp; Business 6(1): 66–73</w:t>
      </w:r>
    </w:p>
    <w:p w14:paraId="180E74CC" w14:textId="77777777" w:rsidR="00BF40F5" w:rsidRDefault="00BF40F5" w:rsidP="00910524">
      <w:pPr>
        <w:spacing w:after="0"/>
        <w:rPr>
          <w:rFonts w:ascii="Arial" w:hAnsi="Arial"/>
          <w:b/>
          <w:bCs/>
          <w:sz w:val="20"/>
          <w:szCs w:val="20"/>
          <w:lang w:val="id-ID"/>
        </w:rPr>
      </w:pPr>
    </w:p>
    <w:p w14:paraId="028F003A" w14:textId="77777777" w:rsidR="00BF40F5" w:rsidRDefault="00BF40F5" w:rsidP="00910524">
      <w:pPr>
        <w:spacing w:after="0"/>
        <w:rPr>
          <w:rFonts w:ascii="Arial" w:hAnsi="Arial"/>
          <w:b/>
          <w:bCs/>
          <w:sz w:val="20"/>
          <w:szCs w:val="20"/>
          <w:lang w:val="id-ID"/>
        </w:rPr>
      </w:pPr>
    </w:p>
    <w:p w14:paraId="338D65F7" w14:textId="77777777" w:rsidR="00BF40F5" w:rsidRDefault="00BF40F5" w:rsidP="00910524">
      <w:pPr>
        <w:spacing w:after="0"/>
        <w:rPr>
          <w:rFonts w:ascii="Arial" w:hAnsi="Arial"/>
          <w:b/>
          <w:bCs/>
          <w:sz w:val="20"/>
          <w:szCs w:val="20"/>
          <w:lang w:val="id-ID"/>
        </w:rPr>
      </w:pPr>
    </w:p>
    <w:p w14:paraId="1C35E21E" w14:textId="77777777" w:rsidR="00BF40F5" w:rsidRDefault="00BF40F5" w:rsidP="00910524">
      <w:pPr>
        <w:spacing w:after="0"/>
        <w:rPr>
          <w:rFonts w:ascii="Arial" w:hAnsi="Arial"/>
          <w:b/>
          <w:bCs/>
          <w:sz w:val="20"/>
          <w:szCs w:val="20"/>
          <w:lang w:val="id-ID"/>
        </w:rPr>
      </w:pPr>
    </w:p>
    <w:p w14:paraId="0CDD0ECC" w14:textId="77777777" w:rsidR="00BF40F5" w:rsidRDefault="00BF40F5" w:rsidP="00910524">
      <w:pPr>
        <w:spacing w:after="0"/>
        <w:rPr>
          <w:rFonts w:ascii="Arial" w:hAnsi="Arial"/>
          <w:b/>
          <w:bCs/>
          <w:sz w:val="20"/>
          <w:szCs w:val="20"/>
          <w:lang w:val="id-ID"/>
        </w:rPr>
      </w:pPr>
    </w:p>
    <w:p w14:paraId="24B77E66" w14:textId="77777777" w:rsidR="00BF40F5" w:rsidRPr="00660E93" w:rsidRDefault="00BF40F5" w:rsidP="00910524">
      <w:pPr>
        <w:spacing w:after="0"/>
        <w:rPr>
          <w:rFonts w:ascii="Arial" w:hAnsi="Arial"/>
          <w:b/>
          <w:bCs/>
          <w:sz w:val="20"/>
          <w:szCs w:val="20"/>
          <w:lang w:val="id-ID"/>
        </w:rPr>
      </w:pPr>
    </w:p>
    <w:p w14:paraId="5902D2ED" w14:textId="77777777" w:rsidR="00332E93" w:rsidRDefault="00332E93" w:rsidP="00605B3F">
      <w:pPr>
        <w:spacing w:after="0"/>
        <w:jc w:val="both"/>
        <w:rPr>
          <w:rFonts w:ascii="Arial" w:hAnsi="Arial"/>
          <w:b/>
          <w:bCs/>
          <w:sz w:val="22"/>
          <w:szCs w:val="22"/>
          <w:lang w:val="id-ID"/>
        </w:rPr>
      </w:pPr>
    </w:p>
    <w:sectPr w:rsidR="00332E93">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B0AE" w14:textId="77777777" w:rsidR="00405750" w:rsidRDefault="00405750" w:rsidP="00EA431A">
      <w:pPr>
        <w:spacing w:after="0"/>
      </w:pPr>
      <w:r>
        <w:separator/>
      </w:r>
    </w:p>
  </w:endnote>
  <w:endnote w:type="continuationSeparator" w:id="0">
    <w:p w14:paraId="11A387A7" w14:textId="77777777" w:rsidR="00405750" w:rsidRDefault="00405750" w:rsidP="00EA43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70E2F" w14:textId="77777777" w:rsidR="00405750" w:rsidRDefault="00405750" w:rsidP="00EA431A">
      <w:pPr>
        <w:spacing w:after="0"/>
      </w:pPr>
      <w:r>
        <w:separator/>
      </w:r>
    </w:p>
  </w:footnote>
  <w:footnote w:type="continuationSeparator" w:id="0">
    <w:p w14:paraId="47304E32" w14:textId="77777777" w:rsidR="00405750" w:rsidRDefault="00405750" w:rsidP="00EA43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3A3A" w14:textId="2F2EEBF5" w:rsidR="00EA431A" w:rsidRDefault="00000000">
    <w:pPr>
      <w:pStyle w:val="Header"/>
    </w:pPr>
    <w:r>
      <w:rPr>
        <w:noProof/>
      </w:rPr>
      <w:pict w14:anchorId="68696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539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8662" w14:textId="1B62F495" w:rsidR="00EA431A" w:rsidRDefault="00000000">
    <w:pPr>
      <w:pStyle w:val="Header"/>
    </w:pPr>
    <w:r>
      <w:rPr>
        <w:noProof/>
      </w:rPr>
      <w:pict w14:anchorId="6F975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539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6F17" w14:textId="761ADCD5" w:rsidR="00EA431A" w:rsidRDefault="00000000">
    <w:pPr>
      <w:pStyle w:val="Header"/>
    </w:pPr>
    <w:r>
      <w:rPr>
        <w:noProof/>
      </w:rPr>
      <w:pict w14:anchorId="173C0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539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A17"/>
    <w:multiLevelType w:val="hybridMultilevel"/>
    <w:tmpl w:val="437EC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464C5"/>
    <w:multiLevelType w:val="multilevel"/>
    <w:tmpl w:val="833E4636"/>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AF08B9"/>
    <w:multiLevelType w:val="hybridMultilevel"/>
    <w:tmpl w:val="B6402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C1300"/>
    <w:multiLevelType w:val="hybridMultilevel"/>
    <w:tmpl w:val="2292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749EE"/>
    <w:multiLevelType w:val="hybridMultilevel"/>
    <w:tmpl w:val="18E0C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522A0"/>
    <w:multiLevelType w:val="multilevel"/>
    <w:tmpl w:val="9D44BDC8"/>
    <w:lvl w:ilvl="0">
      <w:start w:val="1"/>
      <w:numFmt w:val="decimal"/>
      <w:lvlText w:val="%1."/>
      <w:lvlJc w:val="left"/>
      <w:pPr>
        <w:ind w:left="720" w:hanging="360"/>
      </w:pPr>
      <w:rPr>
        <w:rFonts w:hint="default"/>
      </w:rPr>
    </w:lvl>
    <w:lvl w:ilvl="1">
      <w:start w:val="3"/>
      <w:numFmt w:val="decimal"/>
      <w:isLgl/>
      <w:lvlText w:val="%1.%2"/>
      <w:lvlJc w:val="left"/>
      <w:pPr>
        <w:ind w:left="860" w:hanging="5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E06F09"/>
    <w:multiLevelType w:val="hybridMultilevel"/>
    <w:tmpl w:val="43300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7D5668"/>
    <w:multiLevelType w:val="hybridMultilevel"/>
    <w:tmpl w:val="1C5E8AF8"/>
    <w:lvl w:ilvl="0" w:tplc="792E6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25D3A"/>
    <w:multiLevelType w:val="hybridMultilevel"/>
    <w:tmpl w:val="BF3CF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419F5"/>
    <w:multiLevelType w:val="hybridMultilevel"/>
    <w:tmpl w:val="E1A4CFB2"/>
    <w:lvl w:ilvl="0" w:tplc="3B6A9DB0">
      <w:start w:val="1"/>
      <w:numFmt w:val="decimal"/>
      <w:lvlText w:val="%1."/>
      <w:lvlJc w:val="left"/>
      <w:pPr>
        <w:ind w:left="426" w:hanging="360"/>
      </w:pPr>
      <w:rPr>
        <w:rFonts w:eastAsiaTheme="minorEastAsia" w:hint="default"/>
        <w:b w:val="0"/>
        <w:sz w:val="2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15:restartNumberingAfterBreak="0">
    <w:nsid w:val="60086950"/>
    <w:multiLevelType w:val="hybridMultilevel"/>
    <w:tmpl w:val="E7D44C2A"/>
    <w:lvl w:ilvl="0" w:tplc="504AA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232D0"/>
    <w:multiLevelType w:val="hybridMultilevel"/>
    <w:tmpl w:val="A4909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D7884"/>
    <w:multiLevelType w:val="hybridMultilevel"/>
    <w:tmpl w:val="306E3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659359">
    <w:abstractNumId w:val="8"/>
  </w:num>
  <w:num w:numId="2" w16cid:durableId="1420904422">
    <w:abstractNumId w:val="12"/>
  </w:num>
  <w:num w:numId="3" w16cid:durableId="735783506">
    <w:abstractNumId w:val="3"/>
  </w:num>
  <w:num w:numId="4" w16cid:durableId="891379561">
    <w:abstractNumId w:val="9"/>
  </w:num>
  <w:num w:numId="5" w16cid:durableId="1728530901">
    <w:abstractNumId w:val="6"/>
  </w:num>
  <w:num w:numId="6" w16cid:durableId="1203861791">
    <w:abstractNumId w:val="0"/>
  </w:num>
  <w:num w:numId="7" w16cid:durableId="132843003">
    <w:abstractNumId w:val="11"/>
  </w:num>
  <w:num w:numId="8" w16cid:durableId="1930113954">
    <w:abstractNumId w:val="1"/>
  </w:num>
  <w:num w:numId="9" w16cid:durableId="2099593106">
    <w:abstractNumId w:val="5"/>
  </w:num>
  <w:num w:numId="10" w16cid:durableId="1647005519">
    <w:abstractNumId w:val="7"/>
  </w:num>
  <w:num w:numId="11" w16cid:durableId="760418660">
    <w:abstractNumId w:val="10"/>
  </w:num>
  <w:num w:numId="12" w16cid:durableId="375928795">
    <w:abstractNumId w:val="2"/>
  </w:num>
  <w:num w:numId="13" w16cid:durableId="432938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3D"/>
    <w:rsid w:val="00071D82"/>
    <w:rsid w:val="00084797"/>
    <w:rsid w:val="00095616"/>
    <w:rsid w:val="000975B5"/>
    <w:rsid w:val="000B61B6"/>
    <w:rsid w:val="000C4716"/>
    <w:rsid w:val="000C517C"/>
    <w:rsid w:val="000D41EB"/>
    <w:rsid w:val="000E0849"/>
    <w:rsid w:val="001001D5"/>
    <w:rsid w:val="001215F3"/>
    <w:rsid w:val="001601A3"/>
    <w:rsid w:val="00172294"/>
    <w:rsid w:val="00176C0F"/>
    <w:rsid w:val="00191D3B"/>
    <w:rsid w:val="00194C20"/>
    <w:rsid w:val="00196173"/>
    <w:rsid w:val="00196CD2"/>
    <w:rsid w:val="001A22C2"/>
    <w:rsid w:val="001B7C33"/>
    <w:rsid w:val="001C6F57"/>
    <w:rsid w:val="001D4D92"/>
    <w:rsid w:val="001E3FF1"/>
    <w:rsid w:val="00200833"/>
    <w:rsid w:val="00201A15"/>
    <w:rsid w:val="00201A30"/>
    <w:rsid w:val="002268B6"/>
    <w:rsid w:val="00237CF7"/>
    <w:rsid w:val="00294C2A"/>
    <w:rsid w:val="002B19DE"/>
    <w:rsid w:val="002B2EAB"/>
    <w:rsid w:val="002F493D"/>
    <w:rsid w:val="00303E03"/>
    <w:rsid w:val="0031552E"/>
    <w:rsid w:val="00316D64"/>
    <w:rsid w:val="00317967"/>
    <w:rsid w:val="0032037F"/>
    <w:rsid w:val="00320930"/>
    <w:rsid w:val="00332E93"/>
    <w:rsid w:val="00362524"/>
    <w:rsid w:val="003633A2"/>
    <w:rsid w:val="00383A66"/>
    <w:rsid w:val="003D5C80"/>
    <w:rsid w:val="003E684C"/>
    <w:rsid w:val="003E74BA"/>
    <w:rsid w:val="00405750"/>
    <w:rsid w:val="00431546"/>
    <w:rsid w:val="0045325E"/>
    <w:rsid w:val="00467524"/>
    <w:rsid w:val="00471CCD"/>
    <w:rsid w:val="004771FD"/>
    <w:rsid w:val="004E6F8B"/>
    <w:rsid w:val="00521D41"/>
    <w:rsid w:val="0056719A"/>
    <w:rsid w:val="00572D8A"/>
    <w:rsid w:val="005E269F"/>
    <w:rsid w:val="005E441C"/>
    <w:rsid w:val="005F0D20"/>
    <w:rsid w:val="005F4A29"/>
    <w:rsid w:val="00602E38"/>
    <w:rsid w:val="00603024"/>
    <w:rsid w:val="00605B3F"/>
    <w:rsid w:val="006317A0"/>
    <w:rsid w:val="00660E93"/>
    <w:rsid w:val="006B6EC7"/>
    <w:rsid w:val="006D51A5"/>
    <w:rsid w:val="0070320D"/>
    <w:rsid w:val="00715C63"/>
    <w:rsid w:val="00752D85"/>
    <w:rsid w:val="0075714A"/>
    <w:rsid w:val="00762809"/>
    <w:rsid w:val="00792098"/>
    <w:rsid w:val="00792EAE"/>
    <w:rsid w:val="007A17A6"/>
    <w:rsid w:val="007C1597"/>
    <w:rsid w:val="00825149"/>
    <w:rsid w:val="008370E9"/>
    <w:rsid w:val="00843097"/>
    <w:rsid w:val="00845972"/>
    <w:rsid w:val="008459B7"/>
    <w:rsid w:val="0086056E"/>
    <w:rsid w:val="00887516"/>
    <w:rsid w:val="00887FF7"/>
    <w:rsid w:val="008A0736"/>
    <w:rsid w:val="008A40DA"/>
    <w:rsid w:val="008B0090"/>
    <w:rsid w:val="008D6C43"/>
    <w:rsid w:val="008E1DA8"/>
    <w:rsid w:val="008E563D"/>
    <w:rsid w:val="008F574C"/>
    <w:rsid w:val="00910524"/>
    <w:rsid w:val="00984BA9"/>
    <w:rsid w:val="00985282"/>
    <w:rsid w:val="00991C59"/>
    <w:rsid w:val="00994ADB"/>
    <w:rsid w:val="009D7C96"/>
    <w:rsid w:val="009F61B6"/>
    <w:rsid w:val="00A22230"/>
    <w:rsid w:val="00A238C8"/>
    <w:rsid w:val="00A23BF6"/>
    <w:rsid w:val="00A4327F"/>
    <w:rsid w:val="00A45BBF"/>
    <w:rsid w:val="00A47586"/>
    <w:rsid w:val="00A54157"/>
    <w:rsid w:val="00A6069B"/>
    <w:rsid w:val="00A74DED"/>
    <w:rsid w:val="00A76286"/>
    <w:rsid w:val="00A92564"/>
    <w:rsid w:val="00AA17EC"/>
    <w:rsid w:val="00AA35FD"/>
    <w:rsid w:val="00AB4908"/>
    <w:rsid w:val="00AB5BBF"/>
    <w:rsid w:val="00AD2DED"/>
    <w:rsid w:val="00AE0342"/>
    <w:rsid w:val="00AE33E7"/>
    <w:rsid w:val="00AE4B00"/>
    <w:rsid w:val="00B02338"/>
    <w:rsid w:val="00B04EAD"/>
    <w:rsid w:val="00B12CAA"/>
    <w:rsid w:val="00B41B5A"/>
    <w:rsid w:val="00B51DD5"/>
    <w:rsid w:val="00B7268D"/>
    <w:rsid w:val="00BB492A"/>
    <w:rsid w:val="00BD096E"/>
    <w:rsid w:val="00BF2D0D"/>
    <w:rsid w:val="00BF3238"/>
    <w:rsid w:val="00BF40F5"/>
    <w:rsid w:val="00BF7103"/>
    <w:rsid w:val="00C16090"/>
    <w:rsid w:val="00C246E2"/>
    <w:rsid w:val="00C3157E"/>
    <w:rsid w:val="00C44850"/>
    <w:rsid w:val="00C51340"/>
    <w:rsid w:val="00C537B1"/>
    <w:rsid w:val="00C776B0"/>
    <w:rsid w:val="00CA2087"/>
    <w:rsid w:val="00CA5198"/>
    <w:rsid w:val="00CA72FD"/>
    <w:rsid w:val="00CD6BCB"/>
    <w:rsid w:val="00CE6C52"/>
    <w:rsid w:val="00CF3BEF"/>
    <w:rsid w:val="00D34FC7"/>
    <w:rsid w:val="00D54C39"/>
    <w:rsid w:val="00D979BE"/>
    <w:rsid w:val="00DA4F21"/>
    <w:rsid w:val="00DE4AAB"/>
    <w:rsid w:val="00E20038"/>
    <w:rsid w:val="00E25AB1"/>
    <w:rsid w:val="00E46FC3"/>
    <w:rsid w:val="00E97E45"/>
    <w:rsid w:val="00EA431A"/>
    <w:rsid w:val="00EA563A"/>
    <w:rsid w:val="00EA6245"/>
    <w:rsid w:val="00EB12F1"/>
    <w:rsid w:val="00EB58E4"/>
    <w:rsid w:val="00EE4CE1"/>
    <w:rsid w:val="00EF3CE2"/>
    <w:rsid w:val="00EF71FB"/>
    <w:rsid w:val="00F1702A"/>
    <w:rsid w:val="00F52253"/>
    <w:rsid w:val="00F53ED5"/>
    <w:rsid w:val="00F71872"/>
    <w:rsid w:val="00FA1DF4"/>
    <w:rsid w:val="00FA7C08"/>
    <w:rsid w:val="00FC25B6"/>
    <w:rsid w:val="00FC38B4"/>
    <w:rsid w:val="00FC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75E2"/>
  <w15:chartTrackingRefBased/>
  <w15:docId w15:val="{57EFDA07-1727-4D23-B78E-130C6F0E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49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49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9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9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93D"/>
    <w:rPr>
      <w:rFonts w:eastAsiaTheme="majorEastAsia" w:cstheme="majorBidi"/>
      <w:color w:val="272727" w:themeColor="text1" w:themeTint="D8"/>
    </w:rPr>
  </w:style>
  <w:style w:type="paragraph" w:styleId="Title">
    <w:name w:val="Title"/>
    <w:basedOn w:val="Normal"/>
    <w:next w:val="Normal"/>
    <w:link w:val="TitleChar"/>
    <w:uiPriority w:val="10"/>
    <w:qFormat/>
    <w:rsid w:val="002F49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93D"/>
    <w:pPr>
      <w:spacing w:before="160"/>
      <w:jc w:val="center"/>
    </w:pPr>
    <w:rPr>
      <w:i/>
      <w:iCs/>
      <w:color w:val="404040" w:themeColor="text1" w:themeTint="BF"/>
    </w:rPr>
  </w:style>
  <w:style w:type="character" w:customStyle="1" w:styleId="QuoteChar">
    <w:name w:val="Quote Char"/>
    <w:basedOn w:val="DefaultParagraphFont"/>
    <w:link w:val="Quote"/>
    <w:uiPriority w:val="29"/>
    <w:rsid w:val="002F493D"/>
    <w:rPr>
      <w:i/>
      <w:iCs/>
      <w:color w:val="404040" w:themeColor="text1" w:themeTint="BF"/>
    </w:rPr>
  </w:style>
  <w:style w:type="paragraph" w:styleId="ListParagraph">
    <w:name w:val="List Paragraph"/>
    <w:basedOn w:val="Normal"/>
    <w:uiPriority w:val="34"/>
    <w:qFormat/>
    <w:rsid w:val="002F493D"/>
    <w:pPr>
      <w:ind w:left="720"/>
      <w:contextualSpacing/>
    </w:pPr>
  </w:style>
  <w:style w:type="character" w:styleId="IntenseEmphasis">
    <w:name w:val="Intense Emphasis"/>
    <w:basedOn w:val="DefaultParagraphFont"/>
    <w:uiPriority w:val="21"/>
    <w:qFormat/>
    <w:rsid w:val="002F493D"/>
    <w:rPr>
      <w:i/>
      <w:iCs/>
      <w:color w:val="2F5496" w:themeColor="accent1" w:themeShade="BF"/>
    </w:rPr>
  </w:style>
  <w:style w:type="paragraph" w:styleId="IntenseQuote">
    <w:name w:val="Intense Quote"/>
    <w:basedOn w:val="Normal"/>
    <w:next w:val="Normal"/>
    <w:link w:val="IntenseQuoteChar"/>
    <w:uiPriority w:val="30"/>
    <w:qFormat/>
    <w:rsid w:val="002F4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93D"/>
    <w:rPr>
      <w:i/>
      <w:iCs/>
      <w:color w:val="2F5496" w:themeColor="accent1" w:themeShade="BF"/>
    </w:rPr>
  </w:style>
  <w:style w:type="character" w:styleId="IntenseReference">
    <w:name w:val="Intense Reference"/>
    <w:basedOn w:val="DefaultParagraphFont"/>
    <w:uiPriority w:val="32"/>
    <w:qFormat/>
    <w:rsid w:val="002F493D"/>
    <w:rPr>
      <w:b/>
      <w:bCs/>
      <w:smallCaps/>
      <w:color w:val="2F5496" w:themeColor="accent1" w:themeShade="BF"/>
      <w:spacing w:val="5"/>
    </w:rPr>
  </w:style>
  <w:style w:type="table" w:styleId="TableGrid">
    <w:name w:val="Table Grid"/>
    <w:basedOn w:val="TableNormal"/>
    <w:uiPriority w:val="39"/>
    <w:rsid w:val="002F49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FC7"/>
    <w:rPr>
      <w:color w:val="0563C1" w:themeColor="hyperlink"/>
      <w:u w:val="single"/>
    </w:rPr>
  </w:style>
  <w:style w:type="character" w:styleId="UnresolvedMention">
    <w:name w:val="Unresolved Mention"/>
    <w:basedOn w:val="DefaultParagraphFont"/>
    <w:uiPriority w:val="99"/>
    <w:semiHidden/>
    <w:unhideWhenUsed/>
    <w:rsid w:val="00D34FC7"/>
    <w:rPr>
      <w:color w:val="605E5C"/>
      <w:shd w:val="clear" w:color="auto" w:fill="E1DFDD"/>
    </w:rPr>
  </w:style>
  <w:style w:type="paragraph" w:styleId="Header">
    <w:name w:val="header"/>
    <w:basedOn w:val="Normal"/>
    <w:link w:val="HeaderChar"/>
    <w:uiPriority w:val="99"/>
    <w:unhideWhenUsed/>
    <w:rsid w:val="00EA431A"/>
    <w:pPr>
      <w:tabs>
        <w:tab w:val="center" w:pos="4680"/>
        <w:tab w:val="right" w:pos="9360"/>
      </w:tabs>
      <w:spacing w:after="0"/>
    </w:pPr>
  </w:style>
  <w:style w:type="character" w:customStyle="1" w:styleId="HeaderChar">
    <w:name w:val="Header Char"/>
    <w:basedOn w:val="DefaultParagraphFont"/>
    <w:link w:val="Header"/>
    <w:uiPriority w:val="99"/>
    <w:rsid w:val="00EA431A"/>
  </w:style>
  <w:style w:type="paragraph" w:styleId="Footer">
    <w:name w:val="footer"/>
    <w:basedOn w:val="Normal"/>
    <w:link w:val="FooterChar"/>
    <w:uiPriority w:val="99"/>
    <w:unhideWhenUsed/>
    <w:rsid w:val="00EA431A"/>
    <w:pPr>
      <w:tabs>
        <w:tab w:val="center" w:pos="4680"/>
        <w:tab w:val="right" w:pos="9360"/>
      </w:tabs>
      <w:spacing w:after="0"/>
    </w:pPr>
  </w:style>
  <w:style w:type="character" w:customStyle="1" w:styleId="FooterChar">
    <w:name w:val="Footer Char"/>
    <w:basedOn w:val="DefaultParagraphFont"/>
    <w:link w:val="Footer"/>
    <w:uiPriority w:val="99"/>
    <w:rsid w:val="00EA4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dLbl>
              <c:idx val="3"/>
              <c:tx>
                <c:rich>
                  <a:bodyPr/>
                  <a:lstStyle/>
                  <a:p>
                    <a:r>
                      <a:rPr lang="en-US"/>
                      <a:t>6.271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23B-4517-9F53-B56483C8E5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Quarterly III 2023</c:v>
                </c:pt>
                <c:pt idx="1">
                  <c:v>Quarterly II 2024</c:v>
                </c:pt>
                <c:pt idx="2">
                  <c:v>Quarterly II 2025</c:v>
                </c:pt>
                <c:pt idx="3">
                  <c:v>Quarterly III 2025</c:v>
                </c:pt>
              </c:strCache>
            </c:strRef>
          </c:cat>
          <c:val>
            <c:numRef>
              <c:f>Sheet1!$B$2:$B$5</c:f>
              <c:numCache>
                <c:formatCode>General</c:formatCode>
                <c:ptCount val="4"/>
                <c:pt idx="0">
                  <c:v>8.5510000000000002</c:v>
                </c:pt>
                <c:pt idx="1">
                  <c:v>5.4379999999999997</c:v>
                </c:pt>
                <c:pt idx="2">
                  <c:v>6.0049999999999999</c:v>
                </c:pt>
                <c:pt idx="3">
                  <c:v>4.5</c:v>
                </c:pt>
              </c:numCache>
            </c:numRef>
          </c:val>
          <c:smooth val="0"/>
          <c:extLst>
            <c:ext xmlns:c16="http://schemas.microsoft.com/office/drawing/2014/chart" uri="{C3380CC4-5D6E-409C-BE32-E72D297353CC}">
              <c16:uniqueId val="{00000000-E23B-4517-9F53-B56483C8E502}"/>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Quarterly III 2023</c:v>
                </c:pt>
                <c:pt idx="1">
                  <c:v>Quarterly II 2024</c:v>
                </c:pt>
                <c:pt idx="2">
                  <c:v>Quarterly II 2025</c:v>
                </c:pt>
                <c:pt idx="3">
                  <c:v>Quarterly III 2025</c:v>
                </c:pt>
              </c:strCache>
            </c:strRef>
          </c:cat>
          <c:val>
            <c:numRef>
              <c:f>Sheet1!$C$2:$C$5</c:f>
              <c:numCache>
                <c:formatCode>General</c:formatCode>
                <c:ptCount val="4"/>
              </c:numCache>
            </c:numRef>
          </c:val>
          <c:smooth val="0"/>
          <c:extLst>
            <c:ext xmlns:c16="http://schemas.microsoft.com/office/drawing/2014/chart" uri="{C3380CC4-5D6E-409C-BE32-E72D297353CC}">
              <c16:uniqueId val="{00000001-E23B-4517-9F53-B56483C8E502}"/>
            </c:ext>
          </c:extLst>
        </c:ser>
        <c:ser>
          <c:idx val="2"/>
          <c:order val="2"/>
          <c:tx>
            <c:strRef>
              <c:f>Sheet1!$D$1</c:f>
              <c:strCache>
                <c:ptCount val="1"/>
                <c:pt idx="0">
                  <c:v>Series 3</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Quarterly III 2023</c:v>
                </c:pt>
                <c:pt idx="1">
                  <c:v>Quarterly II 2024</c:v>
                </c:pt>
                <c:pt idx="2">
                  <c:v>Quarterly II 2025</c:v>
                </c:pt>
                <c:pt idx="3">
                  <c:v>Quarterly III 2025</c:v>
                </c:pt>
              </c:strCache>
            </c:strRef>
          </c:cat>
          <c:val>
            <c:numRef>
              <c:f>Sheet1!$D$2:$D$5</c:f>
              <c:numCache>
                <c:formatCode>General</c:formatCode>
                <c:ptCount val="4"/>
              </c:numCache>
            </c:numRef>
          </c:val>
          <c:smooth val="0"/>
          <c:extLst>
            <c:ext xmlns:c16="http://schemas.microsoft.com/office/drawing/2014/chart" uri="{C3380CC4-5D6E-409C-BE32-E72D297353CC}">
              <c16:uniqueId val="{00000002-E23B-4517-9F53-B56483C8E502}"/>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05996031"/>
        <c:axId val="505999391"/>
      </c:lineChart>
      <c:catAx>
        <c:axId val="505996031"/>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id-ID"/>
                  <a:t>Time Period</a:t>
                </a:r>
                <a:endParaRPr lang="en-US"/>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505999391"/>
        <c:crosses val="autoZero"/>
        <c:auto val="1"/>
        <c:lblAlgn val="ctr"/>
        <c:lblOffset val="100"/>
        <c:noMultiLvlLbl val="0"/>
      </c:catAx>
      <c:valAx>
        <c:axId val="505999391"/>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id-ID"/>
                  <a:t>Number of MSMEs</a:t>
                </a:r>
                <a:endParaRPr lang="en-US"/>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505996031"/>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F2507-AEF8-4552-9F75-CD827765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38722</Words>
  <Characters>220717</Characters>
  <Application>Microsoft Office Word</Application>
  <DocSecurity>0</DocSecurity>
  <Lines>1839</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Arum Swastika</dc:creator>
  <cp:keywords/>
  <dc:description/>
  <cp:lastModifiedBy>Arum Swastika</cp:lastModifiedBy>
  <cp:revision>10</cp:revision>
  <dcterms:created xsi:type="dcterms:W3CDTF">2026-01-11T14:39:00Z</dcterms:created>
  <dcterms:modified xsi:type="dcterms:W3CDTF">2026-01-12T08:38:00Z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5f532fb1-01eb-3934-851c-bf7b783da7e7</vt:lpwstr>
  </property>
  <property fmtid="{D5CDD505-2E9C-101B-9397-08002B2CF9AE}" pid="24" name="Mendeley Citation Style_1">
    <vt:lpwstr>http://www.zotero.org/styles/american-political-science-association</vt:lpwstr>
  </property>
</Properties>
</file>