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F5510C" w14:textId="77777777" w:rsidR="00154251" w:rsidRDefault="00154251" w:rsidP="00154251">
      <w:pPr>
        <w:jc w:val="both"/>
        <w:rPr>
          <w:rFonts w:ascii="Times New Roman" w:hAnsi="Times New Roman" w:cs="Times New Roman"/>
          <w:b/>
          <w:bCs/>
          <w:sz w:val="24"/>
          <w:szCs w:val="24"/>
        </w:rPr>
      </w:pPr>
    </w:p>
    <w:p w14:paraId="4812A199" w14:textId="7DA8FAFC" w:rsidR="00154251" w:rsidRDefault="00154251" w:rsidP="00154251">
      <w:pPr>
        <w:jc w:val="center"/>
        <w:rPr>
          <w:rFonts w:ascii="Times New Roman" w:hAnsi="Times New Roman" w:cs="Times New Roman"/>
          <w:b/>
          <w:bCs/>
          <w:sz w:val="24"/>
          <w:szCs w:val="24"/>
        </w:rPr>
      </w:pPr>
      <w:r w:rsidRPr="00154251">
        <w:rPr>
          <w:rFonts w:ascii="Times New Roman" w:hAnsi="Times New Roman" w:cs="Times New Roman"/>
          <w:b/>
          <w:bCs/>
          <w:sz w:val="24"/>
          <w:szCs w:val="24"/>
        </w:rPr>
        <w:t>Green Growth and Sustainable Finance: A Narrative Review of Economic Evidence and Policy Pathways</w:t>
      </w:r>
    </w:p>
    <w:p w14:paraId="56B199A5" w14:textId="77777777" w:rsidR="00E42831" w:rsidRDefault="00E42831" w:rsidP="00154251">
      <w:pPr>
        <w:jc w:val="center"/>
        <w:rPr>
          <w:rFonts w:ascii="Times New Roman" w:hAnsi="Times New Roman" w:cs="Times New Roman"/>
          <w:b/>
          <w:bCs/>
          <w:sz w:val="24"/>
          <w:szCs w:val="24"/>
        </w:rPr>
      </w:pPr>
    </w:p>
    <w:p w14:paraId="3B12CCB4" w14:textId="6D0EFC8D" w:rsidR="00154251" w:rsidRDefault="00154251" w:rsidP="00154251">
      <w:pPr>
        <w:jc w:val="both"/>
        <w:rPr>
          <w:rFonts w:ascii="Times New Roman" w:hAnsi="Times New Roman" w:cs="Times New Roman"/>
          <w:b/>
          <w:bCs/>
          <w:sz w:val="24"/>
          <w:szCs w:val="24"/>
        </w:rPr>
      </w:pPr>
    </w:p>
    <w:p w14:paraId="72FBA029" w14:textId="77777777" w:rsidR="005241B1" w:rsidRDefault="005241B1" w:rsidP="00154251">
      <w:pPr>
        <w:jc w:val="both"/>
        <w:rPr>
          <w:rFonts w:ascii="Times New Roman" w:hAnsi="Times New Roman" w:cs="Times New Roman"/>
          <w:b/>
          <w:bCs/>
          <w:sz w:val="24"/>
          <w:szCs w:val="24"/>
        </w:rPr>
      </w:pPr>
    </w:p>
    <w:p w14:paraId="5EC1159D" w14:textId="0DCE36A3" w:rsidR="00154251" w:rsidRPr="00154251" w:rsidRDefault="00154251" w:rsidP="00154251">
      <w:pPr>
        <w:jc w:val="both"/>
        <w:rPr>
          <w:rFonts w:ascii="Times New Roman" w:hAnsi="Times New Roman" w:cs="Times New Roman"/>
          <w:b/>
          <w:bCs/>
          <w:sz w:val="24"/>
          <w:szCs w:val="24"/>
        </w:rPr>
      </w:pPr>
      <w:r w:rsidRPr="00154251">
        <w:rPr>
          <w:rFonts w:ascii="Times New Roman" w:hAnsi="Times New Roman" w:cs="Times New Roman"/>
          <w:b/>
          <w:bCs/>
          <w:sz w:val="24"/>
          <w:szCs w:val="24"/>
        </w:rPr>
        <w:t>Abstract</w:t>
      </w:r>
    </w:p>
    <w:p w14:paraId="710EA084" w14:textId="12846F5D" w:rsidR="00407939" w:rsidRPr="00154251" w:rsidRDefault="00407939" w:rsidP="00154251">
      <w:pPr>
        <w:jc w:val="both"/>
        <w:rPr>
          <w:rFonts w:ascii="Times New Roman" w:hAnsi="Times New Roman" w:cs="Times New Roman"/>
          <w:sz w:val="24"/>
          <w:szCs w:val="24"/>
        </w:rPr>
      </w:pPr>
      <w:r w:rsidRPr="00407939">
        <w:rPr>
          <w:rFonts w:ascii="Times New Roman" w:hAnsi="Times New Roman" w:cs="Times New Roman"/>
          <w:sz w:val="24"/>
          <w:szCs w:val="24"/>
        </w:rPr>
        <w:t>The search for economic growth that is still viable environmentally has reignited the applicability of the concepts of green growth and sustainable finance. Both have been prominently featured in policy debates, but their economic bases and their effectiveness are still questioned. This narrative review summarizes the literature of environmental and financial economics to assess how environmental policy, innovation, and financial mechanisms together influence growth outcomes and transition pathways.</w:t>
      </w:r>
      <w:r>
        <w:rPr>
          <w:rFonts w:ascii="Times New Roman" w:hAnsi="Times New Roman" w:cs="Times New Roman"/>
          <w:sz w:val="24"/>
          <w:szCs w:val="24"/>
        </w:rPr>
        <w:t xml:space="preserve"> </w:t>
      </w:r>
      <w:r w:rsidRPr="00407939">
        <w:rPr>
          <w:rFonts w:ascii="Times New Roman" w:hAnsi="Times New Roman" w:cs="Times New Roman"/>
          <w:sz w:val="24"/>
          <w:szCs w:val="24"/>
        </w:rPr>
        <w:t>The review is structured around four themes</w:t>
      </w:r>
      <w:r>
        <w:rPr>
          <w:rFonts w:ascii="Times New Roman" w:hAnsi="Times New Roman" w:cs="Times New Roman"/>
          <w:sz w:val="24"/>
          <w:szCs w:val="24"/>
        </w:rPr>
        <w:t>,</w:t>
      </w:r>
      <w:r w:rsidRPr="00407939">
        <w:rPr>
          <w:rFonts w:ascii="Times New Roman" w:hAnsi="Times New Roman" w:cs="Times New Roman"/>
          <w:sz w:val="24"/>
          <w:szCs w:val="24"/>
        </w:rPr>
        <w:t xml:space="preserve"> the conceptualization and measurement of green growth; the relationship between environmental policy, innovation, and economic performance</w:t>
      </w:r>
      <w:r>
        <w:rPr>
          <w:rFonts w:ascii="Times New Roman" w:hAnsi="Times New Roman" w:cs="Times New Roman"/>
          <w:sz w:val="24"/>
          <w:szCs w:val="24"/>
        </w:rPr>
        <w:t>,</w:t>
      </w:r>
      <w:r w:rsidRPr="00407939">
        <w:rPr>
          <w:rFonts w:ascii="Times New Roman" w:hAnsi="Times New Roman" w:cs="Times New Roman"/>
          <w:sz w:val="24"/>
          <w:szCs w:val="24"/>
        </w:rPr>
        <w:t xml:space="preserve"> the role of sustainable finance in reallocating capital; and the implications of climate, related financial risks for governance and stability. Green growth, according to the evidence, hinges on measurement frameworks that are based on wealth and well, designed environmental policies that redirect technological change without causing a decline in productivity.</w:t>
      </w:r>
      <w:r>
        <w:rPr>
          <w:rFonts w:ascii="Times New Roman" w:hAnsi="Times New Roman" w:cs="Times New Roman"/>
          <w:sz w:val="24"/>
          <w:szCs w:val="24"/>
        </w:rPr>
        <w:t xml:space="preserve"> </w:t>
      </w:r>
      <w:r w:rsidRPr="00407939">
        <w:rPr>
          <w:rFonts w:ascii="Times New Roman" w:hAnsi="Times New Roman" w:cs="Times New Roman"/>
          <w:sz w:val="24"/>
          <w:szCs w:val="24"/>
        </w:rPr>
        <w:t>Sustainable finance may play a role in these developments by reducing the financing costs and making the risk pricing more efficient, yet its effect is still very limited in the absence of policy signals, disclosure, and governance. The financial risks associated with climate change reinforce the argument for embedding sustainable finance operations within macro, financial oversight. The review, in general, conveys that green growth is a real option but it will not happen automatically.</w:t>
      </w:r>
      <w:r>
        <w:rPr>
          <w:rFonts w:ascii="Times New Roman" w:hAnsi="Times New Roman" w:cs="Times New Roman"/>
          <w:sz w:val="24"/>
          <w:szCs w:val="24"/>
        </w:rPr>
        <w:t xml:space="preserve"> </w:t>
      </w:r>
      <w:r w:rsidRPr="00407939">
        <w:rPr>
          <w:rFonts w:ascii="Times New Roman" w:hAnsi="Times New Roman" w:cs="Times New Roman"/>
          <w:sz w:val="24"/>
          <w:szCs w:val="24"/>
        </w:rPr>
        <w:t>It calls for a coordinated policy pathway that aligns regulation, innovation, and finance while at the same time managing trade</w:t>
      </w:r>
      <w:r>
        <w:rPr>
          <w:rFonts w:ascii="Times New Roman" w:hAnsi="Times New Roman" w:cs="Times New Roman"/>
          <w:sz w:val="24"/>
          <w:szCs w:val="24"/>
        </w:rPr>
        <w:t>-</w:t>
      </w:r>
      <w:r w:rsidRPr="00407939">
        <w:rPr>
          <w:rFonts w:ascii="Times New Roman" w:hAnsi="Times New Roman" w:cs="Times New Roman"/>
          <w:sz w:val="24"/>
          <w:szCs w:val="24"/>
        </w:rPr>
        <w:t>offs and systemic risks.</w:t>
      </w:r>
    </w:p>
    <w:p w14:paraId="0A9BBAF4" w14:textId="541C0F1C" w:rsidR="00E01CC4" w:rsidRDefault="00EC744D" w:rsidP="002A1F73">
      <w:pPr>
        <w:jc w:val="both"/>
        <w:rPr>
          <w:rFonts w:ascii="Times New Roman" w:hAnsi="Times New Roman" w:cs="Times New Roman"/>
          <w:sz w:val="24"/>
          <w:szCs w:val="24"/>
        </w:rPr>
      </w:pPr>
      <w:r w:rsidRPr="00EC744D">
        <w:rPr>
          <w:rFonts w:ascii="Times New Roman" w:hAnsi="Times New Roman" w:cs="Times New Roman"/>
          <w:b/>
          <w:bCs/>
          <w:sz w:val="24"/>
          <w:szCs w:val="24"/>
        </w:rPr>
        <w:t>Keywords:</w:t>
      </w:r>
      <w:r w:rsidRPr="00EC744D">
        <w:rPr>
          <w:rFonts w:ascii="Times New Roman" w:hAnsi="Times New Roman" w:cs="Times New Roman"/>
          <w:sz w:val="24"/>
          <w:szCs w:val="24"/>
        </w:rPr>
        <w:t xml:space="preserve"> Green growth; sustainable finance; environmental policy; climate-related financial risk; technological innovation; policy governance</w:t>
      </w:r>
    </w:p>
    <w:p w14:paraId="537C77D1" w14:textId="690D742D" w:rsidR="007E192E" w:rsidRDefault="007E192E" w:rsidP="002A1F73">
      <w:pPr>
        <w:jc w:val="both"/>
        <w:rPr>
          <w:rFonts w:ascii="Times New Roman" w:hAnsi="Times New Roman" w:cs="Times New Roman"/>
          <w:sz w:val="24"/>
          <w:szCs w:val="24"/>
        </w:rPr>
      </w:pPr>
    </w:p>
    <w:p w14:paraId="44863577" w14:textId="77777777" w:rsidR="0032327B" w:rsidRPr="0032327B" w:rsidRDefault="0032327B" w:rsidP="0032327B">
      <w:pPr>
        <w:numPr>
          <w:ilvl w:val="0"/>
          <w:numId w:val="3"/>
        </w:numPr>
        <w:contextualSpacing/>
        <w:jc w:val="both"/>
        <w:rPr>
          <w:rFonts w:ascii="Times New Roman" w:hAnsi="Times New Roman" w:cs="Times New Roman"/>
          <w:b/>
          <w:sz w:val="24"/>
          <w:szCs w:val="24"/>
        </w:rPr>
      </w:pPr>
      <w:r w:rsidRPr="0032327B">
        <w:rPr>
          <w:rFonts w:ascii="Times New Roman" w:hAnsi="Times New Roman" w:cs="Times New Roman"/>
          <w:b/>
          <w:sz w:val="24"/>
          <w:szCs w:val="24"/>
        </w:rPr>
        <w:t>Introduction</w:t>
      </w:r>
    </w:p>
    <w:p w14:paraId="7050D87A" w14:textId="377C7C38" w:rsidR="0032327B" w:rsidRPr="0032327B" w:rsidRDefault="0032327B" w:rsidP="00D670BC">
      <w:pPr>
        <w:jc w:val="both"/>
        <w:rPr>
          <w:rFonts w:ascii="Times New Roman" w:hAnsi="Times New Roman" w:cs="Times New Roman"/>
          <w:sz w:val="24"/>
          <w:szCs w:val="24"/>
        </w:rPr>
      </w:pPr>
      <w:r w:rsidRPr="0032327B">
        <w:rPr>
          <w:rFonts w:ascii="Times New Roman" w:hAnsi="Times New Roman" w:cs="Times New Roman"/>
          <w:sz w:val="24"/>
          <w:szCs w:val="24"/>
        </w:rPr>
        <w:t xml:space="preserve">Maintaining long-term economic growth in a world where we have to deal with climate change and environmental degradation is the major challenge that policymakers all over the globe are facing now. The idea of green growth is the way out this problem, suggesting that economic growth can be in harmony with environmental sustainability if we use the right policies, technology and institutional structures. Also, the concept of </w:t>
      </w:r>
      <w:r w:rsidR="00513DE5">
        <w:rPr>
          <w:rFonts w:ascii="Times New Roman" w:hAnsi="Times New Roman" w:cs="Times New Roman"/>
          <w:sz w:val="24"/>
          <w:szCs w:val="24"/>
          <w:highlight w:val="yellow"/>
        </w:rPr>
        <w:t>s</w:t>
      </w:r>
      <w:r w:rsidR="00D670BC" w:rsidRPr="00D670BC">
        <w:rPr>
          <w:rFonts w:ascii="Times New Roman" w:hAnsi="Times New Roman" w:cs="Times New Roman"/>
          <w:sz w:val="24"/>
          <w:szCs w:val="24"/>
          <w:highlight w:val="yellow"/>
        </w:rPr>
        <w:t xml:space="preserve">ustainable finance has been increasingly promoted as a mechanism for attracting private capital toward environmentally sustainable investments and supporting the transition to a low-carbon economy (Flammer, 2021; </w:t>
      </w:r>
      <w:proofErr w:type="spellStart"/>
      <w:r w:rsidR="00D670BC" w:rsidRPr="00D670BC">
        <w:rPr>
          <w:rFonts w:ascii="Times New Roman" w:hAnsi="Times New Roman" w:cs="Times New Roman"/>
          <w:sz w:val="24"/>
          <w:szCs w:val="24"/>
          <w:highlight w:val="yellow"/>
        </w:rPr>
        <w:t>Batrancea</w:t>
      </w:r>
      <w:proofErr w:type="spellEnd"/>
      <w:r w:rsidR="00D670BC" w:rsidRPr="00D670BC">
        <w:rPr>
          <w:rFonts w:ascii="Times New Roman" w:hAnsi="Times New Roman" w:cs="Times New Roman"/>
          <w:sz w:val="24"/>
          <w:szCs w:val="24"/>
          <w:highlight w:val="yellow"/>
        </w:rPr>
        <w:t xml:space="preserve"> et al., 2021)</w:t>
      </w:r>
      <w:r w:rsidRPr="00D670BC">
        <w:rPr>
          <w:rFonts w:ascii="Times New Roman" w:hAnsi="Times New Roman" w:cs="Times New Roman"/>
          <w:sz w:val="24"/>
          <w:szCs w:val="24"/>
          <w:highlight w:val="yellow"/>
        </w:rPr>
        <w:t>.</w:t>
      </w:r>
      <w:r w:rsidRPr="0032327B">
        <w:rPr>
          <w:rFonts w:ascii="Times New Roman" w:hAnsi="Times New Roman" w:cs="Times New Roman"/>
          <w:sz w:val="24"/>
          <w:szCs w:val="24"/>
        </w:rPr>
        <w:t xml:space="preserve"> On one hand, empirical evidence is inconclusive on the question of whether environmental policies </w:t>
      </w:r>
      <w:r w:rsidRPr="0032327B">
        <w:rPr>
          <w:rFonts w:ascii="Times New Roman" w:hAnsi="Times New Roman" w:cs="Times New Roman"/>
          <w:sz w:val="24"/>
          <w:szCs w:val="24"/>
        </w:rPr>
        <w:lastRenderedPageBreak/>
        <w:t xml:space="preserve">put a brake on or drive productivity, while on the other hand, the question of the effectiveness of sustainable finance instruments in redirecting capital towards truly green activities remains unresolved. Besides, the growing awareness of the risks of climate change to the financial sector has led to a shift of the debate from issues of growth and investment to those of financial stability, disclosure, and regulatory governance. The problems are, thus, very real and immediate in contexts of developing economies where climate impacts are entangled with livelihoods and economic vulnerability, deepening the call for the need of growth strategies that not only focus on the social and distributional aspects of sustainability but also explicitly incorporate them (Shamim &amp; </w:t>
      </w:r>
      <w:proofErr w:type="spellStart"/>
      <w:r w:rsidRPr="0032327B">
        <w:rPr>
          <w:rFonts w:ascii="Times New Roman" w:hAnsi="Times New Roman" w:cs="Times New Roman"/>
          <w:sz w:val="24"/>
          <w:szCs w:val="24"/>
        </w:rPr>
        <w:t>Faishal</w:t>
      </w:r>
      <w:proofErr w:type="spellEnd"/>
      <w:r w:rsidRPr="0032327B">
        <w:rPr>
          <w:rFonts w:ascii="Times New Roman" w:hAnsi="Times New Roman" w:cs="Times New Roman"/>
          <w:sz w:val="24"/>
          <w:szCs w:val="24"/>
        </w:rPr>
        <w:t>, 2019). The two sets of literatures have been separately explored, thus, the interaction between real economic activity, financial markets, and policy in practice is not fully understood.</w:t>
      </w:r>
    </w:p>
    <w:p w14:paraId="688DAEB0" w14:textId="0D281334" w:rsidR="0032327B" w:rsidRPr="0032327B" w:rsidRDefault="0032327B" w:rsidP="0032327B">
      <w:pPr>
        <w:jc w:val="both"/>
        <w:rPr>
          <w:rFonts w:ascii="Times New Roman" w:hAnsi="Times New Roman" w:cs="Times New Roman"/>
          <w:sz w:val="24"/>
          <w:szCs w:val="24"/>
        </w:rPr>
      </w:pPr>
      <w:r w:rsidRPr="0032327B">
        <w:rPr>
          <w:rFonts w:ascii="Times New Roman" w:hAnsi="Times New Roman" w:cs="Times New Roman"/>
          <w:sz w:val="24"/>
          <w:szCs w:val="24"/>
        </w:rPr>
        <w:t xml:space="preserve">This narrative review seeks to bring together these pieces of evidence by combining leading ideas from environmental economics and financial economics. </w:t>
      </w:r>
      <w:r w:rsidR="00841EC5" w:rsidRPr="00841EC5">
        <w:rPr>
          <w:rFonts w:ascii="Times New Roman" w:hAnsi="Times New Roman" w:cs="Times New Roman"/>
          <w:sz w:val="24"/>
          <w:szCs w:val="24"/>
          <w:highlight w:val="yellow"/>
        </w:rPr>
        <w:t xml:space="preserve">The contribution of this paper lies in synthesizing and interpreting existing economic evidence rather than </w:t>
      </w:r>
      <w:r w:rsidR="00841EC5">
        <w:rPr>
          <w:rFonts w:ascii="Times New Roman" w:hAnsi="Times New Roman" w:cs="Times New Roman"/>
          <w:sz w:val="24"/>
          <w:szCs w:val="24"/>
          <w:highlight w:val="yellow"/>
        </w:rPr>
        <w:t xml:space="preserve">the </w:t>
      </w:r>
      <w:r w:rsidR="00841EC5" w:rsidRPr="00841EC5">
        <w:rPr>
          <w:rFonts w:ascii="Times New Roman" w:hAnsi="Times New Roman" w:cs="Times New Roman"/>
          <w:sz w:val="24"/>
          <w:szCs w:val="24"/>
          <w:highlight w:val="yellow"/>
        </w:rPr>
        <w:t xml:space="preserve">generating new empirical estimates. By integrating findings across diverse strands of the literature, the review clarifies how environmental policy, innovation dynamics, and financial mechanisms jointly shape green growth pathways. This approach </w:t>
      </w:r>
      <w:proofErr w:type="gramStart"/>
      <w:r w:rsidR="00841EC5" w:rsidRPr="00841EC5">
        <w:rPr>
          <w:rFonts w:ascii="Times New Roman" w:hAnsi="Times New Roman" w:cs="Times New Roman"/>
          <w:sz w:val="24"/>
          <w:szCs w:val="24"/>
          <w:highlight w:val="yellow"/>
        </w:rPr>
        <w:t>allows  paper</w:t>
      </w:r>
      <w:proofErr w:type="gramEnd"/>
      <w:r w:rsidR="00841EC5" w:rsidRPr="00841EC5">
        <w:rPr>
          <w:rFonts w:ascii="Times New Roman" w:hAnsi="Times New Roman" w:cs="Times New Roman"/>
          <w:sz w:val="24"/>
          <w:szCs w:val="24"/>
          <w:highlight w:val="yellow"/>
        </w:rPr>
        <w:t xml:space="preserve"> to identify robust insights, unresolved empirical questions, and policy-relevant trade-offs that are often examined in isolation in the existing literature.</w:t>
      </w:r>
      <w:r w:rsidR="00841EC5">
        <w:rPr>
          <w:rFonts w:ascii="Times New Roman" w:hAnsi="Times New Roman" w:cs="Times New Roman"/>
          <w:sz w:val="24"/>
          <w:szCs w:val="24"/>
        </w:rPr>
        <w:t xml:space="preserve"> </w:t>
      </w:r>
      <w:r w:rsidRPr="0032327B">
        <w:rPr>
          <w:rFonts w:ascii="Times New Roman" w:hAnsi="Times New Roman" w:cs="Times New Roman"/>
          <w:sz w:val="24"/>
          <w:szCs w:val="24"/>
        </w:rPr>
        <w:t>Instead of questioning if green growth can be possible in principle, the paper concentrates on the ways political design, innovation dynamics, and financial mechanisms together influence growth results and transition routes. The work is structured around four topics: the understanding and quantifying of green growth; the impact of environmental policy, innovation, and economic performance; the contribution of green finance to capital allocation; and, finally, the consequences of climate, related financial risks for regulation and security.</w:t>
      </w:r>
    </w:p>
    <w:p w14:paraId="1E738535" w14:textId="58F9DB21" w:rsidR="0032327B" w:rsidRDefault="0032327B" w:rsidP="0032327B">
      <w:pPr>
        <w:jc w:val="both"/>
        <w:rPr>
          <w:rFonts w:ascii="Times New Roman" w:hAnsi="Times New Roman" w:cs="Times New Roman"/>
          <w:sz w:val="24"/>
          <w:szCs w:val="24"/>
        </w:rPr>
      </w:pPr>
      <w:r w:rsidRPr="0032327B">
        <w:rPr>
          <w:rFonts w:ascii="Times New Roman" w:hAnsi="Times New Roman" w:cs="Times New Roman"/>
          <w:sz w:val="24"/>
          <w:szCs w:val="24"/>
        </w:rPr>
        <w:t>To back up this integration, Table 1 lays out the fundamental economic, Core green growth ideas, measurement methods, and policy innovation linkages. Table 2 aggregates sustainable finance instruments, risk pricing, and regulatory responses insights. Figure 1 shows a conceptual framework connecting green growth, sustainable finance, and policy, and Figure 2 depicts policy transmission pathways, tradeoffs, and risks. In the Core framework linking green growth, sustainable finance, and policy, Trade-offs, risks, and policy transmission pathways. These components combined describe a structured account of knowledge, Conceptual framework connecting green growth, sustainable finance, and policy. Policy transmission pathways, trade- offs, and risks. known as well as the areas where the proof is lacking and the policy routes are most likely to be. This review, by providing a brief, policy, oriented synthesis, is a Structured account of knowledge, known as well as areas where proof is lacking and policy routes are most likely. Brief, policy, oriented synthesis contributing to ongoing debates on sustainable development and signaling key areas for future research and coordinated policy action. debate surrounding sustainable development, to which it makes a key contribution by pinpointing the major areas for future research and coordinated policy action.</w:t>
      </w:r>
    </w:p>
    <w:p w14:paraId="0458708F" w14:textId="79B265C5" w:rsidR="006C4C57" w:rsidRPr="0032327B" w:rsidRDefault="003C6822" w:rsidP="0032327B">
      <w:pPr>
        <w:jc w:val="both"/>
        <w:rPr>
          <w:rFonts w:ascii="Times New Roman" w:hAnsi="Times New Roman" w:cs="Times New Roman"/>
          <w:sz w:val="24"/>
          <w:szCs w:val="24"/>
        </w:rPr>
      </w:pPr>
      <w:r w:rsidRPr="003C6822">
        <w:rPr>
          <w:rFonts w:ascii="Times New Roman" w:hAnsi="Times New Roman" w:cs="Times New Roman"/>
          <w:sz w:val="24"/>
          <w:szCs w:val="24"/>
          <w:highlight w:val="yellow"/>
        </w:rPr>
        <w:t xml:space="preserve">The research relating to green growth and sustainable finance has for the most part proceeded along different lines. On the one hand, the focus of research in environmental economics has been mainly on tradeoffs between growth and the environment, measuring sustainability, and the role </w:t>
      </w:r>
      <w:r w:rsidRPr="003C6822">
        <w:rPr>
          <w:rFonts w:ascii="Times New Roman" w:hAnsi="Times New Roman" w:cs="Times New Roman"/>
          <w:sz w:val="24"/>
          <w:szCs w:val="24"/>
          <w:highlight w:val="yellow"/>
        </w:rPr>
        <w:lastRenderedPageBreak/>
        <w:t>of environmental policy and innovation; on the other hand, financial economics has increasingly looked into sustainable finance instruments, ESG integration, and climate, related financial risks. Both sets of literature deal with different but complementary aspects of the sustainability transition, yet their interaction is seldomly approached in a fragmented way. This narrative review bridges the gap between these two strands by combining them into one economic framework, thus showing how policy design, innovation dynamics, and financial mechanisms affect green growth trajectories and stability of the economy in the long run</w:t>
      </w:r>
      <w:r w:rsidR="006C4C57" w:rsidRPr="003C6822">
        <w:rPr>
          <w:rFonts w:ascii="Times New Roman" w:hAnsi="Times New Roman" w:cs="Times New Roman"/>
          <w:sz w:val="24"/>
          <w:szCs w:val="24"/>
          <w:highlight w:val="yellow"/>
        </w:rPr>
        <w:t>.</w:t>
      </w:r>
    </w:p>
    <w:p w14:paraId="50CA11FA" w14:textId="77777777" w:rsidR="0032327B" w:rsidRPr="0032327B" w:rsidRDefault="0032327B" w:rsidP="0032327B">
      <w:pPr>
        <w:jc w:val="both"/>
        <w:rPr>
          <w:rFonts w:ascii="Times New Roman" w:hAnsi="Times New Roman" w:cs="Times New Roman"/>
          <w:sz w:val="24"/>
          <w:szCs w:val="24"/>
        </w:rPr>
      </w:pPr>
    </w:p>
    <w:p w14:paraId="732087D9" w14:textId="77777777" w:rsidR="0032327B" w:rsidRPr="0032327B" w:rsidRDefault="0032327B" w:rsidP="0032327B">
      <w:pPr>
        <w:jc w:val="both"/>
        <w:rPr>
          <w:rFonts w:ascii="Times New Roman" w:hAnsi="Times New Roman" w:cs="Times New Roman"/>
          <w:sz w:val="24"/>
          <w:szCs w:val="24"/>
        </w:rPr>
      </w:pPr>
      <w:r w:rsidRPr="0032327B">
        <w:rPr>
          <w:rFonts w:ascii="Times New Roman" w:hAnsi="Times New Roman" w:cs="Times New Roman"/>
          <w:noProof/>
          <w:sz w:val="24"/>
          <w:szCs w:val="24"/>
        </w:rPr>
        <w:drawing>
          <wp:inline distT="0" distB="0" distL="0" distR="0" wp14:anchorId="5A9C3CD8" wp14:editId="36D71338">
            <wp:extent cx="5784941" cy="30099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90822" cy="3012960"/>
                    </a:xfrm>
                    <a:prstGeom prst="rect">
                      <a:avLst/>
                    </a:prstGeom>
                  </pic:spPr>
                </pic:pic>
              </a:graphicData>
            </a:graphic>
          </wp:inline>
        </w:drawing>
      </w:r>
    </w:p>
    <w:p w14:paraId="42087C7A" w14:textId="77777777" w:rsidR="0032327B" w:rsidRPr="0032327B" w:rsidRDefault="0032327B" w:rsidP="0032327B">
      <w:pPr>
        <w:jc w:val="both"/>
        <w:rPr>
          <w:rFonts w:ascii="Times New Roman" w:hAnsi="Times New Roman" w:cs="Times New Roman"/>
          <w:sz w:val="24"/>
          <w:szCs w:val="24"/>
        </w:rPr>
      </w:pPr>
      <w:r w:rsidRPr="0032327B">
        <w:rPr>
          <w:rFonts w:ascii="Times New Roman" w:hAnsi="Times New Roman" w:cs="Times New Roman"/>
          <w:sz w:val="24"/>
          <w:szCs w:val="24"/>
        </w:rPr>
        <w:t>Figure 1: Conceptual Linkages Between Green Growth, Sustainable Finance, and Policy</w:t>
      </w:r>
    </w:p>
    <w:p w14:paraId="255B90AB" w14:textId="77777777" w:rsidR="00154251" w:rsidRDefault="00154251" w:rsidP="00E01CC4">
      <w:pPr>
        <w:jc w:val="both"/>
        <w:rPr>
          <w:rFonts w:ascii="Times New Roman" w:hAnsi="Times New Roman" w:cs="Times New Roman"/>
          <w:b/>
          <w:sz w:val="24"/>
          <w:szCs w:val="24"/>
        </w:rPr>
      </w:pPr>
    </w:p>
    <w:p w14:paraId="140A6207" w14:textId="24B75606" w:rsidR="00E01CC4" w:rsidRPr="005103F0" w:rsidRDefault="00E01CC4" w:rsidP="005103F0">
      <w:pPr>
        <w:pStyle w:val="ListParagraph"/>
        <w:numPr>
          <w:ilvl w:val="0"/>
          <w:numId w:val="3"/>
        </w:numPr>
        <w:jc w:val="both"/>
        <w:rPr>
          <w:rFonts w:ascii="Times New Roman" w:hAnsi="Times New Roman" w:cs="Times New Roman"/>
          <w:b/>
          <w:sz w:val="24"/>
          <w:szCs w:val="24"/>
        </w:rPr>
      </w:pPr>
      <w:r w:rsidRPr="005103F0">
        <w:rPr>
          <w:rFonts w:ascii="Times New Roman" w:hAnsi="Times New Roman" w:cs="Times New Roman"/>
          <w:b/>
          <w:sz w:val="24"/>
          <w:szCs w:val="24"/>
        </w:rPr>
        <w:t>Methodology</w:t>
      </w:r>
    </w:p>
    <w:p w14:paraId="083056A9" w14:textId="04EDF951" w:rsidR="00E01CC4" w:rsidRPr="00CC6CC4" w:rsidRDefault="009F4774" w:rsidP="005103F0">
      <w:pPr>
        <w:jc w:val="both"/>
        <w:rPr>
          <w:rFonts w:ascii="Times New Roman" w:hAnsi="Times New Roman" w:cs="Times New Roman"/>
          <w:sz w:val="24"/>
          <w:szCs w:val="24"/>
          <w:highlight w:val="yellow"/>
        </w:rPr>
      </w:pPr>
      <w:r w:rsidRPr="00CC6CC4">
        <w:rPr>
          <w:rFonts w:ascii="Times New Roman" w:hAnsi="Times New Roman" w:cs="Times New Roman"/>
          <w:sz w:val="24"/>
          <w:szCs w:val="24"/>
          <w:highlight w:val="yellow"/>
        </w:rPr>
        <w:t>This study employs a narrative review methodology to synthesize and critically assess economic evidence on environmentally friendly growth and sustainable finance. A narrative review is suitable considering the wide conceptual scope, the interdisciplinary nature, and the variety of methodologies in the literature, which draws from environmental economics, macroeconomics, innovation studies, and financial economics. The aim of the review is not to derive new econometric relationships but to combine theoretical frameworks and empirical results to determine trends, points of agreement, and controversial issues that have implications for policy making and long, term economic transitions.</w:t>
      </w:r>
    </w:p>
    <w:p w14:paraId="5E1934E8" w14:textId="3E17217D" w:rsidR="00E01CC4" w:rsidRDefault="004D418E" w:rsidP="00E01CC4">
      <w:pPr>
        <w:jc w:val="both"/>
        <w:rPr>
          <w:rFonts w:ascii="Times New Roman" w:hAnsi="Times New Roman" w:cs="Times New Roman"/>
          <w:sz w:val="24"/>
          <w:szCs w:val="24"/>
          <w:highlight w:val="yellow"/>
        </w:rPr>
      </w:pPr>
      <w:r w:rsidRPr="00CC6CC4">
        <w:rPr>
          <w:rFonts w:ascii="Times New Roman" w:hAnsi="Times New Roman" w:cs="Times New Roman"/>
          <w:sz w:val="24"/>
          <w:szCs w:val="24"/>
          <w:highlight w:val="yellow"/>
        </w:rPr>
        <w:t>The selection of literature was methodical and open. The emphasis was on peer, reviewed journal articles that are indexed in Scopus and Web of Science. Top journals in the fields of economics, finance, and sustainability studies were singled out for attention. The criteria for selecting studies hinged on the four core themes: (</w:t>
      </w:r>
      <w:proofErr w:type="spellStart"/>
      <w:r w:rsidRPr="00CC6CC4">
        <w:rPr>
          <w:rFonts w:ascii="Times New Roman" w:hAnsi="Times New Roman" w:cs="Times New Roman"/>
          <w:sz w:val="24"/>
          <w:szCs w:val="24"/>
          <w:highlight w:val="yellow"/>
        </w:rPr>
        <w:t>i</w:t>
      </w:r>
      <w:proofErr w:type="spellEnd"/>
      <w:r w:rsidRPr="00CC6CC4">
        <w:rPr>
          <w:rFonts w:ascii="Times New Roman" w:hAnsi="Times New Roman" w:cs="Times New Roman"/>
          <w:sz w:val="24"/>
          <w:szCs w:val="24"/>
          <w:highlight w:val="yellow"/>
        </w:rPr>
        <w:t xml:space="preserve">) the definition and measurement of green growth, (ii) the impact </w:t>
      </w:r>
      <w:r w:rsidRPr="00CC6CC4">
        <w:rPr>
          <w:rFonts w:ascii="Times New Roman" w:hAnsi="Times New Roman" w:cs="Times New Roman"/>
          <w:sz w:val="24"/>
          <w:szCs w:val="24"/>
          <w:highlight w:val="yellow"/>
        </w:rPr>
        <w:lastRenderedPageBreak/>
        <w:t>of environmental policy, innovation on economic performance, (iii) sustainable finance and the movement of capital, and (iv) financial risks due to climate change and related governance. Preference was given to empirical studies wherever they were available, while some influential theoretical works were included to assist in the interpretation and synthesis of the material</w:t>
      </w:r>
      <w:r w:rsidR="00E01CC4" w:rsidRPr="00CC6CC4">
        <w:rPr>
          <w:rFonts w:ascii="Times New Roman" w:hAnsi="Times New Roman" w:cs="Times New Roman"/>
          <w:sz w:val="24"/>
          <w:szCs w:val="24"/>
          <w:highlight w:val="yellow"/>
        </w:rPr>
        <w:t>.</w:t>
      </w:r>
    </w:p>
    <w:p w14:paraId="186C9E51" w14:textId="45674C4E" w:rsidR="004C49D2" w:rsidRDefault="004C49D2" w:rsidP="00E01CC4">
      <w:pPr>
        <w:jc w:val="both"/>
        <w:rPr>
          <w:rFonts w:ascii="Times New Roman" w:hAnsi="Times New Roman" w:cs="Times New Roman"/>
          <w:sz w:val="24"/>
          <w:szCs w:val="24"/>
        </w:rPr>
      </w:pPr>
      <w:r w:rsidRPr="004C49D2">
        <w:rPr>
          <w:rFonts w:ascii="Times New Roman" w:hAnsi="Times New Roman" w:cs="Times New Roman"/>
          <w:sz w:val="24"/>
          <w:szCs w:val="24"/>
          <w:highlight w:val="yellow"/>
        </w:rPr>
        <w:t>While the review does not aim for exhaustive coverage, it provides a coherent and policy-oriented synthesis that reflects the current state of knowledge in the literature and highlights directions for future research and coordinated policy action.</w:t>
      </w:r>
    </w:p>
    <w:p w14:paraId="5218F247" w14:textId="77777777" w:rsidR="00C535A2" w:rsidRDefault="00C535A2" w:rsidP="00E01CC4">
      <w:pPr>
        <w:jc w:val="both"/>
        <w:rPr>
          <w:rFonts w:ascii="Times New Roman" w:hAnsi="Times New Roman" w:cs="Times New Roman"/>
          <w:sz w:val="24"/>
          <w:szCs w:val="24"/>
        </w:rPr>
      </w:pPr>
    </w:p>
    <w:p w14:paraId="19169350" w14:textId="4FCED309" w:rsidR="00C535A2" w:rsidRPr="00C535A2" w:rsidRDefault="00C535A2" w:rsidP="00284FC8">
      <w:pPr>
        <w:pStyle w:val="ListParagraph"/>
        <w:numPr>
          <w:ilvl w:val="0"/>
          <w:numId w:val="3"/>
        </w:numPr>
        <w:jc w:val="both"/>
        <w:rPr>
          <w:rFonts w:ascii="Times New Roman" w:hAnsi="Times New Roman" w:cs="Times New Roman"/>
          <w:b/>
          <w:bCs/>
          <w:sz w:val="24"/>
          <w:szCs w:val="24"/>
        </w:rPr>
      </w:pPr>
      <w:r w:rsidRPr="00C535A2">
        <w:rPr>
          <w:rFonts w:ascii="Times New Roman" w:hAnsi="Times New Roman" w:cs="Times New Roman"/>
          <w:b/>
          <w:bCs/>
          <w:sz w:val="24"/>
          <w:szCs w:val="24"/>
        </w:rPr>
        <w:t>Green Growth: Concepts and Economic Evidence</w:t>
      </w:r>
    </w:p>
    <w:p w14:paraId="68F7085C" w14:textId="5B5708C0" w:rsidR="006D55EE" w:rsidRPr="006D55EE" w:rsidRDefault="006D55EE" w:rsidP="006D55EE">
      <w:pPr>
        <w:jc w:val="both"/>
        <w:rPr>
          <w:rFonts w:ascii="Times New Roman" w:hAnsi="Times New Roman" w:cs="Times New Roman"/>
          <w:sz w:val="24"/>
          <w:szCs w:val="24"/>
        </w:rPr>
      </w:pPr>
      <w:r w:rsidRPr="006D55EE">
        <w:rPr>
          <w:rFonts w:ascii="Times New Roman" w:hAnsi="Times New Roman" w:cs="Times New Roman"/>
          <w:sz w:val="24"/>
          <w:szCs w:val="24"/>
        </w:rPr>
        <w:t>The green growth concept is an attempt to harmonize economic expansion with environmental sustainability by mostly focusing on changes in the composition and the direction of growth, rather than the growth rates themselves. Initial economic contributions pointed out that conventional measures of income, like GDP, do not reflect the depletion of natural capital and the occurrence of environmental externalities. Consequently, green growth frameworks turn to indicators that are based on wealth and adjusted for productivity, thus reflecting environmental constraints and long, run welfare (Table 1).</w:t>
      </w:r>
    </w:p>
    <w:p w14:paraId="2B650DAC" w14:textId="34F7A7BC" w:rsidR="00C535A2" w:rsidRPr="00C535A2" w:rsidRDefault="006D55EE" w:rsidP="006D55EE">
      <w:pPr>
        <w:jc w:val="both"/>
        <w:rPr>
          <w:rFonts w:ascii="Times New Roman" w:hAnsi="Times New Roman" w:cs="Times New Roman"/>
          <w:sz w:val="24"/>
          <w:szCs w:val="24"/>
        </w:rPr>
      </w:pPr>
      <w:r w:rsidRPr="006D55EE">
        <w:rPr>
          <w:rFonts w:ascii="Times New Roman" w:hAnsi="Times New Roman" w:cs="Times New Roman"/>
          <w:sz w:val="24"/>
          <w:szCs w:val="24"/>
        </w:rPr>
        <w:t xml:space="preserve">One of the main ideas emerging from the research is that sustainability is conditional on economies still holding or even increasing their total capital stock, which is a broad concept including produced, human, and natural capital. The concepts of genuine savings and comprehensive wealth, among others, were created to make this idea more operational, </w:t>
      </w:r>
      <w:proofErr w:type="spellStart"/>
      <w:r w:rsidRPr="006D55EE">
        <w:rPr>
          <w:rFonts w:ascii="Times New Roman" w:hAnsi="Times New Roman" w:cs="Times New Roman"/>
          <w:sz w:val="24"/>
          <w:szCs w:val="24"/>
        </w:rPr>
        <w:t>i</w:t>
      </w:r>
      <w:proofErr w:type="spellEnd"/>
      <w:r w:rsidRPr="006D55EE">
        <w:rPr>
          <w:rFonts w:ascii="Times New Roman" w:hAnsi="Times New Roman" w:cs="Times New Roman"/>
          <w:sz w:val="24"/>
          <w:szCs w:val="24"/>
        </w:rPr>
        <w:t>. e. provide measurable indicators of weak sustainability. The real, world data shows that countries with consistently negative genuine savings are the ones that lower their future consumption growth, thus wealth, based metrics become the most relevant for the assessment of long, run development paths. However, at the same time, the outcomes are still dependent on valuation assumptions, which indicate that there are still substantial difficulties in the precise measurement of natural capital and environmental degradation.</w:t>
      </w:r>
    </w:p>
    <w:p w14:paraId="10EED810" w14:textId="2DA3A97C" w:rsidR="00C535A2" w:rsidRPr="00C535A2" w:rsidRDefault="006D55EE" w:rsidP="006D55EE">
      <w:pPr>
        <w:jc w:val="both"/>
        <w:rPr>
          <w:rFonts w:ascii="Times New Roman" w:hAnsi="Times New Roman" w:cs="Times New Roman"/>
          <w:sz w:val="24"/>
          <w:szCs w:val="24"/>
        </w:rPr>
      </w:pPr>
      <w:r w:rsidRPr="006D55EE">
        <w:rPr>
          <w:rFonts w:ascii="Times New Roman" w:hAnsi="Times New Roman" w:cs="Times New Roman"/>
          <w:sz w:val="24"/>
          <w:szCs w:val="24"/>
        </w:rPr>
        <w:t>Besides a core measurement, the main debate still revolves around the effect of environmental policies on productivity and innovation. Traditional economic theories argued that there may be trade</w:t>
      </w:r>
      <w:r w:rsidR="00EE7226">
        <w:rPr>
          <w:rFonts w:ascii="Times New Roman" w:hAnsi="Times New Roman" w:cs="Times New Roman"/>
          <w:sz w:val="24"/>
          <w:szCs w:val="24"/>
        </w:rPr>
        <w:t>-</w:t>
      </w:r>
      <w:r w:rsidRPr="006D55EE">
        <w:rPr>
          <w:rFonts w:ascii="Times New Roman" w:hAnsi="Times New Roman" w:cs="Times New Roman"/>
          <w:sz w:val="24"/>
          <w:szCs w:val="24"/>
        </w:rPr>
        <w:t>offs between regulation and growth, but a major part of empirical literature nowadays is arguing against such trade</w:t>
      </w:r>
      <w:r w:rsidR="00DA2511">
        <w:rPr>
          <w:rFonts w:ascii="Times New Roman" w:hAnsi="Times New Roman" w:cs="Times New Roman"/>
          <w:sz w:val="24"/>
          <w:szCs w:val="24"/>
        </w:rPr>
        <w:t>-</w:t>
      </w:r>
      <w:r w:rsidRPr="006D55EE">
        <w:rPr>
          <w:rFonts w:ascii="Times New Roman" w:hAnsi="Times New Roman" w:cs="Times New Roman"/>
          <w:sz w:val="24"/>
          <w:szCs w:val="24"/>
        </w:rPr>
        <w:t>offs. Some studies that test the weak Porter hypothesis reveal that firms can innovate to meet environmental regulations without a decrease in their productivity level. Table 1 summarizes the findings that firm, and industry, level data reveal to us. These data suggest that policy stringency, if it is predictable and market, based, may lead to a clean, tech innovation drive with a positive net economic performance effect.</w:t>
      </w:r>
      <w:r>
        <w:rPr>
          <w:rFonts w:ascii="Times New Roman" w:hAnsi="Times New Roman" w:cs="Times New Roman"/>
          <w:sz w:val="24"/>
          <w:szCs w:val="24"/>
        </w:rPr>
        <w:t xml:space="preserve"> </w:t>
      </w:r>
      <w:r w:rsidRPr="006D55EE">
        <w:rPr>
          <w:rFonts w:ascii="Times New Roman" w:hAnsi="Times New Roman" w:cs="Times New Roman"/>
          <w:sz w:val="24"/>
          <w:szCs w:val="24"/>
        </w:rPr>
        <w:t>The pace of technological change is a very important aspect of green growth. Innovation is a non</w:t>
      </w:r>
      <w:r w:rsidR="00EE7226">
        <w:rPr>
          <w:rFonts w:ascii="Times New Roman" w:hAnsi="Times New Roman" w:cs="Times New Roman"/>
          <w:sz w:val="24"/>
          <w:szCs w:val="24"/>
        </w:rPr>
        <w:t>-</w:t>
      </w:r>
      <w:r w:rsidRPr="006D55EE">
        <w:rPr>
          <w:rFonts w:ascii="Times New Roman" w:hAnsi="Times New Roman" w:cs="Times New Roman"/>
          <w:sz w:val="24"/>
          <w:szCs w:val="24"/>
        </w:rPr>
        <w:t>neutral process</w:t>
      </w:r>
      <w:r w:rsidR="00EE7226">
        <w:rPr>
          <w:rFonts w:ascii="Times New Roman" w:hAnsi="Times New Roman" w:cs="Times New Roman"/>
          <w:sz w:val="24"/>
          <w:szCs w:val="24"/>
        </w:rPr>
        <w:t>,</w:t>
      </w:r>
      <w:r w:rsidRPr="006D55EE">
        <w:rPr>
          <w:rFonts w:ascii="Times New Roman" w:hAnsi="Times New Roman" w:cs="Times New Roman"/>
          <w:sz w:val="24"/>
          <w:szCs w:val="24"/>
        </w:rPr>
        <w:t xml:space="preserve"> policies determine whether firms invest in carbon, intensive or low, carbon technologies. The empirical studies of energy prices, carbon markets, and regulatory regimes indicate that environmental policies can be a major driver of directed technological change which in turn can lead to clean technology becoming more widely used and emissions intensity getting lower over time.</w:t>
      </w:r>
      <w:r>
        <w:rPr>
          <w:rFonts w:ascii="Times New Roman" w:hAnsi="Times New Roman" w:cs="Times New Roman"/>
          <w:sz w:val="24"/>
          <w:szCs w:val="24"/>
        </w:rPr>
        <w:t xml:space="preserve"> </w:t>
      </w:r>
      <w:r w:rsidRPr="006D55EE">
        <w:rPr>
          <w:rFonts w:ascii="Times New Roman" w:hAnsi="Times New Roman" w:cs="Times New Roman"/>
          <w:sz w:val="24"/>
          <w:szCs w:val="24"/>
        </w:rPr>
        <w:t xml:space="preserve">Such effects are crucial for the </w:t>
      </w:r>
      <w:r w:rsidRPr="006D55EE">
        <w:rPr>
          <w:rFonts w:ascii="Times New Roman" w:hAnsi="Times New Roman" w:cs="Times New Roman"/>
          <w:sz w:val="24"/>
          <w:szCs w:val="24"/>
        </w:rPr>
        <w:lastRenderedPageBreak/>
        <w:t>environmental objectives to be compatible with economic growth as they determine the productivity trajectories for the long run rather than the adjustment costs for the short run.</w:t>
      </w:r>
    </w:p>
    <w:p w14:paraId="25C38E09" w14:textId="20F2F3D6" w:rsidR="00E01CC4" w:rsidRDefault="00084EB2" w:rsidP="00084EB2">
      <w:pPr>
        <w:jc w:val="both"/>
        <w:rPr>
          <w:rFonts w:ascii="Times New Roman" w:hAnsi="Times New Roman" w:cs="Times New Roman"/>
          <w:sz w:val="24"/>
          <w:szCs w:val="24"/>
        </w:rPr>
      </w:pPr>
      <w:r w:rsidRPr="00084EB2">
        <w:rPr>
          <w:rFonts w:ascii="Times New Roman" w:hAnsi="Times New Roman" w:cs="Times New Roman"/>
          <w:sz w:val="24"/>
          <w:szCs w:val="24"/>
        </w:rPr>
        <w:t>These findings are presented by figure 1 within a wider economic framework, showing how environmental policy impacts the real economy through innovation and structural change. The figure emphasizes that green growth results depend not only on policy ambition but also on policy design, credibility, and the way it interacts with financial markets. Although environmental regulation can change incentives alone, its effectiveness is increased if it is complemented by financial mechanisms that facilitate the reallocation of capital toward innovative and low, carbon activities.</w:t>
      </w:r>
      <w:r>
        <w:rPr>
          <w:rFonts w:ascii="Times New Roman" w:hAnsi="Times New Roman" w:cs="Times New Roman"/>
          <w:sz w:val="24"/>
          <w:szCs w:val="24"/>
        </w:rPr>
        <w:t xml:space="preserve"> </w:t>
      </w:r>
      <w:r w:rsidRPr="00084EB2">
        <w:rPr>
          <w:rFonts w:ascii="Times New Roman" w:hAnsi="Times New Roman" w:cs="Times New Roman"/>
          <w:sz w:val="24"/>
          <w:szCs w:val="24"/>
        </w:rPr>
        <w:t>In sum, economic evidence points to the fact that green growth is not an automatic process, nor is it impossible to achieve. It needs suitable measurement frameworks, properly designed environmental policies, and a structural change driven by innovation. These revelations form the basis for studying the role of sustainable finance in amplifying or limiting</w:t>
      </w:r>
      <w:r>
        <w:rPr>
          <w:rFonts w:ascii="Times New Roman" w:hAnsi="Times New Roman" w:cs="Times New Roman"/>
          <w:sz w:val="24"/>
          <w:szCs w:val="24"/>
        </w:rPr>
        <w:t xml:space="preserve"> </w:t>
      </w:r>
      <w:r w:rsidRPr="00084EB2">
        <w:rPr>
          <w:rFonts w:ascii="Times New Roman" w:hAnsi="Times New Roman" w:cs="Times New Roman"/>
          <w:sz w:val="24"/>
          <w:szCs w:val="24"/>
        </w:rPr>
        <w:t xml:space="preserve">green growth paths, which is the subject of the following </w:t>
      </w:r>
      <w:r>
        <w:rPr>
          <w:rFonts w:ascii="Times New Roman" w:hAnsi="Times New Roman" w:cs="Times New Roman"/>
          <w:sz w:val="24"/>
          <w:szCs w:val="24"/>
        </w:rPr>
        <w:t>sections</w:t>
      </w:r>
      <w:r w:rsidR="00C535A2" w:rsidRPr="00C535A2">
        <w:rPr>
          <w:rFonts w:ascii="Times New Roman" w:hAnsi="Times New Roman" w:cs="Times New Roman"/>
          <w:sz w:val="24"/>
          <w:szCs w:val="24"/>
        </w:rPr>
        <w:t>.</w:t>
      </w:r>
    </w:p>
    <w:p w14:paraId="2904A76A" w14:textId="77777777" w:rsidR="00825E13" w:rsidRDefault="00825E13" w:rsidP="002A1F73">
      <w:pPr>
        <w:jc w:val="both"/>
        <w:rPr>
          <w:rFonts w:ascii="Times New Roman" w:hAnsi="Times New Roman" w:cs="Times New Roman"/>
          <w:sz w:val="24"/>
          <w:szCs w:val="24"/>
        </w:rPr>
      </w:pPr>
    </w:p>
    <w:p w14:paraId="707E81A6" w14:textId="629FC132" w:rsidR="002A1F73" w:rsidRDefault="002A1F73" w:rsidP="002A1F73">
      <w:pPr>
        <w:jc w:val="both"/>
        <w:rPr>
          <w:rFonts w:ascii="Times New Roman" w:hAnsi="Times New Roman" w:cs="Times New Roman"/>
          <w:sz w:val="24"/>
          <w:szCs w:val="24"/>
        </w:rPr>
      </w:pPr>
      <w:r w:rsidRPr="002A1F73">
        <w:rPr>
          <w:rFonts w:ascii="Times New Roman" w:hAnsi="Times New Roman" w:cs="Times New Roman"/>
          <w:sz w:val="24"/>
          <w:szCs w:val="24"/>
        </w:rPr>
        <w:t>Table 1: Concepts, Measurement, and Economic Evidence on Green Growth</w:t>
      </w:r>
    </w:p>
    <w:tbl>
      <w:tblPr>
        <w:tblStyle w:val="TableGrid"/>
        <w:tblW w:w="9333" w:type="dxa"/>
        <w:tblLook w:val="04A0" w:firstRow="1" w:lastRow="0" w:firstColumn="1" w:lastColumn="0" w:noHBand="0" w:noVBand="1"/>
      </w:tblPr>
      <w:tblGrid>
        <w:gridCol w:w="1673"/>
        <w:gridCol w:w="1866"/>
        <w:gridCol w:w="1865"/>
        <w:gridCol w:w="2056"/>
        <w:gridCol w:w="1873"/>
      </w:tblGrid>
      <w:tr w:rsidR="002A1F73" w:rsidRPr="002A1F73" w14:paraId="70362430" w14:textId="77777777" w:rsidTr="002A1F73">
        <w:trPr>
          <w:trHeight w:val="725"/>
        </w:trPr>
        <w:tc>
          <w:tcPr>
            <w:tcW w:w="0" w:type="auto"/>
            <w:shd w:val="clear" w:color="auto" w:fill="D9D9D9" w:themeFill="background1" w:themeFillShade="D9"/>
            <w:hideMark/>
          </w:tcPr>
          <w:p w14:paraId="65C98117" w14:textId="77777777" w:rsidR="002A1F73" w:rsidRPr="002A1F73" w:rsidRDefault="002A1F73" w:rsidP="002A1F73">
            <w:pPr>
              <w:spacing w:after="160" w:line="259" w:lineRule="auto"/>
              <w:rPr>
                <w:rFonts w:ascii="Times New Roman" w:hAnsi="Times New Roman" w:cs="Times New Roman"/>
                <w:b/>
                <w:bCs/>
                <w:sz w:val="24"/>
                <w:szCs w:val="24"/>
              </w:rPr>
            </w:pPr>
            <w:r w:rsidRPr="002A1F73">
              <w:rPr>
                <w:rFonts w:ascii="Times New Roman" w:hAnsi="Times New Roman" w:cs="Times New Roman"/>
                <w:b/>
                <w:bCs/>
                <w:sz w:val="24"/>
                <w:szCs w:val="24"/>
              </w:rPr>
              <w:t>Dimension</w:t>
            </w:r>
          </w:p>
        </w:tc>
        <w:tc>
          <w:tcPr>
            <w:tcW w:w="0" w:type="auto"/>
            <w:shd w:val="clear" w:color="auto" w:fill="D9D9D9" w:themeFill="background1" w:themeFillShade="D9"/>
            <w:hideMark/>
          </w:tcPr>
          <w:p w14:paraId="7E6A431E" w14:textId="77777777" w:rsidR="002A1F73" w:rsidRPr="002A1F73" w:rsidRDefault="002A1F73" w:rsidP="002A1F73">
            <w:pPr>
              <w:spacing w:after="160" w:line="259" w:lineRule="auto"/>
              <w:rPr>
                <w:rFonts w:ascii="Times New Roman" w:hAnsi="Times New Roman" w:cs="Times New Roman"/>
                <w:b/>
                <w:bCs/>
                <w:sz w:val="24"/>
                <w:szCs w:val="24"/>
              </w:rPr>
            </w:pPr>
            <w:r w:rsidRPr="002A1F73">
              <w:rPr>
                <w:rFonts w:ascii="Times New Roman" w:hAnsi="Times New Roman" w:cs="Times New Roman"/>
                <w:b/>
                <w:bCs/>
                <w:sz w:val="24"/>
                <w:szCs w:val="24"/>
              </w:rPr>
              <w:t>Key Concept / Indicator</w:t>
            </w:r>
          </w:p>
        </w:tc>
        <w:tc>
          <w:tcPr>
            <w:tcW w:w="0" w:type="auto"/>
            <w:shd w:val="clear" w:color="auto" w:fill="D9D9D9" w:themeFill="background1" w:themeFillShade="D9"/>
            <w:hideMark/>
          </w:tcPr>
          <w:p w14:paraId="4D9DC817" w14:textId="77777777" w:rsidR="002A1F73" w:rsidRPr="002A1F73" w:rsidRDefault="002A1F73" w:rsidP="002A1F73">
            <w:pPr>
              <w:spacing w:after="160" w:line="259" w:lineRule="auto"/>
              <w:rPr>
                <w:rFonts w:ascii="Times New Roman" w:hAnsi="Times New Roman" w:cs="Times New Roman"/>
                <w:b/>
                <w:bCs/>
                <w:sz w:val="24"/>
                <w:szCs w:val="24"/>
              </w:rPr>
            </w:pPr>
            <w:r w:rsidRPr="002A1F73">
              <w:rPr>
                <w:rFonts w:ascii="Times New Roman" w:hAnsi="Times New Roman" w:cs="Times New Roman"/>
                <w:b/>
                <w:bCs/>
                <w:sz w:val="24"/>
                <w:szCs w:val="24"/>
              </w:rPr>
              <w:t>Main Empirical Findings</w:t>
            </w:r>
          </w:p>
        </w:tc>
        <w:tc>
          <w:tcPr>
            <w:tcW w:w="0" w:type="auto"/>
            <w:shd w:val="clear" w:color="auto" w:fill="D9D9D9" w:themeFill="background1" w:themeFillShade="D9"/>
            <w:hideMark/>
          </w:tcPr>
          <w:p w14:paraId="3911ED4D" w14:textId="77777777" w:rsidR="002A1F73" w:rsidRPr="002A1F73" w:rsidRDefault="002A1F73" w:rsidP="002A1F73">
            <w:pPr>
              <w:spacing w:after="160" w:line="259" w:lineRule="auto"/>
              <w:rPr>
                <w:rFonts w:ascii="Times New Roman" w:hAnsi="Times New Roman" w:cs="Times New Roman"/>
                <w:b/>
                <w:bCs/>
                <w:sz w:val="24"/>
                <w:szCs w:val="24"/>
              </w:rPr>
            </w:pPr>
            <w:r w:rsidRPr="002A1F73">
              <w:rPr>
                <w:rFonts w:ascii="Times New Roman" w:hAnsi="Times New Roman" w:cs="Times New Roman"/>
                <w:b/>
                <w:bCs/>
                <w:sz w:val="24"/>
                <w:szCs w:val="24"/>
              </w:rPr>
              <w:t>Representative Studies</w:t>
            </w:r>
          </w:p>
        </w:tc>
        <w:tc>
          <w:tcPr>
            <w:tcW w:w="0" w:type="auto"/>
            <w:shd w:val="clear" w:color="auto" w:fill="D9D9D9" w:themeFill="background1" w:themeFillShade="D9"/>
            <w:hideMark/>
          </w:tcPr>
          <w:p w14:paraId="7FC97FBB" w14:textId="77777777" w:rsidR="002A1F73" w:rsidRPr="002A1F73" w:rsidRDefault="002A1F73" w:rsidP="002A1F73">
            <w:pPr>
              <w:spacing w:after="160" w:line="259" w:lineRule="auto"/>
              <w:rPr>
                <w:rFonts w:ascii="Times New Roman" w:hAnsi="Times New Roman" w:cs="Times New Roman"/>
                <w:b/>
                <w:bCs/>
                <w:sz w:val="24"/>
                <w:szCs w:val="24"/>
              </w:rPr>
            </w:pPr>
            <w:r w:rsidRPr="002A1F73">
              <w:rPr>
                <w:rFonts w:ascii="Times New Roman" w:hAnsi="Times New Roman" w:cs="Times New Roman"/>
                <w:b/>
                <w:bCs/>
                <w:sz w:val="24"/>
                <w:szCs w:val="24"/>
              </w:rPr>
              <w:t>Policy Implications</w:t>
            </w:r>
          </w:p>
        </w:tc>
      </w:tr>
      <w:tr w:rsidR="002A1F73" w:rsidRPr="002A1F73" w14:paraId="7968EC9D" w14:textId="77777777" w:rsidTr="002A1F73">
        <w:trPr>
          <w:trHeight w:val="1596"/>
        </w:trPr>
        <w:tc>
          <w:tcPr>
            <w:tcW w:w="0" w:type="auto"/>
            <w:hideMark/>
          </w:tcPr>
          <w:p w14:paraId="68173DFF"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Conceptual foundations</w:t>
            </w:r>
          </w:p>
        </w:tc>
        <w:tc>
          <w:tcPr>
            <w:tcW w:w="0" w:type="auto"/>
            <w:hideMark/>
          </w:tcPr>
          <w:p w14:paraId="5EB24384"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Weak vs. strong sustainability</w:t>
            </w:r>
          </w:p>
        </w:tc>
        <w:tc>
          <w:tcPr>
            <w:tcW w:w="0" w:type="auto"/>
            <w:hideMark/>
          </w:tcPr>
          <w:p w14:paraId="77D4FDA9"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Income growth alone is insufficient to assess sustainability</w:t>
            </w:r>
          </w:p>
        </w:tc>
        <w:tc>
          <w:tcPr>
            <w:tcW w:w="0" w:type="auto"/>
            <w:hideMark/>
          </w:tcPr>
          <w:p w14:paraId="41142D03"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Pearce &amp; Atkinson (1993); Arrow et al. (2012)</w:t>
            </w:r>
          </w:p>
        </w:tc>
        <w:tc>
          <w:tcPr>
            <w:tcW w:w="0" w:type="auto"/>
            <w:hideMark/>
          </w:tcPr>
          <w:p w14:paraId="3E0FA63B"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Growth metrics must account for natural capital depletion</w:t>
            </w:r>
          </w:p>
        </w:tc>
      </w:tr>
      <w:tr w:rsidR="002A1F73" w:rsidRPr="002A1F73" w14:paraId="0D4CC6FE" w14:textId="77777777" w:rsidTr="002A1F73">
        <w:trPr>
          <w:trHeight w:val="1581"/>
        </w:trPr>
        <w:tc>
          <w:tcPr>
            <w:tcW w:w="0" w:type="auto"/>
            <w:hideMark/>
          </w:tcPr>
          <w:p w14:paraId="494A324E"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Measurement approaches</w:t>
            </w:r>
          </w:p>
        </w:tc>
        <w:tc>
          <w:tcPr>
            <w:tcW w:w="0" w:type="auto"/>
            <w:hideMark/>
          </w:tcPr>
          <w:p w14:paraId="3E78AA23"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Genuine savings / comprehensive wealth</w:t>
            </w:r>
          </w:p>
        </w:tc>
        <w:tc>
          <w:tcPr>
            <w:tcW w:w="0" w:type="auto"/>
            <w:hideMark/>
          </w:tcPr>
          <w:p w14:paraId="3623C55A"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Positive genuine savings predicts future consumption</w:t>
            </w:r>
          </w:p>
        </w:tc>
        <w:tc>
          <w:tcPr>
            <w:tcW w:w="0" w:type="auto"/>
            <w:hideMark/>
          </w:tcPr>
          <w:p w14:paraId="1556CFDC"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Hamilton &amp; Clemens (1999); Ferreira &amp; Vincent (2005)</w:t>
            </w:r>
          </w:p>
        </w:tc>
        <w:tc>
          <w:tcPr>
            <w:tcW w:w="0" w:type="auto"/>
            <w:hideMark/>
          </w:tcPr>
          <w:p w14:paraId="3E70ED4F"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Wealth-based metrics outperform GDP in policy evaluation</w:t>
            </w:r>
          </w:p>
        </w:tc>
      </w:tr>
      <w:tr w:rsidR="002A1F73" w:rsidRPr="002A1F73" w14:paraId="30035179" w14:textId="77777777" w:rsidTr="002A1F73">
        <w:trPr>
          <w:trHeight w:val="1306"/>
        </w:trPr>
        <w:tc>
          <w:tcPr>
            <w:tcW w:w="0" w:type="auto"/>
            <w:hideMark/>
          </w:tcPr>
          <w:p w14:paraId="557AC933"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Measurement challenges</w:t>
            </w:r>
          </w:p>
        </w:tc>
        <w:tc>
          <w:tcPr>
            <w:tcW w:w="0" w:type="auto"/>
            <w:hideMark/>
          </w:tcPr>
          <w:p w14:paraId="62859BF1"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Valuation of natural resources</w:t>
            </w:r>
          </w:p>
        </w:tc>
        <w:tc>
          <w:tcPr>
            <w:tcW w:w="0" w:type="auto"/>
            <w:hideMark/>
          </w:tcPr>
          <w:p w14:paraId="3ABC5467"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Results sensitive to accounting assumptions</w:t>
            </w:r>
          </w:p>
        </w:tc>
        <w:tc>
          <w:tcPr>
            <w:tcW w:w="0" w:type="auto"/>
            <w:hideMark/>
          </w:tcPr>
          <w:p w14:paraId="65FEC3D0" w14:textId="77777777" w:rsidR="002A1F73" w:rsidRPr="002A1F73" w:rsidRDefault="002A1F73" w:rsidP="002A1F73">
            <w:pPr>
              <w:spacing w:after="160" w:line="259" w:lineRule="auto"/>
              <w:rPr>
                <w:rFonts w:ascii="Times New Roman" w:hAnsi="Times New Roman" w:cs="Times New Roman"/>
                <w:sz w:val="24"/>
                <w:szCs w:val="24"/>
              </w:rPr>
            </w:pPr>
            <w:proofErr w:type="spellStart"/>
            <w:r w:rsidRPr="002A1F73">
              <w:rPr>
                <w:rFonts w:ascii="Times New Roman" w:hAnsi="Times New Roman" w:cs="Times New Roman"/>
                <w:sz w:val="24"/>
                <w:szCs w:val="24"/>
              </w:rPr>
              <w:t>Neumayer</w:t>
            </w:r>
            <w:proofErr w:type="spellEnd"/>
            <w:r w:rsidRPr="002A1F73">
              <w:rPr>
                <w:rFonts w:ascii="Times New Roman" w:hAnsi="Times New Roman" w:cs="Times New Roman"/>
                <w:sz w:val="24"/>
                <w:szCs w:val="24"/>
              </w:rPr>
              <w:t xml:space="preserve"> (2000); Atkinson &amp; Hamilton (2007)</w:t>
            </w:r>
          </w:p>
        </w:tc>
        <w:tc>
          <w:tcPr>
            <w:tcW w:w="0" w:type="auto"/>
            <w:hideMark/>
          </w:tcPr>
          <w:p w14:paraId="79AAFEF1"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Transparency in valuation methods is critical</w:t>
            </w:r>
          </w:p>
        </w:tc>
      </w:tr>
      <w:tr w:rsidR="002A1F73" w:rsidRPr="002A1F73" w14:paraId="3518B350" w14:textId="77777777" w:rsidTr="002A1F73">
        <w:trPr>
          <w:trHeight w:val="1596"/>
        </w:trPr>
        <w:tc>
          <w:tcPr>
            <w:tcW w:w="0" w:type="auto"/>
            <w:hideMark/>
          </w:tcPr>
          <w:p w14:paraId="0A59546B" w14:textId="03250EAA"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Policy</w:t>
            </w:r>
            <w:r w:rsidR="00187EB9">
              <w:rPr>
                <w:rFonts w:ascii="Times New Roman" w:hAnsi="Times New Roman" w:cs="Times New Roman"/>
                <w:sz w:val="24"/>
                <w:szCs w:val="24"/>
              </w:rPr>
              <w:t>-</w:t>
            </w:r>
            <w:r w:rsidRPr="002A1F73">
              <w:rPr>
                <w:rFonts w:ascii="Times New Roman" w:hAnsi="Times New Roman" w:cs="Times New Roman"/>
                <w:sz w:val="24"/>
                <w:szCs w:val="24"/>
              </w:rPr>
              <w:t>innovation link</w:t>
            </w:r>
          </w:p>
        </w:tc>
        <w:tc>
          <w:tcPr>
            <w:tcW w:w="0" w:type="auto"/>
            <w:hideMark/>
          </w:tcPr>
          <w:p w14:paraId="20084EF6"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Environmental regulation &amp; innovation</w:t>
            </w:r>
          </w:p>
        </w:tc>
        <w:tc>
          <w:tcPr>
            <w:tcW w:w="0" w:type="auto"/>
            <w:hideMark/>
          </w:tcPr>
          <w:p w14:paraId="79C9EEC8"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Regulation can stimulate innovation (weak Porter hypothesis)</w:t>
            </w:r>
          </w:p>
        </w:tc>
        <w:tc>
          <w:tcPr>
            <w:tcW w:w="0" w:type="auto"/>
            <w:hideMark/>
          </w:tcPr>
          <w:p w14:paraId="52DA706E"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 xml:space="preserve">Jaffe &amp; Palmer (1997); </w:t>
            </w:r>
            <w:proofErr w:type="spellStart"/>
            <w:r w:rsidRPr="002A1F73">
              <w:rPr>
                <w:rFonts w:ascii="Times New Roman" w:hAnsi="Times New Roman" w:cs="Times New Roman"/>
                <w:sz w:val="24"/>
                <w:szCs w:val="24"/>
              </w:rPr>
              <w:t>Lanoie</w:t>
            </w:r>
            <w:proofErr w:type="spellEnd"/>
            <w:r w:rsidRPr="002A1F73">
              <w:rPr>
                <w:rFonts w:ascii="Times New Roman" w:hAnsi="Times New Roman" w:cs="Times New Roman"/>
                <w:sz w:val="24"/>
                <w:szCs w:val="24"/>
              </w:rPr>
              <w:t xml:space="preserve"> et al. (2011)</w:t>
            </w:r>
          </w:p>
        </w:tc>
        <w:tc>
          <w:tcPr>
            <w:tcW w:w="0" w:type="auto"/>
            <w:hideMark/>
          </w:tcPr>
          <w:p w14:paraId="21181CE1"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Well-designed regulation supports productivity</w:t>
            </w:r>
          </w:p>
        </w:tc>
      </w:tr>
      <w:tr w:rsidR="002A1F73" w:rsidRPr="002A1F73" w14:paraId="050EF68B" w14:textId="77777777" w:rsidTr="002A1F73">
        <w:trPr>
          <w:trHeight w:val="1581"/>
        </w:trPr>
        <w:tc>
          <w:tcPr>
            <w:tcW w:w="0" w:type="auto"/>
            <w:hideMark/>
          </w:tcPr>
          <w:p w14:paraId="0FA3DA29"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lastRenderedPageBreak/>
              <w:t>Productivity effects</w:t>
            </w:r>
          </w:p>
        </w:tc>
        <w:tc>
          <w:tcPr>
            <w:tcW w:w="0" w:type="auto"/>
            <w:hideMark/>
          </w:tcPr>
          <w:p w14:paraId="1BF4FF0F"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Policy stringency &amp; firm productivity</w:t>
            </w:r>
          </w:p>
        </w:tc>
        <w:tc>
          <w:tcPr>
            <w:tcW w:w="0" w:type="auto"/>
            <w:hideMark/>
          </w:tcPr>
          <w:p w14:paraId="20E9A3B7"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No systematic evidence of long-run productivity losses</w:t>
            </w:r>
          </w:p>
        </w:tc>
        <w:tc>
          <w:tcPr>
            <w:tcW w:w="0" w:type="auto"/>
            <w:hideMark/>
          </w:tcPr>
          <w:p w14:paraId="3E3A5EF9" w14:textId="77777777" w:rsidR="002A1F73" w:rsidRPr="002A1F73" w:rsidRDefault="002A1F73" w:rsidP="002A1F73">
            <w:pPr>
              <w:spacing w:after="160" w:line="259" w:lineRule="auto"/>
              <w:rPr>
                <w:rFonts w:ascii="Times New Roman" w:hAnsi="Times New Roman" w:cs="Times New Roman"/>
                <w:sz w:val="24"/>
                <w:szCs w:val="24"/>
              </w:rPr>
            </w:pPr>
            <w:proofErr w:type="spellStart"/>
            <w:r w:rsidRPr="002A1F73">
              <w:rPr>
                <w:rFonts w:ascii="Times New Roman" w:hAnsi="Times New Roman" w:cs="Times New Roman"/>
                <w:sz w:val="24"/>
                <w:szCs w:val="24"/>
              </w:rPr>
              <w:t>Albrizio</w:t>
            </w:r>
            <w:proofErr w:type="spellEnd"/>
            <w:r w:rsidRPr="002A1F73">
              <w:rPr>
                <w:rFonts w:ascii="Times New Roman" w:hAnsi="Times New Roman" w:cs="Times New Roman"/>
                <w:sz w:val="24"/>
                <w:szCs w:val="24"/>
              </w:rPr>
              <w:t xml:space="preserve"> et al. (2017); </w:t>
            </w:r>
            <w:proofErr w:type="spellStart"/>
            <w:r w:rsidRPr="002A1F73">
              <w:rPr>
                <w:rFonts w:ascii="Times New Roman" w:hAnsi="Times New Roman" w:cs="Times New Roman"/>
                <w:sz w:val="24"/>
                <w:szCs w:val="24"/>
              </w:rPr>
              <w:t>Calel</w:t>
            </w:r>
            <w:proofErr w:type="spellEnd"/>
            <w:r w:rsidRPr="002A1F73">
              <w:rPr>
                <w:rFonts w:ascii="Times New Roman" w:hAnsi="Times New Roman" w:cs="Times New Roman"/>
                <w:sz w:val="24"/>
                <w:szCs w:val="24"/>
              </w:rPr>
              <w:t xml:space="preserve"> &amp; </w:t>
            </w:r>
            <w:proofErr w:type="spellStart"/>
            <w:r w:rsidRPr="002A1F73">
              <w:rPr>
                <w:rFonts w:ascii="Times New Roman" w:hAnsi="Times New Roman" w:cs="Times New Roman"/>
                <w:sz w:val="24"/>
                <w:szCs w:val="24"/>
              </w:rPr>
              <w:t>Dechezleprêtre</w:t>
            </w:r>
            <w:proofErr w:type="spellEnd"/>
            <w:r w:rsidRPr="002A1F73">
              <w:rPr>
                <w:rFonts w:ascii="Times New Roman" w:hAnsi="Times New Roman" w:cs="Times New Roman"/>
                <w:sz w:val="24"/>
                <w:szCs w:val="24"/>
              </w:rPr>
              <w:t xml:space="preserve"> (2016)</w:t>
            </w:r>
          </w:p>
        </w:tc>
        <w:tc>
          <w:tcPr>
            <w:tcW w:w="0" w:type="auto"/>
            <w:hideMark/>
          </w:tcPr>
          <w:p w14:paraId="605A58D6"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Stringent policies can coexist with growth</w:t>
            </w:r>
          </w:p>
        </w:tc>
      </w:tr>
      <w:tr w:rsidR="002A1F73" w:rsidRPr="002A1F73" w14:paraId="4D61A2C4" w14:textId="77777777" w:rsidTr="002A1F73">
        <w:trPr>
          <w:trHeight w:val="1306"/>
        </w:trPr>
        <w:tc>
          <w:tcPr>
            <w:tcW w:w="0" w:type="auto"/>
            <w:hideMark/>
          </w:tcPr>
          <w:p w14:paraId="2A14DC15"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Technological direction</w:t>
            </w:r>
          </w:p>
        </w:tc>
        <w:tc>
          <w:tcPr>
            <w:tcW w:w="0" w:type="auto"/>
            <w:hideMark/>
          </w:tcPr>
          <w:p w14:paraId="7D4BE432"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Directed technical change</w:t>
            </w:r>
          </w:p>
        </w:tc>
        <w:tc>
          <w:tcPr>
            <w:tcW w:w="0" w:type="auto"/>
            <w:hideMark/>
          </w:tcPr>
          <w:p w14:paraId="637E58CF"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Policies shift innovation toward clean technologies</w:t>
            </w:r>
          </w:p>
        </w:tc>
        <w:tc>
          <w:tcPr>
            <w:tcW w:w="0" w:type="auto"/>
            <w:hideMark/>
          </w:tcPr>
          <w:p w14:paraId="0121E6C7" w14:textId="77777777"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 xml:space="preserve">Popp (2002); </w:t>
            </w:r>
            <w:proofErr w:type="spellStart"/>
            <w:r w:rsidRPr="002A1F73">
              <w:rPr>
                <w:rFonts w:ascii="Times New Roman" w:hAnsi="Times New Roman" w:cs="Times New Roman"/>
                <w:sz w:val="24"/>
                <w:szCs w:val="24"/>
              </w:rPr>
              <w:t>Dechezleprêtre</w:t>
            </w:r>
            <w:proofErr w:type="spellEnd"/>
            <w:r w:rsidRPr="002A1F73">
              <w:rPr>
                <w:rFonts w:ascii="Times New Roman" w:hAnsi="Times New Roman" w:cs="Times New Roman"/>
                <w:sz w:val="24"/>
                <w:szCs w:val="24"/>
              </w:rPr>
              <w:t xml:space="preserve"> et al. (2017)</w:t>
            </w:r>
          </w:p>
        </w:tc>
        <w:tc>
          <w:tcPr>
            <w:tcW w:w="0" w:type="auto"/>
            <w:hideMark/>
          </w:tcPr>
          <w:p w14:paraId="0C9F1126" w14:textId="4F54AE18" w:rsidR="002A1F73" w:rsidRPr="002A1F73" w:rsidRDefault="002A1F73" w:rsidP="002A1F73">
            <w:pPr>
              <w:spacing w:after="160" w:line="259" w:lineRule="auto"/>
              <w:rPr>
                <w:rFonts w:ascii="Times New Roman" w:hAnsi="Times New Roman" w:cs="Times New Roman"/>
                <w:sz w:val="24"/>
                <w:szCs w:val="24"/>
              </w:rPr>
            </w:pPr>
            <w:r w:rsidRPr="002A1F73">
              <w:rPr>
                <w:rFonts w:ascii="Times New Roman" w:hAnsi="Times New Roman" w:cs="Times New Roman"/>
                <w:sz w:val="24"/>
                <w:szCs w:val="24"/>
              </w:rPr>
              <w:t>Policy design affects long</w:t>
            </w:r>
            <w:r w:rsidR="00187EB9">
              <w:rPr>
                <w:rFonts w:ascii="Times New Roman" w:hAnsi="Times New Roman" w:cs="Times New Roman"/>
                <w:sz w:val="24"/>
                <w:szCs w:val="24"/>
              </w:rPr>
              <w:t>-</w:t>
            </w:r>
            <w:r w:rsidRPr="002A1F73">
              <w:rPr>
                <w:rFonts w:ascii="Times New Roman" w:hAnsi="Times New Roman" w:cs="Times New Roman"/>
                <w:sz w:val="24"/>
                <w:szCs w:val="24"/>
              </w:rPr>
              <w:t>term growth paths</w:t>
            </w:r>
          </w:p>
        </w:tc>
      </w:tr>
    </w:tbl>
    <w:p w14:paraId="375B827C" w14:textId="4CA994A8" w:rsidR="00084EB2" w:rsidRDefault="00084EB2" w:rsidP="002A1F73">
      <w:pPr>
        <w:jc w:val="both"/>
        <w:rPr>
          <w:rFonts w:ascii="Times New Roman" w:hAnsi="Times New Roman" w:cs="Times New Roman"/>
          <w:sz w:val="24"/>
          <w:szCs w:val="24"/>
        </w:rPr>
      </w:pPr>
    </w:p>
    <w:p w14:paraId="20B8C10F" w14:textId="77777777" w:rsidR="00084EB2" w:rsidRDefault="00084EB2" w:rsidP="002A1F73">
      <w:pPr>
        <w:jc w:val="both"/>
        <w:rPr>
          <w:rFonts w:ascii="Times New Roman" w:hAnsi="Times New Roman" w:cs="Times New Roman"/>
          <w:sz w:val="24"/>
          <w:szCs w:val="24"/>
        </w:rPr>
      </w:pPr>
    </w:p>
    <w:p w14:paraId="3579D10E" w14:textId="5B754FAC" w:rsidR="00B34F14" w:rsidRPr="00B34F14" w:rsidRDefault="00B34F14" w:rsidP="00284FC8">
      <w:pPr>
        <w:pStyle w:val="ListParagraph"/>
        <w:numPr>
          <w:ilvl w:val="0"/>
          <w:numId w:val="3"/>
        </w:numPr>
        <w:jc w:val="both"/>
        <w:rPr>
          <w:rFonts w:ascii="Times New Roman" w:hAnsi="Times New Roman" w:cs="Times New Roman"/>
          <w:b/>
          <w:bCs/>
          <w:sz w:val="24"/>
          <w:szCs w:val="24"/>
        </w:rPr>
      </w:pPr>
      <w:r w:rsidRPr="00B34F14">
        <w:rPr>
          <w:rFonts w:ascii="Times New Roman" w:hAnsi="Times New Roman" w:cs="Times New Roman"/>
          <w:b/>
          <w:bCs/>
          <w:sz w:val="24"/>
          <w:szCs w:val="24"/>
        </w:rPr>
        <w:t>Sustainable Finance and Policy Pathways</w:t>
      </w:r>
    </w:p>
    <w:p w14:paraId="00181452" w14:textId="7809AF42" w:rsidR="00B34F14" w:rsidRPr="00B34F14" w:rsidRDefault="00084EB2" w:rsidP="00084EB2">
      <w:pPr>
        <w:jc w:val="both"/>
        <w:rPr>
          <w:rFonts w:ascii="Times New Roman" w:hAnsi="Times New Roman" w:cs="Times New Roman"/>
          <w:sz w:val="24"/>
          <w:szCs w:val="24"/>
        </w:rPr>
      </w:pPr>
      <w:r w:rsidRPr="00084EB2">
        <w:rPr>
          <w:rFonts w:ascii="Times New Roman" w:hAnsi="Times New Roman" w:cs="Times New Roman"/>
          <w:sz w:val="24"/>
          <w:szCs w:val="24"/>
        </w:rPr>
        <w:t>Sustainable finance is the main source of green growth strategies and this is the reflection of the expectation that financial markets can be the tools to resend capital toward environmentally sustainable activities. Such instruments as green bonds, ESG integration, and climate, focused investment mandates are being used more and more as the ways by which the private climate, friendly investment can be aligned with public climate objectives. Nevertheless, the economic evidence shows that the sustainable finance promotion has to be accompanied with the green growth policy, information quality, and governance framework (Table 2).</w:t>
      </w:r>
      <w:r w:rsidR="00F36362">
        <w:rPr>
          <w:rFonts w:ascii="Times New Roman" w:hAnsi="Times New Roman" w:cs="Times New Roman"/>
          <w:sz w:val="24"/>
          <w:szCs w:val="24"/>
        </w:rPr>
        <w:t xml:space="preserve"> </w:t>
      </w:r>
      <w:r w:rsidRPr="00084EB2">
        <w:rPr>
          <w:rFonts w:ascii="Times New Roman" w:hAnsi="Times New Roman" w:cs="Times New Roman"/>
          <w:sz w:val="24"/>
          <w:szCs w:val="24"/>
        </w:rPr>
        <w:t xml:space="preserve">On the one hand, empirical studies reveal that the use of sustainable finance instruments may condition the firms financing to some extent. Worldwide green bond markets attest to the fact that the issuance is generally linked with relatively small reductions in the cost of capital and positive market reactions, thus, investors seem to 'value environmental commitments which are credible. On the other hand, the scope of these effects is still very small, and the way they influence real investment in different firms and sectors varies. It points to the significant limitation: financial markets usually have the ability to 'amplify existing incentives' rather than 'create them independently'. As shown in Figure 1, the main impact of </w:t>
      </w:r>
      <w:r w:rsidR="00F36362">
        <w:rPr>
          <w:rFonts w:ascii="Times New Roman" w:hAnsi="Times New Roman" w:cs="Times New Roman"/>
          <w:sz w:val="24"/>
          <w:szCs w:val="24"/>
        </w:rPr>
        <w:t xml:space="preserve">the </w:t>
      </w:r>
      <w:r w:rsidRPr="00084EB2">
        <w:rPr>
          <w:rFonts w:ascii="Times New Roman" w:hAnsi="Times New Roman" w:cs="Times New Roman"/>
          <w:sz w:val="24"/>
          <w:szCs w:val="24"/>
        </w:rPr>
        <w:t>sustainable finance is when they are combined with</w:t>
      </w:r>
      <w:r w:rsidR="00F36362">
        <w:rPr>
          <w:rFonts w:ascii="Times New Roman" w:hAnsi="Times New Roman" w:cs="Times New Roman"/>
          <w:sz w:val="24"/>
          <w:szCs w:val="24"/>
        </w:rPr>
        <w:t xml:space="preserve"> the </w:t>
      </w:r>
      <w:r w:rsidRPr="00084EB2">
        <w:rPr>
          <w:rFonts w:ascii="Times New Roman" w:hAnsi="Times New Roman" w:cs="Times New Roman"/>
          <w:sz w:val="24"/>
          <w:szCs w:val="24"/>
        </w:rPr>
        <w:t>environmental policies which lead to the establishment of prices and regulations.</w:t>
      </w:r>
    </w:p>
    <w:p w14:paraId="7EC06E1B" w14:textId="40B9CCAC" w:rsidR="00032A38" w:rsidRDefault="00F36362" w:rsidP="00F36362">
      <w:pPr>
        <w:jc w:val="both"/>
        <w:rPr>
          <w:rFonts w:ascii="Times New Roman" w:hAnsi="Times New Roman" w:cs="Times New Roman"/>
          <w:sz w:val="24"/>
          <w:szCs w:val="24"/>
        </w:rPr>
      </w:pPr>
      <w:r w:rsidRPr="00F36362">
        <w:rPr>
          <w:rFonts w:ascii="Times New Roman" w:hAnsi="Times New Roman" w:cs="Times New Roman"/>
          <w:sz w:val="24"/>
          <w:szCs w:val="24"/>
        </w:rPr>
        <w:t>A related question is whether ESG, oriented investment leads to improved corporate performance or just reflects investor preferences. Meta, analytical evidence indicates a generally positive, but not consistent, relationship between ESG indicators and financial outcomes. Research at the firm level also implies that markets reward genuine, long, term commitments to non, financial goals, but punish those that are secretive or merely symbolic. These results highlight significance of standardization, disclosure, and verification in stopping greenwashing and allowing sustainable finance to be a means of real capital reallocation rather than reputational arbitrage.</w:t>
      </w:r>
      <w:r>
        <w:rPr>
          <w:rFonts w:ascii="Times New Roman" w:hAnsi="Times New Roman" w:cs="Times New Roman"/>
          <w:sz w:val="24"/>
          <w:szCs w:val="24"/>
        </w:rPr>
        <w:t xml:space="preserve"> </w:t>
      </w:r>
      <w:r w:rsidR="00032A38" w:rsidRPr="00032A38">
        <w:rPr>
          <w:rFonts w:ascii="Times New Roman" w:hAnsi="Times New Roman" w:cs="Times New Roman"/>
          <w:sz w:val="24"/>
          <w:szCs w:val="24"/>
          <w:highlight w:val="yellow"/>
        </w:rPr>
        <w:t>Recent empirical studies further confirm that sustainable finance instruments can influence investment decisions and firm behavior, although their effectiveness depends strongly on regulatory frameworks, disclosure standards, and policy credibility (</w:t>
      </w:r>
      <w:proofErr w:type="spellStart"/>
      <w:r w:rsidR="00032A38" w:rsidRPr="00032A38">
        <w:rPr>
          <w:rFonts w:ascii="Times New Roman" w:hAnsi="Times New Roman" w:cs="Times New Roman"/>
          <w:sz w:val="24"/>
          <w:szCs w:val="24"/>
          <w:highlight w:val="yellow"/>
        </w:rPr>
        <w:t>Zerbib</w:t>
      </w:r>
      <w:proofErr w:type="spellEnd"/>
      <w:r w:rsidR="00032A38" w:rsidRPr="00032A38">
        <w:rPr>
          <w:rFonts w:ascii="Times New Roman" w:hAnsi="Times New Roman" w:cs="Times New Roman"/>
          <w:sz w:val="24"/>
          <w:szCs w:val="24"/>
          <w:highlight w:val="yellow"/>
        </w:rPr>
        <w:t xml:space="preserve">, 2019; Flammer, 2021; </w:t>
      </w:r>
      <w:proofErr w:type="spellStart"/>
      <w:r w:rsidR="00032A38" w:rsidRPr="00032A38">
        <w:rPr>
          <w:rFonts w:ascii="Times New Roman" w:hAnsi="Times New Roman" w:cs="Times New Roman"/>
          <w:sz w:val="24"/>
          <w:szCs w:val="24"/>
          <w:highlight w:val="yellow"/>
        </w:rPr>
        <w:t>Batrancea</w:t>
      </w:r>
      <w:proofErr w:type="spellEnd"/>
      <w:r w:rsidR="00032A38" w:rsidRPr="00032A38">
        <w:rPr>
          <w:rFonts w:ascii="Times New Roman" w:hAnsi="Times New Roman" w:cs="Times New Roman"/>
          <w:sz w:val="24"/>
          <w:szCs w:val="24"/>
          <w:highlight w:val="yellow"/>
        </w:rPr>
        <w:t xml:space="preserve"> et al., 2021).</w:t>
      </w:r>
    </w:p>
    <w:p w14:paraId="6DA4080A" w14:textId="651F59AF" w:rsidR="00B34F14" w:rsidRPr="00B34F14" w:rsidRDefault="00F36362" w:rsidP="00F36362">
      <w:pPr>
        <w:jc w:val="both"/>
        <w:rPr>
          <w:rFonts w:ascii="Times New Roman" w:hAnsi="Times New Roman" w:cs="Times New Roman"/>
          <w:sz w:val="24"/>
          <w:szCs w:val="24"/>
        </w:rPr>
      </w:pPr>
      <w:r w:rsidRPr="00F36362">
        <w:rPr>
          <w:rFonts w:ascii="Times New Roman" w:hAnsi="Times New Roman" w:cs="Times New Roman"/>
          <w:sz w:val="24"/>
          <w:szCs w:val="24"/>
        </w:rPr>
        <w:lastRenderedPageBreak/>
        <w:t xml:space="preserve">The scope of sustainable finance has been extended from capital allocation to financial stability due to the increasing acknowledgement of climate, related financial risks. Both physical risks resulting from climate change and transition risks resulting from policy changes can influence asset prices, firm valuations, and systemic risk. The empirical evidence indicates that investors are increasingly considering the carbon footprint and climate risk of their investments, while the stress, testing exercises reveal that a disorderly transition could exacerbate financial instability. As given in Table 2, this has led </w:t>
      </w:r>
      <w:r>
        <w:rPr>
          <w:rFonts w:ascii="Times New Roman" w:hAnsi="Times New Roman" w:cs="Times New Roman"/>
          <w:sz w:val="24"/>
          <w:szCs w:val="24"/>
        </w:rPr>
        <w:t xml:space="preserve">the </w:t>
      </w:r>
      <w:r w:rsidRPr="00F36362">
        <w:rPr>
          <w:rFonts w:ascii="Times New Roman" w:hAnsi="Times New Roman" w:cs="Times New Roman"/>
          <w:sz w:val="24"/>
          <w:szCs w:val="24"/>
        </w:rPr>
        <w:t>central banks and regulators to incorporate climate considerations in prudential supervision and macro, financial oversight.</w:t>
      </w:r>
    </w:p>
    <w:p w14:paraId="5429D4D9" w14:textId="5EA0EF4A" w:rsidR="00F36362" w:rsidRPr="00F36362" w:rsidRDefault="00F36362" w:rsidP="00F36362">
      <w:pPr>
        <w:jc w:val="both"/>
        <w:rPr>
          <w:rFonts w:ascii="Times New Roman" w:hAnsi="Times New Roman" w:cs="Times New Roman"/>
          <w:sz w:val="24"/>
          <w:szCs w:val="24"/>
        </w:rPr>
      </w:pPr>
      <w:r w:rsidRPr="00F36362">
        <w:rPr>
          <w:rFonts w:ascii="Times New Roman" w:hAnsi="Times New Roman" w:cs="Times New Roman"/>
          <w:sz w:val="24"/>
          <w:szCs w:val="24"/>
        </w:rPr>
        <w:t>Figure 2 shows the journey of policy tools leading to economic and financial results through price signals, information channels, and risk reallocation, thus, revealing the key trade</w:t>
      </w:r>
      <w:r>
        <w:rPr>
          <w:rFonts w:ascii="Times New Roman" w:hAnsi="Times New Roman" w:cs="Times New Roman"/>
          <w:sz w:val="24"/>
          <w:szCs w:val="24"/>
        </w:rPr>
        <w:t>-</w:t>
      </w:r>
      <w:r w:rsidRPr="00F36362">
        <w:rPr>
          <w:rFonts w:ascii="Times New Roman" w:hAnsi="Times New Roman" w:cs="Times New Roman"/>
          <w:sz w:val="24"/>
          <w:szCs w:val="24"/>
        </w:rPr>
        <w:t>offs. Any ambitious climate policies may cause temporary adjustment costs, distributional effects, and the risk of stranded assets in case of a bad sequence of activities. Sustainable finance can alleviate some of these problems by enabling investment and risk, sharing, but it cannot replace a properly designed policy. Hence, good governance, including disclosure standards, taxonomies, and regulatory coordination, is indispensable to align financial incentives with the goals of long, term growth and stability.</w:t>
      </w:r>
    </w:p>
    <w:p w14:paraId="0643E92E" w14:textId="43879C00" w:rsidR="002A1F73" w:rsidRDefault="00F36362" w:rsidP="00F36362">
      <w:pPr>
        <w:jc w:val="both"/>
        <w:rPr>
          <w:rFonts w:ascii="Times New Roman" w:hAnsi="Times New Roman" w:cs="Times New Roman"/>
          <w:sz w:val="24"/>
          <w:szCs w:val="24"/>
        </w:rPr>
      </w:pPr>
      <w:r w:rsidRPr="00F36362">
        <w:rPr>
          <w:rFonts w:ascii="Times New Roman" w:hAnsi="Times New Roman" w:cs="Times New Roman"/>
          <w:sz w:val="24"/>
          <w:szCs w:val="24"/>
        </w:rPr>
        <w:t xml:space="preserve">In general, the evidence is in favor of sustainable finance as a side mechanism, not a standalone solution. Its role in </w:t>
      </w:r>
      <w:r>
        <w:rPr>
          <w:rFonts w:ascii="Times New Roman" w:hAnsi="Times New Roman" w:cs="Times New Roman"/>
          <w:sz w:val="24"/>
          <w:szCs w:val="24"/>
        </w:rPr>
        <w:t xml:space="preserve">the </w:t>
      </w:r>
      <w:r w:rsidRPr="00F36362">
        <w:rPr>
          <w:rFonts w:ascii="Times New Roman" w:hAnsi="Times New Roman" w:cs="Times New Roman"/>
          <w:sz w:val="24"/>
          <w:szCs w:val="24"/>
        </w:rPr>
        <w:t>green growth is conditional on the existence of credible environmental policies, strong information frameworks, and governance structures that can handle trade</w:t>
      </w:r>
      <w:r w:rsidR="00DA2511">
        <w:rPr>
          <w:rFonts w:ascii="Times New Roman" w:hAnsi="Times New Roman" w:cs="Times New Roman"/>
          <w:sz w:val="24"/>
          <w:szCs w:val="24"/>
        </w:rPr>
        <w:t>-</w:t>
      </w:r>
      <w:r w:rsidRPr="00F36362">
        <w:rPr>
          <w:rFonts w:ascii="Times New Roman" w:hAnsi="Times New Roman" w:cs="Times New Roman"/>
          <w:sz w:val="24"/>
          <w:szCs w:val="24"/>
        </w:rPr>
        <w:t>offs and systemic risks. These revelations emphasize the necessity of integrated policy pathways that simultaneously tackle growth, finance, and</w:t>
      </w:r>
      <w:r>
        <w:rPr>
          <w:rFonts w:ascii="Times New Roman" w:hAnsi="Times New Roman" w:cs="Times New Roman"/>
          <w:sz w:val="24"/>
          <w:szCs w:val="24"/>
        </w:rPr>
        <w:t xml:space="preserve"> the</w:t>
      </w:r>
      <w:r w:rsidRPr="00F36362">
        <w:rPr>
          <w:rFonts w:ascii="Times New Roman" w:hAnsi="Times New Roman" w:cs="Times New Roman"/>
          <w:sz w:val="24"/>
          <w:szCs w:val="24"/>
        </w:rPr>
        <w:t xml:space="preserve"> stability issues.</w:t>
      </w:r>
    </w:p>
    <w:p w14:paraId="3DDFE5B4" w14:textId="5D1A4F58" w:rsidR="002A1F73" w:rsidRDefault="000F3C5B" w:rsidP="000F3C5B">
      <w:pPr>
        <w:jc w:val="both"/>
        <w:rPr>
          <w:rFonts w:ascii="Times New Roman" w:hAnsi="Times New Roman" w:cs="Times New Roman"/>
          <w:sz w:val="24"/>
          <w:szCs w:val="24"/>
        </w:rPr>
      </w:pPr>
      <w:r w:rsidRPr="000F3C5B">
        <w:rPr>
          <w:rFonts w:ascii="Times New Roman" w:hAnsi="Times New Roman" w:cs="Times New Roman"/>
          <w:sz w:val="24"/>
          <w:szCs w:val="24"/>
        </w:rPr>
        <w:t>Table 2</w:t>
      </w:r>
      <w:r>
        <w:rPr>
          <w:rFonts w:ascii="Times New Roman" w:hAnsi="Times New Roman" w:cs="Times New Roman"/>
          <w:sz w:val="24"/>
          <w:szCs w:val="24"/>
        </w:rPr>
        <w:t xml:space="preserve">: </w:t>
      </w:r>
      <w:r w:rsidRPr="000F3C5B">
        <w:rPr>
          <w:rFonts w:ascii="Times New Roman" w:hAnsi="Times New Roman" w:cs="Times New Roman"/>
          <w:sz w:val="24"/>
          <w:szCs w:val="24"/>
        </w:rPr>
        <w:t>Sustainable Finance, Climate Risk, and Policy Pathways</w:t>
      </w:r>
    </w:p>
    <w:tbl>
      <w:tblPr>
        <w:tblStyle w:val="TableGrid"/>
        <w:tblW w:w="0" w:type="auto"/>
        <w:tblLook w:val="04A0" w:firstRow="1" w:lastRow="0" w:firstColumn="1" w:lastColumn="0" w:noHBand="0" w:noVBand="1"/>
      </w:tblPr>
      <w:tblGrid>
        <w:gridCol w:w="1560"/>
        <w:gridCol w:w="1785"/>
        <w:gridCol w:w="1779"/>
        <w:gridCol w:w="2177"/>
        <w:gridCol w:w="2049"/>
      </w:tblGrid>
      <w:tr w:rsidR="000F3C5B" w:rsidRPr="000F3C5B" w14:paraId="2F12EB27" w14:textId="77777777" w:rsidTr="000F3C5B">
        <w:tc>
          <w:tcPr>
            <w:tcW w:w="0" w:type="auto"/>
            <w:hideMark/>
          </w:tcPr>
          <w:p w14:paraId="78F8BBC2" w14:textId="77777777" w:rsidR="000F3C5B" w:rsidRPr="000F3C5B" w:rsidRDefault="000F3C5B" w:rsidP="000F3C5B">
            <w:pPr>
              <w:spacing w:after="160" w:line="259" w:lineRule="auto"/>
              <w:rPr>
                <w:rFonts w:ascii="Times New Roman" w:hAnsi="Times New Roman" w:cs="Times New Roman"/>
                <w:b/>
                <w:bCs/>
                <w:sz w:val="24"/>
                <w:szCs w:val="24"/>
              </w:rPr>
            </w:pPr>
            <w:r w:rsidRPr="000F3C5B">
              <w:rPr>
                <w:rFonts w:ascii="Times New Roman" w:hAnsi="Times New Roman" w:cs="Times New Roman"/>
                <w:b/>
                <w:bCs/>
                <w:sz w:val="24"/>
                <w:szCs w:val="24"/>
              </w:rPr>
              <w:t>Dimension</w:t>
            </w:r>
          </w:p>
        </w:tc>
        <w:tc>
          <w:tcPr>
            <w:tcW w:w="0" w:type="auto"/>
            <w:hideMark/>
          </w:tcPr>
          <w:p w14:paraId="79480832" w14:textId="77777777" w:rsidR="000F3C5B" w:rsidRPr="000F3C5B" w:rsidRDefault="000F3C5B" w:rsidP="000F3C5B">
            <w:pPr>
              <w:spacing w:after="160" w:line="259" w:lineRule="auto"/>
              <w:rPr>
                <w:rFonts w:ascii="Times New Roman" w:hAnsi="Times New Roman" w:cs="Times New Roman"/>
                <w:b/>
                <w:bCs/>
                <w:sz w:val="24"/>
                <w:szCs w:val="24"/>
              </w:rPr>
            </w:pPr>
            <w:r w:rsidRPr="000F3C5B">
              <w:rPr>
                <w:rFonts w:ascii="Times New Roman" w:hAnsi="Times New Roman" w:cs="Times New Roman"/>
                <w:b/>
                <w:bCs/>
                <w:sz w:val="24"/>
                <w:szCs w:val="24"/>
              </w:rPr>
              <w:t>Financial Channel</w:t>
            </w:r>
          </w:p>
        </w:tc>
        <w:tc>
          <w:tcPr>
            <w:tcW w:w="0" w:type="auto"/>
            <w:hideMark/>
          </w:tcPr>
          <w:p w14:paraId="5B6F56C8" w14:textId="77777777" w:rsidR="000F3C5B" w:rsidRPr="000F3C5B" w:rsidRDefault="000F3C5B" w:rsidP="000F3C5B">
            <w:pPr>
              <w:spacing w:after="160" w:line="259" w:lineRule="auto"/>
              <w:rPr>
                <w:rFonts w:ascii="Times New Roman" w:hAnsi="Times New Roman" w:cs="Times New Roman"/>
                <w:b/>
                <w:bCs/>
                <w:sz w:val="24"/>
                <w:szCs w:val="24"/>
              </w:rPr>
            </w:pPr>
            <w:r w:rsidRPr="000F3C5B">
              <w:rPr>
                <w:rFonts w:ascii="Times New Roman" w:hAnsi="Times New Roman" w:cs="Times New Roman"/>
                <w:b/>
                <w:bCs/>
                <w:sz w:val="24"/>
                <w:szCs w:val="24"/>
              </w:rPr>
              <w:t>Core Evidence</w:t>
            </w:r>
          </w:p>
        </w:tc>
        <w:tc>
          <w:tcPr>
            <w:tcW w:w="0" w:type="auto"/>
            <w:hideMark/>
          </w:tcPr>
          <w:p w14:paraId="596110CB" w14:textId="77777777" w:rsidR="000F3C5B" w:rsidRPr="000F3C5B" w:rsidRDefault="000F3C5B" w:rsidP="000F3C5B">
            <w:pPr>
              <w:spacing w:after="160" w:line="259" w:lineRule="auto"/>
              <w:rPr>
                <w:rFonts w:ascii="Times New Roman" w:hAnsi="Times New Roman" w:cs="Times New Roman"/>
                <w:b/>
                <w:bCs/>
                <w:sz w:val="24"/>
                <w:szCs w:val="24"/>
              </w:rPr>
            </w:pPr>
            <w:r w:rsidRPr="000F3C5B">
              <w:rPr>
                <w:rFonts w:ascii="Times New Roman" w:hAnsi="Times New Roman" w:cs="Times New Roman"/>
                <w:b/>
                <w:bCs/>
                <w:sz w:val="24"/>
                <w:szCs w:val="24"/>
              </w:rPr>
              <w:t>Representative Studies</w:t>
            </w:r>
          </w:p>
        </w:tc>
        <w:tc>
          <w:tcPr>
            <w:tcW w:w="0" w:type="auto"/>
            <w:hideMark/>
          </w:tcPr>
          <w:p w14:paraId="7BCE294A" w14:textId="77777777" w:rsidR="000F3C5B" w:rsidRPr="000F3C5B" w:rsidRDefault="000F3C5B" w:rsidP="000F3C5B">
            <w:pPr>
              <w:spacing w:after="160" w:line="259" w:lineRule="auto"/>
              <w:rPr>
                <w:rFonts w:ascii="Times New Roman" w:hAnsi="Times New Roman" w:cs="Times New Roman"/>
                <w:b/>
                <w:bCs/>
                <w:sz w:val="24"/>
                <w:szCs w:val="24"/>
              </w:rPr>
            </w:pPr>
            <w:r w:rsidRPr="000F3C5B">
              <w:rPr>
                <w:rFonts w:ascii="Times New Roman" w:hAnsi="Times New Roman" w:cs="Times New Roman"/>
                <w:b/>
                <w:bCs/>
                <w:sz w:val="24"/>
                <w:szCs w:val="24"/>
              </w:rPr>
              <w:t>Policy Relevance</w:t>
            </w:r>
          </w:p>
        </w:tc>
      </w:tr>
      <w:tr w:rsidR="000F3C5B" w:rsidRPr="000F3C5B" w14:paraId="3F48906F" w14:textId="77777777" w:rsidTr="000F3C5B">
        <w:tc>
          <w:tcPr>
            <w:tcW w:w="0" w:type="auto"/>
            <w:hideMark/>
          </w:tcPr>
          <w:p w14:paraId="03D406F8"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Capital allocation</w:t>
            </w:r>
          </w:p>
        </w:tc>
        <w:tc>
          <w:tcPr>
            <w:tcW w:w="0" w:type="auto"/>
            <w:hideMark/>
          </w:tcPr>
          <w:p w14:paraId="781C1CBA"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Green bonds</w:t>
            </w:r>
          </w:p>
        </w:tc>
        <w:tc>
          <w:tcPr>
            <w:tcW w:w="0" w:type="auto"/>
            <w:hideMark/>
          </w:tcPr>
          <w:p w14:paraId="6986F418"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Lower cost of capital for issuers</w:t>
            </w:r>
          </w:p>
        </w:tc>
        <w:tc>
          <w:tcPr>
            <w:tcW w:w="0" w:type="auto"/>
            <w:hideMark/>
          </w:tcPr>
          <w:p w14:paraId="794F258A"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Flammer (2021); Tang &amp; Zhang (2020)</w:t>
            </w:r>
          </w:p>
        </w:tc>
        <w:tc>
          <w:tcPr>
            <w:tcW w:w="0" w:type="auto"/>
            <w:hideMark/>
          </w:tcPr>
          <w:p w14:paraId="6C6023C1"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Supports scaling of green investment</w:t>
            </w:r>
          </w:p>
        </w:tc>
      </w:tr>
      <w:tr w:rsidR="000F3C5B" w:rsidRPr="000F3C5B" w14:paraId="63AAE723" w14:textId="77777777" w:rsidTr="000F3C5B">
        <w:tc>
          <w:tcPr>
            <w:tcW w:w="0" w:type="auto"/>
            <w:hideMark/>
          </w:tcPr>
          <w:p w14:paraId="5DD9CCC3"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Pricing mechanisms</w:t>
            </w:r>
          </w:p>
        </w:tc>
        <w:tc>
          <w:tcPr>
            <w:tcW w:w="0" w:type="auto"/>
            <w:hideMark/>
          </w:tcPr>
          <w:p w14:paraId="079137E6"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Green premia (“</w:t>
            </w:r>
            <w:proofErr w:type="spellStart"/>
            <w:r w:rsidRPr="000F3C5B">
              <w:rPr>
                <w:rFonts w:ascii="Times New Roman" w:hAnsi="Times New Roman" w:cs="Times New Roman"/>
                <w:sz w:val="24"/>
                <w:szCs w:val="24"/>
              </w:rPr>
              <w:t>greenium</w:t>
            </w:r>
            <w:proofErr w:type="spellEnd"/>
            <w:r w:rsidRPr="000F3C5B">
              <w:rPr>
                <w:rFonts w:ascii="Times New Roman" w:hAnsi="Times New Roman" w:cs="Times New Roman"/>
                <w:sz w:val="24"/>
                <w:szCs w:val="24"/>
              </w:rPr>
              <w:t>”)</w:t>
            </w:r>
          </w:p>
        </w:tc>
        <w:tc>
          <w:tcPr>
            <w:tcW w:w="0" w:type="auto"/>
            <w:hideMark/>
          </w:tcPr>
          <w:p w14:paraId="691A2AF9"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Small but significant bond pricing effects</w:t>
            </w:r>
          </w:p>
        </w:tc>
        <w:tc>
          <w:tcPr>
            <w:tcW w:w="0" w:type="auto"/>
            <w:hideMark/>
          </w:tcPr>
          <w:p w14:paraId="2BEF8A0B" w14:textId="77777777" w:rsidR="000F3C5B" w:rsidRPr="000F3C5B" w:rsidRDefault="000F3C5B" w:rsidP="000F3C5B">
            <w:pPr>
              <w:spacing w:after="160" w:line="259" w:lineRule="auto"/>
              <w:rPr>
                <w:rFonts w:ascii="Times New Roman" w:hAnsi="Times New Roman" w:cs="Times New Roman"/>
                <w:sz w:val="24"/>
                <w:szCs w:val="24"/>
              </w:rPr>
            </w:pPr>
            <w:proofErr w:type="spellStart"/>
            <w:r w:rsidRPr="000F3C5B">
              <w:rPr>
                <w:rFonts w:ascii="Times New Roman" w:hAnsi="Times New Roman" w:cs="Times New Roman"/>
                <w:sz w:val="24"/>
                <w:szCs w:val="24"/>
              </w:rPr>
              <w:t>Zerbib</w:t>
            </w:r>
            <w:proofErr w:type="spellEnd"/>
            <w:r w:rsidRPr="000F3C5B">
              <w:rPr>
                <w:rFonts w:ascii="Times New Roman" w:hAnsi="Times New Roman" w:cs="Times New Roman"/>
                <w:sz w:val="24"/>
                <w:szCs w:val="24"/>
              </w:rPr>
              <w:t xml:space="preserve"> (2019)</w:t>
            </w:r>
          </w:p>
        </w:tc>
        <w:tc>
          <w:tcPr>
            <w:tcW w:w="0" w:type="auto"/>
            <w:hideMark/>
          </w:tcPr>
          <w:p w14:paraId="1F8F9DF1"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Market incentives exist but are limited</w:t>
            </w:r>
          </w:p>
        </w:tc>
      </w:tr>
      <w:tr w:rsidR="000F3C5B" w:rsidRPr="000F3C5B" w14:paraId="357A5DF6" w14:textId="77777777" w:rsidTr="000F3C5B">
        <w:tc>
          <w:tcPr>
            <w:tcW w:w="0" w:type="auto"/>
            <w:hideMark/>
          </w:tcPr>
          <w:p w14:paraId="2E721996"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ESG integration</w:t>
            </w:r>
          </w:p>
        </w:tc>
        <w:tc>
          <w:tcPr>
            <w:tcW w:w="0" w:type="auto"/>
            <w:hideMark/>
          </w:tcPr>
          <w:p w14:paraId="6A4C4A3C"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Firm valuation &amp; performance</w:t>
            </w:r>
          </w:p>
        </w:tc>
        <w:tc>
          <w:tcPr>
            <w:tcW w:w="0" w:type="auto"/>
            <w:hideMark/>
          </w:tcPr>
          <w:p w14:paraId="0BC8C939"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Mixed but generally positive associations</w:t>
            </w:r>
          </w:p>
        </w:tc>
        <w:tc>
          <w:tcPr>
            <w:tcW w:w="0" w:type="auto"/>
            <w:hideMark/>
          </w:tcPr>
          <w:p w14:paraId="30DC58FD" w14:textId="77777777" w:rsidR="000F3C5B" w:rsidRPr="000F3C5B" w:rsidRDefault="000F3C5B" w:rsidP="000F3C5B">
            <w:pPr>
              <w:spacing w:after="160" w:line="259" w:lineRule="auto"/>
              <w:rPr>
                <w:rFonts w:ascii="Times New Roman" w:hAnsi="Times New Roman" w:cs="Times New Roman"/>
                <w:sz w:val="24"/>
                <w:szCs w:val="24"/>
              </w:rPr>
            </w:pPr>
            <w:proofErr w:type="spellStart"/>
            <w:r w:rsidRPr="000F3C5B">
              <w:rPr>
                <w:rFonts w:ascii="Times New Roman" w:hAnsi="Times New Roman" w:cs="Times New Roman"/>
                <w:sz w:val="24"/>
                <w:szCs w:val="24"/>
              </w:rPr>
              <w:t>Friede</w:t>
            </w:r>
            <w:proofErr w:type="spellEnd"/>
            <w:r w:rsidRPr="000F3C5B">
              <w:rPr>
                <w:rFonts w:ascii="Times New Roman" w:hAnsi="Times New Roman" w:cs="Times New Roman"/>
                <w:sz w:val="24"/>
                <w:szCs w:val="24"/>
              </w:rPr>
              <w:t xml:space="preserve"> et al. (2015); Edmans (2011)</w:t>
            </w:r>
          </w:p>
        </w:tc>
        <w:tc>
          <w:tcPr>
            <w:tcW w:w="0" w:type="auto"/>
            <w:hideMark/>
          </w:tcPr>
          <w:p w14:paraId="104EAE1E"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 xml:space="preserve">ESG signals matter but require </w:t>
            </w:r>
            <w:proofErr w:type="spellStart"/>
            <w:r w:rsidRPr="000F3C5B">
              <w:rPr>
                <w:rFonts w:ascii="Times New Roman" w:hAnsi="Times New Roman" w:cs="Times New Roman"/>
                <w:sz w:val="24"/>
                <w:szCs w:val="24"/>
              </w:rPr>
              <w:t>standardisation</w:t>
            </w:r>
            <w:proofErr w:type="spellEnd"/>
          </w:p>
        </w:tc>
      </w:tr>
      <w:tr w:rsidR="000F3C5B" w:rsidRPr="000F3C5B" w14:paraId="3F30E427" w14:textId="77777777" w:rsidTr="000F3C5B">
        <w:tc>
          <w:tcPr>
            <w:tcW w:w="0" w:type="auto"/>
            <w:hideMark/>
          </w:tcPr>
          <w:p w14:paraId="32736E86"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 xml:space="preserve">Investor </w:t>
            </w:r>
            <w:proofErr w:type="spellStart"/>
            <w:r w:rsidRPr="000F3C5B">
              <w:rPr>
                <w:rFonts w:ascii="Times New Roman" w:hAnsi="Times New Roman" w:cs="Times New Roman"/>
                <w:sz w:val="24"/>
                <w:szCs w:val="24"/>
              </w:rPr>
              <w:t>behaviour</w:t>
            </w:r>
            <w:proofErr w:type="spellEnd"/>
          </w:p>
        </w:tc>
        <w:tc>
          <w:tcPr>
            <w:tcW w:w="0" w:type="auto"/>
            <w:hideMark/>
          </w:tcPr>
          <w:p w14:paraId="1163E173"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Institutional investor climate concern</w:t>
            </w:r>
          </w:p>
        </w:tc>
        <w:tc>
          <w:tcPr>
            <w:tcW w:w="0" w:type="auto"/>
            <w:hideMark/>
          </w:tcPr>
          <w:p w14:paraId="3FCCB94A"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Investors actively price climate risk</w:t>
            </w:r>
          </w:p>
        </w:tc>
        <w:tc>
          <w:tcPr>
            <w:tcW w:w="0" w:type="auto"/>
            <w:hideMark/>
          </w:tcPr>
          <w:p w14:paraId="2BED34C9"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 xml:space="preserve">Krueger et al. (2020); Bolton &amp; </w:t>
            </w:r>
            <w:proofErr w:type="spellStart"/>
            <w:r w:rsidRPr="000F3C5B">
              <w:rPr>
                <w:rFonts w:ascii="Times New Roman" w:hAnsi="Times New Roman" w:cs="Times New Roman"/>
                <w:sz w:val="24"/>
                <w:szCs w:val="24"/>
              </w:rPr>
              <w:t>Kacperczyk</w:t>
            </w:r>
            <w:proofErr w:type="spellEnd"/>
            <w:r w:rsidRPr="000F3C5B">
              <w:rPr>
                <w:rFonts w:ascii="Times New Roman" w:hAnsi="Times New Roman" w:cs="Times New Roman"/>
                <w:sz w:val="24"/>
                <w:szCs w:val="24"/>
              </w:rPr>
              <w:t xml:space="preserve"> (2021)</w:t>
            </w:r>
          </w:p>
        </w:tc>
        <w:tc>
          <w:tcPr>
            <w:tcW w:w="0" w:type="auto"/>
            <w:hideMark/>
          </w:tcPr>
          <w:p w14:paraId="460EC1E2"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Disclosure enhances market discipline</w:t>
            </w:r>
          </w:p>
        </w:tc>
      </w:tr>
      <w:tr w:rsidR="000F3C5B" w:rsidRPr="000F3C5B" w14:paraId="4B450323" w14:textId="77777777" w:rsidTr="000F3C5B">
        <w:tc>
          <w:tcPr>
            <w:tcW w:w="0" w:type="auto"/>
            <w:hideMark/>
          </w:tcPr>
          <w:p w14:paraId="51AD78F8"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lastRenderedPageBreak/>
              <w:t>Financial stability</w:t>
            </w:r>
          </w:p>
        </w:tc>
        <w:tc>
          <w:tcPr>
            <w:tcW w:w="0" w:type="auto"/>
            <w:hideMark/>
          </w:tcPr>
          <w:p w14:paraId="0706A2E8"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Climate stress-testing</w:t>
            </w:r>
          </w:p>
        </w:tc>
        <w:tc>
          <w:tcPr>
            <w:tcW w:w="0" w:type="auto"/>
            <w:hideMark/>
          </w:tcPr>
          <w:p w14:paraId="24A44579"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Transition risks can amplify systemic risk</w:t>
            </w:r>
          </w:p>
        </w:tc>
        <w:tc>
          <w:tcPr>
            <w:tcW w:w="0" w:type="auto"/>
            <w:hideMark/>
          </w:tcPr>
          <w:p w14:paraId="4D09E65B" w14:textId="77777777" w:rsidR="000F3C5B" w:rsidRPr="000F3C5B" w:rsidRDefault="000F3C5B" w:rsidP="000F3C5B">
            <w:pPr>
              <w:spacing w:after="160" w:line="259" w:lineRule="auto"/>
              <w:rPr>
                <w:rFonts w:ascii="Times New Roman" w:hAnsi="Times New Roman" w:cs="Times New Roman"/>
                <w:sz w:val="24"/>
                <w:szCs w:val="24"/>
              </w:rPr>
            </w:pPr>
            <w:proofErr w:type="spellStart"/>
            <w:r w:rsidRPr="000F3C5B">
              <w:rPr>
                <w:rFonts w:ascii="Times New Roman" w:hAnsi="Times New Roman" w:cs="Times New Roman"/>
                <w:sz w:val="24"/>
                <w:szCs w:val="24"/>
              </w:rPr>
              <w:t>Battiston</w:t>
            </w:r>
            <w:proofErr w:type="spellEnd"/>
            <w:r w:rsidRPr="000F3C5B">
              <w:rPr>
                <w:rFonts w:ascii="Times New Roman" w:hAnsi="Times New Roman" w:cs="Times New Roman"/>
                <w:sz w:val="24"/>
                <w:szCs w:val="24"/>
              </w:rPr>
              <w:t xml:space="preserve"> et al. (2017); Bansal et al. (2021)</w:t>
            </w:r>
          </w:p>
        </w:tc>
        <w:tc>
          <w:tcPr>
            <w:tcW w:w="0" w:type="auto"/>
            <w:hideMark/>
          </w:tcPr>
          <w:p w14:paraId="0FD72221"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Climate risk is macro-financial risk</w:t>
            </w:r>
          </w:p>
        </w:tc>
      </w:tr>
      <w:tr w:rsidR="000F3C5B" w:rsidRPr="000F3C5B" w14:paraId="30EC7283" w14:textId="77777777" w:rsidTr="000F3C5B">
        <w:tc>
          <w:tcPr>
            <w:tcW w:w="0" w:type="auto"/>
            <w:hideMark/>
          </w:tcPr>
          <w:p w14:paraId="31962391"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Governance &amp; regulation</w:t>
            </w:r>
          </w:p>
        </w:tc>
        <w:tc>
          <w:tcPr>
            <w:tcW w:w="0" w:type="auto"/>
            <w:hideMark/>
          </w:tcPr>
          <w:p w14:paraId="67DF40F3"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Central banks &amp; regulators</w:t>
            </w:r>
          </w:p>
        </w:tc>
        <w:tc>
          <w:tcPr>
            <w:tcW w:w="0" w:type="auto"/>
            <w:hideMark/>
          </w:tcPr>
          <w:p w14:paraId="7ACB8ADB"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Climate mandates reshape financial oversight</w:t>
            </w:r>
          </w:p>
        </w:tc>
        <w:tc>
          <w:tcPr>
            <w:tcW w:w="0" w:type="auto"/>
            <w:hideMark/>
          </w:tcPr>
          <w:p w14:paraId="6D9AF8EE"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Campiglio et al. (2018); Bolton et al. (2021)</w:t>
            </w:r>
          </w:p>
        </w:tc>
        <w:tc>
          <w:tcPr>
            <w:tcW w:w="0" w:type="auto"/>
            <w:hideMark/>
          </w:tcPr>
          <w:p w14:paraId="6D4CA896" w14:textId="77777777" w:rsidR="000F3C5B" w:rsidRPr="000F3C5B" w:rsidRDefault="000F3C5B" w:rsidP="000F3C5B">
            <w:pPr>
              <w:spacing w:after="160" w:line="259" w:lineRule="auto"/>
              <w:rPr>
                <w:rFonts w:ascii="Times New Roman" w:hAnsi="Times New Roman" w:cs="Times New Roman"/>
                <w:sz w:val="24"/>
                <w:szCs w:val="24"/>
              </w:rPr>
            </w:pPr>
            <w:r w:rsidRPr="000F3C5B">
              <w:rPr>
                <w:rFonts w:ascii="Times New Roman" w:hAnsi="Times New Roman" w:cs="Times New Roman"/>
                <w:sz w:val="24"/>
                <w:szCs w:val="24"/>
              </w:rPr>
              <w:t>Regulatory coordination is essential</w:t>
            </w:r>
          </w:p>
        </w:tc>
      </w:tr>
    </w:tbl>
    <w:p w14:paraId="1D0EA4DE" w14:textId="205F47A8" w:rsidR="002A1F73" w:rsidRDefault="002A1F73" w:rsidP="002A1F73">
      <w:pPr>
        <w:jc w:val="both"/>
        <w:rPr>
          <w:rFonts w:ascii="Times New Roman" w:hAnsi="Times New Roman" w:cs="Times New Roman"/>
          <w:sz w:val="24"/>
          <w:szCs w:val="24"/>
        </w:rPr>
      </w:pPr>
    </w:p>
    <w:p w14:paraId="4C81CC90" w14:textId="77777777" w:rsidR="00326781" w:rsidRDefault="00326781" w:rsidP="00360DDD">
      <w:pPr>
        <w:jc w:val="both"/>
        <w:rPr>
          <w:rFonts w:ascii="Times New Roman" w:hAnsi="Times New Roman" w:cs="Times New Roman"/>
          <w:sz w:val="24"/>
          <w:szCs w:val="24"/>
        </w:rPr>
      </w:pPr>
    </w:p>
    <w:p w14:paraId="497BF127" w14:textId="7B222FEA" w:rsidR="000F3C5B" w:rsidRDefault="00326781" w:rsidP="002A1F7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950F3A" wp14:editId="1DB1D1C6">
            <wp:extent cx="5943600" cy="3564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564890"/>
                    </a:xfrm>
                    <a:prstGeom prst="rect">
                      <a:avLst/>
                    </a:prstGeom>
                  </pic:spPr>
                </pic:pic>
              </a:graphicData>
            </a:graphic>
          </wp:inline>
        </w:drawing>
      </w:r>
    </w:p>
    <w:p w14:paraId="0ED892D4" w14:textId="137B51E0" w:rsidR="000F3C5B" w:rsidRDefault="00AB3733" w:rsidP="002A1F73">
      <w:pPr>
        <w:jc w:val="both"/>
        <w:rPr>
          <w:rFonts w:ascii="Times New Roman" w:hAnsi="Times New Roman" w:cs="Times New Roman"/>
          <w:sz w:val="24"/>
          <w:szCs w:val="24"/>
        </w:rPr>
      </w:pPr>
      <w:r w:rsidRPr="00AB3733">
        <w:rPr>
          <w:rFonts w:ascii="Times New Roman" w:hAnsi="Times New Roman" w:cs="Times New Roman"/>
          <w:sz w:val="24"/>
          <w:szCs w:val="24"/>
        </w:rPr>
        <w:t>Figure 2. Policy Transmission Pathways</w:t>
      </w:r>
      <w:r w:rsidR="003F7E8B">
        <w:rPr>
          <w:rFonts w:ascii="Times New Roman" w:hAnsi="Times New Roman" w:cs="Times New Roman"/>
          <w:sz w:val="24"/>
          <w:szCs w:val="24"/>
        </w:rPr>
        <w:t xml:space="preserve">, </w:t>
      </w:r>
      <w:r w:rsidRPr="00AB3733">
        <w:rPr>
          <w:rFonts w:ascii="Times New Roman" w:hAnsi="Times New Roman" w:cs="Times New Roman"/>
          <w:sz w:val="24"/>
          <w:szCs w:val="24"/>
        </w:rPr>
        <w:t>Trade</w:t>
      </w:r>
      <w:r w:rsidR="003F7E8B">
        <w:rPr>
          <w:rFonts w:ascii="Times New Roman" w:hAnsi="Times New Roman" w:cs="Times New Roman"/>
          <w:sz w:val="24"/>
          <w:szCs w:val="24"/>
        </w:rPr>
        <w:t>-</w:t>
      </w:r>
      <w:r w:rsidRPr="00AB3733">
        <w:rPr>
          <w:rFonts w:ascii="Times New Roman" w:hAnsi="Times New Roman" w:cs="Times New Roman"/>
          <w:sz w:val="24"/>
          <w:szCs w:val="24"/>
        </w:rPr>
        <w:t xml:space="preserve">offs </w:t>
      </w:r>
      <w:r w:rsidR="003F7E8B">
        <w:rPr>
          <w:rFonts w:ascii="Times New Roman" w:hAnsi="Times New Roman" w:cs="Times New Roman"/>
          <w:sz w:val="24"/>
          <w:szCs w:val="24"/>
        </w:rPr>
        <w:t xml:space="preserve">and Risks in </w:t>
      </w:r>
      <w:r w:rsidRPr="00AB3733">
        <w:rPr>
          <w:rFonts w:ascii="Times New Roman" w:hAnsi="Times New Roman" w:cs="Times New Roman"/>
          <w:sz w:val="24"/>
          <w:szCs w:val="24"/>
        </w:rPr>
        <w:t xml:space="preserve">Green Growth </w:t>
      </w:r>
    </w:p>
    <w:p w14:paraId="0D3115DB" w14:textId="77777777" w:rsidR="000F3C5B" w:rsidRPr="002A1F73" w:rsidRDefault="000F3C5B" w:rsidP="002A1F73">
      <w:pPr>
        <w:jc w:val="both"/>
        <w:rPr>
          <w:rFonts w:ascii="Times New Roman" w:hAnsi="Times New Roman" w:cs="Times New Roman"/>
          <w:sz w:val="24"/>
          <w:szCs w:val="24"/>
        </w:rPr>
      </w:pPr>
    </w:p>
    <w:p w14:paraId="56489D15" w14:textId="23082568" w:rsidR="00891F17" w:rsidRPr="00F93C84" w:rsidRDefault="00891F17" w:rsidP="00F93C84">
      <w:pPr>
        <w:pStyle w:val="ListParagraph"/>
        <w:numPr>
          <w:ilvl w:val="0"/>
          <w:numId w:val="3"/>
        </w:numPr>
        <w:jc w:val="both"/>
        <w:rPr>
          <w:rFonts w:ascii="Times New Roman" w:hAnsi="Times New Roman" w:cs="Times New Roman"/>
          <w:b/>
          <w:bCs/>
          <w:sz w:val="24"/>
          <w:szCs w:val="24"/>
        </w:rPr>
      </w:pPr>
      <w:r w:rsidRPr="00F93C84">
        <w:rPr>
          <w:rFonts w:ascii="Times New Roman" w:hAnsi="Times New Roman" w:cs="Times New Roman"/>
          <w:b/>
          <w:bCs/>
          <w:sz w:val="24"/>
          <w:szCs w:val="24"/>
        </w:rPr>
        <w:t>Conclusion and Policy Implications</w:t>
      </w:r>
    </w:p>
    <w:p w14:paraId="2E19A389" w14:textId="50B73D4C" w:rsidR="00F36362" w:rsidRPr="00F36362" w:rsidRDefault="00F36362" w:rsidP="00F36362">
      <w:pPr>
        <w:jc w:val="both"/>
        <w:rPr>
          <w:rFonts w:ascii="Times New Roman" w:hAnsi="Times New Roman" w:cs="Times New Roman"/>
          <w:sz w:val="24"/>
          <w:szCs w:val="24"/>
        </w:rPr>
      </w:pPr>
      <w:r w:rsidRPr="00F36362">
        <w:rPr>
          <w:rFonts w:ascii="Times New Roman" w:hAnsi="Times New Roman" w:cs="Times New Roman"/>
          <w:sz w:val="24"/>
          <w:szCs w:val="24"/>
        </w:rPr>
        <w:t>This narrative review has investigated the economic evidence regarding green growth and sustainable finance, with a focus on the interaction of environmental policy, innovation, and financial mechanisms to long, run growth and stability. The literature examined in this review points to green growth as being neither automatic nor inconsistent</w:t>
      </w:r>
      <w:r>
        <w:rPr>
          <w:rFonts w:ascii="Times New Roman" w:hAnsi="Times New Roman" w:cs="Times New Roman"/>
          <w:sz w:val="24"/>
          <w:szCs w:val="24"/>
        </w:rPr>
        <w:t>-</w:t>
      </w:r>
      <w:r w:rsidRPr="00F36362">
        <w:rPr>
          <w:rFonts w:ascii="Times New Roman" w:hAnsi="Times New Roman" w:cs="Times New Roman"/>
          <w:sz w:val="24"/>
          <w:szCs w:val="24"/>
        </w:rPr>
        <w:t xml:space="preserve"> economic development can be harmonized with environmental goals if growth is backed by proper measurement frameworks, credible policy signals, and innovation</w:t>
      </w:r>
      <w:r>
        <w:rPr>
          <w:rFonts w:ascii="Times New Roman" w:hAnsi="Times New Roman" w:cs="Times New Roman"/>
          <w:sz w:val="24"/>
          <w:szCs w:val="24"/>
        </w:rPr>
        <w:t>-</w:t>
      </w:r>
      <w:r w:rsidRPr="00F36362">
        <w:rPr>
          <w:rFonts w:ascii="Times New Roman" w:hAnsi="Times New Roman" w:cs="Times New Roman"/>
          <w:sz w:val="24"/>
          <w:szCs w:val="24"/>
        </w:rPr>
        <w:t>driven structural change.</w:t>
      </w:r>
    </w:p>
    <w:p w14:paraId="4FA31F05" w14:textId="49EE6E9C" w:rsidR="00891F17" w:rsidRPr="00891F17" w:rsidRDefault="00F36362" w:rsidP="00F36362">
      <w:pPr>
        <w:jc w:val="both"/>
        <w:rPr>
          <w:rFonts w:ascii="Times New Roman" w:hAnsi="Times New Roman" w:cs="Times New Roman"/>
          <w:sz w:val="24"/>
          <w:szCs w:val="24"/>
        </w:rPr>
      </w:pPr>
      <w:r w:rsidRPr="00F36362">
        <w:rPr>
          <w:rFonts w:ascii="Times New Roman" w:hAnsi="Times New Roman" w:cs="Times New Roman"/>
          <w:sz w:val="24"/>
          <w:szCs w:val="24"/>
        </w:rPr>
        <w:lastRenderedPageBreak/>
        <w:t>Environmental economics have provided evidence that wealth, based and productivity, adjusted indicators offer a more accurate evaluation of sustainability than income, based measures by themselves. Additionally, empirical studies are gradually refuting the argument that environmental regulation always has a negative impact on economic performance. In the case of well, designed, predictable, and market, based policies, they can therefore encourage innovation and make technological change cleaner without lowering productivity.</w:t>
      </w:r>
      <w:r>
        <w:rPr>
          <w:rFonts w:ascii="Times New Roman" w:hAnsi="Times New Roman" w:cs="Times New Roman"/>
          <w:sz w:val="24"/>
          <w:szCs w:val="24"/>
        </w:rPr>
        <w:t xml:space="preserve"> </w:t>
      </w:r>
      <w:r w:rsidRPr="00F36362">
        <w:rPr>
          <w:rFonts w:ascii="Times New Roman" w:hAnsi="Times New Roman" w:cs="Times New Roman"/>
          <w:sz w:val="24"/>
          <w:szCs w:val="24"/>
        </w:rPr>
        <w:t>Consequently, these results emphasize significance of policy design and institutional trust in determining the results of green growth.</w:t>
      </w:r>
    </w:p>
    <w:p w14:paraId="0CB408D3" w14:textId="599BFEA9" w:rsidR="00891F17" w:rsidRPr="00891F17" w:rsidRDefault="00F36362" w:rsidP="00F36362">
      <w:pPr>
        <w:jc w:val="both"/>
        <w:rPr>
          <w:rFonts w:ascii="Times New Roman" w:hAnsi="Times New Roman" w:cs="Times New Roman"/>
          <w:sz w:val="24"/>
          <w:szCs w:val="24"/>
        </w:rPr>
      </w:pPr>
      <w:r>
        <w:rPr>
          <w:rFonts w:ascii="Times New Roman" w:hAnsi="Times New Roman" w:cs="Times New Roman"/>
          <w:sz w:val="24"/>
          <w:szCs w:val="24"/>
        </w:rPr>
        <w:t>S</w:t>
      </w:r>
      <w:r w:rsidRPr="00F36362">
        <w:rPr>
          <w:rFonts w:ascii="Times New Roman" w:hAnsi="Times New Roman" w:cs="Times New Roman"/>
          <w:sz w:val="24"/>
          <w:szCs w:val="24"/>
        </w:rPr>
        <w:t xml:space="preserve">ustainable finance essentially helps the policy to work by making loud the signals of the policy and by making it easy for the capital to move from one place to another. In fact, on their own green bonds and ESG integration might be able to lower the cost of </w:t>
      </w:r>
      <w:r>
        <w:rPr>
          <w:rFonts w:ascii="Times New Roman" w:hAnsi="Times New Roman" w:cs="Times New Roman"/>
          <w:sz w:val="24"/>
          <w:szCs w:val="24"/>
        </w:rPr>
        <w:t xml:space="preserve">the </w:t>
      </w:r>
      <w:r w:rsidRPr="00F36362">
        <w:rPr>
          <w:rFonts w:ascii="Times New Roman" w:hAnsi="Times New Roman" w:cs="Times New Roman"/>
          <w:sz w:val="24"/>
          <w:szCs w:val="24"/>
        </w:rPr>
        <w:t xml:space="preserve">financing and to sway investment decisions, but their impacts remain very limited and differ much from case to case. Generally, financial markets tend to react to incentives and information rather than to come up with them on their own. Hence, sustainable finance yields the best results when it is part of a comprehensive policy </w:t>
      </w:r>
      <w:proofErr w:type="spellStart"/>
      <w:r w:rsidRPr="00F36362">
        <w:rPr>
          <w:rFonts w:ascii="Times New Roman" w:hAnsi="Times New Roman" w:cs="Times New Roman"/>
          <w:sz w:val="24"/>
          <w:szCs w:val="24"/>
        </w:rPr>
        <w:t>programme</w:t>
      </w:r>
      <w:proofErr w:type="spellEnd"/>
      <w:r w:rsidRPr="00F36362">
        <w:rPr>
          <w:rFonts w:ascii="Times New Roman" w:hAnsi="Times New Roman" w:cs="Times New Roman"/>
          <w:sz w:val="24"/>
          <w:szCs w:val="24"/>
        </w:rPr>
        <w:t xml:space="preserve"> which deals with environmental externalities and guarantees openness. Furthermore, the increasing awareness of climate, related financial risks has brought sustainable finance in the </w:t>
      </w:r>
      <w:proofErr w:type="spellStart"/>
      <w:r w:rsidRPr="00F36362">
        <w:rPr>
          <w:rFonts w:ascii="Times New Roman" w:hAnsi="Times New Roman" w:cs="Times New Roman"/>
          <w:sz w:val="24"/>
          <w:szCs w:val="24"/>
        </w:rPr>
        <w:t>centre</w:t>
      </w:r>
      <w:proofErr w:type="spellEnd"/>
      <w:r w:rsidRPr="00F36362">
        <w:rPr>
          <w:rFonts w:ascii="Times New Roman" w:hAnsi="Times New Roman" w:cs="Times New Roman"/>
          <w:sz w:val="24"/>
          <w:szCs w:val="24"/>
        </w:rPr>
        <w:t xml:space="preserve"> of issues related to macro, financial stability, thus calling for combined regulatory and supervisory responses.</w:t>
      </w:r>
      <w:r>
        <w:rPr>
          <w:rFonts w:ascii="Times New Roman" w:hAnsi="Times New Roman" w:cs="Times New Roman"/>
          <w:sz w:val="24"/>
          <w:szCs w:val="24"/>
        </w:rPr>
        <w:t xml:space="preserve"> </w:t>
      </w:r>
      <w:r w:rsidRPr="00F36362">
        <w:rPr>
          <w:rFonts w:ascii="Times New Roman" w:hAnsi="Times New Roman" w:cs="Times New Roman"/>
          <w:sz w:val="24"/>
          <w:szCs w:val="24"/>
        </w:rPr>
        <w:t xml:space="preserve">Considering policies, the main message for the governments is that a green economy is not achievable by single policies, but rather by integrated policies pathways. </w:t>
      </w:r>
      <w:r w:rsidR="008835AB" w:rsidRPr="008835AB">
        <w:rPr>
          <w:rFonts w:ascii="Times New Roman" w:hAnsi="Times New Roman" w:cs="Times New Roman"/>
          <w:sz w:val="24"/>
          <w:szCs w:val="24"/>
          <w:highlight w:val="yellow"/>
        </w:rPr>
        <w:t>Recent research further emphasizes that achieving sustainable economic growth requires coordinated policy frameworks that align environmental regulation, financial governance, and institutional quality (</w:t>
      </w:r>
      <w:proofErr w:type="spellStart"/>
      <w:r w:rsidR="008835AB" w:rsidRPr="008835AB">
        <w:rPr>
          <w:rFonts w:ascii="Times New Roman" w:hAnsi="Times New Roman" w:cs="Times New Roman"/>
          <w:sz w:val="24"/>
          <w:szCs w:val="24"/>
          <w:highlight w:val="yellow"/>
        </w:rPr>
        <w:t>Batrancea</w:t>
      </w:r>
      <w:proofErr w:type="spellEnd"/>
      <w:r w:rsidR="008835AB" w:rsidRPr="008835AB">
        <w:rPr>
          <w:rFonts w:ascii="Times New Roman" w:hAnsi="Times New Roman" w:cs="Times New Roman"/>
          <w:sz w:val="24"/>
          <w:szCs w:val="24"/>
          <w:highlight w:val="yellow"/>
        </w:rPr>
        <w:t xml:space="preserve"> et al., 2022).</w:t>
      </w:r>
      <w:r w:rsidR="008835AB">
        <w:rPr>
          <w:rFonts w:ascii="Times New Roman" w:hAnsi="Times New Roman" w:cs="Times New Roman"/>
          <w:sz w:val="24"/>
          <w:szCs w:val="24"/>
        </w:rPr>
        <w:t xml:space="preserve"> </w:t>
      </w:r>
      <w:r w:rsidRPr="00F36362">
        <w:rPr>
          <w:rFonts w:ascii="Times New Roman" w:hAnsi="Times New Roman" w:cs="Times New Roman"/>
          <w:sz w:val="24"/>
          <w:szCs w:val="24"/>
        </w:rPr>
        <w:t>The environment regulation, the innovation policy, and the financial governance should be at the same time aligned and sequenced so as to be capable of managing trade</w:t>
      </w:r>
      <w:r w:rsidR="00327836">
        <w:rPr>
          <w:rFonts w:ascii="Times New Roman" w:hAnsi="Times New Roman" w:cs="Times New Roman"/>
          <w:sz w:val="24"/>
          <w:szCs w:val="24"/>
        </w:rPr>
        <w:t>-</w:t>
      </w:r>
      <w:r w:rsidRPr="00F36362">
        <w:rPr>
          <w:rFonts w:ascii="Times New Roman" w:hAnsi="Times New Roman" w:cs="Times New Roman"/>
          <w:sz w:val="24"/>
          <w:szCs w:val="24"/>
        </w:rPr>
        <w:t xml:space="preserve">offs, controlling </w:t>
      </w:r>
      <w:r w:rsidR="00327836">
        <w:rPr>
          <w:rFonts w:ascii="Times New Roman" w:hAnsi="Times New Roman" w:cs="Times New Roman"/>
          <w:sz w:val="24"/>
          <w:szCs w:val="24"/>
        </w:rPr>
        <w:t xml:space="preserve">the </w:t>
      </w:r>
      <w:r w:rsidRPr="00F36362">
        <w:rPr>
          <w:rFonts w:ascii="Times New Roman" w:hAnsi="Times New Roman" w:cs="Times New Roman"/>
          <w:sz w:val="24"/>
          <w:szCs w:val="24"/>
        </w:rPr>
        <w:t>distributional effects and preventing financial instability. Incomplete or uncoordinated measures may result in the destruction of the two sides the economy and the environment at the same time.</w:t>
      </w:r>
    </w:p>
    <w:p w14:paraId="71C33422" w14:textId="4B1F6971" w:rsidR="00891F17" w:rsidRDefault="00F36362" w:rsidP="00891F17">
      <w:pPr>
        <w:jc w:val="both"/>
        <w:rPr>
          <w:rFonts w:ascii="Times New Roman" w:hAnsi="Times New Roman" w:cs="Times New Roman"/>
          <w:sz w:val="24"/>
          <w:szCs w:val="24"/>
        </w:rPr>
      </w:pPr>
      <w:r w:rsidRPr="00F36362">
        <w:rPr>
          <w:rFonts w:ascii="Times New Roman" w:hAnsi="Times New Roman" w:cs="Times New Roman"/>
          <w:sz w:val="24"/>
          <w:szCs w:val="24"/>
        </w:rPr>
        <w:t xml:space="preserve">Further studies ought to concentrate on determining the situations when sustainable finance truly results in real additionality, refining the measurement of natural capital and transition risks, and evaluating the distributional effects of green growth strategies. It is vital to resolve these issues to create market interventions that are environmentally efficient, viable in terms of </w:t>
      </w:r>
      <w:r w:rsidR="00327836">
        <w:rPr>
          <w:rFonts w:ascii="Times New Roman" w:hAnsi="Times New Roman" w:cs="Times New Roman"/>
          <w:sz w:val="24"/>
          <w:szCs w:val="24"/>
        </w:rPr>
        <w:t xml:space="preserve">the </w:t>
      </w:r>
      <w:r w:rsidRPr="00F36362">
        <w:rPr>
          <w:rFonts w:ascii="Times New Roman" w:hAnsi="Times New Roman" w:cs="Times New Roman"/>
          <w:sz w:val="24"/>
          <w:szCs w:val="24"/>
        </w:rPr>
        <w:t>economy and politics as well</w:t>
      </w:r>
      <w:r w:rsidR="00891F17" w:rsidRPr="00891F17">
        <w:rPr>
          <w:rFonts w:ascii="Times New Roman" w:hAnsi="Times New Roman" w:cs="Times New Roman"/>
          <w:sz w:val="24"/>
          <w:szCs w:val="24"/>
        </w:rPr>
        <w:t>.</w:t>
      </w:r>
    </w:p>
    <w:p w14:paraId="7088DA77" w14:textId="77777777" w:rsidR="00862A13" w:rsidRDefault="00862A13" w:rsidP="00927391">
      <w:pPr>
        <w:rPr>
          <w:rFonts w:ascii="Times New Roman" w:eastAsia="Calibri" w:hAnsi="Times New Roman" w:cs="Times New Roman"/>
          <w:kern w:val="2"/>
          <w:sz w:val="24"/>
          <w:szCs w:val="24"/>
          <w:highlight w:val="yellow"/>
        </w:rPr>
      </w:pPr>
      <w:bookmarkStart w:id="0" w:name="_Hlk197682619"/>
      <w:bookmarkStart w:id="1" w:name="_Hlk180402183"/>
      <w:bookmarkStart w:id="2" w:name="_Hlk183680988"/>
      <w:bookmarkStart w:id="3" w:name="_Hlk197351200"/>
      <w:bookmarkStart w:id="4" w:name="_Hlk213410455"/>
    </w:p>
    <w:p w14:paraId="5A4861D7" w14:textId="1CB89716" w:rsidR="00927391" w:rsidRPr="001D52DE" w:rsidRDefault="00927391" w:rsidP="00927391">
      <w:pPr>
        <w:rPr>
          <w:rFonts w:ascii="Times New Roman" w:eastAsia="Calibri" w:hAnsi="Times New Roman" w:cs="Times New Roman"/>
          <w:kern w:val="2"/>
          <w:sz w:val="24"/>
          <w:szCs w:val="24"/>
          <w:highlight w:val="yellow"/>
        </w:rPr>
      </w:pPr>
      <w:r w:rsidRPr="001D52DE">
        <w:rPr>
          <w:rFonts w:ascii="Times New Roman" w:eastAsia="Calibri" w:hAnsi="Times New Roman" w:cs="Times New Roman"/>
          <w:kern w:val="2"/>
          <w:sz w:val="24"/>
          <w:szCs w:val="24"/>
          <w:highlight w:val="yellow"/>
        </w:rPr>
        <w:t>Disclaimer (Artificial intelligence)</w:t>
      </w:r>
    </w:p>
    <w:bookmarkEnd w:id="0"/>
    <w:bookmarkEnd w:id="1"/>
    <w:bookmarkEnd w:id="2"/>
    <w:bookmarkEnd w:id="3"/>
    <w:bookmarkEnd w:id="4"/>
    <w:p w14:paraId="347FB506" w14:textId="30780307" w:rsidR="002A1F73" w:rsidRDefault="00927391" w:rsidP="006C4724">
      <w:pPr>
        <w:spacing w:after="0" w:line="360" w:lineRule="auto"/>
        <w:jc w:val="both"/>
        <w:rPr>
          <w:rFonts w:ascii="Times New Roman" w:eastAsia="Calibri" w:hAnsi="Times New Roman" w:cs="Times New Roman"/>
          <w:kern w:val="2"/>
          <w:sz w:val="24"/>
          <w:szCs w:val="24"/>
        </w:rPr>
      </w:pPr>
      <w:r w:rsidRPr="001D52DE">
        <w:rPr>
          <w:rFonts w:ascii="Times New Roman" w:eastAsia="Calibri" w:hAnsi="Times New Roman" w:cs="Times New Roman"/>
          <w:kern w:val="2"/>
          <w:sz w:val="24"/>
          <w:szCs w:val="24"/>
          <w:highlight w:val="yellow"/>
        </w:rPr>
        <w:t>The author(s) declare that generative artificial intelligence tools were used only for language editing and improving clarity of the manuscript. AI was not used for data collection, analysis, interpretation, or generation of scholarly content.</w:t>
      </w:r>
    </w:p>
    <w:p w14:paraId="0718F478" w14:textId="77777777" w:rsidR="006C4724" w:rsidRPr="006C4724" w:rsidRDefault="006C4724" w:rsidP="006C4724">
      <w:pPr>
        <w:spacing w:after="0" w:line="360" w:lineRule="auto"/>
        <w:jc w:val="both"/>
        <w:rPr>
          <w:rFonts w:ascii="Times New Roman" w:eastAsia="Calibri" w:hAnsi="Times New Roman" w:cs="Times New Roman"/>
          <w:kern w:val="2"/>
          <w:sz w:val="24"/>
          <w:szCs w:val="24"/>
        </w:rPr>
      </w:pPr>
    </w:p>
    <w:p w14:paraId="121AAD3F" w14:textId="77777777" w:rsidR="00862A13" w:rsidRDefault="00862A13" w:rsidP="002A1F73">
      <w:pPr>
        <w:jc w:val="both"/>
        <w:rPr>
          <w:rFonts w:ascii="Times New Roman" w:hAnsi="Times New Roman" w:cs="Times New Roman"/>
          <w:b/>
          <w:sz w:val="24"/>
          <w:szCs w:val="24"/>
        </w:rPr>
      </w:pPr>
    </w:p>
    <w:p w14:paraId="3B753307" w14:textId="4D31FF44" w:rsidR="002A1F73" w:rsidRPr="002A1F73" w:rsidRDefault="002A1F73" w:rsidP="002A1F73">
      <w:pPr>
        <w:jc w:val="both"/>
        <w:rPr>
          <w:rFonts w:ascii="Times New Roman" w:hAnsi="Times New Roman" w:cs="Times New Roman"/>
          <w:b/>
          <w:sz w:val="24"/>
          <w:szCs w:val="24"/>
        </w:rPr>
      </w:pPr>
      <w:bookmarkStart w:id="5" w:name="_GoBack"/>
      <w:bookmarkEnd w:id="5"/>
      <w:r w:rsidRPr="002A1F73">
        <w:rPr>
          <w:rFonts w:ascii="Times New Roman" w:hAnsi="Times New Roman" w:cs="Times New Roman"/>
          <w:b/>
          <w:sz w:val="24"/>
          <w:szCs w:val="24"/>
        </w:rPr>
        <w:lastRenderedPageBreak/>
        <w:t xml:space="preserve">References </w:t>
      </w:r>
    </w:p>
    <w:p w14:paraId="792796E9" w14:textId="02304ECD" w:rsidR="000D1D65" w:rsidRPr="002A1F73" w:rsidRDefault="005B17A1" w:rsidP="002A1F73">
      <w:pPr>
        <w:numPr>
          <w:ilvl w:val="0"/>
          <w:numId w:val="1"/>
        </w:numPr>
        <w:jc w:val="both"/>
        <w:rPr>
          <w:rFonts w:ascii="Times New Roman" w:hAnsi="Times New Roman" w:cs="Times New Roman"/>
          <w:sz w:val="24"/>
          <w:szCs w:val="24"/>
        </w:rPr>
      </w:pPr>
      <w:proofErr w:type="spellStart"/>
      <w:r w:rsidRPr="005B17A1">
        <w:rPr>
          <w:rFonts w:ascii="Times New Roman" w:hAnsi="Times New Roman" w:cs="Times New Roman"/>
          <w:sz w:val="24"/>
          <w:szCs w:val="24"/>
        </w:rPr>
        <w:t>Albrizio</w:t>
      </w:r>
      <w:proofErr w:type="spellEnd"/>
      <w:r w:rsidRPr="005B17A1">
        <w:rPr>
          <w:rFonts w:ascii="Times New Roman" w:hAnsi="Times New Roman" w:cs="Times New Roman"/>
          <w:sz w:val="24"/>
          <w:szCs w:val="24"/>
        </w:rPr>
        <w:t xml:space="preserve">, S., </w:t>
      </w:r>
      <w:proofErr w:type="spellStart"/>
      <w:r w:rsidRPr="005B17A1">
        <w:rPr>
          <w:rFonts w:ascii="Times New Roman" w:hAnsi="Times New Roman" w:cs="Times New Roman"/>
          <w:sz w:val="24"/>
          <w:szCs w:val="24"/>
        </w:rPr>
        <w:t>Kozluk</w:t>
      </w:r>
      <w:proofErr w:type="spellEnd"/>
      <w:r w:rsidRPr="005B17A1">
        <w:rPr>
          <w:rFonts w:ascii="Times New Roman" w:hAnsi="Times New Roman" w:cs="Times New Roman"/>
          <w:sz w:val="24"/>
          <w:szCs w:val="24"/>
        </w:rPr>
        <w:t xml:space="preserve">, T., &amp; </w:t>
      </w:r>
      <w:proofErr w:type="spellStart"/>
      <w:r w:rsidRPr="005B17A1">
        <w:rPr>
          <w:rFonts w:ascii="Times New Roman" w:hAnsi="Times New Roman" w:cs="Times New Roman"/>
          <w:sz w:val="24"/>
          <w:szCs w:val="24"/>
        </w:rPr>
        <w:t>Zipperer</w:t>
      </w:r>
      <w:proofErr w:type="spellEnd"/>
      <w:r w:rsidRPr="005B17A1">
        <w:rPr>
          <w:rFonts w:ascii="Times New Roman" w:hAnsi="Times New Roman" w:cs="Times New Roman"/>
          <w:sz w:val="24"/>
          <w:szCs w:val="24"/>
        </w:rPr>
        <w:t xml:space="preserve">, V. (2017). Environmental policies and productivity growth: Evidence across industries and firms. Journal of Environmental Economics and Management, 81, 209–226. </w:t>
      </w:r>
      <w:hyperlink r:id="rId9" w:history="1">
        <w:r w:rsidRPr="004761E6">
          <w:rPr>
            <w:rStyle w:val="Hyperlink"/>
            <w:rFonts w:ascii="Times New Roman" w:hAnsi="Times New Roman" w:cs="Times New Roman"/>
            <w:sz w:val="24"/>
            <w:szCs w:val="24"/>
          </w:rPr>
          <w:t>https://doi.org/10.1016/j.jeem.2016.06.002</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5B4C8834" w14:textId="6707B2E2" w:rsidR="000D1D65" w:rsidRPr="0091434E" w:rsidRDefault="00FC4065" w:rsidP="0091434E">
      <w:pPr>
        <w:numPr>
          <w:ilvl w:val="0"/>
          <w:numId w:val="1"/>
        </w:numPr>
        <w:jc w:val="both"/>
        <w:rPr>
          <w:rFonts w:ascii="Times New Roman" w:hAnsi="Times New Roman" w:cs="Times New Roman"/>
          <w:sz w:val="24"/>
          <w:szCs w:val="24"/>
        </w:rPr>
      </w:pPr>
      <w:r w:rsidRPr="00FC4065">
        <w:rPr>
          <w:rFonts w:ascii="Times New Roman" w:hAnsi="Times New Roman" w:cs="Times New Roman"/>
          <w:sz w:val="24"/>
          <w:szCs w:val="24"/>
        </w:rPr>
        <w:t xml:space="preserve">Andersson, M., Bolton, P., &amp; </w:t>
      </w:r>
      <w:proofErr w:type="spellStart"/>
      <w:r w:rsidRPr="00FC4065">
        <w:rPr>
          <w:rFonts w:ascii="Times New Roman" w:hAnsi="Times New Roman" w:cs="Times New Roman"/>
          <w:sz w:val="24"/>
          <w:szCs w:val="24"/>
        </w:rPr>
        <w:t>Samama</w:t>
      </w:r>
      <w:proofErr w:type="spellEnd"/>
      <w:r w:rsidRPr="00FC4065">
        <w:rPr>
          <w:rFonts w:ascii="Times New Roman" w:hAnsi="Times New Roman" w:cs="Times New Roman"/>
          <w:sz w:val="24"/>
          <w:szCs w:val="24"/>
        </w:rPr>
        <w:t xml:space="preserve">, F. (2016). Hedging climate risk. Financial Analysts Journal, 72(3), 13–32. </w:t>
      </w:r>
      <w:hyperlink r:id="rId10" w:history="1">
        <w:r w:rsidRPr="004761E6">
          <w:rPr>
            <w:rStyle w:val="Hyperlink"/>
            <w:rFonts w:ascii="Times New Roman" w:hAnsi="Times New Roman" w:cs="Times New Roman"/>
            <w:sz w:val="24"/>
            <w:szCs w:val="24"/>
          </w:rPr>
          <w:t>https://doi.org/10.2469/faj.v72.n3.4</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18DC1317" w14:textId="20D7648B" w:rsidR="0091434E" w:rsidRPr="002A1F73" w:rsidRDefault="0091434E" w:rsidP="002A1F73">
      <w:pPr>
        <w:numPr>
          <w:ilvl w:val="0"/>
          <w:numId w:val="1"/>
        </w:numPr>
        <w:jc w:val="both"/>
        <w:rPr>
          <w:rFonts w:ascii="Times New Roman" w:hAnsi="Times New Roman" w:cs="Times New Roman"/>
          <w:sz w:val="24"/>
          <w:szCs w:val="24"/>
        </w:rPr>
      </w:pPr>
      <w:r w:rsidRPr="0091434E">
        <w:rPr>
          <w:rFonts w:ascii="Times New Roman" w:hAnsi="Times New Roman" w:cs="Times New Roman"/>
          <w:sz w:val="24"/>
          <w:szCs w:val="24"/>
        </w:rPr>
        <w:t xml:space="preserve">Arrow, K. J., Dasgupta, P., </w:t>
      </w:r>
      <w:proofErr w:type="spellStart"/>
      <w:r w:rsidRPr="0091434E">
        <w:rPr>
          <w:rFonts w:ascii="Times New Roman" w:hAnsi="Times New Roman" w:cs="Times New Roman"/>
          <w:sz w:val="24"/>
          <w:szCs w:val="24"/>
        </w:rPr>
        <w:t>Goulder</w:t>
      </w:r>
      <w:proofErr w:type="spellEnd"/>
      <w:r w:rsidRPr="0091434E">
        <w:rPr>
          <w:rFonts w:ascii="Times New Roman" w:hAnsi="Times New Roman" w:cs="Times New Roman"/>
          <w:sz w:val="24"/>
          <w:szCs w:val="24"/>
        </w:rPr>
        <w:t xml:space="preserve">, L. H., Mumford, K. J., &amp; Oleson, K. (2012). Sustainability and the measurement of wealth. Environment and Development Economics, 17(3), 317–353. </w:t>
      </w:r>
      <w:hyperlink r:id="rId11" w:history="1">
        <w:r w:rsidRPr="005A53F8">
          <w:rPr>
            <w:rStyle w:val="Hyperlink"/>
            <w:rFonts w:ascii="Times New Roman" w:hAnsi="Times New Roman" w:cs="Times New Roman"/>
            <w:sz w:val="24"/>
            <w:szCs w:val="24"/>
          </w:rPr>
          <w:t>https://doi.org/10.1017/S1355770X12000137</w:t>
        </w:r>
      </w:hyperlink>
      <w:r>
        <w:rPr>
          <w:rFonts w:ascii="Times New Roman" w:hAnsi="Times New Roman" w:cs="Times New Roman"/>
          <w:sz w:val="24"/>
          <w:szCs w:val="24"/>
        </w:rPr>
        <w:t xml:space="preserve"> </w:t>
      </w:r>
    </w:p>
    <w:p w14:paraId="22120E88" w14:textId="3F7074D6" w:rsidR="002A1F73" w:rsidRDefault="00772CCC" w:rsidP="002A1F73">
      <w:pPr>
        <w:numPr>
          <w:ilvl w:val="0"/>
          <w:numId w:val="1"/>
        </w:numPr>
        <w:jc w:val="both"/>
        <w:rPr>
          <w:rFonts w:ascii="Times New Roman" w:hAnsi="Times New Roman" w:cs="Times New Roman"/>
          <w:sz w:val="24"/>
          <w:szCs w:val="24"/>
        </w:rPr>
      </w:pPr>
      <w:r w:rsidRPr="00772CCC">
        <w:rPr>
          <w:rFonts w:ascii="Times New Roman" w:hAnsi="Times New Roman" w:cs="Times New Roman"/>
          <w:sz w:val="24"/>
          <w:szCs w:val="24"/>
        </w:rPr>
        <w:t xml:space="preserve">Atkinson, G., &amp; Hamilton, K. (2007). Progress along the path: Evolving issues in the measurement of genuine saving. Environmental and Resource Economics, 37(1), 43–61. </w:t>
      </w:r>
      <w:hyperlink r:id="rId12" w:history="1">
        <w:r w:rsidRPr="004761E6">
          <w:rPr>
            <w:rStyle w:val="Hyperlink"/>
            <w:rFonts w:ascii="Times New Roman" w:hAnsi="Times New Roman" w:cs="Times New Roman"/>
            <w:sz w:val="24"/>
            <w:szCs w:val="24"/>
          </w:rPr>
          <w:t>https://doi.org/10.1007/s10640-007-9114-7</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583EFAE6" w14:textId="2774435B" w:rsidR="00DF46E3" w:rsidRPr="00DF46E3" w:rsidRDefault="00DF46E3" w:rsidP="002A1F73">
      <w:pPr>
        <w:numPr>
          <w:ilvl w:val="0"/>
          <w:numId w:val="1"/>
        </w:numPr>
        <w:jc w:val="both"/>
        <w:rPr>
          <w:rFonts w:ascii="Times New Roman" w:hAnsi="Times New Roman" w:cs="Times New Roman"/>
          <w:sz w:val="24"/>
          <w:szCs w:val="24"/>
          <w:highlight w:val="yellow"/>
        </w:rPr>
      </w:pPr>
      <w:proofErr w:type="spellStart"/>
      <w:r w:rsidRPr="00DF46E3">
        <w:rPr>
          <w:rFonts w:ascii="Times New Roman" w:hAnsi="Times New Roman" w:cs="Times New Roman"/>
          <w:sz w:val="24"/>
          <w:szCs w:val="24"/>
          <w:highlight w:val="yellow"/>
        </w:rPr>
        <w:t>Aydın</w:t>
      </w:r>
      <w:proofErr w:type="spellEnd"/>
      <w:r w:rsidRPr="00DF46E3">
        <w:rPr>
          <w:rFonts w:ascii="Times New Roman" w:hAnsi="Times New Roman" w:cs="Times New Roman"/>
          <w:sz w:val="24"/>
          <w:szCs w:val="24"/>
          <w:highlight w:val="yellow"/>
        </w:rPr>
        <w:t xml:space="preserve"> </w:t>
      </w:r>
      <w:proofErr w:type="spellStart"/>
      <w:r w:rsidRPr="00DF46E3">
        <w:rPr>
          <w:rFonts w:ascii="Times New Roman" w:hAnsi="Times New Roman" w:cs="Times New Roman"/>
          <w:sz w:val="24"/>
          <w:szCs w:val="24"/>
          <w:highlight w:val="yellow"/>
        </w:rPr>
        <w:t>Korpes</w:t>
      </w:r>
      <w:proofErr w:type="spellEnd"/>
      <w:r w:rsidRPr="00DF46E3">
        <w:rPr>
          <w:rFonts w:ascii="Times New Roman" w:hAnsi="Times New Roman" w:cs="Times New Roman"/>
          <w:sz w:val="24"/>
          <w:szCs w:val="24"/>
          <w:highlight w:val="yellow"/>
        </w:rPr>
        <w:t xml:space="preserve">, A. D. (2024). A sustainable future: The importance and the development of sustainable finance in the 21st century. Asian Journal of Economics, Business and Accounting, 24(9), 201–210. </w:t>
      </w:r>
      <w:hyperlink r:id="rId13" w:history="1">
        <w:r w:rsidRPr="00DF46E3">
          <w:rPr>
            <w:rStyle w:val="Hyperlink"/>
            <w:rFonts w:ascii="Times New Roman" w:hAnsi="Times New Roman" w:cs="Times New Roman"/>
            <w:sz w:val="24"/>
            <w:szCs w:val="24"/>
            <w:highlight w:val="yellow"/>
          </w:rPr>
          <w:t>https://doi.org/10.9734/ajeba/2024/v24i91486</w:t>
        </w:r>
      </w:hyperlink>
      <w:r w:rsidRPr="00DF46E3">
        <w:rPr>
          <w:rFonts w:ascii="Times New Roman" w:hAnsi="Times New Roman" w:cs="Times New Roman"/>
          <w:sz w:val="24"/>
          <w:szCs w:val="24"/>
          <w:highlight w:val="yellow"/>
        </w:rPr>
        <w:t xml:space="preserve"> </w:t>
      </w:r>
    </w:p>
    <w:p w14:paraId="29C43081" w14:textId="3248B7BA" w:rsidR="000D1D65" w:rsidRDefault="002A1F73" w:rsidP="002A1F73">
      <w:pPr>
        <w:numPr>
          <w:ilvl w:val="0"/>
          <w:numId w:val="1"/>
        </w:numPr>
        <w:jc w:val="both"/>
        <w:rPr>
          <w:rFonts w:ascii="Times New Roman" w:hAnsi="Times New Roman" w:cs="Times New Roman"/>
          <w:sz w:val="24"/>
          <w:szCs w:val="24"/>
        </w:rPr>
      </w:pPr>
      <w:r w:rsidRPr="002A1F73">
        <w:rPr>
          <w:rFonts w:ascii="Times New Roman" w:hAnsi="Times New Roman" w:cs="Times New Roman"/>
          <w:sz w:val="24"/>
          <w:szCs w:val="24"/>
        </w:rPr>
        <w:t xml:space="preserve">Bansal, R., </w:t>
      </w:r>
      <w:proofErr w:type="spellStart"/>
      <w:r w:rsidRPr="002A1F73">
        <w:rPr>
          <w:rFonts w:ascii="Times New Roman" w:hAnsi="Times New Roman" w:cs="Times New Roman"/>
          <w:sz w:val="24"/>
          <w:szCs w:val="24"/>
        </w:rPr>
        <w:t>Kiku</w:t>
      </w:r>
      <w:proofErr w:type="spellEnd"/>
      <w:r w:rsidRPr="002A1F73">
        <w:rPr>
          <w:rFonts w:ascii="Times New Roman" w:hAnsi="Times New Roman" w:cs="Times New Roman"/>
          <w:sz w:val="24"/>
          <w:szCs w:val="24"/>
        </w:rPr>
        <w:t xml:space="preserve">, D., &amp; Ochoa, M. (2021). Climate change risk. </w:t>
      </w:r>
      <w:r w:rsidRPr="002A1F73">
        <w:rPr>
          <w:rFonts w:ascii="Times New Roman" w:hAnsi="Times New Roman" w:cs="Times New Roman"/>
          <w:i/>
          <w:iCs/>
          <w:sz w:val="24"/>
          <w:szCs w:val="24"/>
        </w:rPr>
        <w:t>The Journal of Finance, 76</w:t>
      </w:r>
      <w:r w:rsidRPr="002A1F73">
        <w:rPr>
          <w:rFonts w:ascii="Times New Roman" w:hAnsi="Times New Roman" w:cs="Times New Roman"/>
          <w:sz w:val="24"/>
          <w:szCs w:val="24"/>
        </w:rPr>
        <w:t xml:space="preserve">(6), 2873–2921. </w:t>
      </w:r>
      <w:hyperlink r:id="rId14" w:history="1">
        <w:r w:rsidRPr="002A1F73">
          <w:rPr>
            <w:rStyle w:val="Hyperlink"/>
            <w:rFonts w:ascii="Times New Roman" w:hAnsi="Times New Roman" w:cs="Times New Roman"/>
            <w:sz w:val="24"/>
            <w:szCs w:val="24"/>
          </w:rPr>
          <w:t>https://doi.org/10.1111/jofi.13079</w:t>
        </w:r>
      </w:hyperlink>
      <w:r w:rsidRPr="002A1F73">
        <w:rPr>
          <w:rFonts w:ascii="Times New Roman" w:hAnsi="Times New Roman" w:cs="Times New Roman"/>
          <w:sz w:val="24"/>
          <w:szCs w:val="24"/>
        </w:rPr>
        <w:t xml:space="preserve"> </w:t>
      </w:r>
    </w:p>
    <w:p w14:paraId="2ABD2C5B" w14:textId="5896E0E9" w:rsidR="00DF46E3" w:rsidRDefault="00DF46E3" w:rsidP="002A1F73">
      <w:pPr>
        <w:numPr>
          <w:ilvl w:val="0"/>
          <w:numId w:val="1"/>
        </w:numPr>
        <w:jc w:val="both"/>
        <w:rPr>
          <w:rFonts w:ascii="Times New Roman" w:hAnsi="Times New Roman" w:cs="Times New Roman"/>
          <w:sz w:val="24"/>
          <w:szCs w:val="24"/>
          <w:highlight w:val="yellow"/>
        </w:rPr>
      </w:pPr>
      <w:proofErr w:type="spellStart"/>
      <w:r w:rsidRPr="00DF46E3">
        <w:rPr>
          <w:rFonts w:ascii="Times New Roman" w:hAnsi="Times New Roman" w:cs="Times New Roman"/>
          <w:sz w:val="24"/>
          <w:szCs w:val="24"/>
          <w:highlight w:val="yellow"/>
        </w:rPr>
        <w:t>Batrancea</w:t>
      </w:r>
      <w:proofErr w:type="spellEnd"/>
      <w:r w:rsidRPr="00DF46E3">
        <w:rPr>
          <w:rFonts w:ascii="Times New Roman" w:hAnsi="Times New Roman" w:cs="Times New Roman"/>
          <w:sz w:val="24"/>
          <w:szCs w:val="24"/>
          <w:highlight w:val="yellow"/>
        </w:rPr>
        <w:t xml:space="preserve">, L. M. (2021). The nexus between financial performance and equilibrium: Empirical evidence on publicly traded companies from the global financial crisis up to the COVID-19 pandemic. Journal of Risk and Financial Management, 14(5), 218. </w:t>
      </w:r>
      <w:hyperlink r:id="rId15" w:history="1">
        <w:r w:rsidRPr="00DF46E3">
          <w:rPr>
            <w:rStyle w:val="Hyperlink"/>
            <w:rFonts w:ascii="Times New Roman" w:hAnsi="Times New Roman" w:cs="Times New Roman"/>
            <w:sz w:val="24"/>
            <w:szCs w:val="24"/>
            <w:highlight w:val="yellow"/>
          </w:rPr>
          <w:t>https://doi.org/10.3390/jrfm14050218</w:t>
        </w:r>
      </w:hyperlink>
      <w:r w:rsidRPr="00DF46E3">
        <w:rPr>
          <w:rFonts w:ascii="Times New Roman" w:hAnsi="Times New Roman" w:cs="Times New Roman"/>
          <w:sz w:val="24"/>
          <w:szCs w:val="24"/>
          <w:highlight w:val="yellow"/>
        </w:rPr>
        <w:t xml:space="preserve"> </w:t>
      </w:r>
    </w:p>
    <w:p w14:paraId="2F3F398A" w14:textId="2B5B46C0" w:rsidR="00C82BEA" w:rsidRDefault="00C82BEA" w:rsidP="002A1F73">
      <w:pPr>
        <w:numPr>
          <w:ilvl w:val="0"/>
          <w:numId w:val="1"/>
        </w:numPr>
        <w:jc w:val="both"/>
        <w:rPr>
          <w:rFonts w:ascii="Times New Roman" w:hAnsi="Times New Roman" w:cs="Times New Roman"/>
          <w:sz w:val="24"/>
          <w:szCs w:val="24"/>
          <w:highlight w:val="yellow"/>
        </w:rPr>
      </w:pPr>
      <w:proofErr w:type="spellStart"/>
      <w:r w:rsidRPr="00C82BEA">
        <w:rPr>
          <w:rFonts w:ascii="Times New Roman" w:hAnsi="Times New Roman" w:cs="Times New Roman"/>
          <w:sz w:val="24"/>
          <w:szCs w:val="24"/>
          <w:highlight w:val="yellow"/>
        </w:rPr>
        <w:t>Batrancea</w:t>
      </w:r>
      <w:proofErr w:type="spellEnd"/>
      <w:r w:rsidRPr="00C82BEA">
        <w:rPr>
          <w:rFonts w:ascii="Times New Roman" w:hAnsi="Times New Roman" w:cs="Times New Roman"/>
          <w:sz w:val="24"/>
          <w:szCs w:val="24"/>
          <w:highlight w:val="yellow"/>
        </w:rPr>
        <w:t xml:space="preserve">, L. M. (2022). Determinants of economic growth across the European Union: A panel data analysis on small and medium enterprises. Sustainability, 14(8), 4797. </w:t>
      </w:r>
      <w:hyperlink r:id="rId16" w:history="1">
        <w:r w:rsidRPr="00C82BEA">
          <w:rPr>
            <w:rStyle w:val="Hyperlink"/>
            <w:rFonts w:ascii="Times New Roman" w:hAnsi="Times New Roman" w:cs="Times New Roman"/>
            <w:sz w:val="24"/>
            <w:szCs w:val="24"/>
            <w:highlight w:val="yellow"/>
          </w:rPr>
          <w:t>https://doi.org/10.3390/su14084797</w:t>
        </w:r>
      </w:hyperlink>
      <w:r w:rsidRPr="00C82BEA">
        <w:rPr>
          <w:rFonts w:ascii="Times New Roman" w:hAnsi="Times New Roman" w:cs="Times New Roman"/>
          <w:sz w:val="24"/>
          <w:szCs w:val="24"/>
          <w:highlight w:val="yellow"/>
        </w:rPr>
        <w:t xml:space="preserve"> </w:t>
      </w:r>
    </w:p>
    <w:p w14:paraId="67B5FA1B" w14:textId="55764466" w:rsidR="00C82BEA" w:rsidRPr="00C82BEA" w:rsidRDefault="00C82BEA" w:rsidP="002A1F73">
      <w:pPr>
        <w:numPr>
          <w:ilvl w:val="0"/>
          <w:numId w:val="1"/>
        </w:numPr>
        <w:jc w:val="both"/>
        <w:rPr>
          <w:rFonts w:ascii="Times New Roman" w:hAnsi="Times New Roman" w:cs="Times New Roman"/>
          <w:sz w:val="24"/>
          <w:szCs w:val="24"/>
          <w:highlight w:val="yellow"/>
        </w:rPr>
      </w:pPr>
      <w:proofErr w:type="spellStart"/>
      <w:r w:rsidRPr="00C82BEA">
        <w:rPr>
          <w:rFonts w:ascii="Times New Roman" w:hAnsi="Times New Roman" w:cs="Times New Roman"/>
          <w:sz w:val="24"/>
          <w:szCs w:val="24"/>
          <w:highlight w:val="yellow"/>
        </w:rPr>
        <w:t>Batrancea</w:t>
      </w:r>
      <w:proofErr w:type="spellEnd"/>
      <w:r w:rsidRPr="00C82BEA">
        <w:rPr>
          <w:rFonts w:ascii="Times New Roman" w:hAnsi="Times New Roman" w:cs="Times New Roman"/>
          <w:sz w:val="24"/>
          <w:szCs w:val="24"/>
          <w:highlight w:val="yellow"/>
        </w:rPr>
        <w:t xml:space="preserve">, L., Pop, M. C., </w:t>
      </w:r>
      <w:proofErr w:type="spellStart"/>
      <w:r w:rsidRPr="00C82BEA">
        <w:rPr>
          <w:rFonts w:ascii="Times New Roman" w:hAnsi="Times New Roman" w:cs="Times New Roman"/>
          <w:sz w:val="24"/>
          <w:szCs w:val="24"/>
          <w:highlight w:val="yellow"/>
        </w:rPr>
        <w:t>Rathnaswamy</w:t>
      </w:r>
      <w:proofErr w:type="spellEnd"/>
      <w:r w:rsidRPr="00C82BEA">
        <w:rPr>
          <w:rFonts w:ascii="Times New Roman" w:hAnsi="Times New Roman" w:cs="Times New Roman"/>
          <w:sz w:val="24"/>
          <w:szCs w:val="24"/>
          <w:highlight w:val="yellow"/>
        </w:rPr>
        <w:t xml:space="preserve">, M. M., </w:t>
      </w:r>
      <w:proofErr w:type="spellStart"/>
      <w:r w:rsidRPr="00C82BEA">
        <w:rPr>
          <w:rFonts w:ascii="Times New Roman" w:hAnsi="Times New Roman" w:cs="Times New Roman"/>
          <w:sz w:val="24"/>
          <w:szCs w:val="24"/>
          <w:highlight w:val="yellow"/>
        </w:rPr>
        <w:t>Batrancea</w:t>
      </w:r>
      <w:proofErr w:type="spellEnd"/>
      <w:r w:rsidRPr="00C82BEA">
        <w:rPr>
          <w:rFonts w:ascii="Times New Roman" w:hAnsi="Times New Roman" w:cs="Times New Roman"/>
          <w:sz w:val="24"/>
          <w:szCs w:val="24"/>
          <w:highlight w:val="yellow"/>
        </w:rPr>
        <w:t xml:space="preserve">, I., &amp; Rus, M. I. (2021). An empirical investigation on the transition process toward a green economy. Sustainability, 13(23), 13151. </w:t>
      </w:r>
      <w:hyperlink r:id="rId17" w:history="1">
        <w:r w:rsidRPr="00C82BEA">
          <w:rPr>
            <w:rStyle w:val="Hyperlink"/>
            <w:rFonts w:ascii="Times New Roman" w:hAnsi="Times New Roman" w:cs="Times New Roman"/>
            <w:sz w:val="24"/>
            <w:szCs w:val="24"/>
            <w:highlight w:val="yellow"/>
          </w:rPr>
          <w:t>https://doi.org/10.3390/su132313151</w:t>
        </w:r>
      </w:hyperlink>
      <w:r w:rsidRPr="00C82BEA">
        <w:rPr>
          <w:rFonts w:ascii="Times New Roman" w:hAnsi="Times New Roman" w:cs="Times New Roman"/>
          <w:sz w:val="24"/>
          <w:szCs w:val="24"/>
          <w:highlight w:val="yellow"/>
        </w:rPr>
        <w:t xml:space="preserve"> </w:t>
      </w:r>
    </w:p>
    <w:p w14:paraId="66858812" w14:textId="1F13064A" w:rsidR="000D1D65" w:rsidRPr="002A1F73" w:rsidRDefault="00A53395" w:rsidP="002A1F73">
      <w:pPr>
        <w:numPr>
          <w:ilvl w:val="0"/>
          <w:numId w:val="1"/>
        </w:numPr>
        <w:jc w:val="both"/>
        <w:rPr>
          <w:rFonts w:ascii="Times New Roman" w:hAnsi="Times New Roman" w:cs="Times New Roman"/>
          <w:sz w:val="24"/>
          <w:szCs w:val="24"/>
        </w:rPr>
      </w:pPr>
      <w:proofErr w:type="spellStart"/>
      <w:r w:rsidRPr="00A53395">
        <w:rPr>
          <w:rFonts w:ascii="Times New Roman" w:hAnsi="Times New Roman" w:cs="Times New Roman"/>
          <w:sz w:val="24"/>
          <w:szCs w:val="24"/>
        </w:rPr>
        <w:t>Battiston</w:t>
      </w:r>
      <w:proofErr w:type="spellEnd"/>
      <w:r w:rsidRPr="00A53395">
        <w:rPr>
          <w:rFonts w:ascii="Times New Roman" w:hAnsi="Times New Roman" w:cs="Times New Roman"/>
          <w:sz w:val="24"/>
          <w:szCs w:val="24"/>
        </w:rPr>
        <w:t xml:space="preserve">, S., Mandel, A., </w:t>
      </w:r>
      <w:proofErr w:type="spellStart"/>
      <w:r w:rsidRPr="00A53395">
        <w:rPr>
          <w:rFonts w:ascii="Times New Roman" w:hAnsi="Times New Roman" w:cs="Times New Roman"/>
          <w:sz w:val="24"/>
          <w:szCs w:val="24"/>
        </w:rPr>
        <w:t>Monasterolo</w:t>
      </w:r>
      <w:proofErr w:type="spellEnd"/>
      <w:r w:rsidRPr="00A53395">
        <w:rPr>
          <w:rFonts w:ascii="Times New Roman" w:hAnsi="Times New Roman" w:cs="Times New Roman"/>
          <w:sz w:val="24"/>
          <w:szCs w:val="24"/>
        </w:rPr>
        <w:t xml:space="preserve">, I., </w:t>
      </w:r>
      <w:proofErr w:type="spellStart"/>
      <w:r w:rsidRPr="00A53395">
        <w:rPr>
          <w:rFonts w:ascii="Times New Roman" w:hAnsi="Times New Roman" w:cs="Times New Roman"/>
          <w:sz w:val="24"/>
          <w:szCs w:val="24"/>
        </w:rPr>
        <w:t>Schütze</w:t>
      </w:r>
      <w:proofErr w:type="spellEnd"/>
      <w:r w:rsidRPr="00A53395">
        <w:rPr>
          <w:rFonts w:ascii="Times New Roman" w:hAnsi="Times New Roman" w:cs="Times New Roman"/>
          <w:sz w:val="24"/>
          <w:szCs w:val="24"/>
        </w:rPr>
        <w:t xml:space="preserve">, F., &amp; </w:t>
      </w:r>
      <w:proofErr w:type="spellStart"/>
      <w:r w:rsidRPr="00A53395">
        <w:rPr>
          <w:rFonts w:ascii="Times New Roman" w:hAnsi="Times New Roman" w:cs="Times New Roman"/>
          <w:sz w:val="24"/>
          <w:szCs w:val="24"/>
        </w:rPr>
        <w:t>Visentin</w:t>
      </w:r>
      <w:proofErr w:type="spellEnd"/>
      <w:r w:rsidRPr="00A53395">
        <w:rPr>
          <w:rFonts w:ascii="Times New Roman" w:hAnsi="Times New Roman" w:cs="Times New Roman"/>
          <w:sz w:val="24"/>
          <w:szCs w:val="24"/>
        </w:rPr>
        <w:t xml:space="preserve">, G. (2017). A climate stress-test of the financial system. Nature Climate Change, 7(4), 283–288. </w:t>
      </w:r>
      <w:hyperlink r:id="rId18" w:history="1">
        <w:r w:rsidRPr="004761E6">
          <w:rPr>
            <w:rStyle w:val="Hyperlink"/>
            <w:rFonts w:ascii="Times New Roman" w:hAnsi="Times New Roman" w:cs="Times New Roman"/>
            <w:sz w:val="24"/>
            <w:szCs w:val="24"/>
          </w:rPr>
          <w:t>https://doi.org/10.1038/nclimate3255</w:t>
        </w:r>
      </w:hyperlink>
      <w:r>
        <w:rPr>
          <w:rFonts w:ascii="Times New Roman" w:hAnsi="Times New Roman" w:cs="Times New Roman"/>
          <w:sz w:val="24"/>
          <w:szCs w:val="24"/>
        </w:rPr>
        <w:t xml:space="preserve"> </w:t>
      </w:r>
    </w:p>
    <w:p w14:paraId="50242139" w14:textId="7490DAD6" w:rsidR="000D1D65" w:rsidRPr="003903EE" w:rsidRDefault="00A53112" w:rsidP="003903EE">
      <w:pPr>
        <w:numPr>
          <w:ilvl w:val="0"/>
          <w:numId w:val="1"/>
        </w:numPr>
        <w:jc w:val="both"/>
        <w:rPr>
          <w:rFonts w:ascii="Times New Roman" w:hAnsi="Times New Roman" w:cs="Times New Roman"/>
          <w:sz w:val="24"/>
          <w:szCs w:val="24"/>
        </w:rPr>
      </w:pPr>
      <w:r w:rsidRPr="00A53112">
        <w:rPr>
          <w:rFonts w:ascii="Times New Roman" w:hAnsi="Times New Roman" w:cs="Times New Roman"/>
          <w:sz w:val="24"/>
          <w:szCs w:val="24"/>
        </w:rPr>
        <w:t xml:space="preserve">Bolton, P., &amp; </w:t>
      </w:r>
      <w:proofErr w:type="spellStart"/>
      <w:r w:rsidRPr="00A53112">
        <w:rPr>
          <w:rFonts w:ascii="Times New Roman" w:hAnsi="Times New Roman" w:cs="Times New Roman"/>
          <w:sz w:val="24"/>
          <w:szCs w:val="24"/>
        </w:rPr>
        <w:t>Kacperczyk</w:t>
      </w:r>
      <w:proofErr w:type="spellEnd"/>
      <w:r w:rsidRPr="00A53112">
        <w:rPr>
          <w:rFonts w:ascii="Times New Roman" w:hAnsi="Times New Roman" w:cs="Times New Roman"/>
          <w:sz w:val="24"/>
          <w:szCs w:val="24"/>
        </w:rPr>
        <w:t xml:space="preserve">, M. (2021). Do investors care about carbon risk? Journal of Financial Economics, 142(2), 517–549. </w:t>
      </w:r>
      <w:hyperlink r:id="rId19" w:history="1">
        <w:r w:rsidRPr="004761E6">
          <w:rPr>
            <w:rStyle w:val="Hyperlink"/>
            <w:rFonts w:ascii="Times New Roman" w:hAnsi="Times New Roman" w:cs="Times New Roman"/>
            <w:sz w:val="24"/>
            <w:szCs w:val="24"/>
          </w:rPr>
          <w:t>https://doi.org/10.1016/j.jfineco.2021.05.008</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r w:rsidR="002A1F73" w:rsidRPr="003903EE">
        <w:rPr>
          <w:rFonts w:ascii="Times New Roman" w:hAnsi="Times New Roman" w:cs="Times New Roman"/>
          <w:sz w:val="24"/>
          <w:szCs w:val="24"/>
        </w:rPr>
        <w:t xml:space="preserve"> </w:t>
      </w:r>
    </w:p>
    <w:p w14:paraId="6E99889B" w14:textId="74F409F6" w:rsidR="003903EE" w:rsidRPr="002A1F73" w:rsidRDefault="003903EE" w:rsidP="002A1F73">
      <w:pPr>
        <w:numPr>
          <w:ilvl w:val="0"/>
          <w:numId w:val="1"/>
        </w:numPr>
        <w:jc w:val="both"/>
        <w:rPr>
          <w:rFonts w:ascii="Times New Roman" w:hAnsi="Times New Roman" w:cs="Times New Roman"/>
          <w:sz w:val="24"/>
          <w:szCs w:val="24"/>
        </w:rPr>
      </w:pPr>
      <w:r w:rsidRPr="003903EE">
        <w:rPr>
          <w:rFonts w:ascii="Times New Roman" w:hAnsi="Times New Roman" w:cs="Times New Roman"/>
          <w:sz w:val="24"/>
          <w:szCs w:val="24"/>
        </w:rPr>
        <w:t xml:space="preserve">Bolton, P., </w:t>
      </w:r>
      <w:proofErr w:type="spellStart"/>
      <w:r w:rsidRPr="003903EE">
        <w:rPr>
          <w:rFonts w:ascii="Times New Roman" w:hAnsi="Times New Roman" w:cs="Times New Roman"/>
          <w:sz w:val="24"/>
          <w:szCs w:val="24"/>
        </w:rPr>
        <w:t>Despres</w:t>
      </w:r>
      <w:proofErr w:type="spellEnd"/>
      <w:r w:rsidRPr="003903EE">
        <w:rPr>
          <w:rFonts w:ascii="Times New Roman" w:hAnsi="Times New Roman" w:cs="Times New Roman"/>
          <w:sz w:val="24"/>
          <w:szCs w:val="24"/>
        </w:rPr>
        <w:t xml:space="preserve">, M., Pereira da Silva, L. A., </w:t>
      </w:r>
      <w:proofErr w:type="spellStart"/>
      <w:r w:rsidRPr="003903EE">
        <w:rPr>
          <w:rFonts w:ascii="Times New Roman" w:hAnsi="Times New Roman" w:cs="Times New Roman"/>
          <w:sz w:val="24"/>
          <w:szCs w:val="24"/>
        </w:rPr>
        <w:t>Samama</w:t>
      </w:r>
      <w:proofErr w:type="spellEnd"/>
      <w:r w:rsidRPr="003903EE">
        <w:rPr>
          <w:rFonts w:ascii="Times New Roman" w:hAnsi="Times New Roman" w:cs="Times New Roman"/>
          <w:sz w:val="24"/>
          <w:szCs w:val="24"/>
        </w:rPr>
        <w:t xml:space="preserve">, F., &amp; </w:t>
      </w:r>
      <w:proofErr w:type="spellStart"/>
      <w:r w:rsidRPr="003903EE">
        <w:rPr>
          <w:rFonts w:ascii="Times New Roman" w:hAnsi="Times New Roman" w:cs="Times New Roman"/>
          <w:sz w:val="24"/>
          <w:szCs w:val="24"/>
        </w:rPr>
        <w:t>Svartzman</w:t>
      </w:r>
      <w:proofErr w:type="spellEnd"/>
      <w:r w:rsidRPr="003903EE">
        <w:rPr>
          <w:rFonts w:ascii="Times New Roman" w:hAnsi="Times New Roman" w:cs="Times New Roman"/>
          <w:sz w:val="24"/>
          <w:szCs w:val="24"/>
        </w:rPr>
        <w:t xml:space="preserve">, R. (2020). The green swan: Central banking and financial stability in the age of climate change. Bank for International Settlements. </w:t>
      </w:r>
      <w:hyperlink r:id="rId20" w:history="1">
        <w:r w:rsidRPr="005A53F8">
          <w:rPr>
            <w:rStyle w:val="Hyperlink"/>
            <w:rFonts w:ascii="Times New Roman" w:hAnsi="Times New Roman" w:cs="Times New Roman"/>
            <w:sz w:val="24"/>
            <w:szCs w:val="24"/>
          </w:rPr>
          <w:t>https://www.bis.org/publ/othp31.pdf</w:t>
        </w:r>
      </w:hyperlink>
      <w:r>
        <w:rPr>
          <w:rFonts w:ascii="Times New Roman" w:hAnsi="Times New Roman" w:cs="Times New Roman"/>
          <w:sz w:val="24"/>
          <w:szCs w:val="24"/>
        </w:rPr>
        <w:t xml:space="preserve"> </w:t>
      </w:r>
    </w:p>
    <w:p w14:paraId="151B57E2" w14:textId="77777777" w:rsidR="000D1D65" w:rsidRPr="002A1F73" w:rsidRDefault="00EC744D" w:rsidP="002A1F73">
      <w:pPr>
        <w:numPr>
          <w:ilvl w:val="0"/>
          <w:numId w:val="1"/>
        </w:numPr>
        <w:jc w:val="both"/>
        <w:rPr>
          <w:rFonts w:ascii="Times New Roman" w:hAnsi="Times New Roman" w:cs="Times New Roman"/>
          <w:sz w:val="24"/>
          <w:szCs w:val="24"/>
        </w:rPr>
      </w:pPr>
      <w:proofErr w:type="spellStart"/>
      <w:r w:rsidRPr="002A1F73">
        <w:rPr>
          <w:rFonts w:ascii="Times New Roman" w:hAnsi="Times New Roman" w:cs="Times New Roman"/>
          <w:sz w:val="24"/>
          <w:szCs w:val="24"/>
        </w:rPr>
        <w:lastRenderedPageBreak/>
        <w:t>Calel</w:t>
      </w:r>
      <w:proofErr w:type="spellEnd"/>
      <w:r w:rsidRPr="002A1F73">
        <w:rPr>
          <w:rFonts w:ascii="Times New Roman" w:hAnsi="Times New Roman" w:cs="Times New Roman"/>
          <w:sz w:val="24"/>
          <w:szCs w:val="24"/>
        </w:rPr>
        <w:t xml:space="preserve">, R., &amp; </w:t>
      </w:r>
      <w:proofErr w:type="spellStart"/>
      <w:r w:rsidRPr="002A1F73">
        <w:rPr>
          <w:rFonts w:ascii="Times New Roman" w:hAnsi="Times New Roman" w:cs="Times New Roman"/>
          <w:sz w:val="24"/>
          <w:szCs w:val="24"/>
        </w:rPr>
        <w:t>Dechezleprêtre</w:t>
      </w:r>
      <w:proofErr w:type="spellEnd"/>
      <w:r w:rsidRPr="002A1F73">
        <w:rPr>
          <w:rFonts w:ascii="Times New Roman" w:hAnsi="Times New Roman" w:cs="Times New Roman"/>
          <w:sz w:val="24"/>
          <w:szCs w:val="24"/>
        </w:rPr>
        <w:t xml:space="preserve">, A. (2016). Environmental policy and directed technological change: Evidence from the European carbon market. </w:t>
      </w:r>
      <w:r w:rsidRPr="002A1F73">
        <w:rPr>
          <w:rFonts w:ascii="Times New Roman" w:hAnsi="Times New Roman" w:cs="Times New Roman"/>
          <w:i/>
          <w:iCs/>
          <w:sz w:val="24"/>
          <w:szCs w:val="24"/>
        </w:rPr>
        <w:t>Review of Economics and Statistics, 98</w:t>
      </w:r>
      <w:r w:rsidRPr="002A1F73">
        <w:rPr>
          <w:rFonts w:ascii="Times New Roman" w:hAnsi="Times New Roman" w:cs="Times New Roman"/>
          <w:sz w:val="24"/>
          <w:szCs w:val="24"/>
        </w:rPr>
        <w:t xml:space="preserve">(1), 173–191. </w:t>
      </w:r>
      <w:hyperlink r:id="rId21" w:history="1">
        <w:r w:rsidRPr="002A1F73">
          <w:rPr>
            <w:rStyle w:val="Hyperlink"/>
            <w:rFonts w:ascii="Times New Roman" w:hAnsi="Times New Roman" w:cs="Times New Roman"/>
            <w:sz w:val="24"/>
            <w:szCs w:val="24"/>
          </w:rPr>
          <w:t>https://doi.org/10.1162/REST_a_00538</w:t>
        </w:r>
      </w:hyperlink>
      <w:r w:rsidR="002A1F73" w:rsidRPr="002A1F73">
        <w:rPr>
          <w:rFonts w:ascii="Times New Roman" w:hAnsi="Times New Roman" w:cs="Times New Roman"/>
          <w:sz w:val="24"/>
          <w:szCs w:val="24"/>
        </w:rPr>
        <w:t xml:space="preserve"> </w:t>
      </w:r>
    </w:p>
    <w:p w14:paraId="55073A37" w14:textId="48307D52" w:rsidR="000D1D65" w:rsidRPr="002A1F73" w:rsidRDefault="00DB0E0C" w:rsidP="002A1F73">
      <w:pPr>
        <w:numPr>
          <w:ilvl w:val="0"/>
          <w:numId w:val="1"/>
        </w:numPr>
        <w:jc w:val="both"/>
        <w:rPr>
          <w:rFonts w:ascii="Times New Roman" w:hAnsi="Times New Roman" w:cs="Times New Roman"/>
          <w:sz w:val="24"/>
          <w:szCs w:val="24"/>
        </w:rPr>
      </w:pPr>
      <w:r w:rsidRPr="00DB0E0C">
        <w:rPr>
          <w:rFonts w:ascii="Times New Roman" w:hAnsi="Times New Roman" w:cs="Times New Roman"/>
          <w:sz w:val="24"/>
          <w:szCs w:val="24"/>
        </w:rPr>
        <w:t xml:space="preserve">Campiglio, E., </w:t>
      </w:r>
      <w:proofErr w:type="spellStart"/>
      <w:r w:rsidRPr="00DB0E0C">
        <w:rPr>
          <w:rFonts w:ascii="Times New Roman" w:hAnsi="Times New Roman" w:cs="Times New Roman"/>
          <w:sz w:val="24"/>
          <w:szCs w:val="24"/>
        </w:rPr>
        <w:t>Dafermos</w:t>
      </w:r>
      <w:proofErr w:type="spellEnd"/>
      <w:r w:rsidRPr="00DB0E0C">
        <w:rPr>
          <w:rFonts w:ascii="Times New Roman" w:hAnsi="Times New Roman" w:cs="Times New Roman"/>
          <w:sz w:val="24"/>
          <w:szCs w:val="24"/>
        </w:rPr>
        <w:t xml:space="preserve">, Y., Monnin, P., Ryan-Collins, J., </w:t>
      </w:r>
      <w:proofErr w:type="spellStart"/>
      <w:r w:rsidRPr="00DB0E0C">
        <w:rPr>
          <w:rFonts w:ascii="Times New Roman" w:hAnsi="Times New Roman" w:cs="Times New Roman"/>
          <w:sz w:val="24"/>
          <w:szCs w:val="24"/>
        </w:rPr>
        <w:t>Schotten</w:t>
      </w:r>
      <w:proofErr w:type="spellEnd"/>
      <w:r w:rsidRPr="00DB0E0C">
        <w:rPr>
          <w:rFonts w:ascii="Times New Roman" w:hAnsi="Times New Roman" w:cs="Times New Roman"/>
          <w:sz w:val="24"/>
          <w:szCs w:val="24"/>
        </w:rPr>
        <w:t xml:space="preserve">, G., &amp; Tanaka, M. (2018). Climate change challenges for central banks and financial regulators. Nature Climate Change. </w:t>
      </w:r>
      <w:hyperlink r:id="rId22" w:history="1">
        <w:r w:rsidRPr="004761E6">
          <w:rPr>
            <w:rStyle w:val="Hyperlink"/>
            <w:rFonts w:ascii="Times New Roman" w:hAnsi="Times New Roman" w:cs="Times New Roman"/>
            <w:sz w:val="24"/>
            <w:szCs w:val="24"/>
          </w:rPr>
          <w:t>https://doi.org/10.1038/s41558-018-0175-0</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60304411" w14:textId="08B6097C" w:rsidR="004C0109" w:rsidRPr="002A1F73" w:rsidRDefault="004C0109" w:rsidP="002A1F73">
      <w:pPr>
        <w:numPr>
          <w:ilvl w:val="0"/>
          <w:numId w:val="1"/>
        </w:numPr>
        <w:jc w:val="both"/>
        <w:rPr>
          <w:rFonts w:ascii="Times New Roman" w:hAnsi="Times New Roman" w:cs="Times New Roman"/>
          <w:sz w:val="24"/>
          <w:szCs w:val="24"/>
        </w:rPr>
      </w:pPr>
      <w:proofErr w:type="spellStart"/>
      <w:r w:rsidRPr="004C0109">
        <w:rPr>
          <w:rFonts w:ascii="Times New Roman" w:hAnsi="Times New Roman" w:cs="Times New Roman"/>
          <w:sz w:val="24"/>
          <w:szCs w:val="24"/>
        </w:rPr>
        <w:t>Dechezleprêtre</w:t>
      </w:r>
      <w:proofErr w:type="spellEnd"/>
      <w:r w:rsidRPr="004C0109">
        <w:rPr>
          <w:rFonts w:ascii="Times New Roman" w:hAnsi="Times New Roman" w:cs="Times New Roman"/>
          <w:sz w:val="24"/>
          <w:szCs w:val="24"/>
        </w:rPr>
        <w:t xml:space="preserve">, A., Martin, R., &amp; Mohnen, M. (2017). Knowledge spillovers from clean and dirty technologies: A patent citation analysis (Grantham Research Institute on Climate Change and the Environment Working Paper No. 135). London School of Economics and Political Science. </w:t>
      </w:r>
      <w:hyperlink r:id="rId23" w:history="1">
        <w:r w:rsidRPr="005A53F8">
          <w:rPr>
            <w:rStyle w:val="Hyperlink"/>
            <w:rFonts w:ascii="Times New Roman" w:hAnsi="Times New Roman" w:cs="Times New Roman"/>
            <w:sz w:val="24"/>
            <w:szCs w:val="24"/>
          </w:rPr>
          <w:t>http://www.lse.ac.uk/GranthamInstitute/wp-content/uploads/2013/10/Working-Paper-135-Dechezlepretre-et-al_updateOct2017.pdf</w:t>
        </w:r>
      </w:hyperlink>
      <w:r>
        <w:rPr>
          <w:rFonts w:ascii="Times New Roman" w:hAnsi="Times New Roman" w:cs="Times New Roman"/>
          <w:sz w:val="24"/>
          <w:szCs w:val="24"/>
        </w:rPr>
        <w:t xml:space="preserve"> </w:t>
      </w:r>
    </w:p>
    <w:p w14:paraId="70DB192D" w14:textId="4140203E" w:rsidR="000D1D65" w:rsidRPr="002A1F73" w:rsidRDefault="0065497E" w:rsidP="002A1F73">
      <w:pPr>
        <w:numPr>
          <w:ilvl w:val="0"/>
          <w:numId w:val="1"/>
        </w:numPr>
        <w:jc w:val="both"/>
        <w:rPr>
          <w:rFonts w:ascii="Times New Roman" w:hAnsi="Times New Roman" w:cs="Times New Roman"/>
          <w:sz w:val="24"/>
          <w:szCs w:val="24"/>
        </w:rPr>
      </w:pPr>
      <w:r w:rsidRPr="0065497E">
        <w:rPr>
          <w:rFonts w:ascii="Times New Roman" w:hAnsi="Times New Roman" w:cs="Times New Roman"/>
          <w:sz w:val="24"/>
          <w:szCs w:val="24"/>
        </w:rPr>
        <w:t xml:space="preserve">Edmans, A. (2011). Does the Stock Market Fully Value Intangibles? Employee Satisfaction and Equity Prices. Journal of Financial Economics. </w:t>
      </w:r>
      <w:hyperlink r:id="rId24" w:history="1">
        <w:r w:rsidRPr="004761E6">
          <w:rPr>
            <w:rStyle w:val="Hyperlink"/>
            <w:rFonts w:ascii="Times New Roman" w:hAnsi="Times New Roman" w:cs="Times New Roman"/>
            <w:sz w:val="24"/>
            <w:szCs w:val="24"/>
          </w:rPr>
          <w:t>https://doi.org/10.1016/j.jfineco.2011.03.021</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2061BF66" w14:textId="163DF7BF" w:rsidR="000D1D65" w:rsidRPr="002A1F73" w:rsidRDefault="003E42F5" w:rsidP="002A1F73">
      <w:pPr>
        <w:numPr>
          <w:ilvl w:val="0"/>
          <w:numId w:val="1"/>
        </w:numPr>
        <w:jc w:val="both"/>
        <w:rPr>
          <w:rFonts w:ascii="Times New Roman" w:hAnsi="Times New Roman" w:cs="Times New Roman"/>
          <w:sz w:val="24"/>
          <w:szCs w:val="24"/>
        </w:rPr>
      </w:pPr>
      <w:r w:rsidRPr="003E42F5">
        <w:rPr>
          <w:rFonts w:ascii="Times New Roman" w:hAnsi="Times New Roman" w:cs="Times New Roman"/>
          <w:sz w:val="24"/>
          <w:szCs w:val="24"/>
        </w:rPr>
        <w:t xml:space="preserve">Ferreira, S., &amp; Vincent, J. R. (2005). Genuine savings: Leading indicator of sustainable development? Economic Development and Cultural Change, 53(3), 737–754. </w:t>
      </w:r>
      <w:hyperlink r:id="rId25" w:history="1">
        <w:r w:rsidRPr="004761E6">
          <w:rPr>
            <w:rStyle w:val="Hyperlink"/>
            <w:rFonts w:ascii="Times New Roman" w:hAnsi="Times New Roman" w:cs="Times New Roman"/>
            <w:sz w:val="24"/>
            <w:szCs w:val="24"/>
          </w:rPr>
          <w:t>https://doi.org/10.1086/426834</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60F85CD5" w14:textId="392CEB71" w:rsidR="000D1D65" w:rsidRPr="002A1F73" w:rsidRDefault="006375EB" w:rsidP="002A1F73">
      <w:pPr>
        <w:numPr>
          <w:ilvl w:val="0"/>
          <w:numId w:val="1"/>
        </w:numPr>
        <w:jc w:val="both"/>
        <w:rPr>
          <w:rFonts w:ascii="Times New Roman" w:hAnsi="Times New Roman" w:cs="Times New Roman"/>
          <w:sz w:val="24"/>
          <w:szCs w:val="24"/>
        </w:rPr>
      </w:pPr>
      <w:r w:rsidRPr="006375EB">
        <w:rPr>
          <w:rFonts w:ascii="Times New Roman" w:hAnsi="Times New Roman" w:cs="Times New Roman"/>
          <w:sz w:val="24"/>
          <w:szCs w:val="24"/>
        </w:rPr>
        <w:t xml:space="preserve">Flammer, C. (2021). Corporate green bonds. Journal of Financial Economics, 142(2), 499–516. </w:t>
      </w:r>
      <w:hyperlink r:id="rId26" w:history="1">
        <w:r w:rsidRPr="004761E6">
          <w:rPr>
            <w:rStyle w:val="Hyperlink"/>
            <w:rFonts w:ascii="Times New Roman" w:hAnsi="Times New Roman" w:cs="Times New Roman"/>
            <w:sz w:val="24"/>
            <w:szCs w:val="24"/>
          </w:rPr>
          <w:t>https://doi.org/10.1016/j.jfineco.2021.01.010</w:t>
        </w:r>
      </w:hyperlink>
      <w:r>
        <w:rPr>
          <w:rFonts w:ascii="Times New Roman" w:hAnsi="Times New Roman" w:cs="Times New Roman"/>
          <w:sz w:val="24"/>
          <w:szCs w:val="24"/>
        </w:rPr>
        <w:t xml:space="preserve"> </w:t>
      </w:r>
    </w:p>
    <w:p w14:paraId="330E3ABC" w14:textId="57885492" w:rsidR="000D1D65" w:rsidRPr="002A1F73" w:rsidRDefault="00D8047A" w:rsidP="002A1F73">
      <w:pPr>
        <w:numPr>
          <w:ilvl w:val="0"/>
          <w:numId w:val="1"/>
        </w:numPr>
        <w:jc w:val="both"/>
        <w:rPr>
          <w:rFonts w:ascii="Times New Roman" w:hAnsi="Times New Roman" w:cs="Times New Roman"/>
          <w:sz w:val="24"/>
          <w:szCs w:val="24"/>
        </w:rPr>
      </w:pPr>
      <w:proofErr w:type="spellStart"/>
      <w:r w:rsidRPr="00D8047A">
        <w:rPr>
          <w:rFonts w:ascii="Times New Roman" w:hAnsi="Times New Roman" w:cs="Times New Roman"/>
          <w:sz w:val="24"/>
          <w:szCs w:val="24"/>
        </w:rPr>
        <w:t>Friede</w:t>
      </w:r>
      <w:proofErr w:type="spellEnd"/>
      <w:r w:rsidRPr="00D8047A">
        <w:rPr>
          <w:rFonts w:ascii="Times New Roman" w:hAnsi="Times New Roman" w:cs="Times New Roman"/>
          <w:sz w:val="24"/>
          <w:szCs w:val="24"/>
        </w:rPr>
        <w:t xml:space="preserve">, G., Busch, T., &amp; </w:t>
      </w:r>
      <w:proofErr w:type="spellStart"/>
      <w:r w:rsidRPr="00D8047A">
        <w:rPr>
          <w:rFonts w:ascii="Times New Roman" w:hAnsi="Times New Roman" w:cs="Times New Roman"/>
          <w:sz w:val="24"/>
          <w:szCs w:val="24"/>
        </w:rPr>
        <w:t>Bassen</w:t>
      </w:r>
      <w:proofErr w:type="spellEnd"/>
      <w:r w:rsidRPr="00D8047A">
        <w:rPr>
          <w:rFonts w:ascii="Times New Roman" w:hAnsi="Times New Roman" w:cs="Times New Roman"/>
          <w:sz w:val="24"/>
          <w:szCs w:val="24"/>
        </w:rPr>
        <w:t xml:space="preserve">, A. (2015). ESG and financial performance: Aggregated evidence from more than 2000 empirical studies. Journal of Sustainable Finance &amp; Investment, 5(4), 210–233. </w:t>
      </w:r>
      <w:hyperlink r:id="rId27" w:history="1">
        <w:r w:rsidRPr="004761E6">
          <w:rPr>
            <w:rStyle w:val="Hyperlink"/>
            <w:rFonts w:ascii="Times New Roman" w:hAnsi="Times New Roman" w:cs="Times New Roman"/>
            <w:sz w:val="24"/>
            <w:szCs w:val="24"/>
          </w:rPr>
          <w:t>https://doi.org/10.1080/20430795.2015.1118917</w:t>
        </w:r>
      </w:hyperlink>
      <w:r>
        <w:rPr>
          <w:rFonts w:ascii="Times New Roman" w:hAnsi="Times New Roman" w:cs="Times New Roman"/>
          <w:sz w:val="24"/>
          <w:szCs w:val="24"/>
        </w:rPr>
        <w:t xml:space="preserve"> </w:t>
      </w:r>
    </w:p>
    <w:p w14:paraId="43F01297" w14:textId="77777777" w:rsidR="000D1D65" w:rsidRPr="002A1F73" w:rsidRDefault="00EC744D" w:rsidP="002A1F73">
      <w:pPr>
        <w:numPr>
          <w:ilvl w:val="0"/>
          <w:numId w:val="1"/>
        </w:numPr>
        <w:jc w:val="both"/>
        <w:rPr>
          <w:rFonts w:ascii="Times New Roman" w:hAnsi="Times New Roman" w:cs="Times New Roman"/>
          <w:sz w:val="24"/>
          <w:szCs w:val="24"/>
        </w:rPr>
      </w:pPr>
      <w:r w:rsidRPr="002A1F73">
        <w:rPr>
          <w:rFonts w:ascii="Times New Roman" w:hAnsi="Times New Roman" w:cs="Times New Roman"/>
          <w:sz w:val="24"/>
          <w:szCs w:val="24"/>
        </w:rPr>
        <w:t xml:space="preserve">Hamilton, K. (2003). Sustaining economic welfare: Estimating changes in total and per capita wealth. </w:t>
      </w:r>
      <w:r w:rsidRPr="002A1F73">
        <w:rPr>
          <w:rFonts w:ascii="Times New Roman" w:hAnsi="Times New Roman" w:cs="Times New Roman"/>
          <w:i/>
          <w:iCs/>
          <w:sz w:val="24"/>
          <w:szCs w:val="24"/>
        </w:rPr>
        <w:t>Environment, Development and Sustainability, 5</w:t>
      </w:r>
      <w:r w:rsidRPr="002A1F73">
        <w:rPr>
          <w:rFonts w:ascii="Times New Roman" w:hAnsi="Times New Roman" w:cs="Times New Roman"/>
          <w:sz w:val="24"/>
          <w:szCs w:val="24"/>
        </w:rPr>
        <w:t xml:space="preserve">, 419–436. </w:t>
      </w:r>
      <w:hyperlink r:id="rId28" w:history="1">
        <w:r w:rsidRPr="002A1F73">
          <w:rPr>
            <w:rStyle w:val="Hyperlink"/>
            <w:rFonts w:ascii="Times New Roman" w:hAnsi="Times New Roman" w:cs="Times New Roman"/>
            <w:sz w:val="24"/>
            <w:szCs w:val="24"/>
          </w:rPr>
          <w:t>https://doi.org/10.1023/A:1025716711086</w:t>
        </w:r>
      </w:hyperlink>
      <w:r w:rsidR="002A1F73" w:rsidRPr="002A1F73">
        <w:rPr>
          <w:rFonts w:ascii="Times New Roman" w:hAnsi="Times New Roman" w:cs="Times New Roman"/>
          <w:sz w:val="24"/>
          <w:szCs w:val="24"/>
        </w:rPr>
        <w:t xml:space="preserve"> </w:t>
      </w:r>
    </w:p>
    <w:p w14:paraId="6C0611F4" w14:textId="22DB7617" w:rsidR="000D1D65" w:rsidRPr="002A1F73" w:rsidRDefault="009A67C6" w:rsidP="002A1F73">
      <w:pPr>
        <w:numPr>
          <w:ilvl w:val="0"/>
          <w:numId w:val="1"/>
        </w:numPr>
        <w:jc w:val="both"/>
        <w:rPr>
          <w:rFonts w:ascii="Times New Roman" w:hAnsi="Times New Roman" w:cs="Times New Roman"/>
          <w:sz w:val="24"/>
          <w:szCs w:val="24"/>
        </w:rPr>
      </w:pPr>
      <w:r w:rsidRPr="009A67C6">
        <w:rPr>
          <w:rFonts w:ascii="Times New Roman" w:hAnsi="Times New Roman" w:cs="Times New Roman"/>
          <w:sz w:val="24"/>
          <w:szCs w:val="24"/>
        </w:rPr>
        <w:t xml:space="preserve">Hamilton, K., &amp; Clemens, M. (1999). Genuine savings rates in developing countries. The World Bank Economic Review, 13(2), 333–356. </w:t>
      </w:r>
      <w:hyperlink r:id="rId29" w:history="1">
        <w:r w:rsidRPr="004761E6">
          <w:rPr>
            <w:rStyle w:val="Hyperlink"/>
            <w:rFonts w:ascii="Times New Roman" w:hAnsi="Times New Roman" w:cs="Times New Roman"/>
            <w:sz w:val="24"/>
            <w:szCs w:val="24"/>
          </w:rPr>
          <w:t>https://doi.org/10.1093/wber/13.2.333</w:t>
        </w:r>
      </w:hyperlink>
      <w:r>
        <w:rPr>
          <w:rFonts w:ascii="Times New Roman" w:hAnsi="Times New Roman" w:cs="Times New Roman"/>
          <w:sz w:val="24"/>
          <w:szCs w:val="24"/>
        </w:rPr>
        <w:t xml:space="preserve"> </w:t>
      </w:r>
    </w:p>
    <w:p w14:paraId="3FEBBB72" w14:textId="5397B406" w:rsidR="000D1D65" w:rsidRPr="002A1F73" w:rsidRDefault="00590FF4" w:rsidP="002A1F73">
      <w:pPr>
        <w:numPr>
          <w:ilvl w:val="0"/>
          <w:numId w:val="1"/>
        </w:numPr>
        <w:jc w:val="both"/>
        <w:rPr>
          <w:rFonts w:ascii="Times New Roman" w:hAnsi="Times New Roman" w:cs="Times New Roman"/>
          <w:sz w:val="24"/>
          <w:szCs w:val="24"/>
        </w:rPr>
      </w:pPr>
      <w:r w:rsidRPr="00590FF4">
        <w:rPr>
          <w:rFonts w:ascii="Times New Roman" w:hAnsi="Times New Roman" w:cs="Times New Roman"/>
          <w:sz w:val="24"/>
          <w:szCs w:val="24"/>
        </w:rPr>
        <w:t xml:space="preserve">Hong, H., Karolyi, G. A., &amp; </w:t>
      </w:r>
      <w:proofErr w:type="spellStart"/>
      <w:r w:rsidRPr="00590FF4">
        <w:rPr>
          <w:rFonts w:ascii="Times New Roman" w:hAnsi="Times New Roman" w:cs="Times New Roman"/>
          <w:sz w:val="24"/>
          <w:szCs w:val="24"/>
        </w:rPr>
        <w:t>Scheinkman</w:t>
      </w:r>
      <w:proofErr w:type="spellEnd"/>
      <w:r w:rsidRPr="00590FF4">
        <w:rPr>
          <w:rFonts w:ascii="Times New Roman" w:hAnsi="Times New Roman" w:cs="Times New Roman"/>
          <w:sz w:val="24"/>
          <w:szCs w:val="24"/>
        </w:rPr>
        <w:t xml:space="preserve">, J. A. (2020). Climate Finance. The Review of Financial Studies. </w:t>
      </w:r>
      <w:hyperlink r:id="rId30" w:history="1">
        <w:r w:rsidRPr="004761E6">
          <w:rPr>
            <w:rStyle w:val="Hyperlink"/>
            <w:rFonts w:ascii="Times New Roman" w:hAnsi="Times New Roman" w:cs="Times New Roman"/>
            <w:sz w:val="24"/>
            <w:szCs w:val="24"/>
          </w:rPr>
          <w:t>https://doi.org/10.1093/rfs/hhz146</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5182DD5A" w14:textId="33A057BA" w:rsidR="000D1D65" w:rsidRPr="002A1F73" w:rsidRDefault="00CD7496" w:rsidP="002A1F73">
      <w:pPr>
        <w:numPr>
          <w:ilvl w:val="0"/>
          <w:numId w:val="1"/>
        </w:numPr>
        <w:jc w:val="both"/>
        <w:rPr>
          <w:rFonts w:ascii="Times New Roman" w:hAnsi="Times New Roman" w:cs="Times New Roman"/>
          <w:sz w:val="24"/>
          <w:szCs w:val="24"/>
        </w:rPr>
      </w:pPr>
      <w:r w:rsidRPr="00CD7496">
        <w:rPr>
          <w:rFonts w:ascii="Times New Roman" w:hAnsi="Times New Roman" w:cs="Times New Roman"/>
          <w:sz w:val="24"/>
          <w:szCs w:val="24"/>
        </w:rPr>
        <w:t xml:space="preserve">Jaffe, A. B., &amp; Palmer, K. (1997). Environmental regulation and innovation: A panel data study. The Review of Economics and Statistics, 79(4), 610–619. </w:t>
      </w:r>
      <w:hyperlink r:id="rId31" w:history="1">
        <w:r w:rsidRPr="004761E6">
          <w:rPr>
            <w:rStyle w:val="Hyperlink"/>
            <w:rFonts w:ascii="Times New Roman" w:hAnsi="Times New Roman" w:cs="Times New Roman"/>
            <w:sz w:val="24"/>
            <w:szCs w:val="24"/>
          </w:rPr>
          <w:t>https://doi.org/10.1162/003465397557196</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2472B6D7" w14:textId="7CEAA3B7" w:rsidR="000D1D65" w:rsidRPr="002A1F73" w:rsidRDefault="0066714D" w:rsidP="002A1F73">
      <w:pPr>
        <w:numPr>
          <w:ilvl w:val="0"/>
          <w:numId w:val="1"/>
        </w:numPr>
        <w:jc w:val="both"/>
        <w:rPr>
          <w:rFonts w:ascii="Times New Roman" w:hAnsi="Times New Roman" w:cs="Times New Roman"/>
          <w:sz w:val="24"/>
          <w:szCs w:val="24"/>
        </w:rPr>
      </w:pPr>
      <w:r w:rsidRPr="0066714D">
        <w:rPr>
          <w:rFonts w:ascii="Times New Roman" w:hAnsi="Times New Roman" w:cs="Times New Roman"/>
          <w:sz w:val="24"/>
          <w:szCs w:val="24"/>
        </w:rPr>
        <w:t xml:space="preserve">Johnstone, N., </w:t>
      </w:r>
      <w:proofErr w:type="spellStart"/>
      <w:r w:rsidRPr="0066714D">
        <w:rPr>
          <w:rFonts w:ascii="Times New Roman" w:hAnsi="Times New Roman" w:cs="Times New Roman"/>
          <w:sz w:val="24"/>
          <w:szCs w:val="24"/>
        </w:rPr>
        <w:t>Haščič</w:t>
      </w:r>
      <w:proofErr w:type="spellEnd"/>
      <w:r w:rsidRPr="0066714D">
        <w:rPr>
          <w:rFonts w:ascii="Times New Roman" w:hAnsi="Times New Roman" w:cs="Times New Roman"/>
          <w:sz w:val="24"/>
          <w:szCs w:val="24"/>
        </w:rPr>
        <w:t xml:space="preserve">, I., &amp; Popp, D. (2010). Renewable energy policies and technological innovation: Evidence based on patent counts. Environmental and Resource Economics, 45(1), 133–155. </w:t>
      </w:r>
      <w:hyperlink r:id="rId32" w:history="1">
        <w:r w:rsidRPr="004761E6">
          <w:rPr>
            <w:rStyle w:val="Hyperlink"/>
            <w:rFonts w:ascii="Times New Roman" w:hAnsi="Times New Roman" w:cs="Times New Roman"/>
            <w:sz w:val="24"/>
            <w:szCs w:val="24"/>
          </w:rPr>
          <w:t>https://doi.org/10.1007/s10640-009-9309-1</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5FDD1438" w14:textId="512B0C3B" w:rsidR="000D1D65" w:rsidRPr="002A1F73" w:rsidRDefault="00C36EF1" w:rsidP="002A1F73">
      <w:pPr>
        <w:numPr>
          <w:ilvl w:val="0"/>
          <w:numId w:val="1"/>
        </w:numPr>
        <w:jc w:val="both"/>
        <w:rPr>
          <w:rFonts w:ascii="Times New Roman" w:hAnsi="Times New Roman" w:cs="Times New Roman"/>
          <w:sz w:val="24"/>
          <w:szCs w:val="24"/>
        </w:rPr>
      </w:pPr>
      <w:r w:rsidRPr="00C36EF1">
        <w:rPr>
          <w:rFonts w:ascii="Times New Roman" w:hAnsi="Times New Roman" w:cs="Times New Roman"/>
          <w:sz w:val="24"/>
          <w:szCs w:val="24"/>
        </w:rPr>
        <w:lastRenderedPageBreak/>
        <w:t xml:space="preserve">Kahn, M. E., </w:t>
      </w:r>
      <w:proofErr w:type="spellStart"/>
      <w:r w:rsidRPr="00C36EF1">
        <w:rPr>
          <w:rFonts w:ascii="Times New Roman" w:hAnsi="Times New Roman" w:cs="Times New Roman"/>
          <w:sz w:val="24"/>
          <w:szCs w:val="24"/>
        </w:rPr>
        <w:t>Mohaddes</w:t>
      </w:r>
      <w:proofErr w:type="spellEnd"/>
      <w:r w:rsidRPr="00C36EF1">
        <w:rPr>
          <w:rFonts w:ascii="Times New Roman" w:hAnsi="Times New Roman" w:cs="Times New Roman"/>
          <w:sz w:val="24"/>
          <w:szCs w:val="24"/>
        </w:rPr>
        <w:t xml:space="preserve">, K., Ng, R. N. C., </w:t>
      </w:r>
      <w:proofErr w:type="spellStart"/>
      <w:r w:rsidRPr="00C36EF1">
        <w:rPr>
          <w:rFonts w:ascii="Times New Roman" w:hAnsi="Times New Roman" w:cs="Times New Roman"/>
          <w:sz w:val="24"/>
          <w:szCs w:val="24"/>
        </w:rPr>
        <w:t>Pesaran</w:t>
      </w:r>
      <w:proofErr w:type="spellEnd"/>
      <w:r w:rsidRPr="00C36EF1">
        <w:rPr>
          <w:rFonts w:ascii="Times New Roman" w:hAnsi="Times New Roman" w:cs="Times New Roman"/>
          <w:sz w:val="24"/>
          <w:szCs w:val="24"/>
        </w:rPr>
        <w:t xml:space="preserve">, M. H., </w:t>
      </w:r>
      <w:proofErr w:type="spellStart"/>
      <w:r w:rsidRPr="00C36EF1">
        <w:rPr>
          <w:rFonts w:ascii="Times New Roman" w:hAnsi="Times New Roman" w:cs="Times New Roman"/>
          <w:sz w:val="24"/>
          <w:szCs w:val="24"/>
        </w:rPr>
        <w:t>Raissi</w:t>
      </w:r>
      <w:proofErr w:type="spellEnd"/>
      <w:r w:rsidRPr="00C36EF1">
        <w:rPr>
          <w:rFonts w:ascii="Times New Roman" w:hAnsi="Times New Roman" w:cs="Times New Roman"/>
          <w:sz w:val="24"/>
          <w:szCs w:val="24"/>
        </w:rPr>
        <w:t xml:space="preserve">, M., &amp; Yang, J.-C. (2021). Long-term macroeconomic effects of climate change: A cross-country analysis. Energy Economics, 104, 105624. </w:t>
      </w:r>
      <w:hyperlink r:id="rId33" w:history="1">
        <w:r w:rsidRPr="004761E6">
          <w:rPr>
            <w:rStyle w:val="Hyperlink"/>
            <w:rFonts w:ascii="Times New Roman" w:hAnsi="Times New Roman" w:cs="Times New Roman"/>
            <w:sz w:val="24"/>
            <w:szCs w:val="24"/>
          </w:rPr>
          <w:t>https://doi.org/10.1016/j.eneco.2021.105624</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3F5D9870" w14:textId="090EB514" w:rsidR="000D1D65" w:rsidRPr="002A1F73" w:rsidRDefault="00641420" w:rsidP="002A1F73">
      <w:pPr>
        <w:numPr>
          <w:ilvl w:val="0"/>
          <w:numId w:val="1"/>
        </w:numPr>
        <w:jc w:val="both"/>
        <w:rPr>
          <w:rFonts w:ascii="Times New Roman" w:hAnsi="Times New Roman" w:cs="Times New Roman"/>
          <w:sz w:val="24"/>
          <w:szCs w:val="24"/>
        </w:rPr>
      </w:pPr>
      <w:r w:rsidRPr="00641420">
        <w:rPr>
          <w:rFonts w:ascii="Times New Roman" w:hAnsi="Times New Roman" w:cs="Times New Roman"/>
          <w:sz w:val="24"/>
          <w:szCs w:val="24"/>
        </w:rPr>
        <w:t xml:space="preserve">Krueger, P., Sautner, Z., &amp; Starks, L. T. (2020). The importance of climate risks for institutional investors. Review of Financial Studies, 33(3), 1067–1111. </w:t>
      </w:r>
      <w:hyperlink r:id="rId34" w:history="1">
        <w:r w:rsidRPr="004761E6">
          <w:rPr>
            <w:rStyle w:val="Hyperlink"/>
            <w:rFonts w:ascii="Times New Roman" w:hAnsi="Times New Roman" w:cs="Times New Roman"/>
            <w:sz w:val="24"/>
            <w:szCs w:val="24"/>
          </w:rPr>
          <w:t>https://doi.org/10.1093/rfs/hhz137</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04ADD057" w14:textId="262800F4" w:rsidR="000D1D65" w:rsidRPr="002A1F73" w:rsidRDefault="003711F1" w:rsidP="002A1F73">
      <w:pPr>
        <w:numPr>
          <w:ilvl w:val="0"/>
          <w:numId w:val="1"/>
        </w:numPr>
        <w:jc w:val="both"/>
        <w:rPr>
          <w:rFonts w:ascii="Times New Roman" w:hAnsi="Times New Roman" w:cs="Times New Roman"/>
          <w:sz w:val="24"/>
          <w:szCs w:val="24"/>
        </w:rPr>
      </w:pPr>
      <w:proofErr w:type="spellStart"/>
      <w:r w:rsidRPr="003711F1">
        <w:rPr>
          <w:rFonts w:ascii="Times New Roman" w:hAnsi="Times New Roman" w:cs="Times New Roman"/>
          <w:sz w:val="24"/>
          <w:szCs w:val="24"/>
        </w:rPr>
        <w:t>Lanoie</w:t>
      </w:r>
      <w:proofErr w:type="spellEnd"/>
      <w:r w:rsidRPr="003711F1">
        <w:rPr>
          <w:rFonts w:ascii="Times New Roman" w:hAnsi="Times New Roman" w:cs="Times New Roman"/>
          <w:sz w:val="24"/>
          <w:szCs w:val="24"/>
        </w:rPr>
        <w:t>, P., Laurent-</w:t>
      </w:r>
      <w:proofErr w:type="spellStart"/>
      <w:r w:rsidRPr="003711F1">
        <w:rPr>
          <w:rFonts w:ascii="Times New Roman" w:hAnsi="Times New Roman" w:cs="Times New Roman"/>
          <w:sz w:val="24"/>
          <w:szCs w:val="24"/>
        </w:rPr>
        <w:t>Lucchetti</w:t>
      </w:r>
      <w:proofErr w:type="spellEnd"/>
      <w:r w:rsidRPr="003711F1">
        <w:rPr>
          <w:rFonts w:ascii="Times New Roman" w:hAnsi="Times New Roman" w:cs="Times New Roman"/>
          <w:sz w:val="24"/>
          <w:szCs w:val="24"/>
        </w:rPr>
        <w:t xml:space="preserve">, J., Johnstone, N., &amp; </w:t>
      </w:r>
      <w:proofErr w:type="spellStart"/>
      <w:r w:rsidRPr="003711F1">
        <w:rPr>
          <w:rFonts w:ascii="Times New Roman" w:hAnsi="Times New Roman" w:cs="Times New Roman"/>
          <w:sz w:val="24"/>
          <w:szCs w:val="24"/>
        </w:rPr>
        <w:t>Ambec</w:t>
      </w:r>
      <w:proofErr w:type="spellEnd"/>
      <w:r w:rsidRPr="003711F1">
        <w:rPr>
          <w:rFonts w:ascii="Times New Roman" w:hAnsi="Times New Roman" w:cs="Times New Roman"/>
          <w:sz w:val="24"/>
          <w:szCs w:val="24"/>
        </w:rPr>
        <w:t xml:space="preserve">, S. (2011). Environmental policy, innovation and performance: New insights on the Porter hypothesis. Journal of Economics &amp; Management Strategy, 20(3), 803–842. </w:t>
      </w:r>
      <w:hyperlink r:id="rId35" w:history="1">
        <w:r w:rsidRPr="004761E6">
          <w:rPr>
            <w:rStyle w:val="Hyperlink"/>
            <w:rFonts w:ascii="Times New Roman" w:hAnsi="Times New Roman" w:cs="Times New Roman"/>
            <w:sz w:val="24"/>
            <w:szCs w:val="24"/>
          </w:rPr>
          <w:t>https://doi.org/10.1111/j.1530-9134.2011.00301.x</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1B1E504E" w14:textId="5A5370D8" w:rsidR="000D1D65" w:rsidRPr="002A1F73" w:rsidRDefault="00A8215D" w:rsidP="002A1F73">
      <w:pPr>
        <w:numPr>
          <w:ilvl w:val="0"/>
          <w:numId w:val="1"/>
        </w:numPr>
        <w:jc w:val="both"/>
        <w:rPr>
          <w:rFonts w:ascii="Times New Roman" w:hAnsi="Times New Roman" w:cs="Times New Roman"/>
          <w:sz w:val="24"/>
          <w:szCs w:val="24"/>
        </w:rPr>
      </w:pPr>
      <w:proofErr w:type="spellStart"/>
      <w:r w:rsidRPr="00A8215D">
        <w:rPr>
          <w:rFonts w:ascii="Times New Roman" w:hAnsi="Times New Roman" w:cs="Times New Roman"/>
          <w:sz w:val="24"/>
          <w:szCs w:val="24"/>
        </w:rPr>
        <w:t>Neumayer</w:t>
      </w:r>
      <w:proofErr w:type="spellEnd"/>
      <w:r w:rsidRPr="00A8215D">
        <w:rPr>
          <w:rFonts w:ascii="Times New Roman" w:hAnsi="Times New Roman" w:cs="Times New Roman"/>
          <w:sz w:val="24"/>
          <w:szCs w:val="24"/>
        </w:rPr>
        <w:t xml:space="preserve">, E. (2000). Resource accounting in measures of unsustainability: Challenging the World Bank’s conclusions. Environmental and Resource Economics, 15(3), 257–278. </w:t>
      </w:r>
      <w:hyperlink r:id="rId36" w:history="1">
        <w:r w:rsidRPr="004761E6">
          <w:rPr>
            <w:rStyle w:val="Hyperlink"/>
            <w:rFonts w:ascii="Times New Roman" w:hAnsi="Times New Roman" w:cs="Times New Roman"/>
            <w:sz w:val="24"/>
            <w:szCs w:val="24"/>
          </w:rPr>
          <w:t>https://doi.org/10.1023/A:1008304812545</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74FB8ABD" w14:textId="4DF42058" w:rsidR="000D1D65" w:rsidRPr="002A1F73" w:rsidRDefault="00087072" w:rsidP="002A1F73">
      <w:pPr>
        <w:numPr>
          <w:ilvl w:val="0"/>
          <w:numId w:val="1"/>
        </w:numPr>
        <w:jc w:val="both"/>
        <w:rPr>
          <w:rFonts w:ascii="Times New Roman" w:hAnsi="Times New Roman" w:cs="Times New Roman"/>
          <w:sz w:val="24"/>
          <w:szCs w:val="24"/>
        </w:rPr>
      </w:pPr>
      <w:r w:rsidRPr="00087072">
        <w:rPr>
          <w:rFonts w:ascii="Times New Roman" w:hAnsi="Times New Roman" w:cs="Times New Roman"/>
          <w:sz w:val="24"/>
          <w:szCs w:val="24"/>
        </w:rPr>
        <w:t xml:space="preserve">Pearce, D. W., &amp; Atkinson, G. D. (1993). Capital theory and the measurement of sustainable development: An indicator of “weak” sustainability. Ecological Economics, 8(2), 103–108. </w:t>
      </w:r>
      <w:hyperlink r:id="rId37" w:history="1">
        <w:r w:rsidRPr="004761E6">
          <w:rPr>
            <w:rStyle w:val="Hyperlink"/>
            <w:rFonts w:ascii="Times New Roman" w:hAnsi="Times New Roman" w:cs="Times New Roman"/>
            <w:sz w:val="24"/>
            <w:szCs w:val="24"/>
          </w:rPr>
          <w:t>https://doi.org/10.1016/0921-8009(93)90039-9</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71065CA8" w14:textId="7D49849D" w:rsidR="000D1D65" w:rsidRPr="00573956" w:rsidRDefault="00201B61" w:rsidP="002A1F73">
      <w:pPr>
        <w:numPr>
          <w:ilvl w:val="0"/>
          <w:numId w:val="1"/>
        </w:numPr>
        <w:jc w:val="both"/>
        <w:rPr>
          <w:rStyle w:val="Hyperlink"/>
          <w:rFonts w:ascii="Times New Roman" w:hAnsi="Times New Roman" w:cs="Times New Roman"/>
          <w:color w:val="auto"/>
          <w:sz w:val="24"/>
          <w:szCs w:val="24"/>
          <w:u w:val="none"/>
        </w:rPr>
      </w:pPr>
      <w:r w:rsidRPr="00201B61">
        <w:rPr>
          <w:rFonts w:ascii="Times New Roman" w:hAnsi="Times New Roman" w:cs="Times New Roman"/>
          <w:sz w:val="24"/>
          <w:szCs w:val="24"/>
        </w:rPr>
        <w:t xml:space="preserve">Popp, D. (2002). Induced innovation and energy prices. American Economic Review, 92(1), 160–180. </w:t>
      </w:r>
      <w:hyperlink r:id="rId38" w:history="1">
        <w:r w:rsidRPr="004761E6">
          <w:rPr>
            <w:rStyle w:val="Hyperlink"/>
            <w:rFonts w:ascii="Times New Roman" w:hAnsi="Times New Roman" w:cs="Times New Roman"/>
            <w:sz w:val="24"/>
            <w:szCs w:val="24"/>
          </w:rPr>
          <w:t>https://doi.org/10.1257/000282802760015658</w:t>
        </w:r>
      </w:hyperlink>
      <w:r>
        <w:rPr>
          <w:rFonts w:ascii="Times New Roman" w:hAnsi="Times New Roman" w:cs="Times New Roman"/>
          <w:sz w:val="24"/>
          <w:szCs w:val="24"/>
        </w:rPr>
        <w:t xml:space="preserve"> </w:t>
      </w:r>
    </w:p>
    <w:p w14:paraId="1B0323C4" w14:textId="019D73DA" w:rsidR="00573956" w:rsidRPr="002A1F73" w:rsidRDefault="005B3346" w:rsidP="002A1F73">
      <w:pPr>
        <w:numPr>
          <w:ilvl w:val="0"/>
          <w:numId w:val="1"/>
        </w:numPr>
        <w:jc w:val="both"/>
        <w:rPr>
          <w:rFonts w:ascii="Times New Roman" w:hAnsi="Times New Roman" w:cs="Times New Roman"/>
          <w:sz w:val="24"/>
          <w:szCs w:val="24"/>
        </w:rPr>
      </w:pPr>
      <w:r w:rsidRPr="005B3346">
        <w:rPr>
          <w:rFonts w:ascii="Times New Roman" w:hAnsi="Times New Roman" w:cs="Times New Roman"/>
          <w:sz w:val="24"/>
          <w:szCs w:val="24"/>
        </w:rPr>
        <w:t xml:space="preserve">Shamim, J., &amp; </w:t>
      </w:r>
      <w:proofErr w:type="spellStart"/>
      <w:r w:rsidRPr="005B3346">
        <w:rPr>
          <w:rFonts w:ascii="Times New Roman" w:hAnsi="Times New Roman" w:cs="Times New Roman"/>
          <w:sz w:val="24"/>
          <w:szCs w:val="24"/>
        </w:rPr>
        <w:t>Faishal</w:t>
      </w:r>
      <w:proofErr w:type="spellEnd"/>
      <w:r w:rsidRPr="005B3346">
        <w:rPr>
          <w:rFonts w:ascii="Times New Roman" w:hAnsi="Times New Roman" w:cs="Times New Roman"/>
          <w:sz w:val="24"/>
          <w:szCs w:val="24"/>
        </w:rPr>
        <w:t xml:space="preserve">, M. (2019). An overview of inevitable linkage between climate change and agriculture with livelihood security in rural India. IMPACT: International Journal of Research in Humanities, Arts and Literature, 7(4), 71-87. </w:t>
      </w:r>
      <w:hyperlink r:id="rId39" w:history="1">
        <w:r w:rsidRPr="004761E6">
          <w:rPr>
            <w:rStyle w:val="Hyperlink"/>
            <w:rFonts w:ascii="Times New Roman" w:hAnsi="Times New Roman" w:cs="Times New Roman"/>
            <w:sz w:val="24"/>
            <w:szCs w:val="24"/>
          </w:rPr>
          <w:t>https://www.impactjournals.us/journals/impact-international-journal-of-research-in-humanities-arts-and-literature</w:t>
        </w:r>
      </w:hyperlink>
      <w:r>
        <w:rPr>
          <w:rFonts w:ascii="Times New Roman" w:hAnsi="Times New Roman" w:cs="Times New Roman"/>
          <w:sz w:val="24"/>
          <w:szCs w:val="24"/>
        </w:rPr>
        <w:t xml:space="preserve"> </w:t>
      </w:r>
      <w:r w:rsidR="006C0AA8">
        <w:rPr>
          <w:rFonts w:ascii="Times New Roman" w:hAnsi="Times New Roman" w:cs="Times New Roman"/>
          <w:sz w:val="24"/>
          <w:szCs w:val="24"/>
        </w:rPr>
        <w:t xml:space="preserve"> </w:t>
      </w:r>
    </w:p>
    <w:p w14:paraId="1C1D9DBB" w14:textId="70FEF1E1" w:rsidR="000D1D65" w:rsidRPr="002A1F73" w:rsidRDefault="00A721AE" w:rsidP="002A1F73">
      <w:pPr>
        <w:numPr>
          <w:ilvl w:val="0"/>
          <w:numId w:val="1"/>
        </w:numPr>
        <w:jc w:val="both"/>
        <w:rPr>
          <w:rFonts w:ascii="Times New Roman" w:hAnsi="Times New Roman" w:cs="Times New Roman"/>
          <w:sz w:val="24"/>
          <w:szCs w:val="24"/>
        </w:rPr>
      </w:pPr>
      <w:r w:rsidRPr="00A721AE">
        <w:rPr>
          <w:rFonts w:ascii="Times New Roman" w:hAnsi="Times New Roman" w:cs="Times New Roman"/>
          <w:sz w:val="24"/>
          <w:szCs w:val="24"/>
        </w:rPr>
        <w:t xml:space="preserve">Tang, D. Y., &amp; Zhang, Y. (2020). Do shareholders benefit from green bonds? Journal of Corporate Finance, 61, 101427. </w:t>
      </w:r>
      <w:hyperlink r:id="rId40" w:history="1">
        <w:r w:rsidRPr="004761E6">
          <w:rPr>
            <w:rStyle w:val="Hyperlink"/>
            <w:rFonts w:ascii="Times New Roman" w:hAnsi="Times New Roman" w:cs="Times New Roman"/>
            <w:sz w:val="24"/>
            <w:szCs w:val="24"/>
          </w:rPr>
          <w:t>https://doi.org/10.1016/j.jcorpfin.2018.12.001</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3738DCC9" w14:textId="689951EF" w:rsidR="000D1D65" w:rsidRPr="002A1F73" w:rsidRDefault="00A41539" w:rsidP="002A1F73">
      <w:pPr>
        <w:numPr>
          <w:ilvl w:val="0"/>
          <w:numId w:val="1"/>
        </w:numPr>
        <w:jc w:val="both"/>
        <w:rPr>
          <w:rFonts w:ascii="Times New Roman" w:hAnsi="Times New Roman" w:cs="Times New Roman"/>
          <w:sz w:val="24"/>
          <w:szCs w:val="24"/>
        </w:rPr>
      </w:pPr>
      <w:proofErr w:type="spellStart"/>
      <w:r w:rsidRPr="00A41539">
        <w:rPr>
          <w:rFonts w:ascii="Times New Roman" w:hAnsi="Times New Roman" w:cs="Times New Roman"/>
          <w:sz w:val="24"/>
          <w:szCs w:val="24"/>
        </w:rPr>
        <w:t>Zerbib</w:t>
      </w:r>
      <w:proofErr w:type="spellEnd"/>
      <w:r w:rsidRPr="00A41539">
        <w:rPr>
          <w:rFonts w:ascii="Times New Roman" w:hAnsi="Times New Roman" w:cs="Times New Roman"/>
          <w:sz w:val="24"/>
          <w:szCs w:val="24"/>
        </w:rPr>
        <w:t xml:space="preserve">, O. D. (2019). The effect of pro-environmental preferences on bond prices: Evidence from green bonds. Journal of Banking &amp; Finance, 98, 39–60. </w:t>
      </w:r>
      <w:hyperlink r:id="rId41" w:history="1">
        <w:r w:rsidRPr="004761E6">
          <w:rPr>
            <w:rStyle w:val="Hyperlink"/>
            <w:rFonts w:ascii="Times New Roman" w:hAnsi="Times New Roman" w:cs="Times New Roman"/>
            <w:sz w:val="24"/>
            <w:szCs w:val="24"/>
          </w:rPr>
          <w:t>https://doi.org/10.1016/j.jbankfin.2018.10.012</w:t>
        </w:r>
      </w:hyperlink>
      <w:r>
        <w:rPr>
          <w:rFonts w:ascii="Times New Roman" w:hAnsi="Times New Roman" w:cs="Times New Roman"/>
          <w:sz w:val="24"/>
          <w:szCs w:val="24"/>
        </w:rPr>
        <w:t xml:space="preserve"> </w:t>
      </w:r>
      <w:r w:rsidR="002A1F73" w:rsidRPr="002A1F73">
        <w:rPr>
          <w:rFonts w:ascii="Times New Roman" w:hAnsi="Times New Roman" w:cs="Times New Roman"/>
          <w:sz w:val="24"/>
          <w:szCs w:val="24"/>
        </w:rPr>
        <w:t xml:space="preserve"> </w:t>
      </w:r>
    </w:p>
    <w:p w14:paraId="023F335A" w14:textId="77777777" w:rsidR="00C2051D" w:rsidRPr="002A1F73" w:rsidRDefault="00C2051D" w:rsidP="002A1F73">
      <w:pPr>
        <w:jc w:val="both"/>
        <w:rPr>
          <w:rFonts w:ascii="Times New Roman" w:hAnsi="Times New Roman" w:cs="Times New Roman"/>
          <w:sz w:val="24"/>
          <w:szCs w:val="24"/>
        </w:rPr>
      </w:pPr>
    </w:p>
    <w:sectPr w:rsidR="00C2051D" w:rsidRPr="002A1F73">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D4AE0F" w14:textId="77777777" w:rsidR="00601E52" w:rsidRDefault="00601E52" w:rsidP="005241B1">
      <w:pPr>
        <w:spacing w:after="0" w:line="240" w:lineRule="auto"/>
      </w:pPr>
      <w:r>
        <w:separator/>
      </w:r>
    </w:p>
  </w:endnote>
  <w:endnote w:type="continuationSeparator" w:id="0">
    <w:p w14:paraId="43E9BFEF" w14:textId="77777777" w:rsidR="00601E52" w:rsidRDefault="00601E52" w:rsidP="00524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4A864" w14:textId="77777777" w:rsidR="005241B1" w:rsidRDefault="005241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42B81" w14:textId="77777777" w:rsidR="005241B1" w:rsidRDefault="005241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7D09B" w14:textId="77777777" w:rsidR="005241B1" w:rsidRDefault="005241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EF9B1D" w14:textId="77777777" w:rsidR="00601E52" w:rsidRDefault="00601E52" w:rsidP="005241B1">
      <w:pPr>
        <w:spacing w:after="0" w:line="240" w:lineRule="auto"/>
      </w:pPr>
      <w:r>
        <w:separator/>
      </w:r>
    </w:p>
  </w:footnote>
  <w:footnote w:type="continuationSeparator" w:id="0">
    <w:p w14:paraId="5CF967B8" w14:textId="77777777" w:rsidR="00601E52" w:rsidRDefault="00601E52" w:rsidP="005241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F0BDE" w14:textId="5BCF52DC" w:rsidR="005241B1" w:rsidRDefault="00601E52">
    <w:pPr>
      <w:pStyle w:val="Header"/>
    </w:pPr>
    <w:r>
      <w:rPr>
        <w:noProof/>
      </w:rPr>
      <w:pict w14:anchorId="6AC9D3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563218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ADE0A" w14:textId="144768E0" w:rsidR="005241B1" w:rsidRDefault="00601E52">
    <w:pPr>
      <w:pStyle w:val="Header"/>
    </w:pPr>
    <w:r>
      <w:rPr>
        <w:noProof/>
      </w:rPr>
      <w:pict w14:anchorId="4880E7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563218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FC2B3" w14:textId="2539AD55" w:rsidR="005241B1" w:rsidRDefault="00601E52">
    <w:pPr>
      <w:pStyle w:val="Header"/>
    </w:pPr>
    <w:r>
      <w:rPr>
        <w:noProof/>
      </w:rPr>
      <w:pict w14:anchorId="47B27B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563218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6B4EA0"/>
    <w:multiLevelType w:val="hybridMultilevel"/>
    <w:tmpl w:val="21EEE9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EC2573A"/>
    <w:multiLevelType w:val="hybridMultilevel"/>
    <w:tmpl w:val="E7321B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5C31A4E"/>
    <w:multiLevelType w:val="hybridMultilevel"/>
    <w:tmpl w:val="A202BA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CB8"/>
    <w:rsid w:val="0000784B"/>
    <w:rsid w:val="00032A38"/>
    <w:rsid w:val="00084EB2"/>
    <w:rsid w:val="00087072"/>
    <w:rsid w:val="000F3C5B"/>
    <w:rsid w:val="00154251"/>
    <w:rsid w:val="00187EB9"/>
    <w:rsid w:val="00201B61"/>
    <w:rsid w:val="00214D00"/>
    <w:rsid w:val="00284FC8"/>
    <w:rsid w:val="002A1F73"/>
    <w:rsid w:val="0032327B"/>
    <w:rsid w:val="00326781"/>
    <w:rsid w:val="00327836"/>
    <w:rsid w:val="00360DDD"/>
    <w:rsid w:val="003711F1"/>
    <w:rsid w:val="003903EE"/>
    <w:rsid w:val="003C6822"/>
    <w:rsid w:val="003D4162"/>
    <w:rsid w:val="003E42F5"/>
    <w:rsid w:val="003F7E8B"/>
    <w:rsid w:val="00400CB8"/>
    <w:rsid w:val="00407939"/>
    <w:rsid w:val="004C0109"/>
    <w:rsid w:val="004C49D2"/>
    <w:rsid w:val="004D418E"/>
    <w:rsid w:val="005103F0"/>
    <w:rsid w:val="00513DE5"/>
    <w:rsid w:val="005241B1"/>
    <w:rsid w:val="00573956"/>
    <w:rsid w:val="00590FF4"/>
    <w:rsid w:val="005B17A1"/>
    <w:rsid w:val="005B3346"/>
    <w:rsid w:val="00601E52"/>
    <w:rsid w:val="006375EB"/>
    <w:rsid w:val="00641420"/>
    <w:rsid w:val="0065497E"/>
    <w:rsid w:val="0066714D"/>
    <w:rsid w:val="006B4145"/>
    <w:rsid w:val="006C0AA8"/>
    <w:rsid w:val="006C4724"/>
    <w:rsid w:val="006C4C57"/>
    <w:rsid w:val="006D55EE"/>
    <w:rsid w:val="006D74C4"/>
    <w:rsid w:val="007028F7"/>
    <w:rsid w:val="00720A45"/>
    <w:rsid w:val="00772CCC"/>
    <w:rsid w:val="007E192E"/>
    <w:rsid w:val="007E3B10"/>
    <w:rsid w:val="007F1BA1"/>
    <w:rsid w:val="00825E13"/>
    <w:rsid w:val="00841EC5"/>
    <w:rsid w:val="00862A13"/>
    <w:rsid w:val="0086471D"/>
    <w:rsid w:val="008835AB"/>
    <w:rsid w:val="00891F17"/>
    <w:rsid w:val="0091434E"/>
    <w:rsid w:val="00926051"/>
    <w:rsid w:val="00927391"/>
    <w:rsid w:val="00932546"/>
    <w:rsid w:val="009A67C6"/>
    <w:rsid w:val="009E73F1"/>
    <w:rsid w:val="009F0768"/>
    <w:rsid w:val="009F4774"/>
    <w:rsid w:val="00A41539"/>
    <w:rsid w:val="00A53112"/>
    <w:rsid w:val="00A53395"/>
    <w:rsid w:val="00A721AE"/>
    <w:rsid w:val="00A8215D"/>
    <w:rsid w:val="00AB3733"/>
    <w:rsid w:val="00AF3F5B"/>
    <w:rsid w:val="00B34F14"/>
    <w:rsid w:val="00C2051D"/>
    <w:rsid w:val="00C36EF1"/>
    <w:rsid w:val="00C535A2"/>
    <w:rsid w:val="00C82BEA"/>
    <w:rsid w:val="00C9787B"/>
    <w:rsid w:val="00C97F5F"/>
    <w:rsid w:val="00CC6CC4"/>
    <w:rsid w:val="00CD7496"/>
    <w:rsid w:val="00D670BC"/>
    <w:rsid w:val="00D8047A"/>
    <w:rsid w:val="00DA2511"/>
    <w:rsid w:val="00DB0E0C"/>
    <w:rsid w:val="00DF46E3"/>
    <w:rsid w:val="00E01CC4"/>
    <w:rsid w:val="00E0461E"/>
    <w:rsid w:val="00E42831"/>
    <w:rsid w:val="00EC744D"/>
    <w:rsid w:val="00EE7226"/>
    <w:rsid w:val="00F36362"/>
    <w:rsid w:val="00F93C84"/>
    <w:rsid w:val="00FC40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6F5DD0"/>
  <w15:chartTrackingRefBased/>
  <w15:docId w15:val="{51E36B92-D7CD-458B-B316-9A473B695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1F73"/>
    <w:rPr>
      <w:color w:val="0563C1" w:themeColor="hyperlink"/>
      <w:u w:val="single"/>
    </w:rPr>
  </w:style>
  <w:style w:type="character" w:styleId="UnresolvedMention">
    <w:name w:val="Unresolved Mention"/>
    <w:basedOn w:val="DefaultParagraphFont"/>
    <w:uiPriority w:val="99"/>
    <w:semiHidden/>
    <w:unhideWhenUsed/>
    <w:rsid w:val="002A1F73"/>
    <w:rPr>
      <w:color w:val="605E5C"/>
      <w:shd w:val="clear" w:color="auto" w:fill="E1DFDD"/>
    </w:rPr>
  </w:style>
  <w:style w:type="table" w:styleId="TableGrid">
    <w:name w:val="Table Grid"/>
    <w:basedOn w:val="TableNormal"/>
    <w:uiPriority w:val="39"/>
    <w:rsid w:val="002A1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35A2"/>
    <w:pPr>
      <w:ind w:left="720"/>
      <w:contextualSpacing/>
    </w:pPr>
  </w:style>
  <w:style w:type="paragraph" w:styleId="NormalWeb">
    <w:name w:val="Normal (Web)"/>
    <w:basedOn w:val="Normal"/>
    <w:uiPriority w:val="99"/>
    <w:semiHidden/>
    <w:unhideWhenUsed/>
    <w:rsid w:val="009F07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
    <w:name w:val="il"/>
    <w:basedOn w:val="DefaultParagraphFont"/>
    <w:rsid w:val="009F0768"/>
  </w:style>
  <w:style w:type="paragraph" w:styleId="Header">
    <w:name w:val="header"/>
    <w:basedOn w:val="Normal"/>
    <w:link w:val="HeaderChar"/>
    <w:uiPriority w:val="99"/>
    <w:unhideWhenUsed/>
    <w:rsid w:val="005241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41B1"/>
  </w:style>
  <w:style w:type="paragraph" w:styleId="Footer">
    <w:name w:val="footer"/>
    <w:basedOn w:val="Normal"/>
    <w:link w:val="FooterChar"/>
    <w:uiPriority w:val="99"/>
    <w:unhideWhenUsed/>
    <w:rsid w:val="005241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41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599680">
      <w:bodyDiv w:val="1"/>
      <w:marLeft w:val="0"/>
      <w:marRight w:val="0"/>
      <w:marTop w:val="0"/>
      <w:marBottom w:val="0"/>
      <w:divBdr>
        <w:top w:val="none" w:sz="0" w:space="0" w:color="auto"/>
        <w:left w:val="none" w:sz="0" w:space="0" w:color="auto"/>
        <w:bottom w:val="none" w:sz="0" w:space="0" w:color="auto"/>
        <w:right w:val="none" w:sz="0" w:space="0" w:color="auto"/>
      </w:divBdr>
    </w:div>
    <w:div w:id="442727920">
      <w:bodyDiv w:val="1"/>
      <w:marLeft w:val="0"/>
      <w:marRight w:val="0"/>
      <w:marTop w:val="0"/>
      <w:marBottom w:val="0"/>
      <w:divBdr>
        <w:top w:val="none" w:sz="0" w:space="0" w:color="auto"/>
        <w:left w:val="none" w:sz="0" w:space="0" w:color="auto"/>
        <w:bottom w:val="none" w:sz="0" w:space="0" w:color="auto"/>
        <w:right w:val="none" w:sz="0" w:space="0" w:color="auto"/>
      </w:divBdr>
    </w:div>
    <w:div w:id="580942950">
      <w:bodyDiv w:val="1"/>
      <w:marLeft w:val="0"/>
      <w:marRight w:val="0"/>
      <w:marTop w:val="0"/>
      <w:marBottom w:val="0"/>
      <w:divBdr>
        <w:top w:val="none" w:sz="0" w:space="0" w:color="auto"/>
        <w:left w:val="none" w:sz="0" w:space="0" w:color="auto"/>
        <w:bottom w:val="none" w:sz="0" w:space="0" w:color="auto"/>
        <w:right w:val="none" w:sz="0" w:space="0" w:color="auto"/>
      </w:divBdr>
    </w:div>
    <w:div w:id="893463516">
      <w:bodyDiv w:val="1"/>
      <w:marLeft w:val="0"/>
      <w:marRight w:val="0"/>
      <w:marTop w:val="0"/>
      <w:marBottom w:val="0"/>
      <w:divBdr>
        <w:top w:val="none" w:sz="0" w:space="0" w:color="auto"/>
        <w:left w:val="none" w:sz="0" w:space="0" w:color="auto"/>
        <w:bottom w:val="none" w:sz="0" w:space="0" w:color="auto"/>
        <w:right w:val="none" w:sz="0" w:space="0" w:color="auto"/>
      </w:divBdr>
    </w:div>
    <w:div w:id="1012150243">
      <w:bodyDiv w:val="1"/>
      <w:marLeft w:val="0"/>
      <w:marRight w:val="0"/>
      <w:marTop w:val="0"/>
      <w:marBottom w:val="0"/>
      <w:divBdr>
        <w:top w:val="none" w:sz="0" w:space="0" w:color="auto"/>
        <w:left w:val="none" w:sz="0" w:space="0" w:color="auto"/>
        <w:bottom w:val="none" w:sz="0" w:space="0" w:color="auto"/>
        <w:right w:val="none" w:sz="0" w:space="0" w:color="auto"/>
      </w:divBdr>
    </w:div>
    <w:div w:id="1286546666">
      <w:bodyDiv w:val="1"/>
      <w:marLeft w:val="0"/>
      <w:marRight w:val="0"/>
      <w:marTop w:val="0"/>
      <w:marBottom w:val="0"/>
      <w:divBdr>
        <w:top w:val="none" w:sz="0" w:space="0" w:color="auto"/>
        <w:left w:val="none" w:sz="0" w:space="0" w:color="auto"/>
        <w:bottom w:val="none" w:sz="0" w:space="0" w:color="auto"/>
        <w:right w:val="none" w:sz="0" w:space="0" w:color="auto"/>
      </w:divBdr>
    </w:div>
    <w:div w:id="1567179641">
      <w:bodyDiv w:val="1"/>
      <w:marLeft w:val="0"/>
      <w:marRight w:val="0"/>
      <w:marTop w:val="0"/>
      <w:marBottom w:val="0"/>
      <w:divBdr>
        <w:top w:val="none" w:sz="0" w:space="0" w:color="auto"/>
        <w:left w:val="none" w:sz="0" w:space="0" w:color="auto"/>
        <w:bottom w:val="none" w:sz="0" w:space="0" w:color="auto"/>
        <w:right w:val="none" w:sz="0" w:space="0" w:color="auto"/>
      </w:divBdr>
    </w:div>
    <w:div w:id="1881940609">
      <w:bodyDiv w:val="1"/>
      <w:marLeft w:val="0"/>
      <w:marRight w:val="0"/>
      <w:marTop w:val="0"/>
      <w:marBottom w:val="0"/>
      <w:divBdr>
        <w:top w:val="none" w:sz="0" w:space="0" w:color="auto"/>
        <w:left w:val="none" w:sz="0" w:space="0" w:color="auto"/>
        <w:bottom w:val="none" w:sz="0" w:space="0" w:color="auto"/>
        <w:right w:val="none" w:sz="0" w:space="0" w:color="auto"/>
      </w:divBdr>
    </w:div>
    <w:div w:id="1903907633">
      <w:bodyDiv w:val="1"/>
      <w:marLeft w:val="0"/>
      <w:marRight w:val="0"/>
      <w:marTop w:val="0"/>
      <w:marBottom w:val="0"/>
      <w:divBdr>
        <w:top w:val="none" w:sz="0" w:space="0" w:color="auto"/>
        <w:left w:val="none" w:sz="0" w:space="0" w:color="auto"/>
        <w:bottom w:val="none" w:sz="0" w:space="0" w:color="auto"/>
        <w:right w:val="none" w:sz="0" w:space="0" w:color="auto"/>
      </w:divBdr>
    </w:div>
    <w:div w:id="1961570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9734/ajeba/2024/v24i91486" TargetMode="External"/><Relationship Id="rId18" Type="http://schemas.openxmlformats.org/officeDocument/2006/relationships/hyperlink" Target="https://doi.org/10.1038/nclimate3255" TargetMode="External"/><Relationship Id="rId26" Type="http://schemas.openxmlformats.org/officeDocument/2006/relationships/hyperlink" Target="https://doi.org/10.1016/j.jfineco.2021.01.010" TargetMode="External"/><Relationship Id="rId39" Type="http://schemas.openxmlformats.org/officeDocument/2006/relationships/hyperlink" Target="https://www.impactjournals.us/journals/impact-international-journal-of-research-in-humanities-arts-and-literature" TargetMode="External"/><Relationship Id="rId21" Type="http://schemas.openxmlformats.org/officeDocument/2006/relationships/hyperlink" Target="https://doi.org/10.1162/REST_a_00538" TargetMode="External"/><Relationship Id="rId34" Type="http://schemas.openxmlformats.org/officeDocument/2006/relationships/hyperlink" Target="https://doi.org/10.1093/rfs/hhz137"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3390/su14084797" TargetMode="External"/><Relationship Id="rId29" Type="http://schemas.openxmlformats.org/officeDocument/2006/relationships/hyperlink" Target="https://doi.org/10.1093/wber/13.2.333" TargetMode="External"/><Relationship Id="rId11" Type="http://schemas.openxmlformats.org/officeDocument/2006/relationships/hyperlink" Target="https://doi.org/10.1017/S1355770X12000137" TargetMode="External"/><Relationship Id="rId24" Type="http://schemas.openxmlformats.org/officeDocument/2006/relationships/hyperlink" Target="https://doi.org/10.1016/j.jfineco.2011.03.021" TargetMode="External"/><Relationship Id="rId32" Type="http://schemas.openxmlformats.org/officeDocument/2006/relationships/hyperlink" Target="https://doi.org/10.1007/s10640-009-9309-1" TargetMode="External"/><Relationship Id="rId37" Type="http://schemas.openxmlformats.org/officeDocument/2006/relationships/hyperlink" Target="https://doi.org/10.1016/0921-8009(93)90039-9" TargetMode="External"/><Relationship Id="rId40" Type="http://schemas.openxmlformats.org/officeDocument/2006/relationships/hyperlink" Target="https://doi.org/10.1016/j.jcorpfin.2018.12.001"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3390/jrfm14050218" TargetMode="External"/><Relationship Id="rId23" Type="http://schemas.openxmlformats.org/officeDocument/2006/relationships/hyperlink" Target="http://www.lse.ac.uk/GranthamInstitute/wp-content/uploads/2013/10/Working-Paper-135-Dechezlepretre-et-al_updateOct2017.pdf" TargetMode="External"/><Relationship Id="rId28" Type="http://schemas.openxmlformats.org/officeDocument/2006/relationships/hyperlink" Target="https://doi.org/10.1023/A:1025716711086" TargetMode="External"/><Relationship Id="rId36" Type="http://schemas.openxmlformats.org/officeDocument/2006/relationships/hyperlink" Target="https://doi.org/10.1023/A:1008304812545" TargetMode="External"/><Relationship Id="rId49" Type="http://schemas.openxmlformats.org/officeDocument/2006/relationships/theme" Target="theme/theme1.xml"/><Relationship Id="rId10" Type="http://schemas.openxmlformats.org/officeDocument/2006/relationships/hyperlink" Target="https://doi.org/10.2469/faj.v72.n3.4" TargetMode="External"/><Relationship Id="rId19" Type="http://schemas.openxmlformats.org/officeDocument/2006/relationships/hyperlink" Target="https://doi.org/10.1016/j.jfineco.2021.05.008" TargetMode="External"/><Relationship Id="rId31" Type="http://schemas.openxmlformats.org/officeDocument/2006/relationships/hyperlink" Target="https://doi.org/10.1162/003465397557196"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i.org/10.1016/j.jeem.2016.06.002" TargetMode="External"/><Relationship Id="rId14" Type="http://schemas.openxmlformats.org/officeDocument/2006/relationships/hyperlink" Target="https://doi.org/10.1111/jofi.13079" TargetMode="External"/><Relationship Id="rId22" Type="http://schemas.openxmlformats.org/officeDocument/2006/relationships/hyperlink" Target="https://doi.org/10.1038/s41558-018-0175-0" TargetMode="External"/><Relationship Id="rId27" Type="http://schemas.openxmlformats.org/officeDocument/2006/relationships/hyperlink" Target="https://doi.org/10.1080/20430795.2015.1118917" TargetMode="External"/><Relationship Id="rId30" Type="http://schemas.openxmlformats.org/officeDocument/2006/relationships/hyperlink" Target="https://doi.org/10.1093/rfs/hhz146" TargetMode="External"/><Relationship Id="rId35" Type="http://schemas.openxmlformats.org/officeDocument/2006/relationships/hyperlink" Target="https://doi.org/10.1111/j.1530-9134.2011.00301.x"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doi.org/10.1007/s10640-007-9114-7" TargetMode="External"/><Relationship Id="rId17" Type="http://schemas.openxmlformats.org/officeDocument/2006/relationships/hyperlink" Target="https://doi.org/10.3390/su132313151" TargetMode="External"/><Relationship Id="rId25" Type="http://schemas.openxmlformats.org/officeDocument/2006/relationships/hyperlink" Target="https://doi.org/10.1086/426834" TargetMode="External"/><Relationship Id="rId33" Type="http://schemas.openxmlformats.org/officeDocument/2006/relationships/hyperlink" Target="https://doi.org/10.1016/j.eneco.2021.105624" TargetMode="External"/><Relationship Id="rId38" Type="http://schemas.openxmlformats.org/officeDocument/2006/relationships/hyperlink" Target="https://doi.org/10.1257/000282802760015658" TargetMode="External"/><Relationship Id="rId46" Type="http://schemas.openxmlformats.org/officeDocument/2006/relationships/header" Target="header3.xml"/><Relationship Id="rId20" Type="http://schemas.openxmlformats.org/officeDocument/2006/relationships/hyperlink" Target="https://www.bis.org/publ/othp31.pdf" TargetMode="External"/><Relationship Id="rId41" Type="http://schemas.openxmlformats.org/officeDocument/2006/relationships/hyperlink" Target="https://doi.org/10.1016/j.jbankfin.2018.10.012"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12</Pages>
  <Words>4905</Words>
  <Characters>27959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MOHD FAISHAL</dc:creator>
  <cp:keywords/>
  <dc:description/>
  <cp:lastModifiedBy>MOHD FAISHAL</cp:lastModifiedBy>
  <cp:revision>95</cp:revision>
  <dcterms:created xsi:type="dcterms:W3CDTF">2025-12-27T15:10:00Z</dcterms:created>
  <dcterms:modified xsi:type="dcterms:W3CDTF">2026-01-02T15:48:00Z</dcterms:modified>
</cp:coreProperties>
</file>