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B555" w14:textId="77777777" w:rsidR="00CC36CD" w:rsidRPr="00F472C6" w:rsidRDefault="00CC36CD" w:rsidP="00F70E27">
      <w:pPr>
        <w:jc w:val="center"/>
        <w:rPr>
          <w:rFonts w:ascii="Arial" w:hAnsi="Arial" w:cs="Arial"/>
          <w:b/>
          <w:bCs/>
          <w:sz w:val="28"/>
          <w:szCs w:val="28"/>
        </w:rPr>
      </w:pPr>
      <w:bookmarkStart w:id="0" w:name="_Hlk207181775"/>
      <w:r w:rsidRPr="00F472C6">
        <w:rPr>
          <w:rFonts w:ascii="Arial" w:hAnsi="Arial" w:cs="Arial"/>
          <w:b/>
          <w:bCs/>
          <w:sz w:val="28"/>
          <w:szCs w:val="28"/>
        </w:rPr>
        <w:t xml:space="preserve">Original Research Article </w:t>
      </w:r>
    </w:p>
    <w:p w14:paraId="15D77ADD" w14:textId="77777777" w:rsidR="00CC36CD" w:rsidRPr="00F472C6" w:rsidRDefault="00CC36CD" w:rsidP="00F70E27">
      <w:pPr>
        <w:jc w:val="center"/>
        <w:rPr>
          <w:rFonts w:ascii="Arial" w:hAnsi="Arial" w:cs="Arial"/>
          <w:b/>
          <w:bCs/>
          <w:sz w:val="28"/>
          <w:szCs w:val="28"/>
        </w:rPr>
      </w:pPr>
    </w:p>
    <w:p w14:paraId="50F96491" w14:textId="12565A6B" w:rsidR="00007465" w:rsidRPr="00F472C6" w:rsidRDefault="00F70E27" w:rsidP="00F70E27">
      <w:pPr>
        <w:jc w:val="center"/>
        <w:rPr>
          <w:rFonts w:ascii="Arial" w:hAnsi="Arial" w:cs="Arial"/>
          <w:b/>
          <w:bCs/>
          <w:sz w:val="28"/>
          <w:szCs w:val="28"/>
        </w:rPr>
      </w:pPr>
      <w:r w:rsidRPr="00F472C6">
        <w:rPr>
          <w:rFonts w:ascii="Arial" w:hAnsi="Arial" w:cs="Arial"/>
          <w:b/>
          <w:bCs/>
          <w:sz w:val="28"/>
          <w:szCs w:val="28"/>
        </w:rPr>
        <w:t>Foreign Direct Investment in India – A Time Series Analysis and Forecastin</w:t>
      </w:r>
      <w:bookmarkEnd w:id="0"/>
      <w:r w:rsidRPr="00F472C6">
        <w:rPr>
          <w:rFonts w:ascii="Arial" w:hAnsi="Arial" w:cs="Arial"/>
          <w:b/>
          <w:bCs/>
          <w:sz w:val="28"/>
          <w:szCs w:val="28"/>
        </w:rPr>
        <w:t>g using ARIMA Model</w:t>
      </w:r>
    </w:p>
    <w:p w14:paraId="42A877C9" w14:textId="77777777" w:rsidR="00CF4777" w:rsidRPr="00F472C6" w:rsidRDefault="00CF4777" w:rsidP="00F70E27">
      <w:pPr>
        <w:jc w:val="center"/>
        <w:rPr>
          <w:rFonts w:ascii="Arial" w:hAnsi="Arial" w:cs="Arial"/>
          <w:b/>
          <w:bCs/>
          <w:sz w:val="20"/>
          <w:szCs w:val="20"/>
        </w:rPr>
      </w:pPr>
    </w:p>
    <w:p w14:paraId="0332F679" w14:textId="77777777" w:rsidR="009851B5" w:rsidRPr="00F472C6" w:rsidRDefault="009851B5" w:rsidP="00CC36CD">
      <w:pPr>
        <w:spacing w:before="0" w:line="240" w:lineRule="auto"/>
        <w:jc w:val="right"/>
        <w:rPr>
          <w:rFonts w:ascii="Arial" w:hAnsi="Arial" w:cs="Arial"/>
          <w:i/>
          <w:iCs/>
          <w:sz w:val="20"/>
          <w:szCs w:val="20"/>
        </w:rPr>
      </w:pPr>
    </w:p>
    <w:p w14:paraId="5B835C08" w14:textId="4D45CDBE" w:rsidR="00CF4777" w:rsidRPr="00F472C6" w:rsidRDefault="00CF4777" w:rsidP="00CE0C9C">
      <w:pPr>
        <w:spacing w:before="0" w:line="240" w:lineRule="auto"/>
        <w:jc w:val="right"/>
        <w:rPr>
          <w:rFonts w:ascii="Arial" w:hAnsi="Arial" w:cs="Arial"/>
          <w:sz w:val="20"/>
          <w:szCs w:val="20"/>
        </w:rPr>
      </w:pPr>
    </w:p>
    <w:p w14:paraId="45AC8087" w14:textId="77777777" w:rsidR="008B1CBF" w:rsidRPr="00F472C6" w:rsidRDefault="008B1CBF" w:rsidP="008B1CBF">
      <w:pPr>
        <w:spacing w:before="0" w:line="240" w:lineRule="auto"/>
        <w:rPr>
          <w:rFonts w:ascii="Arial" w:hAnsi="Arial" w:cs="Arial"/>
          <w:b/>
          <w:bCs/>
          <w:sz w:val="20"/>
          <w:szCs w:val="20"/>
        </w:rPr>
      </w:pPr>
    </w:p>
    <w:p w14:paraId="0C429472" w14:textId="11F3AAB5" w:rsidR="00F70E27" w:rsidRPr="00F472C6" w:rsidRDefault="00A525DC" w:rsidP="00D5735A">
      <w:pPr>
        <w:rPr>
          <w:rStyle w:val="Strong"/>
          <w:rFonts w:ascii="Arial" w:hAnsi="Arial" w:cs="Arial"/>
        </w:rPr>
      </w:pPr>
      <w:bookmarkStart w:id="1" w:name="_Hlk207181836"/>
      <w:r w:rsidRPr="00F472C6">
        <w:rPr>
          <w:rStyle w:val="Strong"/>
          <w:rFonts w:ascii="Arial" w:hAnsi="Arial" w:cs="Arial"/>
        </w:rPr>
        <w:t>ABSTRACT</w:t>
      </w:r>
    </w:p>
    <w:p w14:paraId="71458013" w14:textId="44D78E1E" w:rsidR="00F70E27" w:rsidRPr="00F472C6" w:rsidRDefault="009E08AA" w:rsidP="0030627E">
      <w:pPr>
        <w:rPr>
          <w:rFonts w:ascii="Arial" w:hAnsi="Arial" w:cs="Arial"/>
          <w:sz w:val="20"/>
          <w:szCs w:val="20"/>
        </w:rPr>
      </w:pPr>
      <w:r w:rsidRPr="00F472C6">
        <w:rPr>
          <w:rFonts w:ascii="Arial" w:hAnsi="Arial" w:cs="Arial"/>
          <w:sz w:val="20"/>
          <w:szCs w:val="20"/>
        </w:rPr>
        <w:t xml:space="preserve">Foreign Direct Investment (FDI) plays a vital role in the economic development of emerging economies like India. </w:t>
      </w:r>
      <w:r w:rsidR="00ED44C7" w:rsidRPr="00F472C6">
        <w:rPr>
          <w:rFonts w:ascii="Arial" w:hAnsi="Arial" w:cs="Arial"/>
          <w:sz w:val="20"/>
          <w:szCs w:val="20"/>
        </w:rPr>
        <w:t xml:space="preserve">It has </w:t>
      </w:r>
      <w:r w:rsidR="00C469B7" w:rsidRPr="00F472C6">
        <w:rPr>
          <w:rFonts w:ascii="Arial" w:hAnsi="Arial" w:cs="Arial"/>
          <w:sz w:val="20"/>
          <w:szCs w:val="20"/>
        </w:rPr>
        <w:t>driven growth through inflow of capital, new and advanced technology</w:t>
      </w:r>
      <w:r w:rsidR="009246D2" w:rsidRPr="00F472C6">
        <w:rPr>
          <w:rFonts w:ascii="Arial" w:hAnsi="Arial" w:cs="Arial"/>
          <w:sz w:val="20"/>
          <w:szCs w:val="20"/>
        </w:rPr>
        <w:t xml:space="preserve">, </w:t>
      </w:r>
      <w:r w:rsidR="00C469B7" w:rsidRPr="00F472C6">
        <w:rPr>
          <w:rFonts w:ascii="Arial" w:hAnsi="Arial" w:cs="Arial"/>
          <w:sz w:val="20"/>
          <w:szCs w:val="20"/>
        </w:rPr>
        <w:t xml:space="preserve">and management expertise to various sectors. </w:t>
      </w:r>
      <w:r w:rsidR="00F70E27" w:rsidRPr="00F472C6">
        <w:rPr>
          <w:rFonts w:ascii="Arial" w:hAnsi="Arial" w:cs="Arial"/>
          <w:sz w:val="20"/>
          <w:szCs w:val="20"/>
        </w:rPr>
        <w:t>This study is an attempt to investigate the volume, composition, and trends of Foreign Direct Investment inflows to India from</w:t>
      </w:r>
      <w:r w:rsidR="00FF1B43" w:rsidRPr="00F472C6">
        <w:rPr>
          <w:rFonts w:ascii="Arial" w:hAnsi="Arial" w:cs="Arial"/>
          <w:sz w:val="20"/>
          <w:szCs w:val="20"/>
        </w:rPr>
        <w:t xml:space="preserve"> </w:t>
      </w:r>
      <w:r w:rsidR="00F70E27" w:rsidRPr="00F472C6">
        <w:rPr>
          <w:rFonts w:ascii="Arial" w:hAnsi="Arial" w:cs="Arial"/>
          <w:sz w:val="20"/>
          <w:szCs w:val="20"/>
        </w:rPr>
        <w:t xml:space="preserve">2000–01 to 2023–24. </w:t>
      </w:r>
      <w:r w:rsidR="00C8665B" w:rsidRPr="00F472C6">
        <w:rPr>
          <w:rFonts w:ascii="Arial" w:hAnsi="Arial" w:cs="Arial"/>
          <w:sz w:val="20"/>
          <w:szCs w:val="20"/>
        </w:rPr>
        <w:t xml:space="preserve">The study addresses the existing gap in predictive analysis by </w:t>
      </w:r>
      <w:r w:rsidR="00FF1B43" w:rsidRPr="00F472C6">
        <w:rPr>
          <w:rFonts w:ascii="Arial" w:hAnsi="Arial" w:cs="Arial"/>
          <w:sz w:val="20"/>
          <w:szCs w:val="20"/>
        </w:rPr>
        <w:t xml:space="preserve">forecasting FDI inflows </w:t>
      </w:r>
      <w:r w:rsidR="00500E82" w:rsidRPr="00F472C6">
        <w:rPr>
          <w:rFonts w:ascii="Arial" w:hAnsi="Arial" w:cs="Arial"/>
          <w:sz w:val="20"/>
          <w:szCs w:val="20"/>
        </w:rPr>
        <w:t>in</w:t>
      </w:r>
      <w:r w:rsidR="00FF1B43" w:rsidRPr="00F472C6">
        <w:rPr>
          <w:rFonts w:ascii="Arial" w:hAnsi="Arial" w:cs="Arial"/>
          <w:sz w:val="20"/>
          <w:szCs w:val="20"/>
        </w:rPr>
        <w:t>to the country</w:t>
      </w:r>
      <w:r w:rsidR="00C8665B" w:rsidRPr="00F472C6">
        <w:rPr>
          <w:rFonts w:ascii="Arial" w:hAnsi="Arial" w:cs="Arial"/>
          <w:sz w:val="20"/>
          <w:szCs w:val="20"/>
        </w:rPr>
        <w:t xml:space="preserve">, thereby providing insights for policy formulation given the economic and global conditions. </w:t>
      </w:r>
      <w:r w:rsidR="009176B3" w:rsidRPr="00F472C6">
        <w:rPr>
          <w:rFonts w:ascii="Arial" w:hAnsi="Arial" w:cs="Arial"/>
          <w:sz w:val="20"/>
          <w:szCs w:val="20"/>
        </w:rPr>
        <w:t xml:space="preserve">By using comprehensive historical data </w:t>
      </w:r>
      <w:r w:rsidR="00823E67" w:rsidRPr="00F472C6">
        <w:rPr>
          <w:rFonts w:ascii="Arial" w:hAnsi="Arial" w:cs="Arial"/>
          <w:sz w:val="20"/>
          <w:szCs w:val="20"/>
        </w:rPr>
        <w:t>obtained from the website of Reserve Bank of India</w:t>
      </w:r>
      <w:r w:rsidR="00513CF5" w:rsidRPr="00F472C6">
        <w:rPr>
          <w:rFonts w:ascii="Arial" w:hAnsi="Arial" w:cs="Arial"/>
          <w:sz w:val="20"/>
          <w:szCs w:val="20"/>
        </w:rPr>
        <w:t xml:space="preserve"> s</w:t>
      </w:r>
      <w:r w:rsidR="007A5E5E" w:rsidRPr="00F472C6">
        <w:rPr>
          <w:rFonts w:ascii="Arial" w:hAnsi="Arial" w:cs="Arial"/>
          <w:sz w:val="20"/>
          <w:szCs w:val="20"/>
        </w:rPr>
        <w:t xml:space="preserve">tudy </w:t>
      </w:r>
      <w:r w:rsidR="009176B3" w:rsidRPr="00F472C6">
        <w:rPr>
          <w:rFonts w:ascii="Arial" w:hAnsi="Arial" w:cs="Arial"/>
          <w:sz w:val="20"/>
          <w:szCs w:val="20"/>
        </w:rPr>
        <w:t xml:space="preserve">aims to model, interpret, and forecast FDI trends in </w:t>
      </w:r>
      <w:r w:rsidR="00823E67" w:rsidRPr="00F472C6">
        <w:rPr>
          <w:rFonts w:ascii="Arial" w:hAnsi="Arial" w:cs="Arial"/>
          <w:sz w:val="20"/>
          <w:szCs w:val="20"/>
        </w:rPr>
        <w:t>the country</w:t>
      </w:r>
      <w:r w:rsidR="009176B3" w:rsidRPr="00F472C6">
        <w:rPr>
          <w:rFonts w:ascii="Arial" w:hAnsi="Arial" w:cs="Arial"/>
          <w:sz w:val="20"/>
          <w:szCs w:val="20"/>
        </w:rPr>
        <w:t xml:space="preserve">. </w:t>
      </w:r>
      <w:r w:rsidR="00ED44C7" w:rsidRPr="00F472C6">
        <w:rPr>
          <w:rFonts w:ascii="Arial" w:hAnsi="Arial" w:cs="Arial"/>
          <w:sz w:val="20"/>
          <w:szCs w:val="20"/>
        </w:rPr>
        <w:t>T</w:t>
      </w:r>
      <w:r w:rsidR="00FF1B43" w:rsidRPr="00F472C6">
        <w:rPr>
          <w:rFonts w:ascii="Arial" w:hAnsi="Arial" w:cs="Arial"/>
          <w:sz w:val="20"/>
          <w:szCs w:val="20"/>
        </w:rPr>
        <w:t>he Auto Regressive Integrated Moving Average (ARIMA</w:t>
      </w:r>
      <w:r w:rsidR="00737134" w:rsidRPr="00F472C6">
        <w:rPr>
          <w:rFonts w:ascii="Arial" w:hAnsi="Arial" w:cs="Arial"/>
          <w:sz w:val="20"/>
          <w:szCs w:val="20"/>
        </w:rPr>
        <w:t>)</w:t>
      </w:r>
      <w:r w:rsidR="00F70E27" w:rsidRPr="00F472C6">
        <w:rPr>
          <w:rFonts w:ascii="Arial" w:hAnsi="Arial" w:cs="Arial"/>
          <w:sz w:val="20"/>
          <w:szCs w:val="20"/>
        </w:rPr>
        <w:t xml:space="preserve"> model is applied for forecasting FDI inflows.</w:t>
      </w:r>
      <w:r w:rsidR="00FF1B43" w:rsidRPr="00F472C6">
        <w:rPr>
          <w:rFonts w:ascii="Arial" w:hAnsi="Arial" w:cs="Arial"/>
          <w:sz w:val="20"/>
          <w:szCs w:val="20"/>
        </w:rPr>
        <w:t xml:space="preserve"> </w:t>
      </w:r>
      <w:r w:rsidR="00F70E27" w:rsidRPr="00F472C6">
        <w:rPr>
          <w:rFonts w:ascii="Arial" w:hAnsi="Arial" w:cs="Arial"/>
          <w:sz w:val="20"/>
          <w:szCs w:val="20"/>
        </w:rPr>
        <w:t>Consistent dominance of Government Automatic Acquisition Route in India’s FDI composition, followed by reinvested earnings is evident from the descriptive analysis. The results of Augmented Dickey-Fuller (ADF) tests confirm non-stationarity at level and stationarity after first differencing for all components. The ARIMA model-based forecasting demonstrates a stable and gradually increasing trend in total FDI inflows, reaching approximately USD 71.75 billion by 2028–29, primarily driven by steady contributions from the Government Automatic Acquisition Route and increasing reinvested earnings. The</w:t>
      </w:r>
      <w:r w:rsidR="0030627E" w:rsidRPr="00F472C6">
        <w:rPr>
          <w:rFonts w:ascii="Arial" w:hAnsi="Arial" w:cs="Arial"/>
          <w:sz w:val="20"/>
          <w:szCs w:val="20"/>
        </w:rPr>
        <w:t xml:space="preserve"> findings of the study</w:t>
      </w:r>
      <w:r w:rsidR="00F70E27" w:rsidRPr="00F472C6">
        <w:rPr>
          <w:rFonts w:ascii="Arial" w:hAnsi="Arial" w:cs="Arial"/>
          <w:sz w:val="20"/>
          <w:szCs w:val="20"/>
        </w:rPr>
        <w:t xml:space="preserve"> provide valuable insights for policy formulation aimed at promoting investment and macroeconomic stability.</w:t>
      </w:r>
      <w:r w:rsidR="0030627E" w:rsidRPr="00F472C6">
        <w:rPr>
          <w:rFonts w:ascii="Arial" w:hAnsi="Arial" w:cs="Arial"/>
          <w:sz w:val="20"/>
          <w:szCs w:val="20"/>
        </w:rPr>
        <w:t xml:space="preserve"> The sustained dominance of the Government Automatic Route in FDI inflows highlights the effectiveness of liberalized investment policies. Policymakers should continue to simplify procedures, expand sectoral coverage under the automatic route, and ensure regulatory transparency to maintain investor confidence and attract long-term capital.</w:t>
      </w:r>
    </w:p>
    <w:p w14:paraId="124F4E9E" w14:textId="77777777" w:rsidR="00F70E27" w:rsidRPr="00F472C6" w:rsidRDefault="00F70E27" w:rsidP="00F70E27">
      <w:pPr>
        <w:rPr>
          <w:rFonts w:ascii="Arial" w:hAnsi="Arial" w:cs="Arial"/>
          <w:sz w:val="20"/>
          <w:szCs w:val="20"/>
        </w:rPr>
      </w:pPr>
      <w:r w:rsidRPr="00F472C6">
        <w:rPr>
          <w:rFonts w:ascii="Arial" w:hAnsi="Arial" w:cs="Arial"/>
          <w:sz w:val="20"/>
          <w:szCs w:val="20"/>
        </w:rPr>
        <w:t>Keywords: Foreign Direct Investment, ARIMA, Forecasting, Time Series, India</w:t>
      </w:r>
    </w:p>
    <w:p w14:paraId="2B94C533" w14:textId="4448AD8E" w:rsidR="00D957CB" w:rsidRPr="00F472C6" w:rsidRDefault="00F70E27" w:rsidP="00F70E27">
      <w:pPr>
        <w:rPr>
          <w:rFonts w:ascii="Arial" w:hAnsi="Arial" w:cs="Arial"/>
          <w:sz w:val="20"/>
          <w:szCs w:val="20"/>
        </w:rPr>
      </w:pPr>
      <w:r w:rsidRPr="00F472C6">
        <w:rPr>
          <w:rFonts w:ascii="Arial" w:hAnsi="Arial" w:cs="Arial"/>
          <w:sz w:val="20"/>
          <w:szCs w:val="20"/>
        </w:rPr>
        <w:t>JEL Classification: F21, C53, E22, O53</w:t>
      </w:r>
    </w:p>
    <w:p w14:paraId="7E90693F" w14:textId="5681E9A9" w:rsidR="00F70E27" w:rsidRPr="00F472C6" w:rsidRDefault="00CE0C9C" w:rsidP="00F70E27">
      <w:pPr>
        <w:rPr>
          <w:rStyle w:val="Strong"/>
          <w:rFonts w:ascii="Arial" w:hAnsi="Arial" w:cs="Arial"/>
        </w:rPr>
      </w:pPr>
      <w:r w:rsidRPr="00F472C6">
        <w:rPr>
          <w:rStyle w:val="Strong"/>
          <w:rFonts w:ascii="Arial" w:hAnsi="Arial" w:cs="Arial"/>
        </w:rPr>
        <w:t>1.</w:t>
      </w:r>
      <w:r w:rsidR="00A525DC" w:rsidRPr="00F472C6">
        <w:rPr>
          <w:rStyle w:val="Strong"/>
          <w:rFonts w:ascii="Arial" w:hAnsi="Arial" w:cs="Arial"/>
        </w:rPr>
        <w:t>INTRODUCTION</w:t>
      </w:r>
    </w:p>
    <w:p w14:paraId="4E743458" w14:textId="59A21783" w:rsidR="000E594B" w:rsidRPr="00F472C6" w:rsidRDefault="000E594B" w:rsidP="00F70E27">
      <w:pPr>
        <w:rPr>
          <w:rFonts w:ascii="Arial" w:hAnsi="Arial" w:cs="Arial"/>
          <w:sz w:val="20"/>
          <w:szCs w:val="20"/>
        </w:rPr>
      </w:pPr>
      <w:r w:rsidRPr="00F472C6">
        <w:rPr>
          <w:rFonts w:ascii="Arial" w:hAnsi="Arial" w:cs="Arial"/>
          <w:sz w:val="20"/>
          <w:szCs w:val="20"/>
        </w:rPr>
        <w:t xml:space="preserve">Foreign Direct Investment is a key driver of economic development and modernisation, especially in developing and emerging economies. FDI facilitates the acquisition of technological expertise and fosters job creation and various ancillary benefits. </w:t>
      </w:r>
      <w:r w:rsidR="00711A3B" w:rsidRPr="00F472C6">
        <w:rPr>
          <w:rFonts w:ascii="Arial" w:hAnsi="Arial" w:cs="Arial"/>
          <w:sz w:val="20"/>
          <w:szCs w:val="20"/>
        </w:rPr>
        <w:t>It</w:t>
      </w:r>
      <w:r w:rsidRPr="00F472C6">
        <w:rPr>
          <w:rFonts w:ascii="Arial" w:hAnsi="Arial" w:cs="Arial"/>
          <w:sz w:val="20"/>
          <w:szCs w:val="20"/>
        </w:rPr>
        <w:t xml:space="preserve"> serves as a major source of non-debt financial resource for the economic development of a country </w:t>
      </w:r>
      <w:r w:rsidR="000F4408" w:rsidRPr="00F472C6">
        <w:rPr>
          <w:rFonts w:ascii="Arial" w:hAnsi="Arial" w:cs="Arial"/>
          <w:sz w:val="20"/>
          <w:szCs w:val="20"/>
        </w:rPr>
        <w:t>(1)</w:t>
      </w:r>
      <w:r w:rsidR="00D370BB" w:rsidRPr="00F472C6">
        <w:rPr>
          <w:rFonts w:ascii="Arial" w:hAnsi="Arial" w:cs="Arial"/>
          <w:sz w:val="20"/>
          <w:szCs w:val="20"/>
        </w:rPr>
        <w:t>.</w:t>
      </w:r>
      <w:r w:rsidR="00711A3B" w:rsidRPr="00F472C6">
        <w:rPr>
          <w:rFonts w:ascii="Arial" w:hAnsi="Arial" w:cs="Arial"/>
          <w:sz w:val="20"/>
          <w:szCs w:val="20"/>
        </w:rPr>
        <w:t xml:space="preserve"> </w:t>
      </w:r>
      <w:r w:rsidR="00BE2A68" w:rsidRPr="00F472C6">
        <w:rPr>
          <w:rFonts w:ascii="Arial" w:hAnsi="Arial" w:cs="Arial"/>
          <w:sz w:val="20"/>
          <w:szCs w:val="20"/>
        </w:rPr>
        <w:t>FDI augments</w:t>
      </w:r>
      <w:r w:rsidRPr="00F472C6">
        <w:rPr>
          <w:rFonts w:ascii="Arial" w:hAnsi="Arial" w:cs="Arial"/>
          <w:sz w:val="20"/>
          <w:szCs w:val="20"/>
        </w:rPr>
        <w:t xml:space="preserve"> capital formation along with </w:t>
      </w:r>
      <w:r w:rsidRPr="00F472C6">
        <w:rPr>
          <w:rFonts w:ascii="Arial" w:hAnsi="Arial" w:cs="Arial"/>
          <w:sz w:val="20"/>
          <w:szCs w:val="20"/>
        </w:rPr>
        <w:lastRenderedPageBreak/>
        <w:t xml:space="preserve">improved competitiveness and greater productivity by way of technological spillovers and managerial knowhow </w:t>
      </w:r>
      <w:r w:rsidR="000F4408" w:rsidRPr="00F472C6">
        <w:rPr>
          <w:rFonts w:ascii="Arial" w:hAnsi="Arial" w:cs="Arial"/>
          <w:sz w:val="20"/>
          <w:szCs w:val="20"/>
        </w:rPr>
        <w:t>(2,3)</w:t>
      </w:r>
      <w:r w:rsidR="00D370BB" w:rsidRPr="00F472C6">
        <w:rPr>
          <w:rFonts w:ascii="Arial" w:hAnsi="Arial" w:cs="Arial"/>
          <w:sz w:val="20"/>
          <w:szCs w:val="20"/>
        </w:rPr>
        <w:t xml:space="preserve">. </w:t>
      </w:r>
      <w:proofErr w:type="spellStart"/>
      <w:r w:rsidR="00D370BB" w:rsidRPr="00F472C6">
        <w:rPr>
          <w:rFonts w:ascii="Arial" w:hAnsi="Arial" w:cs="Arial"/>
          <w:sz w:val="20"/>
          <w:szCs w:val="20"/>
        </w:rPr>
        <w:t>Maguid</w:t>
      </w:r>
      <w:proofErr w:type="spellEnd"/>
      <w:r w:rsidR="00D370BB" w:rsidRPr="00F472C6">
        <w:rPr>
          <w:rFonts w:ascii="Arial" w:hAnsi="Arial" w:cs="Arial"/>
          <w:sz w:val="20"/>
          <w:szCs w:val="20"/>
        </w:rPr>
        <w:t xml:space="preserve"> </w:t>
      </w:r>
      <w:r w:rsidR="00BF5CC5" w:rsidRPr="00F472C6">
        <w:rPr>
          <w:rFonts w:ascii="Arial" w:hAnsi="Arial" w:cs="Arial"/>
          <w:sz w:val="20"/>
          <w:szCs w:val="20"/>
        </w:rPr>
        <w:t>and</w:t>
      </w:r>
      <w:r w:rsidR="00D370BB" w:rsidRPr="00F472C6">
        <w:rPr>
          <w:rFonts w:ascii="Arial" w:hAnsi="Arial" w:cs="Arial"/>
          <w:sz w:val="20"/>
          <w:szCs w:val="20"/>
        </w:rPr>
        <w:t xml:space="preserve"> </w:t>
      </w:r>
      <w:proofErr w:type="spellStart"/>
      <w:r w:rsidR="00D370BB" w:rsidRPr="00F472C6">
        <w:rPr>
          <w:rFonts w:ascii="Arial" w:hAnsi="Arial" w:cs="Arial"/>
          <w:sz w:val="20"/>
          <w:szCs w:val="20"/>
        </w:rPr>
        <w:t>Saiydy</w:t>
      </w:r>
      <w:proofErr w:type="spellEnd"/>
      <w:r w:rsidRPr="00F472C6">
        <w:rPr>
          <w:rFonts w:ascii="Arial" w:hAnsi="Arial" w:cs="Arial"/>
          <w:sz w:val="20"/>
          <w:szCs w:val="20"/>
        </w:rPr>
        <w:t xml:space="preserve"> highlighted the transformative role played by FDI in small economies such as Djibouti, </w:t>
      </w:r>
      <w:r w:rsidR="000F4408" w:rsidRPr="00F472C6">
        <w:rPr>
          <w:rFonts w:ascii="Arial" w:hAnsi="Arial" w:cs="Arial"/>
          <w:sz w:val="20"/>
          <w:szCs w:val="20"/>
        </w:rPr>
        <w:t xml:space="preserve">(4) </w:t>
      </w:r>
      <w:r w:rsidRPr="00F472C6">
        <w:rPr>
          <w:rFonts w:ascii="Arial" w:hAnsi="Arial" w:cs="Arial"/>
          <w:sz w:val="20"/>
          <w:szCs w:val="20"/>
        </w:rPr>
        <w:t xml:space="preserve">while </w:t>
      </w:r>
      <w:r w:rsidR="00E47B60" w:rsidRPr="00F472C6">
        <w:rPr>
          <w:rFonts w:ascii="Arial" w:hAnsi="Arial" w:cs="Arial"/>
          <w:sz w:val="20"/>
          <w:szCs w:val="20"/>
        </w:rPr>
        <w:t xml:space="preserve">Meyer </w:t>
      </w:r>
      <w:r w:rsidR="00BF5CC5" w:rsidRPr="00F472C6">
        <w:rPr>
          <w:rFonts w:ascii="Arial" w:hAnsi="Arial" w:cs="Arial"/>
          <w:sz w:val="20"/>
          <w:szCs w:val="20"/>
        </w:rPr>
        <w:t>and</w:t>
      </w:r>
      <w:r w:rsidR="00E47B60" w:rsidRPr="00F472C6">
        <w:rPr>
          <w:rFonts w:ascii="Arial" w:hAnsi="Arial" w:cs="Arial"/>
          <w:sz w:val="20"/>
          <w:szCs w:val="20"/>
        </w:rPr>
        <w:t xml:space="preserve"> Shera </w:t>
      </w:r>
      <w:r w:rsidRPr="00F472C6">
        <w:rPr>
          <w:rFonts w:ascii="Arial" w:hAnsi="Arial" w:cs="Arial"/>
          <w:sz w:val="20"/>
          <w:szCs w:val="20"/>
        </w:rPr>
        <w:t>emphasized on its macroeconomic effects across developing economies</w:t>
      </w:r>
      <w:r w:rsidR="00E47B60" w:rsidRPr="00F472C6">
        <w:rPr>
          <w:rFonts w:ascii="Arial" w:hAnsi="Arial" w:cs="Arial"/>
          <w:sz w:val="20"/>
          <w:szCs w:val="20"/>
        </w:rPr>
        <w:t xml:space="preserve"> </w:t>
      </w:r>
      <w:r w:rsidR="000F4408" w:rsidRPr="00F472C6">
        <w:rPr>
          <w:rFonts w:ascii="Arial" w:hAnsi="Arial" w:cs="Arial"/>
          <w:sz w:val="20"/>
          <w:szCs w:val="20"/>
        </w:rPr>
        <w:t>(5)</w:t>
      </w:r>
      <w:r w:rsidR="00E47B60" w:rsidRPr="00F472C6">
        <w:rPr>
          <w:rFonts w:ascii="Arial" w:hAnsi="Arial" w:cs="Arial"/>
          <w:sz w:val="20"/>
          <w:szCs w:val="20"/>
        </w:rPr>
        <w:t>.</w:t>
      </w:r>
    </w:p>
    <w:p w14:paraId="70526756" w14:textId="1172FB9C" w:rsidR="00F70E27" w:rsidRPr="00F472C6" w:rsidRDefault="00F70E27" w:rsidP="00F70E27">
      <w:pPr>
        <w:rPr>
          <w:rFonts w:ascii="Arial" w:hAnsi="Arial" w:cs="Arial"/>
          <w:sz w:val="20"/>
          <w:szCs w:val="20"/>
        </w:rPr>
      </w:pPr>
      <w:r w:rsidRPr="00F472C6">
        <w:rPr>
          <w:rFonts w:ascii="Arial" w:hAnsi="Arial" w:cs="Arial"/>
          <w:sz w:val="20"/>
          <w:szCs w:val="20"/>
        </w:rPr>
        <w:t>Liberalisation policy adopted by India in 1991 marked a turning point, ushering in sustained FDI inflows backed by favourable policy measures and improved investment climate</w:t>
      </w:r>
      <w:r w:rsidR="006556F2" w:rsidRPr="00F472C6">
        <w:rPr>
          <w:rFonts w:ascii="Arial" w:hAnsi="Arial" w:cs="Arial"/>
          <w:sz w:val="20"/>
          <w:szCs w:val="20"/>
        </w:rPr>
        <w:t xml:space="preserve"> </w:t>
      </w:r>
      <w:r w:rsidR="000F4408" w:rsidRPr="00F472C6">
        <w:rPr>
          <w:rFonts w:ascii="Arial" w:hAnsi="Arial" w:cs="Arial"/>
          <w:sz w:val="20"/>
          <w:szCs w:val="20"/>
        </w:rPr>
        <w:t>(6,7)</w:t>
      </w:r>
      <w:r w:rsidR="006556F2" w:rsidRPr="00F472C6">
        <w:rPr>
          <w:rFonts w:ascii="Arial" w:hAnsi="Arial" w:cs="Arial"/>
          <w:sz w:val="20"/>
          <w:szCs w:val="20"/>
        </w:rPr>
        <w:t>.</w:t>
      </w:r>
      <w:r w:rsidR="000F4408" w:rsidRPr="00F472C6">
        <w:rPr>
          <w:rFonts w:ascii="Arial" w:hAnsi="Arial" w:cs="Arial"/>
          <w:sz w:val="20"/>
          <w:szCs w:val="20"/>
        </w:rPr>
        <w:t xml:space="preserve"> </w:t>
      </w:r>
      <w:r w:rsidRPr="00F472C6">
        <w:rPr>
          <w:rFonts w:ascii="Arial" w:hAnsi="Arial" w:cs="Arial"/>
          <w:sz w:val="20"/>
          <w:szCs w:val="20"/>
        </w:rPr>
        <w:t xml:space="preserve">As shown by </w:t>
      </w:r>
      <w:r w:rsidR="006556F2" w:rsidRPr="00F472C6">
        <w:rPr>
          <w:rFonts w:ascii="Arial" w:hAnsi="Arial" w:cs="Arial"/>
          <w:sz w:val="20"/>
          <w:szCs w:val="20"/>
        </w:rPr>
        <w:t xml:space="preserve">Sahoo and others </w:t>
      </w:r>
      <w:r w:rsidRPr="00F472C6">
        <w:rPr>
          <w:rFonts w:ascii="Arial" w:hAnsi="Arial" w:cs="Arial"/>
          <w:sz w:val="20"/>
          <w:szCs w:val="20"/>
        </w:rPr>
        <w:t>long-term capital formation in India has been largely facilitated by post-liberalization FDI targeting key infrastructure and manufacturing sectors</w:t>
      </w:r>
      <w:r w:rsidR="006556F2" w:rsidRPr="00F472C6">
        <w:rPr>
          <w:rFonts w:ascii="Arial" w:hAnsi="Arial" w:cs="Arial"/>
          <w:sz w:val="20"/>
          <w:szCs w:val="20"/>
        </w:rPr>
        <w:t xml:space="preserve"> (8)</w:t>
      </w:r>
      <w:r w:rsidRPr="00F472C6">
        <w:rPr>
          <w:rFonts w:ascii="Arial" w:hAnsi="Arial" w:cs="Arial"/>
          <w:sz w:val="20"/>
          <w:szCs w:val="20"/>
        </w:rPr>
        <w:t>.</w:t>
      </w:r>
      <w:r w:rsidR="006556F2" w:rsidRPr="00F472C6">
        <w:rPr>
          <w:rFonts w:ascii="Arial" w:hAnsi="Arial" w:cs="Arial"/>
          <w:sz w:val="20"/>
          <w:szCs w:val="20"/>
        </w:rPr>
        <w:t xml:space="preserve"> Studies</w:t>
      </w:r>
      <w:r w:rsidR="000F4408" w:rsidRPr="00F472C6">
        <w:rPr>
          <w:rFonts w:ascii="Arial" w:hAnsi="Arial" w:cs="Arial"/>
          <w:sz w:val="20"/>
          <w:szCs w:val="20"/>
        </w:rPr>
        <w:t xml:space="preserve"> </w:t>
      </w:r>
      <w:r w:rsidRPr="00F472C6">
        <w:rPr>
          <w:rFonts w:ascii="Arial" w:hAnsi="Arial" w:cs="Arial"/>
          <w:sz w:val="20"/>
          <w:szCs w:val="20"/>
        </w:rPr>
        <w:t>found that FDI has significant and positive short run and long run impact on economic growth, particularly when it was reinforced by human capital and institutional frameworks</w:t>
      </w:r>
      <w:r w:rsidR="00114FF2" w:rsidRPr="00F472C6">
        <w:rPr>
          <w:rFonts w:ascii="Arial" w:hAnsi="Arial" w:cs="Arial"/>
          <w:sz w:val="20"/>
          <w:szCs w:val="20"/>
        </w:rPr>
        <w:t xml:space="preserve"> </w:t>
      </w:r>
      <w:r w:rsidR="006556F2" w:rsidRPr="00F472C6">
        <w:rPr>
          <w:rFonts w:ascii="Arial" w:hAnsi="Arial" w:cs="Arial"/>
          <w:sz w:val="20"/>
          <w:szCs w:val="20"/>
        </w:rPr>
        <w:t>(9,10)</w:t>
      </w:r>
      <w:r w:rsidRPr="00F472C6">
        <w:rPr>
          <w:rFonts w:ascii="Arial" w:hAnsi="Arial" w:cs="Arial"/>
          <w:sz w:val="20"/>
          <w:szCs w:val="20"/>
        </w:rPr>
        <w:t>. However, the FDI-growth relationship is not uniform across contexts.</w:t>
      </w:r>
      <w:r w:rsidR="006556F2" w:rsidRPr="00F472C6">
        <w:rPr>
          <w:rFonts w:ascii="Arial" w:hAnsi="Arial" w:cs="Arial"/>
          <w:sz w:val="20"/>
          <w:szCs w:val="20"/>
        </w:rPr>
        <w:t xml:space="preserve"> Mire Mohamed </w:t>
      </w:r>
      <w:r w:rsidR="00BF5CC5" w:rsidRPr="00F472C6">
        <w:rPr>
          <w:rFonts w:ascii="Arial" w:hAnsi="Arial" w:cs="Arial"/>
          <w:sz w:val="20"/>
          <w:szCs w:val="20"/>
        </w:rPr>
        <w:t>and</w:t>
      </w:r>
      <w:r w:rsidR="006556F2" w:rsidRPr="00F472C6">
        <w:rPr>
          <w:rFonts w:ascii="Arial" w:hAnsi="Arial" w:cs="Arial"/>
          <w:sz w:val="20"/>
          <w:szCs w:val="20"/>
        </w:rPr>
        <w:t xml:space="preserve"> Isak</w:t>
      </w:r>
      <w:r w:rsidRPr="00F472C6">
        <w:rPr>
          <w:rFonts w:ascii="Arial" w:hAnsi="Arial" w:cs="Arial"/>
          <w:sz w:val="20"/>
          <w:szCs w:val="20"/>
        </w:rPr>
        <w:t xml:space="preserve"> caution</w:t>
      </w:r>
      <w:r w:rsidR="001756E0" w:rsidRPr="00F472C6">
        <w:rPr>
          <w:rFonts w:ascii="Arial" w:hAnsi="Arial" w:cs="Arial"/>
          <w:sz w:val="20"/>
          <w:szCs w:val="20"/>
        </w:rPr>
        <w:t xml:space="preserve"> </w:t>
      </w:r>
      <w:r w:rsidRPr="00F472C6">
        <w:rPr>
          <w:rFonts w:ascii="Arial" w:hAnsi="Arial" w:cs="Arial"/>
          <w:sz w:val="20"/>
          <w:szCs w:val="20"/>
        </w:rPr>
        <w:t>that there is possibility of FDI exhibiting limited developmental effects and exacerbating volatility in fragile or conflict-prone economies</w:t>
      </w:r>
      <w:r w:rsidR="00114FF2" w:rsidRPr="00F472C6">
        <w:rPr>
          <w:rFonts w:ascii="Arial" w:hAnsi="Arial" w:cs="Arial"/>
          <w:sz w:val="20"/>
          <w:szCs w:val="20"/>
        </w:rPr>
        <w:t xml:space="preserve"> (11)</w:t>
      </w:r>
      <w:r w:rsidRPr="00F472C6">
        <w:rPr>
          <w:rFonts w:ascii="Arial" w:hAnsi="Arial" w:cs="Arial"/>
          <w:sz w:val="20"/>
          <w:szCs w:val="20"/>
        </w:rPr>
        <w:t>.</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Mijiyawa</w:t>
      </w:r>
      <w:proofErr w:type="spellEnd"/>
      <w:r w:rsidRPr="00F472C6">
        <w:rPr>
          <w:rFonts w:ascii="Arial" w:hAnsi="Arial" w:cs="Arial"/>
          <w:sz w:val="20"/>
          <w:szCs w:val="20"/>
        </w:rPr>
        <w:t xml:space="preserve"> </w:t>
      </w:r>
      <w:r w:rsidR="00C50190" w:rsidRPr="00F472C6">
        <w:rPr>
          <w:rFonts w:ascii="Arial" w:hAnsi="Arial" w:cs="Arial"/>
          <w:sz w:val="20"/>
          <w:szCs w:val="20"/>
        </w:rPr>
        <w:t xml:space="preserve">and Goh and others </w:t>
      </w:r>
      <w:r w:rsidRPr="00F472C6">
        <w:rPr>
          <w:rFonts w:ascii="Arial" w:hAnsi="Arial" w:cs="Arial"/>
          <w:sz w:val="20"/>
          <w:szCs w:val="20"/>
        </w:rPr>
        <w:t xml:space="preserve">stated that for FDI yielding sustainable growth, an important </w:t>
      </w:r>
      <w:r w:rsidR="001756E0" w:rsidRPr="00F472C6">
        <w:rPr>
          <w:rFonts w:ascii="Arial" w:hAnsi="Arial" w:cs="Arial"/>
          <w:sz w:val="20"/>
          <w:szCs w:val="20"/>
        </w:rPr>
        <w:t xml:space="preserve">role </w:t>
      </w:r>
      <w:r w:rsidRPr="00F472C6">
        <w:rPr>
          <w:rFonts w:ascii="Arial" w:hAnsi="Arial" w:cs="Arial"/>
          <w:sz w:val="20"/>
          <w:szCs w:val="20"/>
        </w:rPr>
        <w:t>was played by institutional quality, market openness, and political stability</w:t>
      </w:r>
      <w:r w:rsidR="00C50190" w:rsidRPr="00F472C6">
        <w:rPr>
          <w:rFonts w:ascii="Arial" w:hAnsi="Arial" w:cs="Arial"/>
          <w:sz w:val="20"/>
          <w:szCs w:val="20"/>
        </w:rPr>
        <w:t xml:space="preserve"> (12,13)</w:t>
      </w:r>
      <w:r w:rsidRPr="00F472C6">
        <w:rPr>
          <w:rFonts w:ascii="Arial" w:hAnsi="Arial" w:cs="Arial"/>
          <w:sz w:val="20"/>
          <w:szCs w:val="20"/>
        </w:rPr>
        <w:t>.</w:t>
      </w:r>
    </w:p>
    <w:p w14:paraId="2453430F" w14:textId="1D11EE1C" w:rsidR="00F70E27" w:rsidRPr="00F472C6" w:rsidRDefault="00F70E27" w:rsidP="00843DA0">
      <w:pPr>
        <w:rPr>
          <w:rFonts w:ascii="Arial" w:hAnsi="Arial" w:cs="Arial"/>
          <w:sz w:val="20"/>
          <w:szCs w:val="20"/>
        </w:rPr>
      </w:pPr>
      <w:r w:rsidRPr="00F472C6">
        <w:rPr>
          <w:rFonts w:ascii="Arial" w:hAnsi="Arial" w:cs="Arial"/>
          <w:sz w:val="20"/>
          <w:szCs w:val="20"/>
        </w:rPr>
        <w:t>FDI’s impact may vary across regions. Evidence of regional variability of FDI’s impact can be found from many empirical studies.</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Minota</w:t>
      </w:r>
      <w:proofErr w:type="spellEnd"/>
      <w:r w:rsidR="00C50190" w:rsidRPr="00F472C6">
        <w:rPr>
          <w:rFonts w:ascii="Arial" w:hAnsi="Arial" w:cs="Arial"/>
          <w:sz w:val="20"/>
          <w:szCs w:val="20"/>
        </w:rPr>
        <w:t xml:space="preserve"> Seiko</w:t>
      </w:r>
      <w:r w:rsidR="000F4408" w:rsidRPr="00F472C6">
        <w:rPr>
          <w:rFonts w:ascii="Arial" w:hAnsi="Arial" w:cs="Arial"/>
          <w:sz w:val="20"/>
          <w:szCs w:val="20"/>
        </w:rPr>
        <w:t xml:space="preserve"> </w:t>
      </w:r>
      <w:r w:rsidRPr="00F472C6">
        <w:rPr>
          <w:rFonts w:ascii="Arial" w:hAnsi="Arial" w:cs="Arial"/>
          <w:sz w:val="20"/>
          <w:szCs w:val="20"/>
        </w:rPr>
        <w:t>found that FDI has caused the convergence in Eastern African countries</w:t>
      </w:r>
      <w:r w:rsidR="001756E0" w:rsidRPr="00F472C6">
        <w:rPr>
          <w:rFonts w:ascii="Arial" w:hAnsi="Arial" w:cs="Arial"/>
          <w:sz w:val="20"/>
          <w:szCs w:val="20"/>
        </w:rPr>
        <w:t xml:space="preserve"> </w:t>
      </w:r>
      <w:r w:rsidR="00C50190" w:rsidRPr="00F472C6">
        <w:rPr>
          <w:rFonts w:ascii="Arial" w:hAnsi="Arial" w:cs="Arial"/>
          <w:sz w:val="20"/>
          <w:szCs w:val="20"/>
        </w:rPr>
        <w:t>(14)</w:t>
      </w:r>
      <w:r w:rsidRPr="00F472C6">
        <w:rPr>
          <w:rFonts w:ascii="Arial" w:hAnsi="Arial" w:cs="Arial"/>
          <w:sz w:val="20"/>
          <w:szCs w:val="20"/>
        </w:rPr>
        <w:t xml:space="preserve">. In contrast, </w:t>
      </w:r>
      <w:proofErr w:type="spellStart"/>
      <w:r w:rsidR="00C50190" w:rsidRPr="00F472C6">
        <w:rPr>
          <w:rFonts w:ascii="Arial" w:hAnsi="Arial" w:cs="Arial"/>
          <w:sz w:val="20"/>
          <w:szCs w:val="20"/>
        </w:rPr>
        <w:t>Amuedo-Dorantes</w:t>
      </w:r>
      <w:proofErr w:type="spellEnd"/>
      <w:r w:rsidR="00C50190" w:rsidRPr="00F472C6">
        <w:rPr>
          <w:rFonts w:ascii="Arial" w:hAnsi="Arial" w:cs="Arial"/>
          <w:sz w:val="20"/>
          <w:szCs w:val="20"/>
        </w:rPr>
        <w:t xml:space="preserve"> </w:t>
      </w:r>
      <w:r w:rsidR="00BF5CC5" w:rsidRPr="00F472C6">
        <w:rPr>
          <w:rFonts w:ascii="Arial" w:hAnsi="Arial" w:cs="Arial"/>
          <w:sz w:val="20"/>
          <w:szCs w:val="20"/>
        </w:rPr>
        <w:t>and</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Pozo</w:t>
      </w:r>
      <w:proofErr w:type="spellEnd"/>
      <w:r w:rsidR="00BE2A68" w:rsidRPr="00F472C6">
        <w:rPr>
          <w:rFonts w:ascii="Arial" w:hAnsi="Arial" w:cs="Arial"/>
          <w:sz w:val="20"/>
          <w:szCs w:val="20"/>
        </w:rPr>
        <w:t xml:space="preserve"> </w:t>
      </w:r>
      <w:r w:rsidRPr="00F472C6">
        <w:rPr>
          <w:rFonts w:ascii="Arial" w:hAnsi="Arial" w:cs="Arial"/>
          <w:sz w:val="20"/>
          <w:szCs w:val="20"/>
        </w:rPr>
        <w:t>confirmed inflationary pressures and real exchange rate appreciation undermining competitiveness caused by capital inflows</w:t>
      </w:r>
      <w:r w:rsidR="00A07C36" w:rsidRPr="00F472C6">
        <w:rPr>
          <w:rFonts w:ascii="Arial" w:hAnsi="Arial" w:cs="Arial"/>
          <w:sz w:val="20"/>
          <w:szCs w:val="20"/>
        </w:rPr>
        <w:t xml:space="preserve"> (15)</w:t>
      </w:r>
      <w:r w:rsidRPr="00F472C6">
        <w:rPr>
          <w:rFonts w:ascii="Arial" w:hAnsi="Arial" w:cs="Arial"/>
          <w:sz w:val="20"/>
          <w:szCs w:val="20"/>
        </w:rPr>
        <w:t xml:space="preserve">. </w:t>
      </w:r>
      <w:proofErr w:type="spellStart"/>
      <w:r w:rsidR="00A07C36" w:rsidRPr="00F472C6">
        <w:rPr>
          <w:rFonts w:ascii="Arial" w:hAnsi="Arial" w:cs="Arial"/>
          <w:sz w:val="20"/>
          <w:szCs w:val="20"/>
        </w:rPr>
        <w:t>Ridzuan</w:t>
      </w:r>
      <w:proofErr w:type="spellEnd"/>
      <w:r w:rsidR="00A07C36" w:rsidRPr="00F472C6">
        <w:rPr>
          <w:rFonts w:ascii="Arial" w:hAnsi="Arial" w:cs="Arial"/>
          <w:sz w:val="20"/>
          <w:szCs w:val="20"/>
        </w:rPr>
        <w:t xml:space="preserve"> and </w:t>
      </w:r>
      <w:proofErr w:type="gramStart"/>
      <w:r w:rsidR="00A07C36" w:rsidRPr="00F472C6">
        <w:rPr>
          <w:rFonts w:ascii="Arial" w:hAnsi="Arial" w:cs="Arial"/>
          <w:sz w:val="20"/>
          <w:szCs w:val="20"/>
        </w:rPr>
        <w:t>others</w:t>
      </w:r>
      <w:r w:rsidRPr="00F472C6">
        <w:rPr>
          <w:rFonts w:ascii="Arial" w:hAnsi="Arial" w:cs="Arial"/>
          <w:sz w:val="20"/>
          <w:szCs w:val="20"/>
        </w:rPr>
        <w:t xml:space="preserve"> </w:t>
      </w:r>
      <w:r w:rsidR="000F4408" w:rsidRPr="00F472C6">
        <w:rPr>
          <w:rFonts w:ascii="Arial" w:hAnsi="Arial" w:cs="Arial"/>
          <w:sz w:val="20"/>
          <w:szCs w:val="20"/>
        </w:rPr>
        <w:t xml:space="preserve"> </w:t>
      </w:r>
      <w:r w:rsidRPr="00F472C6">
        <w:rPr>
          <w:rFonts w:ascii="Arial" w:hAnsi="Arial" w:cs="Arial"/>
          <w:sz w:val="20"/>
          <w:szCs w:val="20"/>
        </w:rPr>
        <w:t>argued</w:t>
      </w:r>
      <w:proofErr w:type="gramEnd"/>
      <w:r w:rsidRPr="00F472C6">
        <w:rPr>
          <w:rFonts w:ascii="Arial" w:hAnsi="Arial" w:cs="Arial"/>
          <w:sz w:val="20"/>
          <w:szCs w:val="20"/>
        </w:rPr>
        <w:t xml:space="preserve"> that in East Asia and Singapore, policy coherence and institutional strength mediate the positive outcomes of FDI</w:t>
      </w:r>
      <w:r w:rsidR="00A07C36" w:rsidRPr="00F472C6">
        <w:rPr>
          <w:rFonts w:ascii="Arial" w:hAnsi="Arial" w:cs="Arial"/>
          <w:sz w:val="20"/>
          <w:szCs w:val="20"/>
        </w:rPr>
        <w:t xml:space="preserve"> (10)</w:t>
      </w:r>
      <w:r w:rsidRPr="00F472C6">
        <w:rPr>
          <w:rFonts w:ascii="Arial" w:hAnsi="Arial" w:cs="Arial"/>
          <w:sz w:val="20"/>
          <w:szCs w:val="20"/>
        </w:rPr>
        <w:t>.</w:t>
      </w:r>
      <w:r w:rsidR="00843DA0" w:rsidRPr="00F472C6">
        <w:rPr>
          <w:rFonts w:ascii="Arial" w:hAnsi="Arial" w:cs="Arial"/>
          <w:sz w:val="20"/>
          <w:szCs w:val="20"/>
        </w:rPr>
        <w:t xml:space="preserve"> </w:t>
      </w:r>
      <w:proofErr w:type="spellStart"/>
      <w:proofErr w:type="gramStart"/>
      <w:r w:rsidR="00843DA0" w:rsidRPr="00F472C6">
        <w:rPr>
          <w:rFonts w:ascii="Arial" w:hAnsi="Arial" w:cs="Arial"/>
          <w:sz w:val="20"/>
          <w:szCs w:val="20"/>
        </w:rPr>
        <w:t>Tsai.P.L</w:t>
      </w:r>
      <w:proofErr w:type="spellEnd"/>
      <w:proofErr w:type="gramEnd"/>
      <w:r w:rsidR="00843DA0" w:rsidRPr="00F472C6">
        <w:rPr>
          <w:rFonts w:ascii="Arial" w:hAnsi="Arial" w:cs="Arial"/>
          <w:sz w:val="20"/>
          <w:szCs w:val="20"/>
        </w:rPr>
        <w:t xml:space="preserve"> conducted one of the early time-series analyses of FDI determinants, emphasizing the role of macroeconomic variables and policy environment in attracting foreign investment in Taiwan. The study grouped the determinants of FDI into demand-side and supply-side factors. The demand-side determinants include political stability, market size, regional economic integration, and investment incentives offered by the host country. The supply-side determinants consist of economies of scale, oligopoly reaction, product life </w:t>
      </w:r>
      <w:r w:rsidR="00FB4DE7" w:rsidRPr="00F472C6">
        <w:rPr>
          <w:rFonts w:ascii="Arial" w:hAnsi="Arial" w:cs="Arial"/>
          <w:sz w:val="20"/>
          <w:szCs w:val="20"/>
        </w:rPr>
        <w:t>cycle,</w:t>
      </w:r>
      <w:r w:rsidR="00843DA0" w:rsidRPr="00F472C6">
        <w:rPr>
          <w:rFonts w:ascii="Arial" w:hAnsi="Arial" w:cs="Arial"/>
          <w:sz w:val="20"/>
          <w:szCs w:val="20"/>
        </w:rPr>
        <w:t xml:space="preserve"> and intangible assets (23).</w:t>
      </w:r>
    </w:p>
    <w:p w14:paraId="294050D2" w14:textId="7F587D64" w:rsidR="00F70E27" w:rsidRPr="00F472C6" w:rsidRDefault="00F70E27" w:rsidP="00F70E27">
      <w:pPr>
        <w:rPr>
          <w:rFonts w:ascii="Arial" w:hAnsi="Arial" w:cs="Arial"/>
          <w:sz w:val="20"/>
          <w:szCs w:val="20"/>
        </w:rPr>
      </w:pPr>
      <w:r w:rsidRPr="00F472C6">
        <w:rPr>
          <w:rFonts w:ascii="Arial" w:hAnsi="Arial" w:cs="Arial"/>
          <w:sz w:val="20"/>
          <w:szCs w:val="20"/>
        </w:rPr>
        <w:t>In India, the nature and composition of FDI have evolved over time. Equity inflows via the automatic route, reinvested earnings, and inter-corporate borrowings have emerged as dominant components, reflecting deepening market integration</w:t>
      </w:r>
      <w:r w:rsidR="00A07C36" w:rsidRPr="00F472C6">
        <w:rPr>
          <w:rFonts w:ascii="Arial" w:hAnsi="Arial" w:cs="Arial"/>
          <w:sz w:val="20"/>
          <w:szCs w:val="20"/>
        </w:rPr>
        <w:t xml:space="preserve"> </w:t>
      </w:r>
      <w:r w:rsidR="000F4408" w:rsidRPr="00F472C6">
        <w:rPr>
          <w:rFonts w:ascii="Arial" w:hAnsi="Arial" w:cs="Arial"/>
          <w:sz w:val="20"/>
          <w:szCs w:val="20"/>
        </w:rPr>
        <w:t>(1</w:t>
      </w:r>
      <w:r w:rsidR="00007FFA" w:rsidRPr="00F472C6">
        <w:rPr>
          <w:rFonts w:ascii="Arial" w:hAnsi="Arial" w:cs="Arial"/>
          <w:sz w:val="20"/>
          <w:szCs w:val="20"/>
        </w:rPr>
        <w:t>6</w:t>
      </w:r>
      <w:r w:rsidR="000F4408" w:rsidRPr="00F472C6">
        <w:rPr>
          <w:rFonts w:ascii="Arial" w:hAnsi="Arial" w:cs="Arial"/>
          <w:sz w:val="20"/>
          <w:szCs w:val="20"/>
        </w:rPr>
        <w:t>)</w:t>
      </w:r>
      <w:r w:rsidR="00A07C36" w:rsidRPr="00F472C6">
        <w:rPr>
          <w:rFonts w:ascii="Arial" w:hAnsi="Arial" w:cs="Arial"/>
          <w:sz w:val="20"/>
          <w:szCs w:val="20"/>
        </w:rPr>
        <w:t>.</w:t>
      </w:r>
      <w:r w:rsidRPr="00F472C6">
        <w:rPr>
          <w:rFonts w:ascii="Arial" w:hAnsi="Arial" w:cs="Arial"/>
          <w:sz w:val="20"/>
          <w:szCs w:val="20"/>
        </w:rPr>
        <w:t xml:space="preserve"> </w:t>
      </w:r>
      <w:r w:rsidR="00A07C36" w:rsidRPr="00F472C6">
        <w:rPr>
          <w:rFonts w:ascii="Arial" w:hAnsi="Arial" w:cs="Arial"/>
          <w:sz w:val="20"/>
          <w:szCs w:val="20"/>
        </w:rPr>
        <w:t xml:space="preserve">Vinit </w:t>
      </w:r>
      <w:r w:rsidR="00BF5CC5" w:rsidRPr="00F472C6">
        <w:rPr>
          <w:rFonts w:ascii="Arial" w:hAnsi="Arial" w:cs="Arial"/>
          <w:sz w:val="20"/>
          <w:szCs w:val="20"/>
        </w:rPr>
        <w:t>and</w:t>
      </w:r>
      <w:r w:rsidR="00A07C36" w:rsidRPr="00F472C6">
        <w:rPr>
          <w:rFonts w:ascii="Arial" w:hAnsi="Arial" w:cs="Arial"/>
          <w:sz w:val="20"/>
          <w:szCs w:val="20"/>
        </w:rPr>
        <w:t xml:space="preserve"> Agrawal</w:t>
      </w:r>
      <w:r w:rsidR="000F4408" w:rsidRPr="00F472C6">
        <w:rPr>
          <w:rFonts w:ascii="Arial" w:hAnsi="Arial" w:cs="Arial"/>
          <w:sz w:val="20"/>
          <w:szCs w:val="20"/>
        </w:rPr>
        <w:t xml:space="preserve"> </w:t>
      </w:r>
      <w:r w:rsidRPr="00F472C6">
        <w:rPr>
          <w:rFonts w:ascii="Arial" w:hAnsi="Arial" w:cs="Arial"/>
          <w:sz w:val="20"/>
          <w:szCs w:val="20"/>
        </w:rPr>
        <w:t xml:space="preserve">and </w:t>
      </w:r>
      <w:r w:rsidR="00A07C36" w:rsidRPr="00F472C6">
        <w:rPr>
          <w:rFonts w:ascii="Arial" w:hAnsi="Arial" w:cs="Arial"/>
          <w:sz w:val="20"/>
          <w:szCs w:val="20"/>
        </w:rPr>
        <w:t xml:space="preserve">Chakraborty </w:t>
      </w:r>
      <w:r w:rsidR="00BF5CC5" w:rsidRPr="00F472C6">
        <w:rPr>
          <w:rFonts w:ascii="Arial" w:hAnsi="Arial" w:cs="Arial"/>
          <w:sz w:val="20"/>
          <w:szCs w:val="20"/>
        </w:rPr>
        <w:t>and</w:t>
      </w:r>
      <w:r w:rsidR="00A07C36" w:rsidRPr="00F472C6">
        <w:rPr>
          <w:rFonts w:ascii="Arial" w:hAnsi="Arial" w:cs="Arial"/>
          <w:sz w:val="20"/>
          <w:szCs w:val="20"/>
        </w:rPr>
        <w:t xml:space="preserve"> Nunnenkamp </w:t>
      </w:r>
      <w:r w:rsidR="000F4408" w:rsidRPr="00F472C6">
        <w:rPr>
          <w:rFonts w:ascii="Arial" w:hAnsi="Arial" w:cs="Arial"/>
          <w:sz w:val="20"/>
          <w:szCs w:val="20"/>
        </w:rPr>
        <w:t>(</w:t>
      </w:r>
      <w:r w:rsidR="00A07C36" w:rsidRPr="00F472C6">
        <w:rPr>
          <w:rFonts w:ascii="Arial" w:hAnsi="Arial" w:cs="Arial"/>
          <w:sz w:val="20"/>
          <w:szCs w:val="20"/>
        </w:rPr>
        <w:t>17,</w:t>
      </w:r>
      <w:r w:rsidR="000F4408" w:rsidRPr="00F472C6">
        <w:rPr>
          <w:rFonts w:ascii="Arial" w:hAnsi="Arial" w:cs="Arial"/>
          <w:sz w:val="20"/>
          <w:szCs w:val="20"/>
        </w:rPr>
        <w:t>1</w:t>
      </w:r>
      <w:r w:rsidR="00007FFA" w:rsidRPr="00F472C6">
        <w:rPr>
          <w:rFonts w:ascii="Arial" w:hAnsi="Arial" w:cs="Arial"/>
          <w:sz w:val="20"/>
          <w:szCs w:val="20"/>
        </w:rPr>
        <w:t>8</w:t>
      </w:r>
      <w:r w:rsidR="000F4408" w:rsidRPr="00F472C6">
        <w:rPr>
          <w:rFonts w:ascii="Arial" w:hAnsi="Arial" w:cs="Arial"/>
          <w:sz w:val="20"/>
          <w:szCs w:val="20"/>
        </w:rPr>
        <w:t>)</w:t>
      </w:r>
      <w:r w:rsidRPr="00F472C6">
        <w:rPr>
          <w:rFonts w:ascii="Arial" w:hAnsi="Arial" w:cs="Arial"/>
          <w:sz w:val="20"/>
          <w:szCs w:val="20"/>
        </w:rPr>
        <w:t xml:space="preserve"> used panel and time series models to validate causality between FDI and GDP growth. As per the reports of Foreign Investment Promotion Borad, India has reached a significant milestone in its economic development, with gross foreign direct investment inflows totalling an amount of Rs. 86,87,000 crores since April 2000. This achievement has been further strengthened by a nearly 13% increase in FDI, during the financial year 2024 – 25 amounting to Rs. 4,21,929 crores with significant investments in services and computer software </w:t>
      </w:r>
      <w:r w:rsidR="00BF5CC5" w:rsidRPr="00F472C6">
        <w:rPr>
          <w:rFonts w:ascii="Arial" w:hAnsi="Arial" w:cs="Arial"/>
          <w:sz w:val="20"/>
          <w:szCs w:val="20"/>
        </w:rPr>
        <w:t>and</w:t>
      </w:r>
      <w:r w:rsidRPr="00F472C6">
        <w:rPr>
          <w:rFonts w:ascii="Arial" w:hAnsi="Arial" w:cs="Arial"/>
          <w:sz w:val="20"/>
          <w:szCs w:val="20"/>
        </w:rPr>
        <w:t xml:space="preserve"> hardware sectors</w:t>
      </w:r>
      <w:r w:rsidR="0068526E" w:rsidRPr="00F472C6">
        <w:rPr>
          <w:rFonts w:ascii="Arial" w:hAnsi="Arial" w:cs="Arial"/>
          <w:sz w:val="20"/>
          <w:szCs w:val="20"/>
        </w:rPr>
        <w:t xml:space="preserve"> (21)</w:t>
      </w:r>
      <w:r w:rsidRPr="00F472C6">
        <w:rPr>
          <w:rFonts w:ascii="Arial" w:hAnsi="Arial" w:cs="Arial"/>
          <w:sz w:val="20"/>
          <w:szCs w:val="20"/>
        </w:rPr>
        <w:t>. Such growth underscores India's rising attractiveness as a global investment destination, fuelled by a proactive policy framework.</w:t>
      </w:r>
    </w:p>
    <w:p w14:paraId="3236382E" w14:textId="36A4CBCE" w:rsidR="0067119E" w:rsidRPr="00F472C6" w:rsidRDefault="00F70E27" w:rsidP="00F70E27">
      <w:pPr>
        <w:rPr>
          <w:rFonts w:ascii="Arial" w:hAnsi="Arial" w:cs="Arial"/>
          <w:sz w:val="20"/>
          <w:szCs w:val="20"/>
        </w:rPr>
      </w:pPr>
      <w:r w:rsidRPr="00F472C6">
        <w:rPr>
          <w:rFonts w:ascii="Arial" w:hAnsi="Arial" w:cs="Arial"/>
          <w:sz w:val="20"/>
          <w:szCs w:val="20"/>
        </w:rPr>
        <w:t>Despite a rich literature examining the effects of FDI, not much attention has been paid to forecasting the future trends in FDI with aid of time series tools based on real-world data. The available research words mostly concentrated on contemporaneous or lagged causal relationships using econometric frameworks</w:t>
      </w:r>
      <w:r w:rsidR="000F4408" w:rsidRPr="00F472C6">
        <w:rPr>
          <w:rFonts w:ascii="Arial" w:hAnsi="Arial" w:cs="Arial"/>
          <w:sz w:val="20"/>
          <w:szCs w:val="20"/>
        </w:rPr>
        <w:t xml:space="preserve"> (</w:t>
      </w:r>
      <w:r w:rsidR="00007FFA" w:rsidRPr="00F472C6">
        <w:rPr>
          <w:rFonts w:ascii="Arial" w:hAnsi="Arial" w:cs="Arial"/>
          <w:sz w:val="20"/>
          <w:szCs w:val="20"/>
        </w:rPr>
        <w:t>19,20</w:t>
      </w:r>
      <w:r w:rsidR="000F4408" w:rsidRPr="00F472C6">
        <w:rPr>
          <w:rFonts w:ascii="Arial" w:hAnsi="Arial" w:cs="Arial"/>
          <w:sz w:val="20"/>
          <w:szCs w:val="20"/>
        </w:rPr>
        <w:t>)</w:t>
      </w:r>
      <w:r w:rsidRPr="00F472C6">
        <w:rPr>
          <w:rFonts w:ascii="Arial" w:hAnsi="Arial" w:cs="Arial"/>
          <w:sz w:val="20"/>
          <w:szCs w:val="20"/>
        </w:rPr>
        <w:t xml:space="preserve">. The present study is an attempt to address this research gap by utilising ARIMA </w:t>
      </w:r>
      <w:r w:rsidRPr="00F472C6">
        <w:rPr>
          <w:rFonts w:ascii="Arial" w:hAnsi="Arial" w:cs="Arial"/>
          <w:sz w:val="20"/>
          <w:szCs w:val="20"/>
        </w:rPr>
        <w:lastRenderedPageBreak/>
        <w:t>model for ex-ante FDI forecasting so that policymakers can anticipate potential shifts and make informed strategic decisions.</w:t>
      </w:r>
      <w:r w:rsidR="00843DA0" w:rsidRPr="00F472C6">
        <w:rPr>
          <w:rFonts w:ascii="Arial" w:hAnsi="Arial" w:cs="Arial"/>
          <w:sz w:val="20"/>
          <w:szCs w:val="20"/>
        </w:rPr>
        <w:t xml:space="preserve"> </w:t>
      </w:r>
      <w:r w:rsidR="0067119E" w:rsidRPr="00F472C6">
        <w:rPr>
          <w:rFonts w:ascii="Arial" w:hAnsi="Arial" w:cs="Arial"/>
          <w:sz w:val="20"/>
          <w:szCs w:val="20"/>
        </w:rPr>
        <w:t>Tang et al. find that in China (1988–2003), FDI is growth</w:t>
      </w:r>
      <w:r w:rsidR="0067119E" w:rsidRPr="00F472C6">
        <w:rPr>
          <w:rFonts w:ascii="Arial" w:hAnsi="Arial" w:cs="Arial"/>
          <w:sz w:val="20"/>
          <w:szCs w:val="20"/>
        </w:rPr>
        <w:noBreakHyphen/>
        <w:t>enhancing, complementary to domestic investment, FDI helps </w:t>
      </w:r>
      <w:r w:rsidR="00FB4DE7" w:rsidRPr="00F472C6">
        <w:rPr>
          <w:rFonts w:ascii="Arial" w:hAnsi="Arial" w:cs="Arial"/>
          <w:sz w:val="20"/>
          <w:szCs w:val="20"/>
        </w:rPr>
        <w:t xml:space="preserve">to </w:t>
      </w:r>
      <w:r w:rsidR="0067119E" w:rsidRPr="00F472C6">
        <w:rPr>
          <w:rFonts w:ascii="Arial" w:hAnsi="Arial" w:cs="Arial"/>
          <w:sz w:val="20"/>
          <w:szCs w:val="20"/>
        </w:rPr>
        <w:t xml:space="preserve">alleviate capital shortages and stimulates growth by boosting domestic investment and directly contributing to output (22). </w:t>
      </w:r>
      <w:r w:rsidR="00F8669D" w:rsidRPr="00F472C6">
        <w:rPr>
          <w:rFonts w:ascii="Arial" w:hAnsi="Arial" w:cs="Arial"/>
          <w:sz w:val="20"/>
          <w:szCs w:val="20"/>
        </w:rPr>
        <w:t xml:space="preserve">Kumari et al. examined the long-term and causal relationship among foreign direct investment inflows, trade </w:t>
      </w:r>
      <w:r w:rsidR="00FB4DE7" w:rsidRPr="00F472C6">
        <w:rPr>
          <w:rFonts w:ascii="Arial" w:hAnsi="Arial" w:cs="Arial"/>
          <w:sz w:val="20"/>
          <w:szCs w:val="20"/>
        </w:rPr>
        <w:t>openness,</w:t>
      </w:r>
      <w:r w:rsidR="00F8669D" w:rsidRPr="00F472C6">
        <w:rPr>
          <w:rFonts w:ascii="Arial" w:hAnsi="Arial" w:cs="Arial"/>
          <w:sz w:val="20"/>
          <w:szCs w:val="20"/>
        </w:rPr>
        <w:t xml:space="preserve"> and economic growth from India. Annual time series data from the period 1985–2018 are used and applied the Johansen cointegration and vector autoregression (VAR) model. Findings highlight that no long-term relationship among three variables of FDI, trade openness and economic growth.</w:t>
      </w:r>
    </w:p>
    <w:p w14:paraId="1A039EE6" w14:textId="77777777" w:rsidR="00F70E27" w:rsidRPr="00F472C6" w:rsidRDefault="00F70E27" w:rsidP="00F70E27">
      <w:pPr>
        <w:rPr>
          <w:rFonts w:ascii="Arial" w:hAnsi="Arial" w:cs="Arial"/>
          <w:sz w:val="20"/>
          <w:szCs w:val="20"/>
        </w:rPr>
      </w:pPr>
      <w:r w:rsidRPr="00F472C6">
        <w:rPr>
          <w:rFonts w:ascii="Arial" w:hAnsi="Arial" w:cs="Arial"/>
          <w:sz w:val="20"/>
          <w:szCs w:val="20"/>
        </w:rPr>
        <w:t>Although FDI has been widely acknowledged as a crucial determinant of macroeconomic growth in India, existing studies remains largely confined to causal analysis, often overlooking the significance of predictive modelling. Given the dynamic nature of India’s evolving policy framework, volatile global capital movements, and sectoral shifts in the allocation of FDI, there is a persistent need to adopt time series forecasting approaches to estimate future trends. To bridge this gap the present study applies ARIMA modelling to Indian FDI inflow data, thereby offering policy-relevant foresight for effective investment planning.</w:t>
      </w:r>
    </w:p>
    <w:p w14:paraId="17F3A7E3" w14:textId="15D3AB6C" w:rsidR="00F70E27" w:rsidRPr="00F472C6" w:rsidRDefault="00CE0C9C" w:rsidP="00F70E27">
      <w:pPr>
        <w:rPr>
          <w:rStyle w:val="Strong"/>
          <w:rFonts w:ascii="Arial" w:hAnsi="Arial" w:cs="Arial"/>
        </w:rPr>
      </w:pPr>
      <w:r w:rsidRPr="00F472C6">
        <w:rPr>
          <w:rStyle w:val="Strong"/>
          <w:rFonts w:ascii="Arial" w:hAnsi="Arial" w:cs="Arial"/>
        </w:rPr>
        <w:t>2.</w:t>
      </w:r>
      <w:r w:rsidR="00A525DC" w:rsidRPr="00F472C6">
        <w:rPr>
          <w:rStyle w:val="Strong"/>
          <w:rFonts w:ascii="Arial" w:hAnsi="Arial" w:cs="Arial"/>
        </w:rPr>
        <w:t>DATA AND METHODOLOGY</w:t>
      </w:r>
    </w:p>
    <w:p w14:paraId="797C6A21" w14:textId="524C3EEE" w:rsidR="00F70E27" w:rsidRPr="00F472C6" w:rsidRDefault="00F70E27" w:rsidP="00F70E27">
      <w:pPr>
        <w:rPr>
          <w:rFonts w:ascii="Arial" w:hAnsi="Arial" w:cs="Arial"/>
          <w:sz w:val="20"/>
          <w:szCs w:val="20"/>
        </w:rPr>
      </w:pPr>
      <w:r w:rsidRPr="00F472C6">
        <w:rPr>
          <w:rFonts w:ascii="Arial" w:hAnsi="Arial" w:cs="Arial"/>
          <w:sz w:val="20"/>
          <w:szCs w:val="20"/>
        </w:rPr>
        <w:t>The study uses annual FDI inflow data spanning from 2000–01 to 2023–24 compiled from the sources such as the Reserve Bank of India (RBI) and Foreign Investment Facilitation Portal - Department for Promotion of Industry and Internal Trade (DPIIT). FDI inflows are categorized into: (</w:t>
      </w:r>
      <w:proofErr w:type="spellStart"/>
      <w:r w:rsidRPr="00F472C6">
        <w:rPr>
          <w:rFonts w:ascii="Arial" w:hAnsi="Arial" w:cs="Arial"/>
          <w:sz w:val="20"/>
          <w:szCs w:val="20"/>
        </w:rPr>
        <w:t>i</w:t>
      </w:r>
      <w:proofErr w:type="spellEnd"/>
      <w:r w:rsidRPr="00F472C6">
        <w:rPr>
          <w:rFonts w:ascii="Arial" w:hAnsi="Arial" w:cs="Arial"/>
          <w:sz w:val="20"/>
          <w:szCs w:val="20"/>
        </w:rPr>
        <w:t>) Government Automatic Acquisition Route; (ii) Reinvested Earnings; (iii) Equity Capital of Unincorporated Bodies and Other Capital; and (iv) Total FDI Inflow</w:t>
      </w:r>
      <w:r w:rsidR="003B5D44" w:rsidRPr="00F472C6">
        <w:rPr>
          <w:rFonts w:ascii="Arial" w:hAnsi="Arial" w:cs="Arial"/>
          <w:sz w:val="20"/>
          <w:szCs w:val="20"/>
        </w:rPr>
        <w:t>. R Studio Posit IDE 2024.12.0 + 467 is used for analysis of data</w:t>
      </w:r>
    </w:p>
    <w:p w14:paraId="35007CCF" w14:textId="77777777" w:rsidR="00F70E27" w:rsidRPr="00F472C6" w:rsidRDefault="00F70E27" w:rsidP="00F70E27">
      <w:pPr>
        <w:rPr>
          <w:rFonts w:ascii="Arial" w:hAnsi="Arial" w:cs="Arial"/>
          <w:b/>
          <w:bCs/>
          <w:sz w:val="20"/>
          <w:szCs w:val="20"/>
        </w:rPr>
      </w:pPr>
      <w:r w:rsidRPr="00F472C6">
        <w:rPr>
          <w:rFonts w:ascii="Arial" w:hAnsi="Arial" w:cs="Arial"/>
          <w:sz w:val="20"/>
          <w:szCs w:val="20"/>
        </w:rPr>
        <w:t xml:space="preserve"> </w:t>
      </w:r>
      <w:r w:rsidRPr="00F472C6">
        <w:rPr>
          <w:rFonts w:ascii="Arial" w:hAnsi="Arial" w:cs="Arial"/>
          <w:b/>
          <w:bCs/>
          <w:sz w:val="20"/>
          <w:szCs w:val="20"/>
        </w:rPr>
        <w:t>Table 1: Components of FDI Inflow (USD Million, 2000–01 to 2023–24)</w:t>
      </w:r>
    </w:p>
    <w:tbl>
      <w:tblPr>
        <w:tblW w:w="7371" w:type="dxa"/>
        <w:tblLayout w:type="fixed"/>
        <w:tblLook w:val="04A0" w:firstRow="1" w:lastRow="0" w:firstColumn="1" w:lastColumn="0" w:noHBand="0" w:noVBand="1"/>
      </w:tblPr>
      <w:tblGrid>
        <w:gridCol w:w="1276"/>
        <w:gridCol w:w="1418"/>
        <w:gridCol w:w="1417"/>
        <w:gridCol w:w="1843"/>
        <w:gridCol w:w="1417"/>
      </w:tblGrid>
      <w:tr w:rsidR="00F472C6" w:rsidRPr="00F472C6" w14:paraId="14870DD5" w14:textId="77777777" w:rsidTr="002A09F0">
        <w:trPr>
          <w:trHeight w:val="1190"/>
        </w:trPr>
        <w:tc>
          <w:tcPr>
            <w:tcW w:w="1276" w:type="dxa"/>
            <w:vMerge w:val="restart"/>
            <w:tcBorders>
              <w:top w:val="single" w:sz="4" w:space="0" w:color="auto"/>
              <w:left w:val="nil"/>
              <w:bottom w:val="single" w:sz="4" w:space="0" w:color="000000"/>
              <w:right w:val="nil"/>
            </w:tcBorders>
            <w:vAlign w:val="center"/>
            <w:hideMark/>
          </w:tcPr>
          <w:p w14:paraId="7461A1B8" w14:textId="77777777" w:rsidR="00801BF0" w:rsidRPr="00F472C6" w:rsidRDefault="00801BF0" w:rsidP="00353D2C">
            <w:pPr>
              <w:spacing w:before="0" w:line="240" w:lineRule="auto"/>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Financial Year</w:t>
            </w:r>
          </w:p>
        </w:tc>
        <w:tc>
          <w:tcPr>
            <w:tcW w:w="1418" w:type="dxa"/>
            <w:tcBorders>
              <w:top w:val="single" w:sz="4" w:space="0" w:color="auto"/>
              <w:left w:val="nil"/>
              <w:bottom w:val="nil"/>
              <w:right w:val="nil"/>
            </w:tcBorders>
            <w:vAlign w:val="center"/>
            <w:hideMark/>
          </w:tcPr>
          <w:p w14:paraId="484AAB5F"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Govt Auto</w:t>
            </w:r>
          </w:p>
          <w:p w14:paraId="55170C86" w14:textId="77777777" w:rsidR="00353D2C" w:rsidRPr="00F472C6" w:rsidRDefault="00353D2C"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Acquisition</w:t>
            </w:r>
          </w:p>
          <w:p w14:paraId="6085FED0" w14:textId="4B039D0D" w:rsidR="00353D2C" w:rsidRPr="00F472C6" w:rsidRDefault="00353D2C"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Route</w:t>
            </w:r>
          </w:p>
        </w:tc>
        <w:tc>
          <w:tcPr>
            <w:tcW w:w="1417" w:type="dxa"/>
            <w:vMerge w:val="restart"/>
            <w:tcBorders>
              <w:top w:val="single" w:sz="4" w:space="0" w:color="auto"/>
              <w:left w:val="nil"/>
              <w:bottom w:val="single" w:sz="4" w:space="0" w:color="000000"/>
              <w:right w:val="nil"/>
            </w:tcBorders>
            <w:vAlign w:val="center"/>
            <w:hideMark/>
          </w:tcPr>
          <w:p w14:paraId="0F8D4BDB"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Reinvested Earnings</w:t>
            </w:r>
          </w:p>
        </w:tc>
        <w:tc>
          <w:tcPr>
            <w:tcW w:w="1843" w:type="dxa"/>
            <w:vMerge w:val="restart"/>
            <w:tcBorders>
              <w:top w:val="single" w:sz="4" w:space="0" w:color="auto"/>
              <w:left w:val="nil"/>
              <w:bottom w:val="single" w:sz="4" w:space="0" w:color="000000"/>
              <w:right w:val="nil"/>
            </w:tcBorders>
            <w:vAlign w:val="center"/>
            <w:hideMark/>
          </w:tcPr>
          <w:p w14:paraId="3AA3BF51" w14:textId="2E8B2EC2"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 xml:space="preserve">Equity of Unincorporated Bodies </w:t>
            </w:r>
            <w:r w:rsidR="00BF5CC5" w:rsidRPr="00F472C6">
              <w:rPr>
                <w:rFonts w:ascii="Arial" w:eastAsia="Times New Roman" w:hAnsi="Arial" w:cs="Arial"/>
                <w:b/>
                <w:bCs/>
                <w:kern w:val="0"/>
                <w:sz w:val="20"/>
                <w:szCs w:val="20"/>
                <w:lang w:eastAsia="en-IN"/>
                <w14:ligatures w14:val="none"/>
              </w:rPr>
              <w:t>and</w:t>
            </w:r>
            <w:r w:rsidRPr="00F472C6">
              <w:rPr>
                <w:rFonts w:ascii="Arial" w:eastAsia="Times New Roman" w:hAnsi="Arial" w:cs="Arial"/>
                <w:b/>
                <w:bCs/>
                <w:kern w:val="0"/>
                <w:sz w:val="20"/>
                <w:szCs w:val="20"/>
                <w:lang w:eastAsia="en-IN"/>
                <w14:ligatures w14:val="none"/>
              </w:rPr>
              <w:t xml:space="preserve"> Other Capital</w:t>
            </w:r>
          </w:p>
        </w:tc>
        <w:tc>
          <w:tcPr>
            <w:tcW w:w="1417" w:type="dxa"/>
            <w:vMerge w:val="restart"/>
            <w:tcBorders>
              <w:top w:val="single" w:sz="4" w:space="0" w:color="auto"/>
              <w:left w:val="nil"/>
              <w:bottom w:val="single" w:sz="4" w:space="0" w:color="000000"/>
              <w:right w:val="nil"/>
            </w:tcBorders>
            <w:vAlign w:val="center"/>
            <w:hideMark/>
          </w:tcPr>
          <w:p w14:paraId="36EF4717"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Total FDI Inflow</w:t>
            </w:r>
          </w:p>
        </w:tc>
      </w:tr>
      <w:tr w:rsidR="00F472C6" w:rsidRPr="00F472C6" w14:paraId="3BB518D2" w14:textId="77777777" w:rsidTr="002A09F0">
        <w:trPr>
          <w:trHeight w:val="50"/>
        </w:trPr>
        <w:tc>
          <w:tcPr>
            <w:tcW w:w="1276" w:type="dxa"/>
            <w:vMerge/>
            <w:tcBorders>
              <w:top w:val="single" w:sz="4" w:space="0" w:color="auto"/>
              <w:left w:val="nil"/>
              <w:bottom w:val="single" w:sz="4" w:space="0" w:color="000000"/>
              <w:right w:val="nil"/>
            </w:tcBorders>
            <w:vAlign w:val="center"/>
            <w:hideMark/>
          </w:tcPr>
          <w:p w14:paraId="1C2A5B01"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418" w:type="dxa"/>
            <w:tcBorders>
              <w:top w:val="nil"/>
              <w:left w:val="nil"/>
              <w:bottom w:val="single" w:sz="4" w:space="0" w:color="auto"/>
              <w:right w:val="nil"/>
            </w:tcBorders>
            <w:vAlign w:val="center"/>
            <w:hideMark/>
          </w:tcPr>
          <w:p w14:paraId="1FF1F8CD" w14:textId="3E8B5138" w:rsidR="00801BF0" w:rsidRPr="00F472C6" w:rsidRDefault="00801BF0" w:rsidP="00353D2C">
            <w:pPr>
              <w:spacing w:before="0" w:line="240" w:lineRule="auto"/>
              <w:rPr>
                <w:rFonts w:ascii="Arial" w:eastAsia="Times New Roman" w:hAnsi="Arial" w:cs="Arial"/>
                <w:b/>
                <w:bCs/>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0E2963C"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843" w:type="dxa"/>
            <w:vMerge/>
            <w:tcBorders>
              <w:top w:val="single" w:sz="4" w:space="0" w:color="auto"/>
              <w:left w:val="nil"/>
              <w:bottom w:val="single" w:sz="4" w:space="0" w:color="000000"/>
              <w:right w:val="nil"/>
            </w:tcBorders>
            <w:vAlign w:val="center"/>
            <w:hideMark/>
          </w:tcPr>
          <w:p w14:paraId="2FAA3365"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F827AFD"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r>
      <w:tr w:rsidR="00F472C6" w:rsidRPr="00F472C6" w14:paraId="2540EE55" w14:textId="77777777" w:rsidTr="002A09F0">
        <w:trPr>
          <w:trHeight w:val="310"/>
        </w:trPr>
        <w:tc>
          <w:tcPr>
            <w:tcW w:w="1276" w:type="dxa"/>
            <w:tcBorders>
              <w:top w:val="nil"/>
              <w:left w:val="nil"/>
              <w:bottom w:val="nil"/>
              <w:right w:val="nil"/>
            </w:tcBorders>
            <w:noWrap/>
            <w:vAlign w:val="center"/>
            <w:hideMark/>
          </w:tcPr>
          <w:p w14:paraId="2D8613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2000-01</w:t>
            </w:r>
          </w:p>
        </w:tc>
        <w:tc>
          <w:tcPr>
            <w:tcW w:w="1418" w:type="dxa"/>
            <w:tcBorders>
              <w:top w:val="nil"/>
              <w:left w:val="nil"/>
              <w:bottom w:val="nil"/>
              <w:right w:val="nil"/>
            </w:tcBorders>
            <w:noWrap/>
            <w:vAlign w:val="center"/>
            <w:hideMark/>
          </w:tcPr>
          <w:p w14:paraId="0B98562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2339</w:t>
            </w:r>
          </w:p>
        </w:tc>
        <w:tc>
          <w:tcPr>
            <w:tcW w:w="1417" w:type="dxa"/>
            <w:tcBorders>
              <w:top w:val="nil"/>
              <w:left w:val="nil"/>
              <w:bottom w:val="nil"/>
              <w:right w:val="nil"/>
            </w:tcBorders>
            <w:noWrap/>
            <w:vAlign w:val="center"/>
            <w:hideMark/>
          </w:tcPr>
          <w:p w14:paraId="6E2D80A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1350</w:t>
            </w:r>
          </w:p>
        </w:tc>
        <w:tc>
          <w:tcPr>
            <w:tcW w:w="1843" w:type="dxa"/>
            <w:tcBorders>
              <w:top w:val="nil"/>
              <w:left w:val="nil"/>
              <w:bottom w:val="nil"/>
              <w:right w:val="nil"/>
            </w:tcBorders>
            <w:noWrap/>
            <w:vAlign w:val="center"/>
            <w:hideMark/>
          </w:tcPr>
          <w:p w14:paraId="62ADCE9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340</w:t>
            </w:r>
          </w:p>
        </w:tc>
        <w:tc>
          <w:tcPr>
            <w:tcW w:w="1417" w:type="dxa"/>
            <w:tcBorders>
              <w:top w:val="nil"/>
              <w:left w:val="nil"/>
              <w:bottom w:val="nil"/>
              <w:right w:val="nil"/>
            </w:tcBorders>
            <w:noWrap/>
            <w:vAlign w:val="center"/>
            <w:hideMark/>
          </w:tcPr>
          <w:p w14:paraId="40DACE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4029</w:t>
            </w:r>
          </w:p>
        </w:tc>
      </w:tr>
      <w:tr w:rsidR="00F472C6" w:rsidRPr="00F472C6" w14:paraId="4D0D3515" w14:textId="77777777" w:rsidTr="002A09F0">
        <w:trPr>
          <w:trHeight w:val="310"/>
        </w:trPr>
        <w:tc>
          <w:tcPr>
            <w:tcW w:w="1276" w:type="dxa"/>
            <w:tcBorders>
              <w:top w:val="nil"/>
              <w:left w:val="nil"/>
              <w:bottom w:val="nil"/>
              <w:right w:val="nil"/>
            </w:tcBorders>
            <w:noWrap/>
            <w:vAlign w:val="center"/>
            <w:hideMark/>
          </w:tcPr>
          <w:p w14:paraId="4703E80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2001-02</w:t>
            </w:r>
          </w:p>
        </w:tc>
        <w:tc>
          <w:tcPr>
            <w:tcW w:w="1418" w:type="dxa"/>
            <w:tcBorders>
              <w:top w:val="nil"/>
              <w:left w:val="nil"/>
              <w:bottom w:val="nil"/>
              <w:right w:val="nil"/>
            </w:tcBorders>
            <w:noWrap/>
            <w:vAlign w:val="center"/>
            <w:hideMark/>
          </w:tcPr>
          <w:p w14:paraId="7BE83FE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3904</w:t>
            </w:r>
          </w:p>
        </w:tc>
        <w:tc>
          <w:tcPr>
            <w:tcW w:w="1417" w:type="dxa"/>
            <w:tcBorders>
              <w:top w:val="nil"/>
              <w:left w:val="nil"/>
              <w:bottom w:val="nil"/>
              <w:right w:val="nil"/>
            </w:tcBorders>
            <w:noWrap/>
            <w:vAlign w:val="center"/>
            <w:hideMark/>
          </w:tcPr>
          <w:p w14:paraId="17E7B2E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1645</w:t>
            </w:r>
          </w:p>
        </w:tc>
        <w:tc>
          <w:tcPr>
            <w:tcW w:w="1843" w:type="dxa"/>
            <w:tcBorders>
              <w:top w:val="nil"/>
              <w:left w:val="nil"/>
              <w:bottom w:val="nil"/>
              <w:right w:val="nil"/>
            </w:tcBorders>
            <w:noWrap/>
            <w:vAlign w:val="center"/>
            <w:hideMark/>
          </w:tcPr>
          <w:p w14:paraId="2EC7B7E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581</w:t>
            </w:r>
          </w:p>
        </w:tc>
        <w:tc>
          <w:tcPr>
            <w:tcW w:w="1417" w:type="dxa"/>
            <w:tcBorders>
              <w:top w:val="nil"/>
              <w:left w:val="nil"/>
              <w:bottom w:val="nil"/>
              <w:right w:val="nil"/>
            </w:tcBorders>
            <w:noWrap/>
            <w:vAlign w:val="center"/>
            <w:hideMark/>
          </w:tcPr>
          <w:p w14:paraId="3EE75DF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6130</w:t>
            </w:r>
          </w:p>
        </w:tc>
      </w:tr>
      <w:tr w:rsidR="00F472C6" w:rsidRPr="00F472C6" w14:paraId="4F6B9248" w14:textId="77777777" w:rsidTr="002A09F0">
        <w:trPr>
          <w:trHeight w:val="310"/>
        </w:trPr>
        <w:tc>
          <w:tcPr>
            <w:tcW w:w="1276" w:type="dxa"/>
            <w:tcBorders>
              <w:top w:val="nil"/>
              <w:left w:val="nil"/>
              <w:bottom w:val="nil"/>
              <w:right w:val="nil"/>
            </w:tcBorders>
            <w:noWrap/>
            <w:vAlign w:val="center"/>
            <w:hideMark/>
          </w:tcPr>
          <w:p w14:paraId="0EBA4AB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2002-03</w:t>
            </w:r>
          </w:p>
        </w:tc>
        <w:tc>
          <w:tcPr>
            <w:tcW w:w="1418" w:type="dxa"/>
            <w:tcBorders>
              <w:top w:val="nil"/>
              <w:left w:val="nil"/>
              <w:bottom w:val="nil"/>
              <w:right w:val="nil"/>
            </w:tcBorders>
            <w:noWrap/>
            <w:vAlign w:val="center"/>
            <w:hideMark/>
          </w:tcPr>
          <w:p w14:paraId="1BD1DB8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2574</w:t>
            </w:r>
          </w:p>
        </w:tc>
        <w:tc>
          <w:tcPr>
            <w:tcW w:w="1417" w:type="dxa"/>
            <w:tcBorders>
              <w:top w:val="nil"/>
              <w:left w:val="nil"/>
              <w:bottom w:val="nil"/>
              <w:right w:val="nil"/>
            </w:tcBorders>
            <w:noWrap/>
            <w:vAlign w:val="center"/>
            <w:hideMark/>
          </w:tcPr>
          <w:p w14:paraId="5CE06E1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1833</w:t>
            </w:r>
          </w:p>
        </w:tc>
        <w:tc>
          <w:tcPr>
            <w:tcW w:w="1843" w:type="dxa"/>
            <w:tcBorders>
              <w:top w:val="nil"/>
              <w:left w:val="nil"/>
              <w:bottom w:val="nil"/>
              <w:right w:val="nil"/>
            </w:tcBorders>
            <w:noWrap/>
            <w:vAlign w:val="center"/>
            <w:hideMark/>
          </w:tcPr>
          <w:p w14:paraId="28ED29B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628</w:t>
            </w:r>
          </w:p>
        </w:tc>
        <w:tc>
          <w:tcPr>
            <w:tcW w:w="1417" w:type="dxa"/>
            <w:tcBorders>
              <w:top w:val="nil"/>
              <w:left w:val="nil"/>
              <w:bottom w:val="nil"/>
              <w:right w:val="nil"/>
            </w:tcBorders>
            <w:noWrap/>
            <w:vAlign w:val="center"/>
            <w:hideMark/>
          </w:tcPr>
          <w:p w14:paraId="2D667A3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5035</w:t>
            </w:r>
          </w:p>
        </w:tc>
      </w:tr>
      <w:tr w:rsidR="00F472C6" w:rsidRPr="00F472C6" w14:paraId="2876A171" w14:textId="77777777" w:rsidTr="002A09F0">
        <w:trPr>
          <w:trHeight w:val="310"/>
        </w:trPr>
        <w:tc>
          <w:tcPr>
            <w:tcW w:w="1276" w:type="dxa"/>
            <w:tcBorders>
              <w:top w:val="nil"/>
              <w:left w:val="nil"/>
              <w:bottom w:val="nil"/>
              <w:right w:val="nil"/>
            </w:tcBorders>
            <w:noWrap/>
            <w:vAlign w:val="center"/>
            <w:hideMark/>
          </w:tcPr>
          <w:p w14:paraId="6CD7A9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2003-04</w:t>
            </w:r>
          </w:p>
        </w:tc>
        <w:tc>
          <w:tcPr>
            <w:tcW w:w="1418" w:type="dxa"/>
            <w:tcBorders>
              <w:top w:val="nil"/>
              <w:left w:val="nil"/>
              <w:bottom w:val="nil"/>
              <w:right w:val="nil"/>
            </w:tcBorders>
            <w:noWrap/>
            <w:vAlign w:val="center"/>
            <w:hideMark/>
          </w:tcPr>
          <w:p w14:paraId="288009B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2197</w:t>
            </w:r>
          </w:p>
        </w:tc>
        <w:tc>
          <w:tcPr>
            <w:tcW w:w="1417" w:type="dxa"/>
            <w:tcBorders>
              <w:top w:val="nil"/>
              <w:left w:val="nil"/>
              <w:bottom w:val="nil"/>
              <w:right w:val="nil"/>
            </w:tcBorders>
            <w:noWrap/>
            <w:vAlign w:val="center"/>
            <w:hideMark/>
          </w:tcPr>
          <w:p w14:paraId="53018A4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1460</w:t>
            </w:r>
          </w:p>
        </w:tc>
        <w:tc>
          <w:tcPr>
            <w:tcW w:w="1843" w:type="dxa"/>
            <w:tcBorders>
              <w:top w:val="nil"/>
              <w:left w:val="nil"/>
              <w:bottom w:val="nil"/>
              <w:right w:val="nil"/>
            </w:tcBorders>
            <w:noWrap/>
            <w:vAlign w:val="center"/>
            <w:hideMark/>
          </w:tcPr>
          <w:p w14:paraId="7D225C4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665</w:t>
            </w:r>
          </w:p>
        </w:tc>
        <w:tc>
          <w:tcPr>
            <w:tcW w:w="1417" w:type="dxa"/>
            <w:tcBorders>
              <w:top w:val="nil"/>
              <w:left w:val="nil"/>
              <w:bottom w:val="nil"/>
              <w:right w:val="nil"/>
            </w:tcBorders>
            <w:noWrap/>
            <w:vAlign w:val="center"/>
            <w:hideMark/>
          </w:tcPr>
          <w:p w14:paraId="2A3AAFC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4322</w:t>
            </w:r>
          </w:p>
        </w:tc>
      </w:tr>
      <w:tr w:rsidR="00F472C6" w:rsidRPr="00F472C6" w14:paraId="61AD9D36" w14:textId="77777777" w:rsidTr="002A09F0">
        <w:trPr>
          <w:trHeight w:val="310"/>
        </w:trPr>
        <w:tc>
          <w:tcPr>
            <w:tcW w:w="1276" w:type="dxa"/>
            <w:tcBorders>
              <w:top w:val="nil"/>
              <w:left w:val="nil"/>
              <w:bottom w:val="nil"/>
              <w:right w:val="nil"/>
            </w:tcBorders>
            <w:noWrap/>
            <w:vAlign w:val="center"/>
            <w:hideMark/>
          </w:tcPr>
          <w:p w14:paraId="6A1C235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2004-05</w:t>
            </w:r>
          </w:p>
        </w:tc>
        <w:tc>
          <w:tcPr>
            <w:tcW w:w="1418" w:type="dxa"/>
            <w:tcBorders>
              <w:top w:val="nil"/>
              <w:left w:val="nil"/>
              <w:bottom w:val="nil"/>
              <w:right w:val="nil"/>
            </w:tcBorders>
            <w:noWrap/>
            <w:vAlign w:val="center"/>
            <w:hideMark/>
          </w:tcPr>
          <w:p w14:paraId="5484E91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3250</w:t>
            </w:r>
          </w:p>
        </w:tc>
        <w:tc>
          <w:tcPr>
            <w:tcW w:w="1417" w:type="dxa"/>
            <w:tcBorders>
              <w:top w:val="nil"/>
              <w:left w:val="nil"/>
              <w:bottom w:val="nil"/>
              <w:right w:val="nil"/>
            </w:tcBorders>
            <w:noWrap/>
            <w:vAlign w:val="center"/>
            <w:hideMark/>
          </w:tcPr>
          <w:p w14:paraId="09F0114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1904</w:t>
            </w:r>
          </w:p>
        </w:tc>
        <w:tc>
          <w:tcPr>
            <w:tcW w:w="1843" w:type="dxa"/>
            <w:tcBorders>
              <w:top w:val="nil"/>
              <w:left w:val="nil"/>
              <w:bottom w:val="nil"/>
              <w:right w:val="nil"/>
            </w:tcBorders>
            <w:noWrap/>
            <w:vAlign w:val="center"/>
            <w:hideMark/>
          </w:tcPr>
          <w:p w14:paraId="59D44B9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897</w:t>
            </w:r>
          </w:p>
        </w:tc>
        <w:tc>
          <w:tcPr>
            <w:tcW w:w="1417" w:type="dxa"/>
            <w:tcBorders>
              <w:top w:val="nil"/>
              <w:left w:val="nil"/>
              <w:bottom w:val="nil"/>
              <w:right w:val="nil"/>
            </w:tcBorders>
            <w:noWrap/>
            <w:vAlign w:val="center"/>
            <w:hideMark/>
          </w:tcPr>
          <w:p w14:paraId="406444B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6051</w:t>
            </w:r>
          </w:p>
        </w:tc>
      </w:tr>
      <w:tr w:rsidR="00F472C6" w:rsidRPr="00F472C6" w14:paraId="5FEBEA0B" w14:textId="77777777" w:rsidTr="002A09F0">
        <w:trPr>
          <w:trHeight w:val="310"/>
        </w:trPr>
        <w:tc>
          <w:tcPr>
            <w:tcW w:w="1276" w:type="dxa"/>
            <w:tcBorders>
              <w:top w:val="nil"/>
              <w:left w:val="nil"/>
              <w:bottom w:val="nil"/>
              <w:right w:val="nil"/>
            </w:tcBorders>
            <w:noWrap/>
            <w:vAlign w:val="center"/>
            <w:hideMark/>
          </w:tcPr>
          <w:p w14:paraId="5C75144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2005-06</w:t>
            </w:r>
          </w:p>
        </w:tc>
        <w:tc>
          <w:tcPr>
            <w:tcW w:w="1418" w:type="dxa"/>
            <w:tcBorders>
              <w:top w:val="nil"/>
              <w:left w:val="nil"/>
              <w:bottom w:val="nil"/>
              <w:right w:val="nil"/>
            </w:tcBorders>
            <w:noWrap/>
            <w:vAlign w:val="center"/>
            <w:hideMark/>
          </w:tcPr>
          <w:p w14:paraId="1298DF9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5540</w:t>
            </w:r>
          </w:p>
        </w:tc>
        <w:tc>
          <w:tcPr>
            <w:tcW w:w="1417" w:type="dxa"/>
            <w:tcBorders>
              <w:top w:val="nil"/>
              <w:left w:val="nil"/>
              <w:bottom w:val="nil"/>
              <w:right w:val="nil"/>
            </w:tcBorders>
            <w:noWrap/>
            <w:vAlign w:val="center"/>
            <w:hideMark/>
          </w:tcPr>
          <w:p w14:paraId="0DC5480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2760</w:t>
            </w:r>
          </w:p>
        </w:tc>
        <w:tc>
          <w:tcPr>
            <w:tcW w:w="1843" w:type="dxa"/>
            <w:tcBorders>
              <w:top w:val="nil"/>
              <w:left w:val="nil"/>
              <w:bottom w:val="nil"/>
              <w:right w:val="nil"/>
            </w:tcBorders>
            <w:noWrap/>
            <w:vAlign w:val="center"/>
            <w:hideMark/>
          </w:tcPr>
          <w:p w14:paraId="64689DD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661</w:t>
            </w:r>
          </w:p>
        </w:tc>
        <w:tc>
          <w:tcPr>
            <w:tcW w:w="1417" w:type="dxa"/>
            <w:tcBorders>
              <w:top w:val="nil"/>
              <w:left w:val="nil"/>
              <w:bottom w:val="nil"/>
              <w:right w:val="nil"/>
            </w:tcBorders>
            <w:noWrap/>
            <w:vAlign w:val="center"/>
            <w:hideMark/>
          </w:tcPr>
          <w:p w14:paraId="1C7C198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8961</w:t>
            </w:r>
          </w:p>
        </w:tc>
      </w:tr>
      <w:tr w:rsidR="00F472C6" w:rsidRPr="00F472C6" w14:paraId="28918BEC" w14:textId="77777777" w:rsidTr="002A09F0">
        <w:trPr>
          <w:trHeight w:val="310"/>
        </w:trPr>
        <w:tc>
          <w:tcPr>
            <w:tcW w:w="1276" w:type="dxa"/>
            <w:tcBorders>
              <w:top w:val="nil"/>
              <w:left w:val="nil"/>
              <w:bottom w:val="nil"/>
              <w:right w:val="nil"/>
            </w:tcBorders>
            <w:noWrap/>
            <w:vAlign w:val="center"/>
            <w:hideMark/>
          </w:tcPr>
          <w:p w14:paraId="787E82F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2006-07</w:t>
            </w:r>
          </w:p>
        </w:tc>
        <w:tc>
          <w:tcPr>
            <w:tcW w:w="1418" w:type="dxa"/>
            <w:tcBorders>
              <w:top w:val="nil"/>
              <w:left w:val="nil"/>
              <w:bottom w:val="nil"/>
              <w:right w:val="nil"/>
            </w:tcBorders>
            <w:noWrap/>
            <w:vAlign w:val="center"/>
            <w:hideMark/>
          </w:tcPr>
          <w:p w14:paraId="2872DE7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15585</w:t>
            </w:r>
          </w:p>
        </w:tc>
        <w:tc>
          <w:tcPr>
            <w:tcW w:w="1417" w:type="dxa"/>
            <w:tcBorders>
              <w:top w:val="nil"/>
              <w:left w:val="nil"/>
              <w:bottom w:val="nil"/>
              <w:right w:val="nil"/>
            </w:tcBorders>
            <w:noWrap/>
            <w:vAlign w:val="center"/>
            <w:hideMark/>
          </w:tcPr>
          <w:p w14:paraId="59CDB05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5828</w:t>
            </w:r>
          </w:p>
        </w:tc>
        <w:tc>
          <w:tcPr>
            <w:tcW w:w="1843" w:type="dxa"/>
            <w:tcBorders>
              <w:top w:val="nil"/>
              <w:left w:val="nil"/>
              <w:bottom w:val="nil"/>
              <w:right w:val="nil"/>
            </w:tcBorders>
            <w:noWrap/>
            <w:vAlign w:val="center"/>
            <w:hideMark/>
          </w:tcPr>
          <w:p w14:paraId="42F287B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1413</w:t>
            </w:r>
          </w:p>
        </w:tc>
        <w:tc>
          <w:tcPr>
            <w:tcW w:w="1417" w:type="dxa"/>
            <w:tcBorders>
              <w:top w:val="nil"/>
              <w:left w:val="nil"/>
              <w:bottom w:val="nil"/>
              <w:right w:val="nil"/>
            </w:tcBorders>
            <w:noWrap/>
            <w:vAlign w:val="center"/>
            <w:hideMark/>
          </w:tcPr>
          <w:p w14:paraId="6D4C70D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22826</w:t>
            </w:r>
          </w:p>
        </w:tc>
      </w:tr>
      <w:tr w:rsidR="00F472C6" w:rsidRPr="00F472C6" w14:paraId="1C518FBC" w14:textId="77777777" w:rsidTr="002A09F0">
        <w:trPr>
          <w:trHeight w:val="310"/>
        </w:trPr>
        <w:tc>
          <w:tcPr>
            <w:tcW w:w="1276" w:type="dxa"/>
            <w:tcBorders>
              <w:top w:val="nil"/>
              <w:left w:val="nil"/>
              <w:bottom w:val="nil"/>
              <w:right w:val="nil"/>
            </w:tcBorders>
            <w:noWrap/>
            <w:vAlign w:val="center"/>
            <w:hideMark/>
          </w:tcPr>
          <w:p w14:paraId="72B1AF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2007-08</w:t>
            </w:r>
          </w:p>
        </w:tc>
        <w:tc>
          <w:tcPr>
            <w:tcW w:w="1418" w:type="dxa"/>
            <w:tcBorders>
              <w:top w:val="nil"/>
              <w:left w:val="nil"/>
              <w:bottom w:val="nil"/>
              <w:right w:val="nil"/>
            </w:tcBorders>
            <w:noWrap/>
            <w:vAlign w:val="center"/>
            <w:hideMark/>
          </w:tcPr>
          <w:p w14:paraId="25B9027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24573</w:t>
            </w:r>
          </w:p>
        </w:tc>
        <w:tc>
          <w:tcPr>
            <w:tcW w:w="1417" w:type="dxa"/>
            <w:tcBorders>
              <w:top w:val="nil"/>
              <w:left w:val="nil"/>
              <w:bottom w:val="nil"/>
              <w:right w:val="nil"/>
            </w:tcBorders>
            <w:noWrap/>
            <w:vAlign w:val="center"/>
            <w:hideMark/>
          </w:tcPr>
          <w:p w14:paraId="45A0071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7679</w:t>
            </w:r>
          </w:p>
        </w:tc>
        <w:tc>
          <w:tcPr>
            <w:tcW w:w="1843" w:type="dxa"/>
            <w:tcBorders>
              <w:top w:val="nil"/>
              <w:left w:val="nil"/>
              <w:bottom w:val="nil"/>
              <w:right w:val="nil"/>
            </w:tcBorders>
            <w:noWrap/>
            <w:vAlign w:val="center"/>
            <w:hideMark/>
          </w:tcPr>
          <w:p w14:paraId="273BD25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2591</w:t>
            </w:r>
          </w:p>
        </w:tc>
        <w:tc>
          <w:tcPr>
            <w:tcW w:w="1417" w:type="dxa"/>
            <w:tcBorders>
              <w:top w:val="nil"/>
              <w:left w:val="nil"/>
              <w:bottom w:val="nil"/>
              <w:right w:val="nil"/>
            </w:tcBorders>
            <w:noWrap/>
            <w:vAlign w:val="center"/>
            <w:hideMark/>
          </w:tcPr>
          <w:p w14:paraId="3D024D0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34843</w:t>
            </w:r>
          </w:p>
        </w:tc>
      </w:tr>
      <w:tr w:rsidR="00F472C6" w:rsidRPr="00F472C6" w14:paraId="01D2558B" w14:textId="77777777" w:rsidTr="002A09F0">
        <w:trPr>
          <w:trHeight w:val="310"/>
        </w:trPr>
        <w:tc>
          <w:tcPr>
            <w:tcW w:w="1276" w:type="dxa"/>
            <w:tcBorders>
              <w:top w:val="nil"/>
              <w:left w:val="nil"/>
              <w:bottom w:val="nil"/>
              <w:right w:val="nil"/>
            </w:tcBorders>
            <w:noWrap/>
            <w:vAlign w:val="center"/>
            <w:hideMark/>
          </w:tcPr>
          <w:p w14:paraId="0003EDC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2008-09</w:t>
            </w:r>
          </w:p>
        </w:tc>
        <w:tc>
          <w:tcPr>
            <w:tcW w:w="1418" w:type="dxa"/>
            <w:tcBorders>
              <w:top w:val="nil"/>
              <w:left w:val="nil"/>
              <w:bottom w:val="nil"/>
              <w:right w:val="nil"/>
            </w:tcBorders>
            <w:noWrap/>
            <w:vAlign w:val="center"/>
            <w:hideMark/>
          </w:tcPr>
          <w:p w14:paraId="31C4990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31364</w:t>
            </w:r>
          </w:p>
        </w:tc>
        <w:tc>
          <w:tcPr>
            <w:tcW w:w="1417" w:type="dxa"/>
            <w:tcBorders>
              <w:top w:val="nil"/>
              <w:left w:val="nil"/>
              <w:bottom w:val="nil"/>
              <w:right w:val="nil"/>
            </w:tcBorders>
            <w:noWrap/>
            <w:vAlign w:val="center"/>
            <w:hideMark/>
          </w:tcPr>
          <w:p w14:paraId="5E3020F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9030</w:t>
            </w:r>
          </w:p>
        </w:tc>
        <w:tc>
          <w:tcPr>
            <w:tcW w:w="1843" w:type="dxa"/>
            <w:tcBorders>
              <w:top w:val="nil"/>
              <w:left w:val="nil"/>
              <w:bottom w:val="nil"/>
              <w:right w:val="nil"/>
            </w:tcBorders>
            <w:noWrap/>
            <w:vAlign w:val="center"/>
            <w:hideMark/>
          </w:tcPr>
          <w:p w14:paraId="776DE04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1479</w:t>
            </w:r>
          </w:p>
        </w:tc>
        <w:tc>
          <w:tcPr>
            <w:tcW w:w="1417" w:type="dxa"/>
            <w:tcBorders>
              <w:top w:val="nil"/>
              <w:left w:val="nil"/>
              <w:bottom w:val="nil"/>
              <w:right w:val="nil"/>
            </w:tcBorders>
            <w:noWrap/>
            <w:vAlign w:val="center"/>
            <w:hideMark/>
          </w:tcPr>
          <w:p w14:paraId="4D42415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41873</w:t>
            </w:r>
          </w:p>
        </w:tc>
      </w:tr>
      <w:tr w:rsidR="00F472C6" w:rsidRPr="00F472C6" w14:paraId="73EA18E7" w14:textId="77777777" w:rsidTr="002A09F0">
        <w:trPr>
          <w:trHeight w:val="310"/>
        </w:trPr>
        <w:tc>
          <w:tcPr>
            <w:tcW w:w="1276" w:type="dxa"/>
            <w:tcBorders>
              <w:top w:val="nil"/>
              <w:left w:val="nil"/>
              <w:bottom w:val="nil"/>
              <w:right w:val="nil"/>
            </w:tcBorders>
            <w:noWrap/>
            <w:vAlign w:val="center"/>
            <w:hideMark/>
          </w:tcPr>
          <w:p w14:paraId="7D28774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2009-10</w:t>
            </w:r>
          </w:p>
        </w:tc>
        <w:tc>
          <w:tcPr>
            <w:tcW w:w="1418" w:type="dxa"/>
            <w:tcBorders>
              <w:top w:val="nil"/>
              <w:left w:val="nil"/>
              <w:bottom w:val="nil"/>
              <w:right w:val="nil"/>
            </w:tcBorders>
            <w:noWrap/>
            <w:vAlign w:val="center"/>
            <w:hideMark/>
          </w:tcPr>
          <w:p w14:paraId="1474F16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25606</w:t>
            </w:r>
          </w:p>
        </w:tc>
        <w:tc>
          <w:tcPr>
            <w:tcW w:w="1417" w:type="dxa"/>
            <w:tcBorders>
              <w:top w:val="nil"/>
              <w:left w:val="nil"/>
              <w:bottom w:val="nil"/>
              <w:right w:val="nil"/>
            </w:tcBorders>
            <w:noWrap/>
            <w:vAlign w:val="center"/>
            <w:hideMark/>
          </w:tcPr>
          <w:p w14:paraId="655EE57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8668</w:t>
            </w:r>
          </w:p>
        </w:tc>
        <w:tc>
          <w:tcPr>
            <w:tcW w:w="1843" w:type="dxa"/>
            <w:tcBorders>
              <w:top w:val="nil"/>
              <w:left w:val="nil"/>
              <w:bottom w:val="nil"/>
              <w:right w:val="nil"/>
            </w:tcBorders>
            <w:noWrap/>
            <w:vAlign w:val="center"/>
            <w:hideMark/>
          </w:tcPr>
          <w:p w14:paraId="04971F7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3471</w:t>
            </w:r>
          </w:p>
        </w:tc>
        <w:tc>
          <w:tcPr>
            <w:tcW w:w="1417" w:type="dxa"/>
            <w:tcBorders>
              <w:top w:val="nil"/>
              <w:left w:val="nil"/>
              <w:bottom w:val="nil"/>
              <w:right w:val="nil"/>
            </w:tcBorders>
            <w:noWrap/>
            <w:vAlign w:val="center"/>
            <w:hideMark/>
          </w:tcPr>
          <w:p w14:paraId="349FDCE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37745</w:t>
            </w:r>
          </w:p>
        </w:tc>
      </w:tr>
      <w:tr w:rsidR="00F472C6" w:rsidRPr="00F472C6" w14:paraId="1681B376" w14:textId="77777777" w:rsidTr="002A09F0">
        <w:trPr>
          <w:trHeight w:val="310"/>
        </w:trPr>
        <w:tc>
          <w:tcPr>
            <w:tcW w:w="1276" w:type="dxa"/>
            <w:tcBorders>
              <w:top w:val="nil"/>
              <w:left w:val="nil"/>
              <w:bottom w:val="nil"/>
              <w:right w:val="nil"/>
            </w:tcBorders>
            <w:noWrap/>
            <w:vAlign w:val="center"/>
            <w:hideMark/>
          </w:tcPr>
          <w:p w14:paraId="76CA3C5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2010-11</w:t>
            </w:r>
          </w:p>
        </w:tc>
        <w:tc>
          <w:tcPr>
            <w:tcW w:w="1418" w:type="dxa"/>
            <w:tcBorders>
              <w:top w:val="nil"/>
              <w:left w:val="nil"/>
              <w:bottom w:val="nil"/>
              <w:right w:val="nil"/>
            </w:tcBorders>
            <w:noWrap/>
            <w:vAlign w:val="center"/>
            <w:hideMark/>
          </w:tcPr>
          <w:p w14:paraId="4779E17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21376</w:t>
            </w:r>
          </w:p>
        </w:tc>
        <w:tc>
          <w:tcPr>
            <w:tcW w:w="1417" w:type="dxa"/>
            <w:tcBorders>
              <w:top w:val="nil"/>
              <w:left w:val="nil"/>
              <w:bottom w:val="nil"/>
              <w:right w:val="nil"/>
            </w:tcBorders>
            <w:noWrap/>
            <w:vAlign w:val="center"/>
            <w:hideMark/>
          </w:tcPr>
          <w:p w14:paraId="29CCA3C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11939</w:t>
            </w:r>
          </w:p>
        </w:tc>
        <w:tc>
          <w:tcPr>
            <w:tcW w:w="1843" w:type="dxa"/>
            <w:tcBorders>
              <w:top w:val="nil"/>
              <w:left w:val="nil"/>
              <w:bottom w:val="nil"/>
              <w:right w:val="nil"/>
            </w:tcBorders>
            <w:noWrap/>
            <w:vAlign w:val="center"/>
            <w:hideMark/>
          </w:tcPr>
          <w:p w14:paraId="2AB3A63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1532</w:t>
            </w:r>
          </w:p>
        </w:tc>
        <w:tc>
          <w:tcPr>
            <w:tcW w:w="1417" w:type="dxa"/>
            <w:tcBorders>
              <w:top w:val="nil"/>
              <w:left w:val="nil"/>
              <w:bottom w:val="nil"/>
              <w:right w:val="nil"/>
            </w:tcBorders>
            <w:noWrap/>
            <w:vAlign w:val="center"/>
            <w:hideMark/>
          </w:tcPr>
          <w:p w14:paraId="48FC6A2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34847</w:t>
            </w:r>
          </w:p>
        </w:tc>
      </w:tr>
      <w:tr w:rsidR="00F472C6" w:rsidRPr="00F472C6" w14:paraId="34E3ED10" w14:textId="77777777" w:rsidTr="002A09F0">
        <w:trPr>
          <w:trHeight w:val="310"/>
        </w:trPr>
        <w:tc>
          <w:tcPr>
            <w:tcW w:w="1276" w:type="dxa"/>
            <w:tcBorders>
              <w:top w:val="nil"/>
              <w:left w:val="nil"/>
              <w:bottom w:val="nil"/>
              <w:right w:val="nil"/>
            </w:tcBorders>
            <w:noWrap/>
            <w:vAlign w:val="center"/>
            <w:hideMark/>
          </w:tcPr>
          <w:p w14:paraId="08CE866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2011-12</w:t>
            </w:r>
          </w:p>
        </w:tc>
        <w:tc>
          <w:tcPr>
            <w:tcW w:w="1418" w:type="dxa"/>
            <w:tcBorders>
              <w:top w:val="nil"/>
              <w:left w:val="nil"/>
              <w:bottom w:val="nil"/>
              <w:right w:val="nil"/>
            </w:tcBorders>
            <w:noWrap/>
            <w:vAlign w:val="center"/>
            <w:hideMark/>
          </w:tcPr>
          <w:p w14:paraId="7607747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34833</w:t>
            </w:r>
          </w:p>
        </w:tc>
        <w:tc>
          <w:tcPr>
            <w:tcW w:w="1417" w:type="dxa"/>
            <w:tcBorders>
              <w:top w:val="nil"/>
              <w:left w:val="nil"/>
              <w:bottom w:val="nil"/>
              <w:right w:val="nil"/>
            </w:tcBorders>
            <w:noWrap/>
            <w:vAlign w:val="center"/>
            <w:hideMark/>
          </w:tcPr>
          <w:p w14:paraId="170BB88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8206</w:t>
            </w:r>
          </w:p>
        </w:tc>
        <w:tc>
          <w:tcPr>
            <w:tcW w:w="1843" w:type="dxa"/>
            <w:tcBorders>
              <w:top w:val="nil"/>
              <w:left w:val="nil"/>
              <w:bottom w:val="nil"/>
              <w:right w:val="nil"/>
            </w:tcBorders>
            <w:noWrap/>
            <w:vAlign w:val="center"/>
            <w:hideMark/>
          </w:tcPr>
          <w:p w14:paraId="37B3991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3517</w:t>
            </w:r>
          </w:p>
        </w:tc>
        <w:tc>
          <w:tcPr>
            <w:tcW w:w="1417" w:type="dxa"/>
            <w:tcBorders>
              <w:top w:val="nil"/>
              <w:left w:val="nil"/>
              <w:bottom w:val="nil"/>
              <w:right w:val="nil"/>
            </w:tcBorders>
            <w:noWrap/>
            <w:vAlign w:val="center"/>
            <w:hideMark/>
          </w:tcPr>
          <w:p w14:paraId="0004029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46556</w:t>
            </w:r>
          </w:p>
        </w:tc>
      </w:tr>
      <w:tr w:rsidR="00F472C6" w:rsidRPr="00F472C6" w14:paraId="55F7A691" w14:textId="77777777" w:rsidTr="002A09F0">
        <w:trPr>
          <w:trHeight w:val="310"/>
        </w:trPr>
        <w:tc>
          <w:tcPr>
            <w:tcW w:w="1276" w:type="dxa"/>
            <w:tcBorders>
              <w:top w:val="nil"/>
              <w:left w:val="nil"/>
              <w:bottom w:val="nil"/>
              <w:right w:val="nil"/>
            </w:tcBorders>
            <w:noWrap/>
            <w:vAlign w:val="center"/>
            <w:hideMark/>
          </w:tcPr>
          <w:p w14:paraId="270A5D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2012-13</w:t>
            </w:r>
          </w:p>
        </w:tc>
        <w:tc>
          <w:tcPr>
            <w:tcW w:w="1418" w:type="dxa"/>
            <w:tcBorders>
              <w:top w:val="nil"/>
              <w:left w:val="nil"/>
              <w:bottom w:val="nil"/>
              <w:right w:val="nil"/>
            </w:tcBorders>
            <w:noWrap/>
            <w:vAlign w:val="center"/>
            <w:hideMark/>
          </w:tcPr>
          <w:p w14:paraId="53C3F4F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21825</w:t>
            </w:r>
          </w:p>
        </w:tc>
        <w:tc>
          <w:tcPr>
            <w:tcW w:w="1417" w:type="dxa"/>
            <w:tcBorders>
              <w:top w:val="nil"/>
              <w:left w:val="nil"/>
              <w:bottom w:val="nil"/>
              <w:right w:val="nil"/>
            </w:tcBorders>
            <w:noWrap/>
            <w:vAlign w:val="center"/>
            <w:hideMark/>
          </w:tcPr>
          <w:p w14:paraId="1F9A296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9880</w:t>
            </w:r>
          </w:p>
        </w:tc>
        <w:tc>
          <w:tcPr>
            <w:tcW w:w="1843" w:type="dxa"/>
            <w:tcBorders>
              <w:top w:val="nil"/>
              <w:left w:val="nil"/>
              <w:bottom w:val="nil"/>
              <w:right w:val="nil"/>
            </w:tcBorders>
            <w:noWrap/>
            <w:vAlign w:val="center"/>
            <w:hideMark/>
          </w:tcPr>
          <w:p w14:paraId="7831FE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2593</w:t>
            </w:r>
          </w:p>
        </w:tc>
        <w:tc>
          <w:tcPr>
            <w:tcW w:w="1417" w:type="dxa"/>
            <w:tcBorders>
              <w:top w:val="nil"/>
              <w:left w:val="nil"/>
              <w:bottom w:val="nil"/>
              <w:right w:val="nil"/>
            </w:tcBorders>
            <w:noWrap/>
            <w:vAlign w:val="center"/>
            <w:hideMark/>
          </w:tcPr>
          <w:p w14:paraId="30EED89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34298</w:t>
            </w:r>
          </w:p>
        </w:tc>
      </w:tr>
      <w:tr w:rsidR="00F472C6" w:rsidRPr="00F472C6" w14:paraId="7A59BEB2" w14:textId="77777777" w:rsidTr="002A09F0">
        <w:trPr>
          <w:trHeight w:val="310"/>
        </w:trPr>
        <w:tc>
          <w:tcPr>
            <w:tcW w:w="1276" w:type="dxa"/>
            <w:tcBorders>
              <w:top w:val="nil"/>
              <w:left w:val="nil"/>
              <w:bottom w:val="nil"/>
              <w:right w:val="nil"/>
            </w:tcBorders>
            <w:noWrap/>
            <w:vAlign w:val="center"/>
            <w:hideMark/>
          </w:tcPr>
          <w:p w14:paraId="18BDEBB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2013-14</w:t>
            </w:r>
          </w:p>
        </w:tc>
        <w:tc>
          <w:tcPr>
            <w:tcW w:w="1418" w:type="dxa"/>
            <w:tcBorders>
              <w:top w:val="nil"/>
              <w:left w:val="nil"/>
              <w:bottom w:val="nil"/>
              <w:right w:val="nil"/>
            </w:tcBorders>
            <w:noWrap/>
            <w:vAlign w:val="center"/>
            <w:hideMark/>
          </w:tcPr>
          <w:p w14:paraId="490943B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24299</w:t>
            </w:r>
          </w:p>
        </w:tc>
        <w:tc>
          <w:tcPr>
            <w:tcW w:w="1417" w:type="dxa"/>
            <w:tcBorders>
              <w:top w:val="nil"/>
              <w:left w:val="nil"/>
              <w:bottom w:val="nil"/>
              <w:right w:val="nil"/>
            </w:tcBorders>
            <w:noWrap/>
            <w:vAlign w:val="center"/>
            <w:hideMark/>
          </w:tcPr>
          <w:p w14:paraId="0377BB1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8978</w:t>
            </w:r>
          </w:p>
        </w:tc>
        <w:tc>
          <w:tcPr>
            <w:tcW w:w="1843" w:type="dxa"/>
            <w:tcBorders>
              <w:top w:val="nil"/>
              <w:left w:val="nil"/>
              <w:bottom w:val="nil"/>
              <w:right w:val="nil"/>
            </w:tcBorders>
            <w:noWrap/>
            <w:vAlign w:val="center"/>
            <w:hideMark/>
          </w:tcPr>
          <w:p w14:paraId="235051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2769</w:t>
            </w:r>
          </w:p>
        </w:tc>
        <w:tc>
          <w:tcPr>
            <w:tcW w:w="1417" w:type="dxa"/>
            <w:tcBorders>
              <w:top w:val="nil"/>
              <w:left w:val="nil"/>
              <w:bottom w:val="nil"/>
              <w:right w:val="nil"/>
            </w:tcBorders>
            <w:noWrap/>
            <w:vAlign w:val="center"/>
            <w:hideMark/>
          </w:tcPr>
          <w:p w14:paraId="5B44D2D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36046</w:t>
            </w:r>
          </w:p>
        </w:tc>
      </w:tr>
      <w:tr w:rsidR="00F472C6" w:rsidRPr="00F472C6" w14:paraId="5F5DC23C" w14:textId="77777777" w:rsidTr="002A09F0">
        <w:trPr>
          <w:trHeight w:val="310"/>
        </w:trPr>
        <w:tc>
          <w:tcPr>
            <w:tcW w:w="1276" w:type="dxa"/>
            <w:tcBorders>
              <w:top w:val="nil"/>
              <w:left w:val="nil"/>
              <w:bottom w:val="nil"/>
              <w:right w:val="nil"/>
            </w:tcBorders>
            <w:noWrap/>
            <w:vAlign w:val="center"/>
            <w:hideMark/>
          </w:tcPr>
          <w:p w14:paraId="5FF5BA2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lastRenderedPageBreak/>
              <w:t>2014-15</w:t>
            </w:r>
          </w:p>
        </w:tc>
        <w:tc>
          <w:tcPr>
            <w:tcW w:w="1418" w:type="dxa"/>
            <w:tcBorders>
              <w:top w:val="nil"/>
              <w:left w:val="nil"/>
              <w:bottom w:val="nil"/>
              <w:right w:val="nil"/>
            </w:tcBorders>
            <w:noWrap/>
            <w:vAlign w:val="center"/>
            <w:hideMark/>
          </w:tcPr>
          <w:p w14:paraId="70F293C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30933</w:t>
            </w:r>
          </w:p>
        </w:tc>
        <w:tc>
          <w:tcPr>
            <w:tcW w:w="1417" w:type="dxa"/>
            <w:tcBorders>
              <w:top w:val="nil"/>
              <w:left w:val="nil"/>
              <w:bottom w:val="nil"/>
              <w:right w:val="nil"/>
            </w:tcBorders>
            <w:noWrap/>
            <w:vAlign w:val="center"/>
            <w:hideMark/>
          </w:tcPr>
          <w:p w14:paraId="251C029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9988</w:t>
            </w:r>
          </w:p>
        </w:tc>
        <w:tc>
          <w:tcPr>
            <w:tcW w:w="1843" w:type="dxa"/>
            <w:tcBorders>
              <w:top w:val="nil"/>
              <w:left w:val="nil"/>
              <w:bottom w:val="nil"/>
              <w:right w:val="nil"/>
            </w:tcBorders>
            <w:noWrap/>
            <w:vAlign w:val="center"/>
            <w:hideMark/>
          </w:tcPr>
          <w:p w14:paraId="3E9B8DC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4227</w:t>
            </w:r>
          </w:p>
        </w:tc>
        <w:tc>
          <w:tcPr>
            <w:tcW w:w="1417" w:type="dxa"/>
            <w:tcBorders>
              <w:top w:val="nil"/>
              <w:left w:val="nil"/>
              <w:bottom w:val="nil"/>
              <w:right w:val="nil"/>
            </w:tcBorders>
            <w:noWrap/>
            <w:vAlign w:val="center"/>
            <w:hideMark/>
          </w:tcPr>
          <w:p w14:paraId="709A027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45148</w:t>
            </w:r>
          </w:p>
        </w:tc>
      </w:tr>
      <w:tr w:rsidR="00F472C6" w:rsidRPr="00F472C6" w14:paraId="3A8665B7" w14:textId="77777777" w:rsidTr="002A09F0">
        <w:trPr>
          <w:trHeight w:val="310"/>
        </w:trPr>
        <w:tc>
          <w:tcPr>
            <w:tcW w:w="1276" w:type="dxa"/>
            <w:tcBorders>
              <w:top w:val="nil"/>
              <w:left w:val="nil"/>
              <w:bottom w:val="nil"/>
              <w:right w:val="nil"/>
            </w:tcBorders>
            <w:noWrap/>
            <w:vAlign w:val="center"/>
            <w:hideMark/>
          </w:tcPr>
          <w:p w14:paraId="2AF14F6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2015-16</w:t>
            </w:r>
          </w:p>
        </w:tc>
        <w:tc>
          <w:tcPr>
            <w:tcW w:w="1418" w:type="dxa"/>
            <w:tcBorders>
              <w:top w:val="nil"/>
              <w:left w:val="nil"/>
              <w:bottom w:val="nil"/>
              <w:right w:val="nil"/>
            </w:tcBorders>
            <w:noWrap/>
            <w:vAlign w:val="center"/>
            <w:hideMark/>
          </w:tcPr>
          <w:p w14:paraId="067F6FC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40001</w:t>
            </w:r>
          </w:p>
        </w:tc>
        <w:tc>
          <w:tcPr>
            <w:tcW w:w="1417" w:type="dxa"/>
            <w:tcBorders>
              <w:top w:val="nil"/>
              <w:left w:val="nil"/>
              <w:bottom w:val="nil"/>
              <w:right w:val="nil"/>
            </w:tcBorders>
            <w:noWrap/>
            <w:vAlign w:val="center"/>
            <w:hideMark/>
          </w:tcPr>
          <w:p w14:paraId="61EF942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10413</w:t>
            </w:r>
          </w:p>
        </w:tc>
        <w:tc>
          <w:tcPr>
            <w:tcW w:w="1843" w:type="dxa"/>
            <w:tcBorders>
              <w:top w:val="nil"/>
              <w:left w:val="nil"/>
              <w:bottom w:val="nil"/>
              <w:right w:val="nil"/>
            </w:tcBorders>
            <w:noWrap/>
            <w:vAlign w:val="center"/>
            <w:hideMark/>
          </w:tcPr>
          <w:p w14:paraId="3F12C5B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5145</w:t>
            </w:r>
          </w:p>
        </w:tc>
        <w:tc>
          <w:tcPr>
            <w:tcW w:w="1417" w:type="dxa"/>
            <w:tcBorders>
              <w:top w:val="nil"/>
              <w:left w:val="nil"/>
              <w:bottom w:val="nil"/>
              <w:right w:val="nil"/>
            </w:tcBorders>
            <w:noWrap/>
            <w:vAlign w:val="center"/>
            <w:hideMark/>
          </w:tcPr>
          <w:p w14:paraId="4E374CB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55559</w:t>
            </w:r>
          </w:p>
        </w:tc>
      </w:tr>
      <w:tr w:rsidR="00F472C6" w:rsidRPr="00F472C6" w14:paraId="49F5EB48" w14:textId="77777777" w:rsidTr="002A09F0">
        <w:trPr>
          <w:trHeight w:val="310"/>
        </w:trPr>
        <w:tc>
          <w:tcPr>
            <w:tcW w:w="1276" w:type="dxa"/>
            <w:tcBorders>
              <w:top w:val="nil"/>
              <w:left w:val="nil"/>
              <w:bottom w:val="nil"/>
              <w:right w:val="nil"/>
            </w:tcBorders>
            <w:noWrap/>
            <w:vAlign w:val="center"/>
            <w:hideMark/>
          </w:tcPr>
          <w:p w14:paraId="50F8EC8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2016-17</w:t>
            </w:r>
          </w:p>
        </w:tc>
        <w:tc>
          <w:tcPr>
            <w:tcW w:w="1418" w:type="dxa"/>
            <w:tcBorders>
              <w:top w:val="nil"/>
              <w:left w:val="nil"/>
              <w:bottom w:val="nil"/>
              <w:right w:val="nil"/>
            </w:tcBorders>
            <w:noWrap/>
            <w:vAlign w:val="center"/>
            <w:hideMark/>
          </w:tcPr>
          <w:p w14:paraId="7896E91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43478</w:t>
            </w:r>
          </w:p>
        </w:tc>
        <w:tc>
          <w:tcPr>
            <w:tcW w:w="1417" w:type="dxa"/>
            <w:tcBorders>
              <w:top w:val="nil"/>
              <w:left w:val="nil"/>
              <w:bottom w:val="nil"/>
              <w:right w:val="nil"/>
            </w:tcBorders>
            <w:noWrap/>
            <w:vAlign w:val="center"/>
            <w:hideMark/>
          </w:tcPr>
          <w:p w14:paraId="5078B60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12343</w:t>
            </w:r>
          </w:p>
        </w:tc>
        <w:tc>
          <w:tcPr>
            <w:tcW w:w="1843" w:type="dxa"/>
            <w:tcBorders>
              <w:top w:val="nil"/>
              <w:left w:val="nil"/>
              <w:bottom w:val="nil"/>
              <w:right w:val="nil"/>
            </w:tcBorders>
            <w:noWrap/>
            <w:vAlign w:val="center"/>
            <w:hideMark/>
          </w:tcPr>
          <w:p w14:paraId="41EB031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4399</w:t>
            </w:r>
          </w:p>
        </w:tc>
        <w:tc>
          <w:tcPr>
            <w:tcW w:w="1417" w:type="dxa"/>
            <w:tcBorders>
              <w:top w:val="nil"/>
              <w:left w:val="nil"/>
              <w:bottom w:val="nil"/>
              <w:right w:val="nil"/>
            </w:tcBorders>
            <w:noWrap/>
            <w:vAlign w:val="center"/>
            <w:hideMark/>
          </w:tcPr>
          <w:p w14:paraId="6FE1F16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60220</w:t>
            </w:r>
          </w:p>
        </w:tc>
      </w:tr>
      <w:tr w:rsidR="00F472C6" w:rsidRPr="00F472C6" w14:paraId="5A60FD84" w14:textId="77777777" w:rsidTr="002A09F0">
        <w:trPr>
          <w:trHeight w:val="310"/>
        </w:trPr>
        <w:tc>
          <w:tcPr>
            <w:tcW w:w="1276" w:type="dxa"/>
            <w:tcBorders>
              <w:top w:val="nil"/>
              <w:left w:val="nil"/>
              <w:bottom w:val="nil"/>
              <w:right w:val="nil"/>
            </w:tcBorders>
            <w:noWrap/>
            <w:vAlign w:val="center"/>
            <w:hideMark/>
          </w:tcPr>
          <w:p w14:paraId="7A50094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2017-18</w:t>
            </w:r>
          </w:p>
        </w:tc>
        <w:tc>
          <w:tcPr>
            <w:tcW w:w="1418" w:type="dxa"/>
            <w:tcBorders>
              <w:top w:val="nil"/>
              <w:left w:val="nil"/>
              <w:bottom w:val="nil"/>
              <w:right w:val="nil"/>
            </w:tcBorders>
            <w:noWrap/>
            <w:vAlign w:val="center"/>
            <w:hideMark/>
          </w:tcPr>
          <w:p w14:paraId="6B81377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44857</w:t>
            </w:r>
          </w:p>
        </w:tc>
        <w:tc>
          <w:tcPr>
            <w:tcW w:w="1417" w:type="dxa"/>
            <w:tcBorders>
              <w:top w:val="nil"/>
              <w:left w:val="nil"/>
              <w:bottom w:val="nil"/>
              <w:right w:val="nil"/>
            </w:tcBorders>
            <w:noWrap/>
            <w:vAlign w:val="center"/>
            <w:hideMark/>
          </w:tcPr>
          <w:p w14:paraId="5738E90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12542</w:t>
            </w:r>
          </w:p>
        </w:tc>
        <w:tc>
          <w:tcPr>
            <w:tcW w:w="1843" w:type="dxa"/>
            <w:tcBorders>
              <w:top w:val="nil"/>
              <w:left w:val="nil"/>
              <w:bottom w:val="nil"/>
              <w:right w:val="nil"/>
            </w:tcBorders>
            <w:noWrap/>
            <w:vAlign w:val="center"/>
            <w:hideMark/>
          </w:tcPr>
          <w:p w14:paraId="3D51936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3575</w:t>
            </w:r>
          </w:p>
        </w:tc>
        <w:tc>
          <w:tcPr>
            <w:tcW w:w="1417" w:type="dxa"/>
            <w:tcBorders>
              <w:top w:val="nil"/>
              <w:left w:val="nil"/>
              <w:bottom w:val="nil"/>
              <w:right w:val="nil"/>
            </w:tcBorders>
            <w:noWrap/>
            <w:vAlign w:val="center"/>
            <w:hideMark/>
          </w:tcPr>
          <w:p w14:paraId="7D91B88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60974</w:t>
            </w:r>
          </w:p>
        </w:tc>
      </w:tr>
      <w:tr w:rsidR="00F472C6" w:rsidRPr="00F472C6" w14:paraId="6D966F40" w14:textId="77777777" w:rsidTr="002A09F0">
        <w:trPr>
          <w:trHeight w:val="310"/>
        </w:trPr>
        <w:tc>
          <w:tcPr>
            <w:tcW w:w="1276" w:type="dxa"/>
            <w:tcBorders>
              <w:top w:val="nil"/>
              <w:left w:val="nil"/>
              <w:bottom w:val="nil"/>
              <w:right w:val="nil"/>
            </w:tcBorders>
            <w:noWrap/>
            <w:vAlign w:val="center"/>
            <w:hideMark/>
          </w:tcPr>
          <w:p w14:paraId="55EA8F2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2018-19</w:t>
            </w:r>
          </w:p>
        </w:tc>
        <w:tc>
          <w:tcPr>
            <w:tcW w:w="1418" w:type="dxa"/>
            <w:tcBorders>
              <w:top w:val="nil"/>
              <w:left w:val="nil"/>
              <w:bottom w:val="nil"/>
              <w:right w:val="nil"/>
            </w:tcBorders>
            <w:noWrap/>
            <w:vAlign w:val="center"/>
            <w:hideMark/>
          </w:tcPr>
          <w:p w14:paraId="228217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44366</w:t>
            </w:r>
          </w:p>
        </w:tc>
        <w:tc>
          <w:tcPr>
            <w:tcW w:w="1417" w:type="dxa"/>
            <w:tcBorders>
              <w:top w:val="nil"/>
              <w:left w:val="nil"/>
              <w:bottom w:val="nil"/>
              <w:right w:val="nil"/>
            </w:tcBorders>
            <w:noWrap/>
            <w:vAlign w:val="center"/>
            <w:hideMark/>
          </w:tcPr>
          <w:p w14:paraId="73DC62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13672</w:t>
            </w:r>
          </w:p>
        </w:tc>
        <w:tc>
          <w:tcPr>
            <w:tcW w:w="1843" w:type="dxa"/>
            <w:tcBorders>
              <w:top w:val="nil"/>
              <w:left w:val="nil"/>
              <w:bottom w:val="nil"/>
              <w:right w:val="nil"/>
            </w:tcBorders>
            <w:noWrap/>
            <w:vAlign w:val="center"/>
            <w:hideMark/>
          </w:tcPr>
          <w:p w14:paraId="68CBB55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3963</w:t>
            </w:r>
          </w:p>
        </w:tc>
        <w:tc>
          <w:tcPr>
            <w:tcW w:w="1417" w:type="dxa"/>
            <w:tcBorders>
              <w:top w:val="nil"/>
              <w:left w:val="nil"/>
              <w:bottom w:val="nil"/>
              <w:right w:val="nil"/>
            </w:tcBorders>
            <w:noWrap/>
            <w:vAlign w:val="center"/>
            <w:hideMark/>
          </w:tcPr>
          <w:p w14:paraId="69F816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62001</w:t>
            </w:r>
          </w:p>
        </w:tc>
      </w:tr>
      <w:tr w:rsidR="00F472C6" w:rsidRPr="00F472C6" w14:paraId="341A614F" w14:textId="77777777" w:rsidTr="002A09F0">
        <w:trPr>
          <w:trHeight w:val="310"/>
        </w:trPr>
        <w:tc>
          <w:tcPr>
            <w:tcW w:w="1276" w:type="dxa"/>
            <w:tcBorders>
              <w:top w:val="nil"/>
              <w:left w:val="nil"/>
              <w:bottom w:val="nil"/>
              <w:right w:val="nil"/>
            </w:tcBorders>
            <w:noWrap/>
            <w:vAlign w:val="center"/>
            <w:hideMark/>
          </w:tcPr>
          <w:p w14:paraId="3F36E2C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2019-20</w:t>
            </w:r>
          </w:p>
        </w:tc>
        <w:tc>
          <w:tcPr>
            <w:tcW w:w="1418" w:type="dxa"/>
            <w:tcBorders>
              <w:top w:val="nil"/>
              <w:left w:val="nil"/>
              <w:bottom w:val="nil"/>
              <w:right w:val="nil"/>
            </w:tcBorders>
            <w:noWrap/>
            <w:vAlign w:val="center"/>
            <w:hideMark/>
          </w:tcPr>
          <w:p w14:paraId="37A8031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49977</w:t>
            </w:r>
          </w:p>
        </w:tc>
        <w:tc>
          <w:tcPr>
            <w:tcW w:w="1417" w:type="dxa"/>
            <w:tcBorders>
              <w:top w:val="nil"/>
              <w:left w:val="nil"/>
              <w:bottom w:val="nil"/>
              <w:right w:val="nil"/>
            </w:tcBorders>
            <w:noWrap/>
            <w:vAlign w:val="center"/>
            <w:hideMark/>
          </w:tcPr>
          <w:p w14:paraId="438AF4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14175</w:t>
            </w:r>
          </w:p>
        </w:tc>
        <w:tc>
          <w:tcPr>
            <w:tcW w:w="1843" w:type="dxa"/>
            <w:tcBorders>
              <w:top w:val="nil"/>
              <w:left w:val="nil"/>
              <w:bottom w:val="nil"/>
              <w:right w:val="nil"/>
            </w:tcBorders>
            <w:noWrap/>
            <w:vAlign w:val="center"/>
            <w:hideMark/>
          </w:tcPr>
          <w:p w14:paraId="44E4E51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10239</w:t>
            </w:r>
          </w:p>
        </w:tc>
        <w:tc>
          <w:tcPr>
            <w:tcW w:w="1417" w:type="dxa"/>
            <w:tcBorders>
              <w:top w:val="nil"/>
              <w:left w:val="nil"/>
              <w:bottom w:val="nil"/>
              <w:right w:val="nil"/>
            </w:tcBorders>
            <w:noWrap/>
            <w:vAlign w:val="center"/>
            <w:hideMark/>
          </w:tcPr>
          <w:p w14:paraId="1C34E3F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74391</w:t>
            </w:r>
          </w:p>
        </w:tc>
      </w:tr>
      <w:tr w:rsidR="00F472C6" w:rsidRPr="00F472C6" w14:paraId="2E09D4F7" w14:textId="77777777" w:rsidTr="002A09F0">
        <w:trPr>
          <w:trHeight w:val="310"/>
        </w:trPr>
        <w:tc>
          <w:tcPr>
            <w:tcW w:w="1276" w:type="dxa"/>
            <w:tcBorders>
              <w:top w:val="nil"/>
              <w:left w:val="nil"/>
              <w:bottom w:val="nil"/>
              <w:right w:val="nil"/>
            </w:tcBorders>
            <w:noWrap/>
            <w:vAlign w:val="center"/>
            <w:hideMark/>
          </w:tcPr>
          <w:p w14:paraId="7313E0B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2020-21</w:t>
            </w:r>
          </w:p>
        </w:tc>
        <w:tc>
          <w:tcPr>
            <w:tcW w:w="1418" w:type="dxa"/>
            <w:tcBorders>
              <w:top w:val="nil"/>
              <w:left w:val="nil"/>
              <w:bottom w:val="nil"/>
              <w:right w:val="nil"/>
            </w:tcBorders>
            <w:noWrap/>
            <w:vAlign w:val="center"/>
            <w:hideMark/>
          </w:tcPr>
          <w:p w14:paraId="5CA10E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59636</w:t>
            </w:r>
          </w:p>
        </w:tc>
        <w:tc>
          <w:tcPr>
            <w:tcW w:w="1417" w:type="dxa"/>
            <w:tcBorders>
              <w:top w:val="nil"/>
              <w:left w:val="nil"/>
              <w:bottom w:val="nil"/>
              <w:right w:val="nil"/>
            </w:tcBorders>
            <w:noWrap/>
            <w:vAlign w:val="center"/>
            <w:hideMark/>
          </w:tcPr>
          <w:p w14:paraId="29C6350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16935</w:t>
            </w:r>
          </w:p>
        </w:tc>
        <w:tc>
          <w:tcPr>
            <w:tcW w:w="1843" w:type="dxa"/>
            <w:tcBorders>
              <w:top w:val="nil"/>
              <w:left w:val="nil"/>
              <w:bottom w:val="nil"/>
              <w:right w:val="nil"/>
            </w:tcBorders>
            <w:noWrap/>
            <w:vAlign w:val="center"/>
            <w:hideMark/>
          </w:tcPr>
          <w:p w14:paraId="33EBFC7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5402</w:t>
            </w:r>
          </w:p>
        </w:tc>
        <w:tc>
          <w:tcPr>
            <w:tcW w:w="1417" w:type="dxa"/>
            <w:tcBorders>
              <w:top w:val="nil"/>
              <w:left w:val="nil"/>
              <w:bottom w:val="nil"/>
              <w:right w:val="nil"/>
            </w:tcBorders>
            <w:noWrap/>
            <w:vAlign w:val="center"/>
            <w:hideMark/>
          </w:tcPr>
          <w:p w14:paraId="7F42502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81973</w:t>
            </w:r>
          </w:p>
        </w:tc>
      </w:tr>
      <w:tr w:rsidR="00F472C6" w:rsidRPr="00F472C6" w14:paraId="0D3AEB6A" w14:textId="77777777" w:rsidTr="002A09F0">
        <w:trPr>
          <w:trHeight w:val="310"/>
        </w:trPr>
        <w:tc>
          <w:tcPr>
            <w:tcW w:w="1276" w:type="dxa"/>
            <w:tcBorders>
              <w:top w:val="nil"/>
              <w:left w:val="nil"/>
              <w:bottom w:val="nil"/>
              <w:right w:val="nil"/>
            </w:tcBorders>
            <w:noWrap/>
            <w:vAlign w:val="center"/>
            <w:hideMark/>
          </w:tcPr>
          <w:p w14:paraId="4A3BD7A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2021-22</w:t>
            </w:r>
          </w:p>
        </w:tc>
        <w:tc>
          <w:tcPr>
            <w:tcW w:w="1418" w:type="dxa"/>
            <w:tcBorders>
              <w:top w:val="nil"/>
              <w:left w:val="nil"/>
              <w:bottom w:val="nil"/>
              <w:right w:val="nil"/>
            </w:tcBorders>
            <w:noWrap/>
            <w:vAlign w:val="center"/>
            <w:hideMark/>
          </w:tcPr>
          <w:p w14:paraId="74CE00C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58773</w:t>
            </w:r>
          </w:p>
        </w:tc>
        <w:tc>
          <w:tcPr>
            <w:tcW w:w="1417" w:type="dxa"/>
            <w:tcBorders>
              <w:top w:val="nil"/>
              <w:left w:val="nil"/>
              <w:bottom w:val="nil"/>
              <w:right w:val="nil"/>
            </w:tcBorders>
            <w:noWrap/>
            <w:vAlign w:val="center"/>
            <w:hideMark/>
          </w:tcPr>
          <w:p w14:paraId="1E00D8F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19347</w:t>
            </w:r>
          </w:p>
        </w:tc>
        <w:tc>
          <w:tcPr>
            <w:tcW w:w="1843" w:type="dxa"/>
            <w:tcBorders>
              <w:top w:val="nil"/>
              <w:left w:val="nil"/>
              <w:bottom w:val="nil"/>
              <w:right w:val="nil"/>
            </w:tcBorders>
            <w:noWrap/>
            <w:vAlign w:val="center"/>
            <w:hideMark/>
          </w:tcPr>
          <w:p w14:paraId="218F58C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6715</w:t>
            </w:r>
          </w:p>
        </w:tc>
        <w:tc>
          <w:tcPr>
            <w:tcW w:w="1417" w:type="dxa"/>
            <w:tcBorders>
              <w:top w:val="nil"/>
              <w:left w:val="nil"/>
              <w:bottom w:val="nil"/>
              <w:right w:val="nil"/>
            </w:tcBorders>
            <w:noWrap/>
            <w:vAlign w:val="center"/>
            <w:hideMark/>
          </w:tcPr>
          <w:p w14:paraId="134D080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84835</w:t>
            </w:r>
          </w:p>
        </w:tc>
      </w:tr>
      <w:tr w:rsidR="00F472C6" w:rsidRPr="00F472C6" w14:paraId="276BFB3E" w14:textId="77777777" w:rsidTr="002A09F0">
        <w:trPr>
          <w:trHeight w:val="310"/>
        </w:trPr>
        <w:tc>
          <w:tcPr>
            <w:tcW w:w="1276" w:type="dxa"/>
            <w:tcBorders>
              <w:top w:val="nil"/>
              <w:left w:val="nil"/>
              <w:bottom w:val="nil"/>
              <w:right w:val="nil"/>
            </w:tcBorders>
            <w:noWrap/>
            <w:vAlign w:val="center"/>
            <w:hideMark/>
          </w:tcPr>
          <w:p w14:paraId="2865EB5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2022-23</w:t>
            </w:r>
          </w:p>
        </w:tc>
        <w:tc>
          <w:tcPr>
            <w:tcW w:w="1418" w:type="dxa"/>
            <w:tcBorders>
              <w:top w:val="nil"/>
              <w:left w:val="nil"/>
              <w:bottom w:val="nil"/>
              <w:right w:val="nil"/>
            </w:tcBorders>
            <w:noWrap/>
            <w:vAlign w:val="center"/>
            <w:hideMark/>
          </w:tcPr>
          <w:p w14:paraId="690169E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46034</w:t>
            </w:r>
          </w:p>
        </w:tc>
        <w:tc>
          <w:tcPr>
            <w:tcW w:w="1417" w:type="dxa"/>
            <w:tcBorders>
              <w:top w:val="nil"/>
              <w:left w:val="nil"/>
              <w:bottom w:val="nil"/>
              <w:right w:val="nil"/>
            </w:tcBorders>
            <w:noWrap/>
            <w:vAlign w:val="center"/>
            <w:hideMark/>
          </w:tcPr>
          <w:p w14:paraId="764896D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19105</w:t>
            </w:r>
          </w:p>
        </w:tc>
        <w:tc>
          <w:tcPr>
            <w:tcW w:w="1843" w:type="dxa"/>
            <w:tcBorders>
              <w:top w:val="nil"/>
              <w:left w:val="nil"/>
              <w:bottom w:val="nil"/>
              <w:right w:val="nil"/>
            </w:tcBorders>
            <w:noWrap/>
            <w:vAlign w:val="center"/>
            <w:hideMark/>
          </w:tcPr>
          <w:p w14:paraId="59CF7A5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6216</w:t>
            </w:r>
          </w:p>
        </w:tc>
        <w:tc>
          <w:tcPr>
            <w:tcW w:w="1417" w:type="dxa"/>
            <w:tcBorders>
              <w:top w:val="nil"/>
              <w:left w:val="nil"/>
              <w:bottom w:val="nil"/>
              <w:right w:val="nil"/>
            </w:tcBorders>
            <w:noWrap/>
            <w:vAlign w:val="center"/>
            <w:hideMark/>
          </w:tcPr>
          <w:p w14:paraId="07962DE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71355</w:t>
            </w:r>
          </w:p>
        </w:tc>
      </w:tr>
      <w:tr w:rsidR="00F472C6" w:rsidRPr="00F472C6" w14:paraId="46B7A2C5" w14:textId="77777777" w:rsidTr="002A09F0">
        <w:trPr>
          <w:trHeight w:val="310"/>
        </w:trPr>
        <w:tc>
          <w:tcPr>
            <w:tcW w:w="1276" w:type="dxa"/>
            <w:tcBorders>
              <w:top w:val="nil"/>
              <w:left w:val="nil"/>
              <w:bottom w:val="single" w:sz="4" w:space="0" w:color="auto"/>
              <w:right w:val="nil"/>
            </w:tcBorders>
            <w:noWrap/>
            <w:vAlign w:val="center"/>
            <w:hideMark/>
          </w:tcPr>
          <w:p w14:paraId="74924AD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2023-24</w:t>
            </w:r>
          </w:p>
        </w:tc>
        <w:tc>
          <w:tcPr>
            <w:tcW w:w="1418" w:type="dxa"/>
            <w:tcBorders>
              <w:top w:val="nil"/>
              <w:left w:val="nil"/>
              <w:bottom w:val="single" w:sz="4" w:space="0" w:color="auto"/>
              <w:right w:val="nil"/>
            </w:tcBorders>
            <w:noWrap/>
            <w:vAlign w:val="center"/>
            <w:hideMark/>
          </w:tcPr>
          <w:p w14:paraId="2B4D373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44423</w:t>
            </w:r>
          </w:p>
        </w:tc>
        <w:tc>
          <w:tcPr>
            <w:tcW w:w="1417" w:type="dxa"/>
            <w:tcBorders>
              <w:top w:val="nil"/>
              <w:left w:val="nil"/>
              <w:bottom w:val="single" w:sz="4" w:space="0" w:color="auto"/>
              <w:right w:val="nil"/>
            </w:tcBorders>
            <w:noWrap/>
            <w:vAlign w:val="center"/>
            <w:hideMark/>
          </w:tcPr>
          <w:p w14:paraId="4C4B825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19533</w:t>
            </w:r>
          </w:p>
        </w:tc>
        <w:tc>
          <w:tcPr>
            <w:tcW w:w="1843" w:type="dxa"/>
            <w:tcBorders>
              <w:top w:val="nil"/>
              <w:left w:val="nil"/>
              <w:bottom w:val="single" w:sz="4" w:space="0" w:color="auto"/>
              <w:right w:val="nil"/>
            </w:tcBorders>
            <w:noWrap/>
            <w:vAlign w:val="center"/>
            <w:hideMark/>
          </w:tcPr>
          <w:p w14:paraId="07D4CD4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6998</w:t>
            </w:r>
          </w:p>
        </w:tc>
        <w:tc>
          <w:tcPr>
            <w:tcW w:w="1417" w:type="dxa"/>
            <w:tcBorders>
              <w:top w:val="nil"/>
              <w:left w:val="nil"/>
              <w:bottom w:val="single" w:sz="4" w:space="0" w:color="auto"/>
              <w:right w:val="nil"/>
            </w:tcBorders>
            <w:noWrap/>
            <w:vAlign w:val="center"/>
            <w:hideMark/>
          </w:tcPr>
          <w:p w14:paraId="09D4E09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70954</w:t>
            </w:r>
          </w:p>
        </w:tc>
      </w:tr>
    </w:tbl>
    <w:p w14:paraId="012DAD6E" w14:textId="12D6F3CC" w:rsidR="00F70E27" w:rsidRPr="00F472C6" w:rsidRDefault="00F70E27" w:rsidP="00EC4670">
      <w:pPr>
        <w:rPr>
          <w:rFonts w:ascii="Arial" w:hAnsi="Arial" w:cs="Arial"/>
          <w:i/>
          <w:iCs/>
          <w:sz w:val="20"/>
          <w:szCs w:val="20"/>
        </w:rPr>
      </w:pPr>
      <w:r w:rsidRPr="00F472C6">
        <w:rPr>
          <w:rFonts w:ascii="Arial" w:hAnsi="Arial" w:cs="Arial"/>
          <w:i/>
          <w:iCs/>
          <w:sz w:val="20"/>
          <w:szCs w:val="20"/>
        </w:rPr>
        <w:t>Source: RBI’s Bulletin for May, 2024 dt. 21.05.2024</w:t>
      </w:r>
    </w:p>
    <w:p w14:paraId="50631327" w14:textId="77777777" w:rsidR="00F70E27" w:rsidRPr="00F472C6" w:rsidRDefault="00F70E27" w:rsidP="00F70E27">
      <w:pPr>
        <w:rPr>
          <w:rFonts w:ascii="Arial" w:hAnsi="Arial" w:cs="Arial"/>
          <w:sz w:val="20"/>
          <w:szCs w:val="20"/>
        </w:rPr>
      </w:pPr>
      <w:r w:rsidRPr="00F472C6">
        <w:rPr>
          <w:rFonts w:ascii="Arial" w:hAnsi="Arial" w:cs="Arial"/>
          <w:sz w:val="20"/>
          <w:szCs w:val="20"/>
        </w:rPr>
        <w:t xml:space="preserve">The Auto Regressive Integrated Moving Average (ARIMA) model is used to </w:t>
      </w:r>
      <w:proofErr w:type="spellStart"/>
      <w:r w:rsidRPr="00F472C6">
        <w:rPr>
          <w:rFonts w:ascii="Arial" w:hAnsi="Arial" w:cs="Arial"/>
          <w:sz w:val="20"/>
          <w:szCs w:val="20"/>
        </w:rPr>
        <w:t>analyze</w:t>
      </w:r>
      <w:proofErr w:type="spellEnd"/>
      <w:r w:rsidRPr="00F472C6">
        <w:rPr>
          <w:rFonts w:ascii="Arial" w:hAnsi="Arial" w:cs="Arial"/>
          <w:sz w:val="20"/>
          <w:szCs w:val="20"/>
        </w:rPr>
        <w:t xml:space="preserve"> and forecast Total FDI Inflow. The ARIMA model is denoted as ARIMA </w:t>
      </w:r>
      <m:oMath>
        <m:r>
          <w:rPr>
            <w:rFonts w:ascii="Cambria Math" w:hAnsi="Cambria Math" w:cs="Arial"/>
            <w:sz w:val="20"/>
            <w:szCs w:val="20"/>
          </w:rPr>
          <m:t>(p, d, q)</m:t>
        </m:r>
      </m:oMath>
      <w:r w:rsidRPr="00F472C6">
        <w:rPr>
          <w:rFonts w:ascii="Arial" w:hAnsi="Arial" w:cs="Arial"/>
          <w:sz w:val="20"/>
          <w:szCs w:val="20"/>
        </w:rPr>
        <w:t>, where:</w:t>
      </w:r>
    </w:p>
    <w:p w14:paraId="03E28FDF" w14:textId="77777777" w:rsidR="00F70E27" w:rsidRPr="00F472C6" w:rsidRDefault="00F70E27" w:rsidP="00F70E27">
      <w:pPr>
        <w:ind w:left="714"/>
        <w:rPr>
          <w:rFonts w:ascii="Arial" w:hAnsi="Arial" w:cs="Arial"/>
          <w:sz w:val="20"/>
          <w:szCs w:val="20"/>
        </w:rPr>
      </w:pPr>
      <w:r w:rsidRPr="00F472C6">
        <w:rPr>
          <w:rFonts w:ascii="Arial" w:hAnsi="Arial" w:cs="Arial"/>
          <w:i/>
          <w:iCs/>
          <w:sz w:val="20"/>
          <w:szCs w:val="20"/>
        </w:rPr>
        <w:t>p</w:t>
      </w:r>
      <w:r w:rsidRPr="00F472C6">
        <w:rPr>
          <w:rFonts w:ascii="Arial" w:hAnsi="Arial" w:cs="Arial"/>
          <w:sz w:val="20"/>
          <w:szCs w:val="20"/>
        </w:rPr>
        <w:t xml:space="preserve"> represents the number of autoregressive terms,</w:t>
      </w:r>
    </w:p>
    <w:p w14:paraId="25B60EA4" w14:textId="77777777" w:rsidR="00F70E27" w:rsidRPr="00F472C6" w:rsidRDefault="00F70E27" w:rsidP="00F70E27">
      <w:pPr>
        <w:ind w:left="714"/>
        <w:rPr>
          <w:rFonts w:ascii="Arial" w:hAnsi="Arial" w:cs="Arial"/>
          <w:sz w:val="20"/>
          <w:szCs w:val="20"/>
        </w:rPr>
      </w:pPr>
      <w:r w:rsidRPr="00F472C6">
        <w:rPr>
          <w:rFonts w:ascii="Arial" w:hAnsi="Arial" w:cs="Arial"/>
          <w:i/>
          <w:iCs/>
          <w:sz w:val="20"/>
          <w:szCs w:val="20"/>
        </w:rPr>
        <w:t>d</w:t>
      </w:r>
      <w:r w:rsidRPr="00F472C6">
        <w:rPr>
          <w:rFonts w:ascii="Arial" w:hAnsi="Arial" w:cs="Arial"/>
          <w:sz w:val="20"/>
          <w:szCs w:val="20"/>
        </w:rPr>
        <w:t xml:space="preserve"> is the number of non-seasonal differences needed to make the series stationary,</w:t>
      </w:r>
    </w:p>
    <w:p w14:paraId="545C7EFF" w14:textId="77777777" w:rsidR="00F70E27" w:rsidRPr="00F472C6" w:rsidRDefault="00F70E27" w:rsidP="00F70E27">
      <w:pPr>
        <w:spacing w:line="480" w:lineRule="auto"/>
        <w:ind w:left="714"/>
        <w:rPr>
          <w:rFonts w:ascii="Arial" w:hAnsi="Arial" w:cs="Arial"/>
          <w:sz w:val="20"/>
          <w:szCs w:val="20"/>
        </w:rPr>
      </w:pPr>
      <w:r w:rsidRPr="00F472C6">
        <w:rPr>
          <w:rFonts w:ascii="Arial" w:hAnsi="Arial" w:cs="Arial"/>
          <w:i/>
          <w:iCs/>
          <w:sz w:val="20"/>
          <w:szCs w:val="20"/>
        </w:rPr>
        <w:t>q</w:t>
      </w:r>
      <w:r w:rsidRPr="00F472C6">
        <w:rPr>
          <w:rFonts w:ascii="Arial" w:hAnsi="Arial" w:cs="Arial"/>
          <w:sz w:val="20"/>
          <w:szCs w:val="20"/>
        </w:rPr>
        <w:t xml:space="preserve"> is the number of lagged forecast errors in the prediction equation.</w:t>
      </w:r>
    </w:p>
    <w:p w14:paraId="7B80D92B" w14:textId="77777777" w:rsidR="00F70E27" w:rsidRPr="00F472C6" w:rsidRDefault="00F70E27" w:rsidP="00F70E27">
      <w:pPr>
        <w:rPr>
          <w:rFonts w:ascii="Arial" w:hAnsi="Arial" w:cs="Arial"/>
          <w:sz w:val="20"/>
          <w:szCs w:val="20"/>
        </w:rPr>
      </w:pPr>
      <w:r w:rsidRPr="00F472C6">
        <w:rPr>
          <w:rFonts w:ascii="Arial" w:hAnsi="Arial" w:cs="Arial"/>
          <w:sz w:val="20"/>
          <w:szCs w:val="20"/>
        </w:rPr>
        <w:t>The general ARIMA model is expressed as:</w:t>
      </w:r>
    </w:p>
    <w:p w14:paraId="19185357" w14:textId="77777777" w:rsidR="00F70E27" w:rsidRPr="00F472C6" w:rsidRDefault="00BD5DC3" w:rsidP="00F70E27">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c</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2</m:t>
              </m:r>
            </m:sub>
          </m:sSub>
          <m:r>
            <w:rPr>
              <w:rFonts w:ascii="Cambria Math" w:hAnsi="Cambria Math" w:cs="Arial"/>
              <w:sz w:val="20"/>
              <w:szCs w:val="20"/>
            </w:rPr>
            <m:t>+ .  .  . +</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2</m:t>
              </m:r>
            </m:sub>
          </m:sSub>
          <m:r>
            <w:rPr>
              <w:rFonts w:ascii="Cambria Math" w:hAnsi="Cambria Math" w:cs="Arial"/>
              <w:sz w:val="20"/>
              <w:szCs w:val="20"/>
            </w:rPr>
            <m:t xml:space="preserve">+  .  .  . + </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q</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oMath>
      </m:oMathPara>
    </w:p>
    <w:p w14:paraId="5541E8E0" w14:textId="77777777" w:rsidR="00F70E27" w:rsidRPr="00F472C6" w:rsidRDefault="00F70E27" w:rsidP="00F70E27">
      <w:pPr>
        <w:rPr>
          <w:rFonts w:ascii="Arial" w:hAnsi="Arial" w:cs="Arial"/>
          <w:sz w:val="20"/>
          <w:szCs w:val="20"/>
        </w:rPr>
      </w:pPr>
      <w:r w:rsidRPr="00F472C6">
        <w:rPr>
          <w:rFonts w:ascii="Arial" w:hAnsi="Arial" w:cs="Arial"/>
          <w:sz w:val="20"/>
          <w:szCs w:val="20"/>
        </w:rPr>
        <w:t>where:</w:t>
      </w:r>
    </w:p>
    <w:p w14:paraId="5C8FC306" w14:textId="77777777" w:rsidR="00F70E27" w:rsidRPr="00F472C6" w:rsidRDefault="00BD5DC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oMath>
      <w:r w:rsidR="00F70E27" w:rsidRPr="00F472C6">
        <w:rPr>
          <w:rFonts w:ascii="Arial" w:hAnsi="Arial" w:cs="Arial"/>
          <w:sz w:val="20"/>
          <w:szCs w:val="20"/>
        </w:rPr>
        <w:t xml:space="preserve">is the differenced FDI inflow at time </w:t>
      </w:r>
      <m:oMath>
        <m:r>
          <w:rPr>
            <w:rFonts w:ascii="Cambria Math" w:hAnsi="Cambria Math" w:cs="Arial"/>
            <w:sz w:val="20"/>
            <w:szCs w:val="20"/>
          </w:rPr>
          <m:t>t</m:t>
        </m:r>
      </m:oMath>
      <w:r w:rsidR="00F70E27" w:rsidRPr="00F472C6">
        <w:rPr>
          <w:rFonts w:ascii="Arial" w:hAnsi="Arial" w:cs="Arial"/>
          <w:sz w:val="20"/>
          <w:szCs w:val="20"/>
        </w:rPr>
        <w:t>,</w:t>
      </w:r>
    </w:p>
    <w:p w14:paraId="12399B5E" w14:textId="77777777" w:rsidR="00F70E27" w:rsidRPr="00F472C6" w:rsidRDefault="00BD5DC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i</m:t>
            </m:r>
          </m:sub>
        </m:sSub>
        <m:r>
          <w:rPr>
            <w:rFonts w:ascii="Cambria Math" w:hAnsi="Cambria Math" w:cs="Arial"/>
            <w:sz w:val="20"/>
            <w:szCs w:val="20"/>
          </w:rPr>
          <m:t xml:space="preserve"> </m:t>
        </m:r>
      </m:oMath>
      <w:r w:rsidR="00F70E27" w:rsidRPr="00F472C6">
        <w:rPr>
          <w:rFonts w:ascii="Arial" w:hAnsi="Arial" w:cs="Arial"/>
          <w:sz w:val="20"/>
          <w:szCs w:val="20"/>
        </w:rPr>
        <w:t xml:space="preserve">are the autoregressive coefficients, </w:t>
      </w:r>
    </w:p>
    <w:p w14:paraId="470A24FD" w14:textId="77777777" w:rsidR="00F70E27" w:rsidRPr="00F472C6" w:rsidRDefault="00BD5DC3"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j</m:t>
            </m:r>
          </m:sub>
        </m:sSub>
        <m:r>
          <w:rPr>
            <w:rFonts w:ascii="Cambria Math" w:hAnsi="Cambria Math" w:cs="Arial"/>
            <w:sz w:val="20"/>
            <w:szCs w:val="20"/>
          </w:rPr>
          <m:t xml:space="preserve"> </m:t>
        </m:r>
      </m:oMath>
      <w:r w:rsidR="00F70E27" w:rsidRPr="00F472C6">
        <w:rPr>
          <w:rFonts w:ascii="Arial" w:hAnsi="Arial" w:cs="Arial"/>
          <w:sz w:val="20"/>
          <w:szCs w:val="20"/>
        </w:rPr>
        <w:t>are the moving average coefficients,</w:t>
      </w:r>
    </w:p>
    <w:p w14:paraId="6B39CE75" w14:textId="77777777" w:rsidR="00F70E27" w:rsidRPr="00F472C6" w:rsidRDefault="00BD5DC3" w:rsidP="00F70E27">
      <w:pPr>
        <w:spacing w:line="480" w:lineRule="auto"/>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r>
          <w:rPr>
            <w:rFonts w:ascii="Cambria Math" w:hAnsi="Cambria Math" w:cs="Arial"/>
            <w:sz w:val="20"/>
            <w:szCs w:val="20"/>
          </w:rPr>
          <m:t xml:space="preserve"> </m:t>
        </m:r>
      </m:oMath>
      <w:r w:rsidR="00F70E27" w:rsidRPr="00F472C6">
        <w:rPr>
          <w:rFonts w:ascii="Arial" w:hAnsi="Arial" w:cs="Arial"/>
          <w:sz w:val="20"/>
          <w:szCs w:val="20"/>
        </w:rPr>
        <w:t xml:space="preserve">is the white noise error </w:t>
      </w:r>
      <w:proofErr w:type="gramStart"/>
      <w:r w:rsidR="00F70E27" w:rsidRPr="00F472C6">
        <w:rPr>
          <w:rFonts w:ascii="Arial" w:hAnsi="Arial" w:cs="Arial"/>
          <w:sz w:val="20"/>
          <w:szCs w:val="20"/>
        </w:rPr>
        <w:t>term.</w:t>
      </w:r>
      <w:proofErr w:type="gramEnd"/>
    </w:p>
    <w:p w14:paraId="23B24276" w14:textId="77777777" w:rsidR="00F70E27" w:rsidRPr="00F472C6" w:rsidRDefault="00F70E27" w:rsidP="00F70E27">
      <w:pPr>
        <w:rPr>
          <w:rFonts w:ascii="Arial" w:hAnsi="Arial" w:cs="Arial"/>
          <w:sz w:val="20"/>
          <w:szCs w:val="20"/>
        </w:rPr>
      </w:pPr>
      <w:r w:rsidRPr="00F472C6">
        <w:rPr>
          <w:rFonts w:ascii="Arial" w:hAnsi="Arial" w:cs="Arial"/>
          <w:sz w:val="20"/>
          <w:szCs w:val="20"/>
        </w:rPr>
        <w:t>The steps followed include:</w:t>
      </w:r>
    </w:p>
    <w:p w14:paraId="08AC6856"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Stationarity Check: Augmented Dickey-Fuller (ADF) test was used to check for unit root in the original series. Differencing was performed to make the series stationary.</w:t>
      </w:r>
    </w:p>
    <w:p w14:paraId="592B58F2"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Identification: Autocorrelation Function (ACF) and Partial Autocorrelation Function (PACF) plots guided the selection of AR and MA terms.</w:t>
      </w:r>
    </w:p>
    <w:p w14:paraId="6F003479"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Estimation: The ARIMA model was estimated based on AR and MA terms suggestions of ACF and PACF.</w:t>
      </w:r>
    </w:p>
    <w:p w14:paraId="75E9E9C2"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Validation: Residual diagnostics were performed to ensure that residuals were white noise.</w:t>
      </w:r>
    </w:p>
    <w:p w14:paraId="5D4114F6" w14:textId="3B99A607" w:rsidR="004E746D" w:rsidRPr="00F472C6" w:rsidRDefault="00F70E27" w:rsidP="00F70E27">
      <w:pPr>
        <w:pStyle w:val="ListParagraph"/>
        <w:numPr>
          <w:ilvl w:val="0"/>
          <w:numId w:val="1"/>
        </w:numPr>
        <w:spacing w:before="0" w:after="200"/>
        <w:rPr>
          <w:rStyle w:val="Strong"/>
          <w:rFonts w:ascii="Arial" w:hAnsi="Arial" w:cs="Arial"/>
          <w:sz w:val="20"/>
          <w:szCs w:val="20"/>
        </w:rPr>
      </w:pPr>
      <w:r w:rsidRPr="00F472C6">
        <w:rPr>
          <w:rFonts w:ascii="Arial" w:hAnsi="Arial" w:cs="Arial"/>
          <w:sz w:val="20"/>
          <w:szCs w:val="20"/>
        </w:rPr>
        <w:t>Forecasting: The model was used to forecast Total FDI Inflow and its components for the next five years.</w:t>
      </w:r>
    </w:p>
    <w:p w14:paraId="5477E394" w14:textId="3A5503CB" w:rsidR="00F70E27" w:rsidRPr="00F472C6" w:rsidRDefault="00CE0C9C" w:rsidP="00F70E27">
      <w:pPr>
        <w:rPr>
          <w:rStyle w:val="Strong"/>
          <w:rFonts w:ascii="Arial" w:hAnsi="Arial" w:cs="Arial"/>
        </w:rPr>
      </w:pPr>
      <w:r w:rsidRPr="00F472C6">
        <w:rPr>
          <w:rStyle w:val="Strong"/>
          <w:rFonts w:ascii="Arial" w:hAnsi="Arial" w:cs="Arial"/>
        </w:rPr>
        <w:t>3.</w:t>
      </w:r>
      <w:r w:rsidR="00A525DC" w:rsidRPr="00F472C6">
        <w:rPr>
          <w:rStyle w:val="Strong"/>
          <w:rFonts w:ascii="Arial" w:hAnsi="Arial" w:cs="Arial"/>
        </w:rPr>
        <w:t>EMPIRICAL RESULTS AND DISCUSSION</w:t>
      </w:r>
    </w:p>
    <w:p w14:paraId="1662856D" w14:textId="77777777" w:rsidR="00F70E27" w:rsidRPr="00F472C6" w:rsidRDefault="00F70E27" w:rsidP="00F70E27">
      <w:pPr>
        <w:rPr>
          <w:rFonts w:ascii="Arial" w:hAnsi="Arial" w:cs="Arial"/>
          <w:b/>
          <w:bCs/>
          <w:sz w:val="20"/>
          <w:szCs w:val="20"/>
        </w:rPr>
      </w:pPr>
      <w:r w:rsidRPr="00F472C6">
        <w:rPr>
          <w:rFonts w:ascii="Arial" w:hAnsi="Arial" w:cs="Arial"/>
          <w:b/>
          <w:bCs/>
          <w:sz w:val="20"/>
          <w:szCs w:val="20"/>
        </w:rPr>
        <w:lastRenderedPageBreak/>
        <w:t>Table 2: Descriptive Statistics of FDI Inflows</w:t>
      </w:r>
    </w:p>
    <w:tbl>
      <w:tblPr>
        <w:tblW w:w="7680" w:type="dxa"/>
        <w:tblLook w:val="04A0" w:firstRow="1" w:lastRow="0" w:firstColumn="1" w:lastColumn="0" w:noHBand="0" w:noVBand="1"/>
      </w:tblPr>
      <w:tblGrid>
        <w:gridCol w:w="2920"/>
        <w:gridCol w:w="1200"/>
        <w:gridCol w:w="1220"/>
        <w:gridCol w:w="1120"/>
        <w:gridCol w:w="1220"/>
      </w:tblGrid>
      <w:tr w:rsidR="00F472C6" w:rsidRPr="00F472C6" w14:paraId="2A76485C" w14:textId="77777777" w:rsidTr="004E746D">
        <w:trPr>
          <w:trHeight w:val="800"/>
        </w:trPr>
        <w:tc>
          <w:tcPr>
            <w:tcW w:w="2920" w:type="dxa"/>
            <w:tcBorders>
              <w:top w:val="single" w:sz="4" w:space="0" w:color="auto"/>
              <w:left w:val="nil"/>
              <w:bottom w:val="single" w:sz="4" w:space="0" w:color="auto"/>
              <w:right w:val="nil"/>
            </w:tcBorders>
            <w:vAlign w:val="center"/>
            <w:hideMark/>
          </w:tcPr>
          <w:p w14:paraId="147EE3F5"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Category</w:t>
            </w:r>
          </w:p>
        </w:tc>
        <w:tc>
          <w:tcPr>
            <w:tcW w:w="1200" w:type="dxa"/>
            <w:tcBorders>
              <w:top w:val="single" w:sz="4" w:space="0" w:color="auto"/>
              <w:left w:val="nil"/>
              <w:bottom w:val="single" w:sz="4" w:space="0" w:color="auto"/>
              <w:right w:val="nil"/>
            </w:tcBorders>
            <w:vAlign w:val="center"/>
            <w:hideMark/>
          </w:tcPr>
          <w:p w14:paraId="62FBF2A3"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Mean</w:t>
            </w:r>
          </w:p>
        </w:tc>
        <w:tc>
          <w:tcPr>
            <w:tcW w:w="1220" w:type="dxa"/>
            <w:tcBorders>
              <w:top w:val="single" w:sz="4" w:space="0" w:color="auto"/>
              <w:left w:val="nil"/>
              <w:bottom w:val="single" w:sz="4" w:space="0" w:color="auto"/>
              <w:right w:val="nil"/>
            </w:tcBorders>
            <w:vAlign w:val="center"/>
            <w:hideMark/>
          </w:tcPr>
          <w:p w14:paraId="76983FBD"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Standard Deviation</w:t>
            </w:r>
          </w:p>
        </w:tc>
        <w:tc>
          <w:tcPr>
            <w:tcW w:w="1120" w:type="dxa"/>
            <w:tcBorders>
              <w:top w:val="single" w:sz="4" w:space="0" w:color="auto"/>
              <w:left w:val="nil"/>
              <w:bottom w:val="single" w:sz="4" w:space="0" w:color="auto"/>
              <w:right w:val="nil"/>
            </w:tcBorders>
            <w:vAlign w:val="center"/>
            <w:hideMark/>
          </w:tcPr>
          <w:p w14:paraId="49D21E69"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Minimum value</w:t>
            </w:r>
          </w:p>
        </w:tc>
        <w:tc>
          <w:tcPr>
            <w:tcW w:w="1220" w:type="dxa"/>
            <w:tcBorders>
              <w:top w:val="single" w:sz="4" w:space="0" w:color="auto"/>
              <w:left w:val="nil"/>
              <w:bottom w:val="single" w:sz="4" w:space="0" w:color="auto"/>
              <w:right w:val="nil"/>
            </w:tcBorders>
            <w:vAlign w:val="center"/>
            <w:hideMark/>
          </w:tcPr>
          <w:p w14:paraId="1CE57997"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Maximum value</w:t>
            </w:r>
          </w:p>
        </w:tc>
      </w:tr>
      <w:tr w:rsidR="00F472C6" w:rsidRPr="00F472C6" w14:paraId="02107F8B" w14:textId="77777777" w:rsidTr="004E746D">
        <w:trPr>
          <w:trHeight w:val="800"/>
        </w:trPr>
        <w:tc>
          <w:tcPr>
            <w:tcW w:w="2920" w:type="dxa"/>
            <w:tcBorders>
              <w:top w:val="nil"/>
              <w:left w:val="nil"/>
              <w:bottom w:val="nil"/>
              <w:right w:val="nil"/>
            </w:tcBorders>
            <w:vAlign w:val="center"/>
            <w:hideMark/>
          </w:tcPr>
          <w:p w14:paraId="16C2B53C"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Govt Auto Acquisition Route</w:t>
            </w:r>
          </w:p>
        </w:tc>
        <w:tc>
          <w:tcPr>
            <w:tcW w:w="1200" w:type="dxa"/>
            <w:tcBorders>
              <w:top w:val="nil"/>
              <w:left w:val="nil"/>
              <w:bottom w:val="nil"/>
              <w:right w:val="nil"/>
            </w:tcBorders>
            <w:noWrap/>
            <w:vAlign w:val="center"/>
            <w:hideMark/>
          </w:tcPr>
          <w:p w14:paraId="46AF810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28405.96</w:t>
            </w:r>
          </w:p>
        </w:tc>
        <w:tc>
          <w:tcPr>
            <w:tcW w:w="1220" w:type="dxa"/>
            <w:tcBorders>
              <w:top w:val="nil"/>
              <w:left w:val="nil"/>
              <w:bottom w:val="nil"/>
              <w:right w:val="nil"/>
            </w:tcBorders>
            <w:noWrap/>
            <w:vAlign w:val="center"/>
            <w:hideMark/>
          </w:tcPr>
          <w:p w14:paraId="55F5FFA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18211.38</w:t>
            </w:r>
          </w:p>
        </w:tc>
        <w:tc>
          <w:tcPr>
            <w:tcW w:w="1120" w:type="dxa"/>
            <w:tcBorders>
              <w:top w:val="nil"/>
              <w:left w:val="nil"/>
              <w:bottom w:val="nil"/>
              <w:right w:val="nil"/>
            </w:tcBorders>
            <w:noWrap/>
            <w:vAlign w:val="center"/>
            <w:hideMark/>
          </w:tcPr>
          <w:p w14:paraId="595C704B"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2197</w:t>
            </w:r>
          </w:p>
        </w:tc>
        <w:tc>
          <w:tcPr>
            <w:tcW w:w="1220" w:type="dxa"/>
            <w:tcBorders>
              <w:top w:val="nil"/>
              <w:left w:val="nil"/>
              <w:bottom w:val="nil"/>
              <w:right w:val="nil"/>
            </w:tcBorders>
            <w:noWrap/>
            <w:vAlign w:val="center"/>
            <w:hideMark/>
          </w:tcPr>
          <w:p w14:paraId="4A4CDEE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59636</w:t>
            </w:r>
          </w:p>
        </w:tc>
      </w:tr>
      <w:tr w:rsidR="00F472C6" w:rsidRPr="00F472C6" w14:paraId="66A94801" w14:textId="77777777" w:rsidTr="004E746D">
        <w:trPr>
          <w:trHeight w:val="800"/>
        </w:trPr>
        <w:tc>
          <w:tcPr>
            <w:tcW w:w="2920" w:type="dxa"/>
            <w:tcBorders>
              <w:top w:val="nil"/>
              <w:left w:val="nil"/>
              <w:bottom w:val="nil"/>
              <w:right w:val="nil"/>
            </w:tcBorders>
            <w:vAlign w:val="center"/>
            <w:hideMark/>
          </w:tcPr>
          <w:p w14:paraId="4DF9A461"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Reinvested Earnings</w:t>
            </w:r>
          </w:p>
        </w:tc>
        <w:tc>
          <w:tcPr>
            <w:tcW w:w="1200" w:type="dxa"/>
            <w:tcBorders>
              <w:top w:val="nil"/>
              <w:left w:val="nil"/>
              <w:bottom w:val="nil"/>
              <w:right w:val="nil"/>
            </w:tcBorders>
            <w:noWrap/>
            <w:vAlign w:val="center"/>
            <w:hideMark/>
          </w:tcPr>
          <w:p w14:paraId="7D23EF82"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9550.54</w:t>
            </w:r>
          </w:p>
        </w:tc>
        <w:tc>
          <w:tcPr>
            <w:tcW w:w="1220" w:type="dxa"/>
            <w:tcBorders>
              <w:top w:val="nil"/>
              <w:left w:val="nil"/>
              <w:bottom w:val="nil"/>
              <w:right w:val="nil"/>
            </w:tcBorders>
            <w:noWrap/>
            <w:vAlign w:val="center"/>
            <w:hideMark/>
          </w:tcPr>
          <w:p w14:paraId="66A8500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5712.54</w:t>
            </w:r>
          </w:p>
        </w:tc>
        <w:tc>
          <w:tcPr>
            <w:tcW w:w="1120" w:type="dxa"/>
            <w:tcBorders>
              <w:top w:val="nil"/>
              <w:left w:val="nil"/>
              <w:bottom w:val="nil"/>
              <w:right w:val="nil"/>
            </w:tcBorders>
            <w:noWrap/>
            <w:vAlign w:val="center"/>
            <w:hideMark/>
          </w:tcPr>
          <w:p w14:paraId="621200EA"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1350</w:t>
            </w:r>
          </w:p>
        </w:tc>
        <w:tc>
          <w:tcPr>
            <w:tcW w:w="1220" w:type="dxa"/>
            <w:tcBorders>
              <w:top w:val="nil"/>
              <w:left w:val="nil"/>
              <w:bottom w:val="nil"/>
              <w:right w:val="nil"/>
            </w:tcBorders>
            <w:noWrap/>
            <w:vAlign w:val="center"/>
            <w:hideMark/>
          </w:tcPr>
          <w:p w14:paraId="67BA06F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19533</w:t>
            </w:r>
          </w:p>
        </w:tc>
      </w:tr>
      <w:tr w:rsidR="00F472C6" w:rsidRPr="00F472C6" w14:paraId="5D22963D" w14:textId="77777777" w:rsidTr="004E746D">
        <w:trPr>
          <w:trHeight w:val="800"/>
        </w:trPr>
        <w:tc>
          <w:tcPr>
            <w:tcW w:w="2920" w:type="dxa"/>
            <w:tcBorders>
              <w:top w:val="nil"/>
              <w:left w:val="nil"/>
              <w:bottom w:val="nil"/>
              <w:right w:val="nil"/>
            </w:tcBorders>
            <w:vAlign w:val="center"/>
            <w:hideMark/>
          </w:tcPr>
          <w:p w14:paraId="073C4341" w14:textId="50793C05"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 xml:space="preserve">Equity of Unincorporated Bodies </w:t>
            </w:r>
            <w:r w:rsidR="00BF5CC5" w:rsidRPr="00F472C6">
              <w:rPr>
                <w:rFonts w:ascii="Arial" w:eastAsia="Times New Roman" w:hAnsi="Arial" w:cs="Arial"/>
                <w:kern w:val="0"/>
                <w:sz w:val="20"/>
                <w:szCs w:val="20"/>
                <w:lang w:eastAsia="en-IN"/>
                <w14:ligatures w14:val="none"/>
              </w:rPr>
              <w:t>and</w:t>
            </w:r>
            <w:r w:rsidRPr="00F472C6">
              <w:rPr>
                <w:rFonts w:ascii="Arial" w:eastAsia="Times New Roman" w:hAnsi="Arial" w:cs="Arial"/>
                <w:kern w:val="0"/>
                <w:sz w:val="20"/>
                <w:szCs w:val="20"/>
                <w:lang w:eastAsia="en-IN"/>
                <w14:ligatures w14:val="none"/>
              </w:rPr>
              <w:t xml:space="preserve"> Other Capital</w:t>
            </w:r>
          </w:p>
        </w:tc>
        <w:tc>
          <w:tcPr>
            <w:tcW w:w="1200" w:type="dxa"/>
            <w:tcBorders>
              <w:top w:val="nil"/>
              <w:left w:val="nil"/>
              <w:bottom w:val="nil"/>
              <w:right w:val="nil"/>
            </w:tcBorders>
            <w:noWrap/>
            <w:vAlign w:val="center"/>
            <w:hideMark/>
          </w:tcPr>
          <w:p w14:paraId="2DECD5E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3334</w:t>
            </w:r>
          </w:p>
        </w:tc>
        <w:tc>
          <w:tcPr>
            <w:tcW w:w="1220" w:type="dxa"/>
            <w:tcBorders>
              <w:top w:val="nil"/>
              <w:left w:val="nil"/>
              <w:bottom w:val="nil"/>
              <w:right w:val="nil"/>
            </w:tcBorders>
            <w:noWrap/>
            <w:vAlign w:val="center"/>
            <w:hideMark/>
          </w:tcPr>
          <w:p w14:paraId="71D5D43B"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2472.404</w:t>
            </w:r>
          </w:p>
        </w:tc>
        <w:tc>
          <w:tcPr>
            <w:tcW w:w="1120" w:type="dxa"/>
            <w:tcBorders>
              <w:top w:val="nil"/>
              <w:left w:val="nil"/>
              <w:bottom w:val="nil"/>
              <w:right w:val="nil"/>
            </w:tcBorders>
            <w:noWrap/>
            <w:vAlign w:val="center"/>
            <w:hideMark/>
          </w:tcPr>
          <w:p w14:paraId="333BBDD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340</w:t>
            </w:r>
          </w:p>
        </w:tc>
        <w:tc>
          <w:tcPr>
            <w:tcW w:w="1220" w:type="dxa"/>
            <w:tcBorders>
              <w:top w:val="nil"/>
              <w:left w:val="nil"/>
              <w:bottom w:val="nil"/>
              <w:right w:val="nil"/>
            </w:tcBorders>
            <w:noWrap/>
            <w:vAlign w:val="center"/>
            <w:hideMark/>
          </w:tcPr>
          <w:p w14:paraId="15EDC17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10239</w:t>
            </w:r>
          </w:p>
        </w:tc>
      </w:tr>
      <w:tr w:rsidR="00F472C6" w:rsidRPr="00F472C6" w14:paraId="2B4ED753" w14:textId="77777777" w:rsidTr="004E746D">
        <w:trPr>
          <w:trHeight w:val="800"/>
        </w:trPr>
        <w:tc>
          <w:tcPr>
            <w:tcW w:w="2920" w:type="dxa"/>
            <w:tcBorders>
              <w:top w:val="nil"/>
              <w:left w:val="nil"/>
              <w:bottom w:val="single" w:sz="4" w:space="0" w:color="auto"/>
              <w:right w:val="nil"/>
            </w:tcBorders>
            <w:vAlign w:val="center"/>
            <w:hideMark/>
          </w:tcPr>
          <w:p w14:paraId="12EA96FA"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Total FDI Inflow</w:t>
            </w:r>
          </w:p>
        </w:tc>
        <w:tc>
          <w:tcPr>
            <w:tcW w:w="1200" w:type="dxa"/>
            <w:tcBorders>
              <w:top w:val="nil"/>
              <w:left w:val="nil"/>
              <w:bottom w:val="single" w:sz="4" w:space="0" w:color="auto"/>
              <w:right w:val="nil"/>
            </w:tcBorders>
            <w:noWrap/>
            <w:vAlign w:val="center"/>
            <w:hideMark/>
          </w:tcPr>
          <w:p w14:paraId="4CAEAF1D"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41290.5</w:t>
            </w:r>
          </w:p>
        </w:tc>
        <w:tc>
          <w:tcPr>
            <w:tcW w:w="1220" w:type="dxa"/>
            <w:tcBorders>
              <w:top w:val="nil"/>
              <w:left w:val="nil"/>
              <w:bottom w:val="single" w:sz="4" w:space="0" w:color="auto"/>
              <w:right w:val="nil"/>
            </w:tcBorders>
            <w:noWrap/>
            <w:vAlign w:val="center"/>
            <w:hideMark/>
          </w:tcPr>
          <w:p w14:paraId="6480D183"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25785.72</w:t>
            </w:r>
          </w:p>
        </w:tc>
        <w:tc>
          <w:tcPr>
            <w:tcW w:w="1120" w:type="dxa"/>
            <w:tcBorders>
              <w:top w:val="nil"/>
              <w:left w:val="nil"/>
              <w:bottom w:val="single" w:sz="4" w:space="0" w:color="auto"/>
              <w:right w:val="nil"/>
            </w:tcBorders>
            <w:noWrap/>
            <w:vAlign w:val="center"/>
            <w:hideMark/>
          </w:tcPr>
          <w:p w14:paraId="3CF2709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4029</w:t>
            </w:r>
          </w:p>
        </w:tc>
        <w:tc>
          <w:tcPr>
            <w:tcW w:w="1220" w:type="dxa"/>
            <w:tcBorders>
              <w:top w:val="nil"/>
              <w:left w:val="nil"/>
              <w:bottom w:val="single" w:sz="4" w:space="0" w:color="auto"/>
              <w:right w:val="nil"/>
            </w:tcBorders>
            <w:noWrap/>
            <w:vAlign w:val="center"/>
            <w:hideMark/>
          </w:tcPr>
          <w:p w14:paraId="3BD6678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84835</w:t>
            </w:r>
          </w:p>
        </w:tc>
      </w:tr>
    </w:tbl>
    <w:p w14:paraId="05696391" w14:textId="1EC916E3" w:rsidR="00F70E27" w:rsidRPr="00F472C6" w:rsidRDefault="00F70E27" w:rsidP="00F70E27">
      <w:pPr>
        <w:rPr>
          <w:rFonts w:ascii="Arial" w:hAnsi="Arial" w:cs="Arial"/>
          <w:i/>
          <w:iCs/>
          <w:sz w:val="20"/>
          <w:szCs w:val="20"/>
        </w:rPr>
      </w:pPr>
      <w:r w:rsidRPr="00F472C6">
        <w:rPr>
          <w:rFonts w:ascii="Arial" w:hAnsi="Arial" w:cs="Arial"/>
          <w:i/>
          <w:iCs/>
          <w:sz w:val="20"/>
          <w:szCs w:val="20"/>
        </w:rPr>
        <w:t xml:space="preserve">  Source: Estimated from RBI’s Bulletin for May, 2024 dt. 21.05.2024</w:t>
      </w:r>
    </w:p>
    <w:p w14:paraId="59401D95" w14:textId="3A205159" w:rsidR="00D972E0" w:rsidRPr="00F472C6" w:rsidRDefault="00F70E27" w:rsidP="00F70E27">
      <w:pPr>
        <w:rPr>
          <w:rFonts w:ascii="Arial" w:hAnsi="Arial" w:cs="Arial"/>
          <w:sz w:val="20"/>
          <w:szCs w:val="20"/>
        </w:rPr>
      </w:pPr>
      <w:r w:rsidRPr="00F472C6">
        <w:rPr>
          <w:rFonts w:ascii="Arial" w:hAnsi="Arial" w:cs="Arial"/>
          <w:sz w:val="20"/>
          <w:szCs w:val="20"/>
        </w:rPr>
        <w:t xml:space="preserve">The analysis </w:t>
      </w:r>
      <w:r w:rsidR="004E746D" w:rsidRPr="00F472C6">
        <w:rPr>
          <w:rFonts w:ascii="Arial" w:hAnsi="Arial" w:cs="Arial"/>
          <w:sz w:val="20"/>
          <w:szCs w:val="20"/>
        </w:rPr>
        <w:t>reveals</w:t>
      </w:r>
      <w:r w:rsidRPr="00F472C6">
        <w:rPr>
          <w:rFonts w:ascii="Arial" w:hAnsi="Arial" w:cs="Arial"/>
          <w:sz w:val="20"/>
          <w:szCs w:val="20"/>
        </w:rPr>
        <w:t xml:space="preserve"> a significant upward trend in FDI inflows over the study period, reflecting India’s growing attractiveness as an investment destination. The average annual total inflow was approximately USD 41.29 billion, with the highest inflow of more than USD 84 billion recorded in 2021–22. Government auto acquisition route and reinvested earnings have become increasingly dominant over time.</w:t>
      </w:r>
      <w:r w:rsidR="004E746D" w:rsidRPr="00F472C6">
        <w:rPr>
          <w:rFonts w:ascii="Arial" w:hAnsi="Arial" w:cs="Arial"/>
          <w:sz w:val="20"/>
          <w:szCs w:val="20"/>
        </w:rPr>
        <w:t xml:space="preserve"> </w:t>
      </w:r>
      <w:r w:rsidRPr="00F472C6">
        <w:rPr>
          <w:rFonts w:ascii="Arial" w:hAnsi="Arial" w:cs="Arial"/>
          <w:sz w:val="20"/>
          <w:szCs w:val="20"/>
        </w:rPr>
        <w:t>Line plots for each FDI component (Figure</w:t>
      </w:r>
      <w:r w:rsidR="003F1856" w:rsidRPr="00F472C6">
        <w:rPr>
          <w:rFonts w:ascii="Arial" w:hAnsi="Arial" w:cs="Arial"/>
          <w:sz w:val="20"/>
          <w:szCs w:val="20"/>
        </w:rPr>
        <w:t xml:space="preserve"> </w:t>
      </w:r>
      <w:r w:rsidRPr="00F472C6">
        <w:rPr>
          <w:rFonts w:ascii="Arial" w:hAnsi="Arial" w:cs="Arial"/>
          <w:sz w:val="20"/>
          <w:szCs w:val="20"/>
        </w:rPr>
        <w:t xml:space="preserve">1) </w:t>
      </w:r>
      <w:r w:rsidR="004E746D" w:rsidRPr="00F472C6">
        <w:rPr>
          <w:rFonts w:ascii="Arial" w:hAnsi="Arial" w:cs="Arial"/>
          <w:sz w:val="20"/>
          <w:szCs w:val="20"/>
        </w:rPr>
        <w:t>shows</w:t>
      </w:r>
      <w:r w:rsidRPr="00F472C6">
        <w:rPr>
          <w:rFonts w:ascii="Arial" w:hAnsi="Arial" w:cs="Arial"/>
          <w:sz w:val="20"/>
          <w:szCs w:val="20"/>
        </w:rPr>
        <w:t xml:space="preserve"> consistent growth in all segments, with a notable rise in reinvested earnings post-2014. This trend is an indication of the fact that foreign companies are increasingly reinvesting profits within India, reflecting investor confidence.</w:t>
      </w:r>
    </w:p>
    <w:p w14:paraId="0342E3D7" w14:textId="60F6058F" w:rsidR="00F70E27" w:rsidRPr="00F472C6" w:rsidRDefault="00F70E27" w:rsidP="00F70E27">
      <w:pPr>
        <w:rPr>
          <w:rFonts w:ascii="Arial" w:hAnsi="Arial" w:cs="Arial"/>
          <w:sz w:val="20"/>
          <w:szCs w:val="20"/>
        </w:rPr>
      </w:pPr>
      <w:r w:rsidRPr="00F472C6">
        <w:rPr>
          <w:rFonts w:ascii="Arial" w:hAnsi="Arial" w:cs="Arial"/>
          <w:noProof/>
          <w:sz w:val="20"/>
          <w:szCs w:val="20"/>
        </w:rPr>
        <w:drawing>
          <wp:inline distT="0" distB="0" distL="0" distR="0" wp14:anchorId="55FD8AD0" wp14:editId="7AC320F4">
            <wp:extent cx="5218382" cy="3096000"/>
            <wp:effectExtent l="0" t="0" r="1905" b="9525"/>
            <wp:docPr id="2133440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8382" cy="3096000"/>
                    </a:xfrm>
                    <a:prstGeom prst="rect">
                      <a:avLst/>
                    </a:prstGeom>
                    <a:noFill/>
                    <a:ln>
                      <a:noFill/>
                    </a:ln>
                  </pic:spPr>
                </pic:pic>
              </a:graphicData>
            </a:graphic>
          </wp:inline>
        </w:drawing>
      </w:r>
    </w:p>
    <w:p w14:paraId="5E17A93A"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1: Timeseries Plots of Disaggregated FDI Inflows (2000-01 to 2023-24)</w:t>
      </w:r>
    </w:p>
    <w:p w14:paraId="382B5518"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6455978B" w14:textId="77777777" w:rsidR="00F70E27" w:rsidRPr="00F472C6" w:rsidRDefault="00F70E27" w:rsidP="00F70E27">
      <w:pPr>
        <w:rPr>
          <w:rFonts w:ascii="Arial" w:hAnsi="Arial" w:cs="Arial"/>
          <w:sz w:val="20"/>
          <w:szCs w:val="20"/>
        </w:rPr>
      </w:pPr>
      <w:r w:rsidRPr="00F472C6">
        <w:rPr>
          <w:rFonts w:ascii="Arial" w:hAnsi="Arial" w:cs="Arial"/>
          <w:sz w:val="20"/>
          <w:szCs w:val="20"/>
        </w:rPr>
        <w:lastRenderedPageBreak/>
        <w:t>To assess the adequacy of the fitted ARIMA models, the Autocorrelation Function (ACF) plots of residuals were examined for all four FDI inflow components. The ACF plots are presented in Figure 2.</w:t>
      </w:r>
    </w:p>
    <w:p w14:paraId="1CCEC80A" w14:textId="53F72C69" w:rsidR="00F70E27" w:rsidRPr="00F472C6" w:rsidRDefault="00F70E27" w:rsidP="00F70E27">
      <w:pPr>
        <w:rPr>
          <w:rFonts w:ascii="Arial" w:hAnsi="Arial" w:cs="Arial"/>
          <w:b/>
          <w:bCs/>
          <w:sz w:val="20"/>
          <w:szCs w:val="20"/>
        </w:rPr>
      </w:pPr>
      <w:r w:rsidRPr="00F472C6">
        <w:rPr>
          <w:rFonts w:ascii="Arial" w:hAnsi="Arial" w:cs="Arial"/>
          <w:sz w:val="20"/>
          <w:szCs w:val="20"/>
        </w:rPr>
        <w:t>In each subplot, the autocorrelations of residuals across lags up to 12 are displayed, along with 95% confidence bounds (dashed blue lines). For a well-specified ARIMA model, the residuals should resemble white noise, meaning the autocorrelations should be statistically insignificant and fall within the confidence bounds.</w:t>
      </w:r>
      <w:r w:rsidR="004E746D" w:rsidRPr="00F472C6">
        <w:rPr>
          <w:rFonts w:ascii="Arial" w:hAnsi="Arial" w:cs="Arial"/>
          <w:sz w:val="20"/>
          <w:szCs w:val="20"/>
        </w:rPr>
        <w:t xml:space="preserve"> </w:t>
      </w:r>
      <w:r w:rsidRPr="00F472C6">
        <w:rPr>
          <w:rFonts w:ascii="Arial" w:hAnsi="Arial" w:cs="Arial"/>
          <w:sz w:val="20"/>
          <w:szCs w:val="20"/>
        </w:rPr>
        <w:t>The ACF plot for Govt Auto Acquisition Route shows all autocorrelations falling within the confidence bounds. This confirms that the residuals are uncorrelated, supporting the validity of the ARIMA (2,1,0) model. The absence of significant autocorrelation suggests that the model has adequately captured the time-dependent structure in the data.</w:t>
      </w:r>
    </w:p>
    <w:p w14:paraId="0C07E4C0" w14:textId="77777777" w:rsidR="00F70E27" w:rsidRPr="00F472C6" w:rsidRDefault="00F70E27" w:rsidP="00F70E27">
      <w:pPr>
        <w:rPr>
          <w:rFonts w:ascii="Arial" w:hAnsi="Arial" w:cs="Arial"/>
          <w:sz w:val="20"/>
          <w:szCs w:val="20"/>
        </w:rPr>
      </w:pPr>
      <w:r w:rsidRPr="00F472C6">
        <w:rPr>
          <w:rFonts w:ascii="Arial" w:hAnsi="Arial" w:cs="Arial"/>
          <w:noProof/>
          <w:sz w:val="20"/>
          <w:szCs w:val="20"/>
        </w:rPr>
        <w:drawing>
          <wp:inline distT="0" distB="0" distL="0" distR="0" wp14:anchorId="2AD43737" wp14:editId="2A56F526">
            <wp:extent cx="5486400" cy="3296920"/>
            <wp:effectExtent l="0" t="0" r="0" b="0"/>
            <wp:docPr id="1484580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96920"/>
                    </a:xfrm>
                    <a:prstGeom prst="rect">
                      <a:avLst/>
                    </a:prstGeom>
                    <a:noFill/>
                    <a:ln>
                      <a:noFill/>
                    </a:ln>
                  </pic:spPr>
                </pic:pic>
              </a:graphicData>
            </a:graphic>
          </wp:inline>
        </w:drawing>
      </w:r>
    </w:p>
    <w:p w14:paraId="155B9DDC"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2: ACF Plots of Residuals from ARIMA Models for FDI Inflow Components</w:t>
      </w:r>
    </w:p>
    <w:p w14:paraId="25DF57F1" w14:textId="77777777" w:rsidR="00F70E27" w:rsidRPr="00F472C6" w:rsidRDefault="00F70E27" w:rsidP="00F70E27">
      <w:pPr>
        <w:spacing w:line="240" w:lineRule="auto"/>
        <w:rPr>
          <w:rFonts w:ascii="Arial" w:hAnsi="Arial" w:cs="Arial"/>
          <w:i/>
          <w:iCs/>
          <w:sz w:val="20"/>
          <w:szCs w:val="20"/>
        </w:rPr>
      </w:pPr>
      <w:r w:rsidRPr="00F472C6">
        <w:rPr>
          <w:rFonts w:ascii="Arial" w:hAnsi="Arial" w:cs="Arial"/>
          <w:i/>
          <w:iCs/>
          <w:sz w:val="20"/>
          <w:szCs w:val="20"/>
        </w:rPr>
        <w:t>Source: Estimated from RBI’s Bulletin for May, 2024 dt. 21.05.2024</w:t>
      </w:r>
    </w:p>
    <w:p w14:paraId="043D8941" w14:textId="77777777" w:rsidR="00F70E27" w:rsidRPr="00F472C6" w:rsidRDefault="00F70E27" w:rsidP="00F70E27">
      <w:pPr>
        <w:spacing w:line="240" w:lineRule="auto"/>
        <w:rPr>
          <w:rFonts w:ascii="Arial" w:hAnsi="Arial" w:cs="Arial"/>
          <w:i/>
          <w:iCs/>
          <w:sz w:val="20"/>
          <w:szCs w:val="20"/>
        </w:rPr>
      </w:pPr>
    </w:p>
    <w:p w14:paraId="3E4DDABB" w14:textId="4999161D" w:rsidR="00F70E27" w:rsidRPr="00F472C6" w:rsidRDefault="00F70E27" w:rsidP="00F70E27">
      <w:pPr>
        <w:rPr>
          <w:rFonts w:ascii="Arial" w:hAnsi="Arial" w:cs="Arial"/>
          <w:sz w:val="20"/>
          <w:szCs w:val="20"/>
        </w:rPr>
      </w:pPr>
      <w:r w:rsidRPr="00F472C6">
        <w:rPr>
          <w:rFonts w:ascii="Arial" w:hAnsi="Arial" w:cs="Arial"/>
          <w:sz w:val="20"/>
          <w:szCs w:val="20"/>
        </w:rPr>
        <w:t>The residuals of the ARIMA (2,1,0) model for Reinvested Earnings also exhibit no statistically significant autocorrelation. The ACF plot is flat and well-contained within the bounds, further affirming that the model’s assumptions are satisfied and the error terms behave as white noise.</w:t>
      </w:r>
      <w:r w:rsidR="00C57366" w:rsidRPr="00F472C6">
        <w:rPr>
          <w:rFonts w:ascii="Arial" w:hAnsi="Arial" w:cs="Arial"/>
          <w:sz w:val="20"/>
          <w:szCs w:val="20"/>
        </w:rPr>
        <w:t xml:space="preserve"> </w:t>
      </w:r>
      <w:r w:rsidRPr="00F472C6">
        <w:rPr>
          <w:rFonts w:ascii="Arial" w:hAnsi="Arial" w:cs="Arial"/>
          <w:sz w:val="20"/>
          <w:szCs w:val="20"/>
        </w:rPr>
        <w:t xml:space="preserve">While the ARIMA (1,1,1) model for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passed the Ljung-Box test, the ACF plot indicates a slightly more volatile structure in the residuals. Nonetheless, no autocorrelations exceed the confidence bounds, and the residuals are largely uncorrelated. This supports the model’s statistical adequacy, although its relatively high forecast error suggests a less optimal fit.</w:t>
      </w:r>
    </w:p>
    <w:p w14:paraId="12586B53" w14:textId="67F3F995" w:rsidR="00F70E27" w:rsidRPr="00F472C6" w:rsidRDefault="00F70E27" w:rsidP="00F70E27">
      <w:pPr>
        <w:rPr>
          <w:rFonts w:ascii="Arial" w:hAnsi="Arial" w:cs="Arial"/>
          <w:sz w:val="20"/>
          <w:szCs w:val="20"/>
        </w:rPr>
      </w:pPr>
      <w:r w:rsidRPr="00F472C6">
        <w:rPr>
          <w:rFonts w:ascii="Arial" w:hAnsi="Arial" w:cs="Arial"/>
          <w:sz w:val="20"/>
          <w:szCs w:val="20"/>
        </w:rPr>
        <w:t>The ACF plot of residuals for the ARIMA (3,1,0) model for Total FDI Inflow shows a pattern consistent with white noise, with all lags well within the 95% limits. This indicates that the model has effectively filtered out temporal dependencies, reinforcing its suitability for forecasting purposes.</w:t>
      </w:r>
      <w:r w:rsidR="00565E7F" w:rsidRPr="00F472C6">
        <w:rPr>
          <w:rFonts w:ascii="Arial" w:hAnsi="Arial" w:cs="Arial"/>
          <w:sz w:val="20"/>
          <w:szCs w:val="20"/>
        </w:rPr>
        <w:t xml:space="preserve"> </w:t>
      </w:r>
      <w:r w:rsidRPr="00F472C6">
        <w:rPr>
          <w:rFonts w:ascii="Arial" w:hAnsi="Arial" w:cs="Arial"/>
          <w:sz w:val="20"/>
          <w:szCs w:val="20"/>
        </w:rPr>
        <w:t xml:space="preserve">Thus, the ACF plots collectively demonstrate that all four ARIMA models produce residuals that are free from significant </w:t>
      </w:r>
      <w:r w:rsidRPr="00F472C6">
        <w:rPr>
          <w:rFonts w:ascii="Arial" w:hAnsi="Arial" w:cs="Arial"/>
          <w:sz w:val="20"/>
          <w:szCs w:val="20"/>
        </w:rPr>
        <w:lastRenderedPageBreak/>
        <w:t>autocorrelation, meeting a key requirement for model validity. These results are consistent with the Ljung-Box test outcomes and confirm that the selected models are well-specified for their respective FDI components.</w:t>
      </w:r>
    </w:p>
    <w:p w14:paraId="32D8012B" w14:textId="77777777" w:rsidR="00F70E27" w:rsidRPr="00F472C6" w:rsidRDefault="00F70E27" w:rsidP="00F70E27">
      <w:pPr>
        <w:rPr>
          <w:rFonts w:ascii="Arial" w:hAnsi="Arial" w:cs="Arial"/>
          <w:sz w:val="20"/>
          <w:szCs w:val="20"/>
        </w:rPr>
      </w:pPr>
      <w:r w:rsidRPr="00F472C6">
        <w:rPr>
          <w:rFonts w:ascii="Arial" w:hAnsi="Arial" w:cs="Arial"/>
          <w:sz w:val="20"/>
          <w:szCs w:val="20"/>
        </w:rPr>
        <w:t>The Partial Autocorrelation Function (PACF) plots for the four log-differenced FDI inflow components are presented in Figure 3. These plots were used to identify appropriate autoregressive (AR) orders for the ARIMA models.</w:t>
      </w:r>
    </w:p>
    <w:p w14:paraId="70C6B1FA" w14:textId="77777777" w:rsidR="00F70E27" w:rsidRPr="00F472C6" w:rsidRDefault="00F70E27" w:rsidP="00F70E27">
      <w:pPr>
        <w:rPr>
          <w:rFonts w:ascii="Arial" w:hAnsi="Arial" w:cs="Arial"/>
          <w:sz w:val="20"/>
          <w:szCs w:val="20"/>
        </w:rPr>
      </w:pPr>
      <w:r w:rsidRPr="00F472C6">
        <w:rPr>
          <w:rFonts w:ascii="Arial" w:hAnsi="Arial" w:cs="Arial"/>
          <w:noProof/>
          <w:sz w:val="20"/>
          <w:szCs w:val="20"/>
        </w:rPr>
        <w:drawing>
          <wp:inline distT="0" distB="0" distL="0" distR="0" wp14:anchorId="6507872C" wp14:editId="6CD9910D">
            <wp:extent cx="5220000" cy="3140461"/>
            <wp:effectExtent l="0" t="0" r="0" b="3175"/>
            <wp:docPr id="1617647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000" cy="3140461"/>
                    </a:xfrm>
                    <a:prstGeom prst="rect">
                      <a:avLst/>
                    </a:prstGeom>
                    <a:noFill/>
                    <a:ln>
                      <a:noFill/>
                    </a:ln>
                  </pic:spPr>
                </pic:pic>
              </a:graphicData>
            </a:graphic>
          </wp:inline>
        </w:drawing>
      </w:r>
    </w:p>
    <w:p w14:paraId="4FB83E86"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3: PACF Plots for Log-Differenced FDI Inflow Components</w:t>
      </w:r>
    </w:p>
    <w:p w14:paraId="11A6BD82"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31967E14" w14:textId="305FA77F" w:rsidR="00F70E27" w:rsidRPr="00F472C6" w:rsidRDefault="00F70E27" w:rsidP="00F70E27">
      <w:pPr>
        <w:rPr>
          <w:rFonts w:ascii="Arial" w:hAnsi="Arial" w:cs="Arial"/>
          <w:sz w:val="20"/>
          <w:szCs w:val="20"/>
        </w:rPr>
      </w:pPr>
      <w:r w:rsidRPr="00F472C6">
        <w:rPr>
          <w:rFonts w:ascii="Arial" w:hAnsi="Arial" w:cs="Arial"/>
          <w:sz w:val="20"/>
          <w:szCs w:val="20"/>
        </w:rPr>
        <w:t>The PACF plot for each series displays the partial autocorrelations across lags, with 95% confidence bounds (dashed blue lines). Spikes that fall outside these bounds suggest the presence of significant autoregressive structure at the corresponding lag.</w:t>
      </w:r>
      <w:r w:rsidR="00C57366" w:rsidRPr="00F472C6">
        <w:rPr>
          <w:rFonts w:ascii="Arial" w:hAnsi="Arial" w:cs="Arial"/>
          <w:sz w:val="20"/>
          <w:szCs w:val="20"/>
        </w:rPr>
        <w:t xml:space="preserve"> </w:t>
      </w:r>
      <w:r w:rsidRPr="00F472C6">
        <w:rPr>
          <w:rFonts w:ascii="Arial" w:hAnsi="Arial" w:cs="Arial"/>
          <w:sz w:val="20"/>
          <w:szCs w:val="20"/>
        </w:rPr>
        <w:t>The PACF plot in the case of Govt Auto Acquisition Route indicates a noticeable spike at lag 1, with smaller but present spikes at higher lags. This pattern justifies the inclusion of at least one AR term, and aligns with the choice of an ARIMA (2,1,0) model, as both lag 1 and lag 2 appear relevant. For Reinvested Earnings, significant spikes are observed at lag 2 and possibly lag 4, indicating a short-memory AR process. The PACF supports the selected ARIMA (2,1,0) specification, suggesting that past values up to the second lag contribute meaningfully to the current observation.</w:t>
      </w:r>
    </w:p>
    <w:p w14:paraId="540719B3" w14:textId="29A5C44B" w:rsidR="00F70E27" w:rsidRPr="00F472C6" w:rsidRDefault="00F70E27" w:rsidP="00F70E27">
      <w:pPr>
        <w:rPr>
          <w:rFonts w:ascii="Arial" w:hAnsi="Arial" w:cs="Arial"/>
          <w:sz w:val="20"/>
          <w:szCs w:val="20"/>
        </w:rPr>
      </w:pPr>
      <w:r w:rsidRPr="00F472C6">
        <w:rPr>
          <w:rFonts w:ascii="Arial" w:hAnsi="Arial" w:cs="Arial"/>
          <w:sz w:val="20"/>
          <w:szCs w:val="20"/>
        </w:rPr>
        <w:t xml:space="preserve">The PACF of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exhibits a strong negative spike at lag 1, with residual autocorrelations diminishing at higher lags. This pattern supports the use of a low-order AR term, consistent with the ARIMA (1,1,1) model chosen for this component. The PACF plot for Total FDI Inflow displays moderate spikes at lags 1 and 4, with trailing values near the boundary of statistical significance. This structure justifies the use of multiple AR terms, supporting the final ARIMA (3,1,0) model.</w:t>
      </w:r>
    </w:p>
    <w:p w14:paraId="39CB3776" w14:textId="77777777" w:rsidR="00F70E27" w:rsidRPr="00F472C6" w:rsidRDefault="00F70E27" w:rsidP="00F70E27">
      <w:pPr>
        <w:rPr>
          <w:rFonts w:ascii="Arial" w:hAnsi="Arial" w:cs="Arial"/>
          <w:sz w:val="20"/>
          <w:szCs w:val="20"/>
        </w:rPr>
      </w:pPr>
      <w:r w:rsidRPr="00F472C6">
        <w:rPr>
          <w:rFonts w:ascii="Arial" w:hAnsi="Arial" w:cs="Arial"/>
          <w:sz w:val="20"/>
          <w:szCs w:val="20"/>
        </w:rPr>
        <w:lastRenderedPageBreak/>
        <w:t>To assess the temporal dynamics and forecasting potential of the four disaggregated FDI inflow components, ARIMA models were estimated and evaluated based on standard goodness-of-fit and residual diagnostics. The comparative performance of each model is summarized in Table 3.</w:t>
      </w:r>
    </w:p>
    <w:p w14:paraId="441B6DAD" w14:textId="77777777" w:rsidR="00F70E27" w:rsidRPr="00F472C6" w:rsidRDefault="00F70E27" w:rsidP="00F70E27">
      <w:pPr>
        <w:rPr>
          <w:rFonts w:ascii="Arial" w:hAnsi="Arial" w:cs="Arial"/>
          <w:b/>
          <w:bCs/>
          <w:sz w:val="20"/>
          <w:szCs w:val="20"/>
        </w:rPr>
      </w:pPr>
      <w:r w:rsidRPr="00F472C6">
        <w:rPr>
          <w:rFonts w:ascii="Arial" w:hAnsi="Arial" w:cs="Arial"/>
          <w:b/>
          <w:bCs/>
          <w:sz w:val="20"/>
          <w:szCs w:val="20"/>
        </w:rPr>
        <w:t>Table 3: ARIMA Models for Disaggregated FDI Inflow Components</w:t>
      </w:r>
    </w:p>
    <w:tbl>
      <w:tblPr>
        <w:tblW w:w="8860" w:type="dxa"/>
        <w:tblLook w:val="04A0" w:firstRow="1" w:lastRow="0" w:firstColumn="1" w:lastColumn="0" w:noHBand="0" w:noVBand="1"/>
      </w:tblPr>
      <w:tblGrid>
        <w:gridCol w:w="2700"/>
        <w:gridCol w:w="1800"/>
        <w:gridCol w:w="960"/>
        <w:gridCol w:w="1120"/>
        <w:gridCol w:w="960"/>
        <w:gridCol w:w="1320"/>
      </w:tblGrid>
      <w:tr w:rsidR="00F472C6" w:rsidRPr="00F472C6" w14:paraId="705CBFB3" w14:textId="77777777" w:rsidTr="00AF002C">
        <w:trPr>
          <w:trHeight w:val="900"/>
        </w:trPr>
        <w:tc>
          <w:tcPr>
            <w:tcW w:w="2700" w:type="dxa"/>
            <w:tcBorders>
              <w:top w:val="single" w:sz="4" w:space="0" w:color="auto"/>
              <w:left w:val="nil"/>
              <w:bottom w:val="single" w:sz="4" w:space="0" w:color="auto"/>
              <w:right w:val="nil"/>
            </w:tcBorders>
            <w:vAlign w:val="center"/>
            <w:hideMark/>
          </w:tcPr>
          <w:p w14:paraId="6E77E7E5"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Variable</w:t>
            </w:r>
          </w:p>
        </w:tc>
        <w:tc>
          <w:tcPr>
            <w:tcW w:w="1800" w:type="dxa"/>
            <w:tcBorders>
              <w:top w:val="single" w:sz="4" w:space="0" w:color="auto"/>
              <w:left w:val="nil"/>
              <w:bottom w:val="single" w:sz="4" w:space="0" w:color="auto"/>
              <w:right w:val="nil"/>
            </w:tcBorders>
            <w:vAlign w:val="center"/>
            <w:hideMark/>
          </w:tcPr>
          <w:p w14:paraId="090827B8"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ARIMA(</w:t>
            </w:r>
            <w:proofErr w:type="spellStart"/>
            <w:proofErr w:type="gramStart"/>
            <w:r w:rsidRPr="00F472C6">
              <w:rPr>
                <w:rFonts w:ascii="Arial" w:eastAsia="Times New Roman" w:hAnsi="Arial" w:cs="Arial"/>
                <w:b/>
                <w:bCs/>
                <w:kern w:val="0"/>
                <w:sz w:val="20"/>
                <w:szCs w:val="20"/>
                <w:lang w:eastAsia="en-IN"/>
                <w14:ligatures w14:val="none"/>
              </w:rPr>
              <w:t>p,d</w:t>
            </w:r>
            <w:proofErr w:type="gramEnd"/>
            <w:r w:rsidRPr="00F472C6">
              <w:rPr>
                <w:rFonts w:ascii="Arial" w:eastAsia="Times New Roman" w:hAnsi="Arial" w:cs="Arial"/>
                <w:b/>
                <w:bCs/>
                <w:kern w:val="0"/>
                <w:sz w:val="20"/>
                <w:szCs w:val="20"/>
                <w:lang w:eastAsia="en-IN"/>
                <w14:ligatures w14:val="none"/>
              </w:rPr>
              <w:t>,q</w:t>
            </w:r>
            <w:proofErr w:type="spellEnd"/>
            <w:r w:rsidRPr="00F472C6">
              <w:rPr>
                <w:rFonts w:ascii="Arial" w:eastAsia="Times New Roman" w:hAnsi="Arial" w:cs="Arial"/>
                <w:b/>
                <w:bCs/>
                <w:kern w:val="0"/>
                <w:sz w:val="20"/>
                <w:szCs w:val="20"/>
                <w:lang w:eastAsia="en-IN"/>
                <w14:ligatures w14:val="none"/>
              </w:rPr>
              <w:t>)</w:t>
            </w:r>
          </w:p>
        </w:tc>
        <w:tc>
          <w:tcPr>
            <w:tcW w:w="960" w:type="dxa"/>
            <w:tcBorders>
              <w:top w:val="single" w:sz="4" w:space="0" w:color="auto"/>
              <w:left w:val="nil"/>
              <w:bottom w:val="single" w:sz="4" w:space="0" w:color="auto"/>
              <w:right w:val="nil"/>
            </w:tcBorders>
            <w:vAlign w:val="center"/>
            <w:hideMark/>
          </w:tcPr>
          <w:p w14:paraId="18E86423"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AIC</w:t>
            </w:r>
          </w:p>
        </w:tc>
        <w:tc>
          <w:tcPr>
            <w:tcW w:w="1120" w:type="dxa"/>
            <w:tcBorders>
              <w:top w:val="single" w:sz="4" w:space="0" w:color="auto"/>
              <w:left w:val="nil"/>
              <w:bottom w:val="single" w:sz="4" w:space="0" w:color="auto"/>
              <w:right w:val="nil"/>
            </w:tcBorders>
            <w:vAlign w:val="center"/>
            <w:hideMark/>
          </w:tcPr>
          <w:p w14:paraId="26563F39"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σ² (Residual Var)</w:t>
            </w:r>
          </w:p>
        </w:tc>
        <w:tc>
          <w:tcPr>
            <w:tcW w:w="960" w:type="dxa"/>
            <w:tcBorders>
              <w:top w:val="single" w:sz="4" w:space="0" w:color="auto"/>
              <w:left w:val="nil"/>
              <w:bottom w:val="single" w:sz="4" w:space="0" w:color="auto"/>
              <w:right w:val="nil"/>
            </w:tcBorders>
            <w:vAlign w:val="center"/>
            <w:hideMark/>
          </w:tcPr>
          <w:p w14:paraId="55C44380"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MAPE (%)</w:t>
            </w:r>
          </w:p>
        </w:tc>
        <w:tc>
          <w:tcPr>
            <w:tcW w:w="1320" w:type="dxa"/>
            <w:tcBorders>
              <w:top w:val="single" w:sz="4" w:space="0" w:color="auto"/>
              <w:left w:val="nil"/>
              <w:bottom w:val="single" w:sz="4" w:space="0" w:color="auto"/>
              <w:right w:val="nil"/>
            </w:tcBorders>
            <w:vAlign w:val="center"/>
            <w:hideMark/>
          </w:tcPr>
          <w:p w14:paraId="655E5E83"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Ljung-Box p-value</w:t>
            </w:r>
          </w:p>
        </w:tc>
      </w:tr>
      <w:tr w:rsidR="00F472C6" w:rsidRPr="00F472C6" w14:paraId="01E3C82E" w14:textId="77777777" w:rsidTr="00AF002C">
        <w:trPr>
          <w:trHeight w:val="700"/>
        </w:trPr>
        <w:tc>
          <w:tcPr>
            <w:tcW w:w="2700" w:type="dxa"/>
            <w:tcBorders>
              <w:top w:val="nil"/>
              <w:left w:val="nil"/>
              <w:bottom w:val="nil"/>
              <w:right w:val="nil"/>
            </w:tcBorders>
            <w:vAlign w:val="center"/>
            <w:hideMark/>
          </w:tcPr>
          <w:p w14:paraId="31331663"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Govt/Auto/Acquisition Route</w:t>
            </w:r>
          </w:p>
        </w:tc>
        <w:tc>
          <w:tcPr>
            <w:tcW w:w="1800" w:type="dxa"/>
            <w:tcBorders>
              <w:top w:val="nil"/>
              <w:left w:val="nil"/>
              <w:bottom w:val="nil"/>
              <w:right w:val="nil"/>
            </w:tcBorders>
            <w:vAlign w:val="center"/>
            <w:hideMark/>
          </w:tcPr>
          <w:p w14:paraId="0FEE9E39"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(2,1,0)</w:t>
            </w:r>
          </w:p>
        </w:tc>
        <w:tc>
          <w:tcPr>
            <w:tcW w:w="960" w:type="dxa"/>
            <w:tcBorders>
              <w:top w:val="nil"/>
              <w:left w:val="nil"/>
              <w:bottom w:val="nil"/>
              <w:right w:val="nil"/>
            </w:tcBorders>
            <w:vAlign w:val="center"/>
            <w:hideMark/>
          </w:tcPr>
          <w:p w14:paraId="5038A46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22.32</w:t>
            </w:r>
          </w:p>
        </w:tc>
        <w:tc>
          <w:tcPr>
            <w:tcW w:w="1120" w:type="dxa"/>
            <w:tcBorders>
              <w:top w:val="nil"/>
              <w:left w:val="nil"/>
              <w:bottom w:val="nil"/>
              <w:right w:val="nil"/>
            </w:tcBorders>
            <w:vAlign w:val="center"/>
            <w:hideMark/>
          </w:tcPr>
          <w:p w14:paraId="2808105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0.1185</w:t>
            </w:r>
          </w:p>
        </w:tc>
        <w:tc>
          <w:tcPr>
            <w:tcW w:w="960" w:type="dxa"/>
            <w:tcBorders>
              <w:top w:val="nil"/>
              <w:left w:val="nil"/>
              <w:bottom w:val="nil"/>
              <w:right w:val="nil"/>
            </w:tcBorders>
            <w:vAlign w:val="center"/>
            <w:hideMark/>
          </w:tcPr>
          <w:p w14:paraId="58686672"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2.62</w:t>
            </w:r>
          </w:p>
        </w:tc>
        <w:tc>
          <w:tcPr>
            <w:tcW w:w="1320" w:type="dxa"/>
            <w:tcBorders>
              <w:top w:val="nil"/>
              <w:left w:val="nil"/>
              <w:bottom w:val="nil"/>
              <w:right w:val="nil"/>
            </w:tcBorders>
            <w:vAlign w:val="center"/>
            <w:hideMark/>
          </w:tcPr>
          <w:p w14:paraId="382F1921"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0.55</w:t>
            </w:r>
          </w:p>
        </w:tc>
      </w:tr>
      <w:tr w:rsidR="00F472C6" w:rsidRPr="00F472C6" w14:paraId="2DC01561" w14:textId="77777777" w:rsidTr="00AF002C">
        <w:trPr>
          <w:trHeight w:val="700"/>
        </w:trPr>
        <w:tc>
          <w:tcPr>
            <w:tcW w:w="2700" w:type="dxa"/>
            <w:tcBorders>
              <w:top w:val="nil"/>
              <w:left w:val="nil"/>
              <w:bottom w:val="nil"/>
              <w:right w:val="nil"/>
            </w:tcBorders>
            <w:vAlign w:val="center"/>
            <w:hideMark/>
          </w:tcPr>
          <w:p w14:paraId="1A83413D"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Reinvested Earnings</w:t>
            </w:r>
          </w:p>
        </w:tc>
        <w:tc>
          <w:tcPr>
            <w:tcW w:w="1800" w:type="dxa"/>
            <w:tcBorders>
              <w:top w:val="nil"/>
              <w:left w:val="nil"/>
              <w:bottom w:val="nil"/>
              <w:right w:val="nil"/>
            </w:tcBorders>
            <w:vAlign w:val="center"/>
            <w:hideMark/>
          </w:tcPr>
          <w:p w14:paraId="386A814D"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(2,1,0)</w:t>
            </w:r>
          </w:p>
        </w:tc>
        <w:tc>
          <w:tcPr>
            <w:tcW w:w="960" w:type="dxa"/>
            <w:tcBorders>
              <w:top w:val="nil"/>
              <w:left w:val="nil"/>
              <w:bottom w:val="nil"/>
              <w:right w:val="nil"/>
            </w:tcBorders>
            <w:vAlign w:val="center"/>
            <w:hideMark/>
          </w:tcPr>
          <w:p w14:paraId="68EF440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1.56</w:t>
            </w:r>
          </w:p>
        </w:tc>
        <w:tc>
          <w:tcPr>
            <w:tcW w:w="1120" w:type="dxa"/>
            <w:tcBorders>
              <w:top w:val="nil"/>
              <w:left w:val="nil"/>
              <w:bottom w:val="nil"/>
              <w:right w:val="nil"/>
            </w:tcBorders>
            <w:vAlign w:val="center"/>
            <w:hideMark/>
          </w:tcPr>
          <w:p w14:paraId="3E11D7A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0.0476</w:t>
            </w:r>
          </w:p>
        </w:tc>
        <w:tc>
          <w:tcPr>
            <w:tcW w:w="960" w:type="dxa"/>
            <w:tcBorders>
              <w:top w:val="nil"/>
              <w:left w:val="nil"/>
              <w:bottom w:val="nil"/>
              <w:right w:val="nil"/>
            </w:tcBorders>
            <w:vAlign w:val="center"/>
            <w:hideMark/>
          </w:tcPr>
          <w:p w14:paraId="4D8BC97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1.77</w:t>
            </w:r>
          </w:p>
        </w:tc>
        <w:tc>
          <w:tcPr>
            <w:tcW w:w="1320" w:type="dxa"/>
            <w:tcBorders>
              <w:top w:val="nil"/>
              <w:left w:val="nil"/>
              <w:bottom w:val="nil"/>
              <w:right w:val="nil"/>
            </w:tcBorders>
            <w:vAlign w:val="center"/>
            <w:hideMark/>
          </w:tcPr>
          <w:p w14:paraId="06BD7863"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0.745</w:t>
            </w:r>
          </w:p>
        </w:tc>
      </w:tr>
      <w:tr w:rsidR="00F472C6" w:rsidRPr="00F472C6" w14:paraId="01A90A0F" w14:textId="77777777" w:rsidTr="00AF002C">
        <w:trPr>
          <w:trHeight w:val="700"/>
        </w:trPr>
        <w:tc>
          <w:tcPr>
            <w:tcW w:w="2700" w:type="dxa"/>
            <w:tcBorders>
              <w:top w:val="nil"/>
              <w:left w:val="nil"/>
              <w:bottom w:val="nil"/>
              <w:right w:val="nil"/>
            </w:tcBorders>
            <w:vAlign w:val="center"/>
            <w:hideMark/>
          </w:tcPr>
          <w:p w14:paraId="3D00F28B" w14:textId="566324AE"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 xml:space="preserve">Equity of Unincorporated Bodies </w:t>
            </w:r>
            <w:r w:rsidR="00BF5CC5" w:rsidRPr="00F472C6">
              <w:rPr>
                <w:rFonts w:ascii="Arial" w:eastAsia="Times New Roman" w:hAnsi="Arial" w:cs="Arial"/>
                <w:kern w:val="0"/>
                <w:sz w:val="20"/>
                <w:szCs w:val="20"/>
                <w:lang w:eastAsia="en-IN"/>
                <w14:ligatures w14:val="none"/>
              </w:rPr>
              <w:t>and</w:t>
            </w:r>
            <w:r w:rsidRPr="00F472C6">
              <w:rPr>
                <w:rFonts w:ascii="Arial" w:eastAsia="Times New Roman" w:hAnsi="Arial" w:cs="Arial"/>
                <w:kern w:val="0"/>
                <w:sz w:val="20"/>
                <w:szCs w:val="20"/>
                <w:lang w:eastAsia="en-IN"/>
                <w14:ligatures w14:val="none"/>
              </w:rPr>
              <w:t xml:space="preserve"> Other Capital</w:t>
            </w:r>
          </w:p>
        </w:tc>
        <w:tc>
          <w:tcPr>
            <w:tcW w:w="1800" w:type="dxa"/>
            <w:tcBorders>
              <w:top w:val="nil"/>
              <w:left w:val="nil"/>
              <w:bottom w:val="nil"/>
              <w:right w:val="nil"/>
            </w:tcBorders>
            <w:vAlign w:val="center"/>
            <w:hideMark/>
          </w:tcPr>
          <w:p w14:paraId="6865A333"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(1,1,1)</w:t>
            </w:r>
          </w:p>
        </w:tc>
        <w:tc>
          <w:tcPr>
            <w:tcW w:w="960" w:type="dxa"/>
            <w:tcBorders>
              <w:top w:val="nil"/>
              <w:left w:val="nil"/>
              <w:bottom w:val="nil"/>
              <w:right w:val="nil"/>
            </w:tcBorders>
            <w:vAlign w:val="center"/>
            <w:hideMark/>
          </w:tcPr>
          <w:p w14:paraId="1E32BA2A"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31.69</w:t>
            </w:r>
          </w:p>
        </w:tc>
        <w:tc>
          <w:tcPr>
            <w:tcW w:w="1120" w:type="dxa"/>
            <w:tcBorders>
              <w:top w:val="nil"/>
              <w:left w:val="nil"/>
              <w:bottom w:val="nil"/>
              <w:right w:val="nil"/>
            </w:tcBorders>
            <w:vAlign w:val="center"/>
            <w:hideMark/>
          </w:tcPr>
          <w:p w14:paraId="1B1CA08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0.1765</w:t>
            </w:r>
          </w:p>
        </w:tc>
        <w:tc>
          <w:tcPr>
            <w:tcW w:w="960" w:type="dxa"/>
            <w:tcBorders>
              <w:top w:val="nil"/>
              <w:left w:val="nil"/>
              <w:bottom w:val="nil"/>
              <w:right w:val="nil"/>
            </w:tcBorders>
            <w:vAlign w:val="center"/>
            <w:hideMark/>
          </w:tcPr>
          <w:p w14:paraId="3447D2AF"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3.95</w:t>
            </w:r>
          </w:p>
        </w:tc>
        <w:tc>
          <w:tcPr>
            <w:tcW w:w="1320" w:type="dxa"/>
            <w:tcBorders>
              <w:top w:val="nil"/>
              <w:left w:val="nil"/>
              <w:bottom w:val="nil"/>
              <w:right w:val="nil"/>
            </w:tcBorders>
            <w:vAlign w:val="center"/>
            <w:hideMark/>
          </w:tcPr>
          <w:p w14:paraId="426A436A"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0.298</w:t>
            </w:r>
          </w:p>
        </w:tc>
      </w:tr>
      <w:tr w:rsidR="00F472C6" w:rsidRPr="00F472C6" w14:paraId="31D02FB3" w14:textId="77777777" w:rsidTr="00AF002C">
        <w:trPr>
          <w:trHeight w:val="700"/>
        </w:trPr>
        <w:tc>
          <w:tcPr>
            <w:tcW w:w="2700" w:type="dxa"/>
            <w:tcBorders>
              <w:top w:val="nil"/>
              <w:left w:val="nil"/>
              <w:bottom w:val="single" w:sz="4" w:space="0" w:color="auto"/>
              <w:right w:val="nil"/>
            </w:tcBorders>
            <w:vAlign w:val="center"/>
            <w:hideMark/>
          </w:tcPr>
          <w:p w14:paraId="4CF39F0A"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Total FDI Inflow</w:t>
            </w:r>
          </w:p>
        </w:tc>
        <w:tc>
          <w:tcPr>
            <w:tcW w:w="1800" w:type="dxa"/>
            <w:tcBorders>
              <w:top w:val="nil"/>
              <w:left w:val="nil"/>
              <w:bottom w:val="single" w:sz="4" w:space="0" w:color="auto"/>
              <w:right w:val="nil"/>
            </w:tcBorders>
            <w:vAlign w:val="center"/>
            <w:hideMark/>
          </w:tcPr>
          <w:p w14:paraId="39292850"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(3,1,0)</w:t>
            </w:r>
          </w:p>
        </w:tc>
        <w:tc>
          <w:tcPr>
            <w:tcW w:w="960" w:type="dxa"/>
            <w:tcBorders>
              <w:top w:val="nil"/>
              <w:left w:val="nil"/>
              <w:bottom w:val="single" w:sz="4" w:space="0" w:color="auto"/>
              <w:right w:val="nil"/>
            </w:tcBorders>
            <w:vAlign w:val="center"/>
            <w:hideMark/>
          </w:tcPr>
          <w:p w14:paraId="7AFC56A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11.83</w:t>
            </w:r>
          </w:p>
        </w:tc>
        <w:tc>
          <w:tcPr>
            <w:tcW w:w="1120" w:type="dxa"/>
            <w:tcBorders>
              <w:top w:val="nil"/>
              <w:left w:val="nil"/>
              <w:bottom w:val="single" w:sz="4" w:space="0" w:color="auto"/>
              <w:right w:val="nil"/>
            </w:tcBorders>
            <w:vAlign w:val="center"/>
            <w:hideMark/>
          </w:tcPr>
          <w:p w14:paraId="3D9563D1"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0.0685</w:t>
            </w:r>
          </w:p>
        </w:tc>
        <w:tc>
          <w:tcPr>
            <w:tcW w:w="960" w:type="dxa"/>
            <w:tcBorders>
              <w:top w:val="nil"/>
              <w:left w:val="nil"/>
              <w:bottom w:val="single" w:sz="4" w:space="0" w:color="auto"/>
              <w:right w:val="nil"/>
            </w:tcBorders>
            <w:vAlign w:val="center"/>
            <w:hideMark/>
          </w:tcPr>
          <w:p w14:paraId="27231B46"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1.77</w:t>
            </w:r>
          </w:p>
        </w:tc>
        <w:tc>
          <w:tcPr>
            <w:tcW w:w="1320" w:type="dxa"/>
            <w:tcBorders>
              <w:top w:val="nil"/>
              <w:left w:val="nil"/>
              <w:bottom w:val="single" w:sz="4" w:space="0" w:color="auto"/>
              <w:right w:val="nil"/>
            </w:tcBorders>
            <w:vAlign w:val="center"/>
            <w:hideMark/>
          </w:tcPr>
          <w:p w14:paraId="08DA17D0"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0.431</w:t>
            </w:r>
          </w:p>
        </w:tc>
      </w:tr>
    </w:tbl>
    <w:p w14:paraId="7E42E4D7"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4E73409F" w14:textId="6222436E" w:rsidR="00F70E27" w:rsidRPr="00F472C6" w:rsidRDefault="00F70E27" w:rsidP="00F70E27">
      <w:pPr>
        <w:rPr>
          <w:rFonts w:ascii="Arial" w:hAnsi="Arial" w:cs="Arial"/>
          <w:sz w:val="20"/>
          <w:szCs w:val="20"/>
        </w:rPr>
      </w:pPr>
      <w:r w:rsidRPr="00F472C6">
        <w:rPr>
          <w:rFonts w:ascii="Arial" w:hAnsi="Arial" w:cs="Arial"/>
          <w:sz w:val="20"/>
          <w:szCs w:val="20"/>
        </w:rPr>
        <w:t>All selected models exhibited residuals that were statistically indistinguishable from white noise, as confirmed by non-significant Ljung-Box test p-values (all &gt; 0.05). This indicates that the respective models effectively captured the autocorrelation structures in the series.</w:t>
      </w:r>
      <w:r w:rsidR="00C57366" w:rsidRPr="00F472C6">
        <w:rPr>
          <w:rFonts w:ascii="Arial" w:hAnsi="Arial" w:cs="Arial"/>
          <w:sz w:val="20"/>
          <w:szCs w:val="20"/>
        </w:rPr>
        <w:t xml:space="preserve"> </w:t>
      </w:r>
      <w:r w:rsidRPr="00F472C6">
        <w:rPr>
          <w:rFonts w:ascii="Arial" w:hAnsi="Arial" w:cs="Arial"/>
          <w:sz w:val="20"/>
          <w:szCs w:val="20"/>
        </w:rPr>
        <w:t>The ARIMA (2,1,0) model for Govt Auto Acquisition Route produced a moderate fit, with an AIC of 22.32 and a MAPE of 2.62%. Although the model's residual variance (σ² = 0.1185) was higher than that of other series, the absence of residual autocorrelation (Ljung-Box p = 0.550) suggests statistical adequacy. The relatively low forecast error implies that the model is suitable for short-term forecasting purposes, though there may be scope for improvement through alternate specifications or inclusion of exogenous factors.</w:t>
      </w:r>
    </w:p>
    <w:p w14:paraId="3682E1B0" w14:textId="77777777" w:rsidR="00F70E27" w:rsidRPr="00F472C6" w:rsidRDefault="00F70E27" w:rsidP="00F70E27">
      <w:pPr>
        <w:rPr>
          <w:rFonts w:ascii="Arial" w:hAnsi="Arial" w:cs="Arial"/>
          <w:sz w:val="20"/>
          <w:szCs w:val="20"/>
        </w:rPr>
      </w:pPr>
      <w:r w:rsidRPr="00F472C6">
        <w:rPr>
          <w:rFonts w:ascii="Arial" w:hAnsi="Arial" w:cs="Arial"/>
          <w:sz w:val="20"/>
          <w:szCs w:val="20"/>
        </w:rPr>
        <w:t>Reinvested Earnings exhibited the best overall model performance, with an AIC of just 1.56, the lowest residual variance (σ² = 0.0476), and a MAPE of only 1.77%. The model's residuals passed the Ljung-Box test with a p-value of 0.745, confirming the effectiveness of the ARIMA (2,1,0) specification in capturing the underlying dynamics. These diagnostics suggest that reinvested earnings follow a relatively stable and predictable pattern, and this component can be forecasted with high confidence using the chosen model.</w:t>
      </w:r>
    </w:p>
    <w:p w14:paraId="5618F32E" w14:textId="24867676" w:rsidR="00F70E27" w:rsidRPr="00F472C6" w:rsidRDefault="00F70E27" w:rsidP="00F70E27">
      <w:pPr>
        <w:rPr>
          <w:rFonts w:ascii="Arial" w:hAnsi="Arial" w:cs="Arial"/>
          <w:sz w:val="20"/>
          <w:szCs w:val="20"/>
        </w:rPr>
      </w:pPr>
      <w:r w:rsidRPr="00F472C6">
        <w:rPr>
          <w:rFonts w:ascii="Arial" w:hAnsi="Arial" w:cs="Arial"/>
          <w:sz w:val="20"/>
          <w:szCs w:val="20"/>
        </w:rPr>
        <w:t xml:space="preserve">The ARIMA (1,1,1) model fitted to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resulted in the highest AIC (31.69) and highest forecast error (MAPE = 3.95%) among all models. While the model passed the residual autocorrelation test (p = 0.298), the relatively large residual variance (σ² = 0.1765) indicates a weaker statistical fit. These results suggest that the model only partially captures the dynamics of this component and could benefit from re-specification—possibly through higher-order ARIMA or seasonal models. The ARIMA (3,1,0) model for Total FDI Inflow provided a strong and reliable fit, as evidenced by a low AIC (11.83), small residual variance (σ² = 0.0685), and a MAPE of 1.77%. The Ljung-Box p-value of 0.431 further confirms residual independence. This model is particularly well-</w:t>
      </w:r>
      <w:r w:rsidRPr="00F472C6">
        <w:rPr>
          <w:rFonts w:ascii="Arial" w:hAnsi="Arial" w:cs="Arial"/>
          <w:sz w:val="20"/>
          <w:szCs w:val="20"/>
        </w:rPr>
        <w:lastRenderedPageBreak/>
        <w:t>suited for projecting aggregate FDI inflows and can serve as a dependable basis for policy simulations or economic forecasting scenarios.</w:t>
      </w:r>
    </w:p>
    <w:p w14:paraId="1636082D" w14:textId="763D6C2B" w:rsidR="00F70E27" w:rsidRPr="00F472C6" w:rsidRDefault="00F70E27" w:rsidP="00F70E27">
      <w:pPr>
        <w:rPr>
          <w:rFonts w:ascii="Arial" w:hAnsi="Arial" w:cs="Arial"/>
          <w:sz w:val="20"/>
          <w:szCs w:val="20"/>
        </w:rPr>
      </w:pPr>
      <w:r w:rsidRPr="00F472C6">
        <w:rPr>
          <w:rFonts w:ascii="Arial" w:hAnsi="Arial" w:cs="Arial"/>
          <w:sz w:val="20"/>
          <w:szCs w:val="20"/>
        </w:rPr>
        <w:t xml:space="preserve">Across the four models, Reinvested Earnings and Total FDI Inflow demonstrated superior forecast accuracy and model parsimony. These series can be modelled effectively using relatively simple ARIMA structures, while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displayed more volatility and less predictability. The Govt Auto Acquisition Route model yielded statistically acceptable results but may be enhanced with further tuning or the incorporation of structural breaks. Collectively, these findings highlight the importance of disaggregated modelling in understanding FDI behaviour, as each component exhibits distinct temporal characteristics and </w:t>
      </w:r>
      <w:proofErr w:type="spellStart"/>
      <w:r w:rsidRPr="00F472C6">
        <w:rPr>
          <w:rFonts w:ascii="Arial" w:hAnsi="Arial" w:cs="Arial"/>
          <w:sz w:val="20"/>
          <w:szCs w:val="20"/>
        </w:rPr>
        <w:t>forecastability</w:t>
      </w:r>
      <w:proofErr w:type="spellEnd"/>
      <w:r w:rsidRPr="00F472C6">
        <w:rPr>
          <w:rFonts w:ascii="Arial" w:hAnsi="Arial" w:cs="Arial"/>
          <w:sz w:val="20"/>
          <w:szCs w:val="20"/>
        </w:rPr>
        <w:t xml:space="preserve">. </w:t>
      </w:r>
    </w:p>
    <w:p w14:paraId="31E45F5F" w14:textId="4569391A" w:rsidR="00F70E27" w:rsidRPr="00F472C6" w:rsidRDefault="00F70E27" w:rsidP="00F70E27">
      <w:pPr>
        <w:rPr>
          <w:rFonts w:ascii="Arial" w:hAnsi="Arial" w:cs="Arial"/>
          <w:b/>
          <w:bCs/>
          <w:sz w:val="20"/>
          <w:szCs w:val="20"/>
        </w:rPr>
      </w:pPr>
      <w:r w:rsidRPr="00F472C6">
        <w:rPr>
          <w:rFonts w:ascii="Arial" w:hAnsi="Arial" w:cs="Arial"/>
          <w:b/>
          <w:bCs/>
          <w:sz w:val="20"/>
          <w:szCs w:val="20"/>
        </w:rPr>
        <w:t>Forecasting Trends in Disaggregated FDI Inflows (2024–2028)</w:t>
      </w:r>
    </w:p>
    <w:p w14:paraId="1C377674" w14:textId="77777777" w:rsidR="00F70E27" w:rsidRPr="00F472C6" w:rsidRDefault="00F70E27" w:rsidP="00F70E27">
      <w:pPr>
        <w:rPr>
          <w:rFonts w:ascii="Arial" w:hAnsi="Arial" w:cs="Arial"/>
          <w:sz w:val="20"/>
          <w:szCs w:val="20"/>
        </w:rPr>
      </w:pPr>
      <w:r w:rsidRPr="00F472C6">
        <w:rPr>
          <w:rFonts w:ascii="Arial" w:hAnsi="Arial" w:cs="Arial"/>
          <w:noProof/>
          <w:sz w:val="20"/>
          <w:szCs w:val="20"/>
        </w:rPr>
        <w:drawing>
          <wp:inline distT="0" distB="0" distL="0" distR="0" wp14:anchorId="719E9967" wp14:editId="6C700405">
            <wp:extent cx="4921250" cy="2613025"/>
            <wp:effectExtent l="0" t="0" r="0" b="0"/>
            <wp:docPr id="33932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1970" cy="2613407"/>
                    </a:xfrm>
                    <a:prstGeom prst="rect">
                      <a:avLst/>
                    </a:prstGeom>
                    <a:noFill/>
                    <a:ln>
                      <a:noFill/>
                    </a:ln>
                  </pic:spPr>
                </pic:pic>
              </a:graphicData>
            </a:graphic>
          </wp:inline>
        </w:drawing>
      </w:r>
    </w:p>
    <w:p w14:paraId="3A3E53F4"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4: Forecasted FDI Inflow Components for 2024–2028 Using ARIMA Models</w:t>
      </w:r>
    </w:p>
    <w:p w14:paraId="16C803BB" w14:textId="77777777" w:rsidR="00F70E27" w:rsidRPr="00F472C6" w:rsidRDefault="00F70E27" w:rsidP="00F70E27">
      <w:pPr>
        <w:spacing w:line="240" w:lineRule="auto"/>
        <w:rPr>
          <w:rFonts w:ascii="Arial" w:hAnsi="Arial" w:cs="Arial"/>
          <w:i/>
          <w:iCs/>
          <w:sz w:val="20"/>
          <w:szCs w:val="20"/>
        </w:rPr>
      </w:pPr>
      <w:r w:rsidRPr="00F472C6">
        <w:rPr>
          <w:rFonts w:ascii="Arial" w:hAnsi="Arial" w:cs="Arial"/>
          <w:i/>
          <w:iCs/>
          <w:sz w:val="20"/>
          <w:szCs w:val="20"/>
        </w:rPr>
        <w:t>Source: Estimated from RBI’s Bulletin for May, 2024 dt. 21.05.2024</w:t>
      </w:r>
    </w:p>
    <w:p w14:paraId="1243CA45" w14:textId="77777777" w:rsidR="00F70E27" w:rsidRPr="00F472C6" w:rsidRDefault="00F70E27" w:rsidP="00F70E27">
      <w:pPr>
        <w:rPr>
          <w:rFonts w:ascii="Arial" w:hAnsi="Arial" w:cs="Arial"/>
          <w:i/>
          <w:iCs/>
          <w:sz w:val="20"/>
          <w:szCs w:val="20"/>
        </w:rPr>
      </w:pPr>
      <w:r w:rsidRPr="00F472C6">
        <w:rPr>
          <w:rFonts w:ascii="Arial" w:hAnsi="Arial" w:cs="Arial"/>
          <w:sz w:val="20"/>
          <w:szCs w:val="20"/>
        </w:rPr>
        <w:t>Figure 4 presents the forecasted trends for four disaggregated components of Foreign Direct Investment (FDI) inflows— Govt Auto Acquisition Route, Reinvested Earnings, Equity of Unincorporated Bodies and Other Capital, and Total FDI Inflow—based on ARIMA models estimated over the historical period 2000 to 2023.</w:t>
      </w:r>
    </w:p>
    <w:p w14:paraId="76B9C947" w14:textId="6D74BB67" w:rsidR="00F70E27" w:rsidRPr="00F472C6" w:rsidRDefault="00F70E27" w:rsidP="00F70E27">
      <w:pPr>
        <w:rPr>
          <w:rFonts w:ascii="Arial" w:hAnsi="Arial" w:cs="Arial"/>
          <w:sz w:val="20"/>
          <w:szCs w:val="20"/>
        </w:rPr>
      </w:pPr>
      <w:r w:rsidRPr="00F472C6">
        <w:rPr>
          <w:rFonts w:ascii="Arial" w:hAnsi="Arial" w:cs="Arial"/>
          <w:sz w:val="20"/>
          <w:szCs w:val="20"/>
        </w:rPr>
        <w:t>The plots display the observed data (solid black line), forecasted mean values (coloured solid line), and the 95% confidence intervals (coloured dashed lines) for the five-year horizon from 2024 to 2028. The forecasts are back-transformed from the log scale to reflect actual FDI values in USD (USD million</w:t>
      </w:r>
      <w:proofErr w:type="gramStart"/>
      <w:r w:rsidRPr="00F472C6">
        <w:rPr>
          <w:rFonts w:ascii="Arial" w:hAnsi="Arial" w:cs="Arial"/>
          <w:sz w:val="20"/>
          <w:szCs w:val="20"/>
        </w:rPr>
        <w:t>).The</w:t>
      </w:r>
      <w:proofErr w:type="gramEnd"/>
      <w:r w:rsidRPr="00F472C6">
        <w:rPr>
          <w:rFonts w:ascii="Arial" w:hAnsi="Arial" w:cs="Arial"/>
          <w:sz w:val="20"/>
          <w:szCs w:val="20"/>
        </w:rPr>
        <w:t xml:space="preserve"> forecast for Govt Auto Acquisition Route shows a modest upward trend with a wide confidence interval, indicating greater uncertainty in projections. This aligns with the moderate fit of the underlying ARIMA (2,1,0) model, as previously noted. Policy shifts or regulatory changes could significantly influence this trajectory. </w:t>
      </w:r>
    </w:p>
    <w:p w14:paraId="4CA6B750" w14:textId="4FA8F718" w:rsidR="00F70E27" w:rsidRPr="00F472C6" w:rsidRDefault="00F70E27" w:rsidP="00F70E27">
      <w:pPr>
        <w:rPr>
          <w:rFonts w:ascii="Arial" w:hAnsi="Arial" w:cs="Arial"/>
          <w:sz w:val="20"/>
          <w:szCs w:val="20"/>
        </w:rPr>
      </w:pPr>
      <w:r w:rsidRPr="00F472C6">
        <w:rPr>
          <w:rFonts w:ascii="Arial" w:hAnsi="Arial" w:cs="Arial"/>
          <w:sz w:val="20"/>
          <w:szCs w:val="20"/>
        </w:rPr>
        <w:t>Reinvested earnings are projected to continue their upward momentum with relatively narrow confidence bounds, reflecting the high precision of the model. The forecast supports the interpretation that reinvestment by existing foreign firms remains a stable and growing component of FDI.</w:t>
      </w:r>
      <w:r w:rsidR="00150DDC" w:rsidRPr="00F472C6">
        <w:rPr>
          <w:rFonts w:ascii="Arial" w:hAnsi="Arial" w:cs="Arial"/>
          <w:sz w:val="20"/>
          <w:szCs w:val="20"/>
        </w:rPr>
        <w:t xml:space="preserve"> </w:t>
      </w:r>
      <w:r w:rsidRPr="00F472C6">
        <w:rPr>
          <w:rFonts w:ascii="Arial" w:hAnsi="Arial" w:cs="Arial"/>
          <w:sz w:val="20"/>
          <w:szCs w:val="20"/>
        </w:rPr>
        <w:t xml:space="preserve">Forecasts </w:t>
      </w:r>
      <w:r w:rsidRPr="00F472C6">
        <w:rPr>
          <w:rFonts w:ascii="Arial" w:hAnsi="Arial" w:cs="Arial"/>
          <w:sz w:val="20"/>
          <w:szCs w:val="20"/>
        </w:rPr>
        <w:lastRenderedPageBreak/>
        <w:t>for Equity of Unincorporated Bodies and Other Capital display more volatility and wider uncertainty bounds, consistent with the higher residual variance observed in the ARIMA (1,1,1) model. This suggests caution in relying heavily on this source for future capital formation estimates.</w:t>
      </w:r>
    </w:p>
    <w:p w14:paraId="32D353A0" w14:textId="77777777" w:rsidR="00F70E27" w:rsidRPr="00F472C6" w:rsidRDefault="00F70E27" w:rsidP="00F70E27">
      <w:pPr>
        <w:rPr>
          <w:rFonts w:ascii="Arial" w:hAnsi="Arial" w:cs="Arial"/>
          <w:sz w:val="20"/>
          <w:szCs w:val="20"/>
        </w:rPr>
      </w:pPr>
      <w:r w:rsidRPr="00F472C6">
        <w:rPr>
          <w:rFonts w:ascii="Arial" w:hAnsi="Arial" w:cs="Arial"/>
          <w:sz w:val="20"/>
          <w:szCs w:val="20"/>
        </w:rPr>
        <w:t>The forecast for Total FDI inflows reflects a clear upward trend with moderate uncertainty, supporting the view that India’s FDI climate is likely to improve steadily, conditional on macroeconomic stability and policy continuity. The robust performance of the ARIMA (3,1,0) model provides added confidence in these projections.</w:t>
      </w:r>
    </w:p>
    <w:p w14:paraId="703BF99D" w14:textId="2FEADC60" w:rsidR="00F70E27" w:rsidRPr="00F472C6" w:rsidRDefault="00CE0C9C" w:rsidP="00F70E27">
      <w:pPr>
        <w:rPr>
          <w:rStyle w:val="Strong"/>
          <w:rFonts w:ascii="Arial" w:hAnsi="Arial" w:cs="Arial"/>
        </w:rPr>
      </w:pPr>
      <w:r w:rsidRPr="00F472C6">
        <w:rPr>
          <w:rStyle w:val="Strong"/>
          <w:rFonts w:ascii="Arial" w:hAnsi="Arial" w:cs="Arial"/>
        </w:rPr>
        <w:t>4.</w:t>
      </w:r>
      <w:r w:rsidR="00A525DC" w:rsidRPr="00F472C6">
        <w:rPr>
          <w:rStyle w:val="Strong"/>
          <w:rFonts w:ascii="Arial" w:hAnsi="Arial" w:cs="Arial"/>
        </w:rPr>
        <w:t>SUMMARY AND CONCLUSIONS</w:t>
      </w:r>
    </w:p>
    <w:p w14:paraId="47E3E9BB" w14:textId="6843A08B" w:rsidR="00F70E27" w:rsidRPr="00F472C6" w:rsidRDefault="00F70E27" w:rsidP="00F70E27">
      <w:pPr>
        <w:rPr>
          <w:rFonts w:ascii="Arial" w:hAnsi="Arial" w:cs="Arial"/>
          <w:sz w:val="20"/>
          <w:szCs w:val="20"/>
        </w:rPr>
      </w:pPr>
      <w:r w:rsidRPr="00F472C6">
        <w:rPr>
          <w:rFonts w:ascii="Arial" w:hAnsi="Arial" w:cs="Arial"/>
          <w:sz w:val="20"/>
          <w:szCs w:val="20"/>
        </w:rPr>
        <w:t xml:space="preserve">This study undertook a detailed time series analysis of disaggregated Foreign Direct Investment (FDI) inflows into India—specifically, Govt Auto Acquisition Route, Reinvested Earnings, Equity of Unincorporated Bodies and Other Capital, and Total FDI Inflow—using ARIMA models to forecast their future behaviour. </w:t>
      </w:r>
      <w:proofErr w:type="spellStart"/>
      <w:r w:rsidRPr="00F472C6">
        <w:rPr>
          <w:rFonts w:ascii="Arial" w:hAnsi="Arial" w:cs="Arial"/>
          <w:sz w:val="20"/>
          <w:szCs w:val="20"/>
        </w:rPr>
        <w:t>All</w:t>
      </w:r>
      <w:r w:rsidR="00224837">
        <w:rPr>
          <w:rFonts w:ascii="Arial" w:hAnsi="Arial" w:cs="Arial"/>
          <w:sz w:val="20"/>
          <w:szCs w:val="20"/>
        </w:rPr>
        <w:t xml:space="preserve"> </w:t>
      </w:r>
      <w:r w:rsidRPr="00F472C6">
        <w:rPr>
          <w:rFonts w:ascii="Arial" w:hAnsi="Arial" w:cs="Arial"/>
          <w:sz w:val="20"/>
          <w:szCs w:val="20"/>
        </w:rPr>
        <w:t>time</w:t>
      </w:r>
      <w:proofErr w:type="spellEnd"/>
      <w:r w:rsidRPr="00F472C6">
        <w:rPr>
          <w:rFonts w:ascii="Arial" w:hAnsi="Arial" w:cs="Arial"/>
          <w:sz w:val="20"/>
          <w:szCs w:val="20"/>
        </w:rPr>
        <w:t xml:space="preserve"> series were log-transformed to stabilize variance and differenced to achieve stationarity. After conducting comprehensive ACF and PACF analyses, appropriate ARIMA models were identified and fitted using Maximum Likelihood Estimation (MLE). Diagnostic checks confirmed that residuals from the fitted models were white noise, validating the adequacy of the selected ARIMA structures. Among the components analysed, Reinvested Earnings and Total FDI Inflow yielded the best model fit in terms of AIC and MAPE, indicating highly predictable and stable flows. Govt Auto Acquisition Route presented a moderate fit, while Equity of Unincorporated Bodies and Other Capital showed greater volatility and higher forecast error, suggesting less predictability. The forecasted trends for 2024–2028 reveal; A steady rise in Total FDI Inflow, supported by strong fundamentals, continued growth in Reinvested Earnings, reflecting investor confidence and business retention, modest increases in Govt Auto Acquisition Route inflows with some uncertainty, a volatile trajectory for Equity of Unincorporated Bodies and Other Capital, necessitating close monitoring.</w:t>
      </w:r>
    </w:p>
    <w:p w14:paraId="515DA611" w14:textId="28559D8A" w:rsidR="00CE0C9C" w:rsidRPr="00F472C6" w:rsidRDefault="00F70E27" w:rsidP="00124902">
      <w:pPr>
        <w:rPr>
          <w:rFonts w:ascii="Arial" w:hAnsi="Arial" w:cs="Arial"/>
          <w:sz w:val="20"/>
          <w:szCs w:val="20"/>
        </w:rPr>
      </w:pPr>
      <w:r w:rsidRPr="00F472C6">
        <w:rPr>
          <w:rFonts w:ascii="Arial" w:hAnsi="Arial" w:cs="Arial"/>
          <w:sz w:val="20"/>
          <w:szCs w:val="20"/>
        </w:rPr>
        <w:t>The findings of this study hold significant policy and practical relevance in the context of India's foreign investment landscape. The disaggregated ARIMA-based forecasting of FDI inflows highlights varying patterns of stability, predictability, and volatility across components such as Reinvested Earnings, Govt/Auto/Acquisition Route, Equity of Unincorporated Bodies and Other Capital, and Total FDI Inflow. The strong predictability of reinvested earnings suggests that policies should focus on retaining and expanding existing foreign investments through improved ease of doing business and reinvestment incentives. Meanwhile, the moderate and less stable flows through approval-based routes and equity components underscore the need for streamlined regulatory processes, transparent policy frameworks, and improved investor sentiment to reduce volatility. In real-world terms, these forecasts can serve as valuable inputs for national budgeting, foreign exchange planning, and investment promotion strategies, giving policymakers a proactive tool to align macroeconomic priorities with capital flow expectations. The study concludes that disaggregated time series modelling of FDI using ARIMA not only enhances forecasting precision but also presents valuable guidance to reinforce and accelerate foreign investment growth in India</w:t>
      </w:r>
      <w:r w:rsidR="007B7D7F" w:rsidRPr="00F472C6">
        <w:rPr>
          <w:rFonts w:ascii="Arial" w:hAnsi="Arial" w:cs="Arial"/>
          <w:sz w:val="20"/>
          <w:szCs w:val="20"/>
        </w:rPr>
        <w:t>.</w:t>
      </w:r>
    </w:p>
    <w:p w14:paraId="06790F98" w14:textId="77777777" w:rsidR="0016617E" w:rsidRPr="00F472C6" w:rsidRDefault="0016617E" w:rsidP="00124902">
      <w:pPr>
        <w:rPr>
          <w:rFonts w:ascii="Arial" w:hAnsi="Arial" w:cs="Arial"/>
          <w:b/>
          <w:bCs/>
        </w:rPr>
      </w:pPr>
    </w:p>
    <w:p w14:paraId="69C5A0FC" w14:textId="5712C76A" w:rsidR="00124902" w:rsidRPr="00F472C6" w:rsidRDefault="00A525DC" w:rsidP="00124902">
      <w:pPr>
        <w:rPr>
          <w:rFonts w:ascii="Arial" w:hAnsi="Arial" w:cs="Arial"/>
          <w:b/>
          <w:bCs/>
          <w:sz w:val="20"/>
          <w:szCs w:val="20"/>
        </w:rPr>
      </w:pPr>
      <w:r w:rsidRPr="00F472C6">
        <w:rPr>
          <w:rFonts w:ascii="Arial" w:hAnsi="Arial" w:cs="Arial"/>
          <w:b/>
          <w:bCs/>
        </w:rPr>
        <w:lastRenderedPageBreak/>
        <w:t xml:space="preserve">DECLARATION OF GENERATIVE AI AND AI-ASSISTED TECHNOLOGIES </w:t>
      </w:r>
    </w:p>
    <w:p w14:paraId="5DBDE000" w14:textId="63E2656E" w:rsidR="00124902" w:rsidRPr="00F472C6" w:rsidRDefault="00124902" w:rsidP="00124902">
      <w:pPr>
        <w:rPr>
          <w:rFonts w:ascii="Arial" w:hAnsi="Arial" w:cs="Arial"/>
          <w:sz w:val="20"/>
          <w:szCs w:val="20"/>
        </w:rPr>
      </w:pPr>
      <w:r w:rsidRPr="00F472C6">
        <w:rPr>
          <w:rFonts w:ascii="Arial" w:hAnsi="Arial" w:cs="Arial"/>
          <w:sz w:val="20"/>
          <w:szCs w:val="20"/>
        </w:rPr>
        <w:t>During the preparation of this work, the authors used generative AI tools</w:t>
      </w:r>
      <w:r w:rsidR="00966992" w:rsidRPr="00F472C6">
        <w:rPr>
          <w:rFonts w:ascii="Arial" w:hAnsi="Arial" w:cs="Arial"/>
          <w:sz w:val="20"/>
          <w:szCs w:val="20"/>
        </w:rPr>
        <w:t xml:space="preserve"> </w:t>
      </w:r>
      <w:r w:rsidRPr="00F472C6">
        <w:rPr>
          <w:rFonts w:ascii="Arial" w:hAnsi="Arial" w:cs="Arial"/>
          <w:sz w:val="20"/>
          <w:szCs w:val="20"/>
        </w:rPr>
        <w:t>for language refinement and to assist in drafting parts of the manuscript. The final content was reviewed and approved by the authors, who take full responsibility for the integrity and originality of the work.</w:t>
      </w:r>
    </w:p>
    <w:p w14:paraId="78AE7030" w14:textId="77777777" w:rsidR="0016617E" w:rsidRPr="00F472C6" w:rsidRDefault="0016617E" w:rsidP="00F70E27">
      <w:pPr>
        <w:rPr>
          <w:rStyle w:val="Strong"/>
          <w:rFonts w:ascii="Arial" w:hAnsi="Arial" w:cs="Arial"/>
        </w:rPr>
      </w:pPr>
    </w:p>
    <w:p w14:paraId="15A176C7" w14:textId="530EC528" w:rsidR="00F70E27" w:rsidRPr="00A525DC" w:rsidRDefault="00A525DC" w:rsidP="00F70E27">
      <w:pPr>
        <w:rPr>
          <w:rStyle w:val="Strong"/>
          <w:rFonts w:ascii="Arial" w:hAnsi="Arial" w:cs="Arial"/>
        </w:rPr>
      </w:pPr>
      <w:r w:rsidRPr="00A525DC">
        <w:rPr>
          <w:rStyle w:val="Strong"/>
          <w:rFonts w:ascii="Arial" w:hAnsi="Arial" w:cs="Arial"/>
        </w:rPr>
        <w:t>REFERENCES</w:t>
      </w:r>
      <w:bookmarkEnd w:id="1"/>
    </w:p>
    <w:p w14:paraId="220BCA4A" w14:textId="56AD6D22"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t xml:space="preserve">Government of India. (2020). Consolidated FDI Policy (Effective from October 15, 2020). Department for Promotion of Industry and Internal Trade, Ministry of Commerce and Industry. </w:t>
      </w:r>
      <w:hyperlink r:id="rId11" w:history="1">
        <w:r w:rsidRPr="00AD58C2">
          <w:rPr>
            <w:rStyle w:val="Hyperlink"/>
            <w:rFonts w:ascii="Arial" w:hAnsi="Arial" w:cs="Arial"/>
            <w:sz w:val="20"/>
            <w:szCs w:val="20"/>
          </w:rPr>
          <w:t>https://www.mofpi.gov.in/sites/default/files/fdi-policycircular-2020-28october2020.pdf</w:t>
        </w:r>
      </w:hyperlink>
      <w:r>
        <w:rPr>
          <w:rFonts w:ascii="Arial" w:hAnsi="Arial" w:cs="Arial"/>
          <w:sz w:val="20"/>
          <w:szCs w:val="20"/>
        </w:rPr>
        <w:t xml:space="preserve"> </w:t>
      </w:r>
    </w:p>
    <w:p w14:paraId="395C2C6F" w14:textId="53AAB43A"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t xml:space="preserve">Alfaro, L. (2003). Foreign direct investment and growth: Does the sector matter. Harvard Business School. </w:t>
      </w:r>
      <w:hyperlink r:id="rId12" w:history="1">
        <w:r w:rsidRPr="00AD58C2">
          <w:rPr>
            <w:rStyle w:val="Hyperlink"/>
            <w:rFonts w:ascii="Arial" w:hAnsi="Arial" w:cs="Arial"/>
            <w:sz w:val="20"/>
            <w:szCs w:val="20"/>
          </w:rPr>
          <w:t>https://www.researchgate.net/publication/23720000_Foreign_Direct_Investment_and_Growth_Does_the_Sector_Matter</w:t>
        </w:r>
      </w:hyperlink>
      <w:r>
        <w:rPr>
          <w:rFonts w:ascii="Arial" w:hAnsi="Arial" w:cs="Arial"/>
          <w:sz w:val="20"/>
          <w:szCs w:val="20"/>
        </w:rPr>
        <w:t xml:space="preserve"> </w:t>
      </w:r>
    </w:p>
    <w:p w14:paraId="202176F7" w14:textId="326D570A" w:rsidR="004E7D86" w:rsidRPr="00A525DC" w:rsidRDefault="006B00C2" w:rsidP="00755D08">
      <w:pPr>
        <w:pStyle w:val="ListParagraph"/>
        <w:numPr>
          <w:ilvl w:val="0"/>
          <w:numId w:val="2"/>
        </w:numPr>
        <w:rPr>
          <w:rFonts w:ascii="Arial" w:hAnsi="Arial" w:cs="Arial"/>
          <w:sz w:val="20"/>
          <w:szCs w:val="20"/>
        </w:rPr>
      </w:pPr>
      <w:proofErr w:type="spellStart"/>
      <w:r w:rsidRPr="006B00C2">
        <w:rPr>
          <w:rFonts w:ascii="Arial" w:hAnsi="Arial" w:cs="Arial"/>
          <w:sz w:val="20"/>
          <w:szCs w:val="20"/>
        </w:rPr>
        <w:t>Blomström</w:t>
      </w:r>
      <w:proofErr w:type="spellEnd"/>
      <w:r w:rsidRPr="006B00C2">
        <w:rPr>
          <w:rFonts w:ascii="Arial" w:hAnsi="Arial" w:cs="Arial"/>
          <w:sz w:val="20"/>
          <w:szCs w:val="20"/>
        </w:rPr>
        <w:t xml:space="preserve">, M., &amp; Kokko, A. (1998). Multinational Corporations and Spillovers. Journal of Economic Surveys, 12(3), 247–277. </w:t>
      </w:r>
      <w:hyperlink r:id="rId13" w:history="1">
        <w:r w:rsidRPr="00AD58C2">
          <w:rPr>
            <w:rStyle w:val="Hyperlink"/>
            <w:rFonts w:ascii="Arial" w:hAnsi="Arial" w:cs="Arial"/>
            <w:sz w:val="20"/>
            <w:szCs w:val="20"/>
          </w:rPr>
          <w:t>https://doi.org/10.1111/1467-6419.00056</w:t>
        </w:r>
      </w:hyperlink>
      <w:r>
        <w:rPr>
          <w:rFonts w:ascii="Arial" w:hAnsi="Arial" w:cs="Arial"/>
          <w:sz w:val="20"/>
          <w:szCs w:val="20"/>
        </w:rPr>
        <w:t xml:space="preserve"> </w:t>
      </w:r>
    </w:p>
    <w:p w14:paraId="3EDDB700" w14:textId="16D7D57A" w:rsidR="004E7D86" w:rsidRPr="00A525DC" w:rsidRDefault="00EE7BFA" w:rsidP="00755D08">
      <w:pPr>
        <w:pStyle w:val="ListParagraph"/>
        <w:numPr>
          <w:ilvl w:val="0"/>
          <w:numId w:val="2"/>
        </w:numPr>
        <w:rPr>
          <w:rFonts w:ascii="Arial" w:hAnsi="Arial" w:cs="Arial"/>
          <w:sz w:val="20"/>
          <w:szCs w:val="20"/>
        </w:rPr>
      </w:pPr>
      <w:proofErr w:type="spellStart"/>
      <w:r w:rsidRPr="00EE7BFA">
        <w:rPr>
          <w:rFonts w:ascii="Arial" w:hAnsi="Arial" w:cs="Arial"/>
          <w:sz w:val="20"/>
          <w:szCs w:val="20"/>
        </w:rPr>
        <w:t>Maguid</w:t>
      </w:r>
      <w:proofErr w:type="spellEnd"/>
      <w:r w:rsidRPr="00EE7BFA">
        <w:rPr>
          <w:rFonts w:ascii="Arial" w:hAnsi="Arial" w:cs="Arial"/>
          <w:sz w:val="20"/>
          <w:szCs w:val="20"/>
        </w:rPr>
        <w:t xml:space="preserve"> </w:t>
      </w:r>
      <w:proofErr w:type="spellStart"/>
      <w:r w:rsidRPr="00EE7BFA">
        <w:rPr>
          <w:rFonts w:ascii="Arial" w:hAnsi="Arial" w:cs="Arial"/>
          <w:sz w:val="20"/>
          <w:szCs w:val="20"/>
        </w:rPr>
        <w:t>Hayel</w:t>
      </w:r>
      <w:proofErr w:type="spellEnd"/>
      <w:r w:rsidRPr="00EE7BFA">
        <w:rPr>
          <w:rFonts w:ascii="Arial" w:hAnsi="Arial" w:cs="Arial"/>
          <w:sz w:val="20"/>
          <w:szCs w:val="20"/>
        </w:rPr>
        <w:t xml:space="preserve">, N., &amp; Es. </w:t>
      </w:r>
      <w:proofErr w:type="spellStart"/>
      <w:r w:rsidRPr="00EE7BFA">
        <w:rPr>
          <w:rFonts w:ascii="Arial" w:hAnsi="Arial" w:cs="Arial"/>
          <w:sz w:val="20"/>
          <w:szCs w:val="20"/>
        </w:rPr>
        <w:t>Saiydy</w:t>
      </w:r>
      <w:proofErr w:type="spellEnd"/>
      <w:r w:rsidRPr="00EE7BFA">
        <w:rPr>
          <w:rFonts w:ascii="Arial" w:hAnsi="Arial" w:cs="Arial"/>
          <w:sz w:val="20"/>
          <w:szCs w:val="20"/>
        </w:rPr>
        <w:t xml:space="preserve">, B. (2021). The Impact of Foreign Direct Investment (FDI) on Economic Growth (EG): Evidence from Djibouti. International Research in Education </w:t>
      </w:r>
      <w:hyperlink r:id="rId14" w:history="1">
        <w:r w:rsidRPr="00AD58C2">
          <w:rPr>
            <w:rStyle w:val="Hyperlink"/>
            <w:rFonts w:ascii="Arial" w:hAnsi="Arial" w:cs="Arial"/>
            <w:sz w:val="20"/>
            <w:szCs w:val="20"/>
          </w:rPr>
          <w:t>https://doi.org/10.5296/ire.v9i2.19134</w:t>
        </w:r>
      </w:hyperlink>
      <w:r>
        <w:rPr>
          <w:rFonts w:ascii="Arial" w:hAnsi="Arial" w:cs="Arial"/>
          <w:sz w:val="20"/>
          <w:szCs w:val="20"/>
        </w:rPr>
        <w:t xml:space="preserve"> </w:t>
      </w:r>
    </w:p>
    <w:p w14:paraId="5AC24999" w14:textId="288D8A9A" w:rsidR="004E7D86" w:rsidRPr="00A525DC" w:rsidRDefault="00EE7BFA" w:rsidP="00755D08">
      <w:pPr>
        <w:pStyle w:val="ListParagraph"/>
        <w:numPr>
          <w:ilvl w:val="0"/>
          <w:numId w:val="2"/>
        </w:numPr>
        <w:rPr>
          <w:rFonts w:ascii="Arial" w:hAnsi="Arial" w:cs="Arial"/>
          <w:sz w:val="20"/>
          <w:szCs w:val="20"/>
        </w:rPr>
      </w:pPr>
      <w:r w:rsidRPr="00EE7BFA">
        <w:rPr>
          <w:rFonts w:ascii="Arial" w:hAnsi="Arial" w:cs="Arial"/>
          <w:sz w:val="20"/>
          <w:szCs w:val="20"/>
        </w:rPr>
        <w:t xml:space="preserve">Meyer, D., &amp; Shera, A. (2017). The impact of remittances on economic growth: An econometric model. </w:t>
      </w:r>
      <w:proofErr w:type="spellStart"/>
      <w:r w:rsidRPr="00EE7BFA">
        <w:rPr>
          <w:rFonts w:ascii="Arial" w:hAnsi="Arial" w:cs="Arial"/>
          <w:sz w:val="20"/>
          <w:szCs w:val="20"/>
        </w:rPr>
        <w:t>EconomiA</w:t>
      </w:r>
      <w:proofErr w:type="spellEnd"/>
      <w:r w:rsidRPr="00EE7BFA">
        <w:rPr>
          <w:rFonts w:ascii="Arial" w:hAnsi="Arial" w:cs="Arial"/>
          <w:sz w:val="20"/>
          <w:szCs w:val="20"/>
        </w:rPr>
        <w:t xml:space="preserve">, 18(2), 147–155. </w:t>
      </w:r>
      <w:hyperlink r:id="rId15" w:history="1">
        <w:r w:rsidRPr="00AD58C2">
          <w:rPr>
            <w:rStyle w:val="Hyperlink"/>
            <w:rFonts w:ascii="Arial" w:hAnsi="Arial" w:cs="Arial"/>
            <w:sz w:val="20"/>
            <w:szCs w:val="20"/>
          </w:rPr>
          <w:t>https://doi.org/10.1016/j.econ.2016.06.001</w:t>
        </w:r>
      </w:hyperlink>
      <w:r>
        <w:rPr>
          <w:rFonts w:ascii="Arial" w:hAnsi="Arial" w:cs="Arial"/>
          <w:sz w:val="20"/>
          <w:szCs w:val="20"/>
        </w:rPr>
        <w:t xml:space="preserve"> </w:t>
      </w:r>
    </w:p>
    <w:p w14:paraId="6A8E612D" w14:textId="1CFE01E8" w:rsidR="004E7D86" w:rsidRPr="00A525DC" w:rsidRDefault="00B12577" w:rsidP="00755D08">
      <w:pPr>
        <w:pStyle w:val="ListParagraph"/>
        <w:numPr>
          <w:ilvl w:val="0"/>
          <w:numId w:val="2"/>
        </w:numPr>
        <w:rPr>
          <w:rFonts w:ascii="Arial" w:hAnsi="Arial" w:cs="Arial"/>
          <w:sz w:val="20"/>
          <w:szCs w:val="20"/>
        </w:rPr>
      </w:pPr>
      <w:r w:rsidRPr="00B12577">
        <w:rPr>
          <w:rFonts w:ascii="Arial" w:hAnsi="Arial" w:cs="Arial"/>
          <w:sz w:val="20"/>
          <w:szCs w:val="20"/>
        </w:rPr>
        <w:t xml:space="preserve">Banga, R. (2003). Impact of government policies and investment agreements on FDI inflows. Indian Council for Research on International Economic Relations (ICRIER). </w:t>
      </w:r>
      <w:hyperlink r:id="rId16" w:history="1">
        <w:r w:rsidRPr="00AD58C2">
          <w:rPr>
            <w:rStyle w:val="Hyperlink"/>
            <w:rFonts w:ascii="Arial" w:hAnsi="Arial" w:cs="Arial"/>
            <w:sz w:val="20"/>
            <w:szCs w:val="20"/>
          </w:rPr>
          <w:t>https://hdl.handle.net/10419/189636</w:t>
        </w:r>
      </w:hyperlink>
      <w:r>
        <w:rPr>
          <w:rFonts w:ascii="Arial" w:hAnsi="Arial" w:cs="Arial"/>
          <w:sz w:val="20"/>
          <w:szCs w:val="20"/>
        </w:rPr>
        <w:t xml:space="preserve"> </w:t>
      </w:r>
    </w:p>
    <w:p w14:paraId="7332D915" w14:textId="77777777"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Kumar, N. (2005). Liberalisation, Foreign Direct Investment Flows and Development: Indian Experience in the 1990s. Economic and Political Weekly, 40, 1459–1469. https://doi.org/10.2307/4416435</w:t>
      </w:r>
    </w:p>
    <w:p w14:paraId="00BEDD63" w14:textId="46CA1FD1" w:rsidR="004E7D86" w:rsidRPr="00A525DC" w:rsidRDefault="00654F93" w:rsidP="00755D08">
      <w:pPr>
        <w:pStyle w:val="ListParagraph"/>
        <w:numPr>
          <w:ilvl w:val="0"/>
          <w:numId w:val="2"/>
        </w:numPr>
        <w:rPr>
          <w:rFonts w:ascii="Arial" w:hAnsi="Arial" w:cs="Arial"/>
          <w:sz w:val="20"/>
          <w:szCs w:val="20"/>
        </w:rPr>
      </w:pPr>
      <w:r w:rsidRPr="00654F93">
        <w:rPr>
          <w:rFonts w:ascii="Arial" w:hAnsi="Arial" w:cs="Arial"/>
          <w:sz w:val="20"/>
          <w:szCs w:val="20"/>
        </w:rPr>
        <w:t xml:space="preserve">Sahoo, D., Nayak, S., &amp; Behera, J. (2021). Digitalization and economic performance of two fast-growing Asian economies: India and the People’s Republic of China. ADBI Working Paper No. 1243. </w:t>
      </w:r>
      <w:hyperlink r:id="rId17" w:history="1">
        <w:r w:rsidRPr="00AD58C2">
          <w:rPr>
            <w:rStyle w:val="Hyperlink"/>
            <w:rFonts w:ascii="Arial" w:hAnsi="Arial" w:cs="Arial"/>
            <w:sz w:val="20"/>
            <w:szCs w:val="20"/>
          </w:rPr>
          <w:t>https://doi.org/10.22617/ADBIWP1243</w:t>
        </w:r>
      </w:hyperlink>
      <w:r>
        <w:rPr>
          <w:rFonts w:ascii="Arial" w:hAnsi="Arial" w:cs="Arial"/>
          <w:sz w:val="20"/>
          <w:szCs w:val="20"/>
        </w:rPr>
        <w:t xml:space="preserve"> </w:t>
      </w:r>
    </w:p>
    <w:p w14:paraId="353FE207" w14:textId="7EFF24AA" w:rsidR="004E7D86" w:rsidRPr="00A525DC" w:rsidRDefault="00654F93" w:rsidP="00755D08">
      <w:pPr>
        <w:pStyle w:val="ListParagraph"/>
        <w:numPr>
          <w:ilvl w:val="0"/>
          <w:numId w:val="2"/>
        </w:numPr>
        <w:rPr>
          <w:rFonts w:ascii="Arial" w:hAnsi="Arial" w:cs="Arial"/>
          <w:sz w:val="20"/>
          <w:szCs w:val="20"/>
        </w:rPr>
      </w:pPr>
      <w:r w:rsidRPr="00654F93">
        <w:rPr>
          <w:rFonts w:ascii="Arial" w:hAnsi="Arial" w:cs="Arial"/>
          <w:sz w:val="20"/>
          <w:szCs w:val="20"/>
        </w:rPr>
        <w:t xml:space="preserve">Dinh, T., Vo, D., Vo, A., &amp; Cong Nguyen, T. (2019). Foreign Direct Investment and Economic Growth in the Short Run and Long Run: Empirical Evidence from Developing Countries. Journal of Risk and Financial Management, 12(4), 176. </w:t>
      </w:r>
      <w:hyperlink r:id="rId18" w:history="1">
        <w:r w:rsidRPr="00AD58C2">
          <w:rPr>
            <w:rStyle w:val="Hyperlink"/>
            <w:rFonts w:ascii="Arial" w:hAnsi="Arial" w:cs="Arial"/>
            <w:sz w:val="20"/>
            <w:szCs w:val="20"/>
          </w:rPr>
          <w:t>https://doi.org/10.3390/jrfm12040176</w:t>
        </w:r>
      </w:hyperlink>
      <w:r>
        <w:rPr>
          <w:rFonts w:ascii="Arial" w:hAnsi="Arial" w:cs="Arial"/>
          <w:sz w:val="20"/>
          <w:szCs w:val="20"/>
        </w:rPr>
        <w:t xml:space="preserve"> </w:t>
      </w:r>
    </w:p>
    <w:p w14:paraId="6ECEEFD2" w14:textId="105F3311"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Khalid, M. W., Zarin, N. I.,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Ismail, I., &amp; </w:t>
      </w:r>
      <w:proofErr w:type="spellStart"/>
      <w:r w:rsidR="00953EAA" w:rsidRPr="00953EAA">
        <w:rPr>
          <w:rFonts w:ascii="Arial" w:hAnsi="Arial" w:cs="Arial"/>
          <w:sz w:val="20"/>
          <w:szCs w:val="20"/>
        </w:rPr>
        <w:t>Norizan</w:t>
      </w:r>
      <w:proofErr w:type="spellEnd"/>
      <w:r w:rsidR="00953EAA" w:rsidRPr="00953EAA">
        <w:rPr>
          <w:rFonts w:ascii="Arial" w:hAnsi="Arial" w:cs="Arial"/>
          <w:sz w:val="20"/>
          <w:szCs w:val="20"/>
        </w:rPr>
        <w:t xml:space="preserve">, N. (2018). The Impact of Foreign Direct Investment, Domestic Investment, Trade Openness and Population on Economic Growth: Evidence from Asean-5 Countries. International Journal of Academic Research in Business and Social Sciences, 8, 128–143. </w:t>
      </w:r>
      <w:hyperlink r:id="rId19" w:history="1">
        <w:r w:rsidR="00953EAA" w:rsidRPr="00AD58C2">
          <w:rPr>
            <w:rStyle w:val="Hyperlink"/>
            <w:rFonts w:ascii="Arial" w:hAnsi="Arial" w:cs="Arial"/>
            <w:sz w:val="20"/>
            <w:szCs w:val="20"/>
          </w:rPr>
          <w:t>https://doi.org/10.6007/IJARBSS/v8-i1/3799</w:t>
        </w:r>
      </w:hyperlink>
      <w:r w:rsidR="00953EAA">
        <w:rPr>
          <w:rFonts w:ascii="Arial" w:hAnsi="Arial" w:cs="Arial"/>
          <w:sz w:val="20"/>
          <w:szCs w:val="20"/>
        </w:rPr>
        <w:t xml:space="preserve"> </w:t>
      </w:r>
    </w:p>
    <w:p w14:paraId="13D3495C" w14:textId="2496ED16" w:rsidR="004E7D86" w:rsidRPr="00A525DC" w:rsidRDefault="00C20A79" w:rsidP="00755D08">
      <w:pPr>
        <w:pStyle w:val="ListParagraph"/>
        <w:numPr>
          <w:ilvl w:val="0"/>
          <w:numId w:val="2"/>
        </w:numPr>
        <w:rPr>
          <w:rFonts w:ascii="Arial" w:hAnsi="Arial" w:cs="Arial"/>
          <w:sz w:val="20"/>
          <w:szCs w:val="20"/>
        </w:rPr>
      </w:pPr>
      <w:r w:rsidRPr="00C20A79">
        <w:rPr>
          <w:rFonts w:ascii="Arial" w:hAnsi="Arial" w:cs="Arial"/>
          <w:sz w:val="20"/>
          <w:szCs w:val="20"/>
        </w:rPr>
        <w:lastRenderedPageBreak/>
        <w:t xml:space="preserve">Mohamed, M. M., &amp; Isak, N. (2017). The Impact of Foreign Direct Investment on Economic Growth in Somalia. International Journal of Economics and Management Studies. </w:t>
      </w:r>
      <w:hyperlink r:id="rId20" w:history="1">
        <w:r w:rsidRPr="00AD58C2">
          <w:rPr>
            <w:rStyle w:val="Hyperlink"/>
            <w:rFonts w:ascii="Arial" w:hAnsi="Arial" w:cs="Arial"/>
            <w:sz w:val="20"/>
            <w:szCs w:val="20"/>
          </w:rPr>
          <w:t>https://doi.org/10.14445/23939125/IJEMS-V4I8P105</w:t>
        </w:r>
      </w:hyperlink>
      <w:r>
        <w:rPr>
          <w:rFonts w:ascii="Arial" w:hAnsi="Arial" w:cs="Arial"/>
          <w:sz w:val="20"/>
          <w:szCs w:val="20"/>
        </w:rPr>
        <w:t xml:space="preserve"> </w:t>
      </w:r>
    </w:p>
    <w:p w14:paraId="2BB2063F" w14:textId="53205DDB" w:rsidR="004E7D86" w:rsidRPr="00A525DC" w:rsidRDefault="00325081" w:rsidP="00755D08">
      <w:pPr>
        <w:pStyle w:val="ListParagraph"/>
        <w:numPr>
          <w:ilvl w:val="0"/>
          <w:numId w:val="2"/>
        </w:numPr>
        <w:rPr>
          <w:rFonts w:ascii="Arial" w:hAnsi="Arial" w:cs="Arial"/>
          <w:sz w:val="20"/>
          <w:szCs w:val="20"/>
        </w:rPr>
      </w:pPr>
      <w:proofErr w:type="spellStart"/>
      <w:r w:rsidRPr="00325081">
        <w:rPr>
          <w:rFonts w:ascii="Arial" w:hAnsi="Arial" w:cs="Arial"/>
          <w:sz w:val="20"/>
          <w:szCs w:val="20"/>
        </w:rPr>
        <w:t>Mijiyawa</w:t>
      </w:r>
      <w:proofErr w:type="spellEnd"/>
      <w:r w:rsidRPr="00325081">
        <w:rPr>
          <w:rFonts w:ascii="Arial" w:hAnsi="Arial" w:cs="Arial"/>
          <w:sz w:val="20"/>
          <w:szCs w:val="20"/>
        </w:rPr>
        <w:t xml:space="preserve">, A. G. (2015). What Drives Foreign Direct Investment in Africa? An Empirical Investigation with Panel Data. African Development Review. </w:t>
      </w:r>
      <w:hyperlink r:id="rId21" w:history="1">
        <w:r w:rsidRPr="00AD58C2">
          <w:rPr>
            <w:rStyle w:val="Hyperlink"/>
            <w:rFonts w:ascii="Arial" w:hAnsi="Arial" w:cs="Arial"/>
            <w:sz w:val="20"/>
            <w:szCs w:val="20"/>
          </w:rPr>
          <w:t>https://doi.org/10.1111/1467-8268.12155</w:t>
        </w:r>
      </w:hyperlink>
      <w:r>
        <w:rPr>
          <w:rFonts w:ascii="Arial" w:hAnsi="Arial" w:cs="Arial"/>
          <w:sz w:val="20"/>
          <w:szCs w:val="20"/>
        </w:rPr>
        <w:t xml:space="preserve"> </w:t>
      </w:r>
    </w:p>
    <w:p w14:paraId="67A65EB9" w14:textId="16EBD6E5" w:rsidR="004E7D86" w:rsidRPr="00A525DC" w:rsidRDefault="00325081" w:rsidP="00755D08">
      <w:pPr>
        <w:pStyle w:val="ListParagraph"/>
        <w:numPr>
          <w:ilvl w:val="0"/>
          <w:numId w:val="2"/>
        </w:numPr>
        <w:rPr>
          <w:rFonts w:ascii="Arial" w:hAnsi="Arial" w:cs="Arial"/>
          <w:sz w:val="20"/>
          <w:szCs w:val="20"/>
        </w:rPr>
      </w:pPr>
      <w:r w:rsidRPr="00325081">
        <w:rPr>
          <w:rFonts w:ascii="Arial" w:hAnsi="Arial" w:cs="Arial"/>
          <w:sz w:val="20"/>
          <w:szCs w:val="20"/>
        </w:rPr>
        <w:t xml:space="preserve">Goh, S. K., Sam, C. Y., &amp; McNown, R. (2017). Re-examining foreign direct investment, exports, and economic growth in Asian economies using a bootstrap ARDL test for cointegration. Journal of Asian Economics, 51, 12–22. </w:t>
      </w:r>
      <w:hyperlink r:id="rId22" w:history="1">
        <w:r w:rsidRPr="00AD58C2">
          <w:rPr>
            <w:rStyle w:val="Hyperlink"/>
            <w:rFonts w:ascii="Arial" w:hAnsi="Arial" w:cs="Arial"/>
            <w:sz w:val="20"/>
            <w:szCs w:val="20"/>
          </w:rPr>
          <w:t>https://doi.org/10.1016/j.asieco.2017.06.001</w:t>
        </w:r>
      </w:hyperlink>
      <w:r>
        <w:rPr>
          <w:rFonts w:ascii="Arial" w:hAnsi="Arial" w:cs="Arial"/>
          <w:sz w:val="20"/>
          <w:szCs w:val="20"/>
        </w:rPr>
        <w:t xml:space="preserve"> </w:t>
      </w:r>
    </w:p>
    <w:p w14:paraId="748CD61E" w14:textId="616ED1A8" w:rsidR="004E7D86" w:rsidRPr="00A525DC" w:rsidRDefault="00D0049C" w:rsidP="00755D08">
      <w:pPr>
        <w:pStyle w:val="ListParagraph"/>
        <w:numPr>
          <w:ilvl w:val="0"/>
          <w:numId w:val="2"/>
        </w:numPr>
        <w:rPr>
          <w:rFonts w:ascii="Arial" w:hAnsi="Arial" w:cs="Arial"/>
          <w:sz w:val="20"/>
          <w:szCs w:val="20"/>
        </w:rPr>
      </w:pPr>
      <w:r w:rsidRPr="00D0049C">
        <w:rPr>
          <w:rFonts w:ascii="Arial" w:hAnsi="Arial" w:cs="Arial"/>
          <w:sz w:val="20"/>
          <w:szCs w:val="20"/>
        </w:rPr>
        <w:t xml:space="preserve">Seiko </w:t>
      </w:r>
      <w:proofErr w:type="spellStart"/>
      <w:r w:rsidRPr="00D0049C">
        <w:rPr>
          <w:rFonts w:ascii="Arial" w:hAnsi="Arial" w:cs="Arial"/>
          <w:sz w:val="20"/>
          <w:szCs w:val="20"/>
        </w:rPr>
        <w:t>Minota</w:t>
      </w:r>
      <w:proofErr w:type="spellEnd"/>
      <w:r w:rsidRPr="00D0049C">
        <w:rPr>
          <w:rFonts w:ascii="Arial" w:hAnsi="Arial" w:cs="Arial"/>
          <w:sz w:val="20"/>
          <w:szCs w:val="20"/>
        </w:rPr>
        <w:t xml:space="preserve"> </w:t>
      </w:r>
      <w:proofErr w:type="spellStart"/>
      <w:r w:rsidRPr="00D0049C">
        <w:rPr>
          <w:rFonts w:ascii="Arial" w:hAnsi="Arial" w:cs="Arial"/>
          <w:sz w:val="20"/>
          <w:szCs w:val="20"/>
        </w:rPr>
        <w:t>Zekarias</w:t>
      </w:r>
      <w:proofErr w:type="spellEnd"/>
      <w:r w:rsidRPr="00D0049C">
        <w:rPr>
          <w:rFonts w:ascii="Arial" w:hAnsi="Arial" w:cs="Arial"/>
          <w:sz w:val="20"/>
          <w:szCs w:val="20"/>
        </w:rPr>
        <w:t xml:space="preserve">. (2016). The Impact of Foreign Direct Investment (FDI) on Economic Growth in Eastern Africa: Evidence from Panel Data Analysis. Applied Economics and Finance. </w:t>
      </w:r>
      <w:hyperlink r:id="rId23" w:history="1">
        <w:r w:rsidRPr="00AD58C2">
          <w:rPr>
            <w:rStyle w:val="Hyperlink"/>
            <w:rFonts w:ascii="Arial" w:hAnsi="Arial" w:cs="Arial"/>
            <w:sz w:val="20"/>
            <w:szCs w:val="20"/>
          </w:rPr>
          <w:t>https://doi.org/10.11114/aef.v3i1.1317</w:t>
        </w:r>
      </w:hyperlink>
      <w:r>
        <w:rPr>
          <w:rFonts w:ascii="Arial" w:hAnsi="Arial" w:cs="Arial"/>
          <w:sz w:val="20"/>
          <w:szCs w:val="20"/>
        </w:rPr>
        <w:t xml:space="preserve"> </w:t>
      </w:r>
    </w:p>
    <w:p w14:paraId="59FF20DA" w14:textId="75352AC6" w:rsidR="004E7D86" w:rsidRPr="00A525DC" w:rsidRDefault="00B70AF1" w:rsidP="00755D08">
      <w:pPr>
        <w:pStyle w:val="ListParagraph"/>
        <w:numPr>
          <w:ilvl w:val="0"/>
          <w:numId w:val="2"/>
        </w:numPr>
        <w:rPr>
          <w:rFonts w:ascii="Arial" w:hAnsi="Arial" w:cs="Arial"/>
          <w:sz w:val="20"/>
          <w:szCs w:val="20"/>
        </w:rPr>
      </w:pPr>
      <w:r w:rsidRPr="00B70AF1">
        <w:rPr>
          <w:rFonts w:ascii="Arial" w:hAnsi="Arial" w:cs="Arial"/>
          <w:sz w:val="20"/>
          <w:szCs w:val="20"/>
        </w:rPr>
        <w:t xml:space="preserve">Amuedo-Dorantes, C., &amp; Pozo, S. (2004). Workers' Remittances and the Real Exchange Rate: A Paradox of Gifts. World Development, 32(8), 1407–1417. </w:t>
      </w:r>
      <w:hyperlink r:id="rId24" w:history="1">
        <w:r w:rsidRPr="00AD58C2">
          <w:rPr>
            <w:rStyle w:val="Hyperlink"/>
            <w:rFonts w:ascii="Arial" w:hAnsi="Arial" w:cs="Arial"/>
            <w:sz w:val="20"/>
            <w:szCs w:val="20"/>
          </w:rPr>
          <w:t>https://doi.org/10.1016/j.worlddev.2004.02.004</w:t>
        </w:r>
      </w:hyperlink>
      <w:r>
        <w:rPr>
          <w:rFonts w:ascii="Arial" w:hAnsi="Arial" w:cs="Arial"/>
          <w:sz w:val="20"/>
          <w:szCs w:val="20"/>
        </w:rPr>
        <w:t xml:space="preserve"> </w:t>
      </w:r>
    </w:p>
    <w:p w14:paraId="2B9C3106" w14:textId="4CF469DB" w:rsidR="004E7D86" w:rsidRPr="00A525DC" w:rsidRDefault="00E03424" w:rsidP="00755D08">
      <w:pPr>
        <w:pStyle w:val="ListParagraph"/>
        <w:numPr>
          <w:ilvl w:val="0"/>
          <w:numId w:val="2"/>
        </w:numPr>
        <w:rPr>
          <w:rFonts w:ascii="Arial" w:hAnsi="Arial" w:cs="Arial"/>
          <w:sz w:val="20"/>
          <w:szCs w:val="20"/>
        </w:rPr>
      </w:pPr>
      <w:r w:rsidRPr="00E03424">
        <w:rPr>
          <w:rFonts w:ascii="Arial" w:hAnsi="Arial" w:cs="Arial"/>
          <w:sz w:val="20"/>
          <w:szCs w:val="20"/>
        </w:rPr>
        <w:t xml:space="preserve">Liu, H., Chen, X., &amp; Wu, Y. (2018). Political Environment and Chinese OFDI Under RMB Appreciation: A Panel Data Analysis. Emerging Markets Finance and Trade. </w:t>
      </w:r>
      <w:hyperlink r:id="rId25" w:history="1">
        <w:r w:rsidRPr="00AD58C2">
          <w:rPr>
            <w:rStyle w:val="Hyperlink"/>
            <w:rFonts w:ascii="Arial" w:hAnsi="Arial" w:cs="Arial"/>
            <w:sz w:val="20"/>
            <w:szCs w:val="20"/>
          </w:rPr>
          <w:t>https://doi.org/10.1080/1540496X.2018.1504208</w:t>
        </w:r>
      </w:hyperlink>
      <w:r>
        <w:rPr>
          <w:rFonts w:ascii="Arial" w:hAnsi="Arial" w:cs="Arial"/>
          <w:sz w:val="20"/>
          <w:szCs w:val="20"/>
        </w:rPr>
        <w:t xml:space="preserve"> </w:t>
      </w:r>
    </w:p>
    <w:p w14:paraId="22118740" w14:textId="3CF1E685"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Vinit, R., </w:t>
      </w:r>
      <w:r w:rsidR="00BF5CC5" w:rsidRPr="00A525DC">
        <w:rPr>
          <w:rFonts w:ascii="Arial" w:hAnsi="Arial" w:cs="Arial"/>
          <w:sz w:val="20"/>
          <w:szCs w:val="20"/>
        </w:rPr>
        <w:t>and</w:t>
      </w:r>
      <w:r w:rsidRPr="00A525DC">
        <w:rPr>
          <w:rFonts w:ascii="Arial" w:hAnsi="Arial" w:cs="Arial"/>
          <w:sz w:val="20"/>
          <w:szCs w:val="20"/>
        </w:rPr>
        <w:t xml:space="preserve"> Agrawal, G. (2011). FDI Inflow Determinants in BRIC </w:t>
      </w:r>
      <w:proofErr w:type="spellStart"/>
      <w:proofErr w:type="gramStart"/>
      <w:r w:rsidRPr="00A525DC">
        <w:rPr>
          <w:rFonts w:ascii="Arial" w:hAnsi="Arial" w:cs="Arial"/>
          <w:sz w:val="20"/>
          <w:szCs w:val="20"/>
        </w:rPr>
        <w:t>countries:A</w:t>
      </w:r>
      <w:proofErr w:type="spellEnd"/>
      <w:proofErr w:type="gramEnd"/>
      <w:r w:rsidRPr="00A525DC">
        <w:rPr>
          <w:rFonts w:ascii="Arial" w:hAnsi="Arial" w:cs="Arial"/>
          <w:sz w:val="20"/>
          <w:szCs w:val="20"/>
        </w:rPr>
        <w:t xml:space="preserve"> Panel Data Analysis. International Business Research, 4, 255–255. https://doi.org/10.5539/ibr.v4n4p255</w:t>
      </w:r>
    </w:p>
    <w:p w14:paraId="157E7473" w14:textId="408E943C"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r w:rsidR="00A71CEB" w:rsidRPr="00A71CEB">
        <w:rPr>
          <w:rFonts w:ascii="Arial" w:hAnsi="Arial" w:cs="Arial"/>
          <w:sz w:val="20"/>
          <w:szCs w:val="20"/>
        </w:rPr>
        <w:t xml:space="preserve">Chakraborty, C., &amp; Nunnenkamp, P. (2008). Economic Reforms, FDI, and Economic Growth in India: A Sector Level Analysis. World Development, 36(7), 1192–1212. </w:t>
      </w:r>
      <w:hyperlink r:id="rId26" w:history="1">
        <w:r w:rsidR="00A71CEB" w:rsidRPr="00AD58C2">
          <w:rPr>
            <w:rStyle w:val="Hyperlink"/>
            <w:rFonts w:ascii="Arial" w:hAnsi="Arial" w:cs="Arial"/>
            <w:sz w:val="20"/>
            <w:szCs w:val="20"/>
          </w:rPr>
          <w:t>https://doi.org/10.1016/j.worlddev.2007.06.014</w:t>
        </w:r>
      </w:hyperlink>
      <w:r w:rsidR="00A71CEB">
        <w:rPr>
          <w:rFonts w:ascii="Arial" w:hAnsi="Arial" w:cs="Arial"/>
          <w:sz w:val="20"/>
          <w:szCs w:val="20"/>
        </w:rPr>
        <w:t xml:space="preserve"> </w:t>
      </w:r>
    </w:p>
    <w:p w14:paraId="2F461D38" w14:textId="1D0BA923" w:rsidR="004E7D86" w:rsidRPr="00A525DC" w:rsidRDefault="008B0876" w:rsidP="00755D08">
      <w:pPr>
        <w:pStyle w:val="ListParagraph"/>
        <w:numPr>
          <w:ilvl w:val="0"/>
          <w:numId w:val="2"/>
        </w:numPr>
        <w:rPr>
          <w:rFonts w:ascii="Arial" w:hAnsi="Arial" w:cs="Arial"/>
          <w:sz w:val="20"/>
          <w:szCs w:val="20"/>
        </w:rPr>
      </w:pPr>
      <w:r w:rsidRPr="008B0876">
        <w:rPr>
          <w:rFonts w:ascii="Arial" w:hAnsi="Arial" w:cs="Arial"/>
          <w:sz w:val="20"/>
          <w:szCs w:val="20"/>
        </w:rPr>
        <w:t xml:space="preserve">Jiang, J., &amp; Kim, D. (2013). Exchange rate pass-through to inflation in China. Economic Modelling, 33(C), 900–912. </w:t>
      </w:r>
      <w:hyperlink r:id="rId27" w:history="1">
        <w:r w:rsidRPr="00AD58C2">
          <w:rPr>
            <w:rStyle w:val="Hyperlink"/>
            <w:rFonts w:ascii="Arial" w:hAnsi="Arial" w:cs="Arial"/>
            <w:sz w:val="20"/>
            <w:szCs w:val="20"/>
          </w:rPr>
          <w:t>https://doi.org/10.1016/j.econmod.2013.05.021</w:t>
        </w:r>
      </w:hyperlink>
      <w:r>
        <w:rPr>
          <w:rFonts w:ascii="Arial" w:hAnsi="Arial" w:cs="Arial"/>
          <w:sz w:val="20"/>
          <w:szCs w:val="20"/>
        </w:rPr>
        <w:t xml:space="preserve"> </w:t>
      </w:r>
    </w:p>
    <w:p w14:paraId="2FDBC516" w14:textId="51E81E78" w:rsidR="004E7D86" w:rsidRPr="00A525DC" w:rsidRDefault="008B0876" w:rsidP="00755D08">
      <w:pPr>
        <w:pStyle w:val="ListParagraph"/>
        <w:numPr>
          <w:ilvl w:val="0"/>
          <w:numId w:val="2"/>
        </w:numPr>
        <w:rPr>
          <w:rFonts w:ascii="Arial" w:hAnsi="Arial" w:cs="Arial"/>
          <w:sz w:val="20"/>
          <w:szCs w:val="20"/>
        </w:rPr>
      </w:pPr>
      <w:r w:rsidRPr="008B0876">
        <w:rPr>
          <w:rFonts w:ascii="Arial" w:hAnsi="Arial" w:cs="Arial"/>
          <w:sz w:val="20"/>
          <w:szCs w:val="20"/>
        </w:rPr>
        <w:t xml:space="preserve">Jin, B., García, F., &amp; Salomon, R. (2019). Inward foreign direct investment and local firm innovation: The moderating role of technological capabilities. Journal of International Business Studies, 50(5), 847–855. </w:t>
      </w:r>
      <w:hyperlink r:id="rId28" w:history="1">
        <w:r w:rsidRPr="00AD58C2">
          <w:rPr>
            <w:rStyle w:val="Hyperlink"/>
            <w:rFonts w:ascii="Arial" w:hAnsi="Arial" w:cs="Arial"/>
            <w:sz w:val="20"/>
            <w:szCs w:val="20"/>
          </w:rPr>
          <w:t>https://doi.org/10.1057/s41267-018-0177-1</w:t>
        </w:r>
      </w:hyperlink>
      <w:r>
        <w:rPr>
          <w:rFonts w:ascii="Arial" w:hAnsi="Arial" w:cs="Arial"/>
          <w:sz w:val="20"/>
          <w:szCs w:val="20"/>
        </w:rPr>
        <w:t xml:space="preserve"> </w:t>
      </w:r>
    </w:p>
    <w:p w14:paraId="1D24AB5F" w14:textId="41071977" w:rsidR="004E7D86" w:rsidRPr="007952C2" w:rsidRDefault="00895763" w:rsidP="00755D08">
      <w:pPr>
        <w:pStyle w:val="ListParagraph"/>
        <w:numPr>
          <w:ilvl w:val="0"/>
          <w:numId w:val="2"/>
        </w:numPr>
        <w:spacing w:line="276" w:lineRule="auto"/>
        <w:rPr>
          <w:rFonts w:ascii="Arial" w:hAnsi="Arial" w:cs="Arial"/>
          <w:sz w:val="20"/>
          <w:szCs w:val="20"/>
        </w:rPr>
      </w:pPr>
      <w:bookmarkStart w:id="2" w:name="_GoBack"/>
      <w:r w:rsidRPr="007952C2">
        <w:rPr>
          <w:rFonts w:ascii="Arial" w:hAnsi="Arial" w:cs="Arial"/>
          <w:noProof/>
          <w:sz w:val="20"/>
          <w:szCs w:val="20"/>
        </w:rPr>
        <w:t xml:space="preserve">IBEF. (2025). Foreign Direct Investment (FDI) - Overview, Benefits &amp; Disadvantages. India Brand Equity Foundation. </w:t>
      </w:r>
      <w:hyperlink r:id="rId29" w:history="1">
        <w:r w:rsidRPr="007952C2">
          <w:rPr>
            <w:rStyle w:val="Hyperlink"/>
            <w:rFonts w:ascii="Arial" w:hAnsi="Arial" w:cs="Arial"/>
            <w:noProof/>
            <w:sz w:val="20"/>
            <w:szCs w:val="20"/>
          </w:rPr>
          <w:t>https://www.ibef.org/economy/foreign-direct-investment</w:t>
        </w:r>
      </w:hyperlink>
      <w:r w:rsidRPr="007952C2">
        <w:rPr>
          <w:rFonts w:ascii="Arial" w:hAnsi="Arial" w:cs="Arial"/>
          <w:noProof/>
          <w:sz w:val="20"/>
          <w:szCs w:val="20"/>
        </w:rPr>
        <w:t xml:space="preserve"> </w:t>
      </w:r>
    </w:p>
    <w:p w14:paraId="32FB181B" w14:textId="77777777" w:rsidR="00B57807" w:rsidRPr="007952C2" w:rsidRDefault="00B57807" w:rsidP="00B57807">
      <w:pPr>
        <w:pStyle w:val="ListParagraph"/>
        <w:numPr>
          <w:ilvl w:val="0"/>
          <w:numId w:val="2"/>
        </w:numPr>
        <w:rPr>
          <w:rFonts w:ascii="Arial" w:hAnsi="Arial" w:cs="Arial"/>
          <w:sz w:val="20"/>
          <w:szCs w:val="20"/>
          <w:lang w:val="en-GB"/>
        </w:rPr>
      </w:pPr>
      <w:r w:rsidRPr="007952C2">
        <w:rPr>
          <w:rFonts w:ascii="Arial" w:hAnsi="Arial" w:cs="Arial"/>
          <w:sz w:val="20"/>
          <w:szCs w:val="20"/>
          <w:lang w:val="en-GB"/>
        </w:rPr>
        <w:t>Tang, S., Selvanathan, E. A., &amp; Selvanathan, S. (2008). Foreign direct investment, domestic investment and economic growth in China: A time series analysis. World Economy, 31(10), 1292-1309.</w:t>
      </w:r>
    </w:p>
    <w:p w14:paraId="417282FF" w14:textId="65607E8C" w:rsidR="00B57807" w:rsidRPr="007952C2" w:rsidRDefault="00BD5DC3" w:rsidP="00B57807">
      <w:pPr>
        <w:pStyle w:val="ListParagraph"/>
        <w:rPr>
          <w:rFonts w:ascii="Arial" w:hAnsi="Arial" w:cs="Arial"/>
          <w:sz w:val="20"/>
          <w:szCs w:val="20"/>
          <w:lang w:val="en-GB"/>
        </w:rPr>
      </w:pPr>
      <w:hyperlink r:id="rId30" w:history="1">
        <w:r w:rsidR="00B57807" w:rsidRPr="007952C2">
          <w:rPr>
            <w:rStyle w:val="Hyperlink"/>
            <w:rFonts w:ascii="Arial" w:hAnsi="Arial" w:cs="Arial"/>
            <w:sz w:val="20"/>
            <w:szCs w:val="20"/>
            <w:lang w:val="en-GB"/>
          </w:rPr>
          <w:t>https://onlinelibrary.wiley.com/doi/abs/10.1111/j.1467-9701.2008.01129.x</w:t>
        </w:r>
      </w:hyperlink>
    </w:p>
    <w:p w14:paraId="79E89345" w14:textId="057401B7" w:rsidR="00B57807" w:rsidRDefault="00B57807" w:rsidP="0092031A">
      <w:pPr>
        <w:pStyle w:val="ListParagraph"/>
        <w:numPr>
          <w:ilvl w:val="0"/>
          <w:numId w:val="2"/>
        </w:numPr>
        <w:rPr>
          <w:rFonts w:ascii="Arial" w:hAnsi="Arial" w:cs="Arial"/>
          <w:sz w:val="20"/>
          <w:szCs w:val="20"/>
          <w:lang w:val="en-GB"/>
        </w:rPr>
      </w:pPr>
      <w:r w:rsidRPr="007952C2">
        <w:rPr>
          <w:rFonts w:ascii="Arial" w:hAnsi="Arial" w:cs="Arial"/>
          <w:sz w:val="20"/>
          <w:szCs w:val="20"/>
          <w:lang w:val="en-GB"/>
        </w:rPr>
        <w:t>Tsai, P. L. (1991). Determinants of foreign direct investment in Taiwan: an alternative approach with time-series data. World Development, 19(2-3), 275-285.</w:t>
      </w:r>
      <w:r w:rsidR="0092031A">
        <w:rPr>
          <w:rFonts w:ascii="Arial" w:hAnsi="Arial" w:cs="Arial"/>
          <w:sz w:val="20"/>
          <w:szCs w:val="20"/>
          <w:lang w:val="en-GB"/>
        </w:rPr>
        <w:t xml:space="preserve"> </w:t>
      </w:r>
      <w:hyperlink r:id="rId31" w:history="1">
        <w:r w:rsidR="0092031A" w:rsidRPr="001D54F9">
          <w:rPr>
            <w:rStyle w:val="Hyperlink"/>
            <w:rFonts w:ascii="Arial" w:hAnsi="Arial" w:cs="Arial"/>
            <w:sz w:val="20"/>
            <w:szCs w:val="20"/>
            <w:lang w:val="en-GB"/>
          </w:rPr>
          <w:t>https://www.sciencedirect.com/science/article/pii/0305750X9190261F</w:t>
        </w:r>
      </w:hyperlink>
      <w:r w:rsidRPr="0092031A">
        <w:rPr>
          <w:rFonts w:ascii="Arial" w:hAnsi="Arial" w:cs="Arial"/>
          <w:sz w:val="20"/>
          <w:szCs w:val="20"/>
          <w:lang w:val="en-GB"/>
        </w:rPr>
        <w:t xml:space="preserve"> </w:t>
      </w:r>
    </w:p>
    <w:p w14:paraId="104A9AC8" w14:textId="5CF7D061" w:rsidR="0092031A" w:rsidRPr="0092031A" w:rsidRDefault="0092031A" w:rsidP="0092031A">
      <w:pPr>
        <w:pStyle w:val="ListParagraph"/>
        <w:numPr>
          <w:ilvl w:val="0"/>
          <w:numId w:val="2"/>
        </w:numPr>
        <w:rPr>
          <w:rFonts w:ascii="Arial" w:hAnsi="Arial" w:cs="Arial"/>
          <w:sz w:val="20"/>
          <w:szCs w:val="20"/>
          <w:lang w:val="en-GB"/>
        </w:rPr>
      </w:pPr>
      <w:r w:rsidRPr="0092031A">
        <w:rPr>
          <w:rFonts w:ascii="Arial" w:hAnsi="Arial" w:cs="Arial"/>
          <w:sz w:val="20"/>
          <w:szCs w:val="20"/>
        </w:rPr>
        <w:t xml:space="preserve">Kumari, R., Shabbir, M. S., Saleem, S., Yahya Khan, G., Abbasi, B. A., &amp; Lopez, L. B. (2023). </w:t>
      </w:r>
      <w:r w:rsidRPr="0092031A">
        <w:rPr>
          <w:rFonts w:ascii="Arial" w:hAnsi="Arial" w:cs="Arial"/>
          <w:i/>
          <w:iCs/>
          <w:sz w:val="20"/>
          <w:szCs w:val="20"/>
        </w:rPr>
        <w:t xml:space="preserve">An empirical analysis among foreign direct investment, trade openness and economic growth: </w:t>
      </w:r>
      <w:r w:rsidRPr="0092031A">
        <w:rPr>
          <w:rFonts w:ascii="Arial" w:hAnsi="Arial" w:cs="Arial"/>
          <w:i/>
          <w:iCs/>
          <w:sz w:val="20"/>
          <w:szCs w:val="20"/>
        </w:rPr>
        <w:lastRenderedPageBreak/>
        <w:t>Evidence from the Indian economy</w:t>
      </w:r>
      <w:r w:rsidRPr="0092031A">
        <w:rPr>
          <w:rFonts w:ascii="Arial" w:hAnsi="Arial" w:cs="Arial"/>
          <w:sz w:val="20"/>
          <w:szCs w:val="20"/>
        </w:rPr>
        <w:t xml:space="preserve">. </w:t>
      </w:r>
      <w:r w:rsidRPr="0092031A">
        <w:rPr>
          <w:rFonts w:ascii="Arial" w:hAnsi="Arial" w:cs="Arial"/>
          <w:i/>
          <w:iCs/>
          <w:sz w:val="20"/>
          <w:szCs w:val="20"/>
        </w:rPr>
        <w:t>South Asian Journal of Business Studies, 12</w:t>
      </w:r>
      <w:r w:rsidRPr="0092031A">
        <w:rPr>
          <w:rFonts w:ascii="Arial" w:hAnsi="Arial" w:cs="Arial"/>
          <w:sz w:val="20"/>
          <w:szCs w:val="20"/>
        </w:rPr>
        <w:t>(1), 127–149. https://doi.org/10.1108/SAJBS-06-2020-0199</w:t>
      </w:r>
    </w:p>
    <w:bookmarkEnd w:id="2"/>
    <w:p w14:paraId="0CCCE96D" w14:textId="77777777" w:rsidR="0092031A" w:rsidRDefault="0092031A" w:rsidP="00B57807">
      <w:pPr>
        <w:pStyle w:val="ListParagraph"/>
        <w:rPr>
          <w:rFonts w:ascii="Arial" w:hAnsi="Arial" w:cs="Arial"/>
          <w:sz w:val="20"/>
          <w:szCs w:val="20"/>
          <w:lang w:val="en-GB"/>
        </w:rPr>
      </w:pPr>
    </w:p>
    <w:p w14:paraId="72E4DD86" w14:textId="77777777" w:rsidR="0092031A" w:rsidRPr="007952C2" w:rsidRDefault="0092031A" w:rsidP="00B57807">
      <w:pPr>
        <w:pStyle w:val="ListParagraph"/>
        <w:rPr>
          <w:rFonts w:ascii="Arial" w:hAnsi="Arial" w:cs="Arial"/>
          <w:sz w:val="20"/>
          <w:szCs w:val="20"/>
          <w:lang w:val="en-GB"/>
        </w:rPr>
      </w:pPr>
    </w:p>
    <w:p w14:paraId="159D7BE2" w14:textId="77777777" w:rsidR="004E7D86" w:rsidRPr="00A525DC" w:rsidRDefault="004E7D86" w:rsidP="00755D08">
      <w:pPr>
        <w:rPr>
          <w:rStyle w:val="Strong"/>
          <w:rFonts w:ascii="Arial" w:hAnsi="Arial" w:cs="Arial"/>
          <w:b w:val="0"/>
          <w:bCs w:val="0"/>
          <w:sz w:val="20"/>
          <w:szCs w:val="20"/>
        </w:rPr>
      </w:pPr>
    </w:p>
    <w:sectPr w:rsidR="004E7D86" w:rsidRPr="00A525DC" w:rsidSect="0003702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561A" w14:textId="77777777" w:rsidR="00BD5DC3" w:rsidRDefault="00BD5DC3" w:rsidP="0016617E">
      <w:pPr>
        <w:spacing w:before="0" w:line="240" w:lineRule="auto"/>
      </w:pPr>
      <w:r>
        <w:separator/>
      </w:r>
    </w:p>
  </w:endnote>
  <w:endnote w:type="continuationSeparator" w:id="0">
    <w:p w14:paraId="4DD1D493" w14:textId="77777777" w:rsidR="00BD5DC3" w:rsidRDefault="00BD5DC3" w:rsidP="001661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993B" w14:textId="77777777" w:rsidR="0016617E" w:rsidRDefault="0016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C0C" w14:textId="77777777" w:rsidR="0016617E" w:rsidRDefault="00166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BB05" w14:textId="77777777" w:rsidR="0016617E" w:rsidRDefault="0016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EA1CE" w14:textId="77777777" w:rsidR="00BD5DC3" w:rsidRDefault="00BD5DC3" w:rsidP="0016617E">
      <w:pPr>
        <w:spacing w:before="0" w:line="240" w:lineRule="auto"/>
      </w:pPr>
      <w:r>
        <w:separator/>
      </w:r>
    </w:p>
  </w:footnote>
  <w:footnote w:type="continuationSeparator" w:id="0">
    <w:p w14:paraId="1C3E6735" w14:textId="77777777" w:rsidR="00BD5DC3" w:rsidRDefault="00BD5DC3" w:rsidP="001661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03EC" w14:textId="188F6484" w:rsidR="0016617E" w:rsidRDefault="00BD5DC3">
    <w:pPr>
      <w:pStyle w:val="Header"/>
    </w:pPr>
    <w:r>
      <w:rPr>
        <w:noProof/>
      </w:rPr>
      <w:pict w14:anchorId="3670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8"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DA02" w14:textId="2B54CB71" w:rsidR="0016617E" w:rsidRDefault="00BD5DC3">
    <w:pPr>
      <w:pStyle w:val="Header"/>
    </w:pPr>
    <w:r>
      <w:rPr>
        <w:noProof/>
      </w:rPr>
      <w:pict w14:anchorId="039C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9"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09AA" w14:textId="7B9B9028" w:rsidR="0016617E" w:rsidRDefault="00BD5DC3">
    <w:pPr>
      <w:pStyle w:val="Header"/>
    </w:pPr>
    <w:r>
      <w:rPr>
        <w:noProof/>
      </w:rPr>
      <w:pict w14:anchorId="74625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7"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0755E"/>
    <w:multiLevelType w:val="hybridMultilevel"/>
    <w:tmpl w:val="DE840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0471E4"/>
    <w:multiLevelType w:val="hybridMultilevel"/>
    <w:tmpl w:val="5F6AC7D0"/>
    <w:lvl w:ilvl="0" w:tplc="FB7A064A">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8C6AD8"/>
    <w:multiLevelType w:val="hybridMultilevel"/>
    <w:tmpl w:val="C71610DA"/>
    <w:lvl w:ilvl="0" w:tplc="CFEAD6FA">
      <w:start w:val="1"/>
      <w:numFmt w:val="bullet"/>
      <w:lvlText w:val=""/>
      <w:lvlJc w:val="left"/>
      <w:pPr>
        <w:ind w:left="720" w:hanging="360"/>
      </w:pPr>
      <w:rPr>
        <w:rFonts w:ascii="Symbol" w:eastAsiaTheme="minorHAnsi" w:hAnsi="Symbol" w:cs="Aria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27"/>
    <w:rsid w:val="000064F9"/>
    <w:rsid w:val="00007465"/>
    <w:rsid w:val="00007FFA"/>
    <w:rsid w:val="00033280"/>
    <w:rsid w:val="00034E3A"/>
    <w:rsid w:val="0003702C"/>
    <w:rsid w:val="00094F78"/>
    <w:rsid w:val="000A50C7"/>
    <w:rsid w:val="000A68DC"/>
    <w:rsid w:val="000D27A2"/>
    <w:rsid w:val="000D7B95"/>
    <w:rsid w:val="000E594B"/>
    <w:rsid w:val="000F4408"/>
    <w:rsid w:val="00114FF2"/>
    <w:rsid w:val="00124902"/>
    <w:rsid w:val="00150DDC"/>
    <w:rsid w:val="0016617E"/>
    <w:rsid w:val="001756E0"/>
    <w:rsid w:val="00175AF9"/>
    <w:rsid w:val="00181E80"/>
    <w:rsid w:val="00220B18"/>
    <w:rsid w:val="002226F9"/>
    <w:rsid w:val="00224837"/>
    <w:rsid w:val="00263729"/>
    <w:rsid w:val="0029282C"/>
    <w:rsid w:val="002A09F0"/>
    <w:rsid w:val="002C365A"/>
    <w:rsid w:val="002E63BB"/>
    <w:rsid w:val="0030627E"/>
    <w:rsid w:val="00320F39"/>
    <w:rsid w:val="00325081"/>
    <w:rsid w:val="00347749"/>
    <w:rsid w:val="003529EF"/>
    <w:rsid w:val="00353533"/>
    <w:rsid w:val="00353D2C"/>
    <w:rsid w:val="00361351"/>
    <w:rsid w:val="00381632"/>
    <w:rsid w:val="003B5D44"/>
    <w:rsid w:val="003F1856"/>
    <w:rsid w:val="00441E27"/>
    <w:rsid w:val="004E746D"/>
    <w:rsid w:val="004E7D86"/>
    <w:rsid w:val="00500E82"/>
    <w:rsid w:val="00513CF5"/>
    <w:rsid w:val="0055480C"/>
    <w:rsid w:val="00565E7F"/>
    <w:rsid w:val="00570C8B"/>
    <w:rsid w:val="00580B33"/>
    <w:rsid w:val="005C70E3"/>
    <w:rsid w:val="005D1D29"/>
    <w:rsid w:val="00611AF8"/>
    <w:rsid w:val="00654823"/>
    <w:rsid w:val="00654F93"/>
    <w:rsid w:val="006556F2"/>
    <w:rsid w:val="0067119E"/>
    <w:rsid w:val="0068526E"/>
    <w:rsid w:val="006B00C2"/>
    <w:rsid w:val="006B21C5"/>
    <w:rsid w:val="00711A3B"/>
    <w:rsid w:val="00737134"/>
    <w:rsid w:val="00755D08"/>
    <w:rsid w:val="007952C2"/>
    <w:rsid w:val="007A0C84"/>
    <w:rsid w:val="007A5E5E"/>
    <w:rsid w:val="007B7D7F"/>
    <w:rsid w:val="007F1058"/>
    <w:rsid w:val="00801BF0"/>
    <w:rsid w:val="008062D4"/>
    <w:rsid w:val="00823E67"/>
    <w:rsid w:val="008317F0"/>
    <w:rsid w:val="00842493"/>
    <w:rsid w:val="00843DA0"/>
    <w:rsid w:val="00881EB5"/>
    <w:rsid w:val="00895763"/>
    <w:rsid w:val="008B0876"/>
    <w:rsid w:val="008B1A1D"/>
    <w:rsid w:val="008B1CBF"/>
    <w:rsid w:val="00911894"/>
    <w:rsid w:val="009176B3"/>
    <w:rsid w:val="0092031A"/>
    <w:rsid w:val="009246D2"/>
    <w:rsid w:val="00953EAA"/>
    <w:rsid w:val="00954CF1"/>
    <w:rsid w:val="009573CB"/>
    <w:rsid w:val="00966992"/>
    <w:rsid w:val="009851B5"/>
    <w:rsid w:val="009E08AA"/>
    <w:rsid w:val="009F2B1D"/>
    <w:rsid w:val="00A07C36"/>
    <w:rsid w:val="00A16EC2"/>
    <w:rsid w:val="00A525DC"/>
    <w:rsid w:val="00A71CEB"/>
    <w:rsid w:val="00AE4431"/>
    <w:rsid w:val="00AF002C"/>
    <w:rsid w:val="00B12577"/>
    <w:rsid w:val="00B23364"/>
    <w:rsid w:val="00B469CF"/>
    <w:rsid w:val="00B57807"/>
    <w:rsid w:val="00B70AF1"/>
    <w:rsid w:val="00BB5D62"/>
    <w:rsid w:val="00BC49B9"/>
    <w:rsid w:val="00BC692E"/>
    <w:rsid w:val="00BD5DC3"/>
    <w:rsid w:val="00BD74DE"/>
    <w:rsid w:val="00BE2A68"/>
    <w:rsid w:val="00BE2FCD"/>
    <w:rsid w:val="00BF5CC5"/>
    <w:rsid w:val="00C20A79"/>
    <w:rsid w:val="00C35BA3"/>
    <w:rsid w:val="00C469B7"/>
    <w:rsid w:val="00C50190"/>
    <w:rsid w:val="00C57366"/>
    <w:rsid w:val="00C852C2"/>
    <w:rsid w:val="00C8665B"/>
    <w:rsid w:val="00C9186F"/>
    <w:rsid w:val="00C93CC7"/>
    <w:rsid w:val="00CA09B0"/>
    <w:rsid w:val="00CC36CD"/>
    <w:rsid w:val="00CC4FA6"/>
    <w:rsid w:val="00CE0C9C"/>
    <w:rsid w:val="00CE7795"/>
    <w:rsid w:val="00CF4777"/>
    <w:rsid w:val="00D0049C"/>
    <w:rsid w:val="00D053F8"/>
    <w:rsid w:val="00D370BB"/>
    <w:rsid w:val="00D5735A"/>
    <w:rsid w:val="00D60533"/>
    <w:rsid w:val="00D7085D"/>
    <w:rsid w:val="00D957CB"/>
    <w:rsid w:val="00D972E0"/>
    <w:rsid w:val="00E03424"/>
    <w:rsid w:val="00E15684"/>
    <w:rsid w:val="00E2783B"/>
    <w:rsid w:val="00E47B60"/>
    <w:rsid w:val="00E5318C"/>
    <w:rsid w:val="00E90A1D"/>
    <w:rsid w:val="00E93592"/>
    <w:rsid w:val="00EA6C51"/>
    <w:rsid w:val="00EC0533"/>
    <w:rsid w:val="00EC4670"/>
    <w:rsid w:val="00ED3B0F"/>
    <w:rsid w:val="00ED44C7"/>
    <w:rsid w:val="00EE7BFA"/>
    <w:rsid w:val="00F1230B"/>
    <w:rsid w:val="00F27AB3"/>
    <w:rsid w:val="00F472C6"/>
    <w:rsid w:val="00F70E27"/>
    <w:rsid w:val="00F8669D"/>
    <w:rsid w:val="00FB4DE7"/>
    <w:rsid w:val="00FC6E3A"/>
    <w:rsid w:val="00FD58E0"/>
    <w:rsid w:val="00FF1B4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B09DE"/>
  <w15:chartTrackingRefBased/>
  <w15:docId w15:val="{E7602BF5-AC47-4005-B325-34B598F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before="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E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E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E2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E2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E27"/>
    <w:rPr>
      <w:rFonts w:eastAsiaTheme="majorEastAsia" w:cstheme="majorBidi"/>
      <w:color w:val="272727" w:themeColor="text1" w:themeTint="D8"/>
    </w:rPr>
  </w:style>
  <w:style w:type="paragraph" w:styleId="Title">
    <w:name w:val="Title"/>
    <w:basedOn w:val="Normal"/>
    <w:next w:val="Normal"/>
    <w:link w:val="TitleChar"/>
    <w:uiPriority w:val="10"/>
    <w:qFormat/>
    <w:rsid w:val="00F70E2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E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E27"/>
    <w:rPr>
      <w:i/>
      <w:iCs/>
      <w:color w:val="404040" w:themeColor="text1" w:themeTint="BF"/>
    </w:rPr>
  </w:style>
  <w:style w:type="paragraph" w:styleId="ListParagraph">
    <w:name w:val="List Paragraph"/>
    <w:basedOn w:val="Normal"/>
    <w:uiPriority w:val="34"/>
    <w:qFormat/>
    <w:rsid w:val="00F70E27"/>
    <w:pPr>
      <w:ind w:left="720"/>
      <w:contextualSpacing/>
    </w:pPr>
  </w:style>
  <w:style w:type="character" w:styleId="IntenseEmphasis">
    <w:name w:val="Intense Emphasis"/>
    <w:basedOn w:val="DefaultParagraphFont"/>
    <w:uiPriority w:val="21"/>
    <w:qFormat/>
    <w:rsid w:val="00F70E27"/>
    <w:rPr>
      <w:i/>
      <w:iCs/>
      <w:color w:val="2F5496" w:themeColor="accent1" w:themeShade="BF"/>
    </w:rPr>
  </w:style>
  <w:style w:type="paragraph" w:styleId="IntenseQuote">
    <w:name w:val="Intense Quote"/>
    <w:basedOn w:val="Normal"/>
    <w:next w:val="Normal"/>
    <w:link w:val="IntenseQuoteChar"/>
    <w:uiPriority w:val="30"/>
    <w:qFormat/>
    <w:rsid w:val="00F70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7"/>
    <w:rPr>
      <w:i/>
      <w:iCs/>
      <w:color w:val="2F5496" w:themeColor="accent1" w:themeShade="BF"/>
    </w:rPr>
  </w:style>
  <w:style w:type="character" w:styleId="IntenseReference">
    <w:name w:val="Intense Reference"/>
    <w:basedOn w:val="DefaultParagraphFont"/>
    <w:uiPriority w:val="32"/>
    <w:qFormat/>
    <w:rsid w:val="00F70E27"/>
    <w:rPr>
      <w:b/>
      <w:bCs/>
      <w:smallCaps/>
      <w:color w:val="2F5496" w:themeColor="accent1" w:themeShade="BF"/>
      <w:spacing w:val="5"/>
    </w:rPr>
  </w:style>
  <w:style w:type="paragraph" w:styleId="Bibliography">
    <w:name w:val="Bibliography"/>
    <w:basedOn w:val="Normal"/>
    <w:next w:val="Normal"/>
    <w:uiPriority w:val="37"/>
    <w:semiHidden/>
    <w:unhideWhenUsed/>
    <w:rsid w:val="00F70E27"/>
  </w:style>
  <w:style w:type="character" w:styleId="Strong">
    <w:name w:val="Strong"/>
    <w:basedOn w:val="DefaultParagraphFont"/>
    <w:uiPriority w:val="22"/>
    <w:qFormat/>
    <w:rsid w:val="00F70E27"/>
    <w:rPr>
      <w:b/>
      <w:bCs/>
    </w:rPr>
  </w:style>
  <w:style w:type="character" w:styleId="Hyperlink">
    <w:name w:val="Hyperlink"/>
    <w:basedOn w:val="DefaultParagraphFont"/>
    <w:uiPriority w:val="99"/>
    <w:unhideWhenUsed/>
    <w:rsid w:val="003529EF"/>
    <w:rPr>
      <w:color w:val="0563C1" w:themeColor="hyperlink"/>
      <w:u w:val="single"/>
    </w:rPr>
  </w:style>
  <w:style w:type="character" w:styleId="UnresolvedMention">
    <w:name w:val="Unresolved Mention"/>
    <w:basedOn w:val="DefaultParagraphFont"/>
    <w:uiPriority w:val="99"/>
    <w:semiHidden/>
    <w:unhideWhenUsed/>
    <w:rsid w:val="003529EF"/>
    <w:rPr>
      <w:color w:val="605E5C"/>
      <w:shd w:val="clear" w:color="auto" w:fill="E1DFDD"/>
    </w:rPr>
  </w:style>
  <w:style w:type="table" w:styleId="TableGrid">
    <w:name w:val="Table Grid"/>
    <w:basedOn w:val="TableNormal"/>
    <w:uiPriority w:val="39"/>
    <w:rsid w:val="009851B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17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617E"/>
  </w:style>
  <w:style w:type="paragraph" w:styleId="Footer">
    <w:name w:val="footer"/>
    <w:basedOn w:val="Normal"/>
    <w:link w:val="FooterChar"/>
    <w:uiPriority w:val="99"/>
    <w:unhideWhenUsed/>
    <w:rsid w:val="0016617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7-6419.00056" TargetMode="External"/><Relationship Id="rId18" Type="http://schemas.openxmlformats.org/officeDocument/2006/relationships/hyperlink" Target="https://doi.org/10.3390/jrfm12040176" TargetMode="External"/><Relationship Id="rId26" Type="http://schemas.openxmlformats.org/officeDocument/2006/relationships/hyperlink" Target="https://doi.org/10.1016/j.worlddev.2007.06.014" TargetMode="External"/><Relationship Id="rId39" Type="http://schemas.openxmlformats.org/officeDocument/2006/relationships/theme" Target="theme/theme1.xml"/><Relationship Id="rId21" Type="http://schemas.openxmlformats.org/officeDocument/2006/relationships/hyperlink" Target="https://doi.org/10.1111/1467-8268.12155"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researchgate.net/publication/23720000_Foreign_Direct_Investment_and_Growth_Does_the_Sector_Matter" TargetMode="External"/><Relationship Id="rId17" Type="http://schemas.openxmlformats.org/officeDocument/2006/relationships/hyperlink" Target="https://doi.org/10.22617/ADBIWP1243" TargetMode="External"/><Relationship Id="rId25" Type="http://schemas.openxmlformats.org/officeDocument/2006/relationships/hyperlink" Target="https://doi.org/10.1080/1540496X.2018.150420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dl.handle.net/10419/189636" TargetMode="External"/><Relationship Id="rId20" Type="http://schemas.openxmlformats.org/officeDocument/2006/relationships/hyperlink" Target="https://doi.org/10.14445/23939125/IJEMS-V4I8P105" TargetMode="External"/><Relationship Id="rId29" Type="http://schemas.openxmlformats.org/officeDocument/2006/relationships/hyperlink" Target="https://www.ibef.org/economy/foreign-direct-invest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fpi.gov.in/sites/default/files/fdi-policycircular-2020-28october2020.pdf" TargetMode="External"/><Relationship Id="rId24" Type="http://schemas.openxmlformats.org/officeDocument/2006/relationships/hyperlink" Target="https://doi.org/10.1016/j.worlddev.2004.02.00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econ.2016.06.001" TargetMode="External"/><Relationship Id="rId23" Type="http://schemas.openxmlformats.org/officeDocument/2006/relationships/hyperlink" Target="https://doi.org/10.11114/aef.v3i1.1317" TargetMode="External"/><Relationship Id="rId28" Type="http://schemas.openxmlformats.org/officeDocument/2006/relationships/hyperlink" Target="https://doi.org/10.1057/s41267-018-0177-1"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6007/IJARBSS/v8-i1/3799" TargetMode="External"/><Relationship Id="rId31" Type="http://schemas.openxmlformats.org/officeDocument/2006/relationships/hyperlink" Target="https://www.sciencedirect.com/science/article/pii/0305750X9190261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96/ire.v9i2.19134" TargetMode="External"/><Relationship Id="rId22" Type="http://schemas.openxmlformats.org/officeDocument/2006/relationships/hyperlink" Target="https://doi.org/10.1016/j.asieco.2017.06.001" TargetMode="External"/><Relationship Id="rId27" Type="http://schemas.openxmlformats.org/officeDocument/2006/relationships/hyperlink" Target="https://doi.org/10.1016/j.econmod.2013.05.021" TargetMode="External"/><Relationship Id="rId30" Type="http://schemas.openxmlformats.org/officeDocument/2006/relationships/hyperlink" Target="https://onlinelibrary.wiley.com/doi/abs/10.1111/j.1467-9701.2008.01129.x"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13</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Haneesh P</dc:creator>
  <cp:keywords/>
  <dc:description/>
  <cp:lastModifiedBy>SDI 1022</cp:lastModifiedBy>
  <cp:revision>105</cp:revision>
  <dcterms:created xsi:type="dcterms:W3CDTF">2025-08-27T04:43:00Z</dcterms:created>
  <dcterms:modified xsi:type="dcterms:W3CDTF">2025-12-31T08:24:00Z</dcterms:modified>
</cp:coreProperties>
</file>