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33A" w:rsidRDefault="00335F70">
      <w:pPr>
        <w:pStyle w:val="Title"/>
        <w:spacing w:after="0"/>
        <w:jc w:val="both"/>
        <w:rPr>
          <w:rFonts w:ascii="Arial" w:hAnsi="Arial" w:cs="Arial"/>
        </w:rPr>
      </w:pPr>
      <w:r>
        <w:rPr>
          <w:rFonts w:ascii="Arial" w:hAnsi="Arial" w:cs="Arial"/>
        </w:rPr>
        <w:t>Original Research Article</w:t>
      </w:r>
    </w:p>
    <w:p w:rsidR="0038333A" w:rsidRDefault="0038333A">
      <w:pPr>
        <w:pStyle w:val="Title"/>
        <w:spacing w:after="0"/>
        <w:jc w:val="both"/>
        <w:rPr>
          <w:rFonts w:ascii="Arial" w:hAnsi="Arial" w:cs="Arial"/>
        </w:rPr>
      </w:pPr>
    </w:p>
    <w:p w:rsidR="0038333A" w:rsidRDefault="00335F70">
      <w:pPr>
        <w:pStyle w:val="Author"/>
        <w:spacing w:line="240" w:lineRule="auto"/>
        <w:rPr>
          <w:rFonts w:ascii="Arial" w:hAnsi="Arial" w:cs="Arial"/>
          <w:bCs/>
          <w:iCs/>
          <w:kern w:val="28"/>
          <w:sz w:val="36"/>
        </w:rPr>
      </w:pPr>
      <w:r>
        <w:rPr>
          <w:rFonts w:ascii="Arial" w:hAnsi="Arial" w:cs="Arial"/>
          <w:bCs/>
          <w:iCs/>
          <w:kern w:val="28"/>
          <w:sz w:val="36"/>
        </w:rPr>
        <w:t xml:space="preserve">The Effects of Board and Executive Incentive Systems on Corporate Growth: Evidence from China’s Agricultural and </w:t>
      </w:r>
      <w:proofErr w:type="spellStart"/>
      <w:r>
        <w:rPr>
          <w:rFonts w:ascii="Arial" w:hAnsi="Arial" w:cs="Arial"/>
          <w:bCs/>
          <w:iCs/>
          <w:kern w:val="28"/>
          <w:sz w:val="36"/>
        </w:rPr>
        <w:t>Agro</w:t>
      </w:r>
      <w:proofErr w:type="spellEnd"/>
      <w:r>
        <w:rPr>
          <w:rFonts w:ascii="Arial" w:hAnsi="Arial" w:cs="Arial"/>
          <w:bCs/>
          <w:iCs/>
          <w:kern w:val="28"/>
          <w:sz w:val="36"/>
        </w:rPr>
        <w:t xml:space="preserve">-processing Industry </w:t>
      </w:r>
    </w:p>
    <w:p w:rsidR="0038333A" w:rsidRDefault="0038333A">
      <w:pPr>
        <w:pStyle w:val="Author"/>
        <w:spacing w:line="240" w:lineRule="auto"/>
        <w:jc w:val="both"/>
        <w:rPr>
          <w:rFonts w:ascii="Arial" w:hAnsi="Arial" w:cs="Arial"/>
          <w:sz w:val="36"/>
        </w:rPr>
      </w:pPr>
    </w:p>
    <w:p w:rsidR="0038333A" w:rsidRDefault="0038333A">
      <w:pPr>
        <w:pStyle w:val="Affiliation"/>
        <w:spacing w:after="0" w:line="240" w:lineRule="auto"/>
        <w:jc w:val="both"/>
        <w:rPr>
          <w:rFonts w:ascii="Arial" w:hAnsi="Arial" w:cs="Arial"/>
        </w:rPr>
      </w:pPr>
    </w:p>
    <w:p w:rsidR="0038333A" w:rsidRDefault="0038333A">
      <w:pPr>
        <w:pStyle w:val="Affiliation"/>
        <w:spacing w:after="0" w:line="240" w:lineRule="auto"/>
        <w:jc w:val="both"/>
        <w:rPr>
          <w:rFonts w:ascii="Arial" w:hAnsi="Arial" w:cs="Arial"/>
        </w:rPr>
      </w:pPr>
    </w:p>
    <w:p w:rsidR="0038333A" w:rsidRDefault="00335F70">
      <w:pPr>
        <w:pStyle w:val="Copyright"/>
        <w:spacing w:after="0" w:line="240" w:lineRule="auto"/>
        <w:jc w:val="both"/>
        <w:rPr>
          <w:rFonts w:ascii="Arial" w:hAnsi="Arial" w:cs="Arial"/>
        </w:rPr>
        <w:sectPr w:rsidR="0038333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extent cx="5303520" cy="635"/>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rsidR="0038333A" w:rsidRDefault="00335F70">
      <w:pPr>
        <w:pStyle w:val="AbstHead"/>
        <w:spacing w:after="0"/>
        <w:jc w:val="both"/>
        <w:rPr>
          <w:rFonts w:ascii="Arial" w:hAnsi="Arial" w:cs="Arial"/>
        </w:rPr>
      </w:pPr>
      <w:r>
        <w:rPr>
          <w:rFonts w:ascii="Arial" w:hAnsi="Arial" w:cs="Arial"/>
        </w:rPr>
        <w:t>ABSTRACT</w:t>
      </w:r>
    </w:p>
    <w:p w:rsidR="0038333A" w:rsidRDefault="0038333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8333A">
        <w:tc>
          <w:tcPr>
            <w:tcW w:w="9576" w:type="dxa"/>
            <w:shd w:val="clear" w:color="auto" w:fill="F2F2F2"/>
          </w:tcPr>
          <w:p w:rsidR="0038333A" w:rsidRDefault="00335F70">
            <w:pPr>
              <w:pStyle w:val="Body"/>
              <w:rPr>
                <w:rFonts w:ascii="Arial" w:eastAsia="Calibri" w:hAnsi="Arial" w:cs="Arial"/>
                <w:szCs w:val="22"/>
              </w:rPr>
            </w:pPr>
            <w:r>
              <w:rPr>
                <w:rFonts w:ascii="Arial" w:eastAsia="Calibri" w:hAnsi="Arial" w:cs="Arial"/>
                <w:b/>
                <w:szCs w:val="22"/>
              </w:rPr>
              <w:t>Aims</w:t>
            </w:r>
            <w:r>
              <w:rPr>
                <w:rFonts w:ascii="Arial" w:eastAsia="Calibri" w:hAnsi="Arial" w:cs="Arial"/>
                <w:szCs w:val="22"/>
              </w:rPr>
              <w:t>: It tests the impact of board governance and executive incentive mechanisms on corporate growth, as well as their contemporaneous and lagged effects.</w:t>
            </w:r>
          </w:p>
          <w:p w:rsidR="0038333A" w:rsidRDefault="00335F70">
            <w:pPr>
              <w:pStyle w:val="Body"/>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Studying at Xiamen University Tan </w:t>
            </w:r>
            <w:proofErr w:type="spellStart"/>
            <w:r>
              <w:rPr>
                <w:rFonts w:ascii="Arial" w:eastAsia="Calibri" w:hAnsi="Arial" w:cs="Arial"/>
                <w:szCs w:val="22"/>
              </w:rPr>
              <w:t>Kah</w:t>
            </w:r>
            <w:proofErr w:type="spellEnd"/>
            <w:r>
              <w:rPr>
                <w:rFonts w:ascii="Arial" w:eastAsia="Calibri" w:hAnsi="Arial" w:cs="Arial"/>
                <w:szCs w:val="22"/>
              </w:rPr>
              <w:t xml:space="preserve"> Kee College since September 2022.,</w:t>
            </w:r>
          </w:p>
          <w:p w:rsidR="0038333A" w:rsidRDefault="00335F70">
            <w:pPr>
              <w:pStyle w:val="Body"/>
              <w:rPr>
                <w:rFonts w:ascii="Arial" w:eastAsia="Calibri" w:hAnsi="Arial" w:cs="Arial"/>
                <w:szCs w:val="22"/>
              </w:rPr>
            </w:pPr>
            <w:r>
              <w:rPr>
                <w:rFonts w:ascii="Arial" w:eastAsia="Calibri" w:hAnsi="Arial" w:cs="Arial"/>
                <w:b/>
                <w:szCs w:val="22"/>
              </w:rPr>
              <w:t xml:space="preserve">Methodology: </w:t>
            </w:r>
            <w:r>
              <w:rPr>
                <w:rFonts w:ascii="Arial" w:eastAsia="Calibri" w:hAnsi="Arial" w:cs="Arial"/>
                <w:szCs w:val="22"/>
              </w:rPr>
              <w:t>Taking A-share listed companies in China's agriculture and agricultural product processing industry from 2020 to 2024 as samples, this paper adopts the methods of multiple linear regression and quantile regression.</w:t>
            </w:r>
          </w:p>
          <w:p w:rsidR="0038333A" w:rsidRDefault="00335F70">
            <w:pPr>
              <w:pStyle w:val="Body"/>
              <w:rPr>
                <w:rFonts w:ascii="Arial" w:eastAsia="Calibri" w:hAnsi="Arial" w:cs="Arial"/>
                <w:szCs w:val="22"/>
              </w:rPr>
            </w:pPr>
            <w:r>
              <w:rPr>
                <w:rFonts w:ascii="Arial" w:eastAsia="Calibri" w:hAnsi="Arial" w:cs="Arial"/>
                <w:b/>
                <w:szCs w:val="22"/>
              </w:rPr>
              <w:t>Conclusion:</w:t>
            </w:r>
            <w:r>
              <w:rPr>
                <w:rFonts w:ascii="Arial" w:eastAsia="Calibri" w:hAnsi="Arial" w:cs="Arial"/>
                <w:szCs w:val="22"/>
              </w:rPr>
              <w:t xml:space="preserve"> </w:t>
            </w:r>
            <w:r>
              <w:rPr>
                <w:rFonts w:ascii="Arial" w:eastAsia="Calibri" w:hAnsi="Arial" w:cs="Arial" w:hint="eastAsia"/>
                <w:szCs w:val="22"/>
              </w:rPr>
              <w:t>Compensation incentives exhibit an overall positive impact on firms</w:t>
            </w:r>
            <w:r>
              <w:rPr>
                <w:rFonts w:ascii="Arial" w:eastAsia="Calibri" w:hAnsi="Arial" w:cs="Arial" w:hint="eastAsia"/>
                <w:szCs w:val="22"/>
              </w:rPr>
              <w:t>’</w:t>
            </w:r>
            <w:r>
              <w:rPr>
                <w:rFonts w:ascii="Arial" w:eastAsia="Calibri" w:hAnsi="Arial" w:cs="Arial" w:hint="eastAsia"/>
                <w:szCs w:val="22"/>
              </w:rPr>
              <w:t xml:space="preserve"> sustainable growth; however, the contemporaneous effect is insignificant, while the one-period lagged effect is statistically significant. Equity incentives show differentiated lagged effects: executive shareholding promotes firm growth, whereas board shareholding suppresses it. Quantile regression further reveals that board compensation incentives are more effective in high-growth firms, while low-growth firms benefit more from reducing their asset</w:t>
            </w:r>
            <w:r>
              <w:rPr>
                <w:rFonts w:ascii="Arial" w:eastAsia="Calibri" w:hAnsi="Arial" w:cs="Arial" w:hint="eastAsia"/>
                <w:szCs w:val="22"/>
              </w:rPr>
              <w:t>–</w:t>
            </w:r>
            <w:r>
              <w:rPr>
                <w:rFonts w:ascii="Arial" w:eastAsia="Calibri" w:hAnsi="Arial" w:cs="Arial" w:hint="eastAsia"/>
                <w:szCs w:val="22"/>
              </w:rPr>
              <w:t>liability ratio. Control variables such as firm size, revenue growth, and state ownership positively correlate with growth, while leverage exerts a significant negative influence.</w:t>
            </w:r>
          </w:p>
        </w:tc>
      </w:tr>
    </w:tbl>
    <w:p w:rsidR="0038333A" w:rsidRDefault="0038333A">
      <w:pPr>
        <w:pStyle w:val="Body"/>
        <w:spacing w:after="0"/>
        <w:rPr>
          <w:rFonts w:ascii="Arial" w:hAnsi="Arial" w:cs="Arial"/>
          <w:i/>
        </w:rPr>
      </w:pPr>
    </w:p>
    <w:p w:rsidR="0038333A" w:rsidRDefault="00335F70">
      <w:pPr>
        <w:pStyle w:val="Body"/>
        <w:spacing w:after="0"/>
        <w:rPr>
          <w:rFonts w:ascii="Arial" w:hAnsi="Arial" w:cs="Arial"/>
          <w:i/>
        </w:rPr>
      </w:pPr>
      <w:r>
        <w:rPr>
          <w:rFonts w:ascii="Arial" w:hAnsi="Arial" w:cs="Arial"/>
          <w:i/>
        </w:rPr>
        <w:t xml:space="preserve">Keywords: Incentive systems; Sustainable growth; Agriculture; </w:t>
      </w:r>
      <w:proofErr w:type="spellStart"/>
      <w:r>
        <w:rPr>
          <w:rFonts w:ascii="Arial" w:hAnsi="Arial" w:cs="Arial"/>
          <w:i/>
        </w:rPr>
        <w:t>Agro</w:t>
      </w:r>
      <w:proofErr w:type="spellEnd"/>
      <w:r>
        <w:rPr>
          <w:rFonts w:ascii="Arial" w:hAnsi="Arial" w:cs="Arial"/>
          <w:i/>
        </w:rPr>
        <w:t>-processing industry</w:t>
      </w:r>
    </w:p>
    <w:p w:rsidR="0038333A" w:rsidRDefault="0038333A">
      <w:pPr>
        <w:pStyle w:val="Body"/>
        <w:spacing w:after="0"/>
        <w:rPr>
          <w:rFonts w:ascii="Arial" w:hAnsi="Arial" w:cs="Arial"/>
          <w:i/>
        </w:rPr>
      </w:pPr>
    </w:p>
    <w:p w:rsidR="0038333A" w:rsidRDefault="00335F70">
      <w:pPr>
        <w:pStyle w:val="AbstHead"/>
        <w:numPr>
          <w:ilvl w:val="0"/>
          <w:numId w:val="2"/>
        </w:numPr>
        <w:spacing w:after="0"/>
        <w:jc w:val="both"/>
        <w:rPr>
          <w:rFonts w:ascii="Arial" w:hAnsi="Arial" w:cs="Arial"/>
        </w:rPr>
      </w:pPr>
      <w:r>
        <w:rPr>
          <w:rFonts w:ascii="Arial" w:hAnsi="Arial" w:cs="Arial"/>
        </w:rPr>
        <w:t>INTRODUCTION</w:t>
      </w:r>
    </w:p>
    <w:p w:rsidR="0038333A" w:rsidRDefault="00335F70">
      <w:pPr>
        <w:pStyle w:val="Body"/>
        <w:spacing w:after="0"/>
        <w:rPr>
          <w:rFonts w:ascii="Arial" w:hAnsi="Arial" w:cs="Arial"/>
        </w:rPr>
      </w:pPr>
      <w:r>
        <w:rPr>
          <w:rFonts w:ascii="Arial" w:hAnsi="Arial" w:cs="Arial"/>
        </w:rPr>
        <w:t xml:space="preserve">Agriculture is a fundamental sector of the national economy, and the agricultural and </w:t>
      </w:r>
      <w:proofErr w:type="spellStart"/>
      <w:r>
        <w:rPr>
          <w:rFonts w:ascii="Arial" w:hAnsi="Arial" w:cs="Arial"/>
        </w:rPr>
        <w:t>agro</w:t>
      </w:r>
      <w:proofErr w:type="spellEnd"/>
      <w:r>
        <w:rPr>
          <w:rFonts w:ascii="Arial" w:hAnsi="Arial" w:cs="Arial"/>
        </w:rPr>
        <w:t>-processing industry serves as a key link between agricultural production and market consumption. Its high-quality development is directly related to the effective implementation of the rural revitalization strategy and the safeguarding of national food security</w:t>
      </w:r>
      <w:r w:rsidR="004E2385">
        <w:rPr>
          <w:rFonts w:ascii="Arial" w:hAnsi="Arial" w:cs="Arial"/>
        </w:rPr>
        <w:t xml:space="preserve"> [12,13]</w:t>
      </w:r>
      <w:r>
        <w:rPr>
          <w:rFonts w:ascii="Arial" w:hAnsi="Arial" w:cs="Arial"/>
        </w:rPr>
        <w:t xml:space="preserve">. In recent years, under the combined influence of policy support and market mechanisms, China’s listed companies in the agricultural and </w:t>
      </w:r>
      <w:proofErr w:type="spellStart"/>
      <w:r>
        <w:rPr>
          <w:rFonts w:ascii="Arial" w:hAnsi="Arial" w:cs="Arial"/>
        </w:rPr>
        <w:t>agro</w:t>
      </w:r>
      <w:proofErr w:type="spellEnd"/>
      <w:r>
        <w:rPr>
          <w:rFonts w:ascii="Arial" w:hAnsi="Arial" w:cs="Arial"/>
        </w:rPr>
        <w:t>-processing industry have achieved certain progress in scale expansion. Nevertheless, they continue to face structural constraints such as insufficient industrial chain integration, weak technological innovation capacity, and unstable profitability</w:t>
      </w:r>
      <w:r w:rsidR="00C33794">
        <w:rPr>
          <w:rFonts w:ascii="Arial" w:hAnsi="Arial" w:cs="Arial"/>
        </w:rPr>
        <w:t xml:space="preserve"> </w:t>
      </w:r>
      <w:r w:rsidR="004E2385">
        <w:rPr>
          <w:rFonts w:ascii="Arial" w:hAnsi="Arial" w:cs="Arial"/>
        </w:rPr>
        <w:t>[14,15]</w:t>
      </w:r>
      <w:r>
        <w:rPr>
          <w:rFonts w:ascii="Arial" w:hAnsi="Arial" w:cs="Arial"/>
        </w:rPr>
        <w:t>.</w:t>
      </w:r>
      <w:r w:rsidR="00E83CB9">
        <w:rPr>
          <w:rFonts w:ascii="Arial" w:hAnsi="Arial" w:cs="Arial"/>
        </w:rPr>
        <w:t xml:space="preserve"> </w:t>
      </w:r>
      <w:r>
        <w:rPr>
          <w:rFonts w:ascii="Arial" w:hAnsi="Arial" w:cs="Arial" w:hint="eastAsia"/>
        </w:rPr>
        <w:t>Existing studies confirm that agricultural enterprises still encounter multiple practical constraints in their growth process, and driving enterprises to improve quality and efficiency through institutional optimization and</w:t>
      </w:r>
      <w:bookmarkStart w:id="0" w:name="_GoBack"/>
      <w:bookmarkEnd w:id="0"/>
      <w:r>
        <w:rPr>
          <w:rFonts w:ascii="Arial" w:hAnsi="Arial" w:cs="Arial" w:hint="eastAsia"/>
        </w:rPr>
        <w:t xml:space="preserve"> innovation has become a core proposition for breaking the bottleneck of sustainable development in the industry</w:t>
      </w:r>
      <w:r>
        <w:rPr>
          <w:rFonts w:ascii="Arial" w:hAnsi="Arial" w:cs="Arial"/>
        </w:rPr>
        <w:t>[1].</w:t>
      </w:r>
    </w:p>
    <w:p w:rsidR="0038333A" w:rsidRDefault="00335F70">
      <w:pPr>
        <w:pStyle w:val="Body"/>
        <w:spacing w:after="0"/>
        <w:rPr>
          <w:rFonts w:ascii="Arial" w:hAnsi="Arial" w:cs="Arial"/>
        </w:rPr>
      </w:pPr>
      <w:r>
        <w:rPr>
          <w:rFonts w:ascii="Arial" w:hAnsi="Arial" w:cs="Arial"/>
        </w:rPr>
        <w:t xml:space="preserve">Prior research shows that the development challenges faced by agricultural enterprises are mainly reflected in pronounced industry polarization, an underdeveloped policy support system, increasing pressure from risk management, and relatively weak awareness of corporate social responsibility [2]. Related studies further reveal that incentive mechanisms for middle- </w:t>
      </w:r>
      <w:r>
        <w:rPr>
          <w:rFonts w:ascii="Arial" w:hAnsi="Arial" w:cs="Arial"/>
        </w:rPr>
        <w:lastRenderedPageBreak/>
        <w:t>and lower-level employees in some agricultural banks suffer from problems such as insufficient competitiveness of compensation and benefits, limited effectiveness of performance incentives, constrained promotion channels, and inadequate training opportunities. These issues primarily stem from imperfect compensation adjustment mechanisms, unsound performance evaluation systems, unreasonable promotion pathway design, and inefficient allocation of training resources. Therefore, establishing effective incentive systems is of particular importance for promoting the growth of agricultural enterprises.</w:t>
      </w:r>
    </w:p>
    <w:p w:rsidR="0038333A" w:rsidRDefault="00335F70">
      <w:pPr>
        <w:pStyle w:val="Body"/>
        <w:spacing w:after="0"/>
        <w:rPr>
          <w:rFonts w:ascii="Arial" w:hAnsi="Arial" w:cs="Arial"/>
        </w:rPr>
      </w:pPr>
      <w:r>
        <w:rPr>
          <w:rFonts w:ascii="Arial" w:hAnsi="Arial" w:cs="Arial"/>
        </w:rPr>
        <w:t>The realization of firm growth depends heavily on sound corporate governance mechanisms. As the core decision-makers in corporate operations, board members and executives play a decisive role in governance efficiency and operational performance, and the design of their incentive systems directly affects firm outcomes. Compensation incentives motivate management by linking short-term rewards to performance, while equity incentives reduce agency costs and encourage a long-term strategic orientation through ownership alignment. The coordinated use of these two incentive mechanisms has become an important practice in modern corporate governance. Although existing studies generally confirm the positive effects of incentive systems on firm growth, the related literature has mainly focused on manufacturing and high-technology industries, with relatively limited attention devoted to the agricultural sector.</w:t>
      </w:r>
    </w:p>
    <w:p w:rsidR="0038333A" w:rsidRDefault="00335F70">
      <w:pPr>
        <w:pStyle w:val="Body"/>
        <w:spacing w:after="0"/>
        <w:rPr>
          <w:rFonts w:ascii="Arial" w:hAnsi="Arial" w:cs="Arial"/>
        </w:rPr>
      </w:pPr>
      <w:r>
        <w:rPr>
          <w:rFonts w:ascii="Arial" w:hAnsi="Arial" w:cs="Arial"/>
        </w:rPr>
        <w:t>As a fundamental and strategic industry in the national economy, agriculture plays an irreplaceable role in ensuring food security, enhancing economic resilience, and promoting common prosperity, while also serving as a core driver of industrial chain integration and rural revitalization. The strategic principle that “a strong nation must begin with strong agriculture,” together with the continued policy emphasis highlighted in China’s 2025 Central No. 1 Document, further underscores the government’s strong commitment and policy support for agricultural development. However, in practice, incentive mechanisms for board members and executives in agricultural enterprises remain underdeveloped. The adoption rate of such mechanisms is significantly lower than that in other industries, and long-term incentive arrangements compatible with the long production cycles and high operational risks characteristic of agriculture are largely lacking. Moreover, due to the industry’s relatively limited attractiveness to senior managerial talent, agricultural firms continue to rely heavily on external recruitment or transfers, while persistent challenges in talent retention remain unresolved.</w:t>
      </w:r>
    </w:p>
    <w:p w:rsidR="0038333A" w:rsidRDefault="00335F70">
      <w:pPr>
        <w:pStyle w:val="Body"/>
        <w:spacing w:after="0"/>
        <w:rPr>
          <w:rFonts w:ascii="Arial" w:hAnsi="Arial" w:cs="Arial"/>
        </w:rPr>
      </w:pPr>
      <w:r>
        <w:rPr>
          <w:rFonts w:ascii="Arial" w:hAnsi="Arial" w:cs="Arial"/>
        </w:rPr>
        <w:t xml:space="preserve">Against this background, this study takes A-share listed companies in China’s agricultural and </w:t>
      </w:r>
      <w:proofErr w:type="spellStart"/>
      <w:r>
        <w:rPr>
          <w:rFonts w:ascii="Arial" w:hAnsi="Arial" w:cs="Arial"/>
        </w:rPr>
        <w:t>agro</w:t>
      </w:r>
      <w:proofErr w:type="spellEnd"/>
      <w:r>
        <w:rPr>
          <w:rFonts w:ascii="Arial" w:hAnsi="Arial" w:cs="Arial"/>
        </w:rPr>
        <w:t xml:space="preserve">-processing industry from 2020 to 2024 as the research sample and systematically examines the mechanisms through which compensation incentives and equity incentives affect firm growth. This study further introduces a quantile regression approach to identify the heterogeneous effects of incentive systems across firms with different growth levels, thereby enhancing the practical relevance and explanatory power of the empirical findings. The contributions of this study are twofold. From a theoretical perspective, it enriches the empirical literature on the relationship between incentive mechanisms and firm growth in agricultural listed companies and extends the applicability of corporate governance theory across different industry contexts. From a practical perspective, it provides targeted recommendations for optimizing incentive system design and improving governance efficiency in agricultural and </w:t>
      </w:r>
      <w:proofErr w:type="spellStart"/>
      <w:r>
        <w:rPr>
          <w:rFonts w:ascii="Arial" w:hAnsi="Arial" w:cs="Arial"/>
        </w:rPr>
        <w:t>agro</w:t>
      </w:r>
      <w:proofErr w:type="spellEnd"/>
      <w:r>
        <w:rPr>
          <w:rFonts w:ascii="Arial" w:hAnsi="Arial" w:cs="Arial"/>
        </w:rPr>
        <w:t>-processing firms, while also offering policy implications for regulators seeking to improve industry governance and promote the high-quality development of the agricultural sector.</w:t>
      </w:r>
    </w:p>
    <w:p w:rsidR="0038333A" w:rsidRDefault="0038333A">
      <w:pPr>
        <w:pStyle w:val="Body"/>
        <w:spacing w:after="0"/>
        <w:rPr>
          <w:rFonts w:ascii="Arial" w:hAnsi="Arial" w:cs="Arial"/>
        </w:rPr>
      </w:pPr>
    </w:p>
    <w:p w:rsidR="0038333A" w:rsidRDefault="00335F70">
      <w:pPr>
        <w:pStyle w:val="AbstHead"/>
        <w:spacing w:after="0"/>
        <w:jc w:val="both"/>
        <w:rPr>
          <w:rFonts w:ascii="Arial" w:hAnsi="Arial" w:cs="Arial"/>
        </w:rPr>
      </w:pPr>
      <w:r>
        <w:rPr>
          <w:rFonts w:ascii="Arial" w:hAnsi="Arial" w:cs="Arial"/>
        </w:rPr>
        <w:t>2. LITERATURE REVIEW AND HYPOTHESES DEVELOPMENT</w:t>
      </w:r>
    </w:p>
    <w:p w:rsidR="0038333A" w:rsidRDefault="00335F70">
      <w:pPr>
        <w:pStyle w:val="Heading1"/>
        <w:spacing w:before="0" w:after="0"/>
        <w:rPr>
          <w:sz w:val="20"/>
        </w:rPr>
      </w:pPr>
      <w:r>
        <w:rPr>
          <w:sz w:val="20"/>
        </w:rPr>
        <w:t>2.1 Literature Review</w:t>
      </w:r>
    </w:p>
    <w:p w:rsidR="0038333A" w:rsidRDefault="00335F70">
      <w:pPr>
        <w:pStyle w:val="Body"/>
        <w:spacing w:after="0"/>
        <w:rPr>
          <w:rFonts w:ascii="Arial" w:hAnsi="Arial" w:cs="Arial"/>
        </w:rPr>
      </w:pPr>
      <w:r>
        <w:rPr>
          <w:rFonts w:ascii="Arial" w:hAnsi="Arial" w:cs="Arial"/>
        </w:rPr>
        <w:t xml:space="preserve">Early studies on the relationship between executive compensation incentives and firm growth mainly focused on highly market-oriented industries such as software and services, with relatively limited attention paid to the agricultural and </w:t>
      </w:r>
      <w:proofErr w:type="spellStart"/>
      <w:r>
        <w:rPr>
          <w:rFonts w:ascii="Arial" w:hAnsi="Arial" w:cs="Arial"/>
        </w:rPr>
        <w:t>agro</w:t>
      </w:r>
      <w:proofErr w:type="spellEnd"/>
      <w:r>
        <w:rPr>
          <w:rFonts w:ascii="Arial" w:hAnsi="Arial" w:cs="Arial"/>
        </w:rPr>
        <w:t>-processing industry. With the increasing demand for high-quality development of agricultural enterprises under the rural revitalization strategy, scholars have gradually begun to examine the specific role of compensation incentives in promoting growth within this sector [3]. Existing research indicates that, with the deepening of economic system reforms, mixed-ownership reform has become an effective approach for state-owned agricultural enterprises to stimulate vitality and enhance competitiveness. By integrating state-owned capital with non-state-owned capital and introducing diversified investors, enterprises have continuously optimized their ownership structures, thereby achieving complementary advantages and mutual reinforcement [4].</w:t>
      </w:r>
    </w:p>
    <w:p w:rsidR="0038333A" w:rsidRDefault="00335F70">
      <w:pPr>
        <w:pStyle w:val="Body"/>
        <w:spacing w:after="0"/>
        <w:rPr>
          <w:rFonts w:ascii="Arial" w:hAnsi="Arial" w:cs="Arial"/>
        </w:rPr>
      </w:pPr>
      <w:r>
        <w:rPr>
          <w:rFonts w:ascii="Arial" w:hAnsi="Arial" w:cs="Arial"/>
        </w:rPr>
        <w:t>Empirical evidence suggests that the development of agricultural listed companies in China is still at an early stage, and the effect of equity incentives on corporate financial performance has not yet reached its peak. Equity incentives are positively associated with financial performance at the 5% significance level and play an important role in improving firm performance. Moreover, equity incentives significantly restrain agency costs, indicating that the implementation of equity incentive schemes can reduce agency costs arising from business operations, thereby increasing revenues and enhancing overall performance [5]. Further empirical analysis reveals that the effects of different types of executive equity incentives on corporate innovation performance vary across ownership structures. For state-owned enterprises, restricted stock incentives are more appropriate for executives, whereas for non-state-owned enterprises, both restricted stock and stock option incentives have positive effects on innovation performance [6]. These findings collectively suggest that, given the unique position and development conditions of agricultural listed companies at the current stage, incentive systems exert a significant influence on industry growth at the firm level.</w:t>
      </w:r>
    </w:p>
    <w:p w:rsidR="0038333A" w:rsidRDefault="00335F70">
      <w:pPr>
        <w:pStyle w:val="Body"/>
        <w:spacing w:after="0"/>
        <w:rPr>
          <w:rFonts w:ascii="Arial" w:hAnsi="Arial" w:cs="Arial"/>
        </w:rPr>
      </w:pPr>
      <w:r>
        <w:rPr>
          <w:rFonts w:ascii="Arial" w:hAnsi="Arial" w:cs="Arial"/>
        </w:rPr>
        <w:t xml:space="preserve">Additional studies find that executives’ monetary compensation has a significantly positive impact on firm growth. Firms are therefore encouraged to enrich compensation packages, optimize executive compensation structures, and adopt a combination of short-term and long-term incentives, with greater emphasis on long-term value creation and future growth </w:t>
      </w:r>
      <w:r>
        <w:rPr>
          <w:rFonts w:ascii="Arial" w:hAnsi="Arial" w:cs="Arial"/>
        </w:rPr>
        <w:lastRenderedPageBreak/>
        <w:t>potential [7]. Empirical evidence further indicates that the average level of executive overconfidence in China’s agricultural listed companies has steadily increased, accompanied by rising executive compensation levels. Executive overconfidence is found to be significantly positively related to financial performance, implying that higher executive confidence is associated with better firm performance [8]. Other studies show that the implementation of equity incentive plans has generally positive effects on financial performance, non-financial performance, and market outcomes, although their effects on accounts receivable turnover, debt risk, executive retention, and short-term market reactions are either insignificant or, in some cases, negative [9]. Moreover, research has demonstrated a close relationship between management compensation, dividend policy, and firms’ sustainable growth. Within a reasonable compensation range, higher average managerial compensation combined with equity incentives is associated with stronger sustainable growth of listed companies, indicating that compensation incentive mechanisms are conducive to promoting long-term firm growth.</w:t>
      </w:r>
    </w:p>
    <w:p w:rsidR="0038333A" w:rsidRDefault="0038333A">
      <w:pPr>
        <w:pStyle w:val="Body"/>
        <w:spacing w:after="0"/>
        <w:rPr>
          <w:rFonts w:ascii="Arial" w:hAnsi="Arial" w:cs="Arial"/>
        </w:rPr>
      </w:pPr>
    </w:p>
    <w:p w:rsidR="0038333A" w:rsidRDefault="00335F70">
      <w:pPr>
        <w:pStyle w:val="Heading1"/>
        <w:spacing w:before="0" w:after="0"/>
        <w:rPr>
          <w:sz w:val="20"/>
        </w:rPr>
      </w:pPr>
      <w:r>
        <w:rPr>
          <w:sz w:val="20"/>
        </w:rPr>
        <w:t>2.2 Board Compensation and Firm Growth</w:t>
      </w:r>
    </w:p>
    <w:p w:rsidR="0038333A" w:rsidRDefault="00335F70">
      <w:pPr>
        <w:pStyle w:val="Body"/>
        <w:spacing w:after="0"/>
        <w:rPr>
          <w:rFonts w:ascii="Arial" w:hAnsi="Arial" w:cs="Arial"/>
        </w:rPr>
      </w:pPr>
      <w:r>
        <w:rPr>
          <w:rFonts w:ascii="Arial" w:hAnsi="Arial" w:cs="Arial"/>
        </w:rPr>
        <w:t xml:space="preserve">According to agency theory, board members act as representatives of shareholders, with core responsibilities including supervising executive performance and formulating strategic decisions. Compensation incentives serve as a key mechanism to ensure that board members actively fulfill their duties. The agricultural and </w:t>
      </w:r>
      <w:proofErr w:type="spellStart"/>
      <w:r>
        <w:rPr>
          <w:rFonts w:ascii="Arial" w:hAnsi="Arial" w:cs="Arial"/>
        </w:rPr>
        <w:t>agro</w:t>
      </w:r>
      <w:proofErr w:type="spellEnd"/>
      <w:r>
        <w:rPr>
          <w:rFonts w:ascii="Arial" w:hAnsi="Arial" w:cs="Arial"/>
        </w:rPr>
        <w:t>-processing industry is characterized by vulnerability to external conditions and strong cyclical fluctuations, requiring firms to balance short-term profitability with long-term risk resilience in strategic decision-making. In this context, the professional judgment and supervisory effectiveness of board members directly influence firms’ growth trajectories. Reasonable board compensation can motivate directors to conduct in-depth analyses of industry policies and market supply–demand dynamics, thereby facilitating the formulation of growth strategies—such as industrial chain integration and technological innovation—that are aligned with the characteristics of agricultural enterprises.</w:t>
      </w:r>
    </w:p>
    <w:p w:rsidR="0038333A" w:rsidRDefault="00335F70">
      <w:pPr>
        <w:pStyle w:val="Body"/>
        <w:spacing w:after="0"/>
        <w:rPr>
          <w:rFonts w:ascii="Arial" w:hAnsi="Arial" w:cs="Arial"/>
        </w:rPr>
      </w:pPr>
      <w:r>
        <w:rPr>
          <w:rFonts w:ascii="Arial" w:hAnsi="Arial" w:cs="Arial"/>
        </w:rPr>
        <w:t>From the perspective of human capital theory, the specific features of the agricultural industry impose high demands on directors’ industry experience and risk management capabilities. Competitive compensation packages can help attract and retain high-quality board members whose professional expertise enables firms to cope with uncertainties arising from natural risks and policy changes, thus supporting sustained firm growth.</w:t>
      </w:r>
    </w:p>
    <w:p w:rsidR="0038333A" w:rsidRDefault="00335F70">
      <w:pPr>
        <w:pStyle w:val="Body"/>
        <w:spacing w:after="0"/>
        <w:rPr>
          <w:rFonts w:ascii="Arial" w:hAnsi="Arial" w:cs="Arial"/>
        </w:rPr>
      </w:pPr>
      <w:r>
        <w:rPr>
          <w:rFonts w:ascii="Arial" w:hAnsi="Arial" w:cs="Arial"/>
        </w:rPr>
        <w:t xml:space="preserve">H1: In the agricultural and </w:t>
      </w:r>
      <w:proofErr w:type="spellStart"/>
      <w:r>
        <w:rPr>
          <w:rFonts w:ascii="Arial" w:hAnsi="Arial" w:cs="Arial"/>
        </w:rPr>
        <w:t>agro</w:t>
      </w:r>
      <w:proofErr w:type="spellEnd"/>
      <w:r>
        <w:rPr>
          <w:rFonts w:ascii="Arial" w:hAnsi="Arial" w:cs="Arial"/>
        </w:rPr>
        <w:t>-processing industry, board compensation is positively and significantly associated with firm growth.</w:t>
      </w:r>
    </w:p>
    <w:p w:rsidR="0038333A" w:rsidRDefault="0038333A">
      <w:pPr>
        <w:pStyle w:val="Body"/>
        <w:spacing w:after="0"/>
        <w:rPr>
          <w:rFonts w:ascii="Arial" w:hAnsi="Arial" w:cs="Arial"/>
        </w:rPr>
      </w:pPr>
    </w:p>
    <w:p w:rsidR="0038333A" w:rsidRDefault="00335F70">
      <w:pPr>
        <w:pStyle w:val="Heading1"/>
        <w:spacing w:before="0" w:after="0"/>
        <w:rPr>
          <w:sz w:val="20"/>
        </w:rPr>
      </w:pPr>
      <w:r>
        <w:rPr>
          <w:sz w:val="20"/>
        </w:rPr>
        <w:t>2.3 Board Shareholding Ratio and Firm Growth</w:t>
      </w:r>
    </w:p>
    <w:p w:rsidR="0038333A" w:rsidRDefault="00335F70">
      <w:pPr>
        <w:pStyle w:val="Body"/>
        <w:spacing w:after="0"/>
        <w:rPr>
          <w:rFonts w:ascii="Arial" w:hAnsi="Arial" w:cs="Arial"/>
        </w:rPr>
      </w:pPr>
      <w:r>
        <w:rPr>
          <w:rFonts w:ascii="Arial" w:hAnsi="Arial" w:cs="Arial"/>
        </w:rPr>
        <w:t>Board shareholding, as a form of long-term incentive, aligns the interests of directors with those of shareholders by making directors partial owners of the firm. This arrangement is highly compatible with the long investment return cycles and growth patterns that rely on long-term strategic planning in agricultural enterprises. Based on agency theory, an increase in the board shareholding ratio can significantly reduce agency costs and encourage directors to formulate and implement sustainable growth strategies from the perspective of long-term firm value maximization.</w:t>
      </w:r>
    </w:p>
    <w:p w:rsidR="0038333A" w:rsidRDefault="00335F70">
      <w:pPr>
        <w:pStyle w:val="Body"/>
        <w:spacing w:after="0"/>
        <w:rPr>
          <w:rFonts w:ascii="Arial" w:hAnsi="Arial" w:cs="Arial"/>
        </w:rPr>
      </w:pPr>
      <w:r>
        <w:rPr>
          <w:rFonts w:ascii="Arial" w:hAnsi="Arial" w:cs="Arial"/>
        </w:rPr>
        <w:t>In addition, according to resource dependence theory, directors with equity stakes have stronger incentives to leverage their personal networks and industry resources to secure policy support and expand market channels. Such efforts can help alleviate resource constraints faced by agricultural enterprises and further enhance firm growth.</w:t>
      </w:r>
    </w:p>
    <w:p w:rsidR="0038333A" w:rsidRDefault="00335F70">
      <w:pPr>
        <w:pStyle w:val="Body"/>
        <w:spacing w:after="0"/>
        <w:rPr>
          <w:rFonts w:ascii="Arial" w:hAnsi="Arial" w:cs="Arial"/>
        </w:rPr>
      </w:pPr>
      <w:r>
        <w:rPr>
          <w:rFonts w:ascii="Arial" w:hAnsi="Arial" w:cs="Arial"/>
        </w:rPr>
        <w:t xml:space="preserve">H2: In the agricultural and </w:t>
      </w:r>
      <w:proofErr w:type="spellStart"/>
      <w:r>
        <w:rPr>
          <w:rFonts w:ascii="Arial" w:hAnsi="Arial" w:cs="Arial"/>
        </w:rPr>
        <w:t>agro</w:t>
      </w:r>
      <w:proofErr w:type="spellEnd"/>
      <w:r>
        <w:rPr>
          <w:rFonts w:ascii="Arial" w:hAnsi="Arial" w:cs="Arial"/>
        </w:rPr>
        <w:t>-processing industry, the board shareholding ratio is positively and significantly associated with firm growth.</w:t>
      </w:r>
    </w:p>
    <w:p w:rsidR="0038333A" w:rsidRDefault="0038333A">
      <w:pPr>
        <w:pStyle w:val="Body"/>
        <w:spacing w:after="0"/>
        <w:rPr>
          <w:rFonts w:ascii="Arial" w:hAnsi="Arial" w:cs="Arial"/>
        </w:rPr>
      </w:pPr>
    </w:p>
    <w:p w:rsidR="0038333A" w:rsidRDefault="00335F70">
      <w:pPr>
        <w:pStyle w:val="Heading1"/>
        <w:spacing w:before="0" w:after="0"/>
        <w:rPr>
          <w:sz w:val="20"/>
        </w:rPr>
      </w:pPr>
      <w:r>
        <w:rPr>
          <w:sz w:val="20"/>
        </w:rPr>
        <w:t>2.4 Executive Compensation and Firm Growth</w:t>
      </w:r>
    </w:p>
    <w:p w:rsidR="0038333A" w:rsidRDefault="00335F70">
      <w:pPr>
        <w:pStyle w:val="Body"/>
        <w:spacing w:after="0"/>
        <w:rPr>
          <w:rFonts w:ascii="Arial" w:hAnsi="Arial" w:cs="Arial"/>
        </w:rPr>
      </w:pPr>
      <w:r>
        <w:rPr>
          <w:rFonts w:ascii="Arial" w:hAnsi="Arial" w:cs="Arial"/>
        </w:rPr>
        <w:t>Executives are the core executors of corporate strategic decisions, and their behaviors directly affect resource allocation efficiency and market competitiveness in agricultural enterprises. Executive compensation incentives help establish an incentive mechanism that aligns rewards with risks, thereby motivating executives to actively engage in business operations.</w:t>
      </w:r>
    </w:p>
    <w:p w:rsidR="0038333A" w:rsidRDefault="00335F70">
      <w:pPr>
        <w:pStyle w:val="Body"/>
        <w:spacing w:after="0"/>
        <w:rPr>
          <w:rFonts w:ascii="Arial" w:hAnsi="Arial" w:cs="Arial"/>
        </w:rPr>
      </w:pPr>
      <w:r>
        <w:rPr>
          <w:rFonts w:ascii="Arial" w:hAnsi="Arial" w:cs="Arial"/>
        </w:rPr>
        <w:t>From the perspective of human capital theory, high-quality development of agricultural enterprises requires executive teams with strong industry experience and innovative capabilities. Appropriate compensation incentives can attract and retain high-quality executives whose professional competencies enable firms to address challenges such as fluctuations in agricultural product supply and demand and policy adjustments. By optimizing resource allocation and improving operational efficiency, executive compensation incentives can promote sustained firm growth.</w:t>
      </w:r>
    </w:p>
    <w:p w:rsidR="0038333A" w:rsidRDefault="00335F70">
      <w:pPr>
        <w:pStyle w:val="Body"/>
        <w:spacing w:after="0"/>
        <w:rPr>
          <w:rFonts w:ascii="Arial" w:hAnsi="Arial" w:cs="Arial"/>
        </w:rPr>
      </w:pPr>
      <w:r>
        <w:rPr>
          <w:rFonts w:ascii="Arial" w:hAnsi="Arial" w:cs="Arial"/>
        </w:rPr>
        <w:t xml:space="preserve">H3: In the agricultural and </w:t>
      </w:r>
      <w:proofErr w:type="spellStart"/>
      <w:r>
        <w:rPr>
          <w:rFonts w:ascii="Arial" w:hAnsi="Arial" w:cs="Arial"/>
        </w:rPr>
        <w:t>agro</w:t>
      </w:r>
      <w:proofErr w:type="spellEnd"/>
      <w:r>
        <w:rPr>
          <w:rFonts w:ascii="Arial" w:hAnsi="Arial" w:cs="Arial"/>
        </w:rPr>
        <w:t>-processing industry, executive compensation is positively and significantly associated with firm growth.</w:t>
      </w:r>
    </w:p>
    <w:p w:rsidR="0038333A" w:rsidRDefault="0038333A">
      <w:pPr>
        <w:pStyle w:val="Body"/>
        <w:spacing w:after="0"/>
        <w:rPr>
          <w:rFonts w:ascii="Arial" w:hAnsi="Arial" w:cs="Arial"/>
        </w:rPr>
      </w:pPr>
    </w:p>
    <w:p w:rsidR="0038333A" w:rsidRDefault="00335F70">
      <w:pPr>
        <w:pStyle w:val="Heading1"/>
        <w:spacing w:before="0" w:after="0"/>
        <w:rPr>
          <w:sz w:val="20"/>
        </w:rPr>
      </w:pPr>
      <w:r>
        <w:rPr>
          <w:sz w:val="20"/>
        </w:rPr>
        <w:t>2.5 Executive Shareholding Ratio and Firm Growth</w:t>
      </w:r>
    </w:p>
    <w:p w:rsidR="0038333A" w:rsidRDefault="00335F70">
      <w:pPr>
        <w:pStyle w:val="Body"/>
        <w:spacing w:after="0"/>
        <w:rPr>
          <w:rFonts w:ascii="Arial" w:hAnsi="Arial" w:cs="Arial"/>
        </w:rPr>
      </w:pPr>
      <w:r>
        <w:rPr>
          <w:rFonts w:ascii="Arial" w:hAnsi="Arial" w:cs="Arial"/>
        </w:rPr>
        <w:t>Executive shareholding aligns executives’ interests with firms’ long-term value through equity-based incentives, which are particularly suitable for the long-cycle and high-risk growth characteristics of agricultural enterprises. Based on agency theory, executive shareholding can fundamentally mitigate managerial short-termism that may arise from short-term compensation incentives. In the face of cyclical fluctuations and natural risks inherent in the agricultural industry, executives with equity stakes are more likely to focus on cultivating firms’ long-term competitiveness.</w:t>
      </w:r>
    </w:p>
    <w:p w:rsidR="0038333A" w:rsidRDefault="00335F70">
      <w:pPr>
        <w:pStyle w:val="Body"/>
        <w:spacing w:after="0"/>
        <w:rPr>
          <w:rFonts w:ascii="Arial" w:hAnsi="Arial" w:cs="Arial"/>
        </w:rPr>
      </w:pPr>
      <w:r>
        <w:rPr>
          <w:rFonts w:ascii="Arial" w:hAnsi="Arial" w:cs="Arial"/>
        </w:rPr>
        <w:t xml:space="preserve">According to incentive theory, the residual claims associated with executive shareholding can fully stimulate executives’ initiative, encouraging them to proactively integrate internal and external resources, optimize management processes, and </w:t>
      </w:r>
      <w:r>
        <w:rPr>
          <w:rFonts w:ascii="Arial" w:hAnsi="Arial" w:cs="Arial"/>
        </w:rPr>
        <w:lastRenderedPageBreak/>
        <w:t xml:space="preserve">enhance operational efficiency and market expansion capabilities. Consequently, executive shareholding is expected to exert a more persistent and significant positive effect on the growth of </w:t>
      </w:r>
      <w:proofErr w:type="spellStart"/>
      <w:r>
        <w:rPr>
          <w:rFonts w:ascii="Arial" w:hAnsi="Arial" w:cs="Arial"/>
        </w:rPr>
        <w:t>agicultural</w:t>
      </w:r>
      <w:proofErr w:type="spellEnd"/>
      <w:r>
        <w:rPr>
          <w:rFonts w:ascii="Arial" w:hAnsi="Arial" w:cs="Arial"/>
        </w:rPr>
        <w:t xml:space="preserve"> enterprises.</w:t>
      </w:r>
    </w:p>
    <w:p w:rsidR="0038333A" w:rsidRDefault="00335F70">
      <w:pPr>
        <w:pStyle w:val="Body"/>
        <w:spacing w:after="0"/>
        <w:rPr>
          <w:rFonts w:ascii="Arial" w:hAnsi="Arial" w:cs="Arial"/>
        </w:rPr>
      </w:pPr>
      <w:r>
        <w:rPr>
          <w:rFonts w:ascii="Arial" w:hAnsi="Arial" w:cs="Arial"/>
        </w:rPr>
        <w:t xml:space="preserve">H4: In the agricultural and </w:t>
      </w:r>
      <w:proofErr w:type="spellStart"/>
      <w:r>
        <w:rPr>
          <w:rFonts w:ascii="Arial" w:hAnsi="Arial" w:cs="Arial"/>
        </w:rPr>
        <w:t>agro</w:t>
      </w:r>
      <w:proofErr w:type="spellEnd"/>
      <w:r>
        <w:rPr>
          <w:rFonts w:ascii="Arial" w:hAnsi="Arial" w:cs="Arial"/>
        </w:rPr>
        <w:t xml:space="preserve">-processing industry, the executive shareholding ratio is positively and significantly associated with firm growth.  </w:t>
      </w:r>
    </w:p>
    <w:p w:rsidR="0038333A" w:rsidRDefault="0038333A">
      <w:pPr>
        <w:pStyle w:val="Body"/>
        <w:spacing w:after="0"/>
        <w:rPr>
          <w:rFonts w:ascii="Arial" w:hAnsi="Arial" w:cs="Arial"/>
        </w:rPr>
      </w:pPr>
    </w:p>
    <w:p w:rsidR="0038333A" w:rsidRDefault="00335F70">
      <w:pPr>
        <w:pStyle w:val="Head1"/>
        <w:spacing w:after="0"/>
        <w:jc w:val="both"/>
        <w:rPr>
          <w:rFonts w:ascii="Arial" w:hAnsi="Arial" w:cs="Arial"/>
        </w:rPr>
      </w:pPr>
      <w:r>
        <w:rPr>
          <w:rFonts w:ascii="Arial" w:hAnsi="Arial" w:cs="Arial"/>
        </w:rPr>
        <w:t>3 RESEARCH DESIGN</w:t>
      </w:r>
    </w:p>
    <w:p w:rsidR="0038333A" w:rsidRDefault="0038333A"/>
    <w:p w:rsidR="0038333A" w:rsidRDefault="00335F70">
      <w:pPr>
        <w:pStyle w:val="Body"/>
        <w:spacing w:after="0"/>
        <w:rPr>
          <w:rFonts w:ascii="Arial" w:hAnsi="Arial" w:cs="Arial"/>
        </w:rPr>
      </w:pPr>
      <w:r>
        <w:rPr>
          <w:rFonts w:ascii="Arial" w:hAnsi="Arial" w:cs="Arial"/>
        </w:rPr>
        <w:t xml:space="preserve">This study uses data from China’s A-share listed companies during the period from 2020 to 2024 as the research sample. The sample is screened according to the following criteria. First, firms designated as ST or *ST are excluded to avoid the influence of financial distress and abnormal operating conditions. Second, observations with missing values are removed. Third, extreme values are treated using the </w:t>
      </w:r>
      <w:proofErr w:type="spellStart"/>
      <w:r>
        <w:rPr>
          <w:rFonts w:ascii="Arial" w:hAnsi="Arial" w:cs="Arial"/>
        </w:rPr>
        <w:t>winsorise</w:t>
      </w:r>
      <w:proofErr w:type="spellEnd"/>
      <w:r>
        <w:rPr>
          <w:rFonts w:ascii="Arial" w:hAnsi="Arial" w:cs="Arial"/>
        </w:rPr>
        <w:t xml:space="preserve"> method. After these screening procedures, a total of 374 valid firm-year observations </w:t>
      </w:r>
      <w:proofErr w:type="gramStart"/>
      <w:r>
        <w:rPr>
          <w:rFonts w:ascii="Arial" w:hAnsi="Arial" w:cs="Arial"/>
        </w:rPr>
        <w:t>are</w:t>
      </w:r>
      <w:proofErr w:type="gramEnd"/>
      <w:r>
        <w:rPr>
          <w:rFonts w:ascii="Arial" w:hAnsi="Arial" w:cs="Arial"/>
        </w:rPr>
        <w:t xml:space="preserve"> obtained.</w:t>
      </w:r>
    </w:p>
    <w:p w:rsidR="0038333A" w:rsidRDefault="00335F70">
      <w:pPr>
        <w:pStyle w:val="Body"/>
        <w:spacing w:after="0"/>
        <w:rPr>
          <w:rFonts w:ascii="Arial" w:hAnsi="Arial" w:cs="Arial"/>
        </w:rPr>
      </w:pPr>
      <w:r>
        <w:rPr>
          <w:rFonts w:ascii="Arial" w:hAnsi="Arial" w:cs="Arial"/>
        </w:rPr>
        <w:t>In addition, considering the potential lagged effects of incentive systems, this study further conducts tests for lagged effects. After data processing, 285 valid observations are retained for the one-period lagged analysis. All data are obtained from the China Stock Market &amp; Accounting Research (CSMAR) database.</w:t>
      </w:r>
    </w:p>
    <w:p w:rsidR="0038333A" w:rsidRDefault="00335F70">
      <w:pPr>
        <w:pStyle w:val="Body"/>
        <w:spacing w:after="0"/>
        <w:rPr>
          <w:rFonts w:ascii="Arial" w:hAnsi="Arial" w:cs="Arial"/>
        </w:rPr>
      </w:pPr>
      <w:r>
        <w:rPr>
          <w:rFonts w:ascii="Arial" w:hAnsi="Arial" w:cs="Arial"/>
        </w:rPr>
        <w:t>For the empirical analysis, this study employs quantile regression to examine the effects of incentive systems across firms with different levels of growth. Specifically, regressions are conducted at the 25th, 50th, and 75th percentiles of the dependent variable, representing low-, medium-, and high-growth firms, respectively. The quantile regression results are then compared with those obtained from ordinary least squares (OLS) estimation to provide a robustness check and a more comprehensive understanding of the empirical findings. All empirical analyses are conducted using STATA 15.</w:t>
      </w:r>
      <w:proofErr w:type="gramStart"/>
      <w:r>
        <w:rPr>
          <w:rFonts w:ascii="Arial" w:hAnsi="Arial" w:cs="Arial"/>
        </w:rPr>
        <w:t>0.The</w:t>
      </w:r>
      <w:proofErr w:type="gramEnd"/>
      <w:r>
        <w:rPr>
          <w:rFonts w:ascii="Arial" w:hAnsi="Arial" w:cs="Arial"/>
        </w:rPr>
        <w:t xml:space="preserve"> regression models are specified as follows:</w:t>
      </w:r>
    </w:p>
    <w:p w:rsidR="0038333A" w:rsidRDefault="00394AB8">
      <w:pPr>
        <w:pStyle w:val="NormalWeb"/>
        <w:spacing w:before="0" w:beforeAutospacing="0" w:after="0" w:afterAutospacing="0"/>
        <w:ind w:firstLineChars="294" w:firstLine="588"/>
        <w:jc w:val="both"/>
        <w:rPr>
          <w:rFonts w:ascii="Times New Roman" w:eastAsia="Calibri" w:hAnsi="Times New Roman" w:cs="Times New Roman"/>
          <w:i/>
          <w:sz w:val="20"/>
          <w:szCs w:val="20"/>
          <w:lang w:eastAsia="zh-TW"/>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susgrow</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0</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boardsalary</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2</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excusalary</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3</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boardstk</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4</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excustk</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5</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scale</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6</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debt</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7</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age</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8</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soe</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9</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revgrow</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10</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industry</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ε</m:t>
            </m:r>
          </m:e>
          <m:sub>
            <m:r>
              <w:rPr>
                <w:rFonts w:ascii="Cambria Math" w:eastAsia="Calibri" w:hAnsi="Cambria Math" w:cs="Times New Roman"/>
                <w:sz w:val="20"/>
                <w:szCs w:val="20"/>
                <w:lang w:eastAsia="en-US"/>
              </w:rPr>
              <m:t>i,t</m:t>
            </m:r>
          </m:sub>
        </m:sSub>
      </m:oMath>
      <w:r w:rsidR="00335F70">
        <w:rPr>
          <w:rFonts w:ascii="Times New Roman" w:eastAsia="Calibri" w:hAnsi="Times New Roman" w:cs="Times New Roman"/>
          <w:i/>
          <w:sz w:val="20"/>
          <w:szCs w:val="20"/>
          <w:lang w:eastAsia="zh-TW"/>
        </w:rPr>
        <w:t>…………</w:t>
      </w:r>
      <w:proofErr w:type="gramStart"/>
      <w:r w:rsidR="00335F70">
        <w:rPr>
          <w:rFonts w:ascii="Times New Roman" w:eastAsia="Calibri" w:hAnsi="Times New Roman" w:cs="Times New Roman"/>
          <w:i/>
          <w:sz w:val="20"/>
          <w:szCs w:val="20"/>
          <w:lang w:eastAsia="zh-TW"/>
        </w:rPr>
        <w:t>…..</w:t>
      </w:r>
      <w:proofErr w:type="gramEnd"/>
      <w:r w:rsidR="00335F70">
        <w:rPr>
          <w:rFonts w:ascii="Times New Roman" w:eastAsia="Calibri" w:hAnsi="Times New Roman" w:cs="Times New Roman"/>
          <w:i/>
          <w:sz w:val="20"/>
          <w:szCs w:val="20"/>
          <w:lang w:eastAsia="zh-TW"/>
        </w:rPr>
        <w:t>(1)</w:t>
      </w:r>
    </w:p>
    <w:p w:rsidR="0038333A" w:rsidRDefault="0038333A">
      <w:pPr>
        <w:pStyle w:val="NormalWeb"/>
        <w:spacing w:before="0" w:beforeAutospacing="0" w:after="0" w:afterAutospacing="0"/>
        <w:ind w:firstLineChars="294" w:firstLine="588"/>
        <w:jc w:val="both"/>
        <w:rPr>
          <w:rFonts w:ascii="Times New Roman" w:eastAsia="Calibri" w:hAnsi="Times New Roman" w:cs="Times New Roman"/>
          <w:i/>
          <w:sz w:val="20"/>
          <w:szCs w:val="20"/>
          <w:lang w:eastAsia="zh-TW"/>
        </w:rPr>
      </w:pPr>
    </w:p>
    <w:p w:rsidR="0038333A" w:rsidRDefault="00394AB8">
      <w:pPr>
        <w:pStyle w:val="NormalWeb"/>
        <w:spacing w:before="0" w:beforeAutospacing="0" w:after="0" w:afterAutospacing="0"/>
        <w:ind w:firstLineChars="294" w:firstLine="588"/>
        <w:jc w:val="both"/>
        <w:rPr>
          <w:rFonts w:ascii="Times New Roman" w:eastAsia="Calibri" w:hAnsi="Times New Roman" w:cs="Times New Roman"/>
          <w:i/>
          <w:sz w:val="20"/>
          <w:szCs w:val="20"/>
          <w:lang w:eastAsia="zh-TW"/>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susgrow</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0</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boardsalary</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2</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excusalary</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3</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boardstk</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4</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excustk</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5</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scale</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6</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debt</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7</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age</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8</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soe</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9</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revgrow</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10</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industry</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ε</m:t>
            </m:r>
          </m:e>
          <m:sub>
            <m:r>
              <w:rPr>
                <w:rFonts w:ascii="Cambria Math" w:eastAsia="Calibri" w:hAnsi="Cambria Math" w:cs="Times New Roman"/>
                <w:sz w:val="20"/>
                <w:szCs w:val="20"/>
                <w:lang w:eastAsia="en-US"/>
              </w:rPr>
              <m:t>i,t</m:t>
            </m:r>
          </m:sub>
        </m:sSub>
      </m:oMath>
      <w:r w:rsidR="00335F70">
        <w:rPr>
          <w:rFonts w:ascii="Times New Roman" w:eastAsia="PMingLiU" w:hAnsi="Times New Roman" w:cs="Times New Roman"/>
          <w:i/>
          <w:sz w:val="20"/>
          <w:szCs w:val="20"/>
          <w:lang w:eastAsia="zh-TW"/>
        </w:rPr>
        <w:t>………………………………………………. ……………………………</w:t>
      </w:r>
      <w:proofErr w:type="gramStart"/>
      <w:r w:rsidR="00335F70">
        <w:rPr>
          <w:rFonts w:ascii="Times New Roman" w:eastAsia="PMingLiU" w:hAnsi="Times New Roman" w:cs="Times New Roman"/>
          <w:i/>
          <w:sz w:val="20"/>
          <w:szCs w:val="20"/>
          <w:lang w:eastAsia="zh-TW"/>
        </w:rPr>
        <w:t>…..</w:t>
      </w:r>
      <w:proofErr w:type="gramEnd"/>
      <w:r w:rsidR="00335F70">
        <w:rPr>
          <w:rFonts w:ascii="Times New Roman" w:eastAsia="PMingLiU" w:hAnsi="Times New Roman" w:cs="Times New Roman"/>
          <w:i/>
          <w:sz w:val="20"/>
          <w:szCs w:val="20"/>
          <w:lang w:eastAsia="zh-TW"/>
        </w:rPr>
        <w:t>….</w:t>
      </w:r>
      <w:r w:rsidR="00335F70">
        <w:rPr>
          <w:rFonts w:ascii="Times New Roman" w:eastAsia="Calibri" w:hAnsi="Times New Roman" w:cs="Times New Roman"/>
          <w:i/>
          <w:sz w:val="20"/>
          <w:szCs w:val="20"/>
          <w:lang w:eastAsia="zh-TW"/>
        </w:rPr>
        <w:t>….(2)</w:t>
      </w:r>
    </w:p>
    <w:p w:rsidR="0038333A" w:rsidRDefault="0038333A">
      <w:pPr>
        <w:pStyle w:val="Body"/>
        <w:spacing w:after="0"/>
        <w:ind w:left="1106" w:hangingChars="553" w:hanging="1106"/>
        <w:rPr>
          <w:rFonts w:ascii="Times New Roman" w:eastAsia="PMingLiU" w:hAnsi="Times New Roman"/>
          <w:i/>
          <w:lang w:eastAsia="zh-TW"/>
        </w:rPr>
      </w:pPr>
    </w:p>
    <w:p w:rsidR="0038333A" w:rsidRDefault="00335F70">
      <w:pPr>
        <w:pStyle w:val="Heading1"/>
        <w:spacing w:before="0" w:after="0"/>
        <w:rPr>
          <w:sz w:val="20"/>
        </w:rPr>
      </w:pPr>
      <w:r>
        <w:rPr>
          <w:sz w:val="20"/>
        </w:rPr>
        <w:t>3.2 Variable Definitions</w:t>
      </w:r>
    </w:p>
    <w:p w:rsidR="0038333A" w:rsidRDefault="00335F70">
      <w:pPr>
        <w:pStyle w:val="Heading1"/>
        <w:spacing w:before="0" w:after="0"/>
      </w:pPr>
      <w:r>
        <w:rPr>
          <w:b w:val="0"/>
          <w:i/>
          <w:sz w:val="20"/>
        </w:rPr>
        <w:t>3.2.1 Dependent Variable</w:t>
      </w:r>
    </w:p>
    <w:p w:rsidR="0038333A" w:rsidRDefault="00335F70">
      <w:pPr>
        <w:pStyle w:val="Body"/>
        <w:spacing w:after="0"/>
        <w:rPr>
          <w:rFonts w:ascii="Arial" w:hAnsi="Arial" w:cs="Arial"/>
        </w:rPr>
      </w:pPr>
      <w:r>
        <w:rPr>
          <w:rFonts w:ascii="Arial" w:hAnsi="Arial" w:cs="Arial"/>
        </w:rPr>
        <w:t>This paper takes the Sustainable Growth Rate (</w:t>
      </w:r>
      <w:proofErr w:type="spellStart"/>
      <w:r>
        <w:rPr>
          <w:rFonts w:ascii="Arial" w:hAnsi="Arial" w:cs="Arial"/>
        </w:rPr>
        <w:t>susgrow</w:t>
      </w:r>
      <w:proofErr w:type="spellEnd"/>
      <w:r>
        <w:rPr>
          <w:rFonts w:ascii="Arial" w:hAnsi="Arial" w:cs="Arial"/>
        </w:rPr>
        <w:t xml:space="preserve">) as the dependent variable. The sustainable growth rate measures the long-term growth capacity of listed companies in the agricultural and </w:t>
      </w:r>
      <w:proofErr w:type="spellStart"/>
      <w:r>
        <w:rPr>
          <w:rFonts w:ascii="Arial" w:hAnsi="Arial" w:cs="Arial"/>
        </w:rPr>
        <w:t>agro</w:t>
      </w:r>
      <w:proofErr w:type="spellEnd"/>
      <w:r>
        <w:rPr>
          <w:rFonts w:ascii="Arial" w:hAnsi="Arial" w:cs="Arial"/>
        </w:rPr>
        <w:t>-processing industry without relying on external equity financing, while maintaining existing operating efficiency and financial policies. Compared with simple revenue growth indicators, this measure avoids the influence of short-term policy subsidies and market fluctuations, and better captures the role of incentive systems in promoting firms’ long-term value creation. The sustainable growth rate is calculated as follows:</w:t>
      </w:r>
    </w:p>
    <w:p w:rsidR="0038333A" w:rsidRDefault="0038333A">
      <w:pPr>
        <w:pStyle w:val="Body"/>
        <w:spacing w:after="0"/>
        <w:rPr>
          <w:rFonts w:ascii="Arial" w:hAnsi="Arial" w:cs="Arial"/>
        </w:rPr>
      </w:pPr>
    </w:p>
    <w:p w:rsidR="0038333A" w:rsidRDefault="00335F70">
      <w:pPr>
        <w:pStyle w:val="Body"/>
        <w:spacing w:after="0"/>
        <w:jc w:val="center"/>
        <w:rPr>
          <w:rFonts w:ascii="Arial" w:hAnsi="Arial" w:cs="Arial"/>
        </w:rPr>
      </w:pPr>
      <w:proofErr w:type="spellStart"/>
      <w:r>
        <w:rPr>
          <w:rFonts w:ascii="Arial" w:hAnsi="Arial" w:cs="Arial"/>
        </w:rPr>
        <w:t>susgrow</w:t>
      </w:r>
      <w:proofErr w:type="spellEnd"/>
      <w:r>
        <w:rPr>
          <w:rFonts w:ascii="Arial" w:hAnsi="Arial" w:cs="Arial"/>
        </w:rPr>
        <w:t>=Return on Equity</w:t>
      </w:r>
      <w:proofErr w:type="gramStart"/>
      <w:r>
        <w:rPr>
          <w:rFonts w:ascii="Arial" w:hAnsi="Arial" w:cs="Arial"/>
        </w:rPr>
        <w:t>×(</w:t>
      </w:r>
      <w:proofErr w:type="gramEnd"/>
      <w:r>
        <w:rPr>
          <w:rFonts w:ascii="Arial" w:hAnsi="Arial" w:cs="Arial"/>
        </w:rPr>
        <w:t>1−Dividend Payout Ratio)</w:t>
      </w:r>
    </w:p>
    <w:p w:rsidR="0038333A" w:rsidRDefault="0038333A">
      <w:pPr>
        <w:pStyle w:val="Body"/>
        <w:spacing w:after="0"/>
        <w:jc w:val="center"/>
        <w:rPr>
          <w:rFonts w:ascii="Arial" w:hAnsi="Arial" w:cs="Arial"/>
        </w:rPr>
      </w:pPr>
    </w:p>
    <w:p w:rsidR="0038333A" w:rsidRDefault="00335F70">
      <w:pPr>
        <w:pStyle w:val="Heading1"/>
        <w:spacing w:before="0" w:after="0"/>
        <w:rPr>
          <w:b w:val="0"/>
          <w:i/>
          <w:sz w:val="20"/>
        </w:rPr>
      </w:pPr>
      <w:r>
        <w:rPr>
          <w:b w:val="0"/>
          <w:i/>
          <w:sz w:val="20"/>
        </w:rPr>
        <w:t>3.2.2 Independent Variables</w:t>
      </w:r>
    </w:p>
    <w:p w:rsidR="0038333A" w:rsidRDefault="00335F70">
      <w:pPr>
        <w:pStyle w:val="Body"/>
        <w:spacing w:after="0"/>
        <w:rPr>
          <w:rFonts w:ascii="Arial" w:hAnsi="Arial" w:cs="Arial"/>
        </w:rPr>
      </w:pPr>
      <w:r>
        <w:rPr>
          <w:rFonts w:ascii="Arial" w:hAnsi="Arial" w:cs="Arial"/>
          <w:i/>
        </w:rPr>
        <w:t>3.2.2.1</w:t>
      </w:r>
      <w:r>
        <w:rPr>
          <w:rFonts w:ascii="Arial" w:hAnsi="Arial" w:cs="Arial"/>
        </w:rPr>
        <w:t xml:space="preserve"> Average Board Compensation (</w:t>
      </w:r>
      <w:proofErr w:type="spellStart"/>
      <w:r>
        <w:rPr>
          <w:rFonts w:ascii="Arial" w:hAnsi="Arial" w:cs="Arial"/>
        </w:rPr>
        <w:t>boardsalary</w:t>
      </w:r>
      <w:proofErr w:type="spellEnd"/>
      <w:r>
        <w:rPr>
          <w:rFonts w:ascii="Arial" w:hAnsi="Arial" w:cs="Arial"/>
        </w:rPr>
        <w:t>)</w:t>
      </w:r>
    </w:p>
    <w:p w:rsidR="0038333A" w:rsidRDefault="00335F70">
      <w:pPr>
        <w:pStyle w:val="Body"/>
        <w:spacing w:after="0"/>
        <w:rPr>
          <w:rFonts w:ascii="Arial" w:hAnsi="Arial" w:cs="Arial"/>
        </w:rPr>
      </w:pPr>
      <w:r>
        <w:rPr>
          <w:rFonts w:ascii="Arial" w:hAnsi="Arial" w:cs="Arial"/>
        </w:rPr>
        <w:t>This variable includes all components of board compensation, such as basic salary, performance-based bonuses, and allowances. To eliminate the potential influence of differences in board size on incentive intensity, compensation is measured on a per-capita basis and calculated as the total annual board compensation divided by the total number of board members. Data are obtained from the CSMAR database.</w:t>
      </w:r>
    </w:p>
    <w:p w:rsidR="0038333A" w:rsidRDefault="0038333A">
      <w:pPr>
        <w:pStyle w:val="Body"/>
        <w:spacing w:after="0"/>
        <w:rPr>
          <w:rFonts w:ascii="Arial" w:hAnsi="Arial" w:cs="Arial"/>
        </w:rPr>
      </w:pPr>
    </w:p>
    <w:p w:rsidR="0038333A" w:rsidRDefault="00335F70">
      <w:pPr>
        <w:pStyle w:val="Body"/>
        <w:spacing w:after="0"/>
        <w:rPr>
          <w:rFonts w:ascii="Arial" w:hAnsi="Arial" w:cs="Arial"/>
        </w:rPr>
      </w:pPr>
      <w:r>
        <w:rPr>
          <w:rFonts w:ascii="Arial" w:hAnsi="Arial" w:cs="Arial"/>
          <w:i/>
        </w:rPr>
        <w:t xml:space="preserve">3.2.2.2 </w:t>
      </w:r>
      <w:r>
        <w:rPr>
          <w:rFonts w:ascii="Arial" w:hAnsi="Arial" w:cs="Arial"/>
        </w:rPr>
        <w:t>Average Executive Compensation (</w:t>
      </w:r>
      <w:proofErr w:type="spellStart"/>
      <w:r>
        <w:rPr>
          <w:rFonts w:ascii="Arial" w:hAnsi="Arial" w:cs="Arial"/>
        </w:rPr>
        <w:t>excusalary</w:t>
      </w:r>
      <w:proofErr w:type="spellEnd"/>
      <w:r>
        <w:rPr>
          <w:rFonts w:ascii="Arial" w:hAnsi="Arial" w:cs="Arial"/>
        </w:rPr>
        <w:t>)</w:t>
      </w:r>
    </w:p>
    <w:p w:rsidR="0038333A" w:rsidRDefault="00335F70">
      <w:pPr>
        <w:pStyle w:val="Body"/>
        <w:spacing w:after="0"/>
        <w:rPr>
          <w:rFonts w:ascii="Arial" w:hAnsi="Arial" w:cs="Arial"/>
        </w:rPr>
      </w:pPr>
      <w:r>
        <w:rPr>
          <w:rFonts w:ascii="Arial" w:hAnsi="Arial" w:cs="Arial"/>
        </w:rPr>
        <w:t>Executives are defined as core managerial personnel, including the general manager, deputy general managers, and the chief financial officer. This variable reflects the incentive intensity associated with day-to-day operational decision-making. It is calculated as the total annual executive compensation divided by the total number of executives. Data are sourced from the CSMAR database.</w:t>
      </w:r>
    </w:p>
    <w:p w:rsidR="0038333A" w:rsidRDefault="0038333A">
      <w:pPr>
        <w:pStyle w:val="Body"/>
        <w:spacing w:after="0"/>
        <w:rPr>
          <w:rFonts w:ascii="Arial" w:hAnsi="Arial" w:cs="Arial"/>
        </w:rPr>
      </w:pPr>
    </w:p>
    <w:p w:rsidR="0038333A" w:rsidRDefault="00335F70">
      <w:pPr>
        <w:pStyle w:val="Body"/>
        <w:spacing w:after="0"/>
        <w:rPr>
          <w:rFonts w:ascii="Arial" w:hAnsi="Arial" w:cs="Arial"/>
        </w:rPr>
      </w:pPr>
      <w:r>
        <w:rPr>
          <w:rFonts w:ascii="Arial" w:hAnsi="Arial" w:cs="Arial"/>
          <w:i/>
        </w:rPr>
        <w:t xml:space="preserve">3.2.2.3 </w:t>
      </w:r>
      <w:r>
        <w:rPr>
          <w:rFonts w:ascii="Arial" w:hAnsi="Arial" w:cs="Arial"/>
        </w:rPr>
        <w:t>Board Shareholding Ratio (</w:t>
      </w:r>
      <w:proofErr w:type="spellStart"/>
      <w:r>
        <w:rPr>
          <w:rFonts w:ascii="Arial" w:hAnsi="Arial" w:cs="Arial"/>
        </w:rPr>
        <w:t>boardstk</w:t>
      </w:r>
      <w:proofErr w:type="spellEnd"/>
      <w:r>
        <w:rPr>
          <w:rFonts w:ascii="Arial" w:hAnsi="Arial" w:cs="Arial"/>
        </w:rPr>
        <w:t>)</w:t>
      </w:r>
    </w:p>
    <w:p w:rsidR="0038333A" w:rsidRDefault="00335F70">
      <w:pPr>
        <w:pStyle w:val="Body"/>
        <w:spacing w:after="0"/>
        <w:rPr>
          <w:rFonts w:ascii="Arial" w:hAnsi="Arial" w:cs="Arial"/>
        </w:rPr>
      </w:pPr>
      <w:r>
        <w:rPr>
          <w:rFonts w:ascii="Arial" w:hAnsi="Arial" w:cs="Arial"/>
        </w:rPr>
        <w:t>This variable captures the per-capita shareholding ratio of board members, which more accurately reflects the depth of individual equity incentives and avoids distortions caused by a small number of directors holding disproportionately large shareholdings. It is calculated as the total number of shares held by board members divided by the total number of shares outstanding. Data are obtained from the CSMAR database.</w:t>
      </w:r>
    </w:p>
    <w:p w:rsidR="0038333A" w:rsidRDefault="0038333A">
      <w:pPr>
        <w:pStyle w:val="Body"/>
        <w:spacing w:after="0"/>
        <w:rPr>
          <w:rFonts w:ascii="Arial" w:hAnsi="Arial" w:cs="Arial"/>
        </w:rPr>
      </w:pPr>
    </w:p>
    <w:p w:rsidR="0038333A" w:rsidRDefault="00335F70">
      <w:pPr>
        <w:pStyle w:val="Body"/>
        <w:spacing w:after="0"/>
        <w:rPr>
          <w:rFonts w:ascii="Arial" w:hAnsi="Arial" w:cs="Arial"/>
        </w:rPr>
      </w:pPr>
      <w:r>
        <w:rPr>
          <w:rFonts w:ascii="Arial" w:hAnsi="Arial" w:cs="Arial"/>
        </w:rPr>
        <w:t>3.2.2.4 Executive Shareholding Ratio (</w:t>
      </w:r>
      <w:proofErr w:type="spellStart"/>
      <w:r>
        <w:rPr>
          <w:rFonts w:ascii="Arial" w:hAnsi="Arial" w:cs="Arial"/>
        </w:rPr>
        <w:t>excustk</w:t>
      </w:r>
      <w:proofErr w:type="spellEnd"/>
      <w:r>
        <w:rPr>
          <w:rFonts w:ascii="Arial" w:hAnsi="Arial" w:cs="Arial"/>
        </w:rPr>
        <w:t>)</w:t>
      </w:r>
    </w:p>
    <w:p w:rsidR="0038333A" w:rsidRDefault="00335F70">
      <w:pPr>
        <w:pStyle w:val="Body"/>
        <w:spacing w:after="0"/>
        <w:rPr>
          <w:rFonts w:ascii="Arial" w:hAnsi="Arial" w:cs="Arial"/>
        </w:rPr>
      </w:pPr>
      <w:r>
        <w:rPr>
          <w:rFonts w:ascii="Arial" w:hAnsi="Arial" w:cs="Arial"/>
        </w:rPr>
        <w:lastRenderedPageBreak/>
        <w:t>This variable measures the per-capita shareholding ratio of executives and reflects the extent to which executive teams’ long-term interests are aligned with firm value. It is calculated as the total number of shares held by executives divided by the total number of shares outstanding. Data are obtained from the CSMAR database.</w:t>
      </w:r>
    </w:p>
    <w:p w:rsidR="0038333A" w:rsidRDefault="0038333A">
      <w:pPr>
        <w:pStyle w:val="Body"/>
        <w:spacing w:after="0"/>
        <w:rPr>
          <w:rFonts w:ascii="Arial" w:hAnsi="Arial" w:cs="Arial"/>
        </w:rPr>
      </w:pPr>
    </w:p>
    <w:p w:rsidR="0038333A" w:rsidRDefault="00335F70">
      <w:pPr>
        <w:pStyle w:val="Heading1"/>
        <w:spacing w:before="0" w:after="0"/>
        <w:rPr>
          <w:b w:val="0"/>
          <w:i/>
          <w:sz w:val="20"/>
        </w:rPr>
      </w:pPr>
      <w:r>
        <w:rPr>
          <w:rFonts w:hint="eastAsia"/>
          <w:b w:val="0"/>
          <w:i/>
          <w:sz w:val="20"/>
        </w:rPr>
        <w:t>3.2.3 Control Variables</w:t>
      </w:r>
      <w:r>
        <w:rPr>
          <w:rFonts w:hint="eastAsia"/>
          <w:b w:val="0"/>
          <w:i/>
          <w:sz w:val="20"/>
        </w:rPr>
        <w:t>：</w:t>
      </w:r>
    </w:p>
    <w:p w:rsidR="0038333A" w:rsidRDefault="00335F70">
      <w:pPr>
        <w:pStyle w:val="Body"/>
        <w:spacing w:after="0"/>
        <w:rPr>
          <w:rFonts w:ascii="Arial" w:hAnsi="Arial" w:cs="Arial"/>
        </w:rPr>
      </w:pPr>
      <w:r>
        <w:rPr>
          <w:rFonts w:ascii="Arial" w:hAnsi="Arial" w:cs="Arial"/>
        </w:rPr>
        <w:t>Following existing literature, this study includes the following control variables:</w:t>
      </w:r>
    </w:p>
    <w:p w:rsidR="0038333A" w:rsidRDefault="00335F70">
      <w:pPr>
        <w:pStyle w:val="Body"/>
        <w:spacing w:after="0"/>
        <w:rPr>
          <w:rFonts w:ascii="Arial" w:hAnsi="Arial" w:cs="Arial"/>
        </w:rPr>
      </w:pPr>
      <w:r>
        <w:rPr>
          <w:rFonts w:ascii="Arial" w:hAnsi="Arial" w:cs="Arial"/>
          <w:i/>
        </w:rPr>
        <w:t xml:space="preserve">3.2.3.1 </w:t>
      </w:r>
      <w:r>
        <w:rPr>
          <w:rFonts w:ascii="Arial" w:hAnsi="Arial" w:cs="Arial"/>
        </w:rPr>
        <w:t>Firm Size (scale): Measured by the natural logarithm of total assets.</w:t>
      </w:r>
    </w:p>
    <w:p w:rsidR="0038333A" w:rsidRDefault="00335F70">
      <w:pPr>
        <w:pStyle w:val="Body"/>
        <w:spacing w:after="0"/>
        <w:rPr>
          <w:rFonts w:ascii="Arial" w:hAnsi="Arial" w:cs="Arial"/>
        </w:rPr>
      </w:pPr>
      <w:r>
        <w:rPr>
          <w:rFonts w:ascii="Arial" w:hAnsi="Arial" w:cs="Arial"/>
          <w:i/>
        </w:rPr>
        <w:t>3.2.3.2</w:t>
      </w:r>
      <w:r>
        <w:rPr>
          <w:rFonts w:ascii="Arial" w:hAnsi="Arial" w:cs="Arial"/>
        </w:rPr>
        <w:t xml:space="preserve"> Leverage Ratio (debt): Calculated as total liabilities divided by total assets.</w:t>
      </w:r>
    </w:p>
    <w:p w:rsidR="0038333A" w:rsidRDefault="00335F70">
      <w:pPr>
        <w:pStyle w:val="Body"/>
        <w:spacing w:after="0"/>
        <w:rPr>
          <w:rFonts w:ascii="Arial" w:hAnsi="Arial" w:cs="Arial"/>
        </w:rPr>
      </w:pPr>
      <w:r>
        <w:rPr>
          <w:rFonts w:ascii="Arial" w:hAnsi="Arial" w:cs="Arial"/>
          <w:i/>
        </w:rPr>
        <w:t xml:space="preserve">3.2.3.3 </w:t>
      </w:r>
      <w:r>
        <w:rPr>
          <w:rFonts w:ascii="Arial" w:hAnsi="Arial" w:cs="Arial"/>
        </w:rPr>
        <w:t>Firm Age (age): Calculated as the number of days between the firm’s establishment date and the end of the sample year, divided by 365.</w:t>
      </w:r>
    </w:p>
    <w:p w:rsidR="0038333A" w:rsidRDefault="00335F70">
      <w:pPr>
        <w:pStyle w:val="Body"/>
        <w:spacing w:after="0"/>
        <w:rPr>
          <w:rFonts w:ascii="Arial" w:hAnsi="Arial" w:cs="Arial"/>
        </w:rPr>
      </w:pPr>
      <w:r>
        <w:rPr>
          <w:rFonts w:ascii="Arial" w:hAnsi="Arial" w:cs="Arial"/>
          <w:i/>
        </w:rPr>
        <w:t xml:space="preserve">3.2.3.4 </w:t>
      </w:r>
      <w:r>
        <w:rPr>
          <w:rFonts w:ascii="Arial" w:hAnsi="Arial" w:cs="Arial"/>
        </w:rPr>
        <w:t>Ownership Type (</w:t>
      </w:r>
      <w:proofErr w:type="spellStart"/>
      <w:r>
        <w:rPr>
          <w:rFonts w:ascii="Arial" w:hAnsi="Arial" w:cs="Arial"/>
        </w:rPr>
        <w:t>soe</w:t>
      </w:r>
      <w:proofErr w:type="spellEnd"/>
      <w:r>
        <w:rPr>
          <w:rFonts w:ascii="Arial" w:hAnsi="Arial" w:cs="Arial"/>
        </w:rPr>
        <w:t>): A dummy variable equal to 1 if the firm is state-owned and 0 otherwise.</w:t>
      </w:r>
    </w:p>
    <w:p w:rsidR="0038333A" w:rsidRDefault="00335F70">
      <w:pPr>
        <w:pStyle w:val="Body"/>
        <w:spacing w:after="0"/>
        <w:rPr>
          <w:rFonts w:ascii="Arial" w:hAnsi="Arial" w:cs="Arial"/>
        </w:rPr>
      </w:pPr>
      <w:r>
        <w:rPr>
          <w:rFonts w:ascii="Arial" w:hAnsi="Arial" w:cs="Arial"/>
          <w:i/>
        </w:rPr>
        <w:t xml:space="preserve">3.2.3.5 </w:t>
      </w:r>
      <w:r>
        <w:rPr>
          <w:rFonts w:ascii="Arial" w:hAnsi="Arial" w:cs="Arial"/>
        </w:rPr>
        <w:t>Revenue Growth Rate (</w:t>
      </w:r>
      <w:proofErr w:type="spellStart"/>
      <w:r>
        <w:rPr>
          <w:rFonts w:ascii="Arial" w:hAnsi="Arial" w:cs="Arial"/>
        </w:rPr>
        <w:t>revgrow</w:t>
      </w:r>
      <w:proofErr w:type="spellEnd"/>
      <w:r>
        <w:rPr>
          <w:rFonts w:ascii="Arial" w:hAnsi="Arial" w:cs="Arial"/>
        </w:rPr>
        <w:t>): Measured as the difference between current-year operating revenue and previous-year operating revenue, divided by previous-year operating revenue.</w:t>
      </w:r>
    </w:p>
    <w:p w:rsidR="0038333A" w:rsidRDefault="00335F70">
      <w:pPr>
        <w:pStyle w:val="Body"/>
        <w:spacing w:after="0"/>
        <w:rPr>
          <w:rFonts w:ascii="Arial" w:hAnsi="Arial" w:cs="Arial"/>
        </w:rPr>
      </w:pPr>
      <w:r>
        <w:rPr>
          <w:rFonts w:ascii="Arial" w:hAnsi="Arial" w:cs="Arial"/>
          <w:i/>
        </w:rPr>
        <w:t xml:space="preserve">3.2.3.6 </w:t>
      </w:r>
      <w:r>
        <w:rPr>
          <w:rFonts w:ascii="Arial" w:hAnsi="Arial" w:cs="Arial"/>
        </w:rPr>
        <w:t xml:space="preserve">Industry Classification (industry): A dummy variable equal to 1 if the firm operates in agriculture and 0 if it belongs to the </w:t>
      </w:r>
      <w:proofErr w:type="spellStart"/>
      <w:r>
        <w:rPr>
          <w:rFonts w:ascii="Arial" w:hAnsi="Arial" w:cs="Arial"/>
        </w:rPr>
        <w:t>agro</w:t>
      </w:r>
      <w:proofErr w:type="spellEnd"/>
      <w:r>
        <w:rPr>
          <w:rFonts w:ascii="Arial" w:hAnsi="Arial" w:cs="Arial"/>
        </w:rPr>
        <w:t>-processing industry.</w:t>
      </w:r>
    </w:p>
    <w:p w:rsidR="0038333A" w:rsidRDefault="0038333A">
      <w:pPr>
        <w:pStyle w:val="Body"/>
        <w:spacing w:after="0"/>
        <w:rPr>
          <w:rFonts w:ascii="Arial" w:hAnsi="Arial" w:cs="Arial"/>
        </w:rPr>
      </w:pPr>
    </w:p>
    <w:p w:rsidR="0038333A" w:rsidRDefault="00335F70">
      <w:pPr>
        <w:pStyle w:val="Head1"/>
        <w:spacing w:after="0"/>
        <w:jc w:val="both"/>
        <w:rPr>
          <w:rFonts w:ascii="Arial" w:hAnsi="Arial" w:cs="Arial"/>
        </w:rPr>
      </w:pPr>
      <w:r>
        <w:rPr>
          <w:rFonts w:ascii="Arial" w:hAnsi="Arial" w:cs="Arial"/>
        </w:rPr>
        <w:t xml:space="preserve">4. </w:t>
      </w:r>
      <w:r w:rsidR="000D29F6">
        <w:rPr>
          <w:rFonts w:ascii="Arial" w:hAnsi="Arial" w:cs="Arial"/>
        </w:rPr>
        <w:t xml:space="preserve">RESULT AND DISCUSSION </w:t>
      </w:r>
    </w:p>
    <w:p w:rsidR="0038333A" w:rsidRDefault="00335F70">
      <w:pPr>
        <w:pStyle w:val="Heading1"/>
        <w:spacing w:before="0" w:after="0"/>
        <w:rPr>
          <w:rStyle w:val="Strong"/>
          <w:rFonts w:eastAsia="SimSun" w:cs="Arial"/>
          <w:b/>
          <w:sz w:val="21"/>
        </w:rPr>
      </w:pPr>
      <w:r>
        <w:rPr>
          <w:rStyle w:val="Strong"/>
          <w:rFonts w:eastAsia="SimSun" w:cs="Arial"/>
          <w:b/>
          <w:sz w:val="21"/>
        </w:rPr>
        <w:t>4.1 Descriptive Statistics</w:t>
      </w: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Table 1 reports the descriptive statistics of the main variables used in this study. The sample consists of 374 firm-year observations.</w:t>
      </w:r>
    </w:p>
    <w:p w:rsidR="0038333A" w:rsidRDefault="0038333A">
      <w:pPr>
        <w:pStyle w:val="Body"/>
        <w:spacing w:after="0"/>
        <w:rPr>
          <w:rFonts w:ascii="Arial" w:hAnsi="Arial" w:cs="Arial"/>
        </w:rPr>
      </w:pPr>
    </w:p>
    <w:p w:rsidR="0038333A" w:rsidRDefault="00335F70">
      <w:pPr>
        <w:tabs>
          <w:tab w:val="left" w:pos="1080"/>
        </w:tabs>
        <w:jc w:val="center"/>
        <w:rPr>
          <w:rFonts w:ascii="Arial" w:hAnsi="Arial"/>
          <w:b/>
        </w:rPr>
      </w:pPr>
      <w:r>
        <w:rPr>
          <w:rFonts w:ascii="Arial" w:hAnsi="Arial"/>
          <w:b/>
        </w:rPr>
        <w:t>Table 1.</w:t>
      </w:r>
      <w:r>
        <w:rPr>
          <w:rFonts w:ascii="Arial" w:hAnsi="Arial"/>
          <w:b/>
        </w:rPr>
        <w:tab/>
        <w:t>Descriptive Statistics (N = 374)</w:t>
      </w:r>
    </w:p>
    <w:tbl>
      <w:tblPr>
        <w:tblW w:w="8143" w:type="dxa"/>
        <w:jc w:val="center"/>
        <w:tblLayout w:type="fixed"/>
        <w:tblLook w:val="04A0" w:firstRow="1" w:lastRow="0" w:firstColumn="1" w:lastColumn="0" w:noHBand="0" w:noVBand="1"/>
      </w:tblPr>
      <w:tblGrid>
        <w:gridCol w:w="1628"/>
        <w:gridCol w:w="1629"/>
        <w:gridCol w:w="1628"/>
        <w:gridCol w:w="1629"/>
        <w:gridCol w:w="1629"/>
      </w:tblGrid>
      <w:tr w:rsidR="0038333A">
        <w:trPr>
          <w:trHeight w:val="288"/>
          <w:jc w:val="center"/>
        </w:trPr>
        <w:tc>
          <w:tcPr>
            <w:tcW w:w="1628" w:type="dxa"/>
            <w:tcBorders>
              <w:top w:val="single" w:sz="4" w:space="0" w:color="000000"/>
              <w:left w:val="nil"/>
              <w:bottom w:val="single" w:sz="4" w:space="0" w:color="000000"/>
              <w:right w:val="nil"/>
            </w:tcBorders>
            <w:noWrap/>
            <w:vAlign w:val="center"/>
          </w:tcPr>
          <w:p w:rsidR="0038333A" w:rsidRDefault="00335F70">
            <w:pPr>
              <w:rPr>
                <w:rFonts w:ascii="Arial" w:eastAsia="Times New Roman" w:hAnsi="Arial"/>
                <w:b/>
              </w:rPr>
            </w:pPr>
            <w:r>
              <w:rPr>
                <w:rFonts w:ascii="Arial" w:eastAsia="Times New Roman" w:hAnsi="Arial"/>
                <w:b/>
              </w:rPr>
              <w:t>Variable</w:t>
            </w:r>
          </w:p>
        </w:tc>
        <w:tc>
          <w:tcPr>
            <w:tcW w:w="1629" w:type="dxa"/>
            <w:tcBorders>
              <w:top w:val="single" w:sz="4" w:space="0" w:color="000000"/>
              <w:left w:val="nil"/>
              <w:bottom w:val="single" w:sz="4" w:space="0" w:color="000000"/>
              <w:right w:val="nil"/>
            </w:tcBorders>
            <w:noWrap/>
            <w:vAlign w:val="center"/>
          </w:tcPr>
          <w:p w:rsidR="0038333A" w:rsidRDefault="00335F70">
            <w:pPr>
              <w:rPr>
                <w:rFonts w:ascii="Arial" w:eastAsia="Times New Roman" w:hAnsi="Arial"/>
                <w:b/>
              </w:rPr>
            </w:pPr>
            <w:r>
              <w:rPr>
                <w:rFonts w:ascii="Arial" w:eastAsia="Times New Roman" w:hAnsi="Arial"/>
                <w:b/>
              </w:rPr>
              <w:t>Mean</w:t>
            </w:r>
          </w:p>
        </w:tc>
        <w:tc>
          <w:tcPr>
            <w:tcW w:w="1628" w:type="dxa"/>
            <w:tcBorders>
              <w:top w:val="single" w:sz="4" w:space="0" w:color="000000"/>
              <w:left w:val="nil"/>
              <w:bottom w:val="single" w:sz="4" w:space="0" w:color="000000"/>
              <w:right w:val="nil"/>
            </w:tcBorders>
            <w:noWrap/>
            <w:vAlign w:val="center"/>
          </w:tcPr>
          <w:p w:rsidR="0038333A" w:rsidRDefault="00335F70">
            <w:pPr>
              <w:rPr>
                <w:rFonts w:ascii="Arial" w:eastAsia="Times New Roman" w:hAnsi="Arial"/>
                <w:b/>
              </w:rPr>
            </w:pPr>
            <w:r>
              <w:rPr>
                <w:rFonts w:ascii="Arial" w:eastAsia="Times New Roman" w:hAnsi="Arial"/>
                <w:b/>
              </w:rPr>
              <w:t>Std. Dev.</w:t>
            </w:r>
          </w:p>
        </w:tc>
        <w:tc>
          <w:tcPr>
            <w:tcW w:w="1629" w:type="dxa"/>
            <w:tcBorders>
              <w:top w:val="single" w:sz="4" w:space="0" w:color="000000"/>
              <w:left w:val="nil"/>
              <w:bottom w:val="single" w:sz="4" w:space="0" w:color="000000"/>
              <w:right w:val="nil"/>
            </w:tcBorders>
            <w:noWrap/>
            <w:vAlign w:val="center"/>
          </w:tcPr>
          <w:p w:rsidR="0038333A" w:rsidRDefault="00335F70">
            <w:pPr>
              <w:rPr>
                <w:rFonts w:ascii="Arial" w:eastAsia="Times New Roman" w:hAnsi="Arial"/>
                <w:b/>
              </w:rPr>
            </w:pPr>
            <w:r>
              <w:rPr>
                <w:rFonts w:ascii="Arial" w:eastAsia="Times New Roman" w:hAnsi="Arial"/>
                <w:b/>
              </w:rPr>
              <w:t>Min</w:t>
            </w:r>
          </w:p>
        </w:tc>
        <w:tc>
          <w:tcPr>
            <w:tcW w:w="1629" w:type="dxa"/>
            <w:tcBorders>
              <w:top w:val="single" w:sz="4" w:space="0" w:color="000000"/>
              <w:left w:val="nil"/>
              <w:bottom w:val="single" w:sz="4" w:space="0" w:color="000000"/>
              <w:right w:val="nil"/>
            </w:tcBorders>
            <w:noWrap/>
            <w:vAlign w:val="center"/>
          </w:tcPr>
          <w:p w:rsidR="0038333A" w:rsidRDefault="00335F70">
            <w:pPr>
              <w:rPr>
                <w:rFonts w:ascii="Arial" w:eastAsia="Times New Roman" w:hAnsi="Arial"/>
                <w:b/>
              </w:rPr>
            </w:pPr>
            <w:r>
              <w:rPr>
                <w:rFonts w:ascii="Arial" w:eastAsia="Times New Roman" w:hAnsi="Arial"/>
                <w:b/>
              </w:rPr>
              <w:t>Max</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susgrow</w:t>
            </w:r>
            <w:proofErr w:type="spellEnd"/>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-0.007</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0.191</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-1.079</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0.531</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boardsalar</w:t>
            </w:r>
            <w:proofErr w:type="spellEnd"/>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401472.900</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447366.800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3160000.000</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excusalary</w:t>
            </w:r>
            <w:proofErr w:type="spellEnd"/>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924611.300</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1022526.000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128181.800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7770000.000</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boardstk</w:t>
            </w:r>
            <w:proofErr w:type="spellEnd"/>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0.010</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0.019</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0.078</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excustk</w:t>
            </w:r>
            <w:proofErr w:type="spellEnd"/>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0.011</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0.025</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0.125</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scale</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22.527</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1.298</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20.384</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26.158</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debt</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0.473</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0.222</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0.039</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1.010</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age</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23.241</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5.850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10.129</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43.027</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revgrow</w:t>
            </w:r>
            <w:proofErr w:type="spellEnd"/>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0.165</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0.617</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-0.652</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4.752</w:t>
            </w:r>
          </w:p>
        </w:tc>
      </w:tr>
      <w:tr w:rsidR="0038333A">
        <w:trPr>
          <w:trHeight w:val="288"/>
          <w:jc w:val="center"/>
        </w:trPr>
        <w:tc>
          <w:tcPr>
            <w:tcW w:w="1628"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soe</w:t>
            </w:r>
            <w:proofErr w:type="spellEnd"/>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0.362</w:t>
            </w:r>
          </w:p>
        </w:tc>
        <w:tc>
          <w:tcPr>
            <w:tcW w:w="1628"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0.481</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1.000</w:t>
            </w:r>
          </w:p>
        </w:tc>
      </w:tr>
      <w:tr w:rsidR="0038333A">
        <w:trPr>
          <w:trHeight w:val="288"/>
          <w:jc w:val="center"/>
        </w:trPr>
        <w:tc>
          <w:tcPr>
            <w:tcW w:w="1628" w:type="dxa"/>
            <w:tcBorders>
              <w:top w:val="nil"/>
              <w:left w:val="nil"/>
              <w:bottom w:val="single" w:sz="4" w:space="0" w:color="000000"/>
              <w:right w:val="nil"/>
            </w:tcBorders>
            <w:noWrap/>
            <w:vAlign w:val="center"/>
          </w:tcPr>
          <w:p w:rsidR="0038333A" w:rsidRDefault="00335F70">
            <w:pPr>
              <w:rPr>
                <w:rFonts w:ascii="Arial" w:eastAsia="Times New Roman" w:hAnsi="Arial"/>
              </w:rPr>
            </w:pPr>
            <w:r>
              <w:rPr>
                <w:rFonts w:ascii="Arial" w:eastAsia="Times New Roman" w:hAnsi="Arial"/>
              </w:rPr>
              <w:t>industry</w:t>
            </w:r>
          </w:p>
        </w:tc>
        <w:tc>
          <w:tcPr>
            <w:tcW w:w="1629" w:type="dxa"/>
            <w:tcBorders>
              <w:top w:val="nil"/>
              <w:left w:val="nil"/>
              <w:bottom w:val="single" w:sz="4" w:space="0" w:color="000000"/>
              <w:right w:val="nil"/>
            </w:tcBorders>
            <w:noWrap/>
            <w:vAlign w:val="center"/>
          </w:tcPr>
          <w:p w:rsidR="0038333A" w:rsidRDefault="00335F70">
            <w:pPr>
              <w:rPr>
                <w:rFonts w:ascii="Arial" w:eastAsia="Times New Roman" w:hAnsi="Arial"/>
              </w:rPr>
            </w:pPr>
            <w:r>
              <w:rPr>
                <w:rFonts w:ascii="Arial" w:eastAsia="Times New Roman" w:hAnsi="Arial"/>
              </w:rPr>
              <w:t>0.293</w:t>
            </w:r>
          </w:p>
        </w:tc>
        <w:tc>
          <w:tcPr>
            <w:tcW w:w="1628" w:type="dxa"/>
            <w:tcBorders>
              <w:top w:val="nil"/>
              <w:left w:val="nil"/>
              <w:bottom w:val="single" w:sz="4" w:space="0" w:color="000000"/>
              <w:right w:val="nil"/>
            </w:tcBorders>
            <w:noWrap/>
            <w:vAlign w:val="center"/>
          </w:tcPr>
          <w:p w:rsidR="0038333A" w:rsidRDefault="00335F70">
            <w:pPr>
              <w:rPr>
                <w:rFonts w:ascii="Arial" w:eastAsia="Times New Roman" w:hAnsi="Arial"/>
              </w:rPr>
            </w:pPr>
            <w:r>
              <w:rPr>
                <w:rFonts w:ascii="Arial" w:eastAsia="Times New Roman" w:hAnsi="Arial"/>
              </w:rPr>
              <w:t>0.456</w:t>
            </w:r>
          </w:p>
        </w:tc>
        <w:tc>
          <w:tcPr>
            <w:tcW w:w="1629" w:type="dxa"/>
            <w:tcBorders>
              <w:top w:val="nil"/>
              <w:left w:val="nil"/>
              <w:bottom w:val="single" w:sz="4" w:space="0" w:color="000000"/>
              <w:right w:val="nil"/>
            </w:tcBorders>
            <w:noWrap/>
            <w:vAlign w:val="center"/>
          </w:tcPr>
          <w:p w:rsidR="0038333A" w:rsidRDefault="00335F70">
            <w:pPr>
              <w:rPr>
                <w:rFonts w:ascii="Arial" w:eastAsia="Times New Roman" w:hAnsi="Arial"/>
              </w:rPr>
            </w:pPr>
            <w:r>
              <w:rPr>
                <w:rFonts w:ascii="Arial" w:eastAsia="Times New Roman" w:hAnsi="Arial"/>
              </w:rPr>
              <w:t>0.000</w:t>
            </w:r>
          </w:p>
        </w:tc>
        <w:tc>
          <w:tcPr>
            <w:tcW w:w="1629" w:type="dxa"/>
            <w:tcBorders>
              <w:top w:val="nil"/>
              <w:left w:val="nil"/>
              <w:bottom w:val="single" w:sz="4" w:space="0" w:color="000000"/>
              <w:right w:val="nil"/>
            </w:tcBorders>
            <w:noWrap/>
            <w:vAlign w:val="center"/>
          </w:tcPr>
          <w:p w:rsidR="0038333A" w:rsidRDefault="00335F70">
            <w:pPr>
              <w:rPr>
                <w:rFonts w:ascii="Arial" w:eastAsia="Times New Roman" w:hAnsi="Arial"/>
              </w:rPr>
            </w:pPr>
            <w:r>
              <w:rPr>
                <w:rFonts w:ascii="Arial" w:eastAsia="Times New Roman" w:hAnsi="Arial"/>
              </w:rPr>
              <w:t>1.000</w:t>
            </w:r>
          </w:p>
        </w:tc>
      </w:tr>
    </w:tbl>
    <w:p w:rsidR="0038333A" w:rsidRDefault="00335F70">
      <w:pPr>
        <w:tabs>
          <w:tab w:val="left" w:pos="1080"/>
        </w:tabs>
        <w:jc w:val="both"/>
        <w:rPr>
          <w:rFonts w:ascii="Arial" w:hAnsi="Arial"/>
          <w:b/>
        </w:rPr>
      </w:pPr>
      <w:r>
        <w:rPr>
          <w:rFonts w:ascii="Arial" w:eastAsia="Times New Roman" w:hAnsi="Arial"/>
          <w:bCs/>
          <w:i/>
          <w:sz w:val="18"/>
        </w:rPr>
        <w:t>Note: Variable codes and definitions are reported in the Research Design section.</w:t>
      </w:r>
    </w:p>
    <w:p w:rsidR="0038333A" w:rsidRDefault="0038333A">
      <w:pPr>
        <w:tabs>
          <w:tab w:val="left" w:pos="1080"/>
        </w:tabs>
        <w:jc w:val="center"/>
        <w:rPr>
          <w:rFonts w:ascii="Arial" w:hAnsi="Arial"/>
          <w:b/>
        </w:rPr>
      </w:pPr>
    </w:p>
    <w:p w:rsidR="0038333A" w:rsidRDefault="00335F70">
      <w:pPr>
        <w:pStyle w:val="Body"/>
        <w:spacing w:after="0"/>
        <w:rPr>
          <w:rFonts w:ascii="Arial" w:hAnsi="Arial"/>
          <w:bCs/>
          <w:sz w:val="18"/>
          <w:szCs w:val="16"/>
        </w:rPr>
      </w:pPr>
      <w:r>
        <w:rPr>
          <w:rFonts w:ascii="Arial" w:hAnsi="Arial"/>
          <w:bCs/>
          <w:sz w:val="18"/>
          <w:szCs w:val="16"/>
        </w:rPr>
        <w:t xml:space="preserve">Based on the descriptive statistics reported in Table 1, substantial variation is observed in the key variables across firms. In particular, the sustainable growth rate exhibits a wide dispersion, indicating significant heterogeneity in firms’ long-term growth capacity. Therefore, the use of quantile regression in this study allows for the provision of differentiated insights into compensation incentive systems for firms operating at different levels of sustainable growth in the agricultural and </w:t>
      </w:r>
      <w:proofErr w:type="spellStart"/>
      <w:r>
        <w:rPr>
          <w:rFonts w:ascii="Arial" w:hAnsi="Arial"/>
          <w:bCs/>
          <w:sz w:val="18"/>
          <w:szCs w:val="16"/>
        </w:rPr>
        <w:t>agro</w:t>
      </w:r>
      <w:proofErr w:type="spellEnd"/>
      <w:r>
        <w:rPr>
          <w:rFonts w:ascii="Arial" w:hAnsi="Arial"/>
          <w:bCs/>
          <w:sz w:val="18"/>
          <w:szCs w:val="16"/>
        </w:rPr>
        <w:t>-processing industry.</w:t>
      </w:r>
    </w:p>
    <w:p w:rsidR="0038333A" w:rsidRDefault="00335F70">
      <w:pPr>
        <w:pStyle w:val="Body"/>
        <w:spacing w:after="0"/>
        <w:rPr>
          <w:rFonts w:ascii="Arial" w:hAnsi="Arial" w:cs="Arial"/>
        </w:rPr>
      </w:pPr>
      <w:r>
        <w:rPr>
          <w:rFonts w:ascii="Arial" w:hAnsi="Arial"/>
          <w:bCs/>
          <w:sz w:val="18"/>
          <w:szCs w:val="16"/>
        </w:rPr>
        <w:t>Prior to conducting the empirical analysis, the appropriateness of the regression model specification is examined. As shown in Table 2, the R-squared values of Model (1) and Model (2) are 0.234 and 0.185, respectively, which fall within an acceptable range in social science research. Moreover, the F-statistics of both models are statistically significant, indicating that the regression models exhibit reasonable explanatory and predictive power. Based on these results, the subsequent regression analysis is conducted.</w:t>
      </w:r>
    </w:p>
    <w:p w:rsidR="0038333A" w:rsidRDefault="0038333A">
      <w:pPr>
        <w:pStyle w:val="Body"/>
        <w:spacing w:after="0"/>
        <w:rPr>
          <w:rFonts w:ascii="Arial" w:hAnsi="Arial" w:cs="Arial"/>
        </w:rPr>
      </w:pPr>
    </w:p>
    <w:p w:rsidR="0038333A" w:rsidRDefault="00335F70">
      <w:pPr>
        <w:pStyle w:val="Heading1"/>
        <w:spacing w:before="0" w:after="0"/>
        <w:rPr>
          <w:bCs/>
          <w:sz w:val="20"/>
        </w:rPr>
      </w:pPr>
      <w:r>
        <w:rPr>
          <w:bCs/>
          <w:sz w:val="20"/>
        </w:rPr>
        <w:t>4.2 Regression Analysis</w:t>
      </w:r>
    </w:p>
    <w:p w:rsidR="0038333A" w:rsidRDefault="00335F70">
      <w:pPr>
        <w:pStyle w:val="NormalWeb"/>
        <w:spacing w:before="0" w:beforeAutospacing="0" w:after="0" w:afterAutospacing="0"/>
        <w:jc w:val="both"/>
        <w:rPr>
          <w:rFonts w:ascii="Arial" w:eastAsiaTheme="minorEastAsia" w:hAnsi="Arial" w:cs="Times New Roman"/>
          <w:bCs/>
          <w:sz w:val="18"/>
          <w:szCs w:val="16"/>
          <w:lang w:eastAsia="en-US"/>
        </w:rPr>
      </w:pPr>
      <w:r>
        <w:rPr>
          <w:rFonts w:ascii="Arial" w:eastAsiaTheme="minorEastAsia" w:hAnsi="Arial" w:cs="Times New Roman" w:hint="eastAsia"/>
          <w:bCs/>
          <w:sz w:val="18"/>
          <w:szCs w:val="16"/>
          <w:lang w:eastAsia="en-US"/>
        </w:rPr>
        <w:t>Using STATA 15.0, this study conducts ordinary least squares (OLS) regression analysis to examine the effects of the independent variables on the sustainable growth rate. The regression results for the sustainable growth rate are reported in Table 2.</w:t>
      </w:r>
    </w:p>
    <w:p w:rsidR="0038333A" w:rsidRDefault="00335F70">
      <w:pPr>
        <w:jc w:val="center"/>
        <w:rPr>
          <w:rFonts w:ascii="Arial" w:eastAsia="Times New Roman" w:hAnsi="Arial"/>
          <w:b/>
        </w:rPr>
      </w:pPr>
      <w:r>
        <w:rPr>
          <w:rFonts w:ascii="Arial" w:eastAsia="Times New Roman" w:hAnsi="Arial"/>
          <w:b/>
        </w:rPr>
        <w:t xml:space="preserve">Table 2. </w:t>
      </w:r>
      <w:r>
        <w:rPr>
          <w:rFonts w:ascii="Arial" w:eastAsia="SimSun" w:hAnsi="Arial" w:hint="eastAsia"/>
          <w:b/>
        </w:rPr>
        <w:t xml:space="preserve"> </w:t>
      </w:r>
      <w:r>
        <w:rPr>
          <w:rFonts w:ascii="Arial" w:eastAsia="Times New Roman" w:hAnsi="Arial"/>
          <w:b/>
        </w:rPr>
        <w:t>OLS Regression Results for Model (1) and Model (2)</w:t>
      </w:r>
    </w:p>
    <w:tbl>
      <w:tblPr>
        <w:tblW w:w="8008" w:type="dxa"/>
        <w:jc w:val="center"/>
        <w:tblLayout w:type="fixed"/>
        <w:tblLook w:val="04A0" w:firstRow="1" w:lastRow="0" w:firstColumn="1" w:lastColumn="0" w:noHBand="0" w:noVBand="1"/>
      </w:tblPr>
      <w:tblGrid>
        <w:gridCol w:w="1489"/>
        <w:gridCol w:w="1086"/>
        <w:gridCol w:w="1087"/>
        <w:gridCol w:w="1086"/>
        <w:gridCol w:w="1087"/>
        <w:gridCol w:w="1086"/>
        <w:gridCol w:w="1087"/>
      </w:tblGrid>
      <w:tr w:rsidR="0038333A">
        <w:trPr>
          <w:trHeight w:val="70"/>
          <w:jc w:val="center"/>
        </w:trPr>
        <w:tc>
          <w:tcPr>
            <w:tcW w:w="1489" w:type="dxa"/>
            <w:tcBorders>
              <w:top w:val="single" w:sz="4" w:space="0" w:color="000000"/>
              <w:left w:val="nil"/>
              <w:right w:val="nil"/>
            </w:tcBorders>
            <w:noWrap/>
            <w:vAlign w:val="center"/>
          </w:tcPr>
          <w:p w:rsidR="0038333A" w:rsidRDefault="0038333A">
            <w:pPr>
              <w:rPr>
                <w:rFonts w:ascii="Arial" w:eastAsia="Times New Roman" w:hAnsi="Arial"/>
                <w:b/>
              </w:rPr>
            </w:pPr>
          </w:p>
        </w:tc>
        <w:tc>
          <w:tcPr>
            <w:tcW w:w="3259" w:type="dxa"/>
            <w:gridSpan w:val="3"/>
            <w:tcBorders>
              <w:top w:val="single" w:sz="4" w:space="0" w:color="000000"/>
              <w:left w:val="nil"/>
              <w:right w:val="nil"/>
            </w:tcBorders>
            <w:noWrap/>
            <w:vAlign w:val="center"/>
          </w:tcPr>
          <w:p w:rsidR="0038333A" w:rsidRDefault="00335F70">
            <w:pPr>
              <w:jc w:val="center"/>
              <w:rPr>
                <w:rFonts w:ascii="Arial" w:eastAsia="Times New Roman" w:hAnsi="Arial"/>
                <w:b/>
              </w:rPr>
            </w:pPr>
            <w:r>
              <w:rPr>
                <w:rFonts w:ascii="Arial" w:eastAsia="Times New Roman" w:hAnsi="Arial"/>
                <w:b/>
              </w:rPr>
              <w:t>Model(</w:t>
            </w:r>
            <w:proofErr w:type="gramStart"/>
            <w:r>
              <w:rPr>
                <w:rFonts w:ascii="Arial" w:eastAsia="Times New Roman" w:hAnsi="Arial"/>
                <w:b/>
              </w:rPr>
              <w:t>1)_</w:t>
            </w:r>
            <w:proofErr w:type="gramEnd"/>
            <w:r>
              <w:rPr>
                <w:rFonts w:ascii="Arial" w:eastAsia="Times New Roman" w:hAnsi="Arial"/>
                <w:b/>
              </w:rPr>
              <w:t>(N=374)</w:t>
            </w:r>
          </w:p>
        </w:tc>
        <w:tc>
          <w:tcPr>
            <w:tcW w:w="3260" w:type="dxa"/>
            <w:gridSpan w:val="3"/>
            <w:tcBorders>
              <w:top w:val="single" w:sz="4" w:space="0" w:color="000000"/>
              <w:left w:val="nil"/>
              <w:right w:val="nil"/>
            </w:tcBorders>
            <w:vAlign w:val="center"/>
          </w:tcPr>
          <w:p w:rsidR="0038333A" w:rsidRDefault="00335F70">
            <w:pPr>
              <w:jc w:val="center"/>
              <w:rPr>
                <w:rFonts w:ascii="Arial" w:eastAsia="Times New Roman" w:hAnsi="Arial"/>
                <w:b/>
              </w:rPr>
            </w:pPr>
            <w:r>
              <w:rPr>
                <w:rFonts w:ascii="Arial" w:eastAsia="Times New Roman" w:hAnsi="Arial"/>
                <w:b/>
              </w:rPr>
              <w:t>Model(</w:t>
            </w:r>
            <w:proofErr w:type="gramStart"/>
            <w:r>
              <w:rPr>
                <w:rFonts w:ascii="Arial" w:eastAsia="Times New Roman" w:hAnsi="Arial"/>
                <w:b/>
              </w:rPr>
              <w:t>2)_</w:t>
            </w:r>
            <w:proofErr w:type="gramEnd"/>
            <w:r>
              <w:rPr>
                <w:rFonts w:ascii="Arial" w:eastAsia="Times New Roman" w:hAnsi="Arial"/>
                <w:b/>
              </w:rPr>
              <w:t>(N=285)</w:t>
            </w:r>
          </w:p>
        </w:tc>
      </w:tr>
      <w:tr w:rsidR="0038333A">
        <w:trPr>
          <w:trHeight w:val="80"/>
          <w:jc w:val="center"/>
        </w:trPr>
        <w:tc>
          <w:tcPr>
            <w:tcW w:w="1489" w:type="dxa"/>
            <w:tcBorders>
              <w:left w:val="nil"/>
              <w:bottom w:val="single" w:sz="4" w:space="0" w:color="000000"/>
              <w:right w:val="nil"/>
            </w:tcBorders>
            <w:noWrap/>
            <w:vAlign w:val="center"/>
          </w:tcPr>
          <w:p w:rsidR="0038333A" w:rsidRDefault="0038333A">
            <w:pPr>
              <w:rPr>
                <w:rFonts w:ascii="Arial" w:eastAsia="Times New Roman" w:hAnsi="Arial"/>
                <w:b/>
              </w:rPr>
            </w:pPr>
          </w:p>
        </w:tc>
        <w:tc>
          <w:tcPr>
            <w:tcW w:w="1086" w:type="dxa"/>
            <w:tcBorders>
              <w:left w:val="nil"/>
              <w:bottom w:val="single" w:sz="4" w:space="0" w:color="000000"/>
              <w:right w:val="nil"/>
            </w:tcBorders>
            <w:noWrap/>
            <w:vAlign w:val="center"/>
          </w:tcPr>
          <w:p w:rsidR="0038333A" w:rsidRDefault="00335F70">
            <w:pPr>
              <w:jc w:val="center"/>
              <w:rPr>
                <w:rFonts w:ascii="Arial" w:eastAsia="Times New Roman" w:hAnsi="Arial"/>
                <w:b/>
              </w:rPr>
            </w:pPr>
            <w:r>
              <w:rPr>
                <w:rFonts w:ascii="Arial" w:eastAsia="Times New Roman" w:hAnsi="Arial"/>
                <w:b/>
              </w:rPr>
              <w:t>Coef.</w:t>
            </w:r>
          </w:p>
        </w:tc>
        <w:tc>
          <w:tcPr>
            <w:tcW w:w="1087" w:type="dxa"/>
            <w:tcBorders>
              <w:left w:val="nil"/>
              <w:bottom w:val="single" w:sz="4" w:space="0" w:color="000000"/>
              <w:right w:val="nil"/>
            </w:tcBorders>
            <w:noWrap/>
            <w:vAlign w:val="center"/>
          </w:tcPr>
          <w:p w:rsidR="0038333A" w:rsidRDefault="00335F70">
            <w:pPr>
              <w:jc w:val="center"/>
              <w:rPr>
                <w:rFonts w:ascii="Arial" w:eastAsia="Times New Roman" w:hAnsi="Arial"/>
                <w:b/>
              </w:rPr>
            </w:pPr>
            <w:r>
              <w:rPr>
                <w:rFonts w:ascii="Arial" w:eastAsia="Times New Roman" w:hAnsi="Arial"/>
                <w:b/>
              </w:rPr>
              <w:t>t</w:t>
            </w:r>
          </w:p>
        </w:tc>
        <w:tc>
          <w:tcPr>
            <w:tcW w:w="1086" w:type="dxa"/>
            <w:tcBorders>
              <w:left w:val="nil"/>
              <w:bottom w:val="single" w:sz="4" w:space="0" w:color="000000"/>
              <w:right w:val="nil"/>
            </w:tcBorders>
            <w:noWrap/>
            <w:vAlign w:val="center"/>
          </w:tcPr>
          <w:p w:rsidR="0038333A" w:rsidRDefault="00335F70">
            <w:pPr>
              <w:jc w:val="center"/>
              <w:rPr>
                <w:rFonts w:ascii="Arial" w:eastAsia="Times New Roman" w:hAnsi="Arial"/>
                <w:b/>
              </w:rPr>
            </w:pPr>
            <w:r>
              <w:rPr>
                <w:rFonts w:ascii="Arial" w:eastAsia="Times New Roman" w:hAnsi="Arial" w:hint="eastAsia"/>
                <w:b/>
              </w:rPr>
              <w:t>p</w:t>
            </w:r>
          </w:p>
        </w:tc>
        <w:tc>
          <w:tcPr>
            <w:tcW w:w="1087" w:type="dxa"/>
            <w:tcBorders>
              <w:left w:val="nil"/>
              <w:bottom w:val="single" w:sz="4" w:space="0" w:color="000000"/>
              <w:right w:val="nil"/>
            </w:tcBorders>
            <w:vAlign w:val="center"/>
          </w:tcPr>
          <w:p w:rsidR="0038333A" w:rsidRDefault="00335F70">
            <w:pPr>
              <w:jc w:val="center"/>
              <w:rPr>
                <w:rFonts w:ascii="Arial" w:eastAsia="Times New Roman" w:hAnsi="Arial"/>
                <w:b/>
              </w:rPr>
            </w:pPr>
            <w:r>
              <w:rPr>
                <w:rFonts w:ascii="Arial" w:eastAsia="Times New Roman" w:hAnsi="Arial"/>
                <w:b/>
              </w:rPr>
              <w:t>Coef.</w:t>
            </w:r>
          </w:p>
        </w:tc>
        <w:tc>
          <w:tcPr>
            <w:tcW w:w="1086" w:type="dxa"/>
            <w:tcBorders>
              <w:left w:val="nil"/>
              <w:bottom w:val="single" w:sz="4" w:space="0" w:color="000000"/>
              <w:right w:val="nil"/>
            </w:tcBorders>
            <w:vAlign w:val="center"/>
          </w:tcPr>
          <w:p w:rsidR="0038333A" w:rsidRDefault="00335F70">
            <w:pPr>
              <w:jc w:val="center"/>
              <w:rPr>
                <w:rFonts w:ascii="Arial" w:eastAsia="Times New Roman" w:hAnsi="Arial"/>
                <w:b/>
              </w:rPr>
            </w:pPr>
            <w:r>
              <w:rPr>
                <w:rFonts w:ascii="Arial" w:eastAsia="Times New Roman" w:hAnsi="Arial"/>
                <w:b/>
              </w:rPr>
              <w:t>t</w:t>
            </w:r>
          </w:p>
        </w:tc>
        <w:tc>
          <w:tcPr>
            <w:tcW w:w="1087" w:type="dxa"/>
            <w:tcBorders>
              <w:left w:val="nil"/>
              <w:bottom w:val="single" w:sz="4" w:space="0" w:color="000000"/>
              <w:right w:val="nil"/>
            </w:tcBorders>
            <w:vAlign w:val="center"/>
          </w:tcPr>
          <w:p w:rsidR="0038333A" w:rsidRDefault="00335F70">
            <w:pPr>
              <w:jc w:val="center"/>
              <w:rPr>
                <w:rFonts w:ascii="Arial" w:eastAsia="Times New Roman" w:hAnsi="Arial"/>
                <w:b/>
              </w:rPr>
            </w:pPr>
            <w:r>
              <w:rPr>
                <w:rFonts w:ascii="Arial" w:eastAsia="Times New Roman" w:hAnsi="Arial" w:hint="eastAsia"/>
                <w:b/>
              </w:rPr>
              <w:t>p</w:t>
            </w:r>
          </w:p>
        </w:tc>
      </w:tr>
      <w:tr w:rsidR="0038333A">
        <w:trPr>
          <w:trHeight w:val="147"/>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cons_</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-0.490</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-2.43</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0.015**</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-0.454</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-1.720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0.087* </w:t>
            </w:r>
          </w:p>
        </w:tc>
      </w:tr>
      <w:tr w:rsidR="0038333A">
        <w:trPr>
          <w:trHeight w:val="147"/>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boardsalary</w:t>
            </w:r>
            <w:proofErr w:type="spellEnd"/>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0.000</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1.360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0.175</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0.000 </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0.190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0.848 </w:t>
            </w:r>
          </w:p>
        </w:tc>
      </w:tr>
      <w:tr w:rsidR="0038333A">
        <w:trPr>
          <w:trHeight w:val="80"/>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excusalary</w:t>
            </w:r>
            <w:proofErr w:type="spellEnd"/>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0.000</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-0.430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0.668</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0.000 </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0.550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0.582 </w:t>
            </w:r>
          </w:p>
        </w:tc>
      </w:tr>
      <w:tr w:rsidR="0038333A">
        <w:trPr>
          <w:trHeight w:val="80"/>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boardstk</w:t>
            </w:r>
            <w:proofErr w:type="spellEnd"/>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0.886</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0.850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0.395</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-2.719</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-2.400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0.017** </w:t>
            </w:r>
          </w:p>
        </w:tc>
      </w:tr>
      <w:tr w:rsidR="0038333A">
        <w:trPr>
          <w:trHeight w:val="80"/>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excustk</w:t>
            </w:r>
            <w:proofErr w:type="spellEnd"/>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-0.147</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-0.200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0.842</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2.050</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2.500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0.013** </w:t>
            </w:r>
          </w:p>
        </w:tc>
      </w:tr>
      <w:tr w:rsidR="0038333A">
        <w:trPr>
          <w:trHeight w:val="132"/>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scale</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0.026</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2.860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0.005***</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0.012 </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1.040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0.298 </w:t>
            </w:r>
          </w:p>
        </w:tc>
      </w:tr>
      <w:tr w:rsidR="0038333A">
        <w:trPr>
          <w:trHeight w:val="137"/>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debt</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-0.395</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-8.550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0.000***</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-0.281</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-4.660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0.000*** </w:t>
            </w:r>
          </w:p>
        </w:tc>
      </w:tr>
      <w:tr w:rsidR="0038333A">
        <w:trPr>
          <w:trHeight w:val="143"/>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lastRenderedPageBreak/>
              <w:t>age</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0.002</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1.280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0.201</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0.002 </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1.090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0.277 </w:t>
            </w:r>
          </w:p>
        </w:tc>
      </w:tr>
      <w:tr w:rsidR="0038333A">
        <w:trPr>
          <w:trHeight w:val="80"/>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revgrow</w:t>
            </w:r>
            <w:proofErr w:type="spellEnd"/>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0.047</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3.150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0.002***</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0.019 </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1.570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0.116 </w:t>
            </w:r>
          </w:p>
        </w:tc>
      </w:tr>
      <w:tr w:rsidR="0038333A">
        <w:trPr>
          <w:trHeight w:val="142"/>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soe</w:t>
            </w:r>
            <w:proofErr w:type="spellEnd"/>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0.055</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2.230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0.026**</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0.030 </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1.040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0.301 </w:t>
            </w:r>
          </w:p>
        </w:tc>
      </w:tr>
      <w:tr w:rsidR="0038333A">
        <w:trPr>
          <w:trHeight w:val="80"/>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industry</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0.021</w:t>
            </w:r>
          </w:p>
        </w:tc>
        <w:tc>
          <w:tcPr>
            <w:tcW w:w="1087"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0.970</w:t>
            </w:r>
          </w:p>
        </w:tc>
        <w:tc>
          <w:tcPr>
            <w:tcW w:w="1086" w:type="dxa"/>
            <w:tcBorders>
              <w:top w:val="nil"/>
              <w:left w:val="nil"/>
              <w:bottom w:val="nil"/>
              <w:right w:val="nil"/>
            </w:tcBorders>
            <w:noWrap/>
            <w:vAlign w:val="center"/>
          </w:tcPr>
          <w:p w:rsidR="0038333A" w:rsidRDefault="00335F70">
            <w:pPr>
              <w:ind w:rightChars="25" w:right="50"/>
              <w:jc w:val="right"/>
              <w:rPr>
                <w:rFonts w:ascii="Arial" w:eastAsia="Times New Roman" w:hAnsi="Arial"/>
              </w:rPr>
            </w:pPr>
            <w:r>
              <w:rPr>
                <w:rFonts w:ascii="Arial" w:eastAsia="Times New Roman" w:hAnsi="Arial"/>
              </w:rPr>
              <w:t>0.334</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0.034 </w:t>
            </w:r>
          </w:p>
        </w:tc>
        <w:tc>
          <w:tcPr>
            <w:tcW w:w="1086"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1.330 </w:t>
            </w:r>
          </w:p>
        </w:tc>
        <w:tc>
          <w:tcPr>
            <w:tcW w:w="1087" w:type="dxa"/>
            <w:tcBorders>
              <w:top w:val="nil"/>
              <w:left w:val="nil"/>
              <w:bottom w:val="nil"/>
              <w:right w:val="nil"/>
            </w:tcBorders>
            <w:vAlign w:val="center"/>
          </w:tcPr>
          <w:p w:rsidR="0038333A" w:rsidRDefault="00335F70">
            <w:pPr>
              <w:ind w:rightChars="25" w:right="50"/>
              <w:jc w:val="right"/>
              <w:rPr>
                <w:rFonts w:ascii="Arial" w:eastAsia="Times New Roman" w:hAnsi="Arial"/>
              </w:rPr>
            </w:pPr>
            <w:r>
              <w:rPr>
                <w:rFonts w:ascii="Arial" w:eastAsia="Times New Roman" w:hAnsi="Arial"/>
              </w:rPr>
              <w:t xml:space="preserve">0.185 </w:t>
            </w:r>
          </w:p>
        </w:tc>
      </w:tr>
      <w:tr w:rsidR="0038333A">
        <w:trPr>
          <w:trHeight w:val="139"/>
          <w:jc w:val="center"/>
        </w:trPr>
        <w:tc>
          <w:tcPr>
            <w:tcW w:w="1489"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R_sq</w:t>
            </w:r>
            <w:proofErr w:type="spellEnd"/>
            <w:r>
              <w:rPr>
                <w:rFonts w:ascii="Arial" w:eastAsia="Times New Roman" w:hAnsi="Arial"/>
              </w:rPr>
              <w:t xml:space="preserve">. </w:t>
            </w:r>
          </w:p>
        </w:tc>
        <w:tc>
          <w:tcPr>
            <w:tcW w:w="3259" w:type="dxa"/>
            <w:gridSpan w:val="3"/>
            <w:tcBorders>
              <w:top w:val="nil"/>
              <w:left w:val="nil"/>
              <w:bottom w:val="nil"/>
              <w:right w:val="nil"/>
            </w:tcBorders>
            <w:vAlign w:val="center"/>
          </w:tcPr>
          <w:p w:rsidR="0038333A" w:rsidRDefault="00335F70">
            <w:pPr>
              <w:jc w:val="center"/>
              <w:rPr>
                <w:rFonts w:ascii="Arial" w:eastAsia="Times New Roman" w:hAnsi="Arial"/>
              </w:rPr>
            </w:pPr>
            <w:r>
              <w:rPr>
                <w:rFonts w:ascii="Arial" w:eastAsia="Times New Roman" w:hAnsi="Arial"/>
              </w:rPr>
              <w:t>0.234</w:t>
            </w:r>
          </w:p>
        </w:tc>
        <w:tc>
          <w:tcPr>
            <w:tcW w:w="3260" w:type="dxa"/>
            <w:gridSpan w:val="3"/>
            <w:tcBorders>
              <w:top w:val="nil"/>
              <w:left w:val="nil"/>
              <w:bottom w:val="nil"/>
              <w:right w:val="nil"/>
            </w:tcBorders>
            <w:vAlign w:val="center"/>
          </w:tcPr>
          <w:p w:rsidR="0038333A" w:rsidRDefault="00335F70">
            <w:pPr>
              <w:jc w:val="center"/>
              <w:rPr>
                <w:rFonts w:ascii="Arial" w:eastAsia="Times New Roman" w:hAnsi="Arial"/>
              </w:rPr>
            </w:pPr>
            <w:r>
              <w:rPr>
                <w:rFonts w:ascii="Arial" w:eastAsia="Times New Roman" w:hAnsi="Arial"/>
              </w:rPr>
              <w:t>0.185</w:t>
            </w:r>
          </w:p>
        </w:tc>
      </w:tr>
      <w:tr w:rsidR="0038333A">
        <w:trPr>
          <w:trHeight w:val="80"/>
          <w:jc w:val="center"/>
        </w:trPr>
        <w:tc>
          <w:tcPr>
            <w:tcW w:w="1489" w:type="dxa"/>
            <w:tcBorders>
              <w:top w:val="nil"/>
              <w:left w:val="nil"/>
              <w:bottom w:val="single" w:sz="4" w:space="0" w:color="000000"/>
              <w:right w:val="nil"/>
            </w:tcBorders>
            <w:noWrap/>
            <w:vAlign w:val="center"/>
          </w:tcPr>
          <w:p w:rsidR="0038333A" w:rsidRDefault="00335F70">
            <w:pPr>
              <w:rPr>
                <w:rFonts w:ascii="Arial" w:eastAsia="Times New Roman" w:hAnsi="Arial"/>
              </w:rPr>
            </w:pPr>
            <w:r>
              <w:rPr>
                <w:rFonts w:ascii="Arial" w:eastAsia="Times New Roman" w:hAnsi="Arial"/>
              </w:rPr>
              <w:t>F Value</w:t>
            </w:r>
          </w:p>
        </w:tc>
        <w:tc>
          <w:tcPr>
            <w:tcW w:w="3259" w:type="dxa"/>
            <w:gridSpan w:val="3"/>
            <w:tcBorders>
              <w:top w:val="nil"/>
              <w:left w:val="nil"/>
              <w:bottom w:val="single" w:sz="4" w:space="0" w:color="000000"/>
              <w:right w:val="nil"/>
            </w:tcBorders>
            <w:vAlign w:val="center"/>
          </w:tcPr>
          <w:p w:rsidR="0038333A" w:rsidRDefault="00335F70">
            <w:pPr>
              <w:jc w:val="center"/>
              <w:rPr>
                <w:rFonts w:ascii="Arial" w:eastAsia="Times New Roman" w:hAnsi="Arial"/>
              </w:rPr>
            </w:pPr>
            <w:r>
              <w:rPr>
                <w:rFonts w:ascii="Arial" w:eastAsia="Times New Roman" w:hAnsi="Arial"/>
              </w:rPr>
              <w:t>7.32***</w:t>
            </w:r>
          </w:p>
        </w:tc>
        <w:tc>
          <w:tcPr>
            <w:tcW w:w="3260" w:type="dxa"/>
            <w:gridSpan w:val="3"/>
            <w:tcBorders>
              <w:top w:val="nil"/>
              <w:left w:val="nil"/>
              <w:bottom w:val="single" w:sz="4" w:space="0" w:color="000000"/>
              <w:right w:val="nil"/>
            </w:tcBorders>
            <w:vAlign w:val="center"/>
          </w:tcPr>
          <w:p w:rsidR="0038333A" w:rsidRDefault="00335F70">
            <w:pPr>
              <w:jc w:val="center"/>
              <w:rPr>
                <w:rFonts w:ascii="Arial" w:eastAsia="Times New Roman" w:hAnsi="Arial"/>
              </w:rPr>
            </w:pPr>
            <w:r>
              <w:rPr>
                <w:rFonts w:ascii="Arial" w:eastAsia="Times New Roman" w:hAnsi="Arial"/>
              </w:rPr>
              <w:t>4.08***</w:t>
            </w:r>
          </w:p>
        </w:tc>
      </w:tr>
    </w:tbl>
    <w:p w:rsidR="0038333A" w:rsidRDefault="00335F70">
      <w:pPr>
        <w:tabs>
          <w:tab w:val="left" w:pos="1080"/>
        </w:tabs>
        <w:jc w:val="both"/>
        <w:rPr>
          <w:rFonts w:ascii="Arial" w:eastAsia="Times New Roman" w:hAnsi="Arial"/>
          <w:bCs/>
          <w:i/>
          <w:sz w:val="18"/>
        </w:rPr>
      </w:pPr>
      <w:r>
        <w:rPr>
          <w:rFonts w:ascii="Arial" w:eastAsia="Times New Roman" w:hAnsi="Arial"/>
          <w:bCs/>
          <w:i/>
          <w:sz w:val="18"/>
        </w:rPr>
        <w:t>Note 1: Variable definitions and codes are provided in the Research Design section.</w:t>
      </w:r>
    </w:p>
    <w:p w:rsidR="0038333A" w:rsidRDefault="00335F70">
      <w:pPr>
        <w:tabs>
          <w:tab w:val="left" w:pos="1080"/>
        </w:tabs>
        <w:jc w:val="both"/>
        <w:rPr>
          <w:rFonts w:ascii="Arial" w:eastAsia="Times New Roman" w:hAnsi="Arial"/>
          <w:bCs/>
          <w:i/>
          <w:sz w:val="18"/>
        </w:rPr>
      </w:pPr>
      <w:r>
        <w:rPr>
          <w:rFonts w:ascii="Arial" w:eastAsia="Times New Roman" w:hAnsi="Arial"/>
          <w:bCs/>
          <w:i/>
          <w:sz w:val="18"/>
        </w:rPr>
        <w:t>Note 2: ***, **, and * denote statistical significance at the 1%, 5%, and 10% levels, respectively.</w:t>
      </w:r>
    </w:p>
    <w:p w:rsidR="0038333A" w:rsidRDefault="0038333A">
      <w:pPr>
        <w:tabs>
          <w:tab w:val="left" w:pos="1080"/>
        </w:tabs>
        <w:jc w:val="both"/>
        <w:rPr>
          <w:rFonts w:ascii="Arial" w:eastAsia="Times New Roman" w:hAnsi="Arial"/>
          <w:bCs/>
          <w:i/>
          <w:sz w:val="18"/>
        </w:rPr>
      </w:pPr>
    </w:p>
    <w:p w:rsidR="0038333A" w:rsidRDefault="00335F70">
      <w:pPr>
        <w:pStyle w:val="NormalWeb"/>
        <w:spacing w:before="0" w:beforeAutospacing="0" w:after="0" w:afterAutospacing="0"/>
        <w:jc w:val="both"/>
        <w:rPr>
          <w:rFonts w:ascii="Arial" w:eastAsiaTheme="minorEastAsia" w:hAnsi="Arial" w:cs="Times New Roman"/>
          <w:bCs/>
          <w:sz w:val="18"/>
          <w:szCs w:val="16"/>
          <w:lang w:eastAsia="en-US"/>
        </w:rPr>
      </w:pPr>
      <w:r>
        <w:rPr>
          <w:rFonts w:ascii="Arial" w:eastAsiaTheme="minorEastAsia" w:hAnsi="Arial" w:cs="Times New Roman" w:hint="eastAsia"/>
          <w:bCs/>
          <w:sz w:val="18"/>
          <w:szCs w:val="16"/>
          <w:lang w:eastAsia="en-US"/>
        </w:rPr>
        <w:t>The regression coefficients and their statistical significance for contemporaneous compensation incentives are reported accordingly. As shown in the results, the average board compensation, average executive compensation, board shareholding ratio, and executive shareholding ratio in the current year do not have a statistically significant effect on the sustainable growth rate.</w:t>
      </w:r>
    </w:p>
    <w:p w:rsidR="0038333A" w:rsidRDefault="00335F70">
      <w:pPr>
        <w:pStyle w:val="NormalWeb"/>
        <w:spacing w:before="0" w:beforeAutospacing="0" w:after="0" w:afterAutospacing="0"/>
        <w:jc w:val="both"/>
        <w:rPr>
          <w:rFonts w:ascii="Arial" w:eastAsiaTheme="minorEastAsia" w:hAnsi="Arial" w:cs="Times New Roman"/>
          <w:bCs/>
          <w:sz w:val="18"/>
          <w:szCs w:val="16"/>
          <w:lang w:eastAsia="en-US"/>
        </w:rPr>
      </w:pPr>
      <w:r>
        <w:rPr>
          <w:rFonts w:ascii="Arial" w:eastAsiaTheme="minorEastAsia" w:hAnsi="Arial" w:cs="Times New Roman" w:hint="eastAsia"/>
          <w:bCs/>
          <w:sz w:val="18"/>
          <w:szCs w:val="16"/>
          <w:lang w:eastAsia="en-US"/>
        </w:rPr>
        <w:t>However, the one-period lagged analysis in Model (2) reveals that the executive shareholding ratio has a significantly positive effect on the sustainable growth rate. This finding is consistent with the results reported in [7], which document a significantly positive relationship between innovation investment and financial performance with a two-year lag among Chinese agricultural listed companies. At the same time, Model (2) also indicates that the board shareholding ratio exhibits a significantly negative effect on the sustainable growth rate in the one-period lagged specification.</w:t>
      </w:r>
    </w:p>
    <w:p w:rsidR="0038333A" w:rsidRDefault="00335F70">
      <w:pPr>
        <w:pStyle w:val="NormalWeb"/>
        <w:spacing w:before="0" w:beforeAutospacing="0" w:after="0" w:afterAutospacing="0"/>
        <w:jc w:val="both"/>
        <w:rPr>
          <w:rFonts w:ascii="Arial" w:eastAsiaTheme="minorEastAsia" w:hAnsi="Arial" w:cs="Times New Roman"/>
          <w:bCs/>
          <w:sz w:val="18"/>
          <w:szCs w:val="16"/>
          <w:lang w:eastAsia="en-US"/>
        </w:rPr>
      </w:pPr>
      <w:r>
        <w:rPr>
          <w:rFonts w:ascii="Arial" w:eastAsiaTheme="minorEastAsia" w:hAnsi="Arial" w:cs="Times New Roman" w:hint="eastAsia"/>
          <w:bCs/>
          <w:sz w:val="18"/>
          <w:szCs w:val="16"/>
          <w:lang w:eastAsia="en-US"/>
        </w:rPr>
        <w:t>Given these mixed effects, this study further employs quantile regression to explore the heterogeneous impacts of incentive mechanisms across firms with different levels of sustainable growth. The corresponding empirical results are reported in Tables 3 and 4.</w:t>
      </w:r>
    </w:p>
    <w:p w:rsidR="0038333A" w:rsidRDefault="0038333A">
      <w:pPr>
        <w:ind w:firstLineChars="200" w:firstLine="360"/>
        <w:rPr>
          <w:rFonts w:ascii="Arial" w:hAnsi="Arial"/>
          <w:bCs/>
          <w:sz w:val="18"/>
          <w:szCs w:val="16"/>
        </w:rPr>
      </w:pPr>
    </w:p>
    <w:p w:rsidR="0038333A" w:rsidRDefault="00335F70">
      <w:pPr>
        <w:jc w:val="center"/>
        <w:rPr>
          <w:rFonts w:ascii="Arial" w:eastAsia="Times New Roman" w:hAnsi="Arial"/>
          <w:b/>
        </w:rPr>
      </w:pPr>
      <w:r>
        <w:rPr>
          <w:rFonts w:ascii="Arial" w:eastAsia="Times New Roman" w:hAnsi="Arial"/>
          <w:b/>
        </w:rPr>
        <w:t>Table 3. Quantile Regression Results of Model (1) at the 25th, 50th, and 75th Percentiles (N = 374)</w:t>
      </w:r>
    </w:p>
    <w:tbl>
      <w:tblPr>
        <w:tblW w:w="8304" w:type="dxa"/>
        <w:jc w:val="center"/>
        <w:tblLayout w:type="fixed"/>
        <w:tblLook w:val="04A0" w:firstRow="1" w:lastRow="0" w:firstColumn="1" w:lastColumn="0" w:noHBand="0" w:noVBand="1"/>
      </w:tblPr>
      <w:tblGrid>
        <w:gridCol w:w="1660"/>
        <w:gridCol w:w="1661"/>
        <w:gridCol w:w="1661"/>
        <w:gridCol w:w="1661"/>
        <w:gridCol w:w="1661"/>
      </w:tblGrid>
      <w:tr w:rsidR="0038333A">
        <w:trPr>
          <w:trHeight w:val="288"/>
          <w:jc w:val="center"/>
        </w:trPr>
        <w:tc>
          <w:tcPr>
            <w:tcW w:w="1660"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Variable</w:t>
            </w:r>
          </w:p>
        </w:tc>
        <w:tc>
          <w:tcPr>
            <w:tcW w:w="1661"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25%</w:t>
            </w:r>
          </w:p>
        </w:tc>
        <w:tc>
          <w:tcPr>
            <w:tcW w:w="1661"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50%</w:t>
            </w:r>
          </w:p>
        </w:tc>
        <w:tc>
          <w:tcPr>
            <w:tcW w:w="1661"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75%</w:t>
            </w:r>
          </w:p>
        </w:tc>
        <w:tc>
          <w:tcPr>
            <w:tcW w:w="1661"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OLS</w:t>
            </w:r>
          </w:p>
        </w:tc>
      </w:tr>
      <w:tr w:rsidR="0038333A">
        <w:trPr>
          <w:trHeight w:val="576"/>
          <w:jc w:val="center"/>
        </w:trPr>
        <w:tc>
          <w:tcPr>
            <w:tcW w:w="1660" w:type="dxa"/>
            <w:tcBorders>
              <w:top w:val="single" w:sz="4" w:space="0" w:color="auto"/>
              <w:left w:val="nil"/>
              <w:bottom w:val="nil"/>
              <w:right w:val="nil"/>
            </w:tcBorders>
            <w:noWrap/>
            <w:vAlign w:val="center"/>
          </w:tcPr>
          <w:p w:rsidR="0038333A" w:rsidRDefault="00335F70">
            <w:pPr>
              <w:rPr>
                <w:rFonts w:ascii="Arial" w:eastAsia="Times New Roman" w:hAnsi="Arial"/>
              </w:rPr>
            </w:pPr>
            <w:r>
              <w:rPr>
                <w:rFonts w:ascii="Arial" w:eastAsia="Times New Roman" w:hAnsi="Arial"/>
              </w:rPr>
              <w:t>cons</w:t>
            </w:r>
          </w:p>
        </w:tc>
        <w:tc>
          <w:tcPr>
            <w:tcW w:w="1661"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-0.686**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-1.25</w:t>
            </w:r>
            <w:r>
              <w:rPr>
                <w:rFonts w:ascii="Microsoft YaHei" w:eastAsia="Microsoft YaHei" w:hAnsi="Microsoft YaHei" w:cs="Microsoft YaHei" w:hint="eastAsia"/>
              </w:rPr>
              <w:t>）</w:t>
            </w:r>
          </w:p>
        </w:tc>
        <w:tc>
          <w:tcPr>
            <w:tcW w:w="1661"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-0.093</w:t>
            </w:r>
            <w:r>
              <w:rPr>
                <w:rFonts w:ascii="Arial" w:eastAsia="Times New Roman" w:hAnsi="Arial"/>
              </w:rPr>
              <w:br/>
              <w:t>(-0.72)</w:t>
            </w:r>
          </w:p>
        </w:tc>
        <w:tc>
          <w:tcPr>
            <w:tcW w:w="1661"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-0.012</w:t>
            </w:r>
            <w:r>
              <w:rPr>
                <w:rFonts w:ascii="Arial" w:eastAsia="Times New Roman" w:hAnsi="Arial"/>
              </w:rPr>
              <w:br/>
              <w:t>(-0.08)</w:t>
            </w:r>
          </w:p>
        </w:tc>
        <w:tc>
          <w:tcPr>
            <w:tcW w:w="1661"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-0.490**</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-2.43</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boardsalar</w:t>
            </w:r>
            <w:proofErr w:type="spellEnd"/>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(0.51)</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(1.5)</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(1.7)</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1.36</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excusalary</w:t>
            </w:r>
            <w:proofErr w:type="spellEnd"/>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(-0.33)</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(-0.73)</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(-1.02)</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-0.43</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boardstk</w:t>
            </w:r>
            <w:proofErr w:type="spellEnd"/>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1.241</w:t>
            </w:r>
            <w:r>
              <w:rPr>
                <w:rFonts w:ascii="Arial" w:eastAsia="Times New Roman" w:hAnsi="Arial"/>
              </w:rPr>
              <w:br/>
              <w:t>(0.86)</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0.374</w:t>
            </w:r>
            <w:r>
              <w:rPr>
                <w:rFonts w:ascii="Arial" w:eastAsia="Times New Roman" w:hAnsi="Arial"/>
              </w:rPr>
              <w:br/>
              <w:t>(0.65)</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0.077</w:t>
            </w:r>
            <w:r>
              <w:rPr>
                <w:rFonts w:ascii="Arial" w:eastAsia="Times New Roman" w:hAnsi="Arial"/>
              </w:rPr>
              <w:br/>
              <w:t>(0.11)</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0.886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0.85</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excustk</w:t>
            </w:r>
            <w:proofErr w:type="spellEnd"/>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-0.129</w:t>
            </w:r>
            <w:r>
              <w:rPr>
                <w:rFonts w:ascii="Arial" w:eastAsia="Times New Roman" w:hAnsi="Arial"/>
              </w:rPr>
              <w:br/>
              <w:t>(-0.13)</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0.016</w:t>
            </w:r>
            <w:r>
              <w:rPr>
                <w:rFonts w:ascii="Arial" w:eastAsia="Times New Roman" w:hAnsi="Arial"/>
              </w:rPr>
              <w:br/>
              <w:t>(0.04)</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-0.038</w:t>
            </w:r>
            <w:r>
              <w:rPr>
                <w:rFonts w:ascii="Arial" w:eastAsia="Times New Roman" w:hAnsi="Arial"/>
              </w:rPr>
              <w:br/>
              <w:t>(-0.08)</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-0.147</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-0.2</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scale</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0.036***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2.74</w:t>
            </w:r>
            <w:r>
              <w:rPr>
                <w:rFonts w:ascii="Microsoft YaHei" w:eastAsia="Microsoft YaHei" w:hAnsi="Microsoft YaHei" w:cs="Microsoft YaHei" w:hint="eastAsia"/>
              </w:rPr>
              <w:t>）</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0.008</w:t>
            </w:r>
            <w:r>
              <w:rPr>
                <w:rFonts w:ascii="Arial" w:eastAsia="Times New Roman" w:hAnsi="Arial"/>
              </w:rPr>
              <w:br/>
              <w:t>(1.49)</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0.005</w:t>
            </w:r>
            <w:r>
              <w:rPr>
                <w:rFonts w:ascii="Arial" w:eastAsia="Times New Roman" w:hAnsi="Arial"/>
              </w:rPr>
              <w:br/>
              <w:t>(0.79)</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0.026***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2.86</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debt</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-0.316**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-4.38</w:t>
            </w:r>
            <w:r>
              <w:rPr>
                <w:rFonts w:ascii="Microsoft YaHei" w:eastAsia="Microsoft YaHei" w:hAnsi="Microsoft YaHei" w:cs="Microsoft YaHei" w:hint="eastAsia"/>
              </w:rPr>
              <w:t>）</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-0.084***</w:t>
            </w:r>
            <w:r>
              <w:rPr>
                <w:rFonts w:ascii="Arial" w:eastAsia="Times New Roman" w:hAnsi="Arial"/>
              </w:rPr>
              <w:br/>
              <w:t>(-2.9)</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-0.008</w:t>
            </w:r>
            <w:r>
              <w:rPr>
                <w:rFonts w:ascii="Arial" w:eastAsia="Times New Roman" w:hAnsi="Arial"/>
              </w:rPr>
              <w:br/>
              <w:t>(-0.23)</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-0.395***</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-8.55</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age</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(0.05)</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(0.36)</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(-0.14)</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0.002</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1.28</w:t>
            </w:r>
            <w:r>
              <w:rPr>
                <w:rFonts w:ascii="Microsoft YaHei" w:eastAsia="Microsoft YaHei" w:hAnsi="Microsoft YaHei" w:cs="Microsoft YaHei" w:hint="eastAsia"/>
              </w:rPr>
              <w:t>）</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revgrow</w:t>
            </w:r>
            <w:proofErr w:type="spellEnd"/>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0.009</w:t>
            </w:r>
            <w:r>
              <w:rPr>
                <w:rFonts w:ascii="Arial" w:eastAsia="Times New Roman" w:hAnsi="Arial"/>
              </w:rPr>
              <w:br/>
              <w:t>(0.45</w:t>
            </w:r>
            <w:r>
              <w:rPr>
                <w:rFonts w:ascii="Microsoft YaHei" w:eastAsia="Microsoft YaHei" w:hAnsi="Microsoft YaHei" w:cs="Microsoft YaHei" w:hint="eastAsia"/>
              </w:rPr>
              <w:t>）</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0.021**</w:t>
            </w:r>
            <w:r>
              <w:rPr>
                <w:rFonts w:ascii="Arial" w:eastAsia="Times New Roman" w:hAnsi="Arial"/>
              </w:rPr>
              <w:br/>
              <w:t>(2.48)</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0.057</w:t>
            </w:r>
            <w:r>
              <w:rPr>
                <w:rFonts w:ascii="Arial" w:eastAsia="Times New Roman" w:hAnsi="Arial"/>
              </w:rPr>
              <w:br/>
              <w:t>(5.75)</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0.047***</w:t>
            </w:r>
            <w:r>
              <w:rPr>
                <w:rFonts w:ascii="Arial" w:eastAsia="Times New Roman" w:hAnsi="Arial"/>
              </w:rPr>
              <w:br/>
              <w:t>(3.15)</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soe</w:t>
            </w:r>
            <w:proofErr w:type="spellEnd"/>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0.044</w:t>
            </w:r>
            <w:r>
              <w:rPr>
                <w:rFonts w:ascii="Arial" w:eastAsia="Times New Roman" w:hAnsi="Arial"/>
              </w:rPr>
              <w:br/>
              <w:t>(1.26)</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0.025*</w:t>
            </w:r>
            <w:r>
              <w:rPr>
                <w:rFonts w:ascii="Arial" w:eastAsia="Times New Roman" w:hAnsi="Arial"/>
              </w:rPr>
              <w:br/>
              <w:t>(1.76)</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0.031</w:t>
            </w:r>
            <w:r>
              <w:rPr>
                <w:rFonts w:ascii="Arial" w:eastAsia="Times New Roman" w:hAnsi="Arial"/>
              </w:rPr>
              <w:br/>
              <w:t>(1.85)</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0.055**</w:t>
            </w:r>
            <w:r>
              <w:rPr>
                <w:rFonts w:ascii="Arial" w:eastAsia="Times New Roman" w:hAnsi="Arial"/>
              </w:rPr>
              <w:br/>
              <w:t>(2.23)</w:t>
            </w:r>
          </w:p>
        </w:tc>
      </w:tr>
      <w:tr w:rsidR="0038333A">
        <w:trPr>
          <w:trHeight w:val="576"/>
          <w:jc w:val="center"/>
        </w:trPr>
        <w:tc>
          <w:tcPr>
            <w:tcW w:w="1660"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industry</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0.002</w:t>
            </w:r>
            <w:r>
              <w:rPr>
                <w:rFonts w:ascii="Arial" w:eastAsia="Times New Roman" w:hAnsi="Arial"/>
              </w:rPr>
              <w:br/>
              <w:t>(0.06)</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-0.006</w:t>
            </w:r>
            <w:r>
              <w:rPr>
                <w:rFonts w:ascii="Arial" w:eastAsia="Times New Roman" w:hAnsi="Arial"/>
              </w:rPr>
              <w:br/>
              <w:t>(-0.52)</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-0.006</w:t>
            </w:r>
            <w:r>
              <w:rPr>
                <w:rFonts w:ascii="Arial" w:eastAsia="Times New Roman" w:hAnsi="Arial"/>
              </w:rPr>
              <w:br/>
              <w:t>(-0.43)</w:t>
            </w:r>
          </w:p>
        </w:tc>
        <w:tc>
          <w:tcPr>
            <w:tcW w:w="1661"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0.021</w:t>
            </w:r>
            <w:r>
              <w:rPr>
                <w:rFonts w:ascii="Arial" w:eastAsia="Times New Roman" w:hAnsi="Arial"/>
              </w:rPr>
              <w:br/>
              <w:t>(0.97)</w:t>
            </w:r>
          </w:p>
        </w:tc>
      </w:tr>
      <w:tr w:rsidR="0038333A">
        <w:trPr>
          <w:trHeight w:val="576"/>
          <w:jc w:val="center"/>
        </w:trPr>
        <w:tc>
          <w:tcPr>
            <w:tcW w:w="1660" w:type="dxa"/>
            <w:tcBorders>
              <w:top w:val="nil"/>
              <w:left w:val="nil"/>
              <w:bottom w:val="single" w:sz="4" w:space="0" w:color="000000"/>
              <w:right w:val="nil"/>
            </w:tcBorders>
            <w:noWrap/>
            <w:vAlign w:val="center"/>
          </w:tcPr>
          <w:p w:rsidR="0038333A" w:rsidRDefault="00335F70">
            <w:pPr>
              <w:rPr>
                <w:rFonts w:ascii="Arial" w:eastAsia="Times New Roman" w:hAnsi="Arial"/>
                <w:lang w:eastAsia="zh-TW"/>
              </w:rPr>
            </w:pPr>
            <w:proofErr w:type="spellStart"/>
            <w:r>
              <w:rPr>
                <w:rFonts w:ascii="Arial" w:eastAsia="Times New Roman" w:hAnsi="Arial"/>
                <w:lang w:eastAsia="zh-TW"/>
              </w:rPr>
              <w:t>R_sq</w:t>
            </w:r>
            <w:proofErr w:type="spellEnd"/>
            <w:r>
              <w:rPr>
                <w:rFonts w:ascii="Arial" w:eastAsia="Times New Roman" w:hAnsi="Arial"/>
                <w:lang w:eastAsia="zh-TW"/>
              </w:rPr>
              <w:t xml:space="preserve">. </w:t>
            </w:r>
          </w:p>
        </w:tc>
        <w:tc>
          <w:tcPr>
            <w:tcW w:w="1661" w:type="dxa"/>
            <w:tcBorders>
              <w:top w:val="nil"/>
              <w:left w:val="nil"/>
              <w:bottom w:val="single" w:sz="4" w:space="0" w:color="000000"/>
              <w:right w:val="nil"/>
            </w:tcBorders>
            <w:vAlign w:val="center"/>
          </w:tcPr>
          <w:p w:rsidR="0038333A" w:rsidRDefault="00335F70">
            <w:pPr>
              <w:rPr>
                <w:rFonts w:ascii="Arial" w:eastAsia="Times New Roman" w:hAnsi="Arial"/>
              </w:rPr>
            </w:pPr>
            <w:r>
              <w:rPr>
                <w:rFonts w:ascii="Arial" w:eastAsia="Times New Roman" w:hAnsi="Arial"/>
              </w:rPr>
              <w:t>0.147</w:t>
            </w:r>
          </w:p>
        </w:tc>
        <w:tc>
          <w:tcPr>
            <w:tcW w:w="1661" w:type="dxa"/>
            <w:tcBorders>
              <w:top w:val="nil"/>
              <w:left w:val="nil"/>
              <w:bottom w:val="single" w:sz="4" w:space="0" w:color="000000"/>
              <w:right w:val="nil"/>
            </w:tcBorders>
            <w:vAlign w:val="center"/>
          </w:tcPr>
          <w:p w:rsidR="0038333A" w:rsidRDefault="00335F70">
            <w:pPr>
              <w:rPr>
                <w:rFonts w:ascii="Arial" w:eastAsia="Times New Roman" w:hAnsi="Arial"/>
              </w:rPr>
            </w:pPr>
            <w:r>
              <w:rPr>
                <w:rFonts w:ascii="Arial" w:eastAsia="Times New Roman" w:hAnsi="Arial"/>
              </w:rPr>
              <w:t>0.043</w:t>
            </w:r>
          </w:p>
        </w:tc>
        <w:tc>
          <w:tcPr>
            <w:tcW w:w="1661" w:type="dxa"/>
            <w:tcBorders>
              <w:top w:val="nil"/>
              <w:left w:val="nil"/>
              <w:bottom w:val="single" w:sz="4" w:space="0" w:color="000000"/>
              <w:right w:val="nil"/>
            </w:tcBorders>
            <w:vAlign w:val="center"/>
          </w:tcPr>
          <w:p w:rsidR="0038333A" w:rsidRDefault="00335F70">
            <w:pPr>
              <w:rPr>
                <w:rFonts w:ascii="Arial" w:eastAsia="Times New Roman" w:hAnsi="Arial"/>
              </w:rPr>
            </w:pPr>
            <w:r>
              <w:rPr>
                <w:rFonts w:ascii="Arial" w:eastAsia="Times New Roman" w:hAnsi="Arial"/>
              </w:rPr>
              <w:t>0.064</w:t>
            </w:r>
          </w:p>
        </w:tc>
        <w:tc>
          <w:tcPr>
            <w:tcW w:w="1661" w:type="dxa"/>
            <w:tcBorders>
              <w:top w:val="nil"/>
              <w:left w:val="nil"/>
              <w:bottom w:val="single" w:sz="4" w:space="0" w:color="000000"/>
              <w:right w:val="nil"/>
            </w:tcBorders>
            <w:vAlign w:val="center"/>
          </w:tcPr>
          <w:p w:rsidR="0038333A" w:rsidRDefault="00335F70">
            <w:pPr>
              <w:rPr>
                <w:rFonts w:ascii="Arial" w:eastAsia="Times New Roman" w:hAnsi="Arial"/>
              </w:rPr>
            </w:pPr>
            <w:r>
              <w:rPr>
                <w:rFonts w:ascii="Arial" w:eastAsia="Times New Roman" w:hAnsi="Arial"/>
              </w:rPr>
              <w:t>0.234</w:t>
            </w:r>
          </w:p>
        </w:tc>
      </w:tr>
    </w:tbl>
    <w:p w:rsidR="0038333A" w:rsidRDefault="00335F70">
      <w:pPr>
        <w:ind w:left="180" w:hangingChars="100" w:hanging="180"/>
        <w:rPr>
          <w:rFonts w:ascii="Arial" w:eastAsia="Times New Roman" w:hAnsi="Arial"/>
          <w:bCs/>
          <w:i/>
          <w:sz w:val="18"/>
          <w:szCs w:val="16"/>
        </w:rPr>
      </w:pPr>
      <w:r>
        <w:rPr>
          <w:rFonts w:ascii="Arial" w:eastAsia="Times New Roman" w:hAnsi="Arial"/>
          <w:bCs/>
          <w:i/>
          <w:sz w:val="18"/>
          <w:szCs w:val="16"/>
        </w:rPr>
        <w:t>Note 1: Variable definitions and codes are provided in the Research Design section.</w:t>
      </w:r>
    </w:p>
    <w:p w:rsidR="0038333A" w:rsidRDefault="00335F70">
      <w:pPr>
        <w:ind w:left="180" w:hangingChars="100" w:hanging="180"/>
        <w:rPr>
          <w:rFonts w:ascii="Arial" w:eastAsia="Times New Roman" w:hAnsi="Arial"/>
          <w:bCs/>
          <w:i/>
          <w:sz w:val="18"/>
          <w:szCs w:val="16"/>
        </w:rPr>
      </w:pPr>
      <w:r>
        <w:rPr>
          <w:rFonts w:ascii="Arial" w:eastAsia="Times New Roman" w:hAnsi="Arial"/>
          <w:bCs/>
          <w:i/>
          <w:sz w:val="18"/>
          <w:szCs w:val="16"/>
        </w:rPr>
        <w:t>Note 2: ***, **, and * denote statistical significance at the 1%, 5%, and 10% levels, respectively.</w:t>
      </w:r>
    </w:p>
    <w:p w:rsidR="0038333A" w:rsidRDefault="00335F70">
      <w:pPr>
        <w:ind w:left="180" w:hangingChars="100" w:hanging="180"/>
        <w:rPr>
          <w:rFonts w:ascii="Arial" w:eastAsia="Times New Roman" w:hAnsi="Arial"/>
          <w:bCs/>
          <w:i/>
          <w:sz w:val="18"/>
          <w:szCs w:val="16"/>
        </w:rPr>
      </w:pPr>
      <w:r>
        <w:rPr>
          <w:rFonts w:ascii="Arial" w:eastAsia="Times New Roman" w:hAnsi="Arial"/>
          <w:bCs/>
          <w:i/>
          <w:sz w:val="18"/>
          <w:szCs w:val="16"/>
        </w:rPr>
        <w:t>Note 3: Coefficient estimates are reported above, with t-statistics shown in parentheses below.</w:t>
      </w:r>
    </w:p>
    <w:p w:rsidR="0038333A" w:rsidRDefault="0038333A">
      <w:pPr>
        <w:pStyle w:val="NormalWeb"/>
        <w:spacing w:before="0" w:beforeAutospacing="0" w:after="0" w:afterAutospacing="0"/>
        <w:jc w:val="both"/>
        <w:rPr>
          <w:rFonts w:ascii="Times New Roman" w:eastAsia="PMingLiU" w:hAnsi="Times New Roman" w:cs="Times New Roman"/>
          <w:lang w:eastAsia="zh-TW"/>
        </w:rPr>
      </w:pP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Based on the results reported in Table 3, when firms</w:t>
      </w:r>
      <w:r>
        <w:rPr>
          <w:rFonts w:ascii="Arial" w:eastAsia="PMingLiU" w:hAnsi="Arial" w:cs="Arial"/>
          <w:sz w:val="20"/>
          <w:szCs w:val="22"/>
          <w:lang w:eastAsia="zh-TW"/>
        </w:rPr>
        <w:t xml:space="preserve">’ </w:t>
      </w:r>
      <w:proofErr w:type="spellStart"/>
      <w:r>
        <w:rPr>
          <w:rFonts w:ascii="Arial" w:eastAsia="Calibri" w:hAnsi="Arial" w:cs="Arial" w:hint="eastAsia"/>
          <w:sz w:val="20"/>
          <w:szCs w:val="22"/>
        </w:rPr>
        <w:t>ustainable</w:t>
      </w:r>
      <w:proofErr w:type="spellEnd"/>
      <w:r>
        <w:rPr>
          <w:rFonts w:ascii="Arial" w:eastAsia="Calibri" w:hAnsi="Arial" w:cs="Arial" w:hint="eastAsia"/>
          <w:sz w:val="20"/>
          <w:szCs w:val="22"/>
        </w:rPr>
        <w:t xml:space="preserve"> growth rates are at the low (25th percentile) and median (50th percentile) levels within the industry, the compensation incentives of board members and executives do not have a statistically significant effect on firm growth. However, when firms</w:t>
      </w:r>
      <w:r>
        <w:rPr>
          <w:rFonts w:ascii="Arial" w:eastAsia="PMingLiU" w:hAnsi="Arial" w:cs="Arial"/>
          <w:sz w:val="20"/>
          <w:szCs w:val="22"/>
          <w:lang w:eastAsia="zh-TW"/>
        </w:rPr>
        <w:t xml:space="preserve">’ </w:t>
      </w:r>
      <w:proofErr w:type="spellStart"/>
      <w:r>
        <w:rPr>
          <w:rFonts w:ascii="Arial" w:eastAsia="Calibri" w:hAnsi="Arial" w:cs="Arial" w:hint="eastAsia"/>
          <w:sz w:val="20"/>
          <w:szCs w:val="22"/>
        </w:rPr>
        <w:t>ustainable</w:t>
      </w:r>
      <w:proofErr w:type="spellEnd"/>
      <w:r>
        <w:rPr>
          <w:rFonts w:ascii="Arial" w:eastAsia="Calibri" w:hAnsi="Arial" w:cs="Arial" w:hint="eastAsia"/>
          <w:sz w:val="20"/>
          <w:szCs w:val="22"/>
        </w:rPr>
        <w:t xml:space="preserve"> growth rates reach the high (75th percentile) level, board compensation incentives exhibit a significantly positive relationship with firm growth.</w:t>
      </w: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lastRenderedPageBreak/>
        <w:t>These findings suggest that for firms with relatively lower levels of sustainable growth, board compensation incentives may contribute less to contemporaneous firm growth, potentially due to limitations in board effectiveness or governance quality. In contrast, for firms with higher levels of sustainable growth, where boards are more likely to possess stronger expertise and industry experience, increases in board compensation may play a more pronounced role in supporting firm growth.</w:t>
      </w: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The quantile regression results for the one-period lagged sustainable growth rate are presented in Table 4.</w:t>
      </w:r>
    </w:p>
    <w:p w:rsidR="0038333A" w:rsidRDefault="0038333A">
      <w:pPr>
        <w:ind w:firstLineChars="200" w:firstLine="480"/>
        <w:rPr>
          <w:rFonts w:ascii="Times New Roman" w:eastAsia="PMingLiU" w:hAnsi="Times New Roman"/>
          <w:color w:val="000000"/>
          <w:sz w:val="24"/>
          <w:szCs w:val="24"/>
        </w:rPr>
      </w:pPr>
    </w:p>
    <w:p w:rsidR="0038333A" w:rsidRDefault="00335F70">
      <w:pPr>
        <w:jc w:val="center"/>
        <w:rPr>
          <w:rFonts w:ascii="Arial" w:eastAsia="Times New Roman" w:hAnsi="Arial"/>
          <w:b/>
        </w:rPr>
      </w:pPr>
      <w:r>
        <w:rPr>
          <w:rFonts w:ascii="Arial" w:eastAsia="Times New Roman" w:hAnsi="Arial"/>
          <w:b/>
        </w:rPr>
        <w:t>Table 4. Quantile Regression Results of Model (2) with One-Period Lag (N = 285)</w:t>
      </w:r>
    </w:p>
    <w:tbl>
      <w:tblPr>
        <w:tblW w:w="8178" w:type="dxa"/>
        <w:jc w:val="center"/>
        <w:tblLayout w:type="fixed"/>
        <w:tblLook w:val="04A0" w:firstRow="1" w:lastRow="0" w:firstColumn="1" w:lastColumn="0" w:noHBand="0" w:noVBand="1"/>
      </w:tblPr>
      <w:tblGrid>
        <w:gridCol w:w="1635"/>
        <w:gridCol w:w="1636"/>
        <w:gridCol w:w="1635"/>
        <w:gridCol w:w="1636"/>
        <w:gridCol w:w="1636"/>
      </w:tblGrid>
      <w:tr w:rsidR="0038333A">
        <w:trPr>
          <w:trHeight w:val="288"/>
          <w:jc w:val="center"/>
        </w:trPr>
        <w:tc>
          <w:tcPr>
            <w:tcW w:w="1635"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Variable</w:t>
            </w:r>
          </w:p>
        </w:tc>
        <w:tc>
          <w:tcPr>
            <w:tcW w:w="1636"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25%</w:t>
            </w:r>
          </w:p>
        </w:tc>
        <w:tc>
          <w:tcPr>
            <w:tcW w:w="1635"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50%</w:t>
            </w:r>
          </w:p>
        </w:tc>
        <w:tc>
          <w:tcPr>
            <w:tcW w:w="1636"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b/>
                <w:lang w:eastAsia="zh-TW"/>
              </w:rPr>
              <w:t>75%</w:t>
            </w:r>
          </w:p>
        </w:tc>
        <w:tc>
          <w:tcPr>
            <w:tcW w:w="1636" w:type="dxa"/>
            <w:tcBorders>
              <w:top w:val="single" w:sz="4" w:space="0" w:color="000000"/>
              <w:left w:val="nil"/>
              <w:bottom w:val="single" w:sz="4" w:space="0" w:color="auto"/>
              <w:right w:val="nil"/>
            </w:tcBorders>
            <w:noWrap/>
            <w:vAlign w:val="center"/>
          </w:tcPr>
          <w:p w:rsidR="0038333A" w:rsidRDefault="00335F70">
            <w:pPr>
              <w:rPr>
                <w:rFonts w:ascii="Arial" w:eastAsia="Times New Roman" w:hAnsi="Arial"/>
                <w:b/>
                <w:lang w:eastAsia="zh-TW"/>
              </w:rPr>
            </w:pPr>
            <w:r>
              <w:rPr>
                <w:rFonts w:ascii="Arial" w:eastAsia="Times New Roman" w:hAnsi="Arial" w:hint="eastAsia"/>
                <w:b/>
                <w:lang w:eastAsia="zh-TW"/>
              </w:rPr>
              <w:t>OLS</w:t>
            </w:r>
          </w:p>
        </w:tc>
      </w:tr>
      <w:tr w:rsidR="0038333A">
        <w:trPr>
          <w:trHeight w:val="576"/>
          <w:jc w:val="center"/>
        </w:trPr>
        <w:tc>
          <w:tcPr>
            <w:tcW w:w="1635" w:type="dxa"/>
            <w:tcBorders>
              <w:top w:val="single" w:sz="4" w:space="0" w:color="auto"/>
              <w:left w:val="nil"/>
              <w:bottom w:val="nil"/>
              <w:right w:val="nil"/>
            </w:tcBorders>
            <w:noWrap/>
            <w:vAlign w:val="center"/>
          </w:tcPr>
          <w:p w:rsidR="0038333A" w:rsidRDefault="00335F70">
            <w:pPr>
              <w:rPr>
                <w:rFonts w:ascii="Arial" w:eastAsia="Times New Roman" w:hAnsi="Arial"/>
              </w:rPr>
            </w:pPr>
            <w:r>
              <w:rPr>
                <w:rFonts w:ascii="Arial" w:eastAsia="Times New Roman" w:hAnsi="Arial"/>
              </w:rPr>
              <w:t>cons</w:t>
            </w:r>
          </w:p>
        </w:tc>
        <w:tc>
          <w:tcPr>
            <w:tcW w:w="1636"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-0.62*</w:t>
            </w:r>
            <w:r>
              <w:rPr>
                <w:rFonts w:ascii="Arial" w:eastAsia="Times New Roman" w:hAnsi="Arial"/>
              </w:rPr>
              <w:br/>
              <w:t>(-1.95)</w:t>
            </w:r>
          </w:p>
        </w:tc>
        <w:tc>
          <w:tcPr>
            <w:tcW w:w="1635"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-0.081</w:t>
            </w:r>
            <w:r>
              <w:rPr>
                <w:rFonts w:ascii="Arial" w:eastAsia="Times New Roman" w:hAnsi="Arial"/>
              </w:rPr>
              <w:br/>
              <w:t>(-0.55)</w:t>
            </w:r>
          </w:p>
        </w:tc>
        <w:tc>
          <w:tcPr>
            <w:tcW w:w="1636"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-0.02</w:t>
            </w:r>
            <w:r>
              <w:rPr>
                <w:rFonts w:ascii="Arial" w:eastAsia="Times New Roman" w:hAnsi="Arial"/>
              </w:rPr>
              <w:br/>
              <w:t>(-0.15)</w:t>
            </w:r>
          </w:p>
        </w:tc>
        <w:tc>
          <w:tcPr>
            <w:tcW w:w="1636" w:type="dxa"/>
            <w:tcBorders>
              <w:top w:val="single" w:sz="4" w:space="0" w:color="auto"/>
              <w:left w:val="nil"/>
              <w:bottom w:val="nil"/>
              <w:right w:val="nil"/>
            </w:tcBorders>
            <w:vAlign w:val="center"/>
          </w:tcPr>
          <w:p w:rsidR="0038333A" w:rsidRDefault="00335F70">
            <w:pPr>
              <w:rPr>
                <w:rFonts w:ascii="Arial" w:eastAsia="Times New Roman" w:hAnsi="Arial"/>
              </w:rPr>
            </w:pPr>
            <w:r>
              <w:rPr>
                <w:rFonts w:ascii="Arial" w:eastAsia="Times New Roman" w:hAnsi="Arial"/>
              </w:rPr>
              <w:t>-0.454*</w:t>
            </w:r>
            <w:r>
              <w:rPr>
                <w:rFonts w:ascii="Arial" w:eastAsia="Times New Roman" w:hAnsi="Arial"/>
              </w:rPr>
              <w:br/>
              <w:t>(-1.72)</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boardsalar</w:t>
            </w:r>
            <w:proofErr w:type="spellEnd"/>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(0.12)</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(0.29)</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(2.27)</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(0.19)</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excusalary</w:t>
            </w:r>
            <w:proofErr w:type="spellEnd"/>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(0.32)</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(0.12)</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(-2.25)</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(0.55)</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boardstk</w:t>
            </w:r>
            <w:proofErr w:type="spellEnd"/>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-1.477</w:t>
            </w:r>
            <w:r>
              <w:rPr>
                <w:rFonts w:ascii="Arial" w:eastAsia="Times New Roman" w:hAnsi="Arial"/>
              </w:rPr>
              <w:br/>
              <w:t>(-1.09)</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-0.919</w:t>
            </w:r>
            <w:r>
              <w:rPr>
                <w:rFonts w:ascii="Arial" w:eastAsia="Times New Roman" w:hAnsi="Arial"/>
              </w:rPr>
              <w:br/>
              <w:t>(-1.45)</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-1.025*</w:t>
            </w:r>
            <w:r>
              <w:rPr>
                <w:rFonts w:ascii="Arial" w:eastAsia="Times New Roman" w:hAnsi="Arial"/>
              </w:rPr>
              <w:br/>
              <w:t>(-1.73)</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-2.719</w:t>
            </w:r>
            <w:r>
              <w:rPr>
                <w:rFonts w:ascii="Arial" w:eastAsia="Times New Roman" w:hAnsi="Arial"/>
              </w:rPr>
              <w:br/>
              <w:t>(-2.4)</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excustk</w:t>
            </w:r>
            <w:proofErr w:type="spellEnd"/>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1.389</w:t>
            </w:r>
            <w:r>
              <w:rPr>
                <w:rFonts w:ascii="Arial" w:eastAsia="Times New Roman" w:hAnsi="Arial"/>
              </w:rPr>
              <w:br/>
              <w:t>(1.41)</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0.837*</w:t>
            </w:r>
            <w:r>
              <w:rPr>
                <w:rFonts w:ascii="Arial" w:eastAsia="Times New Roman" w:hAnsi="Arial"/>
              </w:rPr>
              <w:br/>
              <w:t>(1.83)</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0.706</w:t>
            </w:r>
            <w:r>
              <w:rPr>
                <w:rFonts w:ascii="Arial" w:eastAsia="Times New Roman" w:hAnsi="Arial"/>
              </w:rPr>
              <w:br/>
              <w:t>(1.65)</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2.050</w:t>
            </w:r>
            <w:r>
              <w:rPr>
                <w:rFonts w:ascii="Arial" w:eastAsia="Times New Roman" w:hAnsi="Arial"/>
              </w:rPr>
              <w:br/>
              <w:t>(2.5)</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scale</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0.016</w:t>
            </w:r>
            <w:r>
              <w:rPr>
                <w:rFonts w:ascii="Arial" w:eastAsia="Times New Roman" w:hAnsi="Arial"/>
              </w:rPr>
              <w:br/>
              <w:t>(1.17)</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-0.002</w:t>
            </w:r>
            <w:r>
              <w:rPr>
                <w:rFonts w:ascii="Arial" w:eastAsia="Times New Roman" w:hAnsi="Arial"/>
              </w:rPr>
              <w:br/>
              <w:t>(-0.33)</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-0.002</w:t>
            </w:r>
            <w:r>
              <w:rPr>
                <w:rFonts w:ascii="Arial" w:eastAsia="Times New Roman" w:hAnsi="Arial"/>
              </w:rPr>
              <w:br/>
              <w:t>(-0.42)</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0.012</w:t>
            </w:r>
            <w:r>
              <w:rPr>
                <w:rFonts w:ascii="Arial" w:eastAsia="Times New Roman" w:hAnsi="Arial"/>
              </w:rPr>
              <w:br/>
              <w:t>(1.04)</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debt</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-0.263***</w:t>
            </w:r>
            <w:r>
              <w:rPr>
                <w:rFonts w:ascii="Arial" w:eastAsia="Times New Roman" w:hAnsi="Arial"/>
              </w:rPr>
              <w:br/>
              <w:t>(-3.64)</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-0.016</w:t>
            </w:r>
            <w:r>
              <w:rPr>
                <w:rFonts w:ascii="Arial" w:eastAsia="Times New Roman" w:hAnsi="Arial"/>
              </w:rPr>
              <w:br/>
              <w:t>(-0.47)</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0.050</w:t>
            </w:r>
            <w:r>
              <w:rPr>
                <w:rFonts w:ascii="Arial" w:eastAsia="Times New Roman" w:hAnsi="Arial"/>
              </w:rPr>
              <w:br/>
              <w:t>(1.58)</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-0.28***</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-4.66</w:t>
            </w:r>
            <w:r>
              <w:rPr>
                <w:rFonts w:ascii="Microsoft YaHei" w:eastAsia="Microsoft YaHei" w:hAnsi="Microsoft YaHei" w:cs="Microsoft YaHei" w:hint="eastAsia"/>
              </w:rPr>
              <w:t>）</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age</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0.002</w:t>
            </w:r>
            <w:r>
              <w:rPr>
                <w:rFonts w:ascii="Arial" w:eastAsia="Times New Roman" w:hAnsi="Arial"/>
              </w:rPr>
              <w:br/>
              <w:t>(1.02)</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(0.22)</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0.000</w:t>
            </w:r>
            <w:r>
              <w:rPr>
                <w:rFonts w:ascii="Arial" w:eastAsia="Times New Roman" w:hAnsi="Arial"/>
              </w:rPr>
              <w:br/>
              <w:t>(-0.02)</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0.002</w:t>
            </w:r>
            <w:r>
              <w:rPr>
                <w:rFonts w:ascii="Arial" w:eastAsia="Times New Roman" w:hAnsi="Arial"/>
              </w:rPr>
              <w:br/>
              <w:t>(1.09)</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revgrow</w:t>
            </w:r>
            <w:proofErr w:type="spellEnd"/>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0.011</w:t>
            </w:r>
            <w:r>
              <w:rPr>
                <w:rFonts w:ascii="Arial" w:eastAsia="Times New Roman" w:hAnsi="Arial"/>
              </w:rPr>
              <w:br/>
              <w:t>(0.72)</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0.020***</w:t>
            </w:r>
            <w:r>
              <w:rPr>
                <w:rFonts w:ascii="Arial" w:eastAsia="Times New Roman" w:hAnsi="Arial"/>
              </w:rPr>
              <w:br/>
              <w:t>(0.22)</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0.011*</w:t>
            </w:r>
            <w:r>
              <w:rPr>
                <w:rFonts w:ascii="Arial" w:eastAsia="Times New Roman" w:hAnsi="Arial"/>
              </w:rPr>
              <w:br/>
              <w:t>(1.77)</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0.019</w:t>
            </w:r>
            <w:r>
              <w:rPr>
                <w:rFonts w:ascii="Arial" w:eastAsia="Times New Roman" w:hAnsi="Arial"/>
              </w:rPr>
              <w:br/>
              <w:t>(1.57)</w:t>
            </w:r>
          </w:p>
        </w:tc>
      </w:tr>
      <w:tr w:rsidR="0038333A">
        <w:trPr>
          <w:trHeight w:val="576"/>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proofErr w:type="spellStart"/>
            <w:r>
              <w:rPr>
                <w:rFonts w:ascii="Arial" w:eastAsia="Times New Roman" w:hAnsi="Arial"/>
              </w:rPr>
              <w:t>soe</w:t>
            </w:r>
            <w:proofErr w:type="spellEnd"/>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0.035</w:t>
            </w:r>
            <w:r>
              <w:rPr>
                <w:rFonts w:ascii="Arial" w:eastAsia="Times New Roman" w:hAnsi="Arial"/>
              </w:rPr>
              <w:br/>
              <w:t>(1.01)</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0.018</w:t>
            </w:r>
            <w:r>
              <w:rPr>
                <w:rFonts w:ascii="Arial" w:eastAsia="Times New Roman" w:hAnsi="Arial"/>
              </w:rPr>
              <w:br/>
              <w:t>(3.02)</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0.018</w:t>
            </w:r>
            <w:r>
              <w:rPr>
                <w:rFonts w:ascii="Arial" w:eastAsia="Times New Roman" w:hAnsi="Arial"/>
              </w:rPr>
              <w:br/>
              <w:t>(1.2)</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0.03</w:t>
            </w:r>
            <w:r>
              <w:rPr>
                <w:rFonts w:ascii="Arial" w:eastAsia="Times New Roman" w:hAnsi="Arial"/>
              </w:rPr>
              <w:br/>
              <w:t>(1.04)</w:t>
            </w:r>
          </w:p>
        </w:tc>
      </w:tr>
      <w:tr w:rsidR="0038333A">
        <w:trPr>
          <w:trHeight w:val="485"/>
          <w:jc w:val="center"/>
        </w:trPr>
        <w:tc>
          <w:tcPr>
            <w:tcW w:w="1635" w:type="dxa"/>
            <w:tcBorders>
              <w:top w:val="nil"/>
              <w:left w:val="nil"/>
              <w:bottom w:val="nil"/>
              <w:right w:val="nil"/>
            </w:tcBorders>
            <w:noWrap/>
            <w:vAlign w:val="center"/>
          </w:tcPr>
          <w:p w:rsidR="0038333A" w:rsidRDefault="00335F70">
            <w:pPr>
              <w:rPr>
                <w:rFonts w:ascii="Arial" w:eastAsia="Times New Roman" w:hAnsi="Arial"/>
              </w:rPr>
            </w:pPr>
            <w:r>
              <w:rPr>
                <w:rFonts w:ascii="Arial" w:eastAsia="Times New Roman" w:hAnsi="Arial"/>
              </w:rPr>
              <w:t>industry</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0.008</w:t>
            </w:r>
            <w:r>
              <w:rPr>
                <w:rFonts w:ascii="Arial" w:eastAsia="Times New Roman" w:hAnsi="Arial"/>
              </w:rPr>
              <w:br/>
              <w:t>(0.26)</w:t>
            </w:r>
          </w:p>
        </w:tc>
        <w:tc>
          <w:tcPr>
            <w:tcW w:w="1635"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0.002</w:t>
            </w:r>
            <w:r>
              <w:rPr>
                <w:rFonts w:ascii="Arial" w:eastAsia="Times New Roman" w:hAnsi="Arial"/>
              </w:rPr>
              <w:br/>
              <w:t>(1.11)</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0.008</w:t>
            </w:r>
            <w:r>
              <w:rPr>
                <w:rFonts w:ascii="Arial" w:eastAsia="Times New Roman" w:hAnsi="Arial"/>
              </w:rPr>
              <w:br/>
              <w:t>(0.6)</w:t>
            </w:r>
          </w:p>
        </w:tc>
        <w:tc>
          <w:tcPr>
            <w:tcW w:w="1636" w:type="dxa"/>
            <w:tcBorders>
              <w:top w:val="nil"/>
              <w:left w:val="nil"/>
              <w:bottom w:val="nil"/>
              <w:right w:val="nil"/>
            </w:tcBorders>
            <w:vAlign w:val="center"/>
          </w:tcPr>
          <w:p w:rsidR="0038333A" w:rsidRDefault="00335F70">
            <w:pPr>
              <w:rPr>
                <w:rFonts w:ascii="Arial" w:eastAsia="Times New Roman" w:hAnsi="Arial"/>
              </w:rPr>
            </w:pPr>
            <w:r>
              <w:rPr>
                <w:rFonts w:ascii="Arial" w:eastAsia="Times New Roman" w:hAnsi="Arial"/>
              </w:rPr>
              <w:t>0.034</w:t>
            </w:r>
            <w:r>
              <w:rPr>
                <w:rFonts w:ascii="Arial" w:eastAsia="Times New Roman" w:hAnsi="Arial"/>
              </w:rPr>
              <w:br/>
              <w:t>(1.33)</w:t>
            </w:r>
          </w:p>
        </w:tc>
      </w:tr>
      <w:tr w:rsidR="0038333A">
        <w:trPr>
          <w:trHeight w:val="279"/>
          <w:jc w:val="center"/>
        </w:trPr>
        <w:tc>
          <w:tcPr>
            <w:tcW w:w="1635" w:type="dxa"/>
            <w:tcBorders>
              <w:top w:val="nil"/>
              <w:left w:val="nil"/>
              <w:bottom w:val="single" w:sz="4" w:space="0" w:color="000000"/>
              <w:right w:val="nil"/>
            </w:tcBorders>
            <w:noWrap/>
            <w:vAlign w:val="center"/>
          </w:tcPr>
          <w:p w:rsidR="0038333A" w:rsidRDefault="00335F70">
            <w:pPr>
              <w:rPr>
                <w:rFonts w:ascii="Arial" w:eastAsia="Times New Roman" w:hAnsi="Arial"/>
                <w:lang w:eastAsia="zh-TW"/>
              </w:rPr>
            </w:pPr>
            <w:proofErr w:type="spellStart"/>
            <w:r>
              <w:rPr>
                <w:rFonts w:ascii="Arial" w:eastAsia="Times New Roman" w:hAnsi="Arial"/>
                <w:lang w:eastAsia="zh-TW"/>
              </w:rPr>
              <w:t>R_sq</w:t>
            </w:r>
            <w:proofErr w:type="spellEnd"/>
            <w:r>
              <w:rPr>
                <w:rFonts w:ascii="Arial" w:eastAsia="Times New Roman" w:hAnsi="Arial"/>
                <w:lang w:eastAsia="zh-TW"/>
              </w:rPr>
              <w:t>.</w:t>
            </w:r>
          </w:p>
        </w:tc>
        <w:tc>
          <w:tcPr>
            <w:tcW w:w="1636" w:type="dxa"/>
            <w:tcBorders>
              <w:top w:val="nil"/>
              <w:left w:val="nil"/>
              <w:bottom w:val="single" w:sz="4" w:space="0" w:color="000000"/>
              <w:right w:val="nil"/>
            </w:tcBorders>
            <w:vAlign w:val="center"/>
          </w:tcPr>
          <w:p w:rsidR="0038333A" w:rsidRDefault="00335F70">
            <w:pPr>
              <w:rPr>
                <w:rFonts w:ascii="Arial" w:eastAsia="Times New Roman" w:hAnsi="Arial"/>
                <w:lang w:eastAsia="zh-TW"/>
              </w:rPr>
            </w:pPr>
            <w:r>
              <w:rPr>
                <w:rFonts w:ascii="Arial" w:eastAsia="Times New Roman" w:hAnsi="Arial"/>
              </w:rPr>
              <w:t>0.128</w:t>
            </w:r>
          </w:p>
        </w:tc>
        <w:tc>
          <w:tcPr>
            <w:tcW w:w="1635" w:type="dxa"/>
            <w:tcBorders>
              <w:top w:val="nil"/>
              <w:left w:val="nil"/>
              <w:bottom w:val="single" w:sz="4" w:space="0" w:color="000000"/>
              <w:right w:val="nil"/>
            </w:tcBorders>
            <w:vAlign w:val="center"/>
          </w:tcPr>
          <w:p w:rsidR="0038333A" w:rsidRDefault="00335F70">
            <w:pPr>
              <w:rPr>
                <w:rFonts w:ascii="Arial" w:eastAsia="Times New Roman" w:hAnsi="Arial"/>
              </w:rPr>
            </w:pPr>
            <w:r>
              <w:rPr>
                <w:rFonts w:ascii="Arial" w:eastAsia="Times New Roman" w:hAnsi="Arial"/>
              </w:rPr>
              <w:t>0.037</w:t>
            </w:r>
          </w:p>
        </w:tc>
        <w:tc>
          <w:tcPr>
            <w:tcW w:w="1636" w:type="dxa"/>
            <w:tcBorders>
              <w:top w:val="nil"/>
              <w:left w:val="nil"/>
              <w:bottom w:val="single" w:sz="4" w:space="0" w:color="000000"/>
              <w:right w:val="nil"/>
            </w:tcBorders>
            <w:vAlign w:val="center"/>
          </w:tcPr>
          <w:p w:rsidR="0038333A" w:rsidRDefault="00335F70">
            <w:pPr>
              <w:rPr>
                <w:rFonts w:ascii="Arial" w:eastAsia="Times New Roman" w:hAnsi="Arial"/>
              </w:rPr>
            </w:pPr>
            <w:r>
              <w:rPr>
                <w:rFonts w:ascii="Arial" w:eastAsia="Times New Roman" w:hAnsi="Arial"/>
              </w:rPr>
              <w:t>0.049</w:t>
            </w:r>
          </w:p>
        </w:tc>
        <w:tc>
          <w:tcPr>
            <w:tcW w:w="1636" w:type="dxa"/>
            <w:tcBorders>
              <w:top w:val="nil"/>
              <w:left w:val="nil"/>
              <w:bottom w:val="single" w:sz="4" w:space="0" w:color="000000"/>
              <w:right w:val="nil"/>
            </w:tcBorders>
            <w:vAlign w:val="center"/>
          </w:tcPr>
          <w:p w:rsidR="0038333A" w:rsidRDefault="00335F70">
            <w:pPr>
              <w:rPr>
                <w:rFonts w:ascii="Arial" w:eastAsia="Times New Roman" w:hAnsi="Arial"/>
              </w:rPr>
            </w:pPr>
            <w:r>
              <w:rPr>
                <w:rFonts w:ascii="Arial" w:eastAsia="Times New Roman" w:hAnsi="Arial"/>
              </w:rPr>
              <w:t>0.185</w:t>
            </w:r>
          </w:p>
        </w:tc>
      </w:tr>
    </w:tbl>
    <w:p w:rsidR="0038333A" w:rsidRDefault="00335F70">
      <w:pPr>
        <w:ind w:left="13" w:hangingChars="7" w:hanging="13"/>
        <w:rPr>
          <w:rFonts w:ascii="Arial" w:eastAsia="Times New Roman" w:hAnsi="Arial"/>
          <w:bCs/>
          <w:i/>
          <w:sz w:val="18"/>
          <w:szCs w:val="16"/>
        </w:rPr>
      </w:pPr>
      <w:r>
        <w:rPr>
          <w:rFonts w:ascii="Arial" w:eastAsia="Times New Roman" w:hAnsi="Arial"/>
          <w:bCs/>
          <w:i/>
          <w:sz w:val="18"/>
          <w:szCs w:val="16"/>
        </w:rPr>
        <w:t>Note 1: Variable definitions and codes are provided in the Research Design section.</w:t>
      </w:r>
      <w:r>
        <w:rPr>
          <w:rFonts w:ascii="Arial" w:eastAsia="Times New Roman" w:hAnsi="Arial"/>
          <w:bCs/>
          <w:i/>
          <w:sz w:val="18"/>
          <w:szCs w:val="16"/>
        </w:rPr>
        <w:br/>
        <w:t>Note 2: ***, **, and * denote statistical significance at the 1%, 5%, and 10% levels, respectively.</w:t>
      </w:r>
      <w:r>
        <w:rPr>
          <w:rFonts w:ascii="Arial" w:eastAsia="Times New Roman" w:hAnsi="Arial"/>
          <w:bCs/>
          <w:i/>
          <w:sz w:val="18"/>
          <w:szCs w:val="16"/>
        </w:rPr>
        <w:br/>
        <w:t>Note 3: Coefficient estimates are reported above, with t-statistics shown in parentheses below.</w:t>
      </w:r>
    </w:p>
    <w:p w:rsidR="0038333A" w:rsidRDefault="0038333A">
      <w:pPr>
        <w:ind w:firstLineChars="200" w:firstLine="480"/>
        <w:rPr>
          <w:rFonts w:ascii="Times New Roman" w:eastAsia="PMingLiU" w:hAnsi="Times New Roman"/>
          <w:color w:val="000000"/>
          <w:sz w:val="24"/>
          <w:szCs w:val="24"/>
        </w:rPr>
      </w:pP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Based on the results reported in Table 4, for firms with relatively low levels of sustainable growth (25th percentile), compensation incentives do not exhibit a statistically significant effect on firm growth. However, the regression coefficient of the leverage ratio is significantly negative, indicating that for smaller or lower-growth firms, reducing leverage is more effective in enhancing firm growth.</w:t>
      </w: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 xml:space="preserve">The regression coefficient of executive compensation is 0.837, suggesting that increases in executive compensation have a significantly positive effect on firm growth in the subsequent period. This finding is consistent with the evidence reported in </w:t>
      </w:r>
      <w:r>
        <w:rPr>
          <w:rFonts w:ascii="Arial" w:eastAsia="Calibri" w:hAnsi="Arial" w:cs="Arial" w:hint="eastAsia"/>
          <w:sz w:val="20"/>
          <w:szCs w:val="22"/>
          <w:lang w:eastAsia="zh-TW"/>
        </w:rPr>
        <w:t>[</w:t>
      </w:r>
      <w:r>
        <w:rPr>
          <w:rFonts w:ascii="Arial" w:eastAsia="Calibri" w:hAnsi="Arial" w:cs="Arial" w:hint="eastAsia"/>
          <w:sz w:val="20"/>
          <w:szCs w:val="22"/>
        </w:rPr>
        <w:t>10</w:t>
      </w:r>
      <w:r>
        <w:rPr>
          <w:rFonts w:ascii="Arial" w:eastAsia="Calibri" w:hAnsi="Arial" w:cs="Arial" w:hint="eastAsia"/>
          <w:sz w:val="20"/>
          <w:szCs w:val="22"/>
          <w:lang w:eastAsia="zh-TW"/>
        </w:rPr>
        <w:t>]</w:t>
      </w:r>
      <w:r>
        <w:rPr>
          <w:rFonts w:ascii="Arial" w:eastAsia="Calibri" w:hAnsi="Arial" w:cs="Arial" w:hint="eastAsia"/>
          <w:sz w:val="20"/>
          <w:szCs w:val="22"/>
        </w:rPr>
        <w:t>, which shows that the introduction of externally hired professional managers is an effective approach to alleviating the shortage of managerial talent in rural enterprises. As rural professional managers essentially constitute the core managerial force of agricultural business entities, their contribution to firm performance tends to materialize with a time lag. This lagged effect may be attributed to the fact that externally recruited executives are generally less familiar with firm-specific operations than board members, and their value contribution becomes more evident in the following period.</w:t>
      </w: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 xml:space="preserve">In contrast, the regression coefficient of the board shareholding ratio is </w:t>
      </w:r>
      <w:r>
        <w:rPr>
          <w:rFonts w:ascii="Arial" w:eastAsia="Calibri" w:hAnsi="Arial" w:cs="Arial" w:hint="eastAsia"/>
          <w:sz w:val="20"/>
          <w:szCs w:val="22"/>
        </w:rPr>
        <w:t>−</w:t>
      </w:r>
      <w:r>
        <w:rPr>
          <w:rFonts w:ascii="Arial" w:eastAsia="Calibri" w:hAnsi="Arial" w:cs="Arial" w:hint="eastAsia"/>
          <w:sz w:val="20"/>
          <w:szCs w:val="22"/>
        </w:rPr>
        <w:t>1.025, indicating that when firms exhibit relatively high levels of sustainable growth, a higher board shareholding ratio is associated with poorer firm growth performance. One possible explanation is that excessively high board ownership may lead directors to place greater emphasis on their own interests rather than the firm</w:t>
      </w:r>
      <w:r>
        <w:rPr>
          <w:rFonts w:ascii="Arial" w:eastAsia="PMingLiU" w:hAnsi="Arial" w:cs="Arial" w:hint="eastAsia"/>
          <w:sz w:val="20"/>
          <w:szCs w:val="22"/>
          <w:lang w:eastAsia="zh-TW"/>
        </w:rPr>
        <w:t>'</w:t>
      </w:r>
      <w:r>
        <w:rPr>
          <w:rFonts w:ascii="Arial" w:eastAsia="PMingLiU" w:hAnsi="Arial" w:cs="Arial"/>
          <w:sz w:val="20"/>
          <w:szCs w:val="22"/>
          <w:lang w:eastAsia="zh-TW"/>
        </w:rPr>
        <w:t>s</w:t>
      </w:r>
      <w:r>
        <w:rPr>
          <w:rFonts w:ascii="Arial" w:eastAsia="Calibri" w:hAnsi="Arial" w:cs="Arial" w:hint="eastAsia"/>
          <w:sz w:val="20"/>
          <w:szCs w:val="22"/>
        </w:rPr>
        <w:t xml:space="preserve"> long-term development. Consistent with this interpretation, </w:t>
      </w:r>
      <w:r>
        <w:rPr>
          <w:rFonts w:ascii="Arial" w:eastAsia="Calibri" w:hAnsi="Arial" w:cs="Arial" w:hint="eastAsia"/>
          <w:sz w:val="20"/>
          <w:szCs w:val="22"/>
          <w:lang w:eastAsia="zh-TW"/>
        </w:rPr>
        <w:t>[</w:t>
      </w:r>
      <w:r>
        <w:rPr>
          <w:rFonts w:ascii="Arial" w:eastAsia="Calibri" w:hAnsi="Arial" w:cs="Arial" w:hint="eastAsia"/>
          <w:sz w:val="20"/>
          <w:szCs w:val="22"/>
        </w:rPr>
        <w:t>11</w:t>
      </w:r>
      <w:r>
        <w:rPr>
          <w:rFonts w:ascii="Arial" w:eastAsia="Calibri" w:hAnsi="Arial" w:cs="Arial" w:hint="eastAsia"/>
          <w:sz w:val="20"/>
          <w:szCs w:val="22"/>
          <w:lang w:eastAsia="zh-TW"/>
        </w:rPr>
        <w:t>]</w:t>
      </w:r>
      <w:r>
        <w:rPr>
          <w:rFonts w:ascii="Arial" w:eastAsia="Calibri" w:hAnsi="Arial" w:cs="Arial" w:hint="eastAsia"/>
          <w:sz w:val="20"/>
          <w:szCs w:val="22"/>
        </w:rPr>
        <w:t xml:space="preserve"> finds that when the board shareholding ratio is below 5%, firm value is positively related to directors</w:t>
      </w:r>
      <w:proofErr w:type="gramStart"/>
      <w:r>
        <w:rPr>
          <w:rFonts w:ascii="Arial" w:eastAsia="PMingLiU" w:hAnsi="Arial" w:cs="Arial"/>
          <w:sz w:val="20"/>
          <w:szCs w:val="22"/>
          <w:lang w:eastAsia="zh-TW"/>
        </w:rPr>
        <w:t xml:space="preserve">’ </w:t>
      </w:r>
      <w:r>
        <w:rPr>
          <w:rFonts w:ascii="Arial" w:eastAsia="Calibri" w:hAnsi="Arial" w:cs="Arial" w:hint="eastAsia"/>
          <w:sz w:val="20"/>
          <w:szCs w:val="22"/>
        </w:rPr>
        <w:t xml:space="preserve"> ownership</w:t>
      </w:r>
      <w:proofErr w:type="gramEnd"/>
      <w:r>
        <w:rPr>
          <w:rFonts w:ascii="Arial" w:eastAsia="Calibri" w:hAnsi="Arial" w:cs="Arial" w:hint="eastAsia"/>
          <w:sz w:val="20"/>
          <w:szCs w:val="22"/>
        </w:rPr>
        <w:t xml:space="preserve">, whereas changes in ownership at different growth levels may alter the balance between the </w:t>
      </w:r>
      <w:r>
        <w:rPr>
          <w:rFonts w:ascii="Arial" w:eastAsia="Calibri" w:hAnsi="Arial" w:cs="Arial" w:hint="eastAsia"/>
          <w:sz w:val="20"/>
          <w:szCs w:val="22"/>
        </w:rPr>
        <w:t>“</w:t>
      </w:r>
      <w:r>
        <w:rPr>
          <w:rFonts w:ascii="Arial" w:eastAsia="Calibri" w:hAnsi="Arial" w:cs="Arial" w:hint="eastAsia"/>
          <w:sz w:val="20"/>
          <w:szCs w:val="22"/>
        </w:rPr>
        <w:t>alignment</w:t>
      </w:r>
      <w:r>
        <w:rPr>
          <w:rFonts w:ascii="Arial" w:eastAsia="Calibri" w:hAnsi="Arial" w:cs="Arial" w:hint="eastAsia"/>
          <w:sz w:val="20"/>
          <w:szCs w:val="22"/>
        </w:rPr>
        <w:t>”</w:t>
      </w:r>
      <w:r>
        <w:rPr>
          <w:rFonts w:ascii="Arial" w:eastAsia="Calibri" w:hAnsi="Arial" w:cs="Arial" w:hint="eastAsia"/>
          <w:sz w:val="20"/>
          <w:szCs w:val="22"/>
        </w:rPr>
        <w:t xml:space="preserve"> effect and the </w:t>
      </w:r>
      <w:r>
        <w:rPr>
          <w:rFonts w:ascii="Arial" w:eastAsia="Calibri" w:hAnsi="Arial" w:cs="Arial" w:hint="eastAsia"/>
          <w:sz w:val="20"/>
          <w:szCs w:val="22"/>
        </w:rPr>
        <w:t>“</w:t>
      </w:r>
      <w:r>
        <w:rPr>
          <w:rFonts w:ascii="Arial" w:eastAsia="Calibri" w:hAnsi="Arial" w:cs="Arial" w:hint="eastAsia"/>
          <w:sz w:val="20"/>
          <w:szCs w:val="22"/>
        </w:rPr>
        <w:t>entrenchment</w:t>
      </w:r>
      <w:r>
        <w:rPr>
          <w:rFonts w:ascii="Arial" w:eastAsia="Calibri" w:hAnsi="Arial" w:cs="Arial" w:hint="eastAsia"/>
          <w:sz w:val="20"/>
          <w:szCs w:val="22"/>
        </w:rPr>
        <w:t>”</w:t>
      </w:r>
      <w:r>
        <w:rPr>
          <w:rFonts w:ascii="Arial" w:eastAsia="Calibri" w:hAnsi="Arial" w:cs="Arial" w:hint="eastAsia"/>
          <w:sz w:val="20"/>
          <w:szCs w:val="22"/>
        </w:rPr>
        <w:t xml:space="preserve"> effect. According to China</w:t>
      </w:r>
      <w:r>
        <w:rPr>
          <w:rFonts w:ascii="Arial" w:eastAsia="PMingLiU" w:hAnsi="Arial" w:cs="Arial"/>
          <w:sz w:val="20"/>
          <w:szCs w:val="22"/>
          <w:lang w:eastAsia="zh-TW"/>
        </w:rPr>
        <w:t>’</w:t>
      </w:r>
      <w:r>
        <w:rPr>
          <w:rFonts w:ascii="Arial" w:eastAsia="Calibri" w:hAnsi="Arial" w:cs="Arial" w:hint="eastAsia"/>
          <w:sz w:val="20"/>
          <w:szCs w:val="22"/>
        </w:rPr>
        <w:t xml:space="preserve">s Company Law, the individual shareholding ratio of directors shall not exceed 5%. Based on the above findings, </w:t>
      </w:r>
      <w:r>
        <w:rPr>
          <w:rFonts w:ascii="Arial" w:eastAsia="Calibri" w:hAnsi="Arial" w:cs="Arial" w:hint="eastAsia"/>
          <w:sz w:val="20"/>
          <w:szCs w:val="22"/>
        </w:rPr>
        <w:lastRenderedPageBreak/>
        <w:t>within this regulatory threshold, increases in board shareholding should, in principle, be associated with improvements in firm performance.</w:t>
      </w:r>
    </w:p>
    <w:p w:rsidR="0038333A" w:rsidRDefault="00335F70">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Quantile regression analysis not only reveals the heterogeneous effects of incentive mechanisms among firms at different growth levels, but also highlights the dynamic characteristics of their impacts as firms move through different growth stages. Meanwhile, tests for lagged effects further indicate that the incentive effects in agricultural enterprises exhibit a certain degree of "delay", and both the incentive subjects and firms' growth stages jointly shape the intensity and direction of incentive effects. These findings provide empirical evidence for agricultural enterprises to implement differentiated and dynamic incentive design.</w:t>
      </w:r>
    </w:p>
    <w:p w:rsidR="0038333A" w:rsidRDefault="00335F70">
      <w:pPr>
        <w:pStyle w:val="Body"/>
        <w:spacing w:after="0"/>
        <w:rPr>
          <w:rFonts w:ascii="Arial" w:hAnsi="Arial" w:cs="Arial"/>
        </w:rPr>
      </w:pPr>
      <w:r>
        <w:rPr>
          <w:rFonts w:ascii="Arial" w:hAnsi="Arial" w:cs="Arial"/>
        </w:rPr>
        <w:t xml:space="preserve"> </w:t>
      </w:r>
    </w:p>
    <w:p w:rsidR="0038333A" w:rsidRDefault="00335F70">
      <w:pPr>
        <w:pStyle w:val="ConcHead"/>
        <w:spacing w:after="0"/>
        <w:jc w:val="both"/>
        <w:rPr>
          <w:rFonts w:ascii="Arial" w:hAnsi="Arial" w:cs="Arial"/>
        </w:rPr>
      </w:pPr>
      <w:r>
        <w:rPr>
          <w:rFonts w:ascii="Arial" w:hAnsi="Arial" w:cs="Arial"/>
        </w:rPr>
        <w:t>5. CONCLUSIONS AND RECOMMENDATIONS</w:t>
      </w:r>
    </w:p>
    <w:p w:rsidR="0038333A" w:rsidRDefault="00335F70">
      <w:pPr>
        <w:pStyle w:val="Heading1"/>
        <w:spacing w:before="0" w:after="0"/>
        <w:rPr>
          <w:sz w:val="20"/>
        </w:rPr>
      </w:pPr>
      <w:r>
        <w:rPr>
          <w:sz w:val="20"/>
        </w:rPr>
        <w:t>5.1 Conclusions</w:t>
      </w:r>
    </w:p>
    <w:p w:rsidR="0038333A" w:rsidRDefault="00335F70">
      <w:pPr>
        <w:pStyle w:val="Body"/>
        <w:spacing w:after="0"/>
        <w:rPr>
          <w:rFonts w:ascii="Arial" w:hAnsi="Arial" w:cs="Arial"/>
        </w:rPr>
      </w:pPr>
      <w:r>
        <w:rPr>
          <w:rFonts w:ascii="Arial" w:hAnsi="Arial" w:cs="Arial"/>
        </w:rPr>
        <w:t xml:space="preserve">Incentive systems for board members and executives play an important role in shaping firm growth. Using a sample of A-share listed companies in China’s agricultural and </w:t>
      </w:r>
      <w:proofErr w:type="spellStart"/>
      <w:r>
        <w:rPr>
          <w:rFonts w:ascii="Arial" w:hAnsi="Arial" w:cs="Arial"/>
        </w:rPr>
        <w:t>agro</w:t>
      </w:r>
      <w:proofErr w:type="spellEnd"/>
      <w:r>
        <w:rPr>
          <w:rFonts w:ascii="Arial" w:hAnsi="Arial" w:cs="Arial"/>
        </w:rPr>
        <w:t>-processing industry from 2020 to 2024, this study examines the effects of board and executive incentive mechanisms on firm growth and draws the following conclusions.</w:t>
      </w:r>
    </w:p>
    <w:p w:rsidR="0038333A" w:rsidRDefault="00335F70">
      <w:pPr>
        <w:pStyle w:val="Body"/>
        <w:spacing w:after="0"/>
        <w:rPr>
          <w:rFonts w:ascii="Arial" w:hAnsi="Arial" w:cs="Arial"/>
        </w:rPr>
      </w:pPr>
      <w:r>
        <w:rPr>
          <w:rFonts w:ascii="Arial" w:hAnsi="Arial" w:cs="Arial"/>
        </w:rPr>
        <w:t xml:space="preserve">The contemporaneous analysis indicates that neither compensation incentives nor equity incentives have a statistically significant effect on the sustainable growth rate of listed companies in the agricultural and </w:t>
      </w:r>
      <w:proofErr w:type="spellStart"/>
      <w:r>
        <w:rPr>
          <w:rFonts w:ascii="Arial" w:hAnsi="Arial" w:cs="Arial"/>
        </w:rPr>
        <w:t>agro</w:t>
      </w:r>
      <w:proofErr w:type="spellEnd"/>
      <w:r>
        <w:rPr>
          <w:rFonts w:ascii="Arial" w:hAnsi="Arial" w:cs="Arial"/>
        </w:rPr>
        <w:t>-processing industry. In contrast, firm size, revenue growth rate, and state ownership significantly promote firm growth, while leverage exerts a significantly negative effect. The one-period lagged results further reveal that compensation incentives remain insignificant, whereas equity incentives exhibit differentiated effects. Specifically, the executive shareholding ratio significantly enhances firm growth in the subsequent period, while the board shareholding ratio significantly reduces firm growth. These findings suggest that long-term interest alignment for executives is conducive to firms’ subsequent development, whereas excessively high board ownership may give rise to potential entrenchment effects.</w:t>
      </w:r>
    </w:p>
    <w:p w:rsidR="0038333A" w:rsidRDefault="00335F70">
      <w:pPr>
        <w:pStyle w:val="Body"/>
        <w:spacing w:after="0"/>
        <w:rPr>
          <w:rFonts w:ascii="Arial" w:hAnsi="Arial" w:cs="Arial"/>
        </w:rPr>
      </w:pPr>
      <w:r>
        <w:rPr>
          <w:rFonts w:ascii="Arial" w:hAnsi="Arial" w:cs="Arial"/>
        </w:rPr>
        <w:t>The quantile regression analysis provides additional insights by revealing heterogeneity across firms with different growth levels. For high-growth firms, board compensation incentives play a more prominent role in promoting firm growth. In contrast, for low-growth firms, optimizing capital structure—particularly by reducing leverage—appears to be a more effective approach to improving growth conditions. Overall, the impact of incentive systems on firm growth varies across time horizons and incentive subjects, indicating that differentiated incentive strategies should be designed in accordance with firms’ growth stages and ownership characteristics.</w:t>
      </w:r>
    </w:p>
    <w:p w:rsidR="0038333A" w:rsidRDefault="00335F70">
      <w:pPr>
        <w:pStyle w:val="Heading1"/>
        <w:spacing w:before="0" w:after="0"/>
        <w:rPr>
          <w:sz w:val="20"/>
        </w:rPr>
      </w:pPr>
      <w:r>
        <w:rPr>
          <w:sz w:val="20"/>
        </w:rPr>
        <w:t>5.2 Recommendations</w:t>
      </w:r>
    </w:p>
    <w:p w:rsidR="0038333A" w:rsidRDefault="00335F70">
      <w:pPr>
        <w:pStyle w:val="Body"/>
        <w:spacing w:after="0"/>
        <w:rPr>
          <w:rFonts w:ascii="Arial" w:hAnsi="Arial"/>
          <w:i/>
          <w:kern w:val="28"/>
        </w:rPr>
      </w:pPr>
      <w:r>
        <w:rPr>
          <w:rFonts w:ascii="Arial" w:hAnsi="Arial"/>
          <w:i/>
          <w:kern w:val="28"/>
        </w:rPr>
        <w:t>5.2.1 Strengthening the Orientation toward Long-Term Incentives</w:t>
      </w:r>
    </w:p>
    <w:p w:rsidR="0038333A" w:rsidRDefault="00335F70">
      <w:pPr>
        <w:pStyle w:val="Body"/>
        <w:spacing w:after="0"/>
        <w:rPr>
          <w:rFonts w:ascii="Arial" w:hAnsi="Arial" w:cs="Arial"/>
        </w:rPr>
      </w:pPr>
      <w:r>
        <w:rPr>
          <w:rFonts w:ascii="Arial" w:hAnsi="Arial" w:cs="Arial"/>
        </w:rPr>
        <w:t>Given the long investment return cycles and slow capital recovery characteristic of agricultural enterprises, greater emphasis should be placed on long-term incentive instruments such as equity incentives and restricted stock. In light of the negative relationship observed between board shareholding and firm growth, the shareholding ratio of board members should be reasonably controlled to prevent excessive ownership concentration and potential entrenchment effects. Alternative incentive mechanisms—such as virtual equity or dividend rights—may be adopted to balance incentive provision and governance constraints without relying solely on direct shareholding.</w:t>
      </w:r>
    </w:p>
    <w:p w:rsidR="0038333A" w:rsidRDefault="00335F70">
      <w:pPr>
        <w:pStyle w:val="Body"/>
        <w:spacing w:after="0"/>
        <w:rPr>
          <w:rFonts w:ascii="Arial" w:hAnsi="Arial"/>
          <w:i/>
          <w:kern w:val="28"/>
        </w:rPr>
      </w:pPr>
      <w:r>
        <w:rPr>
          <w:rFonts w:ascii="Arial" w:hAnsi="Arial"/>
          <w:i/>
          <w:kern w:val="28"/>
        </w:rPr>
        <w:t>5.2.2 Implementing Differentiated Incentive Schemes Aligned with Firm Heterogeneity</w:t>
      </w:r>
    </w:p>
    <w:p w:rsidR="0038333A" w:rsidRDefault="00335F70">
      <w:pPr>
        <w:pStyle w:val="Body"/>
        <w:spacing w:after="0"/>
        <w:rPr>
          <w:rFonts w:ascii="Arial" w:hAnsi="Arial" w:cs="Arial"/>
        </w:rPr>
      </w:pPr>
      <w:r>
        <w:rPr>
          <w:rFonts w:ascii="Arial" w:hAnsi="Arial" w:cs="Arial"/>
        </w:rPr>
        <w:t>Incentive designs should be tailored to firms’ growth conditions. High-growth firms may moderately increase board compensation incentives to strengthen strategic guidance and governance effectiveness. In contrast, low-growth firms should prioritize reducing leverage and optimizing capital structure before gradually enhancing incentive intensity. For mixed-ownership enterprises, the advantages of diversified ownership structures should be fully utilized to improve incentive flexibility and governance efficiency.</w:t>
      </w:r>
    </w:p>
    <w:p w:rsidR="0038333A" w:rsidRDefault="00335F70">
      <w:pPr>
        <w:pStyle w:val="Body"/>
        <w:spacing w:after="0"/>
        <w:rPr>
          <w:rFonts w:ascii="Arial" w:hAnsi="Arial"/>
          <w:i/>
          <w:kern w:val="28"/>
        </w:rPr>
      </w:pPr>
      <w:r>
        <w:rPr>
          <w:rFonts w:ascii="Arial" w:hAnsi="Arial"/>
          <w:i/>
          <w:kern w:val="28"/>
        </w:rPr>
        <w:t>5.2.3 Actively Responding to Policy Initiatives and Improving the Incentive Environment</w:t>
      </w:r>
    </w:p>
    <w:p w:rsidR="0038333A" w:rsidRDefault="00335F70">
      <w:pPr>
        <w:pStyle w:val="Body"/>
        <w:spacing w:after="0"/>
        <w:rPr>
          <w:rFonts w:ascii="Arial" w:hAnsi="Arial" w:cs="Arial"/>
        </w:rPr>
      </w:pPr>
      <w:r>
        <w:rPr>
          <w:rFonts w:ascii="Arial" w:hAnsi="Arial" w:cs="Arial"/>
        </w:rPr>
        <w:t>Agricultural enterprises should actively align with rural revitalization policies and seek policy support such as tax incentives for equity-based compensation and subsidies for talent introduction. Leveraging opportunities arising from mixed-ownership reform, firms may introduce diversified investors and further optimize ownership structures to enhance the effectiveness and flexibility of incentive mechanisms. Such efforts can help motivate core management teams while simultaneously promoting coordinated development across upstream and downstream segments of the agricultural industry chain.</w:t>
      </w:r>
    </w:p>
    <w:p w:rsidR="0038333A" w:rsidRDefault="0038333A">
      <w:pPr>
        <w:rPr>
          <w:highlight w:val="yellow"/>
        </w:rPr>
      </w:pPr>
    </w:p>
    <w:p w:rsidR="0038333A" w:rsidRDefault="00335F70">
      <w:pPr>
        <w:rPr>
          <w:highlight w:val="yellow"/>
        </w:rPr>
      </w:pPr>
      <w:r>
        <w:rPr>
          <w:highlight w:val="yellow"/>
        </w:rPr>
        <w:t>Disclaimer (Artificial intelligence)</w:t>
      </w:r>
    </w:p>
    <w:p w:rsidR="0038333A" w:rsidRDefault="00335F7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38333A" w:rsidRDefault="0038333A">
      <w:pPr>
        <w:pStyle w:val="Body"/>
        <w:spacing w:after="0"/>
        <w:rPr>
          <w:rFonts w:ascii="Arial" w:hAnsi="Arial" w:cs="Arial"/>
        </w:rPr>
      </w:pPr>
    </w:p>
    <w:p w:rsidR="0038333A" w:rsidRDefault="0038333A">
      <w:pPr>
        <w:pStyle w:val="Body"/>
        <w:spacing w:after="0"/>
        <w:rPr>
          <w:rFonts w:ascii="Arial" w:hAnsi="Arial" w:cs="Arial"/>
        </w:rPr>
      </w:pPr>
    </w:p>
    <w:p w:rsidR="0038333A" w:rsidRDefault="00335F70">
      <w:pPr>
        <w:pStyle w:val="AcknHead"/>
        <w:spacing w:after="0"/>
        <w:jc w:val="both"/>
        <w:rPr>
          <w:rFonts w:ascii="Arial" w:hAnsi="Arial" w:cs="Arial"/>
        </w:rPr>
      </w:pPr>
      <w:r>
        <w:rPr>
          <w:rFonts w:ascii="Arial" w:hAnsi="Arial" w:cs="Arial"/>
        </w:rPr>
        <w:t>REFERENCES</w:t>
      </w:r>
    </w:p>
    <w:p w:rsidR="0038333A" w:rsidRDefault="00335F70">
      <w:pPr>
        <w:jc w:val="both"/>
        <w:rPr>
          <w:rFonts w:ascii="Arial" w:hAnsi="Arial" w:cs="Arial"/>
        </w:rPr>
      </w:pPr>
      <w:r>
        <w:rPr>
          <w:rFonts w:ascii="Arial" w:hAnsi="Arial" w:cs="Arial"/>
        </w:rPr>
        <w:t>[</w:t>
      </w:r>
      <w:proofErr w:type="gramStart"/>
      <w:r>
        <w:rPr>
          <w:rFonts w:ascii="Arial" w:hAnsi="Arial" w:cs="Arial"/>
        </w:rPr>
        <w:t>1]</w:t>
      </w:r>
      <w:r>
        <w:rPr>
          <w:rFonts w:ascii="Arial" w:hAnsi="Arial" w:cs="Arial" w:hint="eastAsia"/>
        </w:rPr>
        <w:t>Luo</w:t>
      </w:r>
      <w:proofErr w:type="gramEnd"/>
      <w:r>
        <w:rPr>
          <w:rFonts w:ascii="Arial" w:hAnsi="Arial" w:cs="Arial" w:hint="eastAsia"/>
        </w:rPr>
        <w:t xml:space="preserve"> CC</w:t>
      </w:r>
      <w:r>
        <w:rPr>
          <w:rFonts w:ascii="Arial" w:hAnsi="Arial" w:cs="Arial"/>
        </w:rPr>
        <w:t xml:space="preserve">, Xu K (2026), "Short-term pain, long-term gain? The temporal impacts of environmental innovation on agricultural emissions". International Journal of Operations &amp; Production Management, Vol. 46 No. 1 pp. 1–20, </w:t>
      </w:r>
      <w:proofErr w:type="spellStart"/>
      <w:r>
        <w:rPr>
          <w:rFonts w:ascii="Arial" w:hAnsi="Arial" w:cs="Arial"/>
        </w:rPr>
        <w:t>doi</w:t>
      </w:r>
      <w:proofErr w:type="spellEnd"/>
      <w:r>
        <w:rPr>
          <w:rFonts w:ascii="Arial" w:hAnsi="Arial" w:cs="Arial"/>
        </w:rPr>
        <w:t>: </w:t>
      </w:r>
      <w:hyperlink r:id="rId15" w:tgtFrame="https://www.emerald.com/ijopm/article-abstract/46/1/1/1302459/_blank" w:history="1">
        <w:r>
          <w:rPr>
            <w:rFonts w:ascii="Arial" w:hAnsi="Arial" w:cs="Arial"/>
          </w:rPr>
          <w:t>https://doi.org/10.1108/IJOPM-01-2025-0066</w:t>
        </w:r>
      </w:hyperlink>
    </w:p>
    <w:p w:rsidR="0038333A" w:rsidRDefault="00335F70">
      <w:pPr>
        <w:jc w:val="both"/>
        <w:rPr>
          <w:rFonts w:ascii="Arial" w:hAnsi="Arial" w:cs="Arial"/>
        </w:rPr>
      </w:pPr>
      <w:r>
        <w:rPr>
          <w:rFonts w:ascii="Arial" w:hAnsi="Arial" w:cs="Arial"/>
        </w:rPr>
        <w:t>[</w:t>
      </w:r>
      <w:proofErr w:type="gramStart"/>
      <w:r>
        <w:rPr>
          <w:rFonts w:ascii="Arial" w:hAnsi="Arial" w:cs="Arial"/>
        </w:rPr>
        <w:t>2]</w:t>
      </w:r>
      <w:r>
        <w:rPr>
          <w:rFonts w:ascii="Arial" w:hAnsi="Arial" w:cs="Arial" w:hint="eastAsia"/>
        </w:rPr>
        <w:t>Mo</w:t>
      </w:r>
      <w:proofErr w:type="gramEnd"/>
      <w:r>
        <w:rPr>
          <w:rFonts w:ascii="Arial" w:hAnsi="Arial" w:cs="Arial" w:hint="eastAsia"/>
        </w:rPr>
        <w:t xml:space="preserve">, Z., Mai, Q. </w:t>
      </w:r>
      <w:proofErr w:type="spellStart"/>
      <w:r>
        <w:rPr>
          <w:rFonts w:ascii="Arial" w:hAnsi="Arial" w:cs="Arial" w:hint="eastAsia"/>
        </w:rPr>
        <w:t>Spatio</w:t>
      </w:r>
      <w:proofErr w:type="spellEnd"/>
      <w:r>
        <w:rPr>
          <w:rFonts w:ascii="Arial" w:hAnsi="Arial" w:cs="Arial" w:hint="eastAsia"/>
        </w:rPr>
        <w:t>-temporal modality and influencing factors of agribusiness survival of underdeveloped areas after the effort of reducing poverty at large scale. Sci Rep 15, 16177 (2025). https://doi.org/10.1038/s41598-025-00761-5</w:t>
      </w:r>
    </w:p>
    <w:p w:rsidR="0038333A" w:rsidRDefault="00335F70">
      <w:pPr>
        <w:jc w:val="both"/>
        <w:rPr>
          <w:rFonts w:ascii="Arial" w:hAnsi="Arial" w:cs="Arial"/>
        </w:rPr>
      </w:pPr>
      <w:r>
        <w:rPr>
          <w:rFonts w:ascii="Arial" w:hAnsi="Arial" w:cs="Arial"/>
        </w:rPr>
        <w:lastRenderedPageBreak/>
        <w:t>[</w:t>
      </w:r>
      <w:proofErr w:type="gramStart"/>
      <w:r>
        <w:rPr>
          <w:rFonts w:ascii="Arial" w:hAnsi="Arial" w:cs="Arial"/>
        </w:rPr>
        <w:t>3]</w:t>
      </w:r>
      <w:proofErr w:type="spellStart"/>
      <w:r>
        <w:rPr>
          <w:rFonts w:ascii="Arial" w:hAnsi="Arial" w:cs="Arial" w:hint="eastAsia"/>
        </w:rPr>
        <w:t>Yaofu</w:t>
      </w:r>
      <w:proofErr w:type="spellEnd"/>
      <w:proofErr w:type="gramEnd"/>
      <w:r>
        <w:rPr>
          <w:rFonts w:ascii="Arial" w:hAnsi="Arial" w:cs="Arial" w:hint="eastAsia"/>
        </w:rPr>
        <w:t xml:space="preserve"> Huang, Eddie C.M. Hui, </w:t>
      </w:r>
      <w:proofErr w:type="spellStart"/>
      <w:r>
        <w:rPr>
          <w:rFonts w:ascii="Arial" w:hAnsi="Arial" w:cs="Arial" w:hint="eastAsia"/>
        </w:rPr>
        <w:t>Jinmiao</w:t>
      </w:r>
      <w:proofErr w:type="spellEnd"/>
      <w:r>
        <w:rPr>
          <w:rFonts w:ascii="Arial" w:hAnsi="Arial" w:cs="Arial" w:hint="eastAsia"/>
        </w:rPr>
        <w:t xml:space="preserve"> Zhou, Wei Lang, </w:t>
      </w:r>
      <w:proofErr w:type="spellStart"/>
      <w:r>
        <w:rPr>
          <w:rFonts w:ascii="Arial" w:hAnsi="Arial" w:cs="Arial" w:hint="eastAsia"/>
        </w:rPr>
        <w:t>Tingting</w:t>
      </w:r>
      <w:proofErr w:type="spellEnd"/>
      <w:r>
        <w:rPr>
          <w:rFonts w:ascii="Arial" w:hAnsi="Arial" w:cs="Arial" w:hint="eastAsia"/>
        </w:rPr>
        <w:t xml:space="preserve"> Chen, &amp; </w:t>
      </w:r>
      <w:proofErr w:type="spellStart"/>
      <w:r>
        <w:rPr>
          <w:rFonts w:ascii="Arial" w:hAnsi="Arial" w:cs="Arial" w:hint="eastAsia"/>
        </w:rPr>
        <w:t>Xun</w:t>
      </w:r>
      <w:proofErr w:type="spellEnd"/>
      <w:r>
        <w:rPr>
          <w:rFonts w:ascii="Arial" w:hAnsi="Arial" w:cs="Arial" w:hint="eastAsia"/>
        </w:rPr>
        <w:t xml:space="preserve"> Li. (2020). Rural Revitalization in China: Land-Use Optimization through the Practice of Place-making. Land Use Policy, 97, 104788. </w:t>
      </w:r>
      <w:hyperlink r:id="rId16" w:history="1">
        <w:r>
          <w:rPr>
            <w:rFonts w:ascii="Arial" w:hAnsi="Arial" w:cs="Arial" w:hint="eastAsia"/>
          </w:rPr>
          <w:t>https://doi.org/10.1016/j.landusepol.2020.104788</w:t>
        </w:r>
      </w:hyperlink>
    </w:p>
    <w:p w:rsidR="0038333A" w:rsidRDefault="00335F70">
      <w:pPr>
        <w:wordWrap w:val="0"/>
        <w:jc w:val="both"/>
        <w:rPr>
          <w:rFonts w:ascii="Arial" w:hAnsi="Arial" w:cs="Arial"/>
        </w:rPr>
      </w:pPr>
      <w:r>
        <w:rPr>
          <w:rFonts w:ascii="Arial" w:hAnsi="Arial" w:cs="Arial"/>
        </w:rPr>
        <w:t>[</w:t>
      </w:r>
      <w:proofErr w:type="gramStart"/>
      <w:r>
        <w:rPr>
          <w:rFonts w:ascii="Arial" w:hAnsi="Arial" w:cs="Arial"/>
        </w:rPr>
        <w:t>4]</w:t>
      </w:r>
      <w:r>
        <w:rPr>
          <w:rFonts w:ascii="Arial" w:hAnsi="Arial" w:cs="Arial" w:hint="eastAsia"/>
        </w:rPr>
        <w:t>Justin</w:t>
      </w:r>
      <w:proofErr w:type="gramEnd"/>
      <w:r>
        <w:rPr>
          <w:rFonts w:ascii="Arial" w:hAnsi="Arial" w:cs="Arial" w:hint="eastAsia"/>
        </w:rPr>
        <w:t xml:space="preserve"> T. </w:t>
      </w:r>
      <w:proofErr w:type="spellStart"/>
      <w:r>
        <w:rPr>
          <w:rFonts w:ascii="Arial" w:hAnsi="Arial" w:cs="Arial" w:hint="eastAsia"/>
        </w:rPr>
        <w:t>Callais</w:t>
      </w:r>
      <w:proofErr w:type="spellEnd"/>
      <w:r>
        <w:rPr>
          <w:rFonts w:ascii="Arial" w:hAnsi="Arial" w:cs="Arial" w:hint="eastAsia"/>
        </w:rPr>
        <w:t xml:space="preserve"> &amp; </w:t>
      </w:r>
      <w:proofErr w:type="spellStart"/>
      <w:r>
        <w:rPr>
          <w:rFonts w:ascii="Arial" w:hAnsi="Arial" w:cs="Arial" w:hint="eastAsia"/>
        </w:rPr>
        <w:t>Linan</w:t>
      </w:r>
      <w:proofErr w:type="spellEnd"/>
      <w:r>
        <w:rPr>
          <w:rFonts w:ascii="Arial" w:hAnsi="Arial" w:cs="Arial" w:hint="eastAsia"/>
        </w:rPr>
        <w:t xml:space="preserve"> Peng. (2025)</w:t>
      </w:r>
      <w:r>
        <w:rPr>
          <w:rFonts w:ascii="Arial" w:hAnsi="Arial" w:cs="Arial"/>
        </w:rPr>
        <w:t> </w:t>
      </w:r>
      <w:hyperlink r:id="rId17" w:history="1">
        <w:r>
          <w:rPr>
            <w:rFonts w:ascii="Arial" w:hAnsi="Arial" w:cs="Arial"/>
          </w:rPr>
          <w:t>The Impact of City-County Mergers: Evidence from Sichuan Province</w:t>
        </w:r>
      </w:hyperlink>
      <w:r>
        <w:rPr>
          <w:rFonts w:ascii="Arial" w:hAnsi="Arial" w:cs="Arial"/>
        </w:rPr>
        <w:t>. The Chinese Economy 58:4, pages 317-344.https://doi.org/10.1080/13547860.2022.2073659</w:t>
      </w:r>
    </w:p>
    <w:p w:rsidR="0038333A" w:rsidRDefault="00335F70">
      <w:pPr>
        <w:wordWrap w:val="0"/>
        <w:jc w:val="both"/>
        <w:rPr>
          <w:rFonts w:ascii="Arial" w:hAnsi="Arial" w:cs="Arial"/>
        </w:rPr>
      </w:pPr>
      <w:r>
        <w:rPr>
          <w:rFonts w:ascii="Arial" w:hAnsi="Arial" w:cs="Arial" w:hint="eastAsia"/>
        </w:rPr>
        <w:t>[</w:t>
      </w:r>
      <w:proofErr w:type="gramStart"/>
      <w:r>
        <w:rPr>
          <w:rFonts w:ascii="Arial" w:hAnsi="Arial" w:cs="Arial" w:hint="eastAsia"/>
        </w:rPr>
        <w:t>5]Shang</w:t>
      </w:r>
      <w:proofErr w:type="gramEnd"/>
      <w:r>
        <w:rPr>
          <w:rFonts w:ascii="Arial" w:hAnsi="Arial" w:cs="Arial" w:hint="eastAsia"/>
        </w:rPr>
        <w:t xml:space="preserve">, Y., Xu, J., &amp; Li, J. (2023). The impact of executive compensation incentive on corporate innovation capability: Evidence from </w:t>
      </w:r>
      <w:proofErr w:type="spellStart"/>
      <w:r>
        <w:rPr>
          <w:rFonts w:ascii="Arial" w:hAnsi="Arial" w:cs="Arial" w:hint="eastAsia"/>
        </w:rPr>
        <w:t>agro</w:t>
      </w:r>
      <w:proofErr w:type="spellEnd"/>
      <w:r>
        <w:rPr>
          <w:rFonts w:ascii="Arial" w:hAnsi="Arial" w:cs="Arial" w:hint="eastAsia"/>
        </w:rPr>
        <w:t>-based companies in China. PLOS ONE, 18(9), e0291517. https://doi.org/10.1371/journal.pone.0291517</w:t>
      </w:r>
    </w:p>
    <w:p w:rsidR="0038333A" w:rsidRDefault="00335F70">
      <w:pPr>
        <w:jc w:val="both"/>
        <w:rPr>
          <w:rFonts w:ascii="Arial" w:hAnsi="Arial" w:cs="Arial"/>
        </w:rPr>
      </w:pPr>
      <w:r>
        <w:rPr>
          <w:rFonts w:ascii="Arial" w:hAnsi="Arial" w:cs="Arial" w:hint="eastAsia"/>
        </w:rPr>
        <w:t>[</w:t>
      </w:r>
      <w:proofErr w:type="gramStart"/>
      <w:r>
        <w:rPr>
          <w:rFonts w:ascii="Arial" w:hAnsi="Arial" w:cs="Arial" w:hint="eastAsia"/>
        </w:rPr>
        <w:t>6]Li</w:t>
      </w:r>
      <w:proofErr w:type="gramEnd"/>
      <w:r>
        <w:rPr>
          <w:rFonts w:ascii="Arial" w:hAnsi="Arial" w:cs="Arial" w:hint="eastAsia"/>
        </w:rPr>
        <w:t>, Y., You, J. &amp; Chen, R. Can restricted stock incentives foster corporate innovation? Insights from core employees</w:t>
      </w:r>
      <w:r>
        <w:rPr>
          <w:rFonts w:ascii="Arial" w:hAnsi="Arial" w:cs="Arial" w:hint="eastAsia"/>
        </w:rPr>
        <w:t>’</w:t>
      </w:r>
      <w:r>
        <w:rPr>
          <w:rFonts w:ascii="Arial" w:hAnsi="Arial" w:cs="Arial" w:hint="eastAsia"/>
        </w:rPr>
        <w:t xml:space="preserve"> firm-specific knowledge investments.</w:t>
      </w:r>
      <w:r>
        <w:rPr>
          <w:rFonts w:ascii="Arial" w:hAnsi="Arial" w:cs="Arial"/>
        </w:rPr>
        <w:t xml:space="preserve"> Asia Pac J </w:t>
      </w:r>
      <w:proofErr w:type="spellStart"/>
      <w:r>
        <w:rPr>
          <w:rFonts w:ascii="Arial" w:hAnsi="Arial" w:cs="Arial"/>
        </w:rPr>
        <w:t>Manag</w:t>
      </w:r>
      <w:proofErr w:type="spellEnd"/>
      <w:r>
        <w:rPr>
          <w:rFonts w:ascii="Arial" w:hAnsi="Arial" w:cs="Arial"/>
        </w:rPr>
        <w:t xml:space="preserve"> (2025). </w:t>
      </w:r>
      <w:hyperlink r:id="rId18" w:history="1">
        <w:r>
          <w:rPr>
            <w:rFonts w:ascii="Arial" w:hAnsi="Arial" w:cs="Arial"/>
          </w:rPr>
          <w:t>https://doi.org/10.1007/s10490-025-10042-4</w:t>
        </w:r>
      </w:hyperlink>
    </w:p>
    <w:p w:rsidR="0038333A" w:rsidRDefault="00335F70">
      <w:pPr>
        <w:wordWrap w:val="0"/>
        <w:jc w:val="both"/>
        <w:rPr>
          <w:rFonts w:ascii="Arial" w:hAnsi="Arial" w:cs="Arial"/>
        </w:rPr>
      </w:pPr>
      <w:r>
        <w:rPr>
          <w:rFonts w:ascii="Arial" w:hAnsi="Arial" w:cs="Arial" w:hint="eastAsia"/>
        </w:rPr>
        <w:t>[</w:t>
      </w:r>
      <w:proofErr w:type="gramStart"/>
      <w:r>
        <w:rPr>
          <w:rFonts w:ascii="Arial" w:hAnsi="Arial" w:cs="Arial" w:hint="eastAsia"/>
        </w:rPr>
        <w:t>7]Tong</w:t>
      </w:r>
      <w:proofErr w:type="gramEnd"/>
      <w:r>
        <w:rPr>
          <w:rFonts w:ascii="Arial" w:hAnsi="Arial" w:cs="Arial" w:hint="eastAsia"/>
        </w:rPr>
        <w:t xml:space="preserve"> X</w:t>
      </w:r>
      <w:r>
        <w:rPr>
          <w:rFonts w:ascii="Arial" w:hAnsi="Arial" w:cs="Arial"/>
        </w:rPr>
        <w:t xml:space="preserve">, Wang W, Liu Y (2024), "Do all CEO pay regulations hurt firm performance? Evidence from China". International Journal of Managerial Finance, Vol. 20 No. 3 pp. 794–820, </w:t>
      </w:r>
      <w:proofErr w:type="spellStart"/>
      <w:r>
        <w:rPr>
          <w:rFonts w:ascii="Arial" w:hAnsi="Arial" w:cs="Arial"/>
        </w:rPr>
        <w:t>doi</w:t>
      </w:r>
      <w:proofErr w:type="spellEnd"/>
      <w:r>
        <w:rPr>
          <w:rFonts w:ascii="Arial" w:hAnsi="Arial" w:cs="Arial"/>
        </w:rPr>
        <w:t>: </w:t>
      </w:r>
      <w:hyperlink r:id="rId19" w:tgtFrame="https://www.emerald.com/ijmf/article-abstract/20/3/794/1223236/_blank" w:history="1">
        <w:r>
          <w:rPr>
            <w:rFonts w:ascii="Arial" w:hAnsi="Arial" w:cs="Arial"/>
          </w:rPr>
          <w:t>https://doi.org/10.1108/IJMF-09-2021-0458</w:t>
        </w:r>
      </w:hyperlink>
    </w:p>
    <w:p w:rsidR="0038333A" w:rsidRDefault="00335F70">
      <w:pPr>
        <w:jc w:val="both"/>
        <w:rPr>
          <w:rFonts w:ascii="Arial" w:hAnsi="Arial" w:cs="Arial"/>
        </w:rPr>
      </w:pPr>
      <w:r>
        <w:rPr>
          <w:rFonts w:ascii="Arial" w:hAnsi="Arial" w:cs="Arial"/>
        </w:rPr>
        <w:t>[</w:t>
      </w:r>
      <w:proofErr w:type="gramStart"/>
      <w:r>
        <w:rPr>
          <w:rFonts w:ascii="Arial" w:hAnsi="Arial" w:cs="Arial"/>
        </w:rPr>
        <w:t>8]</w:t>
      </w:r>
      <w:r>
        <w:rPr>
          <w:rFonts w:ascii="Arial" w:hAnsi="Arial" w:cs="Arial" w:hint="eastAsia"/>
        </w:rPr>
        <w:t>El</w:t>
      </w:r>
      <w:proofErr w:type="gramEnd"/>
      <w:r>
        <w:rPr>
          <w:rFonts w:ascii="Arial" w:hAnsi="Arial" w:cs="Arial" w:hint="eastAsia"/>
        </w:rPr>
        <w:t xml:space="preserve"> </w:t>
      </w:r>
      <w:proofErr w:type="spellStart"/>
      <w:r>
        <w:rPr>
          <w:rFonts w:ascii="Arial" w:hAnsi="Arial" w:cs="Arial" w:hint="eastAsia"/>
        </w:rPr>
        <w:t>Kalak</w:t>
      </w:r>
      <w:proofErr w:type="spellEnd"/>
      <w:r>
        <w:rPr>
          <w:rFonts w:ascii="Arial" w:hAnsi="Arial" w:cs="Arial" w:hint="eastAsia"/>
        </w:rPr>
        <w:t xml:space="preserve">, I., </w:t>
      </w:r>
      <w:proofErr w:type="spellStart"/>
      <w:r>
        <w:rPr>
          <w:rFonts w:ascii="Arial" w:hAnsi="Arial" w:cs="Arial" w:hint="eastAsia"/>
        </w:rPr>
        <w:t>Goergen</w:t>
      </w:r>
      <w:proofErr w:type="spellEnd"/>
      <w:r>
        <w:rPr>
          <w:rFonts w:ascii="Arial" w:hAnsi="Arial" w:cs="Arial" w:hint="eastAsia"/>
        </w:rPr>
        <w:t xml:space="preserve">, M., &amp; </w:t>
      </w:r>
      <w:proofErr w:type="spellStart"/>
      <w:r>
        <w:rPr>
          <w:rFonts w:ascii="Arial" w:hAnsi="Arial" w:cs="Arial" w:hint="eastAsia"/>
        </w:rPr>
        <w:t>Guney</w:t>
      </w:r>
      <w:proofErr w:type="spellEnd"/>
      <w:r>
        <w:rPr>
          <w:rFonts w:ascii="Arial" w:hAnsi="Arial" w:cs="Arial" w:hint="eastAsia"/>
        </w:rPr>
        <w:t>, Y. (2025). CEO overconfidence and the speed of adjustment of cash holdings. The European Journal of Finance, 31(2), 202</w:t>
      </w:r>
      <w:r>
        <w:rPr>
          <w:rFonts w:ascii="Arial" w:hAnsi="Arial" w:cs="Arial" w:hint="eastAsia"/>
        </w:rPr>
        <w:t>–</w:t>
      </w:r>
      <w:r>
        <w:rPr>
          <w:rFonts w:ascii="Arial" w:hAnsi="Arial" w:cs="Arial" w:hint="eastAsia"/>
        </w:rPr>
        <w:t xml:space="preserve">229. </w:t>
      </w:r>
      <w:hyperlink r:id="rId20" w:history="1">
        <w:r>
          <w:rPr>
            <w:rFonts w:ascii="Arial" w:hAnsi="Arial" w:cs="Arial" w:hint="eastAsia"/>
          </w:rPr>
          <w:t>https://doi.org/10.1080/1351847X.2024.2364829</w:t>
        </w:r>
      </w:hyperlink>
    </w:p>
    <w:p w:rsidR="0038333A" w:rsidRDefault="00335F70">
      <w:pPr>
        <w:jc w:val="both"/>
        <w:rPr>
          <w:rFonts w:ascii="Arial" w:hAnsi="Arial" w:cs="Arial"/>
        </w:rPr>
      </w:pPr>
      <w:r>
        <w:rPr>
          <w:rFonts w:ascii="Arial" w:hAnsi="Arial" w:cs="Arial"/>
        </w:rPr>
        <w:t>[</w:t>
      </w:r>
      <w:proofErr w:type="gramStart"/>
      <w:r>
        <w:rPr>
          <w:rFonts w:ascii="Arial" w:hAnsi="Arial" w:cs="Arial"/>
        </w:rPr>
        <w:t>9]</w:t>
      </w:r>
      <w:r>
        <w:rPr>
          <w:rFonts w:ascii="Arial" w:hAnsi="Arial" w:cs="Arial" w:hint="eastAsia"/>
        </w:rPr>
        <w:t>Sun</w:t>
      </w:r>
      <w:proofErr w:type="gramEnd"/>
      <w:r>
        <w:rPr>
          <w:rFonts w:ascii="Arial" w:hAnsi="Arial" w:cs="Arial" w:hint="eastAsia"/>
        </w:rPr>
        <w:t>, H. (2023).Research on the Implementation Effect of Equity Incentives in GEM Companies - - Taking Company L as an example. Reviews of Adhesion and Adhesives, 11(2), 1</w:t>
      </w:r>
      <w:r>
        <w:rPr>
          <w:rFonts w:ascii="Arial" w:hAnsi="Arial" w:cs="Arial" w:hint="eastAsia"/>
        </w:rPr>
        <w:t>–</w:t>
      </w:r>
      <w:r>
        <w:rPr>
          <w:rFonts w:ascii="Arial" w:hAnsi="Arial" w:cs="Arial" w:hint="eastAsia"/>
        </w:rPr>
        <w:t xml:space="preserve">19. </w:t>
      </w:r>
      <w:hyperlink r:id="rId21" w:history="1">
        <w:r>
          <w:rPr>
            <w:rFonts w:ascii="Arial" w:hAnsi="Arial" w:cs="Arial" w:hint="eastAsia"/>
          </w:rPr>
          <w:t>https://doi.org/10.47750/RAA/11.2.01</w:t>
        </w:r>
      </w:hyperlink>
    </w:p>
    <w:p w:rsidR="0038333A" w:rsidRDefault="00335F70">
      <w:pPr>
        <w:jc w:val="both"/>
        <w:rPr>
          <w:rFonts w:ascii="Arial" w:hAnsi="Arial" w:cs="Arial"/>
        </w:rPr>
      </w:pPr>
      <w:r>
        <w:rPr>
          <w:rFonts w:ascii="Arial" w:hAnsi="Arial" w:cs="Arial"/>
        </w:rPr>
        <w:t xml:space="preserve">[10] Dong, J., Chen, R., &amp; Zhang, S. (2020). Does Hiring Professional Managers Improve the Performance of Farmer Cooperatives—An Empirical Analysis Based on the “Counterfactual” Framework. Economist. https://doi.org/10.16158/j.cnki.51-1312/f.2020.03.012 </w:t>
      </w:r>
    </w:p>
    <w:p w:rsidR="00B522D0" w:rsidRDefault="00335F70">
      <w:pPr>
        <w:jc w:val="both"/>
        <w:rPr>
          <w:rStyle w:val="Hyperlink"/>
          <w:rFonts w:ascii="Arial" w:hAnsi="Arial" w:cs="Arial"/>
          <w:color w:val="000000" w:themeColor="text1"/>
        </w:rPr>
      </w:pPr>
      <w:r>
        <w:rPr>
          <w:rFonts w:ascii="Arial" w:hAnsi="Arial" w:cs="Arial"/>
        </w:rPr>
        <w:t>[11]</w:t>
      </w:r>
      <w:r>
        <w:t xml:space="preserve"> </w:t>
      </w:r>
      <w:proofErr w:type="spellStart"/>
      <w:r>
        <w:rPr>
          <w:rFonts w:ascii="Arial" w:hAnsi="Arial" w:cs="Arial"/>
        </w:rPr>
        <w:t>Morck</w:t>
      </w:r>
      <w:proofErr w:type="spellEnd"/>
      <w:r>
        <w:rPr>
          <w:rFonts w:ascii="Arial" w:hAnsi="Arial" w:cs="Arial"/>
        </w:rPr>
        <w:t xml:space="preserve">, R., Shleifer, A., &amp; </w:t>
      </w:r>
      <w:proofErr w:type="spellStart"/>
      <w:r>
        <w:rPr>
          <w:rFonts w:ascii="Arial" w:hAnsi="Arial" w:cs="Arial"/>
        </w:rPr>
        <w:t>Vishny</w:t>
      </w:r>
      <w:proofErr w:type="spellEnd"/>
      <w:r>
        <w:rPr>
          <w:rFonts w:ascii="Arial" w:hAnsi="Arial" w:cs="Arial"/>
        </w:rPr>
        <w:t xml:space="preserve">, R. W. (1988). Management ownership and market valuation: An empirical analysis. Journal of Financial Economics, 20, 293-315. </w:t>
      </w:r>
      <w:hyperlink r:id="rId22" w:history="1">
        <w:r>
          <w:rPr>
            <w:rStyle w:val="Hyperlink"/>
            <w:rFonts w:ascii="Arial" w:hAnsi="Arial" w:cs="Arial"/>
            <w:color w:val="000000" w:themeColor="text1"/>
          </w:rPr>
          <w:t>https://doi.org/10.1016/0304-405x(88)90048-7</w:t>
        </w:r>
      </w:hyperlink>
    </w:p>
    <w:p w:rsidR="008723D0" w:rsidRDefault="00B522D0">
      <w:pPr>
        <w:jc w:val="both"/>
        <w:rPr>
          <w:rFonts w:ascii="Arial" w:hAnsi="Arial" w:cs="Arial"/>
          <w:color w:val="000000" w:themeColor="text1"/>
        </w:rPr>
      </w:pPr>
      <w:r>
        <w:rPr>
          <w:rFonts w:ascii="Arial" w:hAnsi="Arial" w:cs="Arial"/>
          <w:color w:val="000000" w:themeColor="text1"/>
        </w:rPr>
        <w:t xml:space="preserve">[12] </w:t>
      </w:r>
      <w:r w:rsidRPr="00B522D0">
        <w:rPr>
          <w:rFonts w:ascii="Arial" w:hAnsi="Arial" w:cs="Arial"/>
          <w:color w:val="000000" w:themeColor="text1"/>
        </w:rPr>
        <w:t xml:space="preserve">Sharma, H. K., &amp; Kumar, N. (2022). </w:t>
      </w:r>
      <w:proofErr w:type="spellStart"/>
      <w:r w:rsidRPr="00B522D0">
        <w:rPr>
          <w:rFonts w:ascii="Arial" w:hAnsi="Arial" w:cs="Arial"/>
          <w:color w:val="000000" w:themeColor="text1"/>
        </w:rPr>
        <w:t>Agro</w:t>
      </w:r>
      <w:proofErr w:type="spellEnd"/>
      <w:r w:rsidRPr="00B522D0">
        <w:rPr>
          <w:rFonts w:ascii="Arial" w:hAnsi="Arial" w:cs="Arial"/>
          <w:color w:val="000000" w:themeColor="text1"/>
        </w:rPr>
        <w:t xml:space="preserve"> processing: scope and importance. In </w:t>
      </w:r>
      <w:proofErr w:type="spellStart"/>
      <w:r w:rsidRPr="00B522D0">
        <w:rPr>
          <w:rFonts w:ascii="Arial" w:hAnsi="Arial" w:cs="Arial"/>
          <w:color w:val="000000" w:themeColor="text1"/>
        </w:rPr>
        <w:t>Agro</w:t>
      </w:r>
      <w:proofErr w:type="spellEnd"/>
      <w:r w:rsidRPr="00B522D0">
        <w:rPr>
          <w:rFonts w:ascii="Arial" w:hAnsi="Arial" w:cs="Arial"/>
          <w:color w:val="000000" w:themeColor="text1"/>
        </w:rPr>
        <w:t>-Processing and Food Engineering: Operational and Application Aspects (pp. 1-22). Singapore: Springer Singapore.</w:t>
      </w:r>
    </w:p>
    <w:p w:rsidR="0038333A" w:rsidRDefault="008723D0">
      <w:pPr>
        <w:jc w:val="both"/>
        <w:rPr>
          <w:rFonts w:ascii="Arial" w:hAnsi="Arial" w:cs="Arial"/>
          <w:color w:val="000000" w:themeColor="text1"/>
        </w:rPr>
      </w:pPr>
      <w:r>
        <w:rPr>
          <w:rFonts w:ascii="Arial" w:hAnsi="Arial" w:cs="Arial"/>
          <w:color w:val="000000" w:themeColor="text1"/>
        </w:rPr>
        <w:t>[13</w:t>
      </w:r>
      <w:proofErr w:type="gramStart"/>
      <w:r>
        <w:rPr>
          <w:rFonts w:ascii="Arial" w:hAnsi="Arial" w:cs="Arial"/>
          <w:color w:val="000000" w:themeColor="text1"/>
        </w:rPr>
        <w:t xml:space="preserve">] </w:t>
      </w:r>
      <w:r w:rsidR="00335F70">
        <w:rPr>
          <w:rFonts w:ascii="Arial" w:hAnsi="Arial" w:cs="Arial"/>
          <w:color w:val="000000" w:themeColor="text1"/>
        </w:rPr>
        <w:t xml:space="preserve"> </w:t>
      </w:r>
      <w:proofErr w:type="spellStart"/>
      <w:r w:rsidR="00C33794" w:rsidRPr="00C33794">
        <w:rPr>
          <w:rFonts w:ascii="Arial" w:hAnsi="Arial" w:cs="Arial"/>
          <w:color w:val="000000" w:themeColor="text1"/>
        </w:rPr>
        <w:t>Bharatkumar</w:t>
      </w:r>
      <w:proofErr w:type="spellEnd"/>
      <w:proofErr w:type="gramEnd"/>
      <w:r w:rsidR="00C33794" w:rsidRPr="00C33794">
        <w:rPr>
          <w:rFonts w:ascii="Arial" w:hAnsi="Arial" w:cs="Arial"/>
          <w:color w:val="000000" w:themeColor="text1"/>
        </w:rPr>
        <w:t>, D. P., Khatun, P., Kumar, C., &amp; Yadav, A. K. (2023). Role of agriculture processing in export growth of agricultural products. Journal of Current Research in Food Science, 4(1), 49-56.</w:t>
      </w:r>
    </w:p>
    <w:p w:rsidR="00C33794" w:rsidRDefault="00C33794">
      <w:pPr>
        <w:jc w:val="both"/>
        <w:rPr>
          <w:rFonts w:ascii="Arial" w:hAnsi="Arial" w:cs="Arial"/>
          <w:color w:val="000000" w:themeColor="text1"/>
        </w:rPr>
      </w:pPr>
      <w:r>
        <w:rPr>
          <w:rFonts w:ascii="Arial" w:hAnsi="Arial" w:cs="Arial"/>
          <w:color w:val="000000" w:themeColor="text1"/>
        </w:rPr>
        <w:t xml:space="preserve">[14] </w:t>
      </w:r>
      <w:r w:rsidRPr="00C33794">
        <w:rPr>
          <w:rFonts w:ascii="Arial" w:hAnsi="Arial" w:cs="Arial"/>
          <w:color w:val="000000" w:themeColor="text1"/>
        </w:rPr>
        <w:t xml:space="preserve">Hao, S., Liu, L., &amp; Wang, G. (2025). </w:t>
      </w:r>
      <w:proofErr w:type="spellStart"/>
      <w:r w:rsidRPr="00C33794">
        <w:rPr>
          <w:rFonts w:ascii="Arial" w:hAnsi="Arial" w:cs="Arial"/>
          <w:color w:val="000000" w:themeColor="text1"/>
        </w:rPr>
        <w:t>Spatio</w:t>
      </w:r>
      <w:proofErr w:type="spellEnd"/>
      <w:r w:rsidRPr="00C33794">
        <w:rPr>
          <w:rFonts w:ascii="Arial" w:hAnsi="Arial" w:cs="Arial"/>
          <w:color w:val="000000" w:themeColor="text1"/>
        </w:rPr>
        <w:t xml:space="preserve">-temporal evolution and driving factors of China’s </w:t>
      </w:r>
      <w:proofErr w:type="spellStart"/>
      <w:r w:rsidRPr="00C33794">
        <w:rPr>
          <w:rFonts w:ascii="Arial" w:hAnsi="Arial" w:cs="Arial"/>
          <w:color w:val="000000" w:themeColor="text1"/>
        </w:rPr>
        <w:t>agro</w:t>
      </w:r>
      <w:proofErr w:type="spellEnd"/>
      <w:r w:rsidRPr="00C33794">
        <w:rPr>
          <w:rFonts w:ascii="Arial" w:hAnsi="Arial" w:cs="Arial"/>
          <w:color w:val="000000" w:themeColor="text1"/>
        </w:rPr>
        <w:t>-processing industry. Frontiers in Sustainable Food Systems, 9, 1685935.</w:t>
      </w:r>
    </w:p>
    <w:p w:rsidR="00DB4CCE" w:rsidRDefault="00DB4CCE">
      <w:pPr>
        <w:jc w:val="both"/>
        <w:rPr>
          <w:rFonts w:ascii="Arial" w:hAnsi="Arial" w:cs="Arial"/>
          <w:color w:val="000000" w:themeColor="text1"/>
        </w:rPr>
      </w:pPr>
      <w:r>
        <w:rPr>
          <w:rFonts w:ascii="Arial" w:hAnsi="Arial" w:cs="Arial"/>
          <w:color w:val="000000" w:themeColor="text1"/>
        </w:rPr>
        <w:t xml:space="preserve">[15] </w:t>
      </w:r>
      <w:r w:rsidRPr="00DB4CCE">
        <w:rPr>
          <w:rFonts w:ascii="Arial" w:hAnsi="Arial" w:cs="Arial"/>
          <w:color w:val="000000" w:themeColor="text1"/>
        </w:rPr>
        <w:t xml:space="preserve">Lu, H., Li, Q., Liu, B., Chi, Z., &amp; Ye, Y. (2023). Research on the dynamic changes of China’s </w:t>
      </w:r>
      <w:proofErr w:type="spellStart"/>
      <w:r w:rsidRPr="00DB4CCE">
        <w:rPr>
          <w:rFonts w:ascii="Arial" w:hAnsi="Arial" w:cs="Arial"/>
          <w:color w:val="000000" w:themeColor="text1"/>
        </w:rPr>
        <w:t>agro</w:t>
      </w:r>
      <w:proofErr w:type="spellEnd"/>
      <w:r w:rsidRPr="00DB4CCE">
        <w:rPr>
          <w:rFonts w:ascii="Arial" w:hAnsi="Arial" w:cs="Arial"/>
          <w:color w:val="000000" w:themeColor="text1"/>
        </w:rPr>
        <w:t xml:space="preserve">-processing industry agglomeration and spatial impact of production factors on agglomeration. </w:t>
      </w:r>
      <w:proofErr w:type="spellStart"/>
      <w:r w:rsidRPr="00DB4CCE">
        <w:rPr>
          <w:rFonts w:ascii="Arial" w:hAnsi="Arial" w:cs="Arial"/>
          <w:color w:val="000000" w:themeColor="text1"/>
        </w:rPr>
        <w:t>Plos</w:t>
      </w:r>
      <w:proofErr w:type="spellEnd"/>
      <w:r w:rsidRPr="00DB4CCE">
        <w:rPr>
          <w:rFonts w:ascii="Arial" w:hAnsi="Arial" w:cs="Arial"/>
          <w:color w:val="000000" w:themeColor="text1"/>
        </w:rPr>
        <w:t xml:space="preserve"> one, 18(12), e0292870.</w:t>
      </w:r>
    </w:p>
    <w:p w:rsidR="00C33794" w:rsidRDefault="00C33794">
      <w:pPr>
        <w:jc w:val="both"/>
        <w:rPr>
          <w:rFonts w:ascii="Arial" w:hAnsi="Arial" w:cs="Arial"/>
          <w:b/>
        </w:rPr>
      </w:pPr>
    </w:p>
    <w:sectPr w:rsidR="00C33794">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F70" w:rsidRDefault="00335F70">
      <w:r>
        <w:separator/>
      </w:r>
    </w:p>
  </w:endnote>
  <w:endnote w:type="continuationSeparator" w:id="0">
    <w:p w:rsidR="00335F70" w:rsidRDefault="0033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8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8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83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8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F70" w:rsidRDefault="00335F70">
      <w:r>
        <w:separator/>
      </w:r>
    </w:p>
  </w:footnote>
  <w:footnote w:type="continuationSeparator" w:id="0">
    <w:p w:rsidR="00335F70" w:rsidRDefault="0033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94AB8">
    <w:pPr>
      <w:pStyle w:val="Header"/>
    </w:pPr>
    <w:r>
      <w:pict w14:anchorId="2538F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7"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94AB8">
    <w:pPr>
      <w:pStyle w:val="Header"/>
    </w:pPr>
    <w:r>
      <w:pict w14:anchorId="3FE87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8"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94AB8">
    <w:pPr>
      <w:ind w:left="2160"/>
      <w:jc w:val="center"/>
      <w:rPr>
        <w:rFonts w:ascii="Times New Roman" w:eastAsia="Calibri" w:hAnsi="Times New Roman"/>
        <w:i/>
        <w:sz w:val="18"/>
        <w:szCs w:val="22"/>
      </w:rPr>
    </w:pPr>
    <w:r>
      <w:pict w14:anchorId="0B31A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6"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38333A" w:rsidRDefault="00335F7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38333A" w:rsidRDefault="00335F70">
    <w:pPr>
      <w:jc w:val="center"/>
      <w:rPr>
        <w:rFonts w:ascii="Times New Roman" w:eastAsia="Calibri" w:hAnsi="Times New Roman"/>
        <w:i/>
        <w:sz w:val="18"/>
        <w:szCs w:val="22"/>
      </w:rPr>
    </w:pPr>
    <w:r>
      <w:rPr>
        <w:rFonts w:ascii="Times New Roman" w:eastAsia="Calibri" w:hAnsi="Times New Roman"/>
        <w:i/>
        <w:sz w:val="18"/>
        <w:szCs w:val="22"/>
      </w:rPr>
      <w:t>.</w:t>
    </w:r>
  </w:p>
  <w:p w:rsidR="0038333A" w:rsidRDefault="00335F7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38333A" w:rsidRDefault="00335F70">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38333A" w:rsidRDefault="00335F7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38333A" w:rsidRDefault="00335F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94AB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10"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94AB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11"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3A" w:rsidRDefault="00394AB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9"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 w15:restartNumberingAfterBreak="0">
    <w:nsid w:val="72E62239"/>
    <w:multiLevelType w:val="multilevel"/>
    <w:tmpl w:val="72E622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MzI2NrS0NLYwMzdV0lEKTi0uzszPAykwrAUATMds2ywAAAA="/>
  </w:docVars>
  <w:rsids>
    <w:rsidRoot w:val="00AA6219"/>
    <w:rsid w:val="00000F8F"/>
    <w:rsid w:val="00030174"/>
    <w:rsid w:val="0004579C"/>
    <w:rsid w:val="000A47FA"/>
    <w:rsid w:val="000A65D3"/>
    <w:rsid w:val="000B1E33"/>
    <w:rsid w:val="000D29F6"/>
    <w:rsid w:val="000D689F"/>
    <w:rsid w:val="000E7B7B"/>
    <w:rsid w:val="000E7D62"/>
    <w:rsid w:val="000F0C8C"/>
    <w:rsid w:val="00103357"/>
    <w:rsid w:val="00123C9F"/>
    <w:rsid w:val="00126190"/>
    <w:rsid w:val="00126E65"/>
    <w:rsid w:val="00130F17"/>
    <w:rsid w:val="001320BF"/>
    <w:rsid w:val="00132324"/>
    <w:rsid w:val="0014366D"/>
    <w:rsid w:val="00163BC4"/>
    <w:rsid w:val="00172755"/>
    <w:rsid w:val="00191062"/>
    <w:rsid w:val="00192B72"/>
    <w:rsid w:val="001A29D8"/>
    <w:rsid w:val="001A5CAA"/>
    <w:rsid w:val="001B0427"/>
    <w:rsid w:val="001D3A51"/>
    <w:rsid w:val="001E10D2"/>
    <w:rsid w:val="001E25B4"/>
    <w:rsid w:val="001E44FE"/>
    <w:rsid w:val="00200595"/>
    <w:rsid w:val="00204835"/>
    <w:rsid w:val="00231920"/>
    <w:rsid w:val="0023195C"/>
    <w:rsid w:val="00233926"/>
    <w:rsid w:val="0024282C"/>
    <w:rsid w:val="002460DC"/>
    <w:rsid w:val="00250985"/>
    <w:rsid w:val="002556F6"/>
    <w:rsid w:val="00283105"/>
    <w:rsid w:val="00284C4C"/>
    <w:rsid w:val="00287E68"/>
    <w:rsid w:val="00290BF7"/>
    <w:rsid w:val="00296529"/>
    <w:rsid w:val="002B27FB"/>
    <w:rsid w:val="002B685A"/>
    <w:rsid w:val="002C57D2"/>
    <w:rsid w:val="002E0D56"/>
    <w:rsid w:val="00315186"/>
    <w:rsid w:val="0033343E"/>
    <w:rsid w:val="00335F70"/>
    <w:rsid w:val="003512C2"/>
    <w:rsid w:val="003673FB"/>
    <w:rsid w:val="00371FB6"/>
    <w:rsid w:val="003763C1"/>
    <w:rsid w:val="00376BBE"/>
    <w:rsid w:val="0038333A"/>
    <w:rsid w:val="0039224F"/>
    <w:rsid w:val="00394AB8"/>
    <w:rsid w:val="003A43A4"/>
    <w:rsid w:val="003A7E18"/>
    <w:rsid w:val="003C4C86"/>
    <w:rsid w:val="003C6258"/>
    <w:rsid w:val="003E2904"/>
    <w:rsid w:val="00401927"/>
    <w:rsid w:val="00401D6C"/>
    <w:rsid w:val="0041027F"/>
    <w:rsid w:val="00412475"/>
    <w:rsid w:val="00423789"/>
    <w:rsid w:val="00440F43"/>
    <w:rsid w:val="00441B6F"/>
    <w:rsid w:val="00446221"/>
    <w:rsid w:val="00450E62"/>
    <w:rsid w:val="004539DB"/>
    <w:rsid w:val="00471A80"/>
    <w:rsid w:val="004D305E"/>
    <w:rsid w:val="004D4277"/>
    <w:rsid w:val="004E2385"/>
    <w:rsid w:val="00502516"/>
    <w:rsid w:val="00505D55"/>
    <w:rsid w:val="00505F06"/>
    <w:rsid w:val="00506828"/>
    <w:rsid w:val="0053056E"/>
    <w:rsid w:val="00554FDA"/>
    <w:rsid w:val="0056672E"/>
    <w:rsid w:val="005C2F3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5A1"/>
    <w:rsid w:val="006F11EC"/>
    <w:rsid w:val="0070082C"/>
    <w:rsid w:val="007369E6"/>
    <w:rsid w:val="00746E59"/>
    <w:rsid w:val="00754C9A"/>
    <w:rsid w:val="0075599A"/>
    <w:rsid w:val="00761D52"/>
    <w:rsid w:val="0077749E"/>
    <w:rsid w:val="00790ADA"/>
    <w:rsid w:val="00796AFE"/>
    <w:rsid w:val="007A4B0C"/>
    <w:rsid w:val="007D2288"/>
    <w:rsid w:val="007E088F"/>
    <w:rsid w:val="007F7B32"/>
    <w:rsid w:val="00804BC2"/>
    <w:rsid w:val="0081431A"/>
    <w:rsid w:val="0083216F"/>
    <w:rsid w:val="00860000"/>
    <w:rsid w:val="00863BD3"/>
    <w:rsid w:val="008641ED"/>
    <w:rsid w:val="00866D66"/>
    <w:rsid w:val="008671C6"/>
    <w:rsid w:val="008723D0"/>
    <w:rsid w:val="00875803"/>
    <w:rsid w:val="008B459E"/>
    <w:rsid w:val="008E13AE"/>
    <w:rsid w:val="008E1506"/>
    <w:rsid w:val="008E335C"/>
    <w:rsid w:val="008E710C"/>
    <w:rsid w:val="008F69D6"/>
    <w:rsid w:val="00902823"/>
    <w:rsid w:val="00915CA6"/>
    <w:rsid w:val="00927834"/>
    <w:rsid w:val="009500A6"/>
    <w:rsid w:val="00957C18"/>
    <w:rsid w:val="009659BA"/>
    <w:rsid w:val="00983040"/>
    <w:rsid w:val="009A2B9E"/>
    <w:rsid w:val="009B3FB9"/>
    <w:rsid w:val="009C2465"/>
    <w:rsid w:val="009D35A0"/>
    <w:rsid w:val="009D7EB7"/>
    <w:rsid w:val="009E048A"/>
    <w:rsid w:val="009E08E9"/>
    <w:rsid w:val="009E3DB9"/>
    <w:rsid w:val="009E6E35"/>
    <w:rsid w:val="009F0EDA"/>
    <w:rsid w:val="00A03B96"/>
    <w:rsid w:val="00A03EA3"/>
    <w:rsid w:val="00A05B19"/>
    <w:rsid w:val="00A1134E"/>
    <w:rsid w:val="00A24E7E"/>
    <w:rsid w:val="00A258C3"/>
    <w:rsid w:val="00A347C0"/>
    <w:rsid w:val="00A41443"/>
    <w:rsid w:val="00A51431"/>
    <w:rsid w:val="00A539AD"/>
    <w:rsid w:val="00A7727C"/>
    <w:rsid w:val="00A94063"/>
    <w:rsid w:val="00AA6219"/>
    <w:rsid w:val="00AA74E0"/>
    <w:rsid w:val="00AB703F"/>
    <w:rsid w:val="00AC6BB8"/>
    <w:rsid w:val="00AD1E1E"/>
    <w:rsid w:val="00AE008F"/>
    <w:rsid w:val="00B01FCD"/>
    <w:rsid w:val="00B1776C"/>
    <w:rsid w:val="00B25F10"/>
    <w:rsid w:val="00B522D0"/>
    <w:rsid w:val="00B52583"/>
    <w:rsid w:val="00B52896"/>
    <w:rsid w:val="00B95236"/>
    <w:rsid w:val="00B96BD9"/>
    <w:rsid w:val="00BA1B01"/>
    <w:rsid w:val="00BA2641"/>
    <w:rsid w:val="00BB37AA"/>
    <w:rsid w:val="00BC53A0"/>
    <w:rsid w:val="00BE62AD"/>
    <w:rsid w:val="00BF121F"/>
    <w:rsid w:val="00BF1F80"/>
    <w:rsid w:val="00C16666"/>
    <w:rsid w:val="00C166EF"/>
    <w:rsid w:val="00C17EB0"/>
    <w:rsid w:val="00C27F5F"/>
    <w:rsid w:val="00C3002C"/>
    <w:rsid w:val="00C30A0F"/>
    <w:rsid w:val="00C33794"/>
    <w:rsid w:val="00C37E61"/>
    <w:rsid w:val="00C64EDF"/>
    <w:rsid w:val="00C70F1B"/>
    <w:rsid w:val="00C71A47"/>
    <w:rsid w:val="00C7464C"/>
    <w:rsid w:val="00C85588"/>
    <w:rsid w:val="00CA684A"/>
    <w:rsid w:val="00CD6755"/>
    <w:rsid w:val="00CD6856"/>
    <w:rsid w:val="00CE0089"/>
    <w:rsid w:val="00CE793C"/>
    <w:rsid w:val="00CF193C"/>
    <w:rsid w:val="00D173F1"/>
    <w:rsid w:val="00D74CB0"/>
    <w:rsid w:val="00D76CF6"/>
    <w:rsid w:val="00D8295D"/>
    <w:rsid w:val="00DB4CCE"/>
    <w:rsid w:val="00DC2A65"/>
    <w:rsid w:val="00DE15F0"/>
    <w:rsid w:val="00DE5663"/>
    <w:rsid w:val="00DE78AA"/>
    <w:rsid w:val="00E053D0"/>
    <w:rsid w:val="00E15994"/>
    <w:rsid w:val="00E3114E"/>
    <w:rsid w:val="00E31A70"/>
    <w:rsid w:val="00E35B02"/>
    <w:rsid w:val="00E66496"/>
    <w:rsid w:val="00E66B35"/>
    <w:rsid w:val="00E66E10"/>
    <w:rsid w:val="00E769F6"/>
    <w:rsid w:val="00E77F7E"/>
    <w:rsid w:val="00E83CB9"/>
    <w:rsid w:val="00E8407C"/>
    <w:rsid w:val="00E84F3C"/>
    <w:rsid w:val="00EA012C"/>
    <w:rsid w:val="00EC6A55"/>
    <w:rsid w:val="00ED0288"/>
    <w:rsid w:val="00EE52CB"/>
    <w:rsid w:val="00EF581D"/>
    <w:rsid w:val="00EF7FD8"/>
    <w:rsid w:val="00F06F59"/>
    <w:rsid w:val="00F17988"/>
    <w:rsid w:val="00F4650E"/>
    <w:rsid w:val="00F469F0"/>
    <w:rsid w:val="00F53273"/>
    <w:rsid w:val="00F755E4"/>
    <w:rsid w:val="00F77D02"/>
    <w:rsid w:val="00FB3A86"/>
    <w:rsid w:val="00FC7E34"/>
    <w:rsid w:val="00FD36C8"/>
    <w:rsid w:val="03D047A4"/>
    <w:rsid w:val="05086761"/>
    <w:rsid w:val="32B503F2"/>
    <w:rsid w:val="523061C0"/>
    <w:rsid w:val="5D1B28F0"/>
    <w:rsid w:val="73F8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F1A8B57"/>
  <w15:docId w15:val="{B543EFEA-351A-487B-B7F0-A9830C45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07/s10490-025-10042-4"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doi.org/10.47750/RAA/11.2.0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andfonline.com/doi/full/10.1080/10971475.2024.2408072"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oi.org/10.1016/j.landusepol.2020.104788" TargetMode="External"/><Relationship Id="rId20" Type="http://schemas.openxmlformats.org/officeDocument/2006/relationships/hyperlink" Target="https://doi.org/10.1080/1351847X.2024.23648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doi.org/10.1108/IJOPM-01-2025-0066"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108/IJMF-09-2021-045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0304-405x(88)90048-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A49B0-8C31-4EB1-ADB0-F4E9C955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TotalTime>
  <Pages>9</Pages>
  <Words>5224</Words>
  <Characters>34918</Characters>
  <Application>Microsoft Office Word</Application>
  <DocSecurity>0</DocSecurity>
  <Lines>290</Lines>
  <Paragraphs>80</Paragraphs>
  <ScaleCrop>false</ScaleCrop>
  <Company>aaaa</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25</cp:revision>
  <cp:lastPrinted>1999-07-06T11:00:00Z</cp:lastPrinted>
  <dcterms:created xsi:type="dcterms:W3CDTF">2025-12-22T10:03:00Z</dcterms:created>
  <dcterms:modified xsi:type="dcterms:W3CDTF">2026-01-29T12:20:00Z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eyJoZGlkIjoiZGVhZDlhZDBhZDI0ZTU4ODZkMzBlNjViYzZmMTg2MmEiLCJ1c2VySWQiOiIxMzk0Mjc1ODc1In0=</vt:lpwstr>
  </property>
  <property fmtid="{D5CDD505-2E9C-101B-9397-08002B2CF9AE}" pid="3" name="KSOProductBuildVer">
    <vt:lpwstr>2052-12.1.0.24657</vt:lpwstr>
  </property>
  <property fmtid="{D5CDD505-2E9C-101B-9397-08002B2CF9AE}" pid="4" name="ICV">
    <vt:lpwstr>8B60181443EA4A76A864C3F2205BA0F8_12</vt:lpwstr>
  </property>
</Properties>
</file>