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6BF4D" w14:textId="72FB40B8" w:rsidR="007945AB" w:rsidRDefault="007945AB" w:rsidP="00E84598">
      <w:pPr>
        <w:jc w:val="both"/>
        <w:rPr>
          <w:rFonts w:ascii="Arial" w:hAnsi="Arial" w:cs="Arial"/>
          <w:b/>
          <w:bCs/>
          <w:sz w:val="24"/>
          <w:szCs w:val="24"/>
        </w:rPr>
      </w:pPr>
      <w:bookmarkStart w:id="0" w:name="_Hlk216949287"/>
      <w:r w:rsidRPr="007945AB">
        <w:rPr>
          <w:rFonts w:ascii="Arial" w:hAnsi="Arial" w:cs="Arial"/>
          <w:b/>
          <w:bCs/>
          <w:sz w:val="24"/>
          <w:szCs w:val="24"/>
        </w:rPr>
        <w:t>Original Research Article</w:t>
      </w:r>
    </w:p>
    <w:p w14:paraId="11EAACFE" w14:textId="77777777" w:rsidR="007945AB" w:rsidRDefault="007945AB" w:rsidP="00E84598">
      <w:pPr>
        <w:jc w:val="both"/>
        <w:rPr>
          <w:rFonts w:ascii="Arial" w:hAnsi="Arial" w:cs="Arial"/>
          <w:b/>
          <w:bCs/>
          <w:sz w:val="24"/>
          <w:szCs w:val="24"/>
          <w:highlight w:val="yellow"/>
        </w:rPr>
      </w:pPr>
    </w:p>
    <w:p w14:paraId="78613CEF" w14:textId="69F5B341" w:rsidR="00E84598" w:rsidRPr="00341FB3" w:rsidRDefault="00E84598" w:rsidP="00E84598">
      <w:pPr>
        <w:jc w:val="both"/>
        <w:rPr>
          <w:rFonts w:ascii="Arial" w:hAnsi="Arial" w:cs="Arial"/>
          <w:b/>
          <w:bCs/>
          <w:sz w:val="24"/>
          <w:szCs w:val="24"/>
          <w:highlight w:val="yellow"/>
        </w:rPr>
      </w:pPr>
      <w:r w:rsidRPr="00341FB3">
        <w:rPr>
          <w:rFonts w:ascii="Arial" w:hAnsi="Arial" w:cs="Arial"/>
          <w:b/>
          <w:bCs/>
          <w:sz w:val="24"/>
          <w:szCs w:val="24"/>
          <w:highlight w:val="yellow"/>
        </w:rPr>
        <w:t>ANALYSIS OF REGIONAL DEVELOPMENT STRATEGIES BASED ON LEADING SECTORS IN BABUSSALAM SUB-DISTRICT, ACEH TENGGARA REGENCY</w:t>
      </w:r>
    </w:p>
    <w:bookmarkEnd w:id="0"/>
    <w:p w14:paraId="489FBEDB" w14:textId="77777777" w:rsidR="00E84598" w:rsidRPr="00341FB3" w:rsidRDefault="00E84598" w:rsidP="00E84598">
      <w:pPr>
        <w:jc w:val="both"/>
        <w:rPr>
          <w:rFonts w:ascii="Arial" w:hAnsi="Arial" w:cs="Arial"/>
          <w:b/>
          <w:bCs/>
          <w:sz w:val="24"/>
          <w:szCs w:val="24"/>
          <w:highlight w:val="yellow"/>
        </w:rPr>
      </w:pPr>
      <w:r w:rsidRPr="00341FB3">
        <w:rPr>
          <w:rFonts w:ascii="Arial" w:hAnsi="Arial" w:cs="Arial"/>
          <w:b/>
          <w:bCs/>
          <w:sz w:val="24"/>
          <w:szCs w:val="24"/>
          <w:highlight w:val="yellow"/>
        </w:rPr>
        <w:t>Abstract</w:t>
      </w:r>
    </w:p>
    <w:p w14:paraId="3369A1BD"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 xml:space="preserve">This study identifies leading economic sectors and formulates regional development strategies for Babussalam Sub-district, Aceh Tenggara Regency, Indonesia. Using secondary GRDP data (2020–2024) and stakeholder interviews, we apply the Location Quotient (LQ), Klassen typology, and SWOT analysis. Results show that agriculture remains the backbone of the sub-district economy, increasing from IDR 125.75 to 133.09 billion and contributing 39.58–42.03% of GRDP, with an LQ around 1.00 (near parity) during 2020–2024, indicating a comparative advantage that is present but increasingly thin. Wholesale and retail trade </w:t>
      </w:r>
      <w:proofErr w:type="gramStart"/>
      <w:r w:rsidRPr="00341FB3">
        <w:rPr>
          <w:rFonts w:ascii="Arial" w:hAnsi="Arial" w:cs="Arial"/>
          <w:sz w:val="24"/>
          <w:szCs w:val="24"/>
          <w:highlight w:val="yellow"/>
        </w:rPr>
        <w:t>grows</w:t>
      </w:r>
      <w:proofErr w:type="gramEnd"/>
      <w:r w:rsidRPr="00341FB3">
        <w:rPr>
          <w:rFonts w:ascii="Arial" w:hAnsi="Arial" w:cs="Arial"/>
          <w:sz w:val="24"/>
          <w:szCs w:val="24"/>
          <w:highlight w:val="yellow"/>
        </w:rPr>
        <w:t xml:space="preserve"> steadily (IDR 40.40–47.98 billion; 13.50–14.74% of GRDP) and remains a base sector during 2020–2024, reaching Quadrant I in 2023, while transportation and warehousing fluctuates around parity (LQ ≈ 1.00), being classified as a base sector in 2020 and 2023 and as non-base in 2021, 2022, and 2024. SWOT findings indicate that priority strategies include strengthening roads, warehousing, and logistics to expand market access; enhancing farmer capacity and sustainable agricultural technologies to raise productivity; and diversifying the local economy through nature-based tourism that leverages the Gunung Leuser National Park. These findings provide evidence-based priorities for place-based planning and local economic transformation.</w:t>
      </w:r>
    </w:p>
    <w:p w14:paraId="766EA2C1" w14:textId="77777777" w:rsidR="00E84598" w:rsidRPr="00341FB3" w:rsidRDefault="00E84598" w:rsidP="00E84598">
      <w:pPr>
        <w:jc w:val="both"/>
        <w:rPr>
          <w:rFonts w:ascii="Arial" w:hAnsi="Arial" w:cs="Arial"/>
          <w:sz w:val="24"/>
          <w:szCs w:val="24"/>
          <w:highlight w:val="yellow"/>
        </w:rPr>
      </w:pPr>
      <w:r w:rsidRPr="00341FB3">
        <w:rPr>
          <w:rFonts w:ascii="Arial" w:hAnsi="Arial" w:cs="Arial"/>
          <w:b/>
          <w:bCs/>
          <w:sz w:val="24"/>
          <w:szCs w:val="24"/>
          <w:highlight w:val="yellow"/>
        </w:rPr>
        <w:t>Keywords:</w:t>
      </w:r>
      <w:r w:rsidRPr="00341FB3">
        <w:rPr>
          <w:rFonts w:ascii="Arial" w:hAnsi="Arial" w:cs="Arial"/>
          <w:sz w:val="24"/>
          <w:szCs w:val="24"/>
          <w:highlight w:val="yellow"/>
        </w:rPr>
        <w:t xml:space="preserve"> Regional development, leading sectors, Location Quotient (LQ), Klassen Typology, </w:t>
      </w:r>
      <w:proofErr w:type="spellStart"/>
      <w:r w:rsidRPr="00341FB3">
        <w:rPr>
          <w:rFonts w:ascii="Arial" w:hAnsi="Arial" w:cs="Arial"/>
          <w:sz w:val="24"/>
          <w:szCs w:val="24"/>
          <w:highlight w:val="yellow"/>
        </w:rPr>
        <w:t>Babussalam</w:t>
      </w:r>
      <w:proofErr w:type="spellEnd"/>
      <w:r w:rsidRPr="00341FB3">
        <w:rPr>
          <w:rFonts w:ascii="Arial" w:hAnsi="Arial" w:cs="Arial"/>
          <w:sz w:val="24"/>
          <w:szCs w:val="24"/>
          <w:highlight w:val="yellow"/>
        </w:rPr>
        <w:t>, Aceh Tenggara.</w:t>
      </w:r>
    </w:p>
    <w:p w14:paraId="0D66B0D1" w14:textId="77777777" w:rsidR="00E84598" w:rsidRPr="00341FB3" w:rsidRDefault="00E84598" w:rsidP="00E84598">
      <w:pPr>
        <w:jc w:val="both"/>
        <w:rPr>
          <w:rFonts w:ascii="Arial" w:hAnsi="Arial" w:cs="Arial"/>
          <w:sz w:val="24"/>
          <w:szCs w:val="24"/>
          <w:highlight w:val="yellow"/>
        </w:rPr>
      </w:pPr>
    </w:p>
    <w:p w14:paraId="3799E837" w14:textId="77777777" w:rsidR="00E84598" w:rsidRPr="00341FB3" w:rsidRDefault="00E84598" w:rsidP="00E84598">
      <w:pPr>
        <w:jc w:val="both"/>
        <w:rPr>
          <w:rFonts w:ascii="Arial" w:hAnsi="Arial" w:cs="Arial"/>
          <w:b/>
          <w:bCs/>
          <w:sz w:val="24"/>
          <w:szCs w:val="24"/>
          <w:highlight w:val="yellow"/>
        </w:rPr>
      </w:pPr>
      <w:r w:rsidRPr="00341FB3">
        <w:rPr>
          <w:rFonts w:ascii="Arial" w:hAnsi="Arial" w:cs="Arial"/>
          <w:b/>
          <w:bCs/>
          <w:sz w:val="24"/>
          <w:szCs w:val="24"/>
          <w:highlight w:val="yellow"/>
        </w:rPr>
        <w:t>I. Introduction</w:t>
      </w:r>
    </w:p>
    <w:p w14:paraId="266E58DA"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 xml:space="preserve">Regional development is a key instrument for improving community welfare through the effective utilization of local potential. In Aceh Tenggara Regency, leading sectors such as agriculture and trade have considerable potential but have not yet been optimized. Therefore, it is essential to </w:t>
      </w:r>
      <w:proofErr w:type="spellStart"/>
      <w:r w:rsidRPr="00341FB3">
        <w:rPr>
          <w:rFonts w:ascii="Arial" w:hAnsi="Arial" w:cs="Arial"/>
          <w:sz w:val="24"/>
          <w:szCs w:val="24"/>
          <w:highlight w:val="yellow"/>
        </w:rPr>
        <w:t>analyze</w:t>
      </w:r>
      <w:proofErr w:type="spellEnd"/>
      <w:r w:rsidRPr="00341FB3">
        <w:rPr>
          <w:rFonts w:ascii="Arial" w:hAnsi="Arial" w:cs="Arial"/>
          <w:sz w:val="24"/>
          <w:szCs w:val="24"/>
          <w:highlight w:val="yellow"/>
        </w:rPr>
        <w:t xml:space="preserve"> these sectors in order to formulate development strategies that are grounded in local strengths (Puspita et al., 2017).</w:t>
      </w:r>
    </w:p>
    <w:p w14:paraId="725378FC"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Babussalam Sub-district holds a strategic role as the economic and administrative center of Aceh Tenggara. However, key sectors such as agriculture remain largely dependent on traditional methods, and limited infrastructure constrains their growth (Novita et al., 2023). Location Quotient (LQ) analysis can assist in identifying leading sectors that require greater attention within regional development planning (Hidayat &amp; Darwin, 2017).</w:t>
      </w:r>
    </w:p>
    <w:p w14:paraId="07555AEE"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 xml:space="preserve">LQ enables policymakers to map sectors that possess comparative advantages and thus have stronger potential for further development. It provides an overview of sectors that are more dominant locally than in other regions, which indicates substantial opportunities for growth (Maspaitella et al., 2021). In addition, the Klassen Typology is </w:t>
      </w:r>
      <w:r w:rsidRPr="00341FB3">
        <w:rPr>
          <w:rFonts w:ascii="Arial" w:hAnsi="Arial" w:cs="Arial"/>
          <w:sz w:val="24"/>
          <w:szCs w:val="24"/>
          <w:highlight w:val="yellow"/>
        </w:rPr>
        <w:lastRenderedPageBreak/>
        <w:t>used to describe the position of each sector in the economic structure based on its contribution and growth rate (Simanjuntak, 2025). Recent regional studies have combined LQ, shift-share, and Klassen typology to map sectoral competitiveness and growth patterns and to support evidence-based regional policy design in Indonesia (Harjanti et al., 2021; Maspaitella et al., 2021; Kharisma et al., 2021). Comparable applications of this integrated approach can be found in recent studies at city and provincial levels, including Medan (Manik et al., 2025), Pekanbaru (Fadhilah, 2023), Aceh Province (Husna &amp; Husein, 2023), and Depok (Rahman et al., 2024).</w:t>
      </w:r>
    </w:p>
    <w:p w14:paraId="708E07D7"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 xml:space="preserve">The Klassen Typology helps classify sectors according to their contribution to Gross Regional Domestic Product (GRDP) and their growth rates. This classification enables planners to prioritize sectors that are not only dominant but also exhibit high growth potential (Putra &amp; </w:t>
      </w:r>
      <w:proofErr w:type="spellStart"/>
      <w:r w:rsidRPr="00341FB3">
        <w:rPr>
          <w:rFonts w:ascii="Arial" w:hAnsi="Arial" w:cs="Arial"/>
          <w:sz w:val="24"/>
          <w:szCs w:val="24"/>
          <w:highlight w:val="yellow"/>
        </w:rPr>
        <w:t>Kasmiati</w:t>
      </w:r>
      <w:proofErr w:type="spellEnd"/>
      <w:r w:rsidRPr="00341FB3">
        <w:rPr>
          <w:rFonts w:ascii="Arial" w:hAnsi="Arial" w:cs="Arial"/>
          <w:sz w:val="24"/>
          <w:szCs w:val="24"/>
          <w:highlight w:val="yellow"/>
        </w:rPr>
        <w:t xml:space="preserve">, 2018). In the </w:t>
      </w:r>
      <w:proofErr w:type="spellStart"/>
      <w:r w:rsidRPr="00341FB3">
        <w:rPr>
          <w:rFonts w:ascii="Arial" w:hAnsi="Arial" w:cs="Arial"/>
          <w:sz w:val="24"/>
          <w:szCs w:val="24"/>
          <w:highlight w:val="yellow"/>
        </w:rPr>
        <w:t>Babussalam</w:t>
      </w:r>
      <w:proofErr w:type="spellEnd"/>
      <w:r w:rsidRPr="00341FB3">
        <w:rPr>
          <w:rFonts w:ascii="Arial" w:hAnsi="Arial" w:cs="Arial"/>
          <w:sz w:val="24"/>
          <w:szCs w:val="24"/>
          <w:highlight w:val="yellow"/>
        </w:rPr>
        <w:t xml:space="preserve"> context, both the agricultural and trade sectors show significant potential, although they require stronger policy support and improved infrastructure.</w:t>
      </w:r>
    </w:p>
    <w:p w14:paraId="13CFC9D4"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 xml:space="preserve">The agricultural sector—especially coffee and cocoa—remains a backbone of </w:t>
      </w:r>
      <w:proofErr w:type="spellStart"/>
      <w:r w:rsidRPr="00341FB3">
        <w:rPr>
          <w:rFonts w:ascii="Arial" w:hAnsi="Arial" w:cs="Arial"/>
          <w:sz w:val="24"/>
          <w:szCs w:val="24"/>
          <w:highlight w:val="yellow"/>
        </w:rPr>
        <w:t>Babussalam’s</w:t>
      </w:r>
      <w:proofErr w:type="spellEnd"/>
      <w:r w:rsidRPr="00341FB3">
        <w:rPr>
          <w:rFonts w:ascii="Arial" w:hAnsi="Arial" w:cs="Arial"/>
          <w:sz w:val="24"/>
          <w:szCs w:val="24"/>
          <w:highlight w:val="yellow"/>
        </w:rPr>
        <w:t xml:space="preserve"> economy. Nevertheless, challenges such as price fluctuations and limited market access hinder the sector’s potential (</w:t>
      </w:r>
      <w:proofErr w:type="spellStart"/>
      <w:r w:rsidRPr="00341FB3">
        <w:rPr>
          <w:rFonts w:ascii="Arial" w:hAnsi="Arial" w:cs="Arial"/>
          <w:sz w:val="24"/>
          <w:szCs w:val="24"/>
          <w:highlight w:val="yellow"/>
        </w:rPr>
        <w:t>Faes</w:t>
      </w:r>
      <w:proofErr w:type="spellEnd"/>
      <w:r w:rsidRPr="00341FB3">
        <w:rPr>
          <w:rFonts w:ascii="Arial" w:hAnsi="Arial" w:cs="Arial"/>
          <w:sz w:val="24"/>
          <w:szCs w:val="24"/>
          <w:highlight w:val="yellow"/>
        </w:rPr>
        <w:t xml:space="preserve"> &amp; </w:t>
      </w:r>
      <w:proofErr w:type="spellStart"/>
      <w:r w:rsidRPr="00341FB3">
        <w:rPr>
          <w:rFonts w:ascii="Arial" w:hAnsi="Arial" w:cs="Arial"/>
          <w:sz w:val="24"/>
          <w:szCs w:val="24"/>
          <w:highlight w:val="yellow"/>
        </w:rPr>
        <w:t>Zuhriyah</w:t>
      </w:r>
      <w:proofErr w:type="spellEnd"/>
      <w:r w:rsidRPr="00341FB3">
        <w:rPr>
          <w:rFonts w:ascii="Arial" w:hAnsi="Arial" w:cs="Arial"/>
          <w:sz w:val="24"/>
          <w:szCs w:val="24"/>
          <w:highlight w:val="yellow"/>
        </w:rPr>
        <w:t xml:space="preserve">, 2023). Therefore, policies focused on improving productivity and market access are required to strengthen agriculture in </w:t>
      </w:r>
      <w:proofErr w:type="spellStart"/>
      <w:r w:rsidRPr="00341FB3">
        <w:rPr>
          <w:rFonts w:ascii="Arial" w:hAnsi="Arial" w:cs="Arial"/>
          <w:sz w:val="24"/>
          <w:szCs w:val="24"/>
          <w:highlight w:val="yellow"/>
        </w:rPr>
        <w:t>Babussalam</w:t>
      </w:r>
      <w:proofErr w:type="spellEnd"/>
      <w:r w:rsidRPr="00341FB3">
        <w:rPr>
          <w:rFonts w:ascii="Arial" w:hAnsi="Arial" w:cs="Arial"/>
          <w:sz w:val="24"/>
          <w:szCs w:val="24"/>
          <w:highlight w:val="yellow"/>
        </w:rPr>
        <w:t>.</w:t>
      </w:r>
    </w:p>
    <w:p w14:paraId="257E9446"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 xml:space="preserve">The trade sector, both wholesale and retail, has shown notable growth in </w:t>
      </w:r>
      <w:proofErr w:type="spellStart"/>
      <w:r w:rsidRPr="00341FB3">
        <w:rPr>
          <w:rFonts w:ascii="Arial" w:hAnsi="Arial" w:cs="Arial"/>
          <w:sz w:val="24"/>
          <w:szCs w:val="24"/>
          <w:highlight w:val="yellow"/>
        </w:rPr>
        <w:t>Babussalam</w:t>
      </w:r>
      <w:proofErr w:type="spellEnd"/>
      <w:r w:rsidRPr="00341FB3">
        <w:rPr>
          <w:rFonts w:ascii="Arial" w:hAnsi="Arial" w:cs="Arial"/>
          <w:sz w:val="24"/>
          <w:szCs w:val="24"/>
          <w:highlight w:val="yellow"/>
        </w:rPr>
        <w:t>. Improvements in infrastructure and regional accessibility are critical factors driving this sector’s development (</w:t>
      </w:r>
      <w:proofErr w:type="spellStart"/>
      <w:r w:rsidRPr="00341FB3">
        <w:rPr>
          <w:rFonts w:ascii="Arial" w:hAnsi="Arial" w:cs="Arial"/>
          <w:sz w:val="24"/>
          <w:szCs w:val="24"/>
          <w:highlight w:val="yellow"/>
        </w:rPr>
        <w:t>Mailendra</w:t>
      </w:r>
      <w:proofErr w:type="spellEnd"/>
      <w:r w:rsidRPr="00341FB3">
        <w:rPr>
          <w:rFonts w:ascii="Arial" w:hAnsi="Arial" w:cs="Arial"/>
          <w:sz w:val="24"/>
          <w:szCs w:val="24"/>
          <w:highlight w:val="yellow"/>
        </w:rPr>
        <w:t xml:space="preserve"> et al., 2018). The government should enhance logistics systems and improve market facilities to support continued growth in the trade sector.</w:t>
      </w:r>
    </w:p>
    <w:p w14:paraId="040AF522"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 xml:space="preserve">The transportation and warehousing sector </w:t>
      </w:r>
      <w:proofErr w:type="gramStart"/>
      <w:r w:rsidRPr="00341FB3">
        <w:rPr>
          <w:rFonts w:ascii="Arial" w:hAnsi="Arial" w:cs="Arial"/>
          <w:sz w:val="24"/>
          <w:szCs w:val="24"/>
          <w:highlight w:val="yellow"/>
        </w:rPr>
        <w:t>is</w:t>
      </w:r>
      <w:proofErr w:type="gramEnd"/>
      <w:r w:rsidRPr="00341FB3">
        <w:rPr>
          <w:rFonts w:ascii="Arial" w:hAnsi="Arial" w:cs="Arial"/>
          <w:sz w:val="24"/>
          <w:szCs w:val="24"/>
          <w:highlight w:val="yellow"/>
        </w:rPr>
        <w:t xml:space="preserve"> also crucial in facilitating the distribution of goods and agricultural outputs. Developing this sector can increase distribution efficiency and reduce logistics costs, thereby supporting other sectors such as trade and agriculture (Hidayat &amp; Darwin, 2017). Strengthening transportation infrastructure should therefore become a priority to enhance regional competitiveness.</w:t>
      </w:r>
    </w:p>
    <w:p w14:paraId="336AD991"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 xml:space="preserve">The construction sector plays an enabling role by developing infrastructure that supports other sectors. Adequate infrastructure strengthens interregional connectivity and improves market access for leading sectors such as agriculture and trade (Putra &amp; </w:t>
      </w:r>
      <w:proofErr w:type="spellStart"/>
      <w:r w:rsidRPr="00341FB3">
        <w:rPr>
          <w:rFonts w:ascii="Arial" w:hAnsi="Arial" w:cs="Arial"/>
          <w:sz w:val="24"/>
          <w:szCs w:val="24"/>
          <w:highlight w:val="yellow"/>
        </w:rPr>
        <w:t>Kasmiati</w:t>
      </w:r>
      <w:proofErr w:type="spellEnd"/>
      <w:r w:rsidRPr="00341FB3">
        <w:rPr>
          <w:rFonts w:ascii="Arial" w:hAnsi="Arial" w:cs="Arial"/>
          <w:sz w:val="24"/>
          <w:szCs w:val="24"/>
          <w:highlight w:val="yellow"/>
        </w:rPr>
        <w:t xml:space="preserve">, 2018). Thus, infrastructure development in </w:t>
      </w:r>
      <w:proofErr w:type="spellStart"/>
      <w:r w:rsidRPr="00341FB3">
        <w:rPr>
          <w:rFonts w:ascii="Arial" w:hAnsi="Arial" w:cs="Arial"/>
          <w:sz w:val="24"/>
          <w:szCs w:val="24"/>
          <w:highlight w:val="yellow"/>
        </w:rPr>
        <w:t>Babussalam</w:t>
      </w:r>
      <w:proofErr w:type="spellEnd"/>
      <w:r w:rsidRPr="00341FB3">
        <w:rPr>
          <w:rFonts w:ascii="Arial" w:hAnsi="Arial" w:cs="Arial"/>
          <w:sz w:val="24"/>
          <w:szCs w:val="24"/>
          <w:highlight w:val="yellow"/>
        </w:rPr>
        <w:t xml:space="preserve"> should emphasize construction projects that generate multiplier effects for broader economic growth.</w:t>
      </w:r>
    </w:p>
    <w:p w14:paraId="25295CB4"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In formulating regional development strategies, SWOT analysis can be employed to identify strengths, weaknesses, opportunities, and threats affecting leading sectors. SWOT supports more focused strategy formulation by considering both internal and external dynamics (Mufarrij, 2025). Through this approach, the resulting strategies become more applicable and evidence-based.</w:t>
      </w:r>
    </w:p>
    <w:p w14:paraId="3ED634BD"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 xml:space="preserve">This study addresses a gap in the literature on leading sector-based regional development at the sub-district level. Most previous research focuses on the regency or provincial level, while sub-district-level development is often overlooked. The integrative approach combining quantitative and qualitative analysis provides a more </w:t>
      </w:r>
      <w:r w:rsidRPr="00341FB3">
        <w:rPr>
          <w:rFonts w:ascii="Arial" w:hAnsi="Arial" w:cs="Arial"/>
          <w:sz w:val="24"/>
          <w:szCs w:val="24"/>
          <w:highlight w:val="yellow"/>
        </w:rPr>
        <w:lastRenderedPageBreak/>
        <w:t xml:space="preserve">comprehensive understanding of the potential and challenges of </w:t>
      </w:r>
      <w:proofErr w:type="spellStart"/>
      <w:r w:rsidRPr="00341FB3">
        <w:rPr>
          <w:rFonts w:ascii="Arial" w:hAnsi="Arial" w:cs="Arial"/>
          <w:sz w:val="24"/>
          <w:szCs w:val="24"/>
          <w:highlight w:val="yellow"/>
        </w:rPr>
        <w:t>Babussalam’s</w:t>
      </w:r>
      <w:proofErr w:type="spellEnd"/>
      <w:r w:rsidRPr="00341FB3">
        <w:rPr>
          <w:rFonts w:ascii="Arial" w:hAnsi="Arial" w:cs="Arial"/>
          <w:sz w:val="24"/>
          <w:szCs w:val="24"/>
          <w:highlight w:val="yellow"/>
        </w:rPr>
        <w:t xml:space="preserve"> leading sectors (Novita et al., 2023).</w:t>
      </w:r>
    </w:p>
    <w:p w14:paraId="3AB21E36"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This manuscript contributes to regional and local economic development research by providing a rare sub-district-level diagnosis of leading sectors in Babussalam, an administrative and economic hub in Aceh Tenggara Regency that is often overlooked in regional planning studies. By integrating LQ, Klassen typology, and SWOT analysis with stakeholder interviews, the study offers an implementable and replicable analytical framework for place-based development planning. Empirically, the findings clarify how agriculture, trade, and logistics jointly shape local growth potential and where structural vulnerabilities emerge over 2020–2024. Practically, the resulting strategy package provides actionable guidance for policymakers and development planners working on decentralized, evidence-based regional transformation (Harjanti et al., 2021; Efendi et al., 2022).</w:t>
      </w:r>
    </w:p>
    <w:p w14:paraId="5E3DD881" w14:textId="77777777" w:rsidR="00E84598" w:rsidRPr="00341FB3" w:rsidRDefault="00E84598" w:rsidP="00E84598">
      <w:pPr>
        <w:jc w:val="both"/>
        <w:rPr>
          <w:rFonts w:ascii="Arial" w:hAnsi="Arial" w:cs="Arial"/>
          <w:b/>
          <w:bCs/>
          <w:sz w:val="24"/>
          <w:szCs w:val="24"/>
          <w:highlight w:val="yellow"/>
        </w:rPr>
      </w:pPr>
      <w:r w:rsidRPr="00341FB3">
        <w:rPr>
          <w:rFonts w:ascii="Arial" w:hAnsi="Arial" w:cs="Arial"/>
          <w:b/>
          <w:bCs/>
          <w:sz w:val="24"/>
          <w:szCs w:val="24"/>
          <w:highlight w:val="yellow"/>
        </w:rPr>
        <w:t>II. Research Methods</w:t>
      </w:r>
    </w:p>
    <w:p w14:paraId="05A7B35E"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 xml:space="preserve">This study employs a quantitative approach with descriptive analysis to identify and formulate leading sector-based regional development strategies in </w:t>
      </w:r>
      <w:proofErr w:type="spellStart"/>
      <w:r w:rsidRPr="00341FB3">
        <w:rPr>
          <w:rFonts w:ascii="Arial" w:hAnsi="Arial" w:cs="Arial"/>
          <w:sz w:val="24"/>
          <w:szCs w:val="24"/>
          <w:highlight w:val="yellow"/>
        </w:rPr>
        <w:t>Babussalam</w:t>
      </w:r>
      <w:proofErr w:type="spellEnd"/>
      <w:r w:rsidRPr="00341FB3">
        <w:rPr>
          <w:rFonts w:ascii="Arial" w:hAnsi="Arial" w:cs="Arial"/>
          <w:sz w:val="24"/>
          <w:szCs w:val="24"/>
          <w:highlight w:val="yellow"/>
        </w:rPr>
        <w:t xml:space="preserve"> Sub-district, Aceh Tenggara Regency. The methods include Location Quotient (LQ) analysis to identify leading sectors, the Klassen Typology to map sectoral growth dynamics, and SWOT analysis to formulate strategies based on strengths, weaknesses, opportunities, and threats.</w:t>
      </w:r>
    </w:p>
    <w:p w14:paraId="0D98E336" w14:textId="77777777" w:rsidR="00E84598" w:rsidRPr="00341FB3" w:rsidRDefault="00E84598" w:rsidP="00E84598">
      <w:pPr>
        <w:jc w:val="both"/>
        <w:rPr>
          <w:rFonts w:ascii="Arial" w:hAnsi="Arial" w:cs="Arial"/>
          <w:b/>
          <w:bCs/>
          <w:sz w:val="24"/>
          <w:szCs w:val="24"/>
          <w:highlight w:val="yellow"/>
        </w:rPr>
      </w:pPr>
      <w:r w:rsidRPr="00341FB3">
        <w:rPr>
          <w:rFonts w:ascii="Arial" w:hAnsi="Arial" w:cs="Arial"/>
          <w:b/>
          <w:bCs/>
          <w:sz w:val="24"/>
          <w:szCs w:val="24"/>
          <w:highlight w:val="yellow"/>
        </w:rPr>
        <w:t>Research Approach and Type</w:t>
      </w:r>
    </w:p>
    <w:p w14:paraId="3D513BB9"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 xml:space="preserve">This is a descriptive study with a quantitative approach. The study aims to describe the leading sectors in </w:t>
      </w:r>
      <w:proofErr w:type="spellStart"/>
      <w:r w:rsidRPr="00341FB3">
        <w:rPr>
          <w:rFonts w:ascii="Arial" w:hAnsi="Arial" w:cs="Arial"/>
          <w:sz w:val="24"/>
          <w:szCs w:val="24"/>
          <w:highlight w:val="yellow"/>
        </w:rPr>
        <w:t>Babussalam</w:t>
      </w:r>
      <w:proofErr w:type="spellEnd"/>
      <w:r w:rsidRPr="00341FB3">
        <w:rPr>
          <w:rFonts w:ascii="Arial" w:hAnsi="Arial" w:cs="Arial"/>
          <w:sz w:val="24"/>
          <w:szCs w:val="24"/>
          <w:highlight w:val="yellow"/>
        </w:rPr>
        <w:t xml:space="preserve"> and the corresponding development strategies based on the results of LQ, Klassen Typology, and SWOT analyses. In addition, qualitative data from interviews with local stakeholders are incorporated to enrich the quantitative findings.</w:t>
      </w:r>
    </w:p>
    <w:p w14:paraId="706D0F61" w14:textId="77777777" w:rsidR="00E84598" w:rsidRPr="00341FB3" w:rsidRDefault="00E84598" w:rsidP="00E84598">
      <w:pPr>
        <w:jc w:val="both"/>
        <w:rPr>
          <w:rFonts w:ascii="Arial" w:hAnsi="Arial" w:cs="Arial"/>
          <w:b/>
          <w:bCs/>
          <w:sz w:val="24"/>
          <w:szCs w:val="24"/>
          <w:highlight w:val="yellow"/>
        </w:rPr>
      </w:pPr>
      <w:r w:rsidRPr="00341FB3">
        <w:rPr>
          <w:rFonts w:ascii="Arial" w:hAnsi="Arial" w:cs="Arial"/>
          <w:b/>
          <w:bCs/>
          <w:sz w:val="24"/>
          <w:szCs w:val="24"/>
          <w:highlight w:val="yellow"/>
        </w:rPr>
        <w:t>Research Location and Period</w:t>
      </w:r>
    </w:p>
    <w:p w14:paraId="22F40103"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 xml:space="preserve">The study was conducted in </w:t>
      </w:r>
      <w:proofErr w:type="spellStart"/>
      <w:r w:rsidRPr="00341FB3">
        <w:rPr>
          <w:rFonts w:ascii="Arial" w:hAnsi="Arial" w:cs="Arial"/>
          <w:sz w:val="24"/>
          <w:szCs w:val="24"/>
          <w:highlight w:val="yellow"/>
        </w:rPr>
        <w:t>Babussalam</w:t>
      </w:r>
      <w:proofErr w:type="spellEnd"/>
      <w:r w:rsidRPr="00341FB3">
        <w:rPr>
          <w:rFonts w:ascii="Arial" w:hAnsi="Arial" w:cs="Arial"/>
          <w:sz w:val="24"/>
          <w:szCs w:val="24"/>
          <w:highlight w:val="yellow"/>
        </w:rPr>
        <w:t xml:space="preserve"> Sub-district, Aceh Tenggara Regency, which serves as the administrative and economic </w:t>
      </w:r>
      <w:proofErr w:type="spellStart"/>
      <w:r w:rsidRPr="00341FB3">
        <w:rPr>
          <w:rFonts w:ascii="Arial" w:hAnsi="Arial" w:cs="Arial"/>
          <w:sz w:val="24"/>
          <w:szCs w:val="24"/>
          <w:highlight w:val="yellow"/>
        </w:rPr>
        <w:t>center</w:t>
      </w:r>
      <w:proofErr w:type="spellEnd"/>
      <w:r w:rsidRPr="00341FB3">
        <w:rPr>
          <w:rFonts w:ascii="Arial" w:hAnsi="Arial" w:cs="Arial"/>
          <w:sz w:val="24"/>
          <w:szCs w:val="24"/>
          <w:highlight w:val="yellow"/>
        </w:rPr>
        <w:t xml:space="preserve"> of the regency. Data collection was carried out from January to March 2025 to obtain the most recent information regarding sectoral economic development in the area.</w:t>
      </w:r>
    </w:p>
    <w:p w14:paraId="05D7A4D6" w14:textId="77777777" w:rsidR="00E84598" w:rsidRPr="00341FB3" w:rsidRDefault="00E84598" w:rsidP="00E84598">
      <w:pPr>
        <w:jc w:val="both"/>
        <w:rPr>
          <w:rFonts w:ascii="Arial" w:hAnsi="Arial" w:cs="Arial"/>
          <w:b/>
          <w:bCs/>
          <w:sz w:val="24"/>
          <w:szCs w:val="24"/>
          <w:highlight w:val="yellow"/>
        </w:rPr>
      </w:pPr>
      <w:r w:rsidRPr="00341FB3">
        <w:rPr>
          <w:rFonts w:ascii="Arial" w:hAnsi="Arial" w:cs="Arial"/>
          <w:b/>
          <w:bCs/>
          <w:sz w:val="24"/>
          <w:szCs w:val="24"/>
          <w:highlight w:val="yellow"/>
        </w:rPr>
        <w:t>Types and Sources of Data</w:t>
      </w:r>
    </w:p>
    <w:p w14:paraId="3CDB69ED"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This study uses both primary and secondary data. Primary data were collected through semi-structured interviews with sub-district government officials, regional planning agency (Bappeda) representatives, business actors, and local farmers. Secondary data were obtained from the Central Bureau of Statistics (BPS) of Aceh Tenggara, including GRDP data and other economic indicators for the period 2020–2024.</w:t>
      </w:r>
    </w:p>
    <w:p w14:paraId="487B8E2D" w14:textId="77777777" w:rsidR="00E84598" w:rsidRPr="00341FB3" w:rsidRDefault="00E84598" w:rsidP="00E84598">
      <w:pPr>
        <w:jc w:val="both"/>
        <w:rPr>
          <w:rFonts w:ascii="Arial" w:hAnsi="Arial" w:cs="Arial"/>
          <w:b/>
          <w:bCs/>
          <w:sz w:val="24"/>
          <w:szCs w:val="24"/>
          <w:highlight w:val="yellow"/>
        </w:rPr>
      </w:pPr>
      <w:r w:rsidRPr="00341FB3">
        <w:rPr>
          <w:rFonts w:ascii="Arial" w:hAnsi="Arial" w:cs="Arial"/>
          <w:b/>
          <w:bCs/>
          <w:sz w:val="24"/>
          <w:szCs w:val="24"/>
          <w:highlight w:val="yellow"/>
        </w:rPr>
        <w:t>Data Collection Techniques</w:t>
      </w:r>
    </w:p>
    <w:p w14:paraId="470A2F76"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The data collection techniques were as follows:</w:t>
      </w:r>
    </w:p>
    <w:p w14:paraId="6CCB96E9" w14:textId="77777777" w:rsidR="00E84598" w:rsidRPr="00341FB3" w:rsidRDefault="00E84598" w:rsidP="00E84598">
      <w:pPr>
        <w:numPr>
          <w:ilvl w:val="0"/>
          <w:numId w:val="1"/>
        </w:numPr>
        <w:jc w:val="both"/>
        <w:rPr>
          <w:rFonts w:ascii="Arial" w:hAnsi="Arial" w:cs="Arial"/>
          <w:sz w:val="24"/>
          <w:szCs w:val="24"/>
          <w:highlight w:val="yellow"/>
        </w:rPr>
      </w:pPr>
      <w:r w:rsidRPr="00341FB3">
        <w:rPr>
          <w:rFonts w:ascii="Arial" w:hAnsi="Arial" w:cs="Arial"/>
          <w:b/>
          <w:bCs/>
          <w:sz w:val="24"/>
          <w:szCs w:val="24"/>
          <w:highlight w:val="yellow"/>
        </w:rPr>
        <w:lastRenderedPageBreak/>
        <w:t>Semi-Structured Interviews:</w:t>
      </w:r>
      <w:r w:rsidRPr="00341FB3">
        <w:rPr>
          <w:rFonts w:ascii="Arial" w:hAnsi="Arial" w:cs="Arial"/>
          <w:sz w:val="24"/>
          <w:szCs w:val="24"/>
          <w:highlight w:val="yellow"/>
        </w:rPr>
        <w:t xml:space="preserve"> Interviews were conducted with stakeholders such as sub-district officials, </w:t>
      </w:r>
      <w:proofErr w:type="spellStart"/>
      <w:r w:rsidRPr="00341FB3">
        <w:rPr>
          <w:rFonts w:ascii="Arial" w:hAnsi="Arial" w:cs="Arial"/>
          <w:sz w:val="24"/>
          <w:szCs w:val="24"/>
          <w:highlight w:val="yellow"/>
        </w:rPr>
        <w:t>Bappeda</w:t>
      </w:r>
      <w:proofErr w:type="spellEnd"/>
      <w:r w:rsidRPr="00341FB3">
        <w:rPr>
          <w:rFonts w:ascii="Arial" w:hAnsi="Arial" w:cs="Arial"/>
          <w:sz w:val="24"/>
          <w:szCs w:val="24"/>
          <w:highlight w:val="yellow"/>
        </w:rPr>
        <w:t xml:space="preserve"> representatives, business actors, and farmers to explore perceptions of leading sector potential and challenges in regional development.</w:t>
      </w:r>
    </w:p>
    <w:p w14:paraId="596948B4" w14:textId="77777777" w:rsidR="00E84598" w:rsidRPr="00341FB3" w:rsidRDefault="00E84598" w:rsidP="00E84598">
      <w:pPr>
        <w:numPr>
          <w:ilvl w:val="0"/>
          <w:numId w:val="1"/>
        </w:numPr>
        <w:jc w:val="both"/>
        <w:rPr>
          <w:rFonts w:ascii="Arial" w:hAnsi="Arial" w:cs="Arial"/>
          <w:sz w:val="24"/>
          <w:szCs w:val="24"/>
          <w:highlight w:val="yellow"/>
        </w:rPr>
      </w:pPr>
      <w:r w:rsidRPr="00341FB3">
        <w:rPr>
          <w:rFonts w:ascii="Arial" w:hAnsi="Arial" w:cs="Arial"/>
          <w:b/>
          <w:bCs/>
          <w:sz w:val="24"/>
          <w:szCs w:val="24"/>
          <w:highlight w:val="yellow"/>
        </w:rPr>
        <w:t>Document Review:</w:t>
      </w:r>
      <w:r w:rsidRPr="00341FB3">
        <w:rPr>
          <w:rFonts w:ascii="Arial" w:hAnsi="Arial" w:cs="Arial"/>
          <w:sz w:val="24"/>
          <w:szCs w:val="24"/>
          <w:highlight w:val="yellow"/>
        </w:rPr>
        <w:t xml:space="preserve"> Secondary data from BPS, regional planning documents, and other relevant reports were used to obtain information on sectoral contributions to GRDP.</w:t>
      </w:r>
    </w:p>
    <w:p w14:paraId="3716F623" w14:textId="77777777" w:rsidR="00E84598" w:rsidRPr="00341FB3" w:rsidRDefault="00E84598" w:rsidP="00E84598">
      <w:pPr>
        <w:numPr>
          <w:ilvl w:val="0"/>
          <w:numId w:val="1"/>
        </w:numPr>
        <w:jc w:val="both"/>
        <w:rPr>
          <w:rFonts w:ascii="Arial" w:hAnsi="Arial" w:cs="Arial"/>
          <w:sz w:val="24"/>
          <w:szCs w:val="24"/>
          <w:highlight w:val="yellow"/>
        </w:rPr>
      </w:pPr>
      <w:r w:rsidRPr="00341FB3">
        <w:rPr>
          <w:rFonts w:ascii="Arial" w:hAnsi="Arial" w:cs="Arial"/>
          <w:b/>
          <w:bCs/>
          <w:sz w:val="24"/>
          <w:szCs w:val="24"/>
          <w:highlight w:val="yellow"/>
        </w:rPr>
        <w:t>Field Observation:</w:t>
      </w:r>
      <w:r w:rsidRPr="00341FB3">
        <w:rPr>
          <w:rFonts w:ascii="Arial" w:hAnsi="Arial" w:cs="Arial"/>
          <w:sz w:val="24"/>
          <w:szCs w:val="24"/>
          <w:highlight w:val="yellow"/>
        </w:rPr>
        <w:t xml:space="preserve"> Field observations were undertaken to understand the actual conditions of leading sectors and the supporting infrastructure.</w:t>
      </w:r>
    </w:p>
    <w:p w14:paraId="06ED60E7" w14:textId="77777777" w:rsidR="00E84598" w:rsidRPr="00341FB3" w:rsidRDefault="00E84598" w:rsidP="00E84598">
      <w:pPr>
        <w:jc w:val="both"/>
        <w:rPr>
          <w:rFonts w:ascii="Arial" w:hAnsi="Arial" w:cs="Arial"/>
          <w:b/>
          <w:bCs/>
          <w:sz w:val="24"/>
          <w:szCs w:val="24"/>
          <w:highlight w:val="yellow"/>
        </w:rPr>
      </w:pPr>
      <w:r w:rsidRPr="00341FB3">
        <w:rPr>
          <w:rFonts w:ascii="Arial" w:hAnsi="Arial" w:cs="Arial"/>
          <w:b/>
          <w:bCs/>
          <w:sz w:val="24"/>
          <w:szCs w:val="24"/>
          <w:highlight w:val="yellow"/>
        </w:rPr>
        <w:t>Data Analysis Techniques</w:t>
      </w:r>
    </w:p>
    <w:p w14:paraId="5BAB3CA2"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This study applies three main analytical methods: Location Quotient (LQ), Klassen Typology, and SWOT analysis.</w:t>
      </w:r>
    </w:p>
    <w:p w14:paraId="5341EDF7" w14:textId="77777777" w:rsidR="00E84598" w:rsidRPr="00341FB3" w:rsidRDefault="00E84598" w:rsidP="00E84598">
      <w:pPr>
        <w:numPr>
          <w:ilvl w:val="0"/>
          <w:numId w:val="2"/>
        </w:numPr>
        <w:jc w:val="both"/>
        <w:rPr>
          <w:rFonts w:ascii="Arial" w:hAnsi="Arial" w:cs="Arial"/>
          <w:sz w:val="24"/>
          <w:szCs w:val="24"/>
          <w:highlight w:val="yellow"/>
        </w:rPr>
      </w:pPr>
      <w:r w:rsidRPr="00341FB3">
        <w:rPr>
          <w:rFonts w:ascii="Arial" w:hAnsi="Arial" w:cs="Arial"/>
          <w:b/>
          <w:bCs/>
          <w:sz w:val="24"/>
          <w:szCs w:val="24"/>
          <w:highlight w:val="yellow"/>
        </w:rPr>
        <w:t>Location Quotient (LQ) Analysis:</w:t>
      </w:r>
      <w:r w:rsidRPr="00341FB3">
        <w:rPr>
          <w:rFonts w:ascii="Arial" w:hAnsi="Arial" w:cs="Arial"/>
          <w:sz w:val="24"/>
          <w:szCs w:val="24"/>
          <w:highlight w:val="yellow"/>
        </w:rPr>
        <w:br/>
        <w:t>LQ is used to identify leading sectors by comparing a sector’s contribution to the local GRDP with the contribution of the same sector at the provincial or national reference level. The LQ formula is as follows:</w:t>
      </w:r>
    </w:p>
    <w:p w14:paraId="2352F1C7" w14:textId="77777777" w:rsidR="00E84598" w:rsidRPr="00341FB3" w:rsidRDefault="00E84598" w:rsidP="00E84598">
      <w:pPr>
        <w:jc w:val="both"/>
        <w:rPr>
          <w:rFonts w:ascii="Arial" w:hAnsi="Arial" w:cs="Arial"/>
          <w:sz w:val="24"/>
          <w:szCs w:val="24"/>
          <w:highlight w:val="yellow"/>
        </w:rPr>
      </w:pPr>
      <m:oMathPara>
        <m:oMath>
          <m:r>
            <w:rPr>
              <w:rFonts w:ascii="Cambria Math" w:hAnsi="Cambria Math" w:cs="Arial"/>
              <w:sz w:val="24"/>
              <w:szCs w:val="24"/>
              <w:highlight w:val="yellow"/>
            </w:rPr>
            <m:t>L</m:t>
          </m:r>
          <m:sSub>
            <m:sSubPr>
              <m:ctrlPr>
                <w:rPr>
                  <w:rFonts w:ascii="Cambria Math" w:hAnsi="Cambria Math" w:cs="Arial"/>
                  <w:sz w:val="24"/>
                  <w:szCs w:val="24"/>
                  <w:highlight w:val="yellow"/>
                </w:rPr>
              </m:ctrlPr>
            </m:sSubPr>
            <m:e>
              <m:r>
                <w:rPr>
                  <w:rFonts w:ascii="Cambria Math" w:hAnsi="Cambria Math" w:cs="Arial"/>
                  <w:sz w:val="24"/>
                  <w:szCs w:val="24"/>
                  <w:highlight w:val="yellow"/>
                </w:rPr>
                <m:t>Q</m:t>
              </m:r>
            </m:e>
            <m:sub>
              <m:r>
                <w:rPr>
                  <w:rFonts w:ascii="Cambria Math" w:hAnsi="Cambria Math" w:cs="Arial"/>
                  <w:sz w:val="24"/>
                  <w:szCs w:val="24"/>
                  <w:highlight w:val="yellow"/>
                </w:rPr>
                <m:t>i</m:t>
              </m:r>
            </m:sub>
          </m:sSub>
          <m:r>
            <w:rPr>
              <w:rFonts w:ascii="Cambria Math" w:hAnsi="Cambria Math" w:cs="Arial"/>
              <w:sz w:val="24"/>
              <w:szCs w:val="24"/>
              <w:highlight w:val="yellow"/>
            </w:rPr>
            <m:t>=</m:t>
          </m:r>
          <m:f>
            <m:fPr>
              <m:ctrlPr>
                <w:rPr>
                  <w:rFonts w:ascii="Cambria Math" w:hAnsi="Cambria Math" w:cs="Arial"/>
                  <w:sz w:val="24"/>
                  <w:szCs w:val="24"/>
                  <w:highlight w:val="yellow"/>
                </w:rPr>
              </m:ctrlPr>
            </m:fPr>
            <m:num>
              <m:d>
                <m:dPr>
                  <m:ctrlPr>
                    <w:rPr>
                      <w:rFonts w:ascii="Cambria Math" w:hAnsi="Cambria Math" w:cs="Arial"/>
                      <w:sz w:val="24"/>
                      <w:szCs w:val="24"/>
                      <w:highlight w:val="yellow"/>
                    </w:rPr>
                  </m:ctrlPr>
                </m:dPr>
                <m:e>
                  <m:f>
                    <m:fPr>
                      <m:ctrlPr>
                        <w:rPr>
                          <w:rFonts w:ascii="Cambria Math" w:hAnsi="Cambria Math" w:cs="Arial"/>
                          <w:sz w:val="24"/>
                          <w:szCs w:val="24"/>
                          <w:highlight w:val="yellow"/>
                        </w:rPr>
                      </m:ctrlPr>
                    </m:fPr>
                    <m:num>
                      <m:sSub>
                        <m:sSubPr>
                          <m:ctrlPr>
                            <w:rPr>
                              <w:rFonts w:ascii="Cambria Math" w:hAnsi="Cambria Math" w:cs="Arial"/>
                              <w:sz w:val="24"/>
                              <w:szCs w:val="24"/>
                              <w:highlight w:val="yellow"/>
                            </w:rPr>
                          </m:ctrlPr>
                        </m:sSubPr>
                        <m:e>
                          <m:r>
                            <w:rPr>
                              <w:rFonts w:ascii="Cambria Math" w:hAnsi="Cambria Math" w:cs="Arial"/>
                              <w:sz w:val="24"/>
                              <w:szCs w:val="24"/>
                              <w:highlight w:val="yellow"/>
                            </w:rPr>
                            <m:t>X</m:t>
                          </m:r>
                        </m:e>
                        <m:sub>
                          <m:r>
                            <w:rPr>
                              <w:rFonts w:ascii="Cambria Math" w:hAnsi="Cambria Math" w:cs="Arial"/>
                              <w:sz w:val="24"/>
                              <w:szCs w:val="24"/>
                              <w:highlight w:val="yellow"/>
                            </w:rPr>
                            <m:t>i,</m:t>
                          </m:r>
                          <m:r>
                            <m:rPr>
                              <m:nor/>
                            </m:rPr>
                            <w:rPr>
                              <w:rFonts w:ascii="Arial" w:hAnsi="Arial" w:cs="Arial"/>
                              <w:sz w:val="24"/>
                              <w:szCs w:val="24"/>
                              <w:highlight w:val="yellow"/>
                            </w:rPr>
                            <m:t>region</m:t>
                          </m:r>
                        </m:sub>
                      </m:sSub>
                    </m:num>
                    <m:den>
                      <m:sSub>
                        <m:sSubPr>
                          <m:ctrlPr>
                            <w:rPr>
                              <w:rFonts w:ascii="Cambria Math" w:hAnsi="Cambria Math" w:cs="Arial"/>
                              <w:sz w:val="24"/>
                              <w:szCs w:val="24"/>
                              <w:highlight w:val="yellow"/>
                            </w:rPr>
                          </m:ctrlPr>
                        </m:sSubPr>
                        <m:e>
                          <m:r>
                            <w:rPr>
                              <w:rFonts w:ascii="Cambria Math" w:hAnsi="Cambria Math" w:cs="Arial"/>
                              <w:sz w:val="24"/>
                              <w:szCs w:val="24"/>
                              <w:highlight w:val="yellow"/>
                            </w:rPr>
                            <m:t>X</m:t>
                          </m:r>
                        </m:e>
                        <m:sub>
                          <m:r>
                            <m:rPr>
                              <m:nor/>
                            </m:rPr>
                            <w:rPr>
                              <w:rFonts w:ascii="Arial" w:hAnsi="Arial" w:cs="Arial"/>
                              <w:sz w:val="24"/>
                              <w:szCs w:val="24"/>
                              <w:highlight w:val="yellow"/>
                            </w:rPr>
                            <m:t>total,region</m:t>
                          </m:r>
                        </m:sub>
                      </m:sSub>
                    </m:den>
                  </m:f>
                </m:e>
              </m:d>
            </m:num>
            <m:den>
              <m:d>
                <m:dPr>
                  <m:ctrlPr>
                    <w:rPr>
                      <w:rFonts w:ascii="Cambria Math" w:hAnsi="Cambria Math" w:cs="Arial"/>
                      <w:sz w:val="24"/>
                      <w:szCs w:val="24"/>
                      <w:highlight w:val="yellow"/>
                    </w:rPr>
                  </m:ctrlPr>
                </m:dPr>
                <m:e>
                  <m:f>
                    <m:fPr>
                      <m:ctrlPr>
                        <w:rPr>
                          <w:rFonts w:ascii="Cambria Math" w:hAnsi="Cambria Math" w:cs="Arial"/>
                          <w:sz w:val="24"/>
                          <w:szCs w:val="24"/>
                          <w:highlight w:val="yellow"/>
                        </w:rPr>
                      </m:ctrlPr>
                    </m:fPr>
                    <m:num>
                      <m:sSub>
                        <m:sSubPr>
                          <m:ctrlPr>
                            <w:rPr>
                              <w:rFonts w:ascii="Cambria Math" w:hAnsi="Cambria Math" w:cs="Arial"/>
                              <w:sz w:val="24"/>
                              <w:szCs w:val="24"/>
                              <w:highlight w:val="yellow"/>
                            </w:rPr>
                          </m:ctrlPr>
                        </m:sSubPr>
                        <m:e>
                          <m:r>
                            <w:rPr>
                              <w:rFonts w:ascii="Cambria Math" w:hAnsi="Cambria Math" w:cs="Arial"/>
                              <w:sz w:val="24"/>
                              <w:szCs w:val="24"/>
                              <w:highlight w:val="yellow"/>
                            </w:rPr>
                            <m:t>X</m:t>
                          </m:r>
                        </m:e>
                        <m:sub>
                          <m:r>
                            <w:rPr>
                              <w:rFonts w:ascii="Cambria Math" w:hAnsi="Cambria Math" w:cs="Arial"/>
                              <w:sz w:val="24"/>
                              <w:szCs w:val="24"/>
                              <w:highlight w:val="yellow"/>
                            </w:rPr>
                            <m:t>i,</m:t>
                          </m:r>
                          <m:r>
                            <m:rPr>
                              <m:nor/>
                            </m:rPr>
                            <w:rPr>
                              <w:rFonts w:ascii="Arial" w:hAnsi="Arial" w:cs="Arial"/>
                              <w:sz w:val="24"/>
                              <w:szCs w:val="24"/>
                              <w:highlight w:val="yellow"/>
                            </w:rPr>
                            <m:t>reference</m:t>
                          </m:r>
                        </m:sub>
                      </m:sSub>
                    </m:num>
                    <m:den>
                      <m:sSub>
                        <m:sSubPr>
                          <m:ctrlPr>
                            <w:rPr>
                              <w:rFonts w:ascii="Cambria Math" w:hAnsi="Cambria Math" w:cs="Arial"/>
                              <w:sz w:val="24"/>
                              <w:szCs w:val="24"/>
                              <w:highlight w:val="yellow"/>
                            </w:rPr>
                          </m:ctrlPr>
                        </m:sSubPr>
                        <m:e>
                          <m:r>
                            <w:rPr>
                              <w:rFonts w:ascii="Cambria Math" w:hAnsi="Cambria Math" w:cs="Arial"/>
                              <w:sz w:val="24"/>
                              <w:szCs w:val="24"/>
                              <w:highlight w:val="yellow"/>
                            </w:rPr>
                            <m:t>X</m:t>
                          </m:r>
                        </m:e>
                        <m:sub>
                          <m:r>
                            <m:rPr>
                              <m:nor/>
                            </m:rPr>
                            <w:rPr>
                              <w:rFonts w:ascii="Arial" w:hAnsi="Arial" w:cs="Arial"/>
                              <w:sz w:val="24"/>
                              <w:szCs w:val="24"/>
                              <w:highlight w:val="yellow"/>
                            </w:rPr>
                            <m:t>total,reference</m:t>
                          </m:r>
                        </m:sub>
                      </m:sSub>
                    </m:den>
                  </m:f>
                </m:e>
              </m:d>
            </m:den>
          </m:f>
          <m:r>
            <m:rPr>
              <m:sty m:val="p"/>
            </m:rPr>
            <w:rPr>
              <w:rFonts w:ascii="Cambria Math" w:hAnsi="Cambria Math" w:cs="Arial"/>
              <w:sz w:val="24"/>
              <w:szCs w:val="24"/>
              <w:highlight w:val="yellow"/>
            </w:rPr>
            <w:br/>
          </m:r>
        </m:oMath>
      </m:oMathPara>
    </w:p>
    <w:p w14:paraId="401218FD"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Where:</w:t>
      </w:r>
    </w:p>
    <w:p w14:paraId="11557682" w14:textId="77777777" w:rsidR="00E84598" w:rsidRPr="00341FB3" w:rsidRDefault="0078323A" w:rsidP="00E84598">
      <w:pPr>
        <w:numPr>
          <w:ilvl w:val="0"/>
          <w:numId w:val="3"/>
        </w:numPr>
        <w:jc w:val="both"/>
        <w:rPr>
          <w:rFonts w:ascii="Arial" w:hAnsi="Arial" w:cs="Arial"/>
          <w:sz w:val="24"/>
          <w:szCs w:val="24"/>
          <w:highlight w:val="yellow"/>
        </w:rPr>
      </w:pPr>
      <m:oMath>
        <m:sSub>
          <m:sSubPr>
            <m:ctrlPr>
              <w:rPr>
                <w:rFonts w:ascii="Cambria Math" w:hAnsi="Cambria Math" w:cs="Arial"/>
                <w:sz w:val="24"/>
                <w:szCs w:val="24"/>
                <w:highlight w:val="yellow"/>
              </w:rPr>
            </m:ctrlPr>
          </m:sSubPr>
          <m:e>
            <m:r>
              <w:rPr>
                <w:rFonts w:ascii="Cambria Math" w:hAnsi="Cambria Math" w:cs="Arial"/>
                <w:sz w:val="24"/>
                <w:szCs w:val="24"/>
                <w:highlight w:val="yellow"/>
              </w:rPr>
              <m:t>X</m:t>
            </m:r>
          </m:e>
          <m:sub>
            <m:r>
              <w:rPr>
                <w:rFonts w:ascii="Cambria Math" w:hAnsi="Cambria Math" w:cs="Arial"/>
                <w:sz w:val="24"/>
                <w:szCs w:val="24"/>
                <w:highlight w:val="yellow"/>
              </w:rPr>
              <m:t>i,</m:t>
            </m:r>
            <m:r>
              <m:rPr>
                <m:nor/>
              </m:rPr>
              <w:rPr>
                <w:rFonts w:ascii="Arial" w:hAnsi="Arial" w:cs="Arial"/>
                <w:sz w:val="24"/>
                <w:szCs w:val="24"/>
                <w:highlight w:val="yellow"/>
              </w:rPr>
              <m:t>region</m:t>
            </m:r>
          </m:sub>
        </m:sSub>
      </m:oMath>
      <w:r w:rsidR="00E84598" w:rsidRPr="00341FB3">
        <w:rPr>
          <w:rFonts w:ascii="Arial" w:hAnsi="Arial" w:cs="Arial"/>
          <w:sz w:val="24"/>
          <w:szCs w:val="24"/>
          <w:highlight w:val="yellow"/>
        </w:rPr>
        <w:t xml:space="preserve">is the contribution of sector </w:t>
      </w:r>
      <m:oMath>
        <m:r>
          <w:rPr>
            <w:rFonts w:ascii="Cambria Math" w:hAnsi="Cambria Math" w:cs="Arial"/>
            <w:sz w:val="24"/>
            <w:szCs w:val="24"/>
            <w:highlight w:val="yellow"/>
          </w:rPr>
          <m:t>i</m:t>
        </m:r>
      </m:oMath>
      <w:r w:rsidR="00E84598" w:rsidRPr="00341FB3">
        <w:rPr>
          <w:rFonts w:ascii="Arial" w:hAnsi="Arial" w:cs="Arial"/>
          <w:sz w:val="24"/>
          <w:szCs w:val="24"/>
          <w:highlight w:val="yellow"/>
        </w:rPr>
        <w:t>to the region’s GRDP.</w:t>
      </w:r>
    </w:p>
    <w:p w14:paraId="16B00F7A" w14:textId="77777777" w:rsidR="00E84598" w:rsidRPr="00341FB3" w:rsidRDefault="0078323A" w:rsidP="00E84598">
      <w:pPr>
        <w:numPr>
          <w:ilvl w:val="0"/>
          <w:numId w:val="3"/>
        </w:numPr>
        <w:jc w:val="both"/>
        <w:rPr>
          <w:rFonts w:ascii="Arial" w:hAnsi="Arial" w:cs="Arial"/>
          <w:sz w:val="24"/>
          <w:szCs w:val="24"/>
          <w:highlight w:val="yellow"/>
        </w:rPr>
      </w:pPr>
      <m:oMath>
        <m:sSub>
          <m:sSubPr>
            <m:ctrlPr>
              <w:rPr>
                <w:rFonts w:ascii="Cambria Math" w:hAnsi="Cambria Math" w:cs="Arial"/>
                <w:sz w:val="24"/>
                <w:szCs w:val="24"/>
                <w:highlight w:val="yellow"/>
              </w:rPr>
            </m:ctrlPr>
          </m:sSubPr>
          <m:e>
            <m:r>
              <w:rPr>
                <w:rFonts w:ascii="Cambria Math" w:hAnsi="Cambria Math" w:cs="Arial"/>
                <w:sz w:val="24"/>
                <w:szCs w:val="24"/>
                <w:highlight w:val="yellow"/>
              </w:rPr>
              <m:t>X</m:t>
            </m:r>
          </m:e>
          <m:sub>
            <m:r>
              <m:rPr>
                <m:nor/>
              </m:rPr>
              <w:rPr>
                <w:rFonts w:ascii="Arial" w:hAnsi="Arial" w:cs="Arial"/>
                <w:sz w:val="24"/>
                <w:szCs w:val="24"/>
                <w:highlight w:val="yellow"/>
              </w:rPr>
              <m:t>total,region</m:t>
            </m:r>
          </m:sub>
        </m:sSub>
      </m:oMath>
      <w:r w:rsidR="00E84598" w:rsidRPr="00341FB3">
        <w:rPr>
          <w:rFonts w:ascii="Arial" w:hAnsi="Arial" w:cs="Arial"/>
          <w:sz w:val="24"/>
          <w:szCs w:val="24"/>
          <w:highlight w:val="yellow"/>
        </w:rPr>
        <w:t>is the total GRDP contribution of the region.</w:t>
      </w:r>
    </w:p>
    <w:p w14:paraId="7B4E8246" w14:textId="77777777" w:rsidR="00E84598" w:rsidRPr="00341FB3" w:rsidRDefault="0078323A" w:rsidP="00E84598">
      <w:pPr>
        <w:numPr>
          <w:ilvl w:val="0"/>
          <w:numId w:val="3"/>
        </w:numPr>
        <w:jc w:val="both"/>
        <w:rPr>
          <w:rFonts w:ascii="Arial" w:hAnsi="Arial" w:cs="Arial"/>
          <w:sz w:val="24"/>
          <w:szCs w:val="24"/>
          <w:highlight w:val="yellow"/>
        </w:rPr>
      </w:pPr>
      <m:oMath>
        <m:sSub>
          <m:sSubPr>
            <m:ctrlPr>
              <w:rPr>
                <w:rFonts w:ascii="Cambria Math" w:hAnsi="Cambria Math" w:cs="Arial"/>
                <w:sz w:val="24"/>
                <w:szCs w:val="24"/>
                <w:highlight w:val="yellow"/>
              </w:rPr>
            </m:ctrlPr>
          </m:sSubPr>
          <m:e>
            <m:r>
              <w:rPr>
                <w:rFonts w:ascii="Cambria Math" w:hAnsi="Cambria Math" w:cs="Arial"/>
                <w:sz w:val="24"/>
                <w:szCs w:val="24"/>
                <w:highlight w:val="yellow"/>
              </w:rPr>
              <m:t>X</m:t>
            </m:r>
          </m:e>
          <m:sub>
            <m:r>
              <w:rPr>
                <w:rFonts w:ascii="Cambria Math" w:hAnsi="Cambria Math" w:cs="Arial"/>
                <w:sz w:val="24"/>
                <w:szCs w:val="24"/>
                <w:highlight w:val="yellow"/>
              </w:rPr>
              <m:t>i,</m:t>
            </m:r>
            <m:r>
              <m:rPr>
                <m:nor/>
              </m:rPr>
              <w:rPr>
                <w:rFonts w:ascii="Arial" w:hAnsi="Arial" w:cs="Arial"/>
                <w:sz w:val="24"/>
                <w:szCs w:val="24"/>
                <w:highlight w:val="yellow"/>
              </w:rPr>
              <m:t>reference</m:t>
            </m:r>
          </m:sub>
        </m:sSub>
      </m:oMath>
      <w:r w:rsidR="00E84598" w:rsidRPr="00341FB3">
        <w:rPr>
          <w:rFonts w:ascii="Arial" w:hAnsi="Arial" w:cs="Arial"/>
          <w:sz w:val="24"/>
          <w:szCs w:val="24"/>
          <w:highlight w:val="yellow"/>
        </w:rPr>
        <w:t xml:space="preserve">is the contribution of sector </w:t>
      </w:r>
      <m:oMath>
        <m:r>
          <w:rPr>
            <w:rFonts w:ascii="Cambria Math" w:hAnsi="Cambria Math" w:cs="Arial"/>
            <w:sz w:val="24"/>
            <w:szCs w:val="24"/>
            <w:highlight w:val="yellow"/>
          </w:rPr>
          <m:t>i</m:t>
        </m:r>
      </m:oMath>
      <w:r w:rsidR="00E84598" w:rsidRPr="00341FB3">
        <w:rPr>
          <w:rFonts w:ascii="Arial" w:hAnsi="Arial" w:cs="Arial"/>
          <w:sz w:val="24"/>
          <w:szCs w:val="24"/>
          <w:highlight w:val="yellow"/>
        </w:rPr>
        <w:t>to the reference GRDP (province/national).</w:t>
      </w:r>
    </w:p>
    <w:p w14:paraId="0DE8B829" w14:textId="77777777" w:rsidR="00E84598" w:rsidRPr="00341FB3" w:rsidRDefault="0078323A" w:rsidP="00E84598">
      <w:pPr>
        <w:numPr>
          <w:ilvl w:val="0"/>
          <w:numId w:val="3"/>
        </w:numPr>
        <w:jc w:val="both"/>
        <w:rPr>
          <w:rFonts w:ascii="Arial" w:hAnsi="Arial" w:cs="Arial"/>
          <w:sz w:val="24"/>
          <w:szCs w:val="24"/>
          <w:highlight w:val="yellow"/>
        </w:rPr>
      </w:pPr>
      <m:oMath>
        <m:sSub>
          <m:sSubPr>
            <m:ctrlPr>
              <w:rPr>
                <w:rFonts w:ascii="Cambria Math" w:hAnsi="Cambria Math" w:cs="Arial"/>
                <w:sz w:val="24"/>
                <w:szCs w:val="24"/>
                <w:highlight w:val="yellow"/>
              </w:rPr>
            </m:ctrlPr>
          </m:sSubPr>
          <m:e>
            <m:r>
              <w:rPr>
                <w:rFonts w:ascii="Cambria Math" w:hAnsi="Cambria Math" w:cs="Arial"/>
                <w:sz w:val="24"/>
                <w:szCs w:val="24"/>
                <w:highlight w:val="yellow"/>
              </w:rPr>
              <m:t>X</m:t>
            </m:r>
          </m:e>
          <m:sub>
            <m:r>
              <m:rPr>
                <m:nor/>
              </m:rPr>
              <w:rPr>
                <w:rFonts w:ascii="Arial" w:hAnsi="Arial" w:cs="Arial"/>
                <w:sz w:val="24"/>
                <w:szCs w:val="24"/>
                <w:highlight w:val="yellow"/>
              </w:rPr>
              <m:t>total,reference</m:t>
            </m:r>
          </m:sub>
        </m:sSub>
      </m:oMath>
      <w:r w:rsidR="00E84598" w:rsidRPr="00341FB3">
        <w:rPr>
          <w:rFonts w:ascii="Arial" w:hAnsi="Arial" w:cs="Arial"/>
          <w:sz w:val="24"/>
          <w:szCs w:val="24"/>
          <w:highlight w:val="yellow"/>
        </w:rPr>
        <w:t>is the total GRDP contribution of the reference area.</w:t>
      </w:r>
    </w:p>
    <w:p w14:paraId="33EDB2C5"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A sector with an LQ greater than 1 indicates a leading sector with potential for further development.</w:t>
      </w:r>
    </w:p>
    <w:p w14:paraId="40EFFA0C" w14:textId="77777777" w:rsidR="00E84598" w:rsidRPr="00341FB3" w:rsidRDefault="00E84598" w:rsidP="00E84598">
      <w:pPr>
        <w:numPr>
          <w:ilvl w:val="0"/>
          <w:numId w:val="4"/>
        </w:numPr>
        <w:jc w:val="both"/>
        <w:rPr>
          <w:rFonts w:ascii="Arial" w:hAnsi="Arial" w:cs="Arial"/>
          <w:sz w:val="24"/>
          <w:szCs w:val="24"/>
          <w:highlight w:val="yellow"/>
        </w:rPr>
      </w:pPr>
      <w:r w:rsidRPr="00341FB3">
        <w:rPr>
          <w:rFonts w:ascii="Arial" w:hAnsi="Arial" w:cs="Arial"/>
          <w:b/>
          <w:bCs/>
          <w:sz w:val="24"/>
          <w:szCs w:val="24"/>
          <w:highlight w:val="yellow"/>
        </w:rPr>
        <w:t>Klassen Typology Analysis:</w:t>
      </w:r>
      <w:r w:rsidRPr="00341FB3">
        <w:rPr>
          <w:rFonts w:ascii="Arial" w:hAnsi="Arial" w:cs="Arial"/>
          <w:sz w:val="24"/>
          <w:szCs w:val="24"/>
          <w:highlight w:val="yellow"/>
        </w:rPr>
        <w:br/>
        <w:t>The Klassen Typology maps economic sectors based on two main variables: contribution to GRDP and sectoral growth rate. Sectors are classified into four quadrants:</w:t>
      </w:r>
    </w:p>
    <w:p w14:paraId="515866F7" w14:textId="77777777" w:rsidR="00E84598" w:rsidRPr="00341FB3" w:rsidRDefault="00E84598" w:rsidP="00E84598">
      <w:pPr>
        <w:numPr>
          <w:ilvl w:val="0"/>
          <w:numId w:val="5"/>
        </w:numPr>
        <w:jc w:val="both"/>
        <w:rPr>
          <w:rFonts w:ascii="Arial" w:hAnsi="Arial" w:cs="Arial"/>
          <w:sz w:val="24"/>
          <w:szCs w:val="24"/>
          <w:highlight w:val="yellow"/>
        </w:rPr>
      </w:pPr>
      <w:r w:rsidRPr="00341FB3">
        <w:rPr>
          <w:rFonts w:ascii="Arial" w:hAnsi="Arial" w:cs="Arial"/>
          <w:b/>
          <w:bCs/>
          <w:sz w:val="24"/>
          <w:szCs w:val="24"/>
          <w:highlight w:val="yellow"/>
        </w:rPr>
        <w:t>Quadrant I:</w:t>
      </w:r>
      <w:r w:rsidRPr="00341FB3">
        <w:rPr>
          <w:rFonts w:ascii="Arial" w:hAnsi="Arial" w:cs="Arial"/>
          <w:sz w:val="24"/>
          <w:szCs w:val="24"/>
          <w:highlight w:val="yellow"/>
        </w:rPr>
        <w:t xml:space="preserve"> Advanced and rapidly growing sectors.</w:t>
      </w:r>
    </w:p>
    <w:p w14:paraId="4772EBF2" w14:textId="77777777" w:rsidR="00E84598" w:rsidRPr="00341FB3" w:rsidRDefault="00E84598" w:rsidP="00E84598">
      <w:pPr>
        <w:numPr>
          <w:ilvl w:val="0"/>
          <w:numId w:val="5"/>
        </w:numPr>
        <w:jc w:val="both"/>
        <w:rPr>
          <w:rFonts w:ascii="Arial" w:hAnsi="Arial" w:cs="Arial"/>
          <w:sz w:val="24"/>
          <w:szCs w:val="24"/>
          <w:highlight w:val="yellow"/>
        </w:rPr>
      </w:pPr>
      <w:r w:rsidRPr="00341FB3">
        <w:rPr>
          <w:rFonts w:ascii="Arial" w:hAnsi="Arial" w:cs="Arial"/>
          <w:b/>
          <w:bCs/>
          <w:sz w:val="24"/>
          <w:szCs w:val="24"/>
          <w:highlight w:val="yellow"/>
        </w:rPr>
        <w:t>Quadrant II:</w:t>
      </w:r>
      <w:r w:rsidRPr="00341FB3">
        <w:rPr>
          <w:rFonts w:ascii="Arial" w:hAnsi="Arial" w:cs="Arial"/>
          <w:sz w:val="24"/>
          <w:szCs w:val="24"/>
          <w:highlight w:val="yellow"/>
        </w:rPr>
        <w:t xml:space="preserve"> Advanced but pressured sectors.</w:t>
      </w:r>
    </w:p>
    <w:p w14:paraId="1ED27111" w14:textId="77777777" w:rsidR="00E84598" w:rsidRPr="00341FB3" w:rsidRDefault="00E84598" w:rsidP="00E84598">
      <w:pPr>
        <w:numPr>
          <w:ilvl w:val="0"/>
          <w:numId w:val="5"/>
        </w:numPr>
        <w:jc w:val="both"/>
        <w:rPr>
          <w:rFonts w:ascii="Arial" w:hAnsi="Arial" w:cs="Arial"/>
          <w:sz w:val="24"/>
          <w:szCs w:val="24"/>
          <w:highlight w:val="yellow"/>
        </w:rPr>
      </w:pPr>
      <w:r w:rsidRPr="00341FB3">
        <w:rPr>
          <w:rFonts w:ascii="Arial" w:hAnsi="Arial" w:cs="Arial"/>
          <w:b/>
          <w:bCs/>
          <w:sz w:val="24"/>
          <w:szCs w:val="24"/>
          <w:highlight w:val="yellow"/>
        </w:rPr>
        <w:t>Quadrant III:</w:t>
      </w:r>
      <w:r w:rsidRPr="00341FB3">
        <w:rPr>
          <w:rFonts w:ascii="Arial" w:hAnsi="Arial" w:cs="Arial"/>
          <w:sz w:val="24"/>
          <w:szCs w:val="24"/>
          <w:highlight w:val="yellow"/>
        </w:rPr>
        <w:t xml:space="preserve"> Rapidly growing sectors.</w:t>
      </w:r>
    </w:p>
    <w:p w14:paraId="0A485DF7" w14:textId="77777777" w:rsidR="00E84598" w:rsidRPr="00341FB3" w:rsidRDefault="00E84598" w:rsidP="00E84598">
      <w:pPr>
        <w:numPr>
          <w:ilvl w:val="0"/>
          <w:numId w:val="5"/>
        </w:numPr>
        <w:jc w:val="both"/>
        <w:rPr>
          <w:rFonts w:ascii="Arial" w:hAnsi="Arial" w:cs="Arial"/>
          <w:sz w:val="24"/>
          <w:szCs w:val="24"/>
          <w:highlight w:val="yellow"/>
        </w:rPr>
      </w:pPr>
      <w:r w:rsidRPr="00341FB3">
        <w:rPr>
          <w:rFonts w:ascii="Arial" w:hAnsi="Arial" w:cs="Arial"/>
          <w:b/>
          <w:bCs/>
          <w:sz w:val="24"/>
          <w:szCs w:val="24"/>
          <w:highlight w:val="yellow"/>
        </w:rPr>
        <w:t>Quadrant IV:</w:t>
      </w:r>
      <w:r w:rsidRPr="00341FB3">
        <w:rPr>
          <w:rFonts w:ascii="Arial" w:hAnsi="Arial" w:cs="Arial"/>
          <w:sz w:val="24"/>
          <w:szCs w:val="24"/>
          <w:highlight w:val="yellow"/>
        </w:rPr>
        <w:t xml:space="preserve"> Underdeveloped sectors.</w:t>
      </w:r>
    </w:p>
    <w:p w14:paraId="15497678"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lastRenderedPageBreak/>
        <w:t>The computation uses GRDP data and annual sectoral growth rates.</w:t>
      </w:r>
    </w:p>
    <w:p w14:paraId="3E5293BD" w14:textId="77777777" w:rsidR="00E84598" w:rsidRPr="00341FB3" w:rsidRDefault="00E84598" w:rsidP="00E84598">
      <w:pPr>
        <w:numPr>
          <w:ilvl w:val="0"/>
          <w:numId w:val="6"/>
        </w:numPr>
        <w:jc w:val="both"/>
        <w:rPr>
          <w:rFonts w:ascii="Arial" w:hAnsi="Arial" w:cs="Arial"/>
          <w:sz w:val="24"/>
          <w:szCs w:val="24"/>
          <w:highlight w:val="yellow"/>
        </w:rPr>
      </w:pPr>
      <w:r w:rsidRPr="00341FB3">
        <w:rPr>
          <w:rFonts w:ascii="Arial" w:hAnsi="Arial" w:cs="Arial"/>
          <w:b/>
          <w:bCs/>
          <w:sz w:val="24"/>
          <w:szCs w:val="24"/>
          <w:highlight w:val="yellow"/>
        </w:rPr>
        <w:t>SWOT Analysis:</w:t>
      </w:r>
      <w:r w:rsidRPr="00341FB3">
        <w:rPr>
          <w:rFonts w:ascii="Arial" w:hAnsi="Arial" w:cs="Arial"/>
          <w:sz w:val="24"/>
          <w:szCs w:val="24"/>
          <w:highlight w:val="yellow"/>
        </w:rPr>
        <w:br/>
        <w:t xml:space="preserve">SWOT analysis assesses the strengths, weaknesses, opportunities, and threats faced by </w:t>
      </w:r>
      <w:proofErr w:type="spellStart"/>
      <w:r w:rsidRPr="00341FB3">
        <w:rPr>
          <w:rFonts w:ascii="Arial" w:hAnsi="Arial" w:cs="Arial"/>
          <w:sz w:val="24"/>
          <w:szCs w:val="24"/>
          <w:highlight w:val="yellow"/>
        </w:rPr>
        <w:t>Babussalam’s</w:t>
      </w:r>
      <w:proofErr w:type="spellEnd"/>
      <w:r w:rsidRPr="00341FB3">
        <w:rPr>
          <w:rFonts w:ascii="Arial" w:hAnsi="Arial" w:cs="Arial"/>
          <w:sz w:val="24"/>
          <w:szCs w:val="24"/>
          <w:highlight w:val="yellow"/>
        </w:rPr>
        <w:t xml:space="preserve"> leading sectors. The analysis identifies internal factors (strengths and weaknesses) and external factors (opportunities and threats) influencing leading-sector development. Information from interviews and field observations is used to develop the SWOT matrix to support strategy formulation.</w:t>
      </w:r>
    </w:p>
    <w:p w14:paraId="00FA91B4" w14:textId="77777777" w:rsidR="00E84598" w:rsidRPr="00341FB3" w:rsidRDefault="00E84598" w:rsidP="00E84598">
      <w:pPr>
        <w:jc w:val="both"/>
        <w:rPr>
          <w:rFonts w:ascii="Arial" w:hAnsi="Arial" w:cs="Arial"/>
          <w:b/>
          <w:bCs/>
          <w:sz w:val="24"/>
          <w:szCs w:val="24"/>
          <w:highlight w:val="yellow"/>
        </w:rPr>
      </w:pPr>
      <w:r w:rsidRPr="00341FB3">
        <w:rPr>
          <w:rFonts w:ascii="Arial" w:hAnsi="Arial" w:cs="Arial"/>
          <w:b/>
          <w:bCs/>
          <w:sz w:val="24"/>
          <w:szCs w:val="24"/>
          <w:highlight w:val="yellow"/>
        </w:rPr>
        <w:t>Data Validity and Reliability</w:t>
      </w:r>
    </w:p>
    <w:p w14:paraId="27B46A47"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To ensure data validity and reliability, this study employs data triangulation by cross-checking quantitative and qualitative data. Moreover, interviews with diverse stakeholders help ensure that the information reflects actual conditions.</w:t>
      </w:r>
    </w:p>
    <w:p w14:paraId="4F5DEF00" w14:textId="77777777" w:rsidR="00E84598" w:rsidRPr="00341FB3" w:rsidRDefault="00E84598" w:rsidP="00E84598">
      <w:pPr>
        <w:jc w:val="both"/>
        <w:rPr>
          <w:rFonts w:ascii="Arial" w:hAnsi="Arial" w:cs="Arial"/>
          <w:b/>
          <w:bCs/>
          <w:sz w:val="24"/>
          <w:szCs w:val="24"/>
          <w:highlight w:val="yellow"/>
        </w:rPr>
      </w:pPr>
      <w:r w:rsidRPr="00341FB3">
        <w:rPr>
          <w:rFonts w:ascii="Arial" w:hAnsi="Arial" w:cs="Arial"/>
          <w:b/>
          <w:bCs/>
          <w:sz w:val="24"/>
          <w:szCs w:val="24"/>
          <w:highlight w:val="yellow"/>
        </w:rPr>
        <w:t>Analytical Workflow</w:t>
      </w:r>
    </w:p>
    <w:p w14:paraId="61A6A3BC"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 xml:space="preserve">The analytical process begins with secondary data collection, followed by stakeholder interviews. The collected data are </w:t>
      </w:r>
      <w:proofErr w:type="spellStart"/>
      <w:r w:rsidRPr="00341FB3">
        <w:rPr>
          <w:rFonts w:ascii="Arial" w:hAnsi="Arial" w:cs="Arial"/>
          <w:sz w:val="24"/>
          <w:szCs w:val="24"/>
          <w:highlight w:val="yellow"/>
        </w:rPr>
        <w:t>analyzed</w:t>
      </w:r>
      <w:proofErr w:type="spellEnd"/>
      <w:r w:rsidRPr="00341FB3">
        <w:rPr>
          <w:rFonts w:ascii="Arial" w:hAnsi="Arial" w:cs="Arial"/>
          <w:sz w:val="24"/>
          <w:szCs w:val="24"/>
          <w:highlight w:val="yellow"/>
        </w:rPr>
        <w:t xml:space="preserve"> using LQ and Klassen Typology to identify leading sectors. These results are integrated with interview findings to construct the SWOT analysis, which is then used to develop strategic recommendations.</w:t>
      </w:r>
    </w:p>
    <w:p w14:paraId="50E44574" w14:textId="77777777" w:rsidR="00E84598" w:rsidRPr="00341FB3" w:rsidRDefault="00E84598" w:rsidP="00E84598">
      <w:pPr>
        <w:jc w:val="both"/>
        <w:rPr>
          <w:rFonts w:ascii="Arial" w:hAnsi="Arial" w:cs="Arial"/>
          <w:sz w:val="24"/>
          <w:szCs w:val="24"/>
          <w:highlight w:val="yellow"/>
        </w:rPr>
      </w:pPr>
    </w:p>
    <w:p w14:paraId="60494B08" w14:textId="77777777" w:rsidR="00E84598" w:rsidRPr="00341FB3" w:rsidRDefault="00E84598" w:rsidP="00E84598">
      <w:pPr>
        <w:jc w:val="both"/>
        <w:rPr>
          <w:rFonts w:ascii="Arial" w:hAnsi="Arial" w:cs="Arial"/>
          <w:b/>
          <w:bCs/>
          <w:sz w:val="24"/>
          <w:szCs w:val="24"/>
          <w:highlight w:val="yellow"/>
        </w:rPr>
      </w:pPr>
      <w:r w:rsidRPr="00341FB3">
        <w:rPr>
          <w:rFonts w:ascii="Arial" w:hAnsi="Arial" w:cs="Arial"/>
          <w:b/>
          <w:bCs/>
          <w:sz w:val="24"/>
          <w:szCs w:val="24"/>
          <w:highlight w:val="yellow"/>
        </w:rPr>
        <w:t>III. Results and Discussion</w:t>
      </w:r>
    </w:p>
    <w:p w14:paraId="76D04E37"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 xml:space="preserve">This study aims to identify leading sectors in </w:t>
      </w:r>
      <w:proofErr w:type="spellStart"/>
      <w:r w:rsidRPr="00341FB3">
        <w:rPr>
          <w:rFonts w:ascii="Arial" w:hAnsi="Arial" w:cs="Arial"/>
          <w:sz w:val="24"/>
          <w:szCs w:val="24"/>
          <w:highlight w:val="yellow"/>
        </w:rPr>
        <w:t>Babussalam</w:t>
      </w:r>
      <w:proofErr w:type="spellEnd"/>
      <w:r w:rsidRPr="00341FB3">
        <w:rPr>
          <w:rFonts w:ascii="Arial" w:hAnsi="Arial" w:cs="Arial"/>
          <w:sz w:val="24"/>
          <w:szCs w:val="24"/>
          <w:highlight w:val="yellow"/>
        </w:rPr>
        <w:t xml:space="preserve"> Sub-district, Aceh Tenggara Regency, and to formulate development strategies based on these sectors. The results reveal significant findings regarding sectors that can drive local economic growth. Based on Location Quotient (LQ), Klassen Typology, and SWOT analyses, several leading sectors are identified as having strong development potential.</w:t>
      </w:r>
    </w:p>
    <w:p w14:paraId="30558BCB" w14:textId="77777777" w:rsidR="00E84598" w:rsidRPr="00341FB3" w:rsidRDefault="00E84598" w:rsidP="00E84598">
      <w:pPr>
        <w:jc w:val="both"/>
        <w:rPr>
          <w:rFonts w:ascii="Arial" w:hAnsi="Arial" w:cs="Arial"/>
          <w:b/>
          <w:bCs/>
          <w:sz w:val="24"/>
          <w:szCs w:val="24"/>
          <w:highlight w:val="yellow"/>
        </w:rPr>
      </w:pPr>
      <w:r w:rsidRPr="00341FB3">
        <w:rPr>
          <w:rFonts w:ascii="Arial" w:hAnsi="Arial" w:cs="Arial"/>
          <w:b/>
          <w:bCs/>
          <w:sz w:val="24"/>
          <w:szCs w:val="24"/>
          <w:highlight w:val="yellow"/>
        </w:rPr>
        <w:t xml:space="preserve">General Overview of </w:t>
      </w:r>
      <w:proofErr w:type="spellStart"/>
      <w:r w:rsidRPr="00341FB3">
        <w:rPr>
          <w:rFonts w:ascii="Arial" w:hAnsi="Arial" w:cs="Arial"/>
          <w:b/>
          <w:bCs/>
          <w:sz w:val="24"/>
          <w:szCs w:val="24"/>
          <w:highlight w:val="yellow"/>
        </w:rPr>
        <w:t>Babussalam</w:t>
      </w:r>
      <w:proofErr w:type="spellEnd"/>
      <w:r w:rsidRPr="00341FB3">
        <w:rPr>
          <w:rFonts w:ascii="Arial" w:hAnsi="Arial" w:cs="Arial"/>
          <w:b/>
          <w:bCs/>
          <w:sz w:val="24"/>
          <w:szCs w:val="24"/>
          <w:highlight w:val="yellow"/>
        </w:rPr>
        <w:t xml:space="preserve"> Sub-district</w:t>
      </w:r>
    </w:p>
    <w:p w14:paraId="5CE0AF4E" w14:textId="77777777" w:rsidR="00E84598" w:rsidRPr="00341FB3" w:rsidRDefault="00E84598" w:rsidP="00E84598">
      <w:pPr>
        <w:jc w:val="both"/>
        <w:rPr>
          <w:rFonts w:ascii="Arial" w:hAnsi="Arial" w:cs="Arial"/>
          <w:sz w:val="24"/>
          <w:szCs w:val="24"/>
          <w:highlight w:val="yellow"/>
        </w:rPr>
      </w:pPr>
      <w:proofErr w:type="spellStart"/>
      <w:r w:rsidRPr="00341FB3">
        <w:rPr>
          <w:rFonts w:ascii="Arial" w:hAnsi="Arial" w:cs="Arial"/>
          <w:sz w:val="24"/>
          <w:szCs w:val="24"/>
          <w:highlight w:val="yellow"/>
        </w:rPr>
        <w:t>Babussalam</w:t>
      </w:r>
      <w:proofErr w:type="spellEnd"/>
      <w:r w:rsidRPr="00341FB3">
        <w:rPr>
          <w:rFonts w:ascii="Arial" w:hAnsi="Arial" w:cs="Arial"/>
          <w:sz w:val="24"/>
          <w:szCs w:val="24"/>
          <w:highlight w:val="yellow"/>
        </w:rPr>
        <w:t xml:space="preserve"> Sub-district is the administrative and economic </w:t>
      </w:r>
      <w:proofErr w:type="spellStart"/>
      <w:r w:rsidRPr="00341FB3">
        <w:rPr>
          <w:rFonts w:ascii="Arial" w:hAnsi="Arial" w:cs="Arial"/>
          <w:sz w:val="24"/>
          <w:szCs w:val="24"/>
          <w:highlight w:val="yellow"/>
        </w:rPr>
        <w:t>center</w:t>
      </w:r>
      <w:proofErr w:type="spellEnd"/>
      <w:r w:rsidRPr="00341FB3">
        <w:rPr>
          <w:rFonts w:ascii="Arial" w:hAnsi="Arial" w:cs="Arial"/>
          <w:sz w:val="24"/>
          <w:szCs w:val="24"/>
          <w:highlight w:val="yellow"/>
        </w:rPr>
        <w:t xml:space="preserve"> of Aceh Tenggara Regency. The area has relatively good accessibility, supported by main transportation routes connecting </w:t>
      </w:r>
      <w:proofErr w:type="spellStart"/>
      <w:r w:rsidRPr="00341FB3">
        <w:rPr>
          <w:rFonts w:ascii="Arial" w:hAnsi="Arial" w:cs="Arial"/>
          <w:sz w:val="24"/>
          <w:szCs w:val="24"/>
          <w:highlight w:val="yellow"/>
        </w:rPr>
        <w:t>Babussalam</w:t>
      </w:r>
      <w:proofErr w:type="spellEnd"/>
      <w:r w:rsidRPr="00341FB3">
        <w:rPr>
          <w:rFonts w:ascii="Arial" w:hAnsi="Arial" w:cs="Arial"/>
          <w:sz w:val="24"/>
          <w:szCs w:val="24"/>
          <w:highlight w:val="yellow"/>
        </w:rPr>
        <w:t xml:space="preserve"> with </w:t>
      </w:r>
      <w:proofErr w:type="spellStart"/>
      <w:r w:rsidRPr="00341FB3">
        <w:rPr>
          <w:rFonts w:ascii="Arial" w:hAnsi="Arial" w:cs="Arial"/>
          <w:sz w:val="24"/>
          <w:szCs w:val="24"/>
          <w:highlight w:val="yellow"/>
        </w:rPr>
        <w:t>Kutacane</w:t>
      </w:r>
      <w:proofErr w:type="spellEnd"/>
      <w:r w:rsidRPr="00341FB3">
        <w:rPr>
          <w:rFonts w:ascii="Arial" w:hAnsi="Arial" w:cs="Arial"/>
          <w:sz w:val="24"/>
          <w:szCs w:val="24"/>
          <w:highlight w:val="yellow"/>
        </w:rPr>
        <w:t xml:space="preserve"> and Medan. Along with continuous economic development, sectors such as agriculture, trade, and transportation contribute substantially to local GRDP. Based on BPS 2025 data, the GRDP of Aceh Tenggara Regency shows a positive trend, although disparities remain among key sectors in terms of their contributions to the economy.</w:t>
      </w:r>
    </w:p>
    <w:p w14:paraId="32B224E5" w14:textId="77777777" w:rsidR="00E84598" w:rsidRPr="00341FB3" w:rsidRDefault="00E84598" w:rsidP="00E84598">
      <w:pPr>
        <w:jc w:val="both"/>
        <w:rPr>
          <w:rFonts w:ascii="Arial" w:hAnsi="Arial" w:cs="Arial"/>
          <w:b/>
          <w:bCs/>
          <w:sz w:val="24"/>
          <w:szCs w:val="24"/>
          <w:highlight w:val="yellow"/>
        </w:rPr>
      </w:pPr>
      <w:r w:rsidRPr="00341FB3">
        <w:rPr>
          <w:rFonts w:ascii="Arial" w:hAnsi="Arial" w:cs="Arial"/>
          <w:b/>
          <w:bCs/>
          <w:sz w:val="24"/>
          <w:szCs w:val="24"/>
          <w:highlight w:val="yellow"/>
        </w:rPr>
        <w:t>Identification of Leading Sectors</w:t>
      </w:r>
    </w:p>
    <w:p w14:paraId="773E2BB2"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Based on Location Quotient (LQ) analysis, the agricultural sector—particularly Arabica coffee and cocoa—shows an LQ value around 1.00 during 2020–2024, indicating a near-parity position relative to the regency and therefore remaining a key (base/near-base) sector. This pattern suggests that agriculture still dominates the local economy, but its comparative advantage is narrow and requires strengthening through productivity improvements, quality standardisation, and expanded market access.</w:t>
      </w:r>
    </w:p>
    <w:p w14:paraId="271F48F2" w14:textId="77777777" w:rsidR="00E84598" w:rsidRPr="00341FB3" w:rsidRDefault="00E84598" w:rsidP="00E84598">
      <w:pPr>
        <w:jc w:val="both"/>
        <w:rPr>
          <w:rFonts w:ascii="Arial" w:hAnsi="Arial" w:cs="Arial"/>
          <w:b/>
          <w:bCs/>
          <w:sz w:val="24"/>
          <w:szCs w:val="24"/>
          <w:highlight w:val="yellow"/>
        </w:rPr>
      </w:pPr>
      <w:r w:rsidRPr="00341FB3">
        <w:rPr>
          <w:rFonts w:ascii="Arial" w:hAnsi="Arial" w:cs="Arial"/>
          <w:b/>
          <w:bCs/>
          <w:sz w:val="24"/>
          <w:szCs w:val="24"/>
          <w:highlight w:val="yellow"/>
        </w:rPr>
        <w:lastRenderedPageBreak/>
        <w:t xml:space="preserve">Table 1 GRDP of the Agricultural Sector in </w:t>
      </w:r>
      <w:proofErr w:type="spellStart"/>
      <w:r w:rsidRPr="00341FB3">
        <w:rPr>
          <w:rFonts w:ascii="Arial" w:hAnsi="Arial" w:cs="Arial"/>
          <w:b/>
          <w:bCs/>
          <w:sz w:val="24"/>
          <w:szCs w:val="24"/>
          <w:highlight w:val="yellow"/>
        </w:rPr>
        <w:t>Babussalam</w:t>
      </w:r>
      <w:proofErr w:type="spellEnd"/>
      <w:r w:rsidRPr="00341FB3">
        <w:rPr>
          <w:rFonts w:ascii="Arial" w:hAnsi="Arial" w:cs="Arial"/>
          <w:b/>
          <w:bCs/>
          <w:sz w:val="24"/>
          <w:szCs w:val="24"/>
          <w:highlight w:val="yellow"/>
        </w:rPr>
        <w:t xml:space="preserve"> Sub-district (2010 Constant Prices; billion rupiah)</w:t>
      </w:r>
      <w:r w:rsidRPr="00341FB3">
        <w:rPr>
          <w:rFonts w:ascii="Arial" w:hAnsi="Arial" w:cs="Arial"/>
          <w:sz w:val="24"/>
          <w:szCs w:val="24"/>
          <w:highlight w:val="yellow"/>
        </w:rPr>
        <w:br/>
      </w:r>
    </w:p>
    <w:tbl>
      <w:tblPr>
        <w:tblStyle w:val="TableGrid"/>
        <w:tblW w:w="0" w:type="auto"/>
        <w:tblLook w:val="04A0" w:firstRow="1" w:lastRow="0" w:firstColumn="1" w:lastColumn="0" w:noHBand="0" w:noVBand="1"/>
      </w:tblPr>
      <w:tblGrid>
        <w:gridCol w:w="750"/>
        <w:gridCol w:w="5010"/>
        <w:gridCol w:w="3256"/>
      </w:tblGrid>
      <w:tr w:rsidR="00E84598" w:rsidRPr="00341FB3" w14:paraId="60AC814A" w14:textId="77777777" w:rsidTr="00E84598">
        <w:tc>
          <w:tcPr>
            <w:tcW w:w="0" w:type="auto"/>
            <w:hideMark/>
          </w:tcPr>
          <w:p w14:paraId="763E3A5C" w14:textId="77777777" w:rsidR="00E84598" w:rsidRPr="00341FB3" w:rsidRDefault="00E84598" w:rsidP="00E84598">
            <w:pPr>
              <w:spacing w:after="160" w:line="259" w:lineRule="auto"/>
              <w:jc w:val="both"/>
              <w:rPr>
                <w:rFonts w:ascii="Arial" w:hAnsi="Arial" w:cs="Arial"/>
                <w:b/>
                <w:bCs/>
                <w:sz w:val="24"/>
                <w:szCs w:val="24"/>
                <w:highlight w:val="yellow"/>
              </w:rPr>
            </w:pPr>
            <w:r w:rsidRPr="00341FB3">
              <w:rPr>
                <w:rFonts w:ascii="Arial" w:hAnsi="Arial" w:cs="Arial"/>
                <w:b/>
                <w:bCs/>
                <w:sz w:val="24"/>
                <w:szCs w:val="24"/>
                <w:highlight w:val="yellow"/>
              </w:rPr>
              <w:t>Year</w:t>
            </w:r>
          </w:p>
        </w:tc>
        <w:tc>
          <w:tcPr>
            <w:tcW w:w="0" w:type="auto"/>
            <w:hideMark/>
          </w:tcPr>
          <w:p w14:paraId="4C51E271" w14:textId="77777777" w:rsidR="00E84598" w:rsidRPr="00341FB3" w:rsidRDefault="00E84598" w:rsidP="00E84598">
            <w:pPr>
              <w:spacing w:after="160" w:line="259" w:lineRule="auto"/>
              <w:jc w:val="both"/>
              <w:rPr>
                <w:rFonts w:ascii="Arial" w:hAnsi="Arial" w:cs="Arial"/>
                <w:b/>
                <w:bCs/>
                <w:sz w:val="24"/>
                <w:szCs w:val="24"/>
                <w:highlight w:val="yellow"/>
              </w:rPr>
            </w:pPr>
            <w:r w:rsidRPr="00341FB3">
              <w:rPr>
                <w:rFonts w:ascii="Arial" w:hAnsi="Arial" w:cs="Arial"/>
                <w:b/>
                <w:bCs/>
                <w:sz w:val="24"/>
                <w:szCs w:val="24"/>
                <w:highlight w:val="yellow"/>
              </w:rPr>
              <w:t>GRDP of the Agricultural Sector (billion rupiah)</w:t>
            </w:r>
          </w:p>
        </w:tc>
        <w:tc>
          <w:tcPr>
            <w:tcW w:w="0" w:type="auto"/>
            <w:hideMark/>
          </w:tcPr>
          <w:p w14:paraId="7C68EF2D" w14:textId="77777777" w:rsidR="00E84598" w:rsidRPr="00341FB3" w:rsidRDefault="00E84598" w:rsidP="00E84598">
            <w:pPr>
              <w:spacing w:after="160" w:line="259" w:lineRule="auto"/>
              <w:jc w:val="both"/>
              <w:rPr>
                <w:rFonts w:ascii="Arial" w:hAnsi="Arial" w:cs="Arial"/>
                <w:b/>
                <w:bCs/>
                <w:sz w:val="24"/>
                <w:szCs w:val="24"/>
                <w:highlight w:val="yellow"/>
              </w:rPr>
            </w:pPr>
            <w:r w:rsidRPr="00341FB3">
              <w:rPr>
                <w:rFonts w:ascii="Arial" w:hAnsi="Arial" w:cs="Arial"/>
                <w:b/>
                <w:bCs/>
                <w:sz w:val="24"/>
                <w:szCs w:val="24"/>
                <w:highlight w:val="yellow"/>
              </w:rPr>
              <w:t>Proportion of Total GRDP (%)</w:t>
            </w:r>
          </w:p>
        </w:tc>
      </w:tr>
      <w:tr w:rsidR="00E84598" w:rsidRPr="00341FB3" w14:paraId="1428EF26" w14:textId="77777777" w:rsidTr="00E84598">
        <w:tc>
          <w:tcPr>
            <w:tcW w:w="0" w:type="auto"/>
            <w:hideMark/>
          </w:tcPr>
          <w:p w14:paraId="54E8DC1B" w14:textId="77777777" w:rsidR="009C643C" w:rsidRPr="00341FB3" w:rsidRDefault="003816EF">
            <w:pPr>
              <w:rPr>
                <w:rFonts w:ascii="Arial" w:hAnsi="Arial" w:cs="Arial"/>
                <w:sz w:val="24"/>
                <w:szCs w:val="24"/>
                <w:highlight w:val="yellow"/>
              </w:rPr>
            </w:pPr>
            <w:r w:rsidRPr="00341FB3">
              <w:rPr>
                <w:rFonts w:ascii="Arial" w:hAnsi="Arial" w:cs="Arial"/>
                <w:sz w:val="24"/>
                <w:szCs w:val="24"/>
                <w:highlight w:val="yellow"/>
              </w:rPr>
              <w:t>2020</w:t>
            </w:r>
          </w:p>
        </w:tc>
        <w:tc>
          <w:tcPr>
            <w:tcW w:w="0" w:type="auto"/>
            <w:hideMark/>
          </w:tcPr>
          <w:p w14:paraId="0450EB0D" w14:textId="77777777" w:rsidR="009C643C" w:rsidRPr="00341FB3" w:rsidRDefault="003816EF">
            <w:pPr>
              <w:rPr>
                <w:rFonts w:ascii="Arial" w:hAnsi="Arial" w:cs="Arial"/>
                <w:sz w:val="24"/>
                <w:szCs w:val="24"/>
                <w:highlight w:val="yellow"/>
              </w:rPr>
            </w:pPr>
            <w:r w:rsidRPr="00341FB3">
              <w:rPr>
                <w:rFonts w:ascii="Arial" w:hAnsi="Arial" w:cs="Arial"/>
                <w:sz w:val="24"/>
                <w:szCs w:val="24"/>
                <w:highlight w:val="yellow"/>
              </w:rPr>
              <w:t>125.75</w:t>
            </w:r>
          </w:p>
        </w:tc>
        <w:tc>
          <w:tcPr>
            <w:tcW w:w="0" w:type="auto"/>
            <w:hideMark/>
          </w:tcPr>
          <w:p w14:paraId="2F561323" w14:textId="77777777" w:rsidR="009C643C" w:rsidRPr="00341FB3" w:rsidRDefault="003816EF">
            <w:pPr>
              <w:rPr>
                <w:rFonts w:ascii="Arial" w:hAnsi="Arial" w:cs="Arial"/>
                <w:sz w:val="24"/>
                <w:szCs w:val="24"/>
                <w:highlight w:val="yellow"/>
              </w:rPr>
            </w:pPr>
            <w:r w:rsidRPr="00341FB3">
              <w:rPr>
                <w:rFonts w:ascii="Arial" w:hAnsi="Arial" w:cs="Arial"/>
                <w:sz w:val="24"/>
                <w:szCs w:val="24"/>
                <w:highlight w:val="yellow"/>
              </w:rPr>
              <w:t>42.03</w:t>
            </w:r>
          </w:p>
        </w:tc>
      </w:tr>
      <w:tr w:rsidR="00E84598" w:rsidRPr="00341FB3" w14:paraId="71C6E151" w14:textId="77777777" w:rsidTr="00E84598">
        <w:tc>
          <w:tcPr>
            <w:tcW w:w="0" w:type="auto"/>
            <w:hideMark/>
          </w:tcPr>
          <w:p w14:paraId="016B3896" w14:textId="77777777" w:rsidR="009C643C" w:rsidRPr="00341FB3" w:rsidRDefault="003816EF">
            <w:pPr>
              <w:rPr>
                <w:rFonts w:ascii="Arial" w:hAnsi="Arial" w:cs="Arial"/>
                <w:sz w:val="24"/>
                <w:szCs w:val="24"/>
                <w:highlight w:val="yellow"/>
              </w:rPr>
            </w:pPr>
            <w:r w:rsidRPr="00341FB3">
              <w:rPr>
                <w:rFonts w:ascii="Arial" w:hAnsi="Arial" w:cs="Arial"/>
                <w:sz w:val="24"/>
                <w:szCs w:val="24"/>
                <w:highlight w:val="yellow"/>
              </w:rPr>
              <w:t>2021</w:t>
            </w:r>
          </w:p>
        </w:tc>
        <w:tc>
          <w:tcPr>
            <w:tcW w:w="0" w:type="auto"/>
            <w:hideMark/>
          </w:tcPr>
          <w:p w14:paraId="09667350" w14:textId="77777777" w:rsidR="009C643C" w:rsidRPr="00341FB3" w:rsidRDefault="003816EF">
            <w:pPr>
              <w:rPr>
                <w:rFonts w:ascii="Arial" w:hAnsi="Arial" w:cs="Arial"/>
                <w:sz w:val="24"/>
                <w:szCs w:val="24"/>
                <w:highlight w:val="yellow"/>
              </w:rPr>
            </w:pPr>
            <w:r w:rsidRPr="00341FB3">
              <w:rPr>
                <w:rFonts w:ascii="Arial" w:hAnsi="Arial" w:cs="Arial"/>
                <w:sz w:val="24"/>
                <w:szCs w:val="24"/>
                <w:highlight w:val="yellow"/>
              </w:rPr>
              <w:t>122.23</w:t>
            </w:r>
          </w:p>
        </w:tc>
        <w:tc>
          <w:tcPr>
            <w:tcW w:w="0" w:type="auto"/>
            <w:hideMark/>
          </w:tcPr>
          <w:p w14:paraId="3A628CF8" w14:textId="77777777" w:rsidR="009C643C" w:rsidRPr="00341FB3" w:rsidRDefault="003816EF">
            <w:pPr>
              <w:rPr>
                <w:rFonts w:ascii="Arial" w:hAnsi="Arial" w:cs="Arial"/>
                <w:sz w:val="24"/>
                <w:szCs w:val="24"/>
                <w:highlight w:val="yellow"/>
              </w:rPr>
            </w:pPr>
            <w:r w:rsidRPr="00341FB3">
              <w:rPr>
                <w:rFonts w:ascii="Arial" w:hAnsi="Arial" w:cs="Arial"/>
                <w:sz w:val="24"/>
                <w:szCs w:val="24"/>
                <w:highlight w:val="yellow"/>
              </w:rPr>
              <w:t>40.19</w:t>
            </w:r>
          </w:p>
        </w:tc>
      </w:tr>
      <w:tr w:rsidR="00E84598" w:rsidRPr="00341FB3" w14:paraId="7AB365B1" w14:textId="77777777" w:rsidTr="00E84598">
        <w:tc>
          <w:tcPr>
            <w:tcW w:w="0" w:type="auto"/>
            <w:hideMark/>
          </w:tcPr>
          <w:p w14:paraId="75BED310" w14:textId="77777777" w:rsidR="009C643C" w:rsidRPr="00341FB3" w:rsidRDefault="003816EF">
            <w:pPr>
              <w:rPr>
                <w:rFonts w:ascii="Arial" w:hAnsi="Arial" w:cs="Arial"/>
                <w:sz w:val="24"/>
                <w:szCs w:val="24"/>
                <w:highlight w:val="yellow"/>
              </w:rPr>
            </w:pPr>
            <w:r w:rsidRPr="00341FB3">
              <w:rPr>
                <w:rFonts w:ascii="Arial" w:hAnsi="Arial" w:cs="Arial"/>
                <w:sz w:val="24"/>
                <w:szCs w:val="24"/>
                <w:highlight w:val="yellow"/>
              </w:rPr>
              <w:t>2022</w:t>
            </w:r>
          </w:p>
        </w:tc>
        <w:tc>
          <w:tcPr>
            <w:tcW w:w="0" w:type="auto"/>
            <w:hideMark/>
          </w:tcPr>
          <w:p w14:paraId="34B409B8" w14:textId="77777777" w:rsidR="009C643C" w:rsidRPr="00341FB3" w:rsidRDefault="003816EF">
            <w:pPr>
              <w:rPr>
                <w:rFonts w:ascii="Arial" w:hAnsi="Arial" w:cs="Arial"/>
                <w:sz w:val="24"/>
                <w:szCs w:val="24"/>
                <w:highlight w:val="yellow"/>
              </w:rPr>
            </w:pPr>
            <w:r w:rsidRPr="00341FB3">
              <w:rPr>
                <w:rFonts w:ascii="Arial" w:hAnsi="Arial" w:cs="Arial"/>
                <w:sz w:val="24"/>
                <w:szCs w:val="24"/>
                <w:highlight w:val="yellow"/>
              </w:rPr>
              <w:t>123.56</w:t>
            </w:r>
          </w:p>
        </w:tc>
        <w:tc>
          <w:tcPr>
            <w:tcW w:w="0" w:type="auto"/>
            <w:hideMark/>
          </w:tcPr>
          <w:p w14:paraId="79E5A9E3" w14:textId="77777777" w:rsidR="009C643C" w:rsidRPr="00341FB3" w:rsidRDefault="003816EF">
            <w:pPr>
              <w:rPr>
                <w:rFonts w:ascii="Arial" w:hAnsi="Arial" w:cs="Arial"/>
                <w:sz w:val="24"/>
                <w:szCs w:val="24"/>
                <w:highlight w:val="yellow"/>
              </w:rPr>
            </w:pPr>
            <w:r w:rsidRPr="00341FB3">
              <w:rPr>
                <w:rFonts w:ascii="Arial" w:hAnsi="Arial" w:cs="Arial"/>
                <w:sz w:val="24"/>
                <w:szCs w:val="24"/>
                <w:highlight w:val="yellow"/>
              </w:rPr>
              <w:t>39.58</w:t>
            </w:r>
          </w:p>
        </w:tc>
      </w:tr>
      <w:tr w:rsidR="00E84598" w:rsidRPr="00341FB3" w14:paraId="24C3D432" w14:textId="77777777" w:rsidTr="00E84598">
        <w:tc>
          <w:tcPr>
            <w:tcW w:w="0" w:type="auto"/>
            <w:hideMark/>
          </w:tcPr>
          <w:p w14:paraId="4F513DCC" w14:textId="77777777" w:rsidR="009C643C" w:rsidRPr="00341FB3" w:rsidRDefault="003816EF">
            <w:pPr>
              <w:rPr>
                <w:rFonts w:ascii="Arial" w:hAnsi="Arial" w:cs="Arial"/>
                <w:sz w:val="24"/>
                <w:szCs w:val="24"/>
                <w:highlight w:val="yellow"/>
              </w:rPr>
            </w:pPr>
            <w:r w:rsidRPr="00341FB3">
              <w:rPr>
                <w:rFonts w:ascii="Arial" w:hAnsi="Arial" w:cs="Arial"/>
                <w:sz w:val="24"/>
                <w:szCs w:val="24"/>
                <w:highlight w:val="yellow"/>
              </w:rPr>
              <w:t>2023</w:t>
            </w:r>
          </w:p>
        </w:tc>
        <w:tc>
          <w:tcPr>
            <w:tcW w:w="0" w:type="auto"/>
            <w:hideMark/>
          </w:tcPr>
          <w:p w14:paraId="7ABC96BE" w14:textId="77777777" w:rsidR="009C643C" w:rsidRPr="00341FB3" w:rsidRDefault="003816EF">
            <w:pPr>
              <w:rPr>
                <w:rFonts w:ascii="Arial" w:hAnsi="Arial" w:cs="Arial"/>
                <w:sz w:val="24"/>
                <w:szCs w:val="24"/>
                <w:highlight w:val="yellow"/>
              </w:rPr>
            </w:pPr>
            <w:r w:rsidRPr="00341FB3">
              <w:rPr>
                <w:rFonts w:ascii="Arial" w:hAnsi="Arial" w:cs="Arial"/>
                <w:sz w:val="24"/>
                <w:szCs w:val="24"/>
                <w:highlight w:val="yellow"/>
              </w:rPr>
              <w:t>128.54</w:t>
            </w:r>
          </w:p>
        </w:tc>
        <w:tc>
          <w:tcPr>
            <w:tcW w:w="0" w:type="auto"/>
            <w:hideMark/>
          </w:tcPr>
          <w:p w14:paraId="2FEFFCD9" w14:textId="77777777" w:rsidR="009C643C" w:rsidRPr="00341FB3" w:rsidRDefault="003816EF">
            <w:pPr>
              <w:rPr>
                <w:rFonts w:ascii="Arial" w:hAnsi="Arial" w:cs="Arial"/>
                <w:sz w:val="24"/>
                <w:szCs w:val="24"/>
                <w:highlight w:val="yellow"/>
              </w:rPr>
            </w:pPr>
            <w:r w:rsidRPr="00341FB3">
              <w:rPr>
                <w:rFonts w:ascii="Arial" w:hAnsi="Arial" w:cs="Arial"/>
                <w:sz w:val="24"/>
                <w:szCs w:val="24"/>
                <w:highlight w:val="yellow"/>
              </w:rPr>
              <w:t>39.97</w:t>
            </w:r>
          </w:p>
        </w:tc>
      </w:tr>
      <w:tr w:rsidR="00E84598" w:rsidRPr="00341FB3" w14:paraId="7EB5B66B" w14:textId="77777777" w:rsidTr="00E84598">
        <w:tc>
          <w:tcPr>
            <w:tcW w:w="0" w:type="auto"/>
            <w:hideMark/>
          </w:tcPr>
          <w:p w14:paraId="07B040F5" w14:textId="77777777" w:rsidR="009C643C" w:rsidRPr="00341FB3" w:rsidRDefault="003816EF">
            <w:pPr>
              <w:rPr>
                <w:rFonts w:ascii="Arial" w:hAnsi="Arial" w:cs="Arial"/>
                <w:sz w:val="24"/>
                <w:szCs w:val="24"/>
                <w:highlight w:val="yellow"/>
              </w:rPr>
            </w:pPr>
            <w:r w:rsidRPr="00341FB3">
              <w:rPr>
                <w:rFonts w:ascii="Arial" w:hAnsi="Arial" w:cs="Arial"/>
                <w:sz w:val="24"/>
                <w:szCs w:val="24"/>
                <w:highlight w:val="yellow"/>
              </w:rPr>
              <w:t>2024</w:t>
            </w:r>
          </w:p>
        </w:tc>
        <w:tc>
          <w:tcPr>
            <w:tcW w:w="0" w:type="auto"/>
            <w:hideMark/>
          </w:tcPr>
          <w:p w14:paraId="0FB8B2BA" w14:textId="77777777" w:rsidR="009C643C" w:rsidRPr="00341FB3" w:rsidRDefault="003816EF">
            <w:pPr>
              <w:rPr>
                <w:rFonts w:ascii="Arial" w:hAnsi="Arial" w:cs="Arial"/>
                <w:sz w:val="24"/>
                <w:szCs w:val="24"/>
                <w:highlight w:val="yellow"/>
              </w:rPr>
            </w:pPr>
            <w:r w:rsidRPr="00341FB3">
              <w:rPr>
                <w:rFonts w:ascii="Arial" w:hAnsi="Arial" w:cs="Arial"/>
                <w:sz w:val="24"/>
                <w:szCs w:val="24"/>
                <w:highlight w:val="yellow"/>
              </w:rPr>
              <w:t>133.09</w:t>
            </w:r>
          </w:p>
        </w:tc>
        <w:tc>
          <w:tcPr>
            <w:tcW w:w="0" w:type="auto"/>
            <w:hideMark/>
          </w:tcPr>
          <w:p w14:paraId="3BAD3421" w14:textId="77777777" w:rsidR="009C643C" w:rsidRPr="00341FB3" w:rsidRDefault="003816EF">
            <w:pPr>
              <w:rPr>
                <w:rFonts w:ascii="Arial" w:hAnsi="Arial" w:cs="Arial"/>
                <w:sz w:val="24"/>
                <w:szCs w:val="24"/>
                <w:highlight w:val="yellow"/>
              </w:rPr>
            </w:pPr>
            <w:r w:rsidRPr="00341FB3">
              <w:rPr>
                <w:rFonts w:ascii="Arial" w:hAnsi="Arial" w:cs="Arial"/>
                <w:sz w:val="24"/>
                <w:szCs w:val="24"/>
                <w:highlight w:val="yellow"/>
              </w:rPr>
              <w:t>39.90</w:t>
            </w:r>
          </w:p>
        </w:tc>
      </w:tr>
    </w:tbl>
    <w:p w14:paraId="1C241E4F"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The table above shows the contribution of the agricultural sector to Babussalam’s GRDP from 2020 to 2024. In constant prices (ADHK 2010), agricultural GRDP increases from IDR 125.75 billion (2020) to IDR 133.09 billion (2024). However, its share of total GRDP gradually declines from 42.03% to 39.90%, indicating that although agriculture remains the largest contributor, other sectors are growing at a comparable or faster pace.</w:t>
      </w:r>
    </w:p>
    <w:p w14:paraId="30AB84DB" w14:textId="77777777" w:rsidR="00E84598" w:rsidRPr="00341FB3" w:rsidRDefault="00E84598" w:rsidP="00E84598">
      <w:pPr>
        <w:jc w:val="both"/>
        <w:rPr>
          <w:rFonts w:ascii="Arial" w:hAnsi="Arial" w:cs="Arial"/>
          <w:b/>
          <w:bCs/>
          <w:sz w:val="24"/>
          <w:szCs w:val="24"/>
          <w:highlight w:val="yellow"/>
        </w:rPr>
      </w:pPr>
      <w:r w:rsidRPr="00341FB3">
        <w:rPr>
          <w:rFonts w:ascii="Arial" w:hAnsi="Arial" w:cs="Arial"/>
          <w:b/>
          <w:bCs/>
          <w:sz w:val="24"/>
          <w:szCs w:val="24"/>
          <w:highlight w:val="yellow"/>
        </w:rPr>
        <w:t>Wholesale and Retail Trade:</w:t>
      </w:r>
    </w:p>
    <w:p w14:paraId="3F149C53"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The wholesale and retail trade sector shows a clear upward trend based on LQ results. Its LQ is at parity (≈ 1.00) in 2020–2021 and rises above 1.00 in 2022–2024 (around 1.02–1.06), indicating strengthening specialisation and an increasingly stable base sector. In the Klassen Typology, this sector reaches Quadrant I in 2023, implying that it is both advanced and rapidly growing. Ongoing infrastructure development, improved market access, and better logistics connectivity are key drivers supporting this sector’s expansion.</w:t>
      </w:r>
    </w:p>
    <w:p w14:paraId="14BE0308" w14:textId="77777777" w:rsidR="00E84598" w:rsidRPr="00341FB3" w:rsidRDefault="00E84598" w:rsidP="00E84598">
      <w:pPr>
        <w:jc w:val="both"/>
        <w:rPr>
          <w:rFonts w:ascii="Arial" w:hAnsi="Arial" w:cs="Arial"/>
          <w:sz w:val="24"/>
          <w:szCs w:val="24"/>
          <w:highlight w:val="yellow"/>
        </w:rPr>
      </w:pPr>
      <w:r w:rsidRPr="00341FB3">
        <w:rPr>
          <w:rFonts w:ascii="Arial" w:hAnsi="Arial" w:cs="Arial"/>
          <w:b/>
          <w:bCs/>
          <w:sz w:val="24"/>
          <w:szCs w:val="24"/>
          <w:highlight w:val="yellow"/>
        </w:rPr>
        <w:t xml:space="preserve">Table 2 GRDP of the Wholesale and Retail Trade Sector in </w:t>
      </w:r>
      <w:proofErr w:type="spellStart"/>
      <w:r w:rsidRPr="00341FB3">
        <w:rPr>
          <w:rFonts w:ascii="Arial" w:hAnsi="Arial" w:cs="Arial"/>
          <w:b/>
          <w:bCs/>
          <w:sz w:val="24"/>
          <w:szCs w:val="24"/>
          <w:highlight w:val="yellow"/>
        </w:rPr>
        <w:t>Babussalam</w:t>
      </w:r>
      <w:proofErr w:type="spellEnd"/>
      <w:r w:rsidRPr="00341FB3">
        <w:rPr>
          <w:rFonts w:ascii="Arial" w:hAnsi="Arial" w:cs="Arial"/>
          <w:b/>
          <w:bCs/>
          <w:sz w:val="24"/>
          <w:szCs w:val="24"/>
          <w:highlight w:val="yellow"/>
        </w:rPr>
        <w:t xml:space="preserve"> Sub-district </w:t>
      </w:r>
    </w:p>
    <w:tbl>
      <w:tblPr>
        <w:tblStyle w:val="TableGrid"/>
        <w:tblW w:w="0" w:type="auto"/>
        <w:tblLook w:val="04A0" w:firstRow="1" w:lastRow="0" w:firstColumn="1" w:lastColumn="0" w:noHBand="0" w:noVBand="1"/>
      </w:tblPr>
      <w:tblGrid>
        <w:gridCol w:w="750"/>
        <w:gridCol w:w="5144"/>
        <w:gridCol w:w="3122"/>
      </w:tblGrid>
      <w:tr w:rsidR="00E84598" w:rsidRPr="00341FB3" w14:paraId="0D75B746" w14:textId="77777777" w:rsidTr="00E84598">
        <w:tc>
          <w:tcPr>
            <w:tcW w:w="0" w:type="auto"/>
            <w:hideMark/>
          </w:tcPr>
          <w:p w14:paraId="58870C71" w14:textId="77777777" w:rsidR="00E84598" w:rsidRPr="00341FB3" w:rsidRDefault="00E84598" w:rsidP="00E84598">
            <w:pPr>
              <w:spacing w:after="160" w:line="259" w:lineRule="auto"/>
              <w:jc w:val="both"/>
              <w:rPr>
                <w:rFonts w:ascii="Arial" w:hAnsi="Arial" w:cs="Arial"/>
                <w:b/>
                <w:bCs/>
                <w:sz w:val="24"/>
                <w:szCs w:val="24"/>
                <w:highlight w:val="yellow"/>
              </w:rPr>
            </w:pPr>
            <w:r w:rsidRPr="00341FB3">
              <w:rPr>
                <w:rFonts w:ascii="Arial" w:hAnsi="Arial" w:cs="Arial"/>
                <w:b/>
                <w:bCs/>
                <w:sz w:val="24"/>
                <w:szCs w:val="24"/>
                <w:highlight w:val="yellow"/>
              </w:rPr>
              <w:t>Year</w:t>
            </w:r>
          </w:p>
        </w:tc>
        <w:tc>
          <w:tcPr>
            <w:tcW w:w="0" w:type="auto"/>
            <w:hideMark/>
          </w:tcPr>
          <w:p w14:paraId="4FF53047" w14:textId="77777777" w:rsidR="00E84598" w:rsidRPr="00341FB3" w:rsidRDefault="00E84598" w:rsidP="00E84598">
            <w:pPr>
              <w:spacing w:after="160" w:line="259" w:lineRule="auto"/>
              <w:jc w:val="both"/>
              <w:rPr>
                <w:rFonts w:ascii="Arial" w:hAnsi="Arial" w:cs="Arial"/>
                <w:b/>
                <w:bCs/>
                <w:sz w:val="24"/>
                <w:szCs w:val="24"/>
                <w:highlight w:val="yellow"/>
              </w:rPr>
            </w:pPr>
            <w:r w:rsidRPr="00341FB3">
              <w:rPr>
                <w:rFonts w:ascii="Arial" w:hAnsi="Arial" w:cs="Arial"/>
                <w:b/>
                <w:bCs/>
                <w:sz w:val="24"/>
                <w:szCs w:val="24"/>
                <w:highlight w:val="yellow"/>
              </w:rPr>
              <w:t>GRDP of Wholesale and Retail Trade (billion rupiah)</w:t>
            </w:r>
          </w:p>
        </w:tc>
        <w:tc>
          <w:tcPr>
            <w:tcW w:w="0" w:type="auto"/>
            <w:hideMark/>
          </w:tcPr>
          <w:p w14:paraId="0C49FCD9" w14:textId="77777777" w:rsidR="00E84598" w:rsidRPr="00341FB3" w:rsidRDefault="00E84598" w:rsidP="00E84598">
            <w:pPr>
              <w:spacing w:after="160" w:line="259" w:lineRule="auto"/>
              <w:jc w:val="both"/>
              <w:rPr>
                <w:rFonts w:ascii="Arial" w:hAnsi="Arial" w:cs="Arial"/>
                <w:b/>
                <w:bCs/>
                <w:sz w:val="24"/>
                <w:szCs w:val="24"/>
                <w:highlight w:val="yellow"/>
              </w:rPr>
            </w:pPr>
            <w:r w:rsidRPr="00341FB3">
              <w:rPr>
                <w:rFonts w:ascii="Arial" w:hAnsi="Arial" w:cs="Arial"/>
                <w:b/>
                <w:bCs/>
                <w:sz w:val="24"/>
                <w:szCs w:val="24"/>
                <w:highlight w:val="yellow"/>
              </w:rPr>
              <w:t>Proportion of Total GRDP (%)</w:t>
            </w:r>
          </w:p>
        </w:tc>
      </w:tr>
      <w:tr w:rsidR="00E84598" w:rsidRPr="00341FB3" w14:paraId="1785D9DD" w14:textId="77777777" w:rsidTr="00E84598">
        <w:tc>
          <w:tcPr>
            <w:tcW w:w="0" w:type="auto"/>
            <w:hideMark/>
          </w:tcPr>
          <w:p w14:paraId="7804B2DF" w14:textId="77777777" w:rsidR="009C643C" w:rsidRPr="00341FB3" w:rsidRDefault="003816EF">
            <w:pPr>
              <w:rPr>
                <w:rFonts w:ascii="Arial" w:hAnsi="Arial" w:cs="Arial"/>
                <w:sz w:val="24"/>
                <w:szCs w:val="24"/>
                <w:highlight w:val="yellow"/>
              </w:rPr>
            </w:pPr>
            <w:r w:rsidRPr="00341FB3">
              <w:rPr>
                <w:rFonts w:ascii="Arial" w:hAnsi="Arial" w:cs="Arial"/>
                <w:sz w:val="24"/>
                <w:szCs w:val="24"/>
                <w:highlight w:val="yellow"/>
              </w:rPr>
              <w:t>2020</w:t>
            </w:r>
          </w:p>
        </w:tc>
        <w:tc>
          <w:tcPr>
            <w:tcW w:w="0" w:type="auto"/>
            <w:hideMark/>
          </w:tcPr>
          <w:p w14:paraId="674F08EC" w14:textId="77777777" w:rsidR="009C643C" w:rsidRPr="00341FB3" w:rsidRDefault="003816EF">
            <w:pPr>
              <w:rPr>
                <w:rFonts w:ascii="Arial" w:hAnsi="Arial" w:cs="Arial"/>
                <w:sz w:val="24"/>
                <w:szCs w:val="24"/>
                <w:highlight w:val="yellow"/>
              </w:rPr>
            </w:pPr>
            <w:r w:rsidRPr="00341FB3">
              <w:rPr>
                <w:rFonts w:ascii="Arial" w:hAnsi="Arial" w:cs="Arial"/>
                <w:sz w:val="24"/>
                <w:szCs w:val="24"/>
                <w:highlight w:val="yellow"/>
              </w:rPr>
              <w:t>40.40</w:t>
            </w:r>
          </w:p>
        </w:tc>
        <w:tc>
          <w:tcPr>
            <w:tcW w:w="0" w:type="auto"/>
            <w:hideMark/>
          </w:tcPr>
          <w:p w14:paraId="5E1645EF" w14:textId="77777777" w:rsidR="009C643C" w:rsidRPr="00341FB3" w:rsidRDefault="003816EF">
            <w:pPr>
              <w:rPr>
                <w:rFonts w:ascii="Arial" w:hAnsi="Arial" w:cs="Arial"/>
                <w:sz w:val="24"/>
                <w:szCs w:val="24"/>
                <w:highlight w:val="yellow"/>
              </w:rPr>
            </w:pPr>
            <w:r w:rsidRPr="00341FB3">
              <w:rPr>
                <w:rFonts w:ascii="Arial" w:hAnsi="Arial" w:cs="Arial"/>
                <w:sz w:val="24"/>
                <w:szCs w:val="24"/>
                <w:highlight w:val="yellow"/>
              </w:rPr>
              <w:t>13.50</w:t>
            </w:r>
          </w:p>
        </w:tc>
      </w:tr>
      <w:tr w:rsidR="00E84598" w:rsidRPr="00341FB3" w14:paraId="4C76F444" w14:textId="77777777" w:rsidTr="00E84598">
        <w:tc>
          <w:tcPr>
            <w:tcW w:w="0" w:type="auto"/>
            <w:hideMark/>
          </w:tcPr>
          <w:p w14:paraId="0503A651" w14:textId="77777777" w:rsidR="009C643C" w:rsidRPr="00341FB3" w:rsidRDefault="003816EF">
            <w:pPr>
              <w:rPr>
                <w:rFonts w:ascii="Arial" w:hAnsi="Arial" w:cs="Arial"/>
                <w:sz w:val="24"/>
                <w:szCs w:val="24"/>
                <w:highlight w:val="yellow"/>
              </w:rPr>
            </w:pPr>
            <w:r w:rsidRPr="00341FB3">
              <w:rPr>
                <w:rFonts w:ascii="Arial" w:hAnsi="Arial" w:cs="Arial"/>
                <w:sz w:val="24"/>
                <w:szCs w:val="24"/>
                <w:highlight w:val="yellow"/>
              </w:rPr>
              <w:t>2021</w:t>
            </w:r>
          </w:p>
        </w:tc>
        <w:tc>
          <w:tcPr>
            <w:tcW w:w="0" w:type="auto"/>
            <w:hideMark/>
          </w:tcPr>
          <w:p w14:paraId="78101949" w14:textId="77777777" w:rsidR="009C643C" w:rsidRPr="00341FB3" w:rsidRDefault="003816EF">
            <w:pPr>
              <w:rPr>
                <w:rFonts w:ascii="Arial" w:hAnsi="Arial" w:cs="Arial"/>
                <w:sz w:val="24"/>
                <w:szCs w:val="24"/>
                <w:highlight w:val="yellow"/>
              </w:rPr>
            </w:pPr>
            <w:r w:rsidRPr="00341FB3">
              <w:rPr>
                <w:rFonts w:ascii="Arial" w:hAnsi="Arial" w:cs="Arial"/>
                <w:sz w:val="24"/>
                <w:szCs w:val="24"/>
                <w:highlight w:val="yellow"/>
              </w:rPr>
              <w:t>42.47</w:t>
            </w:r>
          </w:p>
        </w:tc>
        <w:tc>
          <w:tcPr>
            <w:tcW w:w="0" w:type="auto"/>
            <w:hideMark/>
          </w:tcPr>
          <w:p w14:paraId="1CA6F7A3" w14:textId="77777777" w:rsidR="009C643C" w:rsidRPr="00341FB3" w:rsidRDefault="003816EF">
            <w:pPr>
              <w:rPr>
                <w:rFonts w:ascii="Arial" w:hAnsi="Arial" w:cs="Arial"/>
                <w:sz w:val="24"/>
                <w:szCs w:val="24"/>
                <w:highlight w:val="yellow"/>
              </w:rPr>
            </w:pPr>
            <w:r w:rsidRPr="00341FB3">
              <w:rPr>
                <w:rFonts w:ascii="Arial" w:hAnsi="Arial" w:cs="Arial"/>
                <w:sz w:val="24"/>
                <w:szCs w:val="24"/>
                <w:highlight w:val="yellow"/>
              </w:rPr>
              <w:t>13.96</w:t>
            </w:r>
          </w:p>
        </w:tc>
      </w:tr>
      <w:tr w:rsidR="00E84598" w:rsidRPr="00341FB3" w14:paraId="4475D23B" w14:textId="77777777" w:rsidTr="00E84598">
        <w:tc>
          <w:tcPr>
            <w:tcW w:w="0" w:type="auto"/>
            <w:hideMark/>
          </w:tcPr>
          <w:p w14:paraId="0A85BC8F" w14:textId="77777777" w:rsidR="009C643C" w:rsidRPr="00341FB3" w:rsidRDefault="003816EF">
            <w:pPr>
              <w:rPr>
                <w:rFonts w:ascii="Arial" w:hAnsi="Arial" w:cs="Arial"/>
                <w:sz w:val="24"/>
                <w:szCs w:val="24"/>
                <w:highlight w:val="yellow"/>
              </w:rPr>
            </w:pPr>
            <w:r w:rsidRPr="00341FB3">
              <w:rPr>
                <w:rFonts w:ascii="Arial" w:hAnsi="Arial" w:cs="Arial"/>
                <w:sz w:val="24"/>
                <w:szCs w:val="24"/>
                <w:highlight w:val="yellow"/>
              </w:rPr>
              <w:t>2022</w:t>
            </w:r>
          </w:p>
        </w:tc>
        <w:tc>
          <w:tcPr>
            <w:tcW w:w="0" w:type="auto"/>
            <w:hideMark/>
          </w:tcPr>
          <w:p w14:paraId="479F63FC" w14:textId="77777777" w:rsidR="009C643C" w:rsidRPr="00341FB3" w:rsidRDefault="003816EF">
            <w:pPr>
              <w:rPr>
                <w:rFonts w:ascii="Arial" w:hAnsi="Arial" w:cs="Arial"/>
                <w:sz w:val="24"/>
                <w:szCs w:val="24"/>
                <w:highlight w:val="yellow"/>
              </w:rPr>
            </w:pPr>
            <w:r w:rsidRPr="00341FB3">
              <w:rPr>
                <w:rFonts w:ascii="Arial" w:hAnsi="Arial" w:cs="Arial"/>
                <w:sz w:val="24"/>
                <w:szCs w:val="24"/>
                <w:highlight w:val="yellow"/>
              </w:rPr>
              <w:t>44.91</w:t>
            </w:r>
          </w:p>
        </w:tc>
        <w:tc>
          <w:tcPr>
            <w:tcW w:w="0" w:type="auto"/>
            <w:hideMark/>
          </w:tcPr>
          <w:p w14:paraId="48CB9090" w14:textId="77777777" w:rsidR="009C643C" w:rsidRPr="00341FB3" w:rsidRDefault="003816EF">
            <w:pPr>
              <w:rPr>
                <w:rFonts w:ascii="Arial" w:hAnsi="Arial" w:cs="Arial"/>
                <w:sz w:val="24"/>
                <w:szCs w:val="24"/>
                <w:highlight w:val="yellow"/>
              </w:rPr>
            </w:pPr>
            <w:r w:rsidRPr="00341FB3">
              <w:rPr>
                <w:rFonts w:ascii="Arial" w:hAnsi="Arial" w:cs="Arial"/>
                <w:sz w:val="24"/>
                <w:szCs w:val="24"/>
                <w:highlight w:val="yellow"/>
              </w:rPr>
              <w:t>14.39</w:t>
            </w:r>
          </w:p>
        </w:tc>
      </w:tr>
      <w:tr w:rsidR="00E84598" w:rsidRPr="00341FB3" w14:paraId="54BA944C" w14:textId="77777777" w:rsidTr="00E84598">
        <w:tc>
          <w:tcPr>
            <w:tcW w:w="0" w:type="auto"/>
            <w:hideMark/>
          </w:tcPr>
          <w:p w14:paraId="770F0D2D" w14:textId="77777777" w:rsidR="009C643C" w:rsidRPr="00341FB3" w:rsidRDefault="003816EF">
            <w:pPr>
              <w:rPr>
                <w:rFonts w:ascii="Arial" w:hAnsi="Arial" w:cs="Arial"/>
                <w:sz w:val="24"/>
                <w:szCs w:val="24"/>
                <w:highlight w:val="yellow"/>
              </w:rPr>
            </w:pPr>
            <w:r w:rsidRPr="00341FB3">
              <w:rPr>
                <w:rFonts w:ascii="Arial" w:hAnsi="Arial" w:cs="Arial"/>
                <w:sz w:val="24"/>
                <w:szCs w:val="24"/>
                <w:highlight w:val="yellow"/>
              </w:rPr>
              <w:t>2023</w:t>
            </w:r>
          </w:p>
        </w:tc>
        <w:tc>
          <w:tcPr>
            <w:tcW w:w="0" w:type="auto"/>
            <w:hideMark/>
          </w:tcPr>
          <w:p w14:paraId="17797F32" w14:textId="77777777" w:rsidR="009C643C" w:rsidRPr="00341FB3" w:rsidRDefault="003816EF">
            <w:pPr>
              <w:rPr>
                <w:rFonts w:ascii="Arial" w:hAnsi="Arial" w:cs="Arial"/>
                <w:sz w:val="24"/>
                <w:szCs w:val="24"/>
                <w:highlight w:val="yellow"/>
              </w:rPr>
            </w:pPr>
            <w:r w:rsidRPr="00341FB3">
              <w:rPr>
                <w:rFonts w:ascii="Arial" w:hAnsi="Arial" w:cs="Arial"/>
                <w:sz w:val="24"/>
                <w:szCs w:val="24"/>
                <w:highlight w:val="yellow"/>
              </w:rPr>
              <w:t>47.41</w:t>
            </w:r>
          </w:p>
        </w:tc>
        <w:tc>
          <w:tcPr>
            <w:tcW w:w="0" w:type="auto"/>
            <w:hideMark/>
          </w:tcPr>
          <w:p w14:paraId="2B1160C8" w14:textId="77777777" w:rsidR="009C643C" w:rsidRPr="00341FB3" w:rsidRDefault="003816EF">
            <w:pPr>
              <w:rPr>
                <w:rFonts w:ascii="Arial" w:hAnsi="Arial" w:cs="Arial"/>
                <w:sz w:val="24"/>
                <w:szCs w:val="24"/>
                <w:highlight w:val="yellow"/>
              </w:rPr>
            </w:pPr>
            <w:r w:rsidRPr="00341FB3">
              <w:rPr>
                <w:rFonts w:ascii="Arial" w:hAnsi="Arial" w:cs="Arial"/>
                <w:sz w:val="24"/>
                <w:szCs w:val="24"/>
                <w:highlight w:val="yellow"/>
              </w:rPr>
              <w:t>14.74</w:t>
            </w:r>
          </w:p>
        </w:tc>
      </w:tr>
      <w:tr w:rsidR="00E84598" w:rsidRPr="00341FB3" w14:paraId="72BE17AC" w14:textId="77777777" w:rsidTr="00E84598">
        <w:tc>
          <w:tcPr>
            <w:tcW w:w="0" w:type="auto"/>
            <w:hideMark/>
          </w:tcPr>
          <w:p w14:paraId="14D817EE" w14:textId="77777777" w:rsidR="009C643C" w:rsidRPr="00341FB3" w:rsidRDefault="003816EF">
            <w:pPr>
              <w:rPr>
                <w:rFonts w:ascii="Arial" w:hAnsi="Arial" w:cs="Arial"/>
                <w:sz w:val="24"/>
                <w:szCs w:val="24"/>
                <w:highlight w:val="yellow"/>
              </w:rPr>
            </w:pPr>
            <w:r w:rsidRPr="00341FB3">
              <w:rPr>
                <w:rFonts w:ascii="Arial" w:hAnsi="Arial" w:cs="Arial"/>
                <w:sz w:val="24"/>
                <w:szCs w:val="24"/>
                <w:highlight w:val="yellow"/>
              </w:rPr>
              <w:t>2024</w:t>
            </w:r>
          </w:p>
        </w:tc>
        <w:tc>
          <w:tcPr>
            <w:tcW w:w="0" w:type="auto"/>
            <w:hideMark/>
          </w:tcPr>
          <w:p w14:paraId="411AC3A7" w14:textId="77777777" w:rsidR="009C643C" w:rsidRPr="00341FB3" w:rsidRDefault="003816EF">
            <w:pPr>
              <w:rPr>
                <w:rFonts w:ascii="Arial" w:hAnsi="Arial" w:cs="Arial"/>
                <w:sz w:val="24"/>
                <w:szCs w:val="24"/>
                <w:highlight w:val="yellow"/>
              </w:rPr>
            </w:pPr>
            <w:r w:rsidRPr="00341FB3">
              <w:rPr>
                <w:rFonts w:ascii="Arial" w:hAnsi="Arial" w:cs="Arial"/>
                <w:sz w:val="24"/>
                <w:szCs w:val="24"/>
                <w:highlight w:val="yellow"/>
              </w:rPr>
              <w:t>47.98</w:t>
            </w:r>
          </w:p>
        </w:tc>
        <w:tc>
          <w:tcPr>
            <w:tcW w:w="0" w:type="auto"/>
            <w:hideMark/>
          </w:tcPr>
          <w:p w14:paraId="3AD0AE5E" w14:textId="77777777" w:rsidR="009C643C" w:rsidRPr="00341FB3" w:rsidRDefault="003816EF">
            <w:pPr>
              <w:rPr>
                <w:rFonts w:ascii="Arial" w:hAnsi="Arial" w:cs="Arial"/>
                <w:sz w:val="24"/>
                <w:szCs w:val="24"/>
                <w:highlight w:val="yellow"/>
              </w:rPr>
            </w:pPr>
            <w:r w:rsidRPr="00341FB3">
              <w:rPr>
                <w:rFonts w:ascii="Arial" w:hAnsi="Arial" w:cs="Arial"/>
                <w:sz w:val="24"/>
                <w:szCs w:val="24"/>
                <w:highlight w:val="yellow"/>
              </w:rPr>
              <w:t>14.38</w:t>
            </w:r>
          </w:p>
        </w:tc>
      </w:tr>
    </w:tbl>
    <w:p w14:paraId="019F254A" w14:textId="77777777" w:rsidR="00E84598" w:rsidRPr="00341FB3" w:rsidRDefault="00E84598" w:rsidP="00E84598">
      <w:pPr>
        <w:jc w:val="both"/>
        <w:rPr>
          <w:rFonts w:ascii="Arial" w:hAnsi="Arial" w:cs="Arial"/>
          <w:sz w:val="24"/>
          <w:szCs w:val="24"/>
          <w:highlight w:val="yellow"/>
        </w:rPr>
      </w:pPr>
    </w:p>
    <w:p w14:paraId="5166287A"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The table above shows the contribution of the wholesale and retail trade sector to Babussalam’s GRDP from 2020 to 2024. The sector’s GRDP rises steadily from IDR 40.40 billion (2020) to IDR 47.98 billion (2024), with its share increasing from 13.50% to 14.38% (peaking at 14.74% in 2023). This trend indicates that trade continues to expand and plays an increasingly important role in Babussalam’s economy, supported by improvements in accessibility and market activity.</w:t>
      </w:r>
    </w:p>
    <w:p w14:paraId="572BAAAF" w14:textId="77777777" w:rsidR="00E84598" w:rsidRPr="00341FB3" w:rsidRDefault="00E84598" w:rsidP="00E84598">
      <w:pPr>
        <w:jc w:val="both"/>
        <w:rPr>
          <w:rFonts w:ascii="Arial" w:hAnsi="Arial" w:cs="Arial"/>
          <w:b/>
          <w:bCs/>
          <w:sz w:val="24"/>
          <w:szCs w:val="24"/>
          <w:highlight w:val="yellow"/>
        </w:rPr>
      </w:pPr>
      <w:r w:rsidRPr="00341FB3">
        <w:rPr>
          <w:rFonts w:ascii="Arial" w:hAnsi="Arial" w:cs="Arial"/>
          <w:b/>
          <w:bCs/>
          <w:sz w:val="24"/>
          <w:szCs w:val="24"/>
          <w:highlight w:val="yellow"/>
        </w:rPr>
        <w:t>Transportation and Warehousing:</w:t>
      </w:r>
    </w:p>
    <w:p w14:paraId="413FE320"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lastRenderedPageBreak/>
        <w:t xml:space="preserve">The transportation and warehousing sector </w:t>
      </w:r>
      <w:proofErr w:type="gramStart"/>
      <w:r w:rsidRPr="00341FB3">
        <w:rPr>
          <w:rFonts w:ascii="Arial" w:hAnsi="Arial" w:cs="Arial"/>
          <w:sz w:val="24"/>
          <w:szCs w:val="24"/>
          <w:highlight w:val="yellow"/>
        </w:rPr>
        <w:t>is</w:t>
      </w:r>
      <w:proofErr w:type="gramEnd"/>
      <w:r w:rsidRPr="00341FB3">
        <w:rPr>
          <w:rFonts w:ascii="Arial" w:hAnsi="Arial" w:cs="Arial"/>
          <w:sz w:val="24"/>
          <w:szCs w:val="24"/>
          <w:highlight w:val="yellow"/>
        </w:rPr>
        <w:t xml:space="preserve"> essential for supporting the distribution of goods and agricultural outputs from Babussalam to local markets and external regions. However, LQ results suggest fluctuating sectoral specialisation: the sector is classified as base in 2020 and 2023, but non-base in 2021, 2022, and 2024. This implies that logistics performance and investment need to be strengthened—particularly through road quality, last-mile connectivity, and warehousing facilities—to stabilise competitiveness and better support trade and agriculture.</w:t>
      </w:r>
    </w:p>
    <w:p w14:paraId="4AF91D83" w14:textId="77777777" w:rsidR="00E84598" w:rsidRPr="00341FB3" w:rsidRDefault="00E84598" w:rsidP="00E84598">
      <w:pPr>
        <w:jc w:val="both"/>
        <w:rPr>
          <w:rFonts w:ascii="Arial" w:hAnsi="Arial" w:cs="Arial"/>
          <w:b/>
          <w:bCs/>
          <w:sz w:val="24"/>
          <w:szCs w:val="24"/>
          <w:highlight w:val="yellow"/>
        </w:rPr>
      </w:pPr>
      <w:r w:rsidRPr="00341FB3">
        <w:rPr>
          <w:rFonts w:ascii="Arial" w:hAnsi="Arial" w:cs="Arial"/>
          <w:b/>
          <w:bCs/>
          <w:sz w:val="24"/>
          <w:szCs w:val="24"/>
          <w:highlight w:val="yellow"/>
        </w:rPr>
        <w:t>Klassen Typology Analysis</w:t>
      </w:r>
    </w:p>
    <w:p w14:paraId="51EE1117"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Based on the Klassen Typology analysis, the agricultural sector in Babussalam falls into Quadrant III (rapidly growing sector), indicating high growth potential, although its contribution to GRDP is relatively higher than that of the trade sector. In contrast, the wholesale and retail trade sector is classified in Quadrant I (advanced and rapidly growing sector), indicating that it has already developed rapidly and contributes substantially to the local economy.</w:t>
      </w:r>
    </w:p>
    <w:p w14:paraId="35128BC7"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 xml:space="preserve">The transportation and warehousing sector </w:t>
      </w:r>
      <w:proofErr w:type="gramStart"/>
      <w:r w:rsidRPr="00341FB3">
        <w:rPr>
          <w:rFonts w:ascii="Arial" w:hAnsi="Arial" w:cs="Arial"/>
          <w:sz w:val="24"/>
          <w:szCs w:val="24"/>
          <w:highlight w:val="yellow"/>
        </w:rPr>
        <w:t>remains</w:t>
      </w:r>
      <w:proofErr w:type="gramEnd"/>
      <w:r w:rsidRPr="00341FB3">
        <w:rPr>
          <w:rFonts w:ascii="Arial" w:hAnsi="Arial" w:cs="Arial"/>
          <w:sz w:val="24"/>
          <w:szCs w:val="24"/>
          <w:highlight w:val="yellow"/>
        </w:rPr>
        <w:t xml:space="preserve"> in Quadrant II (advanced but pressured sector), reflecting stability in its contribution to GRDP, but a slower growth rate compared to the trade sector. Therefore, this sector requires greater attention—particularly in infrastructure development—to achieve faster growth.</w:t>
      </w:r>
    </w:p>
    <w:p w14:paraId="238924C4" w14:textId="77777777" w:rsidR="00E84598" w:rsidRPr="00341FB3" w:rsidRDefault="00E84598" w:rsidP="00E84598">
      <w:pPr>
        <w:jc w:val="both"/>
        <w:rPr>
          <w:rFonts w:ascii="Arial" w:hAnsi="Arial" w:cs="Arial"/>
          <w:b/>
          <w:bCs/>
          <w:sz w:val="24"/>
          <w:szCs w:val="24"/>
          <w:highlight w:val="yellow"/>
        </w:rPr>
      </w:pPr>
      <w:r w:rsidRPr="00341FB3">
        <w:rPr>
          <w:rFonts w:ascii="Arial" w:hAnsi="Arial" w:cs="Arial"/>
          <w:b/>
          <w:bCs/>
          <w:sz w:val="24"/>
          <w:szCs w:val="24"/>
          <w:highlight w:val="yellow"/>
        </w:rPr>
        <w:t>SWOT Analysis</w:t>
      </w:r>
    </w:p>
    <w:p w14:paraId="5F543404" w14:textId="77777777" w:rsidR="00E84598" w:rsidRPr="00341FB3" w:rsidRDefault="00E84598" w:rsidP="00E84598">
      <w:pPr>
        <w:jc w:val="both"/>
        <w:rPr>
          <w:rFonts w:ascii="Arial" w:hAnsi="Arial" w:cs="Arial"/>
          <w:sz w:val="24"/>
          <w:szCs w:val="24"/>
          <w:highlight w:val="yellow"/>
        </w:rPr>
      </w:pPr>
      <w:r w:rsidRPr="00341FB3">
        <w:rPr>
          <w:rFonts w:ascii="Arial" w:hAnsi="Arial" w:cs="Arial"/>
          <w:b/>
          <w:bCs/>
          <w:sz w:val="24"/>
          <w:szCs w:val="24"/>
          <w:highlight w:val="yellow"/>
        </w:rPr>
        <w:t>Strengths:</w:t>
      </w:r>
    </w:p>
    <w:p w14:paraId="3C5C5BDD" w14:textId="77777777" w:rsidR="00E84598" w:rsidRPr="00341FB3" w:rsidRDefault="00E84598" w:rsidP="00E84598">
      <w:pPr>
        <w:numPr>
          <w:ilvl w:val="0"/>
          <w:numId w:val="7"/>
        </w:numPr>
        <w:jc w:val="both"/>
        <w:rPr>
          <w:rFonts w:ascii="Arial" w:hAnsi="Arial" w:cs="Arial"/>
          <w:sz w:val="24"/>
          <w:szCs w:val="24"/>
          <w:highlight w:val="yellow"/>
        </w:rPr>
      </w:pPr>
      <w:r w:rsidRPr="00341FB3">
        <w:rPr>
          <w:rFonts w:ascii="Arial" w:hAnsi="Arial" w:cs="Arial"/>
          <w:sz w:val="24"/>
          <w:szCs w:val="24"/>
          <w:highlight w:val="yellow"/>
        </w:rPr>
        <w:t>Abundant natural resources, particularly in agriculture (coffee and cocoa).</w:t>
      </w:r>
    </w:p>
    <w:p w14:paraId="3E3D0208" w14:textId="77777777" w:rsidR="00E84598" w:rsidRPr="00341FB3" w:rsidRDefault="00E84598" w:rsidP="00E84598">
      <w:pPr>
        <w:numPr>
          <w:ilvl w:val="0"/>
          <w:numId w:val="7"/>
        </w:numPr>
        <w:jc w:val="both"/>
        <w:rPr>
          <w:rFonts w:ascii="Arial" w:hAnsi="Arial" w:cs="Arial"/>
          <w:sz w:val="24"/>
          <w:szCs w:val="24"/>
          <w:highlight w:val="yellow"/>
        </w:rPr>
      </w:pPr>
      <w:proofErr w:type="spellStart"/>
      <w:r w:rsidRPr="00341FB3">
        <w:rPr>
          <w:rFonts w:ascii="Arial" w:hAnsi="Arial" w:cs="Arial"/>
          <w:sz w:val="24"/>
          <w:szCs w:val="24"/>
          <w:highlight w:val="yellow"/>
        </w:rPr>
        <w:t>Babussalam’s</w:t>
      </w:r>
      <w:proofErr w:type="spellEnd"/>
      <w:r w:rsidRPr="00341FB3">
        <w:rPr>
          <w:rFonts w:ascii="Arial" w:hAnsi="Arial" w:cs="Arial"/>
          <w:sz w:val="24"/>
          <w:szCs w:val="24"/>
          <w:highlight w:val="yellow"/>
        </w:rPr>
        <w:t xml:space="preserve"> strategic position as an administrative and trade </w:t>
      </w:r>
      <w:proofErr w:type="spellStart"/>
      <w:r w:rsidRPr="00341FB3">
        <w:rPr>
          <w:rFonts w:ascii="Arial" w:hAnsi="Arial" w:cs="Arial"/>
          <w:sz w:val="24"/>
          <w:szCs w:val="24"/>
          <w:highlight w:val="yellow"/>
        </w:rPr>
        <w:t>center</w:t>
      </w:r>
      <w:proofErr w:type="spellEnd"/>
      <w:r w:rsidRPr="00341FB3">
        <w:rPr>
          <w:rFonts w:ascii="Arial" w:hAnsi="Arial" w:cs="Arial"/>
          <w:sz w:val="24"/>
          <w:szCs w:val="24"/>
          <w:highlight w:val="yellow"/>
        </w:rPr>
        <w:t>.</w:t>
      </w:r>
    </w:p>
    <w:p w14:paraId="4583B117" w14:textId="77777777" w:rsidR="00E84598" w:rsidRPr="00341FB3" w:rsidRDefault="00E84598" w:rsidP="00E84598">
      <w:pPr>
        <w:numPr>
          <w:ilvl w:val="0"/>
          <w:numId w:val="7"/>
        </w:numPr>
        <w:jc w:val="both"/>
        <w:rPr>
          <w:rFonts w:ascii="Arial" w:hAnsi="Arial" w:cs="Arial"/>
          <w:sz w:val="24"/>
          <w:szCs w:val="24"/>
          <w:highlight w:val="yellow"/>
        </w:rPr>
      </w:pPr>
      <w:r w:rsidRPr="00341FB3">
        <w:rPr>
          <w:rFonts w:ascii="Arial" w:hAnsi="Arial" w:cs="Arial"/>
          <w:sz w:val="24"/>
          <w:szCs w:val="24"/>
          <w:highlight w:val="yellow"/>
        </w:rPr>
        <w:t xml:space="preserve">Developing infrastructure, including main roads connecting </w:t>
      </w:r>
      <w:proofErr w:type="spellStart"/>
      <w:r w:rsidRPr="00341FB3">
        <w:rPr>
          <w:rFonts w:ascii="Arial" w:hAnsi="Arial" w:cs="Arial"/>
          <w:sz w:val="24"/>
          <w:szCs w:val="24"/>
          <w:highlight w:val="yellow"/>
        </w:rPr>
        <w:t>Babussalam</w:t>
      </w:r>
      <w:proofErr w:type="spellEnd"/>
      <w:r w:rsidRPr="00341FB3">
        <w:rPr>
          <w:rFonts w:ascii="Arial" w:hAnsi="Arial" w:cs="Arial"/>
          <w:sz w:val="24"/>
          <w:szCs w:val="24"/>
          <w:highlight w:val="yellow"/>
        </w:rPr>
        <w:t xml:space="preserve"> to other regions.</w:t>
      </w:r>
    </w:p>
    <w:p w14:paraId="682DA46E" w14:textId="77777777" w:rsidR="00E84598" w:rsidRPr="00341FB3" w:rsidRDefault="00E84598" w:rsidP="00E84598">
      <w:pPr>
        <w:jc w:val="both"/>
        <w:rPr>
          <w:rFonts w:ascii="Arial" w:hAnsi="Arial" w:cs="Arial"/>
          <w:sz w:val="24"/>
          <w:szCs w:val="24"/>
          <w:highlight w:val="yellow"/>
        </w:rPr>
      </w:pPr>
      <w:r w:rsidRPr="00341FB3">
        <w:rPr>
          <w:rFonts w:ascii="Arial" w:hAnsi="Arial" w:cs="Arial"/>
          <w:b/>
          <w:bCs/>
          <w:sz w:val="24"/>
          <w:szCs w:val="24"/>
          <w:highlight w:val="yellow"/>
        </w:rPr>
        <w:t>Weaknesses:</w:t>
      </w:r>
    </w:p>
    <w:p w14:paraId="3A0A1170" w14:textId="77777777" w:rsidR="00E84598" w:rsidRPr="00341FB3" w:rsidRDefault="00E84598" w:rsidP="00E84598">
      <w:pPr>
        <w:numPr>
          <w:ilvl w:val="0"/>
          <w:numId w:val="8"/>
        </w:numPr>
        <w:jc w:val="both"/>
        <w:rPr>
          <w:rFonts w:ascii="Arial" w:hAnsi="Arial" w:cs="Arial"/>
          <w:sz w:val="24"/>
          <w:szCs w:val="24"/>
          <w:highlight w:val="yellow"/>
        </w:rPr>
      </w:pPr>
      <w:r w:rsidRPr="00341FB3">
        <w:rPr>
          <w:rFonts w:ascii="Arial" w:hAnsi="Arial" w:cs="Arial"/>
          <w:sz w:val="24"/>
          <w:szCs w:val="24"/>
          <w:highlight w:val="yellow"/>
        </w:rPr>
        <w:t>Limited market access for agricultural products, constraining agricultural expansion.</w:t>
      </w:r>
    </w:p>
    <w:p w14:paraId="2F4BCABC" w14:textId="77777777" w:rsidR="00E84598" w:rsidRPr="00341FB3" w:rsidRDefault="00E84598" w:rsidP="00E84598">
      <w:pPr>
        <w:numPr>
          <w:ilvl w:val="0"/>
          <w:numId w:val="8"/>
        </w:numPr>
        <w:jc w:val="both"/>
        <w:rPr>
          <w:rFonts w:ascii="Arial" w:hAnsi="Arial" w:cs="Arial"/>
          <w:sz w:val="24"/>
          <w:szCs w:val="24"/>
          <w:highlight w:val="yellow"/>
        </w:rPr>
      </w:pPr>
      <w:r w:rsidRPr="00341FB3">
        <w:rPr>
          <w:rFonts w:ascii="Arial" w:hAnsi="Arial" w:cs="Arial"/>
          <w:sz w:val="24"/>
          <w:szCs w:val="24"/>
          <w:highlight w:val="yellow"/>
        </w:rPr>
        <w:t>Suboptimal warehousing and transportation infrastructure for efficient distribution.</w:t>
      </w:r>
    </w:p>
    <w:p w14:paraId="09AD47FF" w14:textId="77777777" w:rsidR="00E84598" w:rsidRPr="00341FB3" w:rsidRDefault="00E84598" w:rsidP="00E84598">
      <w:pPr>
        <w:jc w:val="both"/>
        <w:rPr>
          <w:rFonts w:ascii="Arial" w:hAnsi="Arial" w:cs="Arial"/>
          <w:sz w:val="24"/>
          <w:szCs w:val="24"/>
          <w:highlight w:val="yellow"/>
        </w:rPr>
      </w:pPr>
      <w:r w:rsidRPr="00341FB3">
        <w:rPr>
          <w:rFonts w:ascii="Arial" w:hAnsi="Arial" w:cs="Arial"/>
          <w:b/>
          <w:bCs/>
          <w:sz w:val="24"/>
          <w:szCs w:val="24"/>
          <w:highlight w:val="yellow"/>
        </w:rPr>
        <w:t>Opportunities:</w:t>
      </w:r>
    </w:p>
    <w:p w14:paraId="57AFAFDE" w14:textId="77777777" w:rsidR="00E84598" w:rsidRPr="00341FB3" w:rsidRDefault="00E84598" w:rsidP="00E84598">
      <w:pPr>
        <w:numPr>
          <w:ilvl w:val="0"/>
          <w:numId w:val="9"/>
        </w:numPr>
        <w:jc w:val="both"/>
        <w:rPr>
          <w:rFonts w:ascii="Arial" w:hAnsi="Arial" w:cs="Arial"/>
          <w:sz w:val="24"/>
          <w:szCs w:val="24"/>
          <w:highlight w:val="yellow"/>
        </w:rPr>
      </w:pPr>
      <w:r w:rsidRPr="00341FB3">
        <w:rPr>
          <w:rFonts w:ascii="Arial" w:hAnsi="Arial" w:cs="Arial"/>
          <w:sz w:val="24"/>
          <w:szCs w:val="24"/>
          <w:highlight w:val="yellow"/>
        </w:rPr>
        <w:t>Growing global demand for high-quality agricultural products, such as Arabica coffee and cocoa.</w:t>
      </w:r>
    </w:p>
    <w:p w14:paraId="09FAB443" w14:textId="77777777" w:rsidR="00E84598" w:rsidRPr="00341FB3" w:rsidRDefault="00E84598" w:rsidP="00E84598">
      <w:pPr>
        <w:numPr>
          <w:ilvl w:val="0"/>
          <w:numId w:val="9"/>
        </w:numPr>
        <w:jc w:val="both"/>
        <w:rPr>
          <w:rFonts w:ascii="Arial" w:hAnsi="Arial" w:cs="Arial"/>
          <w:sz w:val="24"/>
          <w:szCs w:val="24"/>
          <w:highlight w:val="yellow"/>
        </w:rPr>
      </w:pPr>
      <w:r w:rsidRPr="00341FB3">
        <w:rPr>
          <w:rFonts w:ascii="Arial" w:hAnsi="Arial" w:cs="Arial"/>
          <w:sz w:val="24"/>
          <w:szCs w:val="24"/>
          <w:highlight w:val="yellow"/>
        </w:rPr>
        <w:t xml:space="preserve">Untapped potential for nature-based tourism, including </w:t>
      </w:r>
      <w:proofErr w:type="spellStart"/>
      <w:r w:rsidRPr="00341FB3">
        <w:rPr>
          <w:rFonts w:ascii="Arial" w:hAnsi="Arial" w:cs="Arial"/>
          <w:sz w:val="24"/>
          <w:szCs w:val="24"/>
          <w:highlight w:val="yellow"/>
        </w:rPr>
        <w:t>Gunung</w:t>
      </w:r>
      <w:proofErr w:type="spellEnd"/>
      <w:r w:rsidRPr="00341FB3">
        <w:rPr>
          <w:rFonts w:ascii="Arial" w:hAnsi="Arial" w:cs="Arial"/>
          <w:sz w:val="24"/>
          <w:szCs w:val="24"/>
          <w:highlight w:val="yellow"/>
        </w:rPr>
        <w:t xml:space="preserve"> </w:t>
      </w:r>
      <w:proofErr w:type="spellStart"/>
      <w:r w:rsidRPr="00341FB3">
        <w:rPr>
          <w:rFonts w:ascii="Arial" w:hAnsi="Arial" w:cs="Arial"/>
          <w:sz w:val="24"/>
          <w:szCs w:val="24"/>
          <w:highlight w:val="yellow"/>
        </w:rPr>
        <w:t>Leuser</w:t>
      </w:r>
      <w:proofErr w:type="spellEnd"/>
      <w:r w:rsidRPr="00341FB3">
        <w:rPr>
          <w:rFonts w:ascii="Arial" w:hAnsi="Arial" w:cs="Arial"/>
          <w:sz w:val="24"/>
          <w:szCs w:val="24"/>
          <w:highlight w:val="yellow"/>
        </w:rPr>
        <w:t xml:space="preserve"> National Park.</w:t>
      </w:r>
    </w:p>
    <w:p w14:paraId="71E2354B" w14:textId="77777777" w:rsidR="00E84598" w:rsidRPr="00341FB3" w:rsidRDefault="00E84598" w:rsidP="00E84598">
      <w:pPr>
        <w:numPr>
          <w:ilvl w:val="0"/>
          <w:numId w:val="9"/>
        </w:numPr>
        <w:jc w:val="both"/>
        <w:rPr>
          <w:rFonts w:ascii="Arial" w:hAnsi="Arial" w:cs="Arial"/>
          <w:sz w:val="24"/>
          <w:szCs w:val="24"/>
          <w:highlight w:val="yellow"/>
        </w:rPr>
      </w:pPr>
      <w:r w:rsidRPr="00341FB3">
        <w:rPr>
          <w:rFonts w:ascii="Arial" w:hAnsi="Arial" w:cs="Arial"/>
          <w:sz w:val="24"/>
          <w:szCs w:val="24"/>
          <w:highlight w:val="yellow"/>
        </w:rPr>
        <w:t>Expansion of trade with stronger infrastructure support.</w:t>
      </w:r>
    </w:p>
    <w:p w14:paraId="0E237EFA" w14:textId="77777777" w:rsidR="00E84598" w:rsidRPr="00341FB3" w:rsidRDefault="00E84598" w:rsidP="00E84598">
      <w:pPr>
        <w:jc w:val="both"/>
        <w:rPr>
          <w:rFonts w:ascii="Arial" w:hAnsi="Arial" w:cs="Arial"/>
          <w:sz w:val="24"/>
          <w:szCs w:val="24"/>
          <w:highlight w:val="yellow"/>
        </w:rPr>
      </w:pPr>
      <w:r w:rsidRPr="00341FB3">
        <w:rPr>
          <w:rFonts w:ascii="Arial" w:hAnsi="Arial" w:cs="Arial"/>
          <w:b/>
          <w:bCs/>
          <w:sz w:val="24"/>
          <w:szCs w:val="24"/>
          <w:highlight w:val="yellow"/>
        </w:rPr>
        <w:t>Threats:</w:t>
      </w:r>
    </w:p>
    <w:p w14:paraId="02CAF2B3" w14:textId="77777777" w:rsidR="00E84598" w:rsidRPr="00341FB3" w:rsidRDefault="00E84598" w:rsidP="00E84598">
      <w:pPr>
        <w:numPr>
          <w:ilvl w:val="0"/>
          <w:numId w:val="10"/>
        </w:numPr>
        <w:jc w:val="both"/>
        <w:rPr>
          <w:rFonts w:ascii="Arial" w:hAnsi="Arial" w:cs="Arial"/>
          <w:sz w:val="24"/>
          <w:szCs w:val="24"/>
          <w:highlight w:val="yellow"/>
        </w:rPr>
      </w:pPr>
      <w:r w:rsidRPr="00341FB3">
        <w:rPr>
          <w:rFonts w:ascii="Arial" w:hAnsi="Arial" w:cs="Arial"/>
          <w:sz w:val="24"/>
          <w:szCs w:val="24"/>
          <w:highlight w:val="yellow"/>
        </w:rPr>
        <w:t>Global price fluctuations that affect farmers’ incomes.</w:t>
      </w:r>
    </w:p>
    <w:p w14:paraId="3ECD6125" w14:textId="77777777" w:rsidR="00E84598" w:rsidRPr="00341FB3" w:rsidRDefault="00E84598" w:rsidP="00E84598">
      <w:pPr>
        <w:numPr>
          <w:ilvl w:val="0"/>
          <w:numId w:val="10"/>
        </w:numPr>
        <w:jc w:val="both"/>
        <w:rPr>
          <w:rFonts w:ascii="Arial" w:hAnsi="Arial" w:cs="Arial"/>
          <w:sz w:val="24"/>
          <w:szCs w:val="24"/>
          <w:highlight w:val="yellow"/>
        </w:rPr>
      </w:pPr>
      <w:r w:rsidRPr="00341FB3">
        <w:rPr>
          <w:rFonts w:ascii="Arial" w:hAnsi="Arial" w:cs="Arial"/>
          <w:sz w:val="24"/>
          <w:szCs w:val="24"/>
          <w:highlight w:val="yellow"/>
        </w:rPr>
        <w:lastRenderedPageBreak/>
        <w:t>Climate change impacts that may threaten agricultural production.</w:t>
      </w:r>
    </w:p>
    <w:p w14:paraId="6814910C" w14:textId="77777777" w:rsidR="00E84598" w:rsidRPr="00341FB3" w:rsidRDefault="00E84598" w:rsidP="00E84598">
      <w:pPr>
        <w:numPr>
          <w:ilvl w:val="0"/>
          <w:numId w:val="10"/>
        </w:numPr>
        <w:jc w:val="both"/>
        <w:rPr>
          <w:rFonts w:ascii="Arial" w:hAnsi="Arial" w:cs="Arial"/>
          <w:sz w:val="24"/>
          <w:szCs w:val="24"/>
          <w:highlight w:val="yellow"/>
        </w:rPr>
      </w:pPr>
      <w:r w:rsidRPr="00341FB3">
        <w:rPr>
          <w:rFonts w:ascii="Arial" w:hAnsi="Arial" w:cs="Arial"/>
          <w:sz w:val="24"/>
          <w:szCs w:val="24"/>
          <w:highlight w:val="yellow"/>
        </w:rPr>
        <w:t>Competition with other regions in trade and tourism sectors.</w:t>
      </w:r>
    </w:p>
    <w:p w14:paraId="780D6A93" w14:textId="77777777" w:rsidR="00E84598" w:rsidRPr="00341FB3" w:rsidRDefault="00E84598" w:rsidP="00E84598">
      <w:pPr>
        <w:jc w:val="both"/>
        <w:rPr>
          <w:rFonts w:ascii="Arial" w:hAnsi="Arial" w:cs="Arial"/>
          <w:b/>
          <w:bCs/>
          <w:sz w:val="24"/>
          <w:szCs w:val="24"/>
          <w:highlight w:val="yellow"/>
        </w:rPr>
      </w:pPr>
      <w:r w:rsidRPr="00341FB3">
        <w:rPr>
          <w:rFonts w:ascii="Arial" w:hAnsi="Arial" w:cs="Arial"/>
          <w:b/>
          <w:bCs/>
          <w:sz w:val="24"/>
          <w:szCs w:val="24"/>
          <w:highlight w:val="yellow"/>
        </w:rPr>
        <w:t>Recommended Regional Development Strategies</w:t>
      </w:r>
    </w:p>
    <w:p w14:paraId="35BE74DA"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 xml:space="preserve">Based on the LQ, Klassen Typology, and SWOT analyses, the following strategies are recommended for regional development in </w:t>
      </w:r>
      <w:proofErr w:type="spellStart"/>
      <w:r w:rsidRPr="00341FB3">
        <w:rPr>
          <w:rFonts w:ascii="Arial" w:hAnsi="Arial" w:cs="Arial"/>
          <w:sz w:val="24"/>
          <w:szCs w:val="24"/>
          <w:highlight w:val="yellow"/>
        </w:rPr>
        <w:t>Babussalam</w:t>
      </w:r>
      <w:proofErr w:type="spellEnd"/>
      <w:r w:rsidRPr="00341FB3">
        <w:rPr>
          <w:rFonts w:ascii="Arial" w:hAnsi="Arial" w:cs="Arial"/>
          <w:sz w:val="24"/>
          <w:szCs w:val="24"/>
          <w:highlight w:val="yellow"/>
        </w:rPr>
        <w:t>:</w:t>
      </w:r>
    </w:p>
    <w:p w14:paraId="669594F4" w14:textId="77777777" w:rsidR="00E84598" w:rsidRPr="00341FB3" w:rsidRDefault="00E84598" w:rsidP="00E84598">
      <w:pPr>
        <w:numPr>
          <w:ilvl w:val="0"/>
          <w:numId w:val="11"/>
        </w:numPr>
        <w:jc w:val="both"/>
        <w:rPr>
          <w:rFonts w:ascii="Arial" w:hAnsi="Arial" w:cs="Arial"/>
          <w:sz w:val="24"/>
          <w:szCs w:val="24"/>
          <w:highlight w:val="yellow"/>
        </w:rPr>
      </w:pPr>
      <w:r w:rsidRPr="00341FB3">
        <w:rPr>
          <w:rFonts w:ascii="Arial" w:hAnsi="Arial" w:cs="Arial"/>
          <w:b/>
          <w:bCs/>
          <w:sz w:val="24"/>
          <w:szCs w:val="24"/>
          <w:highlight w:val="yellow"/>
        </w:rPr>
        <w:t>Infrastructure Strengthening:</w:t>
      </w:r>
    </w:p>
    <w:p w14:paraId="1380329B" w14:textId="77777777" w:rsidR="00E84598" w:rsidRPr="00341FB3" w:rsidRDefault="00E84598" w:rsidP="00E84598">
      <w:pPr>
        <w:numPr>
          <w:ilvl w:val="0"/>
          <w:numId w:val="12"/>
        </w:numPr>
        <w:jc w:val="both"/>
        <w:rPr>
          <w:rFonts w:ascii="Arial" w:hAnsi="Arial" w:cs="Arial"/>
          <w:sz w:val="24"/>
          <w:szCs w:val="24"/>
          <w:highlight w:val="yellow"/>
        </w:rPr>
      </w:pPr>
      <w:r w:rsidRPr="00341FB3">
        <w:rPr>
          <w:rFonts w:ascii="Arial" w:hAnsi="Arial" w:cs="Arial"/>
          <w:sz w:val="24"/>
          <w:szCs w:val="24"/>
          <w:highlight w:val="yellow"/>
        </w:rPr>
        <w:t>Improve road quality and warehousing facilities to support trade and agriculture.</w:t>
      </w:r>
    </w:p>
    <w:p w14:paraId="38220F3E" w14:textId="77777777" w:rsidR="00E84598" w:rsidRPr="00341FB3" w:rsidRDefault="00E84598" w:rsidP="00E84598">
      <w:pPr>
        <w:numPr>
          <w:ilvl w:val="0"/>
          <w:numId w:val="12"/>
        </w:numPr>
        <w:jc w:val="both"/>
        <w:rPr>
          <w:rFonts w:ascii="Arial" w:hAnsi="Arial" w:cs="Arial"/>
          <w:sz w:val="24"/>
          <w:szCs w:val="24"/>
          <w:highlight w:val="yellow"/>
        </w:rPr>
      </w:pPr>
      <w:r w:rsidRPr="00341FB3">
        <w:rPr>
          <w:rFonts w:ascii="Arial" w:hAnsi="Arial" w:cs="Arial"/>
          <w:sz w:val="24"/>
          <w:szCs w:val="24"/>
          <w:highlight w:val="yellow"/>
        </w:rPr>
        <w:t>Develop efficient logistics systems to reduce distribution costs and enhance local product competitiveness.</w:t>
      </w:r>
    </w:p>
    <w:p w14:paraId="0DAF9A70" w14:textId="77777777" w:rsidR="00E84598" w:rsidRPr="00341FB3" w:rsidRDefault="00E84598" w:rsidP="00E84598">
      <w:pPr>
        <w:numPr>
          <w:ilvl w:val="0"/>
          <w:numId w:val="13"/>
        </w:numPr>
        <w:jc w:val="both"/>
        <w:rPr>
          <w:rFonts w:ascii="Arial" w:hAnsi="Arial" w:cs="Arial"/>
          <w:sz w:val="24"/>
          <w:szCs w:val="24"/>
          <w:highlight w:val="yellow"/>
        </w:rPr>
      </w:pPr>
      <w:r w:rsidRPr="00341FB3">
        <w:rPr>
          <w:rFonts w:ascii="Arial" w:hAnsi="Arial" w:cs="Arial"/>
          <w:b/>
          <w:bCs/>
          <w:sz w:val="24"/>
          <w:szCs w:val="24"/>
          <w:highlight w:val="yellow"/>
        </w:rPr>
        <w:t>Enhancing Agricultural Capacity:</w:t>
      </w:r>
    </w:p>
    <w:p w14:paraId="24C47728" w14:textId="77777777" w:rsidR="00E84598" w:rsidRPr="00341FB3" w:rsidRDefault="00E84598" w:rsidP="00E84598">
      <w:pPr>
        <w:numPr>
          <w:ilvl w:val="0"/>
          <w:numId w:val="14"/>
        </w:numPr>
        <w:jc w:val="both"/>
        <w:rPr>
          <w:rFonts w:ascii="Arial" w:hAnsi="Arial" w:cs="Arial"/>
          <w:sz w:val="24"/>
          <w:szCs w:val="24"/>
          <w:highlight w:val="yellow"/>
        </w:rPr>
      </w:pPr>
      <w:r w:rsidRPr="00341FB3">
        <w:rPr>
          <w:rFonts w:ascii="Arial" w:hAnsi="Arial" w:cs="Arial"/>
          <w:sz w:val="24"/>
          <w:szCs w:val="24"/>
          <w:highlight w:val="yellow"/>
        </w:rPr>
        <w:t>Increase agricultural productivity through the adoption of more advanced and environmentally sustainable agricultural technologies.</w:t>
      </w:r>
    </w:p>
    <w:p w14:paraId="201C036A" w14:textId="77777777" w:rsidR="00E84598" w:rsidRPr="00341FB3" w:rsidRDefault="00E84598" w:rsidP="00E84598">
      <w:pPr>
        <w:numPr>
          <w:ilvl w:val="0"/>
          <w:numId w:val="14"/>
        </w:numPr>
        <w:jc w:val="both"/>
        <w:rPr>
          <w:rFonts w:ascii="Arial" w:hAnsi="Arial" w:cs="Arial"/>
          <w:sz w:val="24"/>
          <w:szCs w:val="24"/>
          <w:highlight w:val="yellow"/>
        </w:rPr>
      </w:pPr>
      <w:r w:rsidRPr="00341FB3">
        <w:rPr>
          <w:rFonts w:ascii="Arial" w:hAnsi="Arial" w:cs="Arial"/>
          <w:sz w:val="24"/>
          <w:szCs w:val="24"/>
          <w:highlight w:val="yellow"/>
        </w:rPr>
        <w:t>Expand market access for agricultural products at both local and international levels.</w:t>
      </w:r>
    </w:p>
    <w:p w14:paraId="6DBBB0BA" w14:textId="77777777" w:rsidR="00E84598" w:rsidRPr="00341FB3" w:rsidRDefault="00E84598" w:rsidP="00E84598">
      <w:pPr>
        <w:numPr>
          <w:ilvl w:val="0"/>
          <w:numId w:val="15"/>
        </w:numPr>
        <w:jc w:val="both"/>
        <w:rPr>
          <w:rFonts w:ascii="Arial" w:hAnsi="Arial" w:cs="Arial"/>
          <w:sz w:val="24"/>
          <w:szCs w:val="24"/>
          <w:highlight w:val="yellow"/>
        </w:rPr>
      </w:pPr>
      <w:r w:rsidRPr="00341FB3">
        <w:rPr>
          <w:rFonts w:ascii="Arial" w:hAnsi="Arial" w:cs="Arial"/>
          <w:b/>
          <w:bCs/>
          <w:sz w:val="24"/>
          <w:szCs w:val="24"/>
          <w:highlight w:val="yellow"/>
        </w:rPr>
        <w:t>Economic Diversification:</w:t>
      </w:r>
    </w:p>
    <w:p w14:paraId="5477CAC0" w14:textId="77777777" w:rsidR="00E84598" w:rsidRPr="00341FB3" w:rsidRDefault="00E84598" w:rsidP="00E84598">
      <w:pPr>
        <w:numPr>
          <w:ilvl w:val="0"/>
          <w:numId w:val="16"/>
        </w:numPr>
        <w:jc w:val="both"/>
        <w:rPr>
          <w:rFonts w:ascii="Arial" w:hAnsi="Arial" w:cs="Arial"/>
          <w:sz w:val="24"/>
          <w:szCs w:val="24"/>
          <w:highlight w:val="yellow"/>
        </w:rPr>
      </w:pPr>
      <w:r w:rsidRPr="00341FB3">
        <w:rPr>
          <w:rFonts w:ascii="Arial" w:hAnsi="Arial" w:cs="Arial"/>
          <w:sz w:val="24"/>
          <w:szCs w:val="24"/>
          <w:highlight w:val="yellow"/>
        </w:rPr>
        <w:t xml:space="preserve">Promote nature-based tourism development by leveraging the potential of </w:t>
      </w:r>
      <w:proofErr w:type="spellStart"/>
      <w:r w:rsidRPr="00341FB3">
        <w:rPr>
          <w:rFonts w:ascii="Arial" w:hAnsi="Arial" w:cs="Arial"/>
          <w:sz w:val="24"/>
          <w:szCs w:val="24"/>
          <w:highlight w:val="yellow"/>
        </w:rPr>
        <w:t>Gunung</w:t>
      </w:r>
      <w:proofErr w:type="spellEnd"/>
      <w:r w:rsidRPr="00341FB3">
        <w:rPr>
          <w:rFonts w:ascii="Arial" w:hAnsi="Arial" w:cs="Arial"/>
          <w:sz w:val="24"/>
          <w:szCs w:val="24"/>
          <w:highlight w:val="yellow"/>
        </w:rPr>
        <w:t xml:space="preserve"> </w:t>
      </w:r>
      <w:proofErr w:type="spellStart"/>
      <w:r w:rsidRPr="00341FB3">
        <w:rPr>
          <w:rFonts w:ascii="Arial" w:hAnsi="Arial" w:cs="Arial"/>
          <w:sz w:val="24"/>
          <w:szCs w:val="24"/>
          <w:highlight w:val="yellow"/>
        </w:rPr>
        <w:t>Leuser</w:t>
      </w:r>
      <w:proofErr w:type="spellEnd"/>
      <w:r w:rsidRPr="00341FB3">
        <w:rPr>
          <w:rFonts w:ascii="Arial" w:hAnsi="Arial" w:cs="Arial"/>
          <w:sz w:val="24"/>
          <w:szCs w:val="24"/>
          <w:highlight w:val="yellow"/>
        </w:rPr>
        <w:t xml:space="preserve"> National Park as a global tourism attraction.</w:t>
      </w:r>
    </w:p>
    <w:p w14:paraId="12AA1945" w14:textId="77777777" w:rsidR="00E84598" w:rsidRPr="00341FB3" w:rsidRDefault="00E84598" w:rsidP="00E84598">
      <w:pPr>
        <w:numPr>
          <w:ilvl w:val="0"/>
          <w:numId w:val="16"/>
        </w:numPr>
        <w:jc w:val="both"/>
        <w:rPr>
          <w:rFonts w:ascii="Arial" w:hAnsi="Arial" w:cs="Arial"/>
          <w:sz w:val="24"/>
          <w:szCs w:val="24"/>
          <w:highlight w:val="yellow"/>
        </w:rPr>
      </w:pPr>
      <w:r w:rsidRPr="00341FB3">
        <w:rPr>
          <w:rFonts w:ascii="Arial" w:hAnsi="Arial" w:cs="Arial"/>
          <w:sz w:val="24"/>
          <w:szCs w:val="24"/>
          <w:highlight w:val="yellow"/>
        </w:rPr>
        <w:t>Strengthen service sectors, such as micro-banking and logistics services, to support MSMEs and agriculture.</w:t>
      </w:r>
    </w:p>
    <w:p w14:paraId="229826AA" w14:textId="77777777" w:rsidR="00E84598" w:rsidRPr="00341FB3" w:rsidRDefault="00E84598" w:rsidP="00E84598">
      <w:pPr>
        <w:numPr>
          <w:ilvl w:val="0"/>
          <w:numId w:val="17"/>
        </w:numPr>
        <w:jc w:val="both"/>
        <w:rPr>
          <w:rFonts w:ascii="Arial" w:hAnsi="Arial" w:cs="Arial"/>
          <w:sz w:val="24"/>
          <w:szCs w:val="24"/>
          <w:highlight w:val="yellow"/>
        </w:rPr>
      </w:pPr>
      <w:r w:rsidRPr="00341FB3">
        <w:rPr>
          <w:rFonts w:ascii="Arial" w:hAnsi="Arial" w:cs="Arial"/>
          <w:b/>
          <w:bCs/>
          <w:sz w:val="24"/>
          <w:szCs w:val="24"/>
          <w:highlight w:val="yellow"/>
        </w:rPr>
        <w:t>Collaboration and Inclusive Policies:</w:t>
      </w:r>
    </w:p>
    <w:p w14:paraId="420FFCE2" w14:textId="77777777" w:rsidR="00E84598" w:rsidRPr="00341FB3" w:rsidRDefault="00E84598" w:rsidP="00E84598">
      <w:pPr>
        <w:numPr>
          <w:ilvl w:val="0"/>
          <w:numId w:val="18"/>
        </w:numPr>
        <w:jc w:val="both"/>
        <w:rPr>
          <w:rFonts w:ascii="Arial" w:hAnsi="Arial" w:cs="Arial"/>
          <w:sz w:val="24"/>
          <w:szCs w:val="24"/>
          <w:highlight w:val="yellow"/>
        </w:rPr>
      </w:pPr>
      <w:r w:rsidRPr="00341FB3">
        <w:rPr>
          <w:rFonts w:ascii="Arial" w:hAnsi="Arial" w:cs="Arial"/>
          <w:sz w:val="24"/>
          <w:szCs w:val="24"/>
          <w:highlight w:val="yellow"/>
        </w:rPr>
        <w:t>Enhance synergy among government, the private sector, and communities in formulating policies that support leading-sector development.</w:t>
      </w:r>
    </w:p>
    <w:p w14:paraId="7A653B9F" w14:textId="77777777" w:rsidR="00E84598" w:rsidRPr="00341FB3" w:rsidRDefault="00E84598" w:rsidP="00E84598">
      <w:pPr>
        <w:numPr>
          <w:ilvl w:val="0"/>
          <w:numId w:val="18"/>
        </w:numPr>
        <w:jc w:val="both"/>
        <w:rPr>
          <w:rFonts w:ascii="Arial" w:hAnsi="Arial" w:cs="Arial"/>
          <w:sz w:val="24"/>
          <w:szCs w:val="24"/>
          <w:highlight w:val="yellow"/>
        </w:rPr>
      </w:pPr>
      <w:r w:rsidRPr="00341FB3">
        <w:rPr>
          <w:rFonts w:ascii="Arial" w:hAnsi="Arial" w:cs="Arial"/>
          <w:sz w:val="24"/>
          <w:szCs w:val="24"/>
          <w:highlight w:val="yellow"/>
        </w:rPr>
        <w:t>Develop partnerships between business actors and farmers through MSME clusters based on agriculture and trade.</w:t>
      </w:r>
    </w:p>
    <w:p w14:paraId="18AD3495" w14:textId="77777777" w:rsidR="00E84598" w:rsidRPr="00341FB3" w:rsidRDefault="00E84598" w:rsidP="00E84598">
      <w:pPr>
        <w:jc w:val="both"/>
        <w:rPr>
          <w:rFonts w:ascii="Arial" w:hAnsi="Arial" w:cs="Arial"/>
          <w:b/>
          <w:bCs/>
          <w:sz w:val="24"/>
          <w:szCs w:val="24"/>
          <w:highlight w:val="yellow"/>
        </w:rPr>
      </w:pPr>
      <w:r w:rsidRPr="00341FB3">
        <w:rPr>
          <w:rFonts w:ascii="Arial" w:hAnsi="Arial" w:cs="Arial"/>
          <w:b/>
          <w:bCs/>
          <w:sz w:val="24"/>
          <w:szCs w:val="24"/>
          <w:highlight w:val="yellow"/>
        </w:rPr>
        <w:t>Discussion</w:t>
      </w:r>
    </w:p>
    <w:p w14:paraId="47C6E84F"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 xml:space="preserve">The results indicate that the agricultural sector—particularly Arabica coffee and cocoa—constitutes a leading sector in </w:t>
      </w:r>
      <w:proofErr w:type="spellStart"/>
      <w:r w:rsidRPr="00341FB3">
        <w:rPr>
          <w:rFonts w:ascii="Arial" w:hAnsi="Arial" w:cs="Arial"/>
          <w:sz w:val="24"/>
          <w:szCs w:val="24"/>
          <w:highlight w:val="yellow"/>
        </w:rPr>
        <w:t>Babussalam</w:t>
      </w:r>
      <w:proofErr w:type="spellEnd"/>
      <w:r w:rsidRPr="00341FB3">
        <w:rPr>
          <w:rFonts w:ascii="Arial" w:hAnsi="Arial" w:cs="Arial"/>
          <w:sz w:val="24"/>
          <w:szCs w:val="24"/>
          <w:highlight w:val="yellow"/>
        </w:rPr>
        <w:t xml:space="preserve"> Sub-district, although its relative advantage shifts during 2022–2023. This shift highlights the need for policies that support productivity improvement and broader market access. In contrast, the trade sector shows significant growth and reaches Quadrant I in 2023, indicating stability and strong growth potential. Strengthening trade infrastructure and logistics is therefore key to enhancing local product competitiveness.</w:t>
      </w:r>
    </w:p>
    <w:p w14:paraId="34CAF0AC"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 xml:space="preserve">The transportation and warehousing sector </w:t>
      </w:r>
      <w:proofErr w:type="gramStart"/>
      <w:r w:rsidRPr="00341FB3">
        <w:rPr>
          <w:rFonts w:ascii="Arial" w:hAnsi="Arial" w:cs="Arial"/>
          <w:sz w:val="24"/>
          <w:szCs w:val="24"/>
          <w:highlight w:val="yellow"/>
        </w:rPr>
        <w:t>is</w:t>
      </w:r>
      <w:proofErr w:type="gramEnd"/>
      <w:r w:rsidRPr="00341FB3">
        <w:rPr>
          <w:rFonts w:ascii="Arial" w:hAnsi="Arial" w:cs="Arial"/>
          <w:sz w:val="24"/>
          <w:szCs w:val="24"/>
          <w:highlight w:val="yellow"/>
        </w:rPr>
        <w:t xml:space="preserve"> also critical in supporting goods distribution, although its growth is slower than that of the trade sector. Improvements in transportation infrastructure will enhance connectivity and distribution efficiency. The construction sector, while contributing less directly, supports the development of essential infrastructure for other sectors. Based on SWOT analysis, </w:t>
      </w:r>
      <w:proofErr w:type="spellStart"/>
      <w:r w:rsidRPr="00341FB3">
        <w:rPr>
          <w:rFonts w:ascii="Arial" w:hAnsi="Arial" w:cs="Arial"/>
          <w:sz w:val="24"/>
          <w:szCs w:val="24"/>
          <w:highlight w:val="yellow"/>
        </w:rPr>
        <w:t>Babussalam’s</w:t>
      </w:r>
      <w:proofErr w:type="spellEnd"/>
      <w:r w:rsidRPr="00341FB3">
        <w:rPr>
          <w:rFonts w:ascii="Arial" w:hAnsi="Arial" w:cs="Arial"/>
          <w:sz w:val="24"/>
          <w:szCs w:val="24"/>
          <w:highlight w:val="yellow"/>
        </w:rPr>
        <w:t xml:space="preserve"> </w:t>
      </w:r>
      <w:r w:rsidRPr="00341FB3">
        <w:rPr>
          <w:rFonts w:ascii="Arial" w:hAnsi="Arial" w:cs="Arial"/>
          <w:sz w:val="24"/>
          <w:szCs w:val="24"/>
          <w:highlight w:val="yellow"/>
        </w:rPr>
        <w:lastRenderedPageBreak/>
        <w:t>leading sectors benefit from strong natural resource potential, but they must address threats such as price volatility and climate change impacts. Accordingly, development strategies should include agricultural upgrading, infrastructure strengthening, and diversification of the economic base to foster sustainable growth.</w:t>
      </w:r>
    </w:p>
    <w:p w14:paraId="687FC562" w14:textId="77777777" w:rsidR="00E84598" w:rsidRPr="00341FB3" w:rsidRDefault="00E84598" w:rsidP="00E84598">
      <w:pPr>
        <w:jc w:val="both"/>
        <w:rPr>
          <w:rFonts w:ascii="Arial" w:hAnsi="Arial" w:cs="Arial"/>
          <w:sz w:val="24"/>
          <w:szCs w:val="24"/>
          <w:highlight w:val="yellow"/>
        </w:rPr>
      </w:pPr>
    </w:p>
    <w:p w14:paraId="08C424B6" w14:textId="77777777" w:rsidR="00E84598" w:rsidRPr="00341FB3" w:rsidRDefault="00E84598" w:rsidP="00E84598">
      <w:pPr>
        <w:jc w:val="both"/>
        <w:rPr>
          <w:rFonts w:ascii="Arial" w:hAnsi="Arial" w:cs="Arial"/>
          <w:b/>
          <w:bCs/>
          <w:sz w:val="24"/>
          <w:szCs w:val="24"/>
          <w:highlight w:val="yellow"/>
        </w:rPr>
      </w:pPr>
      <w:r w:rsidRPr="00341FB3">
        <w:rPr>
          <w:rFonts w:ascii="Arial" w:hAnsi="Arial" w:cs="Arial"/>
          <w:b/>
          <w:bCs/>
          <w:sz w:val="24"/>
          <w:szCs w:val="24"/>
          <w:highlight w:val="yellow"/>
        </w:rPr>
        <w:t>4. Conclusion and Recommendations</w:t>
      </w:r>
    </w:p>
    <w:p w14:paraId="67C10101"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 xml:space="preserve">This study identifies leading sectors in </w:t>
      </w:r>
      <w:proofErr w:type="spellStart"/>
      <w:r w:rsidRPr="00341FB3">
        <w:rPr>
          <w:rFonts w:ascii="Arial" w:hAnsi="Arial" w:cs="Arial"/>
          <w:sz w:val="24"/>
          <w:szCs w:val="24"/>
          <w:highlight w:val="yellow"/>
        </w:rPr>
        <w:t>Babussalam</w:t>
      </w:r>
      <w:proofErr w:type="spellEnd"/>
      <w:r w:rsidRPr="00341FB3">
        <w:rPr>
          <w:rFonts w:ascii="Arial" w:hAnsi="Arial" w:cs="Arial"/>
          <w:sz w:val="24"/>
          <w:szCs w:val="24"/>
          <w:highlight w:val="yellow"/>
        </w:rPr>
        <w:t xml:space="preserve"> Sub-district, Aceh Tenggara Regency, and formulates development strategies based on these sectors. The agricultural sector—particularly Arabica coffee and cocoa—despite fluctuations in its contribution and relative advantage, retains strong potential for further development. The trade sector shows significant and stable development, while the transportation and warehousing sector remains a key pillar supporting goods distribution. Although the construction sector contributes less directly, it plays an important supporting role by enabling infrastructure development required for other leading sectors.</w:t>
      </w:r>
    </w:p>
    <w:p w14:paraId="7250679D"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 xml:space="preserve">SWOT analysis indicates that </w:t>
      </w:r>
      <w:proofErr w:type="spellStart"/>
      <w:r w:rsidRPr="00341FB3">
        <w:rPr>
          <w:rFonts w:ascii="Arial" w:hAnsi="Arial" w:cs="Arial"/>
          <w:sz w:val="24"/>
          <w:szCs w:val="24"/>
          <w:highlight w:val="yellow"/>
        </w:rPr>
        <w:t>Babussalam’s</w:t>
      </w:r>
      <w:proofErr w:type="spellEnd"/>
      <w:r w:rsidRPr="00341FB3">
        <w:rPr>
          <w:rFonts w:ascii="Arial" w:hAnsi="Arial" w:cs="Arial"/>
          <w:sz w:val="24"/>
          <w:szCs w:val="24"/>
          <w:highlight w:val="yellow"/>
        </w:rPr>
        <w:t xml:space="preserve"> leading sectors benefit from abundant natural resources, but they face external challenges such as global price fluctuations and climate change impacts. The trade and transportation sectors display more stable growth potential, while agriculture requires greater attention in terms of productivity enhancement and market access expansion. Therefore, the development of these sectors should be supported by policies that promote sustainable growth.</w:t>
      </w:r>
    </w:p>
    <w:p w14:paraId="11A3F397" w14:textId="77777777" w:rsidR="00E84598" w:rsidRPr="00341FB3" w:rsidRDefault="00E84598" w:rsidP="00E84598">
      <w:pPr>
        <w:jc w:val="both"/>
        <w:rPr>
          <w:rFonts w:ascii="Arial" w:hAnsi="Arial" w:cs="Arial"/>
          <w:sz w:val="24"/>
          <w:szCs w:val="24"/>
          <w:highlight w:val="yellow"/>
        </w:rPr>
      </w:pPr>
    </w:p>
    <w:p w14:paraId="59C49D94" w14:textId="77777777" w:rsidR="00E84598" w:rsidRPr="00341FB3" w:rsidRDefault="00E84598" w:rsidP="00E84598">
      <w:pPr>
        <w:jc w:val="both"/>
        <w:rPr>
          <w:rFonts w:ascii="Arial" w:hAnsi="Arial" w:cs="Arial"/>
          <w:b/>
          <w:bCs/>
          <w:sz w:val="24"/>
          <w:szCs w:val="24"/>
          <w:highlight w:val="yellow"/>
        </w:rPr>
      </w:pPr>
      <w:r w:rsidRPr="00341FB3">
        <w:rPr>
          <w:rFonts w:ascii="Arial" w:hAnsi="Arial" w:cs="Arial"/>
          <w:b/>
          <w:bCs/>
          <w:sz w:val="24"/>
          <w:szCs w:val="24"/>
          <w:highlight w:val="yellow"/>
        </w:rPr>
        <w:t>Recommendations</w:t>
      </w:r>
    </w:p>
    <w:p w14:paraId="66DE19AB" w14:textId="77777777" w:rsidR="00E84598" w:rsidRPr="00341FB3" w:rsidRDefault="00E84598" w:rsidP="00E84598">
      <w:pPr>
        <w:jc w:val="both"/>
        <w:rPr>
          <w:rFonts w:ascii="Arial" w:hAnsi="Arial" w:cs="Arial"/>
          <w:sz w:val="24"/>
          <w:szCs w:val="24"/>
          <w:highlight w:val="yellow"/>
        </w:rPr>
      </w:pPr>
      <w:r w:rsidRPr="00341FB3">
        <w:rPr>
          <w:rFonts w:ascii="Arial" w:hAnsi="Arial" w:cs="Arial"/>
          <w:sz w:val="24"/>
          <w:szCs w:val="24"/>
          <w:highlight w:val="yellow"/>
        </w:rPr>
        <w:t xml:space="preserve">First, the local government should prioritize infrastructure strengthening to support trade and goods distribution, including improvements to roads, warehousing, and logistics facilities. Second, for the agricultural sector, farmer capacity should be enhanced through training and the adoption of environmentally sustainable agricultural technologies, alongside expanded access to local and international markets. Third, economic diversification through nature-based tourism development should be optimized, given </w:t>
      </w:r>
      <w:proofErr w:type="spellStart"/>
      <w:r w:rsidRPr="00341FB3">
        <w:rPr>
          <w:rFonts w:ascii="Arial" w:hAnsi="Arial" w:cs="Arial"/>
          <w:sz w:val="24"/>
          <w:szCs w:val="24"/>
          <w:highlight w:val="yellow"/>
        </w:rPr>
        <w:t>Babussalam’s</w:t>
      </w:r>
      <w:proofErr w:type="spellEnd"/>
      <w:r w:rsidRPr="00341FB3">
        <w:rPr>
          <w:rFonts w:ascii="Arial" w:hAnsi="Arial" w:cs="Arial"/>
          <w:sz w:val="24"/>
          <w:szCs w:val="24"/>
          <w:highlight w:val="yellow"/>
        </w:rPr>
        <w:t xml:space="preserve"> considerable potential in this sector—particularly due to the presence of </w:t>
      </w:r>
      <w:proofErr w:type="spellStart"/>
      <w:r w:rsidRPr="00341FB3">
        <w:rPr>
          <w:rFonts w:ascii="Arial" w:hAnsi="Arial" w:cs="Arial"/>
          <w:sz w:val="24"/>
          <w:szCs w:val="24"/>
          <w:highlight w:val="yellow"/>
        </w:rPr>
        <w:t>Gunung</w:t>
      </w:r>
      <w:proofErr w:type="spellEnd"/>
      <w:r w:rsidRPr="00341FB3">
        <w:rPr>
          <w:rFonts w:ascii="Arial" w:hAnsi="Arial" w:cs="Arial"/>
          <w:sz w:val="24"/>
          <w:szCs w:val="24"/>
          <w:highlight w:val="yellow"/>
        </w:rPr>
        <w:t xml:space="preserve"> </w:t>
      </w:r>
      <w:proofErr w:type="spellStart"/>
      <w:r w:rsidRPr="00341FB3">
        <w:rPr>
          <w:rFonts w:ascii="Arial" w:hAnsi="Arial" w:cs="Arial"/>
          <w:sz w:val="24"/>
          <w:szCs w:val="24"/>
          <w:highlight w:val="yellow"/>
        </w:rPr>
        <w:t>Leuser</w:t>
      </w:r>
      <w:proofErr w:type="spellEnd"/>
      <w:r w:rsidRPr="00341FB3">
        <w:rPr>
          <w:rFonts w:ascii="Arial" w:hAnsi="Arial" w:cs="Arial"/>
          <w:sz w:val="24"/>
          <w:szCs w:val="24"/>
          <w:highlight w:val="yellow"/>
        </w:rPr>
        <w:t xml:space="preserve"> National Park as a major nature tourism attraction.</w:t>
      </w:r>
    </w:p>
    <w:p w14:paraId="718BAC54" w14:textId="77777777" w:rsidR="004B25E2" w:rsidRPr="0087531F" w:rsidRDefault="004B25E2" w:rsidP="004B25E2">
      <w:pPr>
        <w:rPr>
          <w:rFonts w:ascii="Arial" w:hAnsi="Arial" w:cs="Arial"/>
          <w:b/>
          <w:sz w:val="24"/>
          <w:szCs w:val="24"/>
          <w:highlight w:val="yellow"/>
        </w:rPr>
      </w:pPr>
      <w:r w:rsidRPr="0087531F">
        <w:rPr>
          <w:rFonts w:ascii="Arial" w:hAnsi="Arial" w:cs="Arial"/>
          <w:b/>
          <w:sz w:val="24"/>
          <w:szCs w:val="24"/>
          <w:highlight w:val="yellow"/>
        </w:rPr>
        <w:t>Disclaimer (Artificial intelligence)</w:t>
      </w:r>
    </w:p>
    <w:p w14:paraId="165F1259" w14:textId="77777777" w:rsidR="004B25E2" w:rsidRPr="00341FB3" w:rsidRDefault="004B25E2" w:rsidP="004B25E2">
      <w:pPr>
        <w:rPr>
          <w:rFonts w:ascii="Arial" w:hAnsi="Arial" w:cs="Arial"/>
          <w:sz w:val="24"/>
          <w:szCs w:val="24"/>
          <w:highlight w:val="yellow"/>
        </w:rPr>
      </w:pPr>
      <w:r w:rsidRPr="00341FB3">
        <w:rPr>
          <w:rFonts w:ascii="Arial" w:hAnsi="Arial" w:cs="Arial"/>
          <w:sz w:val="24"/>
          <w:szCs w:val="24"/>
          <w:highlight w:val="yellow"/>
        </w:rPr>
        <w:t>The authors declare that generative AI tools (e.g., ChatGPT) were used only to improve language clarity and grammar. No AI tool was used to generate the research design, data, analysis, results, or conclusions, and the authors take full responsibility for the integrity of the work.</w:t>
      </w:r>
      <w:bookmarkStart w:id="1" w:name="_GoBack"/>
      <w:bookmarkEnd w:id="1"/>
    </w:p>
    <w:p w14:paraId="584F8F50" w14:textId="77777777" w:rsidR="00E84598" w:rsidRPr="00341FB3" w:rsidRDefault="00E84598" w:rsidP="00E84598">
      <w:pPr>
        <w:jc w:val="both"/>
        <w:rPr>
          <w:rFonts w:ascii="Arial" w:hAnsi="Arial" w:cs="Arial"/>
          <w:b/>
          <w:bCs/>
          <w:sz w:val="24"/>
          <w:szCs w:val="24"/>
          <w:highlight w:val="yellow"/>
        </w:rPr>
      </w:pPr>
      <w:r w:rsidRPr="00341FB3">
        <w:rPr>
          <w:rFonts w:ascii="Arial" w:hAnsi="Arial" w:cs="Arial"/>
          <w:b/>
          <w:bCs/>
          <w:sz w:val="24"/>
          <w:szCs w:val="24"/>
          <w:highlight w:val="yellow"/>
        </w:rPr>
        <w:t>References</w:t>
      </w:r>
    </w:p>
    <w:p w14:paraId="7F39C5A1" w14:textId="77777777" w:rsidR="009C643C" w:rsidRPr="00ED49A9" w:rsidRDefault="003816EF" w:rsidP="00ED49A9">
      <w:pPr>
        <w:pStyle w:val="ListParagraph"/>
        <w:numPr>
          <w:ilvl w:val="0"/>
          <w:numId w:val="19"/>
        </w:numPr>
        <w:spacing w:after="0" w:line="240" w:lineRule="auto"/>
        <w:rPr>
          <w:rFonts w:ascii="Arial" w:hAnsi="Arial" w:cs="Arial"/>
          <w:sz w:val="24"/>
          <w:szCs w:val="24"/>
          <w:highlight w:val="yellow"/>
        </w:rPr>
      </w:pPr>
      <w:r w:rsidRPr="00ED49A9">
        <w:rPr>
          <w:rFonts w:ascii="Arial" w:hAnsi="Arial" w:cs="Arial"/>
          <w:sz w:val="24"/>
          <w:szCs w:val="24"/>
          <w:highlight w:val="yellow"/>
        </w:rPr>
        <w:t xml:space="preserve">Agastya, A. A. R. U., &amp; Ariyani, A. H. M. (2023). Development strategy for the agropolitan area of coffee commodities in Wonosalam District, Jombang Regency. </w:t>
      </w:r>
      <w:r w:rsidRPr="00ED49A9">
        <w:rPr>
          <w:rFonts w:ascii="Arial" w:hAnsi="Arial" w:cs="Arial"/>
          <w:i/>
          <w:sz w:val="24"/>
          <w:szCs w:val="24"/>
          <w:highlight w:val="yellow"/>
        </w:rPr>
        <w:t>Agriscience</w:t>
      </w:r>
      <w:r w:rsidRPr="00ED49A9">
        <w:rPr>
          <w:rFonts w:ascii="Arial" w:hAnsi="Arial" w:cs="Arial"/>
          <w:sz w:val="24"/>
          <w:szCs w:val="24"/>
          <w:highlight w:val="yellow"/>
        </w:rPr>
        <w:t>, 3(3), 732–751. https://doi.org/10.21107/agriscience.v3i3.16757</w:t>
      </w:r>
    </w:p>
    <w:p w14:paraId="665F9BF6" w14:textId="77777777" w:rsidR="009C643C" w:rsidRPr="00ED49A9" w:rsidRDefault="003816EF" w:rsidP="00ED49A9">
      <w:pPr>
        <w:pStyle w:val="ListParagraph"/>
        <w:numPr>
          <w:ilvl w:val="0"/>
          <w:numId w:val="19"/>
        </w:numPr>
        <w:spacing w:after="0" w:line="240" w:lineRule="auto"/>
        <w:rPr>
          <w:rFonts w:ascii="Arial" w:hAnsi="Arial" w:cs="Arial"/>
          <w:sz w:val="24"/>
          <w:szCs w:val="24"/>
          <w:highlight w:val="yellow"/>
        </w:rPr>
      </w:pPr>
      <w:r w:rsidRPr="00ED49A9">
        <w:rPr>
          <w:rFonts w:ascii="Arial" w:hAnsi="Arial" w:cs="Arial"/>
          <w:sz w:val="24"/>
          <w:szCs w:val="24"/>
          <w:highlight w:val="yellow"/>
        </w:rPr>
        <w:lastRenderedPageBreak/>
        <w:t xml:space="preserve">Efendi, A., Agussalim, A., &amp; Suhab, S. (2022). Analisis sektor unggulan dalam mendorong pertumbuhan ekonomi di kabupaten/kota pada Kawasan Perkotaan Mamminasata. </w:t>
      </w:r>
      <w:r w:rsidRPr="00ED49A9">
        <w:rPr>
          <w:rFonts w:ascii="Arial" w:hAnsi="Arial" w:cs="Arial"/>
          <w:i/>
          <w:sz w:val="24"/>
          <w:szCs w:val="24"/>
          <w:highlight w:val="yellow"/>
        </w:rPr>
        <w:t>Development Policy and Management Review</w:t>
      </w:r>
      <w:r w:rsidRPr="00ED49A9">
        <w:rPr>
          <w:rFonts w:ascii="Arial" w:hAnsi="Arial" w:cs="Arial"/>
          <w:sz w:val="24"/>
          <w:szCs w:val="24"/>
          <w:highlight w:val="yellow"/>
        </w:rPr>
        <w:t>, 2(2), 100–118. https://doi.org/10.61731/dpmr.vi.20915</w:t>
      </w:r>
    </w:p>
    <w:p w14:paraId="7CEF0A8C" w14:textId="77777777" w:rsidR="009C643C" w:rsidRPr="00ED49A9" w:rsidRDefault="003816EF" w:rsidP="00ED49A9">
      <w:pPr>
        <w:pStyle w:val="ListParagraph"/>
        <w:numPr>
          <w:ilvl w:val="0"/>
          <w:numId w:val="19"/>
        </w:numPr>
        <w:spacing w:after="0" w:line="240" w:lineRule="auto"/>
        <w:rPr>
          <w:rFonts w:ascii="Arial" w:hAnsi="Arial" w:cs="Arial"/>
          <w:sz w:val="24"/>
          <w:szCs w:val="24"/>
          <w:highlight w:val="yellow"/>
        </w:rPr>
      </w:pPr>
      <w:r w:rsidRPr="00ED49A9">
        <w:rPr>
          <w:rFonts w:ascii="Arial" w:hAnsi="Arial" w:cs="Arial"/>
          <w:sz w:val="24"/>
          <w:szCs w:val="24"/>
          <w:highlight w:val="yellow"/>
        </w:rPr>
        <w:t xml:space="preserve">Fadhilah, M. H. (2023). Analysis of leading economic sectors in Pekanbaru City. </w:t>
      </w:r>
      <w:r w:rsidRPr="00ED49A9">
        <w:rPr>
          <w:rFonts w:ascii="Arial" w:hAnsi="Arial" w:cs="Arial"/>
          <w:i/>
          <w:sz w:val="24"/>
          <w:szCs w:val="24"/>
          <w:highlight w:val="yellow"/>
        </w:rPr>
        <w:t>PKN: Jurnal Pajak dan Keuangan Negara</w:t>
      </w:r>
      <w:r w:rsidRPr="00ED49A9">
        <w:rPr>
          <w:rFonts w:ascii="Arial" w:hAnsi="Arial" w:cs="Arial"/>
          <w:sz w:val="24"/>
          <w:szCs w:val="24"/>
          <w:highlight w:val="yellow"/>
        </w:rPr>
        <w:t>, 5(1), 38–45. https://doi.org/10.31092/jpkn.v5i1.2253</w:t>
      </w:r>
    </w:p>
    <w:p w14:paraId="7974A96C" w14:textId="77777777" w:rsidR="009C643C" w:rsidRPr="00ED49A9" w:rsidRDefault="003816EF" w:rsidP="00ED49A9">
      <w:pPr>
        <w:pStyle w:val="ListParagraph"/>
        <w:numPr>
          <w:ilvl w:val="0"/>
          <w:numId w:val="19"/>
        </w:numPr>
        <w:spacing w:after="0" w:line="240" w:lineRule="auto"/>
        <w:rPr>
          <w:rFonts w:ascii="Arial" w:hAnsi="Arial" w:cs="Arial"/>
          <w:sz w:val="24"/>
          <w:szCs w:val="24"/>
          <w:highlight w:val="yellow"/>
        </w:rPr>
      </w:pPr>
      <w:r w:rsidRPr="00ED49A9">
        <w:rPr>
          <w:rFonts w:ascii="Arial" w:hAnsi="Arial" w:cs="Arial"/>
          <w:sz w:val="24"/>
          <w:szCs w:val="24"/>
          <w:highlight w:val="yellow"/>
        </w:rPr>
        <w:t xml:space="preserve">Faes, M., &amp; Zuhriyah, A. (2023). Development strategy for leading agricultural commodities in Tanjungbumi District, Bangkalan Regency, East Java. </w:t>
      </w:r>
      <w:r w:rsidRPr="00ED49A9">
        <w:rPr>
          <w:rFonts w:ascii="Arial" w:hAnsi="Arial" w:cs="Arial"/>
          <w:i/>
          <w:sz w:val="24"/>
          <w:szCs w:val="24"/>
          <w:highlight w:val="yellow"/>
        </w:rPr>
        <w:t>Agriscience</w:t>
      </w:r>
      <w:r w:rsidRPr="00ED49A9">
        <w:rPr>
          <w:rFonts w:ascii="Arial" w:hAnsi="Arial" w:cs="Arial"/>
          <w:sz w:val="24"/>
          <w:szCs w:val="24"/>
          <w:highlight w:val="yellow"/>
        </w:rPr>
        <w:t>, 4(1), 137–150. https://doi.org/10.21107/agriscience.v4i1.15617</w:t>
      </w:r>
    </w:p>
    <w:p w14:paraId="0B948B26" w14:textId="77777777" w:rsidR="009C643C" w:rsidRPr="00ED49A9" w:rsidRDefault="003816EF" w:rsidP="00ED49A9">
      <w:pPr>
        <w:pStyle w:val="ListParagraph"/>
        <w:numPr>
          <w:ilvl w:val="0"/>
          <w:numId w:val="19"/>
        </w:numPr>
        <w:spacing w:after="0" w:line="240" w:lineRule="auto"/>
        <w:rPr>
          <w:rFonts w:ascii="Arial" w:hAnsi="Arial" w:cs="Arial"/>
          <w:sz w:val="24"/>
          <w:szCs w:val="24"/>
          <w:highlight w:val="yellow"/>
        </w:rPr>
      </w:pPr>
      <w:r w:rsidRPr="00ED49A9">
        <w:rPr>
          <w:rFonts w:ascii="Arial" w:hAnsi="Arial" w:cs="Arial"/>
          <w:sz w:val="24"/>
          <w:szCs w:val="24"/>
          <w:highlight w:val="yellow"/>
        </w:rPr>
        <w:t xml:space="preserve">Harjanti, D. T., Apriliyana, M. I., &amp; Arini, A. C. (2021). Analysis of regional leading sector through location quotient approach, shift share analysis, and Klassen typology (Case study: Sanggau Regency, West Kalimantan Province). </w:t>
      </w:r>
      <w:r w:rsidRPr="00ED49A9">
        <w:rPr>
          <w:rFonts w:ascii="Arial" w:hAnsi="Arial" w:cs="Arial"/>
          <w:i/>
          <w:sz w:val="24"/>
          <w:szCs w:val="24"/>
          <w:highlight w:val="yellow"/>
        </w:rPr>
        <w:t>Jurnal Geografi Gea</w:t>
      </w:r>
      <w:r w:rsidRPr="00ED49A9">
        <w:rPr>
          <w:rFonts w:ascii="Arial" w:hAnsi="Arial" w:cs="Arial"/>
          <w:sz w:val="24"/>
          <w:szCs w:val="24"/>
          <w:highlight w:val="yellow"/>
        </w:rPr>
        <w:t>, 21(2), 147–158. https://doi.org/10.17509/gea.v21i2.38870</w:t>
      </w:r>
    </w:p>
    <w:p w14:paraId="5CAAEE78" w14:textId="77777777" w:rsidR="009C643C" w:rsidRPr="00ED49A9" w:rsidRDefault="003816EF" w:rsidP="00ED49A9">
      <w:pPr>
        <w:pStyle w:val="ListParagraph"/>
        <w:numPr>
          <w:ilvl w:val="0"/>
          <w:numId w:val="19"/>
        </w:numPr>
        <w:spacing w:after="0" w:line="240" w:lineRule="auto"/>
        <w:rPr>
          <w:rFonts w:ascii="Arial" w:hAnsi="Arial" w:cs="Arial"/>
          <w:sz w:val="24"/>
          <w:szCs w:val="24"/>
          <w:highlight w:val="yellow"/>
        </w:rPr>
      </w:pPr>
      <w:r w:rsidRPr="00ED49A9">
        <w:rPr>
          <w:rFonts w:ascii="Arial" w:hAnsi="Arial" w:cs="Arial"/>
          <w:sz w:val="24"/>
          <w:szCs w:val="24"/>
          <w:highlight w:val="yellow"/>
        </w:rPr>
        <w:t xml:space="preserve">Hidayat, M., &amp; Darwin, R. (2017). Analysis of leading sectors in regional development of Meranti Islands Regency. </w:t>
      </w:r>
      <w:r w:rsidRPr="00ED49A9">
        <w:rPr>
          <w:rFonts w:ascii="Arial" w:hAnsi="Arial" w:cs="Arial"/>
          <w:i/>
          <w:sz w:val="24"/>
          <w:szCs w:val="24"/>
          <w:highlight w:val="yellow"/>
        </w:rPr>
        <w:t>Media Trend</w:t>
      </w:r>
      <w:r w:rsidRPr="00ED49A9">
        <w:rPr>
          <w:rFonts w:ascii="Arial" w:hAnsi="Arial" w:cs="Arial"/>
          <w:sz w:val="24"/>
          <w:szCs w:val="24"/>
          <w:highlight w:val="yellow"/>
        </w:rPr>
        <w:t>, 12(2), 156–167. https://doi.org/10.21107/mediatrend.v12i2.3081</w:t>
      </w:r>
    </w:p>
    <w:p w14:paraId="248B5E3E" w14:textId="77777777" w:rsidR="009C643C" w:rsidRPr="00ED49A9" w:rsidRDefault="003816EF" w:rsidP="00ED49A9">
      <w:pPr>
        <w:pStyle w:val="ListParagraph"/>
        <w:numPr>
          <w:ilvl w:val="0"/>
          <w:numId w:val="19"/>
        </w:numPr>
        <w:spacing w:after="0" w:line="240" w:lineRule="auto"/>
        <w:rPr>
          <w:rFonts w:ascii="Arial" w:hAnsi="Arial" w:cs="Arial"/>
          <w:sz w:val="24"/>
          <w:szCs w:val="24"/>
          <w:highlight w:val="yellow"/>
        </w:rPr>
      </w:pPr>
      <w:r w:rsidRPr="00ED49A9">
        <w:rPr>
          <w:rFonts w:ascii="Arial" w:hAnsi="Arial" w:cs="Arial"/>
          <w:sz w:val="24"/>
          <w:szCs w:val="24"/>
          <w:highlight w:val="yellow"/>
        </w:rPr>
        <w:t xml:space="preserve">Husna, W., &amp; Husein, R. (2023). Analisis sektor ekonomi unggulan dan potensial terhadap pertumbuhan ekonomi di Provinsi Aceh. </w:t>
      </w:r>
      <w:r w:rsidRPr="00ED49A9">
        <w:rPr>
          <w:rFonts w:ascii="Arial" w:hAnsi="Arial" w:cs="Arial"/>
          <w:i/>
          <w:sz w:val="24"/>
          <w:szCs w:val="24"/>
          <w:highlight w:val="yellow"/>
        </w:rPr>
        <w:t>Jurnal Ekonomi Regional Unimal</w:t>
      </w:r>
      <w:r w:rsidRPr="00ED49A9">
        <w:rPr>
          <w:rFonts w:ascii="Arial" w:hAnsi="Arial" w:cs="Arial"/>
          <w:sz w:val="24"/>
          <w:szCs w:val="24"/>
          <w:highlight w:val="yellow"/>
        </w:rPr>
        <w:t>, 6(1), 21–30. https://doi.org/10.29103/jeru.v6i1.12268</w:t>
      </w:r>
    </w:p>
    <w:p w14:paraId="11AB328A" w14:textId="77777777" w:rsidR="009C643C" w:rsidRPr="00ED49A9" w:rsidRDefault="003816EF" w:rsidP="00ED49A9">
      <w:pPr>
        <w:pStyle w:val="ListParagraph"/>
        <w:numPr>
          <w:ilvl w:val="0"/>
          <w:numId w:val="19"/>
        </w:numPr>
        <w:spacing w:after="0" w:line="240" w:lineRule="auto"/>
        <w:rPr>
          <w:rFonts w:ascii="Arial" w:hAnsi="Arial" w:cs="Arial"/>
          <w:sz w:val="24"/>
          <w:szCs w:val="24"/>
          <w:highlight w:val="yellow"/>
        </w:rPr>
      </w:pPr>
      <w:r w:rsidRPr="00ED49A9">
        <w:rPr>
          <w:rFonts w:ascii="Arial" w:hAnsi="Arial" w:cs="Arial"/>
          <w:sz w:val="24"/>
          <w:szCs w:val="24"/>
          <w:highlight w:val="yellow"/>
        </w:rPr>
        <w:t xml:space="preserve">Kharisma, B., Remi, S. S., Wardhana, A., Roseline, H., &amp; Rosiyan, M. B. P. (2021). The determination of leading sectors to improve Bandung City’s competitiveness. </w:t>
      </w:r>
      <w:r w:rsidRPr="00ED49A9">
        <w:rPr>
          <w:rFonts w:ascii="Arial" w:hAnsi="Arial" w:cs="Arial"/>
          <w:i/>
          <w:sz w:val="24"/>
          <w:szCs w:val="24"/>
          <w:highlight w:val="yellow"/>
        </w:rPr>
        <w:t>Economics Development Analysis Journal</w:t>
      </w:r>
      <w:r w:rsidRPr="00ED49A9">
        <w:rPr>
          <w:rFonts w:ascii="Arial" w:hAnsi="Arial" w:cs="Arial"/>
          <w:sz w:val="24"/>
          <w:szCs w:val="24"/>
          <w:highlight w:val="yellow"/>
        </w:rPr>
        <w:t>, 10(3), 270–285. https://doi.org/10.15294/edaj.v10i3.44884</w:t>
      </w:r>
    </w:p>
    <w:p w14:paraId="6FBE8C94" w14:textId="77777777" w:rsidR="009C643C" w:rsidRPr="00ED49A9" w:rsidRDefault="003816EF" w:rsidP="00ED49A9">
      <w:pPr>
        <w:pStyle w:val="ListParagraph"/>
        <w:numPr>
          <w:ilvl w:val="0"/>
          <w:numId w:val="19"/>
        </w:numPr>
        <w:spacing w:after="0" w:line="240" w:lineRule="auto"/>
        <w:rPr>
          <w:rFonts w:ascii="Arial" w:hAnsi="Arial" w:cs="Arial"/>
          <w:sz w:val="24"/>
          <w:szCs w:val="24"/>
          <w:highlight w:val="yellow"/>
        </w:rPr>
      </w:pPr>
      <w:r w:rsidRPr="00ED49A9">
        <w:rPr>
          <w:rFonts w:ascii="Arial" w:hAnsi="Arial" w:cs="Arial"/>
          <w:sz w:val="24"/>
          <w:szCs w:val="24"/>
          <w:highlight w:val="yellow"/>
        </w:rPr>
        <w:t xml:space="preserve">Mailendra, M., Astuti, P., Mardianto, M., &amp; Muliana, R. (2018). The regional development based on leading sectors in Kuantan Singingi Regency, Riau Province. </w:t>
      </w:r>
      <w:r w:rsidRPr="00ED49A9">
        <w:rPr>
          <w:rFonts w:ascii="Arial" w:hAnsi="Arial" w:cs="Arial"/>
          <w:i/>
          <w:sz w:val="24"/>
          <w:szCs w:val="24"/>
          <w:highlight w:val="yellow"/>
        </w:rPr>
        <w:t>Proceedings of CELSciTech</w:t>
      </w:r>
      <w:r w:rsidRPr="00ED49A9">
        <w:rPr>
          <w:rFonts w:ascii="Arial" w:hAnsi="Arial" w:cs="Arial"/>
          <w:sz w:val="24"/>
          <w:szCs w:val="24"/>
          <w:highlight w:val="yellow"/>
        </w:rPr>
        <w:t>, 3, 7–16. https://journal.umri.ac.id/index.php/CELSciTech/article/view/1099</w:t>
      </w:r>
    </w:p>
    <w:p w14:paraId="7C240FA9" w14:textId="77777777" w:rsidR="009C643C" w:rsidRPr="00ED49A9" w:rsidRDefault="003816EF" w:rsidP="00ED49A9">
      <w:pPr>
        <w:pStyle w:val="ListParagraph"/>
        <w:numPr>
          <w:ilvl w:val="0"/>
          <w:numId w:val="19"/>
        </w:numPr>
        <w:spacing w:after="0" w:line="240" w:lineRule="auto"/>
        <w:rPr>
          <w:rFonts w:ascii="Arial" w:hAnsi="Arial" w:cs="Arial"/>
          <w:sz w:val="24"/>
          <w:szCs w:val="24"/>
          <w:highlight w:val="yellow"/>
        </w:rPr>
      </w:pPr>
      <w:r w:rsidRPr="00ED49A9">
        <w:rPr>
          <w:rFonts w:ascii="Arial" w:hAnsi="Arial" w:cs="Arial"/>
          <w:sz w:val="24"/>
          <w:szCs w:val="24"/>
          <w:highlight w:val="yellow"/>
        </w:rPr>
        <w:t xml:space="preserve">Manik, T. P., Syaputra, I., &amp; Dalimunthe, M. B. (2025). Analysis of leading sectors and their impact on economic growth in Medan City. </w:t>
      </w:r>
      <w:r w:rsidRPr="00ED49A9">
        <w:rPr>
          <w:rFonts w:ascii="Arial" w:hAnsi="Arial" w:cs="Arial"/>
          <w:i/>
          <w:sz w:val="24"/>
          <w:szCs w:val="24"/>
          <w:highlight w:val="yellow"/>
        </w:rPr>
        <w:t>Inovasi Pembangunan: Jurnal Kelitbangan</w:t>
      </w:r>
      <w:r w:rsidRPr="00ED49A9">
        <w:rPr>
          <w:rFonts w:ascii="Arial" w:hAnsi="Arial" w:cs="Arial"/>
          <w:sz w:val="24"/>
          <w:szCs w:val="24"/>
          <w:highlight w:val="yellow"/>
        </w:rPr>
        <w:t>, 13(1). https://doi.org/10.35450/jip.v13i1.977</w:t>
      </w:r>
    </w:p>
    <w:p w14:paraId="0E79B704" w14:textId="77777777" w:rsidR="009C643C" w:rsidRPr="00ED49A9" w:rsidRDefault="003816EF" w:rsidP="00ED49A9">
      <w:pPr>
        <w:pStyle w:val="ListParagraph"/>
        <w:numPr>
          <w:ilvl w:val="0"/>
          <w:numId w:val="19"/>
        </w:numPr>
        <w:spacing w:after="0" w:line="240" w:lineRule="auto"/>
        <w:rPr>
          <w:rFonts w:ascii="Arial" w:hAnsi="Arial" w:cs="Arial"/>
          <w:sz w:val="24"/>
          <w:szCs w:val="24"/>
          <w:highlight w:val="yellow"/>
        </w:rPr>
      </w:pPr>
      <w:r w:rsidRPr="00ED49A9">
        <w:rPr>
          <w:rFonts w:ascii="Arial" w:hAnsi="Arial" w:cs="Arial"/>
          <w:sz w:val="24"/>
          <w:szCs w:val="24"/>
          <w:highlight w:val="yellow"/>
        </w:rPr>
        <w:t xml:space="preserve">Maspaitella, M. R., Parinussa, S. M., &amp; Tewernussa, K. I. (2021). Applying location quotient and shift-share analysis in determining leading sectors in Teluk Bintuni Regency. </w:t>
      </w:r>
      <w:r w:rsidRPr="00ED49A9">
        <w:rPr>
          <w:rFonts w:ascii="Arial" w:hAnsi="Arial" w:cs="Arial"/>
          <w:i/>
          <w:sz w:val="24"/>
          <w:szCs w:val="24"/>
          <w:highlight w:val="yellow"/>
        </w:rPr>
        <w:t>Journal of Developing Economies</w:t>
      </w:r>
      <w:r w:rsidRPr="00ED49A9">
        <w:rPr>
          <w:rFonts w:ascii="Arial" w:hAnsi="Arial" w:cs="Arial"/>
          <w:sz w:val="24"/>
          <w:szCs w:val="24"/>
          <w:highlight w:val="yellow"/>
        </w:rPr>
        <w:t>, 6(1), 55–65. https://doi.org/10.20473/jde.v6i1.22182</w:t>
      </w:r>
    </w:p>
    <w:p w14:paraId="6E6EC83A" w14:textId="77777777" w:rsidR="009C643C" w:rsidRPr="00ED49A9" w:rsidRDefault="003816EF" w:rsidP="00ED49A9">
      <w:pPr>
        <w:pStyle w:val="ListParagraph"/>
        <w:numPr>
          <w:ilvl w:val="0"/>
          <w:numId w:val="19"/>
        </w:numPr>
        <w:spacing w:after="0" w:line="240" w:lineRule="auto"/>
        <w:rPr>
          <w:rFonts w:ascii="Arial" w:hAnsi="Arial" w:cs="Arial"/>
          <w:sz w:val="24"/>
          <w:szCs w:val="24"/>
          <w:highlight w:val="yellow"/>
        </w:rPr>
      </w:pPr>
      <w:r w:rsidRPr="00ED49A9">
        <w:rPr>
          <w:rFonts w:ascii="Arial" w:hAnsi="Arial" w:cs="Arial"/>
          <w:sz w:val="24"/>
          <w:szCs w:val="24"/>
          <w:highlight w:val="yellow"/>
        </w:rPr>
        <w:t xml:space="preserve">Mufarrij, M., Adhini, N. P., Pratama, R. N., Putri, L. D., Muna, N. M., Ayuningtyas, A. R., Pramono, W. N. P., &amp; Rahmawati (2025). Determination of key commodities in the agropolitan sector of Subang Regency. </w:t>
      </w:r>
      <w:r w:rsidRPr="00ED49A9">
        <w:rPr>
          <w:rFonts w:ascii="Arial" w:hAnsi="Arial" w:cs="Arial"/>
          <w:i/>
          <w:sz w:val="24"/>
          <w:szCs w:val="24"/>
          <w:highlight w:val="yellow"/>
        </w:rPr>
        <w:t>Journal of Regional and Rural Studies</w:t>
      </w:r>
      <w:r w:rsidRPr="00ED49A9">
        <w:rPr>
          <w:rFonts w:ascii="Arial" w:hAnsi="Arial" w:cs="Arial"/>
          <w:sz w:val="24"/>
          <w:szCs w:val="24"/>
          <w:highlight w:val="yellow"/>
        </w:rPr>
        <w:t>, 3(1), 1–10. https://doi.org/10.21776/rrs.v3i1.51</w:t>
      </w:r>
    </w:p>
    <w:p w14:paraId="2B04469E" w14:textId="77777777" w:rsidR="009C643C" w:rsidRPr="00ED49A9" w:rsidRDefault="003816EF" w:rsidP="00ED49A9">
      <w:pPr>
        <w:pStyle w:val="ListParagraph"/>
        <w:numPr>
          <w:ilvl w:val="0"/>
          <w:numId w:val="19"/>
        </w:numPr>
        <w:spacing w:after="0" w:line="240" w:lineRule="auto"/>
        <w:rPr>
          <w:rFonts w:ascii="Arial" w:hAnsi="Arial" w:cs="Arial"/>
          <w:sz w:val="24"/>
          <w:szCs w:val="24"/>
          <w:highlight w:val="yellow"/>
        </w:rPr>
      </w:pPr>
      <w:r w:rsidRPr="00ED49A9">
        <w:rPr>
          <w:rFonts w:ascii="Arial" w:hAnsi="Arial" w:cs="Arial"/>
          <w:sz w:val="24"/>
          <w:szCs w:val="24"/>
          <w:highlight w:val="yellow"/>
        </w:rPr>
        <w:t xml:space="preserve">Novita, D., Riyadh, M. I., Asaad, M., &amp; Rinanda, T. (2023). Potential and development of leading commodities in the agricultural sector in North Sumatra Province. </w:t>
      </w:r>
      <w:r w:rsidRPr="00ED49A9">
        <w:rPr>
          <w:rFonts w:ascii="Arial" w:hAnsi="Arial" w:cs="Arial"/>
          <w:i/>
          <w:sz w:val="24"/>
          <w:szCs w:val="24"/>
          <w:highlight w:val="yellow"/>
        </w:rPr>
        <w:t>Jurnal Agrica</w:t>
      </w:r>
      <w:r w:rsidRPr="00ED49A9">
        <w:rPr>
          <w:rFonts w:ascii="Arial" w:hAnsi="Arial" w:cs="Arial"/>
          <w:sz w:val="24"/>
          <w:szCs w:val="24"/>
          <w:highlight w:val="yellow"/>
        </w:rPr>
        <w:t>, 16(1), 102–113. https://doi.org/10.31289/agrica.v16i1.8434</w:t>
      </w:r>
    </w:p>
    <w:p w14:paraId="5E15E474" w14:textId="77777777" w:rsidR="009C643C" w:rsidRPr="00ED49A9" w:rsidRDefault="003816EF" w:rsidP="00ED49A9">
      <w:pPr>
        <w:pStyle w:val="ListParagraph"/>
        <w:numPr>
          <w:ilvl w:val="0"/>
          <w:numId w:val="19"/>
        </w:numPr>
        <w:spacing w:after="0" w:line="240" w:lineRule="auto"/>
        <w:rPr>
          <w:rFonts w:ascii="Arial" w:hAnsi="Arial" w:cs="Arial"/>
          <w:sz w:val="24"/>
          <w:szCs w:val="24"/>
          <w:highlight w:val="yellow"/>
        </w:rPr>
      </w:pPr>
      <w:r w:rsidRPr="00ED49A9">
        <w:rPr>
          <w:rFonts w:ascii="Arial" w:hAnsi="Arial" w:cs="Arial"/>
          <w:sz w:val="24"/>
          <w:szCs w:val="24"/>
          <w:highlight w:val="yellow"/>
        </w:rPr>
        <w:t xml:space="preserve">Paramata, S., &amp; Yaluminah, H. (2023). Regional development strategy based on the potential of leading sectors in Bone Bolango Regency. </w:t>
      </w:r>
      <w:r w:rsidRPr="00ED49A9">
        <w:rPr>
          <w:rFonts w:ascii="Arial" w:hAnsi="Arial" w:cs="Arial"/>
          <w:i/>
          <w:sz w:val="24"/>
          <w:szCs w:val="24"/>
          <w:highlight w:val="yellow"/>
        </w:rPr>
        <w:t>JPPE: Jurnal Perencanaan &amp; Pengembangan Ekonomi</w:t>
      </w:r>
      <w:r w:rsidRPr="00ED49A9">
        <w:rPr>
          <w:rFonts w:ascii="Arial" w:hAnsi="Arial" w:cs="Arial"/>
          <w:sz w:val="24"/>
          <w:szCs w:val="24"/>
          <w:highlight w:val="yellow"/>
        </w:rPr>
        <w:t>, 6(1), 33–46. http://dx.doi.org/10.31314/jppe.v6i1.2350</w:t>
      </w:r>
    </w:p>
    <w:p w14:paraId="08EA13CE" w14:textId="77777777" w:rsidR="009C643C" w:rsidRPr="00ED49A9" w:rsidRDefault="003816EF" w:rsidP="00ED49A9">
      <w:pPr>
        <w:pStyle w:val="ListParagraph"/>
        <w:numPr>
          <w:ilvl w:val="0"/>
          <w:numId w:val="19"/>
        </w:numPr>
        <w:spacing w:after="0" w:line="240" w:lineRule="auto"/>
        <w:rPr>
          <w:rFonts w:ascii="Arial" w:hAnsi="Arial" w:cs="Arial"/>
          <w:sz w:val="24"/>
          <w:szCs w:val="24"/>
          <w:highlight w:val="yellow"/>
        </w:rPr>
      </w:pPr>
      <w:r w:rsidRPr="00ED49A9">
        <w:rPr>
          <w:rFonts w:ascii="Arial" w:hAnsi="Arial" w:cs="Arial"/>
          <w:sz w:val="24"/>
          <w:szCs w:val="24"/>
          <w:highlight w:val="yellow"/>
        </w:rPr>
        <w:lastRenderedPageBreak/>
        <w:t>Puspita, C. W., Rachmawati, F., &amp; Sumarsono, H. (2017). Strategy to increase regional competitiveness in development region one of Malang Regency (Doctoral dissertation, State University of Malang). https://doi.org/10.17977/jptpp.v2i3.8641</w:t>
      </w:r>
    </w:p>
    <w:p w14:paraId="17067B43" w14:textId="77777777" w:rsidR="009C643C" w:rsidRPr="00ED49A9" w:rsidRDefault="003816EF" w:rsidP="00ED49A9">
      <w:pPr>
        <w:pStyle w:val="ListParagraph"/>
        <w:numPr>
          <w:ilvl w:val="0"/>
          <w:numId w:val="19"/>
        </w:numPr>
        <w:spacing w:after="0" w:line="240" w:lineRule="auto"/>
        <w:rPr>
          <w:rFonts w:ascii="Arial" w:hAnsi="Arial" w:cs="Arial"/>
          <w:sz w:val="24"/>
          <w:szCs w:val="24"/>
          <w:highlight w:val="yellow"/>
        </w:rPr>
      </w:pPr>
      <w:r w:rsidRPr="00ED49A9">
        <w:rPr>
          <w:rFonts w:ascii="Arial" w:hAnsi="Arial" w:cs="Arial"/>
          <w:sz w:val="24"/>
          <w:szCs w:val="24"/>
          <w:highlight w:val="yellow"/>
        </w:rPr>
        <w:t xml:space="preserve">Putra, E. P., &amp; Kasmiati, K. (2018). Regional development based on the potential of leading sectors in Gowa Regency. </w:t>
      </w:r>
      <w:r w:rsidRPr="00ED49A9">
        <w:rPr>
          <w:rFonts w:ascii="Arial" w:hAnsi="Arial" w:cs="Arial"/>
          <w:i/>
          <w:sz w:val="24"/>
          <w:szCs w:val="24"/>
          <w:highlight w:val="yellow"/>
        </w:rPr>
        <w:t>Mega Aktiva: Jurnal Ekonomi dan Manajemen</w:t>
      </w:r>
      <w:r w:rsidRPr="00ED49A9">
        <w:rPr>
          <w:rFonts w:ascii="Arial" w:hAnsi="Arial" w:cs="Arial"/>
          <w:sz w:val="24"/>
          <w:szCs w:val="24"/>
          <w:highlight w:val="yellow"/>
        </w:rPr>
        <w:t>, 7(2), 122–135. https://doi.org/10.32833/majem.v7i2.73</w:t>
      </w:r>
    </w:p>
    <w:p w14:paraId="6EB3805F" w14:textId="77777777" w:rsidR="009C643C" w:rsidRPr="00ED49A9" w:rsidRDefault="003816EF" w:rsidP="00ED49A9">
      <w:pPr>
        <w:pStyle w:val="ListParagraph"/>
        <w:numPr>
          <w:ilvl w:val="0"/>
          <w:numId w:val="19"/>
        </w:numPr>
        <w:spacing w:after="0" w:line="240" w:lineRule="auto"/>
        <w:rPr>
          <w:rFonts w:ascii="Arial" w:hAnsi="Arial" w:cs="Arial"/>
          <w:sz w:val="24"/>
          <w:szCs w:val="24"/>
          <w:highlight w:val="yellow"/>
        </w:rPr>
      </w:pPr>
      <w:r w:rsidRPr="00ED49A9">
        <w:rPr>
          <w:rFonts w:ascii="Arial" w:hAnsi="Arial" w:cs="Arial"/>
          <w:sz w:val="24"/>
          <w:szCs w:val="24"/>
          <w:highlight w:val="yellow"/>
        </w:rPr>
        <w:t xml:space="preserve">Rahman, R. A., Syakira, A., Astari, A. A., &amp; Arza, P. S. (2024). Analisis daya saing ekonomi sektoral Kota Depok: Kajian Location Quotient, Dynamic Location Quotient, dan shift share untuk optimalisasi pajak daerah. </w:t>
      </w:r>
      <w:r w:rsidRPr="00ED49A9">
        <w:rPr>
          <w:rFonts w:ascii="Arial" w:hAnsi="Arial" w:cs="Arial"/>
          <w:i/>
          <w:sz w:val="24"/>
          <w:szCs w:val="24"/>
          <w:highlight w:val="yellow"/>
        </w:rPr>
        <w:t>Jurnal Acitya Ardana</w:t>
      </w:r>
      <w:r w:rsidRPr="00ED49A9">
        <w:rPr>
          <w:rFonts w:ascii="Arial" w:hAnsi="Arial" w:cs="Arial"/>
          <w:sz w:val="24"/>
          <w:szCs w:val="24"/>
          <w:highlight w:val="yellow"/>
        </w:rPr>
        <w:t>, 4(2), 120–137. https://doi.org/10.31092/jaa.v4i2.3151</w:t>
      </w:r>
    </w:p>
    <w:p w14:paraId="77509DD7" w14:textId="77777777" w:rsidR="009C643C" w:rsidRPr="00ED49A9" w:rsidRDefault="003816EF" w:rsidP="00ED49A9">
      <w:pPr>
        <w:pStyle w:val="ListParagraph"/>
        <w:numPr>
          <w:ilvl w:val="0"/>
          <w:numId w:val="19"/>
        </w:numPr>
        <w:spacing w:after="0" w:line="240" w:lineRule="auto"/>
        <w:rPr>
          <w:rFonts w:ascii="Arial" w:hAnsi="Arial" w:cs="Arial"/>
          <w:sz w:val="24"/>
          <w:szCs w:val="24"/>
        </w:rPr>
      </w:pPr>
      <w:r w:rsidRPr="00ED49A9">
        <w:rPr>
          <w:rFonts w:ascii="Arial" w:hAnsi="Arial" w:cs="Arial"/>
          <w:sz w:val="24"/>
          <w:szCs w:val="24"/>
          <w:highlight w:val="yellow"/>
        </w:rPr>
        <w:t xml:space="preserve">Simanjuntak, S. H., &amp; Widodo, W. (2025). Analysis of the impact of economic structural changes in the multiregional system in Indonesia. </w:t>
      </w:r>
      <w:r w:rsidRPr="00ED49A9">
        <w:rPr>
          <w:rFonts w:ascii="Arial" w:hAnsi="Arial" w:cs="Arial"/>
          <w:i/>
          <w:sz w:val="24"/>
          <w:szCs w:val="24"/>
          <w:highlight w:val="yellow"/>
        </w:rPr>
        <w:t>Journal of Management, Business and Economics (JIMBE)</w:t>
      </w:r>
      <w:r w:rsidRPr="00ED49A9">
        <w:rPr>
          <w:rFonts w:ascii="Arial" w:hAnsi="Arial" w:cs="Arial"/>
          <w:sz w:val="24"/>
          <w:szCs w:val="24"/>
          <w:highlight w:val="yellow"/>
        </w:rPr>
        <w:t>, 3(1), 28–41. https://doi.org/10.59971/jimbe.v3i1.392</w:t>
      </w:r>
    </w:p>
    <w:sectPr w:rsidR="009C643C" w:rsidRPr="00ED49A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C0D27" w14:textId="77777777" w:rsidR="0078323A" w:rsidRDefault="0078323A" w:rsidP="00211C00">
      <w:pPr>
        <w:spacing w:after="0" w:line="240" w:lineRule="auto"/>
      </w:pPr>
      <w:r>
        <w:separator/>
      </w:r>
    </w:p>
  </w:endnote>
  <w:endnote w:type="continuationSeparator" w:id="0">
    <w:p w14:paraId="1EDB929C" w14:textId="77777777" w:rsidR="0078323A" w:rsidRDefault="0078323A" w:rsidP="00211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1A569" w14:textId="77777777" w:rsidR="00211C00" w:rsidRDefault="00211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E53C6" w14:textId="77777777" w:rsidR="00211C00" w:rsidRDefault="00211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028AE" w14:textId="77777777" w:rsidR="00211C00" w:rsidRDefault="00211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44961" w14:textId="77777777" w:rsidR="0078323A" w:rsidRDefault="0078323A" w:rsidP="00211C00">
      <w:pPr>
        <w:spacing w:after="0" w:line="240" w:lineRule="auto"/>
      </w:pPr>
      <w:r>
        <w:separator/>
      </w:r>
    </w:p>
  </w:footnote>
  <w:footnote w:type="continuationSeparator" w:id="0">
    <w:p w14:paraId="6C2F8EF0" w14:textId="77777777" w:rsidR="0078323A" w:rsidRDefault="0078323A" w:rsidP="00211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C0D60" w14:textId="77777777" w:rsidR="00211C00" w:rsidRDefault="0078323A">
    <w:pPr>
      <w:pStyle w:val="Header"/>
    </w:pPr>
    <w:r>
      <w:rPr>
        <w:noProof/>
      </w:rPr>
      <w:pict w14:anchorId="6AC9E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34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8D039" w14:textId="77777777" w:rsidR="00211C00" w:rsidRDefault="0078323A">
    <w:pPr>
      <w:pStyle w:val="Header"/>
    </w:pPr>
    <w:r>
      <w:rPr>
        <w:noProof/>
      </w:rPr>
      <w:pict w14:anchorId="5E1FB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34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5644F" w14:textId="77777777" w:rsidR="00211C00" w:rsidRDefault="0078323A">
    <w:pPr>
      <w:pStyle w:val="Header"/>
    </w:pPr>
    <w:r>
      <w:rPr>
        <w:noProof/>
      </w:rPr>
      <w:pict w14:anchorId="0240F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34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527CB"/>
    <w:multiLevelType w:val="multilevel"/>
    <w:tmpl w:val="B8F05A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0E66A6"/>
    <w:multiLevelType w:val="multilevel"/>
    <w:tmpl w:val="9074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A43BE"/>
    <w:multiLevelType w:val="multilevel"/>
    <w:tmpl w:val="105AC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876A86"/>
    <w:multiLevelType w:val="multilevel"/>
    <w:tmpl w:val="B652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67FFD"/>
    <w:multiLevelType w:val="multilevel"/>
    <w:tmpl w:val="E70C54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D606F7"/>
    <w:multiLevelType w:val="multilevel"/>
    <w:tmpl w:val="C0DE9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855AA7"/>
    <w:multiLevelType w:val="multilevel"/>
    <w:tmpl w:val="0EDA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820B3"/>
    <w:multiLevelType w:val="multilevel"/>
    <w:tmpl w:val="6F102F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982FA1"/>
    <w:multiLevelType w:val="multilevel"/>
    <w:tmpl w:val="E416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AC1DA5"/>
    <w:multiLevelType w:val="multilevel"/>
    <w:tmpl w:val="E6FC05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1D6504"/>
    <w:multiLevelType w:val="multilevel"/>
    <w:tmpl w:val="1F961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FB2CE4"/>
    <w:multiLevelType w:val="multilevel"/>
    <w:tmpl w:val="C316CE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F65FC4"/>
    <w:multiLevelType w:val="multilevel"/>
    <w:tmpl w:val="429C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1D09A8"/>
    <w:multiLevelType w:val="multilevel"/>
    <w:tmpl w:val="639C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883CB8"/>
    <w:multiLevelType w:val="multilevel"/>
    <w:tmpl w:val="3FBE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CC40DC"/>
    <w:multiLevelType w:val="multilevel"/>
    <w:tmpl w:val="00C0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B66D8E"/>
    <w:multiLevelType w:val="multilevel"/>
    <w:tmpl w:val="7A50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D6743F"/>
    <w:multiLevelType w:val="multilevel"/>
    <w:tmpl w:val="D38C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2E08AA"/>
    <w:multiLevelType w:val="hybridMultilevel"/>
    <w:tmpl w:val="1082A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0"/>
  </w:num>
  <w:num w:numId="5">
    <w:abstractNumId w:val="12"/>
  </w:num>
  <w:num w:numId="6">
    <w:abstractNumId w:val="9"/>
  </w:num>
  <w:num w:numId="7">
    <w:abstractNumId w:val="13"/>
  </w:num>
  <w:num w:numId="8">
    <w:abstractNumId w:val="3"/>
  </w:num>
  <w:num w:numId="9">
    <w:abstractNumId w:val="15"/>
  </w:num>
  <w:num w:numId="10">
    <w:abstractNumId w:val="14"/>
  </w:num>
  <w:num w:numId="11">
    <w:abstractNumId w:val="5"/>
  </w:num>
  <w:num w:numId="12">
    <w:abstractNumId w:val="16"/>
  </w:num>
  <w:num w:numId="13">
    <w:abstractNumId w:val="11"/>
  </w:num>
  <w:num w:numId="14">
    <w:abstractNumId w:val="8"/>
  </w:num>
  <w:num w:numId="15">
    <w:abstractNumId w:val="4"/>
  </w:num>
  <w:num w:numId="16">
    <w:abstractNumId w:val="1"/>
  </w:num>
  <w:num w:numId="17">
    <w:abstractNumId w:val="7"/>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zNTIyNzI3NrAwMrdQ0lEKTi0uzszPAykwrAUAdREhWCwAAAA="/>
  </w:docVars>
  <w:rsids>
    <w:rsidRoot w:val="00E84598"/>
    <w:rsid w:val="00057C5F"/>
    <w:rsid w:val="00160929"/>
    <w:rsid w:val="00211C00"/>
    <w:rsid w:val="0022620E"/>
    <w:rsid w:val="00263A3D"/>
    <w:rsid w:val="002B7746"/>
    <w:rsid w:val="003065CD"/>
    <w:rsid w:val="00341FB3"/>
    <w:rsid w:val="003816EF"/>
    <w:rsid w:val="00405CEE"/>
    <w:rsid w:val="00456BAD"/>
    <w:rsid w:val="004A171E"/>
    <w:rsid w:val="004B25E2"/>
    <w:rsid w:val="005A27CC"/>
    <w:rsid w:val="00603F15"/>
    <w:rsid w:val="0065182D"/>
    <w:rsid w:val="0078323A"/>
    <w:rsid w:val="007945AB"/>
    <w:rsid w:val="0087531F"/>
    <w:rsid w:val="00924467"/>
    <w:rsid w:val="009272E1"/>
    <w:rsid w:val="009C643C"/>
    <w:rsid w:val="00AD25DD"/>
    <w:rsid w:val="00B50E51"/>
    <w:rsid w:val="00D235DF"/>
    <w:rsid w:val="00E84598"/>
    <w:rsid w:val="00ED49A9"/>
    <w:rsid w:val="00ED5D1E"/>
    <w:rsid w:val="00EF3603"/>
    <w:rsid w:val="00F02334"/>
    <w:rsid w:val="00FC6C3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15C458"/>
  <w15:chartTrackingRefBased/>
  <w15:docId w15:val="{2CD67AEE-A67E-40C8-8F8F-3DA04F38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5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45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45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45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45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45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5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5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5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5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45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45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45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45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4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598"/>
    <w:rPr>
      <w:rFonts w:eastAsiaTheme="majorEastAsia" w:cstheme="majorBidi"/>
      <w:color w:val="272727" w:themeColor="text1" w:themeTint="D8"/>
    </w:rPr>
  </w:style>
  <w:style w:type="paragraph" w:styleId="Title">
    <w:name w:val="Title"/>
    <w:basedOn w:val="Normal"/>
    <w:next w:val="Normal"/>
    <w:link w:val="TitleChar"/>
    <w:uiPriority w:val="10"/>
    <w:qFormat/>
    <w:rsid w:val="00E84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5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598"/>
    <w:pPr>
      <w:spacing w:before="160"/>
      <w:jc w:val="center"/>
    </w:pPr>
    <w:rPr>
      <w:i/>
      <w:iCs/>
      <w:color w:val="404040" w:themeColor="text1" w:themeTint="BF"/>
    </w:rPr>
  </w:style>
  <w:style w:type="character" w:customStyle="1" w:styleId="QuoteChar">
    <w:name w:val="Quote Char"/>
    <w:basedOn w:val="DefaultParagraphFont"/>
    <w:link w:val="Quote"/>
    <w:uiPriority w:val="29"/>
    <w:rsid w:val="00E84598"/>
    <w:rPr>
      <w:i/>
      <w:iCs/>
      <w:color w:val="404040" w:themeColor="text1" w:themeTint="BF"/>
    </w:rPr>
  </w:style>
  <w:style w:type="paragraph" w:styleId="ListParagraph">
    <w:name w:val="List Paragraph"/>
    <w:basedOn w:val="Normal"/>
    <w:uiPriority w:val="34"/>
    <w:qFormat/>
    <w:rsid w:val="00E84598"/>
    <w:pPr>
      <w:ind w:left="720"/>
      <w:contextualSpacing/>
    </w:pPr>
  </w:style>
  <w:style w:type="character" w:styleId="IntenseEmphasis">
    <w:name w:val="Intense Emphasis"/>
    <w:basedOn w:val="DefaultParagraphFont"/>
    <w:uiPriority w:val="21"/>
    <w:qFormat/>
    <w:rsid w:val="00E84598"/>
    <w:rPr>
      <w:i/>
      <w:iCs/>
      <w:color w:val="2F5496" w:themeColor="accent1" w:themeShade="BF"/>
    </w:rPr>
  </w:style>
  <w:style w:type="paragraph" w:styleId="IntenseQuote">
    <w:name w:val="Intense Quote"/>
    <w:basedOn w:val="Normal"/>
    <w:next w:val="Normal"/>
    <w:link w:val="IntenseQuoteChar"/>
    <w:uiPriority w:val="30"/>
    <w:qFormat/>
    <w:rsid w:val="00E845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4598"/>
    <w:rPr>
      <w:i/>
      <w:iCs/>
      <w:color w:val="2F5496" w:themeColor="accent1" w:themeShade="BF"/>
    </w:rPr>
  </w:style>
  <w:style w:type="character" w:styleId="IntenseReference">
    <w:name w:val="Intense Reference"/>
    <w:basedOn w:val="DefaultParagraphFont"/>
    <w:uiPriority w:val="32"/>
    <w:qFormat/>
    <w:rsid w:val="00E84598"/>
    <w:rPr>
      <w:b/>
      <w:bCs/>
      <w:smallCaps/>
      <w:color w:val="2F5496" w:themeColor="accent1" w:themeShade="BF"/>
      <w:spacing w:val="5"/>
    </w:rPr>
  </w:style>
  <w:style w:type="character" w:styleId="Hyperlink">
    <w:name w:val="Hyperlink"/>
    <w:basedOn w:val="DefaultParagraphFont"/>
    <w:uiPriority w:val="99"/>
    <w:unhideWhenUsed/>
    <w:rsid w:val="00E84598"/>
    <w:rPr>
      <w:color w:val="0563C1" w:themeColor="hyperlink"/>
      <w:u w:val="single"/>
    </w:rPr>
  </w:style>
  <w:style w:type="character" w:styleId="UnresolvedMention">
    <w:name w:val="Unresolved Mention"/>
    <w:basedOn w:val="DefaultParagraphFont"/>
    <w:uiPriority w:val="99"/>
    <w:semiHidden/>
    <w:unhideWhenUsed/>
    <w:rsid w:val="00E84598"/>
    <w:rPr>
      <w:color w:val="605E5C"/>
      <w:shd w:val="clear" w:color="auto" w:fill="E1DFDD"/>
    </w:rPr>
  </w:style>
  <w:style w:type="table" w:styleId="TableGrid">
    <w:name w:val="Table Grid"/>
    <w:basedOn w:val="TableNormal"/>
    <w:uiPriority w:val="39"/>
    <w:rsid w:val="00E84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1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C00"/>
  </w:style>
  <w:style w:type="paragraph" w:styleId="Footer">
    <w:name w:val="footer"/>
    <w:basedOn w:val="Normal"/>
    <w:link w:val="FooterChar"/>
    <w:uiPriority w:val="99"/>
    <w:unhideWhenUsed/>
    <w:rsid w:val="00211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3982</Words>
  <Characters>22701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SDI 1020</cp:lastModifiedBy>
  <cp:revision>7</cp:revision>
  <dcterms:created xsi:type="dcterms:W3CDTF">2025-12-25T06:12:00Z</dcterms:created>
  <dcterms:modified xsi:type="dcterms:W3CDTF">2025-12-31T10:59:00Z</dcterms:modified>
</cp:coreProperties>
</file>