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F2A66" w14:textId="7D2BFC20" w:rsidR="001F3BE5" w:rsidRPr="006356A9" w:rsidRDefault="001F3BE5" w:rsidP="001F3BE5">
      <w:pPr>
        <w:spacing w:line="360" w:lineRule="auto"/>
        <w:jc w:val="center"/>
        <w:rPr>
          <w:rFonts w:asciiTheme="majorBidi" w:hAnsiTheme="majorBidi" w:cstheme="majorBidi"/>
          <w:b/>
          <w:bCs/>
          <w:sz w:val="24"/>
          <w:szCs w:val="24"/>
        </w:rPr>
      </w:pPr>
      <w:r w:rsidRPr="006356A9">
        <w:rPr>
          <w:rFonts w:asciiTheme="majorBidi" w:hAnsiTheme="majorBidi" w:cstheme="majorBidi"/>
          <w:b/>
          <w:bCs/>
          <w:sz w:val="24"/>
          <w:szCs w:val="24"/>
        </w:rPr>
        <w:t>Assessment of Transmission Factors and Shielding Requirements for Lead, Concrete and Iron in PET Imaging Environments</w:t>
      </w:r>
    </w:p>
    <w:p w14:paraId="427F5231" w14:textId="08349F8C" w:rsidR="00DA7FEF" w:rsidRPr="00D10951" w:rsidRDefault="00782AAE" w:rsidP="00DA7FEF">
      <w:pPr>
        <w:jc w:val="both"/>
        <w:rPr>
          <w:rFonts w:asciiTheme="majorBidi" w:hAnsiTheme="majorBidi" w:cstheme="majorBidi"/>
          <w:sz w:val="24"/>
          <w:szCs w:val="24"/>
        </w:rPr>
      </w:pPr>
      <w:r w:rsidRPr="006356A9">
        <w:rPr>
          <w:rFonts w:asciiTheme="majorBidi" w:eastAsia="Times New Roman" w:hAnsiTheme="majorBidi" w:cstheme="majorBidi"/>
          <w:b/>
          <w:bCs/>
          <w:sz w:val="24"/>
          <w:szCs w:val="24"/>
        </w:rPr>
        <w:t xml:space="preserve">Abstract </w:t>
      </w:r>
      <w:r w:rsidR="004C5007" w:rsidRPr="006356A9">
        <w:rPr>
          <w:rFonts w:asciiTheme="majorBidi" w:hAnsiTheme="majorBidi" w:cstheme="majorBidi"/>
          <w:sz w:val="24"/>
          <w:szCs w:val="24"/>
        </w:rPr>
        <w:br/>
      </w:r>
      <w:r w:rsidR="00DA7FEF" w:rsidRPr="00D10951">
        <w:rPr>
          <w:rFonts w:asciiTheme="majorBidi" w:hAnsiTheme="majorBidi" w:cstheme="majorBidi"/>
          <w:sz w:val="24"/>
          <w:szCs w:val="24"/>
        </w:rPr>
        <w:t xml:space="preserve">Positron Emission Tomography (PET) facilities require tailored radiation shielding because of the highly penetrating 511 keV annihilation photons and the increased construction costs associated with overly conservative designs. In many low-resource settings, reliance on Monte Carlo–based calculations further </w:t>
      </w:r>
      <w:proofErr w:type="gramStart"/>
      <w:r w:rsidR="00DA7FEF" w:rsidRPr="00D10951">
        <w:rPr>
          <w:rFonts w:asciiTheme="majorBidi" w:hAnsiTheme="majorBidi" w:cstheme="majorBidi"/>
          <w:sz w:val="24"/>
          <w:szCs w:val="24"/>
        </w:rPr>
        <w:t>limits</w:t>
      </w:r>
      <w:proofErr w:type="gramEnd"/>
      <w:r w:rsidR="00DA7FEF" w:rsidRPr="00D10951">
        <w:rPr>
          <w:rFonts w:asciiTheme="majorBidi" w:hAnsiTheme="majorBidi" w:cstheme="majorBidi"/>
          <w:sz w:val="24"/>
          <w:szCs w:val="24"/>
        </w:rPr>
        <w:t xml:space="preserve"> the feasibility of establishing PET services. This study aims to assess transmission factors and determine shielding requirements for PET facilities using a practical analytical approach, validated against published Monte Carlo–derived reference data. A certified architect developed a complete PET facility layout in compliance with international architectural and radiation safety standards. Based on this layout, shielding requirements for lead, Iron, and concrete were calculated using standard attenuation equations and validated through comparison with transmission data published by the American Association of Physicists in Medicine (AAPM). The analytical method yielded shielding thicknesses of 0.089–0.81 cm for lead, 0.20–1.87 cm for </w:t>
      </w:r>
      <w:r w:rsidR="00D10951" w:rsidRPr="00D10951">
        <w:rPr>
          <w:rFonts w:asciiTheme="majorBidi" w:hAnsiTheme="majorBidi" w:cstheme="majorBidi"/>
          <w:sz w:val="24"/>
          <w:szCs w:val="24"/>
        </w:rPr>
        <w:t>Iron,</w:t>
      </w:r>
      <w:r w:rsidR="00DA7FEF" w:rsidRPr="00D10951">
        <w:rPr>
          <w:rFonts w:asciiTheme="majorBidi" w:hAnsiTheme="majorBidi" w:cstheme="majorBidi"/>
          <w:sz w:val="24"/>
          <w:szCs w:val="24"/>
        </w:rPr>
        <w:t xml:space="preserve"> and 0.98–8.91 cm for concrete, all of which complied with safety limits and were generally lower than corresponding Monte Carlo–based recommendations. These findings indicate that analytically derived designs, when applied to a realistic architectural layout, can achieve regulatory compliance while reducing the potential for unnecessary over-shielding. The proposed approach offers a reliable and accessible alternative for institutions—particularly in low-resource regions—by reducing computational complexity, while recognizing that more complex geometries and scatter conditions may still require Monte Carlo–based analyses.</w:t>
      </w:r>
    </w:p>
    <w:p w14:paraId="1D767564" w14:textId="2980F127" w:rsidR="0022565C" w:rsidRPr="006356A9" w:rsidRDefault="0022565C" w:rsidP="0022565C">
      <w:pPr>
        <w:jc w:val="both"/>
        <w:rPr>
          <w:rFonts w:asciiTheme="majorBidi" w:hAnsiTheme="majorBidi" w:cstheme="majorBidi"/>
          <w:sz w:val="24"/>
          <w:szCs w:val="24"/>
        </w:rPr>
      </w:pPr>
    </w:p>
    <w:p w14:paraId="5E6B1BBE" w14:textId="77777777" w:rsidR="0022565C" w:rsidRPr="0022565C" w:rsidRDefault="0022565C" w:rsidP="0022565C">
      <w:pPr>
        <w:jc w:val="both"/>
        <w:rPr>
          <w:rFonts w:asciiTheme="majorBidi" w:eastAsia="Times New Roman" w:hAnsiTheme="majorBidi" w:cstheme="majorBidi"/>
          <w:sz w:val="24"/>
          <w:szCs w:val="24"/>
        </w:rPr>
      </w:pPr>
      <w:r w:rsidRPr="0022565C">
        <w:rPr>
          <w:rFonts w:asciiTheme="majorBidi" w:eastAsia="Times New Roman" w:hAnsiTheme="majorBidi" w:cstheme="majorBidi"/>
          <w:b/>
          <w:bCs/>
          <w:sz w:val="24"/>
          <w:szCs w:val="24"/>
        </w:rPr>
        <w:t xml:space="preserve">Keywords: </w:t>
      </w:r>
      <w:r w:rsidRPr="0022565C">
        <w:rPr>
          <w:rFonts w:asciiTheme="majorBidi" w:eastAsia="Times New Roman" w:hAnsiTheme="majorBidi" w:cstheme="majorBidi"/>
          <w:sz w:val="24"/>
          <w:szCs w:val="24"/>
        </w:rPr>
        <w:t>PET shielding, radiation protection, facility design, analytical attenuation, Monte Carlo validation, cost optimization</w:t>
      </w:r>
    </w:p>
    <w:p w14:paraId="46988F4C" w14:textId="77777777" w:rsidR="00D43FE0" w:rsidRPr="006356A9" w:rsidRDefault="00D43FE0" w:rsidP="000B528A">
      <w:pPr>
        <w:spacing w:after="0" w:line="240" w:lineRule="auto"/>
        <w:rPr>
          <w:rFonts w:asciiTheme="majorBidi" w:eastAsia="Times New Roman" w:hAnsiTheme="majorBidi" w:cstheme="majorBidi"/>
          <w:vanish/>
          <w:sz w:val="24"/>
          <w:szCs w:val="24"/>
        </w:rPr>
      </w:pPr>
    </w:p>
    <w:p w14:paraId="36EB827E" w14:textId="77777777" w:rsidR="00F87566" w:rsidRPr="006356A9" w:rsidRDefault="00F87566" w:rsidP="00F87566">
      <w:pPr>
        <w:pBdr>
          <w:top w:val="single" w:sz="6" w:space="1" w:color="auto"/>
        </w:pBdr>
        <w:spacing w:after="0" w:line="240" w:lineRule="auto"/>
        <w:rPr>
          <w:rFonts w:asciiTheme="majorBidi" w:eastAsia="Times New Roman" w:hAnsiTheme="majorBidi" w:cstheme="majorBidi"/>
          <w:vanish/>
          <w:sz w:val="24"/>
          <w:szCs w:val="24"/>
        </w:rPr>
      </w:pPr>
    </w:p>
    <w:p w14:paraId="6D344576" w14:textId="586A8A9C" w:rsidR="00782AAE" w:rsidRPr="006356A9" w:rsidRDefault="00782AAE" w:rsidP="00782AAE">
      <w:pPr>
        <w:spacing w:before="100" w:beforeAutospacing="1" w:after="100" w:afterAutospacing="1" w:line="240" w:lineRule="auto"/>
        <w:outlineLvl w:val="2"/>
        <w:rPr>
          <w:rFonts w:asciiTheme="majorBidi" w:eastAsia="Times New Roman" w:hAnsiTheme="majorBidi" w:cstheme="majorBidi"/>
          <w:b/>
          <w:bCs/>
          <w:sz w:val="24"/>
          <w:szCs w:val="24"/>
        </w:rPr>
      </w:pPr>
      <w:r w:rsidRPr="006356A9">
        <w:rPr>
          <w:rFonts w:asciiTheme="majorBidi" w:eastAsia="Times New Roman" w:hAnsiTheme="majorBidi" w:cstheme="majorBidi"/>
          <w:b/>
          <w:bCs/>
          <w:sz w:val="24"/>
          <w:szCs w:val="24"/>
        </w:rPr>
        <w:t>Introduction</w:t>
      </w:r>
      <w:r w:rsidR="0073422C" w:rsidRPr="006356A9">
        <w:rPr>
          <w:rFonts w:asciiTheme="majorBidi" w:eastAsia="Times New Roman" w:hAnsiTheme="majorBidi" w:cstheme="majorBidi"/>
          <w:b/>
          <w:bCs/>
          <w:sz w:val="24"/>
          <w:szCs w:val="24"/>
        </w:rPr>
        <w:t>:</w:t>
      </w:r>
    </w:p>
    <w:p w14:paraId="171FD6E5" w14:textId="77777777"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Positron Emission Tomography (PET) is a cornerstone imaging modality in modern nuclear medicine and plays a critical role in oncology, neurology, and cardiology due to its high sensitivity and ability to provide quantitative functional information at the molecular level [1–3]. The most widely used PET radiopharmaceutical, ¹⁸F-fluorodeoxyglucose (¹⁸F-FDG), combines a suitable physical half-life of approximately 110 min with broad clinical applicability and compatibility with centralized cyclotron production and regional distribution networks [4]. In contrast to conventional nuclear medicine procedures based on single-photon emitters such as ⁹⁹ᵐTc and ¹³¹I, PET imaging involves the emission of two coincident 511 keV annihilation photons, which exhibit significantly greater penetration capability and consequently impose more demanding radiation shielding requirements on PET facilities [5,6].</w:t>
      </w:r>
    </w:p>
    <w:p w14:paraId="3B83CF7B" w14:textId="689731F9"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 xml:space="preserve">Occupational radiation exposure remains a major concern in PET departments, particularly during radiopharmaceutical preparation, administration, and patient handling. Several studies have demonstrated that extremity and whole-body doses received by staff in PET and PET/CT facilities may be substantially higher than those observed in conventional nuclear medicine practice [7,8]. </w:t>
      </w:r>
      <w:r w:rsidRPr="0007211E">
        <w:rPr>
          <w:rFonts w:asciiTheme="majorBidi" w:hAnsiTheme="majorBidi" w:cstheme="majorBidi"/>
          <w:b w:val="0"/>
          <w:bCs w:val="0"/>
          <w:sz w:val="24"/>
          <w:szCs w:val="24"/>
        </w:rPr>
        <w:lastRenderedPageBreak/>
        <w:t>Accordingly, PET facility design must adhere to national regulatory frameworks and international dose limits recommended by the International Commission on Radiological Protection (ICRP) for both controlled and uncontrolled areas [10]. To support compliance with these requirements, the American Association of Physicists in Medicine (AAPM) Task Group 108 has published widely adopted guidance for PET and PET/CT shielding design, based on simplified source models and conservative assumptions intended to ensure radiation safety under a wide range of clinical conditions [</w:t>
      </w:r>
      <w:r w:rsidR="00A21C1F">
        <w:rPr>
          <w:rFonts w:asciiTheme="majorBidi" w:hAnsiTheme="majorBidi" w:cstheme="majorBidi" w:hint="cs"/>
          <w:b w:val="0"/>
          <w:bCs w:val="0"/>
          <w:sz w:val="24"/>
          <w:szCs w:val="24"/>
          <w:rtl/>
        </w:rPr>
        <w:t>9</w:t>
      </w:r>
      <w:r w:rsidRPr="0007211E">
        <w:rPr>
          <w:rFonts w:asciiTheme="majorBidi" w:hAnsiTheme="majorBidi" w:cstheme="majorBidi"/>
          <w:b w:val="0"/>
          <w:bCs w:val="0"/>
          <w:sz w:val="24"/>
          <w:szCs w:val="24"/>
        </w:rPr>
        <w:t>].</w:t>
      </w:r>
    </w:p>
    <w:p w14:paraId="4ABB75AE" w14:textId="77777777"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To overcome the limitations of simplified analytical approaches, Monte Carlo radiation transport simulations—such as MCNP, FLUKA, and GATE/Geant4—have been extensively employed to model scatter, buildup effects, and complex facility geometries with high accuracy [12–15]. While these methods provide robust and detailed shielding assessments, their routine application requires specialized expertise, validated simulation models, and substantial computational resources. In low- and middle-income countries, however, access to advanced computing infrastructure and trained medical physicists is often limited, making large-scale Monte Carlo–based shielding design impractical for many healthcare institutions [6,7,14].</w:t>
      </w:r>
    </w:p>
    <w:p w14:paraId="149E5F71" w14:textId="77777777"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As a result, PET facilities in resource-constrained settings are frequently designed using generalized shielding prescriptions derived directly from international guidelines or tabulated Monte Carlo results, without sufficient adaptation to local architectural layouts, patient throughput, or occupancy conditions [1,9]. Such conservative, non–facility-specific approaches may lead to excessive shielding thicknesses, increased construction costs, and delays in the implementation of PET services, thereby limiting access to advanced diagnostic imaging in developing healthcare systems.</w:t>
      </w:r>
    </w:p>
    <w:p w14:paraId="1AC0339E" w14:textId="77777777"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Despite the extensive body of literature on PET shielding, relatively few studies have focused on validating analytical shielding calculations against Monte Carlo–derived reference data using realistic, facility-specific architectural designs. In particular, there remains a lack of practical analytical methodologies for 511 keV photon shielding that explicitly integrate architectural planning, occupancy classification, and workload assumptions, while still demonstrating consistency with established Monte Carlo–based transmission data [1,12,14]. This represents a clear gap in existing research, especially for clinical environments where computational resources are limited but regulatory compliance and cost optimization are equally critical.</w:t>
      </w:r>
    </w:p>
    <w:p w14:paraId="5A88E566" w14:textId="77777777" w:rsidR="0007211E" w:rsidRPr="0007211E" w:rsidRDefault="0007211E" w:rsidP="0007211E">
      <w:pPr>
        <w:pStyle w:val="Heading3"/>
        <w:jc w:val="both"/>
        <w:rPr>
          <w:rFonts w:asciiTheme="majorBidi" w:hAnsiTheme="majorBidi" w:cstheme="majorBidi"/>
          <w:b w:val="0"/>
          <w:bCs w:val="0"/>
          <w:sz w:val="24"/>
          <w:szCs w:val="24"/>
        </w:rPr>
      </w:pPr>
      <w:r w:rsidRPr="0007211E">
        <w:rPr>
          <w:rFonts w:asciiTheme="majorBidi" w:hAnsiTheme="majorBidi" w:cstheme="majorBidi"/>
          <w:b w:val="0"/>
          <w:bCs w:val="0"/>
          <w:sz w:val="24"/>
          <w:szCs w:val="24"/>
        </w:rPr>
        <w:t>The present study addresses this gap by proposing a facility-specific PET shielding design methodology based on direct analytical calculations applied to a realistic architectural floor plan prepared by a certified architect. Shielding thicknesses for concrete, lead, and steel are analytically derived and subsequently validated through comparison with published Monte Carlo–based broad-beam transmission data reported by the AAPM and other peer-reviewed sources. By combining architectural design considerations with validated analytical methods, this work aims to demonstrate a reliable and cost-effective PET shielding approach that is particularly suited to healthcare facilities in low-resource and developing-country contexts.</w:t>
      </w:r>
    </w:p>
    <w:p w14:paraId="4D1B0C19" w14:textId="6A71EC0A" w:rsidR="00C41040" w:rsidRPr="006356A9" w:rsidRDefault="00510C01" w:rsidP="00E41178">
      <w:pPr>
        <w:pStyle w:val="Heading3"/>
        <w:jc w:val="both"/>
        <w:rPr>
          <w:rFonts w:asciiTheme="majorBidi" w:hAnsiTheme="majorBidi" w:cstheme="majorBidi"/>
          <w:sz w:val="24"/>
          <w:szCs w:val="24"/>
        </w:rPr>
      </w:pPr>
      <w:r w:rsidRPr="006356A9">
        <w:rPr>
          <w:rStyle w:val="Strong"/>
          <w:rFonts w:asciiTheme="majorBidi" w:hAnsiTheme="majorBidi" w:cstheme="majorBidi"/>
          <w:b/>
          <w:bCs/>
          <w:sz w:val="24"/>
          <w:szCs w:val="24"/>
        </w:rPr>
        <w:t xml:space="preserve"> Materials</w:t>
      </w:r>
      <w:r w:rsidR="00C41040" w:rsidRPr="006356A9">
        <w:rPr>
          <w:rStyle w:val="Strong"/>
          <w:rFonts w:asciiTheme="majorBidi" w:hAnsiTheme="majorBidi" w:cstheme="majorBidi"/>
          <w:b/>
          <w:bCs/>
          <w:sz w:val="24"/>
          <w:szCs w:val="24"/>
        </w:rPr>
        <w:t xml:space="preserve"> and Methods</w:t>
      </w:r>
      <w:r w:rsidR="0073422C" w:rsidRPr="006356A9">
        <w:rPr>
          <w:rStyle w:val="Strong"/>
          <w:rFonts w:asciiTheme="majorBidi" w:hAnsiTheme="majorBidi" w:cstheme="majorBidi"/>
          <w:b/>
          <w:bCs/>
          <w:sz w:val="24"/>
          <w:szCs w:val="24"/>
        </w:rPr>
        <w:t>:</w:t>
      </w:r>
    </w:p>
    <w:p w14:paraId="193FFE5A" w14:textId="77777777" w:rsidR="00212741" w:rsidRPr="006356A9" w:rsidRDefault="00E41178" w:rsidP="00212741">
      <w:pPr>
        <w:pStyle w:val="NormalWeb"/>
        <w:rPr>
          <w:b/>
          <w:bCs/>
          <w:rtl/>
        </w:rPr>
      </w:pPr>
      <w:r w:rsidRPr="006356A9">
        <w:rPr>
          <w:b/>
          <w:bCs/>
        </w:rPr>
        <w:t>Facility Design and Architectural Planning</w:t>
      </w:r>
    </w:p>
    <w:p w14:paraId="24CBDAD5" w14:textId="77777777" w:rsidR="008D2722" w:rsidRPr="008D2722" w:rsidRDefault="008D2722" w:rsidP="008D2722">
      <w:pPr>
        <w:pStyle w:val="NormalWeb"/>
        <w:jc w:val="both"/>
      </w:pPr>
      <w:r w:rsidRPr="008D2722">
        <w:lastRenderedPageBreak/>
        <w:t>A complete PET facility layout was designed by a certified architect in accordance with international architectural standards and radiation protection guidelines [1,10,13]. The floor plan incorporated all essential functional areas, including the PET scanner room, radiopharmaceutical uptake rooms, hot laboratory, control room, staff corridors, and public-access areas. Room adjacency, wall orientation, and source-to-point distances were explicitly considered to enable location-specific shielding calculations rather than uniform or overly conservative barrier assumptions. All surrounding spaces were classified as controlled or uncontrolled areas based on occupancy and access, following ICRP recommendations [10]. This facility-specific architectural design formed the foundation of the analytical shielding methodology adopted in this study.</w:t>
      </w:r>
    </w:p>
    <w:p w14:paraId="0A4655D0" w14:textId="1E79ABC7" w:rsidR="00E41178" w:rsidRPr="006356A9" w:rsidRDefault="00E41178" w:rsidP="00E41178">
      <w:pPr>
        <w:pStyle w:val="NormalWeb"/>
        <w:rPr>
          <w:b/>
          <w:bCs/>
        </w:rPr>
      </w:pPr>
      <w:r w:rsidRPr="006356A9">
        <w:rPr>
          <w:b/>
          <w:bCs/>
        </w:rPr>
        <w:t>Shielding Parameters and Assumptions</w:t>
      </w:r>
    </w:p>
    <w:p w14:paraId="0943C54C" w14:textId="27370293" w:rsidR="008D2722" w:rsidRPr="00C03583" w:rsidRDefault="008D2722" w:rsidP="008D2722">
      <w:pPr>
        <w:pStyle w:val="NormalWeb"/>
        <w:jc w:val="both"/>
      </w:pPr>
      <w:r w:rsidRPr="008D2722">
        <w:t xml:space="preserve">The shielding design assumed the routine clinical use of ¹⁸F-FDG with administered activities ranging from 370 to 740 </w:t>
      </w:r>
      <w:proofErr w:type="spellStart"/>
      <w:r w:rsidRPr="008D2722">
        <w:t>MBq</w:t>
      </w:r>
      <w:proofErr w:type="spellEnd"/>
      <w:r w:rsidRPr="008D2722">
        <w:t xml:space="preserve"> per patient and a maximum daily throughput of 40 patients. Workload, use, and occupancy factors were selected in accordance with published regulatory guidance. Annual dose limits were set at 20 mSv for controlled areas and 1 mSv for uncontrolled (public) areas, consistent with ICRP recommendations [10,13].</w:t>
      </w:r>
    </w:p>
    <w:p w14:paraId="5B6D3D73" w14:textId="3CBFA897" w:rsidR="00113924" w:rsidRPr="006356A9" w:rsidRDefault="00113924" w:rsidP="00113924">
      <w:pPr>
        <w:pStyle w:val="NormalWeb"/>
        <w:rPr>
          <w:b/>
          <w:bCs/>
        </w:rPr>
      </w:pPr>
      <w:r w:rsidRPr="006356A9">
        <w:rPr>
          <w:b/>
          <w:bCs/>
        </w:rPr>
        <w:t>Analytical Attenuation Calculations</w:t>
      </w:r>
    </w:p>
    <w:p w14:paraId="10A91AF5" w14:textId="77777777" w:rsidR="00C03583" w:rsidRDefault="00C03583" w:rsidP="00C80068">
      <w:pPr>
        <w:rPr>
          <w:rFonts w:ascii="Times New Roman" w:eastAsia="Times New Roman" w:hAnsi="Times New Roman" w:cs="Times New Roman"/>
          <w:sz w:val="24"/>
          <w:szCs w:val="24"/>
          <w:rtl/>
        </w:rPr>
      </w:pPr>
      <w:r w:rsidRPr="00C03583">
        <w:rPr>
          <w:rFonts w:ascii="Times New Roman" w:eastAsia="Times New Roman" w:hAnsi="Times New Roman" w:cs="Times New Roman"/>
          <w:sz w:val="24"/>
          <w:szCs w:val="24"/>
        </w:rPr>
        <w:t>Photon attenuation was initially described using the exponential attenuation expression:</w:t>
      </w:r>
    </w:p>
    <w:p w14:paraId="240E34A2" w14:textId="77777777" w:rsidR="00C03583" w:rsidRDefault="00C03583" w:rsidP="00C03583">
      <w:pPr>
        <w:jc w:val="center"/>
        <w:rPr>
          <w:rFonts w:ascii="Times New Roman" w:eastAsia="Times New Roman" w:hAnsi="Times New Roman" w:cs="Times New Roman"/>
          <w:sz w:val="24"/>
          <w:szCs w:val="24"/>
          <w:rtl/>
        </w:rPr>
      </w:pPr>
    </w:p>
    <w:p w14:paraId="4067A782" w14:textId="427BD7AF" w:rsidR="001A403D" w:rsidRDefault="00113924" w:rsidP="00C03583">
      <w:pPr>
        <w:jc w:val="center"/>
        <w:rPr>
          <w:rFonts w:asciiTheme="majorBidi" w:hAnsiTheme="majorBidi" w:cstheme="majorBidi"/>
          <w:sz w:val="24"/>
          <w:szCs w:val="24"/>
          <w:rtl/>
        </w:rPr>
      </w:pP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-μx</m:t>
            </m:r>
          </m:sup>
        </m:sSup>
      </m:oMath>
      <w:r w:rsidR="003C2E32">
        <w:rPr>
          <w:rFonts w:eastAsiaTheme="minorEastAsia" w:hint="cs"/>
          <w:rtl/>
        </w:rPr>
        <w:t xml:space="preserve">     </w:t>
      </w:r>
      <w:r w:rsidR="00821407">
        <w:rPr>
          <w:rFonts w:eastAsiaTheme="minorEastAsia" w:hint="cs"/>
          <w:rtl/>
        </w:rPr>
        <w:t xml:space="preserve"> </w:t>
      </w:r>
      <w:r w:rsidR="003C2E32">
        <w:rPr>
          <w:rFonts w:eastAsiaTheme="minorEastAsia" w:hint="cs"/>
          <w:rtl/>
        </w:rPr>
        <w:t xml:space="preserve">                                  </w:t>
      </w:r>
      <w:r w:rsidR="003C2E32">
        <w:rPr>
          <w:rFonts w:hint="cs"/>
          <w:rtl/>
        </w:rPr>
        <w:t xml:space="preserve"> </w:t>
      </w:r>
      <w:r w:rsidR="003C2E32" w:rsidRPr="00587DFD">
        <w:rPr>
          <w:rFonts w:asciiTheme="majorBidi" w:hAnsiTheme="majorBidi" w:cstheme="majorBidi"/>
          <w:sz w:val="24"/>
          <w:szCs w:val="24"/>
        </w:rPr>
        <w:t>(</w:t>
      </w:r>
      <w:r w:rsidR="003C2E32">
        <w:rPr>
          <w:rFonts w:asciiTheme="majorBidi" w:hAnsiTheme="majorBidi" w:cstheme="majorBidi" w:hint="cs"/>
          <w:sz w:val="24"/>
          <w:szCs w:val="24"/>
          <w:rtl/>
        </w:rPr>
        <w:t>1</w:t>
      </w:r>
      <w:r w:rsidR="003C2E32" w:rsidRPr="00587DFD">
        <w:rPr>
          <w:rFonts w:asciiTheme="majorBidi" w:hAnsiTheme="majorBidi" w:cstheme="majorBidi"/>
          <w:sz w:val="24"/>
          <w:szCs w:val="24"/>
        </w:rPr>
        <w:t>)</w:t>
      </w:r>
    </w:p>
    <w:p w14:paraId="284090B4" w14:textId="77777777" w:rsidR="00821407" w:rsidRPr="00821407" w:rsidRDefault="00821407" w:rsidP="00821407">
      <w:pPr>
        <w:jc w:val="center"/>
        <w:rPr>
          <w:rFonts w:asciiTheme="majorBidi" w:hAnsiTheme="majorBidi" w:cstheme="majorBidi"/>
          <w:sz w:val="24"/>
          <w:szCs w:val="24"/>
        </w:rPr>
      </w:pPr>
    </w:p>
    <w:p w14:paraId="0F6B709E" w14:textId="77777777" w:rsidR="008D2722" w:rsidRPr="008D2722" w:rsidRDefault="008D2722" w:rsidP="008D2722">
      <w:pPr>
        <w:pStyle w:val="NormalWeb"/>
        <w:jc w:val="both"/>
        <w:rPr>
          <w:rFonts w:asciiTheme="majorBidi" w:hAnsiTheme="majorBidi" w:cstheme="majorBidi"/>
        </w:rPr>
      </w:pPr>
      <w:r w:rsidRPr="008D2722">
        <w:rPr>
          <w:rFonts w:asciiTheme="majorBidi" w:hAnsiTheme="majorBidi" w:cstheme="majorBidi"/>
        </w:rPr>
        <w:t xml:space="preserve">where </w:t>
      </w:r>
      <w:r w:rsidRPr="008D2722">
        <w:rPr>
          <w:rFonts w:asciiTheme="majorBidi" w:hAnsiTheme="majorBidi" w:cstheme="majorBidi"/>
          <w:i/>
          <w:iCs/>
        </w:rPr>
        <w:t>I</w:t>
      </w:r>
      <w:r w:rsidRPr="008D2722">
        <w:rPr>
          <w:rFonts w:asciiTheme="majorBidi" w:hAnsiTheme="majorBidi" w:cstheme="majorBidi"/>
        </w:rPr>
        <w:t xml:space="preserve"> is the transmitted photon intensity, </w:t>
      </w:r>
      <w:r w:rsidRPr="008D2722">
        <w:rPr>
          <w:rFonts w:asciiTheme="majorBidi" w:hAnsiTheme="majorBidi" w:cstheme="majorBidi"/>
          <w:i/>
          <w:iCs/>
        </w:rPr>
        <w:t>I₀</w:t>
      </w:r>
      <w:r w:rsidRPr="008D2722">
        <w:rPr>
          <w:rFonts w:asciiTheme="majorBidi" w:hAnsiTheme="majorBidi" w:cstheme="majorBidi"/>
        </w:rPr>
        <w:t xml:space="preserve"> is the incident intensity, </w:t>
      </w:r>
      <w:r w:rsidRPr="008D2722">
        <w:rPr>
          <w:rFonts w:asciiTheme="majorBidi" w:hAnsiTheme="majorBidi" w:cstheme="majorBidi"/>
          <w:i/>
          <w:iCs/>
        </w:rPr>
        <w:t>μ</w:t>
      </w:r>
      <w:r w:rsidRPr="008D2722">
        <w:rPr>
          <w:rFonts w:asciiTheme="majorBidi" w:hAnsiTheme="majorBidi" w:cstheme="majorBidi"/>
        </w:rPr>
        <w:t xml:space="preserve"> is the linear attenuation coefficient, and </w:t>
      </w:r>
      <w:r w:rsidRPr="008D2722">
        <w:rPr>
          <w:rFonts w:asciiTheme="majorBidi" w:hAnsiTheme="majorBidi" w:cstheme="majorBidi"/>
          <w:i/>
          <w:iCs/>
        </w:rPr>
        <w:t>x</w:t>
      </w:r>
      <w:r w:rsidRPr="008D2722">
        <w:rPr>
          <w:rFonts w:asciiTheme="majorBidi" w:hAnsiTheme="majorBidi" w:cstheme="majorBidi"/>
        </w:rPr>
        <w:t xml:space="preserve"> is the shielding thickness. It is acknowledged that Equation (1) strictly applies to narrow-beam geometries and does not explicitly account for scattered radiation and buildup effects characteristic of clinical PET environments.</w:t>
      </w:r>
    </w:p>
    <w:p w14:paraId="27CC12F9" w14:textId="77777777" w:rsidR="008D2722" w:rsidRPr="008D2722" w:rsidRDefault="008D2722" w:rsidP="008D2722">
      <w:pPr>
        <w:pStyle w:val="NormalWeb"/>
        <w:jc w:val="both"/>
        <w:rPr>
          <w:rFonts w:asciiTheme="majorBidi" w:hAnsiTheme="majorBidi" w:cstheme="majorBidi"/>
        </w:rPr>
      </w:pPr>
      <w:r w:rsidRPr="008D2722">
        <w:rPr>
          <w:rFonts w:asciiTheme="majorBidi" w:hAnsiTheme="majorBidi" w:cstheme="majorBidi"/>
        </w:rPr>
        <w:t>In practice, PET facilities operate under broad-beam conditions in which scattered photons contribute significantly to the total dose. Therefore, Equation (1) was not applied as a standalone clinical model. Instead, it was incorporated into a hybrid analytical framework in which analytically derived transmission factors and shielding thicknesses were directly validated against empirically derived broad-beam transmission data obtained from Monte Carlo–based studies reported by AAPM Task Group 108 and related literature [1,14,15]. This approach implicitly accounts for buildup and scatter effects without requiring explicit calculation of buildup factors, thereby maintaining clinical relevance while avoiding the complexity and resource demands of full Monte Carlo simulations.</w:t>
      </w:r>
    </w:p>
    <w:p w14:paraId="5B00AF6D" w14:textId="0B64FEA4" w:rsidR="008D2722" w:rsidRPr="008D2722" w:rsidRDefault="008D2722" w:rsidP="008D2722">
      <w:pPr>
        <w:pStyle w:val="NormalWeb"/>
        <w:jc w:val="both"/>
        <w:rPr>
          <w:rFonts w:asciiTheme="majorBidi" w:hAnsiTheme="majorBidi" w:cstheme="majorBidi"/>
        </w:rPr>
      </w:pPr>
      <w:r w:rsidRPr="008D2722">
        <w:rPr>
          <w:rFonts w:asciiTheme="majorBidi" w:hAnsiTheme="majorBidi" w:cstheme="majorBidi"/>
        </w:rPr>
        <w:t>Mass attenuation coefficients for lead, iron, and ordinary concrete were obtained from the NIST XCOM photon cross-section database and used to derive half-value layers (HVLs) and tenth-value layers (TVLs) for 511 keV photons [1</w:t>
      </w:r>
      <w:r w:rsidR="00A21C1F">
        <w:rPr>
          <w:rFonts w:asciiTheme="majorBidi" w:hAnsiTheme="majorBidi" w:cstheme="majorBidi" w:hint="cs"/>
          <w:rtl/>
        </w:rPr>
        <w:t>7</w:t>
      </w:r>
      <w:r w:rsidRPr="008D2722">
        <w:rPr>
          <w:rFonts w:asciiTheme="majorBidi" w:hAnsiTheme="majorBidi" w:cstheme="majorBidi"/>
        </w:rPr>
        <w:t>]. All calculations were implemented using spreadsheet-</w:t>
      </w:r>
      <w:r w:rsidRPr="008D2722">
        <w:rPr>
          <w:rFonts w:asciiTheme="majorBidi" w:hAnsiTheme="majorBidi" w:cstheme="majorBidi"/>
        </w:rPr>
        <w:lastRenderedPageBreak/>
        <w:t>based tools, allowing transparent and reproducible evaluation of shielding requirements for each barrier segment in the facility layout.</w:t>
      </w:r>
    </w:p>
    <w:p w14:paraId="3411E75A" w14:textId="77777777" w:rsidR="00530D4B" w:rsidRDefault="00530D4B" w:rsidP="00530D4B">
      <w:pPr>
        <w:pStyle w:val="NormalWeb"/>
        <w:jc w:val="both"/>
        <w:rPr>
          <w:rFonts w:asciiTheme="majorBidi" w:hAnsiTheme="majorBidi" w:cstheme="majorBidi"/>
          <w:b/>
          <w:bCs/>
          <w:rtl/>
        </w:rPr>
      </w:pPr>
      <w:r w:rsidRPr="00530D4B">
        <w:rPr>
          <w:rFonts w:asciiTheme="majorBidi" w:hAnsiTheme="majorBidi" w:cstheme="majorBidi"/>
          <w:b/>
          <w:bCs/>
        </w:rPr>
        <w:t>Validation Against Monte Carlo–Based Reference Data</w:t>
      </w:r>
    </w:p>
    <w:p w14:paraId="77560601" w14:textId="77777777" w:rsidR="008D2722" w:rsidRPr="008D2722" w:rsidRDefault="008D2722" w:rsidP="008D2722">
      <w:pPr>
        <w:pStyle w:val="NormalWeb"/>
        <w:jc w:val="both"/>
        <w:rPr>
          <w:rFonts w:asciiTheme="majorBidi" w:hAnsiTheme="majorBidi" w:cstheme="majorBidi"/>
        </w:rPr>
      </w:pPr>
      <w:r w:rsidRPr="008D2722">
        <w:rPr>
          <w:rFonts w:asciiTheme="majorBidi" w:hAnsiTheme="majorBidi" w:cstheme="majorBidi"/>
        </w:rPr>
        <w:t>No Monte Carlo simulations were performed in this study. Instead, analytically derived transmission factors and shielding thicknesses were validated through direct comparison with published Monte Carlo–based broad-beam transmission data reported by the AAPM and other peer-reviewed sources [1,14,15]. These reference data served solely as benchmarking tools to assess the conservativeness and reliability of the analytical approach, directly addressing the identified research gap related to the accessibility of shielding design methodologies in resource-limited clinical settings.</w:t>
      </w:r>
    </w:p>
    <w:p w14:paraId="2350E318" w14:textId="77777777" w:rsidR="00F455D4" w:rsidRDefault="00E41178" w:rsidP="00F455D4">
      <w:pPr>
        <w:pStyle w:val="NormalWeb"/>
        <w:rPr>
          <w:rFonts w:asciiTheme="majorBidi" w:hAnsiTheme="majorBidi" w:cstheme="majorBidi"/>
          <w:b/>
          <w:bCs/>
          <w:rtl/>
        </w:rPr>
      </w:pPr>
      <w:r w:rsidRPr="00E41178">
        <w:rPr>
          <w:rFonts w:asciiTheme="majorBidi" w:hAnsiTheme="majorBidi" w:cstheme="majorBidi"/>
          <w:b/>
          <w:bCs/>
        </w:rPr>
        <w:t>Shielding Materials</w:t>
      </w:r>
    </w:p>
    <w:p w14:paraId="55628179" w14:textId="77777777" w:rsidR="007A4566" w:rsidRDefault="008D2722" w:rsidP="007A4566">
      <w:pPr>
        <w:pStyle w:val="NormalWeb"/>
        <w:jc w:val="both"/>
        <w:rPr>
          <w:rFonts w:asciiTheme="majorBidi" w:hAnsiTheme="majorBidi" w:cstheme="majorBidi"/>
          <w:rtl/>
        </w:rPr>
      </w:pPr>
      <w:r w:rsidRPr="008D2722">
        <w:rPr>
          <w:rFonts w:asciiTheme="majorBidi" w:hAnsiTheme="majorBidi" w:cstheme="majorBidi"/>
        </w:rPr>
        <w:t>Three commonly used shielding materials were evaluated: lead, iron, and ordinary concrete. For each location in the facility layout, the minimum barrier thickness required to satisfy applicable dose constraints was calculated analytically and subsequently compared with published Monte Carlo–based transmission data to assess safety margins and potential cost implications.</w:t>
      </w:r>
    </w:p>
    <w:p w14:paraId="4894518F" w14:textId="3D2F29C7" w:rsidR="007A4566" w:rsidRPr="007A4566" w:rsidRDefault="007A4566" w:rsidP="007A4566">
      <w:pPr>
        <w:pStyle w:val="NormalWeb"/>
        <w:jc w:val="both"/>
        <w:rPr>
          <w:rFonts w:asciiTheme="majorBidi" w:hAnsiTheme="majorBidi" w:cstheme="majorBidi"/>
        </w:rPr>
      </w:pPr>
      <w:r w:rsidRPr="007A4566">
        <w:rPr>
          <w:rFonts w:asciiTheme="majorBidi" w:hAnsiTheme="majorBidi" w:cstheme="majorBidi"/>
        </w:rPr>
        <w:t>Three shielding materials—lead, iron, and ordinary concrete—were selected for evaluation in this study. These materials were chosen because they represent the most commonly used shielding options in PET facility construction worldwide, each offering distinct physical and practical characteristics. Lead provides high attenuation efficiency due to its high atomic number and density, iron offers a balance between structural strength and shielding performance, and concrete is widely used for its low cost, availability, and structural integration in building design. Evaluating these materials allows a realistic comparison between shielding effectiveness and construction feasibility, particularly in resource-limited settings.</w:t>
      </w:r>
    </w:p>
    <w:p w14:paraId="3B3704D7" w14:textId="4B30B498" w:rsidR="00D623F0" w:rsidRPr="00D623F0" w:rsidRDefault="00D623F0" w:rsidP="00113924">
      <w:pPr>
        <w:pStyle w:val="NormalWeb"/>
        <w:rPr>
          <w:rFonts w:asciiTheme="majorBidi" w:hAnsiTheme="majorBidi" w:cstheme="majorBidi"/>
          <w:b/>
          <w:bCs/>
        </w:rPr>
      </w:pPr>
      <w:r w:rsidRPr="00D623F0">
        <w:rPr>
          <w:rFonts w:asciiTheme="majorBidi" w:hAnsiTheme="majorBidi" w:cstheme="majorBidi"/>
          <w:b/>
          <w:bCs/>
        </w:rPr>
        <w:t>Source Characteristics</w:t>
      </w:r>
    </w:p>
    <w:p w14:paraId="5194C61B" w14:textId="57BC89EA" w:rsidR="008D2722" w:rsidRPr="008D2722" w:rsidRDefault="008D2722" w:rsidP="008D2722">
      <w:pPr>
        <w:jc w:val="both"/>
        <w:rPr>
          <w:rFonts w:asciiTheme="majorBidi" w:eastAsia="Times New Roman" w:hAnsiTheme="majorBidi" w:cstheme="majorBidi"/>
          <w:sz w:val="24"/>
          <w:szCs w:val="24"/>
        </w:rPr>
      </w:pPr>
      <w:r w:rsidRPr="008D2722">
        <w:rPr>
          <w:rFonts w:asciiTheme="majorBidi" w:eastAsia="Times New Roman" w:hAnsiTheme="majorBidi" w:cstheme="majorBidi"/>
          <w:sz w:val="24"/>
          <w:szCs w:val="24"/>
        </w:rPr>
        <w:t xml:space="preserve">The shielding design was based on fluorine-18 (¹⁸F), the most widely used PET radionuclide, which emits two 511 keV annihilation photons following positron–electron interaction [1,5]. A mean administered activity of 370 </w:t>
      </w:r>
      <w:proofErr w:type="spellStart"/>
      <w:r w:rsidRPr="008D2722">
        <w:rPr>
          <w:rFonts w:asciiTheme="majorBidi" w:eastAsia="Times New Roman" w:hAnsiTheme="majorBidi" w:cstheme="majorBidi"/>
          <w:sz w:val="24"/>
          <w:szCs w:val="24"/>
        </w:rPr>
        <w:t>MBq</w:t>
      </w:r>
      <w:proofErr w:type="spellEnd"/>
      <w:r w:rsidRPr="008D2722">
        <w:rPr>
          <w:rFonts w:asciiTheme="majorBidi" w:eastAsia="Times New Roman" w:hAnsiTheme="majorBidi" w:cstheme="majorBidi"/>
          <w:sz w:val="24"/>
          <w:szCs w:val="24"/>
        </w:rPr>
        <w:t xml:space="preserve"> per patient and a maximum workload of 40 patients per day were assumed, consistent with clinical practice and published PET shielding studies [1,6,15]. The gamma-ray constant for ¹⁸F was taken as 0.142 mSv·m²·h⁻¹·GBq⁻¹ at 1 m, based on standard reference data [1].</w:t>
      </w:r>
    </w:p>
    <w:p w14:paraId="56DD5AFF" w14:textId="77777777" w:rsidR="00C03583" w:rsidRPr="00C03583" w:rsidRDefault="00C03583" w:rsidP="00C03583">
      <w:pPr>
        <w:rPr>
          <w:rFonts w:asciiTheme="majorBidi" w:eastAsia="Times New Roman" w:hAnsiTheme="majorBidi" w:cstheme="majorBidi"/>
          <w:b/>
          <w:bCs/>
          <w:sz w:val="24"/>
          <w:szCs w:val="24"/>
        </w:rPr>
      </w:pPr>
      <w:r w:rsidRPr="00C03583">
        <w:rPr>
          <w:rFonts w:asciiTheme="majorBidi" w:eastAsia="Times New Roman" w:hAnsiTheme="majorBidi" w:cstheme="majorBidi"/>
          <w:b/>
          <w:bCs/>
          <w:sz w:val="24"/>
          <w:szCs w:val="24"/>
        </w:rPr>
        <w:t>Dose Calculation Model</w:t>
      </w:r>
    </w:p>
    <w:p w14:paraId="7E912106" w14:textId="77777777" w:rsidR="0035233C" w:rsidRPr="0035233C" w:rsidRDefault="0035233C" w:rsidP="0035233C">
      <w:pPr>
        <w:rPr>
          <w:rFonts w:asciiTheme="majorBidi" w:eastAsia="Times New Roman" w:hAnsiTheme="majorBidi" w:cstheme="majorBidi"/>
          <w:sz w:val="24"/>
          <w:szCs w:val="24"/>
        </w:rPr>
      </w:pPr>
      <w:r w:rsidRPr="0035233C">
        <w:rPr>
          <w:rFonts w:asciiTheme="majorBidi" w:eastAsia="Times New Roman" w:hAnsiTheme="majorBidi" w:cstheme="majorBidi"/>
          <w:sz w:val="24"/>
          <w:szCs w:val="24"/>
        </w:rPr>
        <w:t>The dose rate at each point of interest was calculated using a modified exposure equation adapted from AAPM Task Group 108 [1]:</w:t>
      </w:r>
    </w:p>
    <w:p w14:paraId="446A6C53" w14:textId="77777777" w:rsidR="0070122B" w:rsidRPr="0070122B" w:rsidRDefault="0070122B" w:rsidP="0070122B">
      <w:pPr>
        <w:rPr>
          <w:rFonts w:asciiTheme="majorBidi" w:eastAsia="Times New Roman" w:hAnsiTheme="majorBidi" w:cstheme="majorBidi"/>
          <w:b/>
          <w:bCs/>
          <w:sz w:val="24"/>
          <w:szCs w:val="24"/>
        </w:rPr>
      </w:pPr>
    </w:p>
    <w:p w14:paraId="7AC3CF90" w14:textId="0051F806" w:rsidR="00C41040" w:rsidRPr="00587DFD" w:rsidRDefault="00800A62" w:rsidP="002C2BAC">
      <w:pPr>
        <w:jc w:val="center"/>
        <w:rPr>
          <w:rFonts w:asciiTheme="majorBidi" w:hAnsiTheme="majorBidi" w:cstheme="majorBidi"/>
          <w:sz w:val="24"/>
          <w:szCs w:val="24"/>
        </w:rPr>
      </w:pPr>
      <w:r w:rsidRPr="00587DFD">
        <w:rPr>
          <w:rFonts w:asciiTheme="majorBidi" w:hAnsiTheme="majorBidi" w:cstheme="majorBidi"/>
          <w:sz w:val="24"/>
          <w:szCs w:val="24"/>
        </w:rPr>
        <w:t xml:space="preserve">             </w:t>
      </w:r>
      <w:r w:rsidRPr="0089649B">
        <w:rPr>
          <w:rFonts w:ascii="Cambria Math" w:eastAsia="Times New Roman" w:hAnsi="Cambria Math" w:cs="Times New Roman"/>
          <w:i/>
          <w:sz w:val="24"/>
          <w:szCs w:val="24"/>
        </w:rPr>
        <w:t xml:space="preserve"> </w:t>
      </w:r>
      <m:oMath>
        <m:r>
          <w:rPr>
            <w:rFonts w:ascii="Cambria Math" w:eastAsia="Times New Roman" w:hAnsi="Cambria Math" w:cs="Times New Roman"/>
            <w:sz w:val="24"/>
            <w:szCs w:val="24"/>
          </w:rPr>
          <m:t>E=</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A.Γ.T.U.RT.N</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en>
        </m:f>
      </m:oMath>
      <w:r w:rsidRPr="0089649B">
        <w:rPr>
          <w:rFonts w:ascii="Cambria Math" w:eastAsia="Times New Roman" w:hAnsi="Cambria Math" w:cs="Times New Roman"/>
          <w:i/>
          <w:sz w:val="24"/>
          <w:szCs w:val="24"/>
        </w:rPr>
        <w:t xml:space="preserve"> </w:t>
      </w:r>
      <w:r w:rsidRPr="00587DFD">
        <w:rPr>
          <w:rFonts w:asciiTheme="majorBidi" w:hAnsiTheme="majorBidi" w:cstheme="majorBidi"/>
          <w:sz w:val="24"/>
          <w:szCs w:val="24"/>
        </w:rPr>
        <w:t xml:space="preserve">         </w:t>
      </w:r>
      <w:r w:rsidR="00F30F38">
        <w:rPr>
          <w:rFonts w:asciiTheme="majorBidi" w:hAnsiTheme="majorBidi" w:cstheme="majorBidi" w:hint="cs"/>
          <w:sz w:val="24"/>
          <w:szCs w:val="24"/>
          <w:rtl/>
        </w:rPr>
        <w:t xml:space="preserve">  </w:t>
      </w:r>
      <w:r w:rsidRPr="00587DFD">
        <w:rPr>
          <w:rFonts w:asciiTheme="majorBidi" w:hAnsiTheme="majorBidi" w:cstheme="majorBidi"/>
          <w:sz w:val="24"/>
          <w:szCs w:val="24"/>
        </w:rPr>
        <w:t xml:space="preserve">    </w:t>
      </w:r>
      <w:r w:rsidR="00821407">
        <w:rPr>
          <w:rFonts w:asciiTheme="majorBidi" w:hAnsiTheme="majorBidi" w:cstheme="majorBidi" w:hint="cs"/>
          <w:sz w:val="24"/>
          <w:szCs w:val="24"/>
          <w:rtl/>
        </w:rPr>
        <w:t xml:space="preserve"> </w:t>
      </w:r>
      <w:r w:rsidRPr="00587DFD">
        <w:rPr>
          <w:rFonts w:asciiTheme="majorBidi" w:hAnsiTheme="majorBidi" w:cstheme="majorBidi"/>
          <w:sz w:val="24"/>
          <w:szCs w:val="24"/>
        </w:rPr>
        <w:t xml:space="preserve">    (</w:t>
      </w:r>
      <w:r w:rsidR="003C2E32">
        <w:rPr>
          <w:rFonts w:asciiTheme="majorBidi" w:hAnsiTheme="majorBidi" w:cstheme="majorBidi" w:hint="cs"/>
          <w:sz w:val="24"/>
          <w:szCs w:val="24"/>
          <w:rtl/>
        </w:rPr>
        <w:t>2</w:t>
      </w:r>
      <w:r w:rsidRPr="00587DFD">
        <w:rPr>
          <w:rFonts w:asciiTheme="majorBidi" w:hAnsiTheme="majorBidi" w:cstheme="majorBidi"/>
          <w:sz w:val="24"/>
          <w:szCs w:val="24"/>
        </w:rPr>
        <w:t>)</w:t>
      </w:r>
    </w:p>
    <w:p w14:paraId="3FE92C2D" w14:textId="0291A447" w:rsidR="008D2722" w:rsidRPr="008D2722" w:rsidRDefault="008D2722" w:rsidP="008D2722">
      <w:pPr>
        <w:pStyle w:val="NormalWeb"/>
        <w:jc w:val="both"/>
      </w:pPr>
      <w:r w:rsidRPr="008D2722">
        <w:lastRenderedPageBreak/>
        <w:t xml:space="preserve">where </w:t>
      </w:r>
      <w:r w:rsidRPr="008D2722">
        <w:rPr>
          <w:i/>
          <w:iCs/>
        </w:rPr>
        <w:t>A</w:t>
      </w:r>
      <w:r w:rsidRPr="008D2722">
        <w:t xml:space="preserve"> is the administered activity (</w:t>
      </w:r>
      <w:proofErr w:type="spellStart"/>
      <w:r w:rsidRPr="008D2722">
        <w:t>GBq</w:t>
      </w:r>
      <w:proofErr w:type="spellEnd"/>
      <w:r w:rsidRPr="008D2722">
        <w:t xml:space="preserve">), </w:t>
      </w:r>
      <w:r w:rsidRPr="008D2722">
        <w:rPr>
          <w:i/>
          <w:iCs/>
        </w:rPr>
        <w:t>Γ</w:t>
      </w:r>
      <w:r w:rsidRPr="008D2722">
        <w:t xml:space="preserve"> is the gamma constant (mSv·m²·h⁻¹·GBq⁻¹), </w:t>
      </w:r>
      <w:r w:rsidRPr="008D2722">
        <w:rPr>
          <w:i/>
          <w:iCs/>
        </w:rPr>
        <w:t>T</w:t>
      </w:r>
      <w:r w:rsidRPr="008D2722">
        <w:t xml:space="preserve"> is the exposure time (h·day⁻¹), </w:t>
      </w:r>
      <w:r w:rsidRPr="008D2722">
        <w:rPr>
          <w:i/>
          <w:iCs/>
        </w:rPr>
        <w:t>U</w:t>
      </w:r>
      <w:r w:rsidRPr="008D2722">
        <w:t xml:space="preserve"> is the use factor, </w:t>
      </w:r>
      <w:r w:rsidRPr="008D2722">
        <w:rPr>
          <w:i/>
          <w:iCs/>
        </w:rPr>
        <w:t>R_T</w:t>
      </w:r>
      <w:r w:rsidRPr="008D2722">
        <w:t xml:space="preserve"> is the radioactive decay factor, </w:t>
      </w:r>
      <w:r w:rsidRPr="008D2722">
        <w:rPr>
          <w:i/>
          <w:iCs/>
        </w:rPr>
        <w:t>N</w:t>
      </w:r>
      <w:r w:rsidRPr="008D2722">
        <w:t xml:space="preserve"> is the number of patients per day, and </w:t>
      </w:r>
      <w:r w:rsidRPr="008D2722">
        <w:rPr>
          <w:i/>
          <w:iCs/>
        </w:rPr>
        <w:t>d</w:t>
      </w:r>
      <w:r w:rsidRPr="008D2722">
        <w:t xml:space="preserve"> is the distance from the source to the point of interest (m). An empirical reduction factor (</w:t>
      </w:r>
      <w:r w:rsidRPr="008D2722">
        <w:rPr>
          <w:i/>
          <w:iCs/>
        </w:rPr>
        <w:t>R_F</w:t>
      </w:r>
      <w:r w:rsidRPr="008D2722">
        <w:t>, 0.5–0.8) was applied to account for patient self-absorption, air scattering, and geometric source distribution, as recommended by IAEA, NCRP, and Monte Carlo–based studies [1,13].</w:t>
      </w:r>
    </w:p>
    <w:p w14:paraId="70A4466D" w14:textId="77777777" w:rsidR="0070122B" w:rsidRDefault="0070122B" w:rsidP="0070122B">
      <w:pPr>
        <w:pStyle w:val="NormalWeb"/>
        <w:jc w:val="both"/>
        <w:rPr>
          <w:b/>
          <w:bCs/>
          <w:rtl/>
        </w:rPr>
      </w:pPr>
      <w:r w:rsidRPr="0070122B">
        <w:rPr>
          <w:b/>
          <w:bCs/>
        </w:rPr>
        <w:t>Design Dose Limits and Transmission Factor</w:t>
      </w:r>
    </w:p>
    <w:p w14:paraId="413E276A" w14:textId="1887CD0A" w:rsidR="0035233C" w:rsidRPr="0035233C" w:rsidRDefault="0035233C" w:rsidP="0035233C">
      <w:pPr>
        <w:pStyle w:val="NormalWeb"/>
        <w:jc w:val="both"/>
      </w:pPr>
      <w:r w:rsidRPr="0035233C">
        <w:t xml:space="preserve">Design dose limits followed ICRP Publication 103: 20 mSv·year⁻¹ for occupationally exposed workers and 1 mSv·year⁻¹ for members of the public [10]. The permissible transmission factor </w:t>
      </w:r>
      <m:oMath>
        <m:r>
          <w:rPr>
            <w:rFonts w:ascii="Cambria Math" w:hAnsi="Cambria Math"/>
          </w:rPr>
          <m:t>B</m:t>
        </m:r>
      </m:oMath>
      <w:r w:rsidRPr="0035233C">
        <w:t>was calculated as:</w:t>
      </w:r>
    </w:p>
    <w:p w14:paraId="087F0E0E" w14:textId="7432F6E2" w:rsidR="0089649B" w:rsidRPr="000C11FB" w:rsidRDefault="00BF2C13" w:rsidP="000C6AB4">
      <w:pPr>
        <w:pStyle w:val="NormalWeb"/>
        <w:jc w:val="both"/>
        <w:rPr>
          <w:rFonts w:asciiTheme="majorBidi" w:hAnsiTheme="majorBidi" w:cstheme="majorBidi"/>
        </w:rPr>
      </w:pPr>
      <m:oMathPara>
        <m:oMath>
          <m:m>
            <m:mPr>
              <m:plcHide m:val="1"/>
              <m:mcs>
                <m:mc>
                  <m:mcPr>
                    <m:count m:val="4"/>
                    <m:mcJc m:val="center"/>
                  </m:mcPr>
                </m:mc>
              </m:mcs>
              <m:ctrlPr>
                <w:rPr>
                  <w:rFonts w:ascii="Cambria Math" w:hAnsi="Cambria Math" w:cstheme="majorBidi"/>
                </w:rPr>
              </m:ctrlPr>
            </m:mPr>
            <m:mr>
              <m:e/>
              <m:e>
                <m:r>
                  <w:rPr>
                    <w:rFonts w:ascii="Cambria Math" w:hAnsi="Cambria Math" w:cstheme="majorBidi"/>
                  </w:rPr>
                  <m:t>B=</m:t>
                </m:r>
                <m:f>
                  <m:fPr>
                    <m:ctrlPr>
                      <w:rPr>
                        <w:rFonts w:ascii="Cambria Math" w:hAnsi="Cambria Math" w:cstheme="majorBidi"/>
                      </w:rPr>
                    </m:ctrlPr>
                  </m:fPr>
                  <m:num>
                    <m:r>
                      <w:rPr>
                        <w:rFonts w:ascii="Cambria Math" w:hAnsi="Cambria Math" w:cstheme="majorBidi"/>
                      </w:rPr>
                      <m:t>P⋅</m:t>
                    </m:r>
                    <m:sSup>
                      <m:sSupPr>
                        <m:ctrlPr>
                          <w:rPr>
                            <w:rFonts w:ascii="Cambria Math" w:hAnsi="Cambria Math" w:cstheme="majorBidi"/>
                          </w:rPr>
                        </m:ctrlPr>
                      </m:sSupPr>
                      <m:e>
                        <m:r>
                          <w:rPr>
                            <w:rFonts w:ascii="Cambria Math" w:hAnsi="Cambria Math" w:cstheme="majorBidi"/>
                          </w:rPr>
                          <m:t>d</m:t>
                        </m:r>
                      </m:e>
                      <m:sup>
                        <m:r>
                          <w:rPr>
                            <w:rFonts w:ascii="Cambria Math" w:hAnsi="Cambria Math" w:cstheme="majorBidi"/>
                          </w:rPr>
                          <m:t>2</m:t>
                        </m:r>
                      </m:sup>
                    </m:sSup>
                  </m:num>
                  <m:den>
                    <m:r>
                      <w:rPr>
                        <w:rFonts w:ascii="Cambria Math" w:hAnsi="Cambria Math" w:cstheme="majorBidi"/>
                      </w:rPr>
                      <m:t>A⋅</m:t>
                    </m:r>
                    <m:r>
                      <m:rPr>
                        <m:sty m:val="p"/>
                      </m:rPr>
                      <w:rPr>
                        <w:rFonts w:ascii="Cambria Math" w:hAnsi="Cambria Math" w:cstheme="majorBidi"/>
                      </w:rPr>
                      <m:t>Γ</m:t>
                    </m:r>
                    <m:r>
                      <w:rPr>
                        <w:rFonts w:ascii="Cambria Math" w:hAnsi="Cambria Math" w:cstheme="majorBidi"/>
                      </w:rPr>
                      <m:t>⋅T⋅U⋅</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T</m:t>
                        </m:r>
                      </m:sub>
                    </m:sSub>
                    <m:r>
                      <w:rPr>
                        <w:rFonts w:ascii="Cambria Math" w:hAnsi="Cambria Math" w:cstheme="majorBidi"/>
                      </w:rPr>
                      <m:t>⋅N</m:t>
                    </m:r>
                  </m:den>
                </m:f>
              </m:e>
              <m:e/>
              <m:e>
                <m:r>
                  <m:rPr>
                    <m:nor/>
                  </m:rPr>
                  <w:rPr>
                    <w:rFonts w:asciiTheme="majorBidi" w:hAnsiTheme="majorBidi" w:cstheme="majorBidi"/>
                  </w:rPr>
                  <m:t>(</m:t>
                </m:r>
                <m:r>
                  <m:rPr>
                    <m:nor/>
                  </m:rPr>
                  <w:rPr>
                    <w:rFonts w:asciiTheme="majorBidi" w:hAnsiTheme="majorBidi" w:cstheme="majorBidi" w:hint="cs"/>
                    <w:rtl/>
                  </w:rPr>
                  <m:t>3</m:t>
                </m:r>
                <m:r>
                  <m:rPr>
                    <m:nor/>
                  </m:rPr>
                  <w:rPr>
                    <w:rFonts w:asciiTheme="majorBidi" w:hAnsiTheme="majorBidi" w:cstheme="majorBidi"/>
                  </w:rPr>
                  <m:t>)</m:t>
                </m:r>
              </m:e>
            </m:mr>
          </m:m>
        </m:oMath>
      </m:oMathPara>
    </w:p>
    <w:p w14:paraId="7F7D2887" w14:textId="62CA7E8F" w:rsidR="0035233C" w:rsidRDefault="0035233C" w:rsidP="0035233C">
      <w:pPr>
        <w:pStyle w:val="NormalWeb"/>
        <w:jc w:val="both"/>
      </w:pPr>
      <w:r w:rsidRPr="0035233C">
        <w:t xml:space="preserve">where </w:t>
      </w:r>
      <m:oMath>
        <m:r>
          <w:rPr>
            <w:rFonts w:ascii="Cambria Math" w:hAnsi="Cambria Math"/>
          </w:rPr>
          <m:t>P</m:t>
        </m:r>
      </m:oMath>
      <w:r w:rsidRPr="0035233C">
        <w:t>represents the applicable annual dose constraint. The relationship between transmission factor and barrier thickness was expressed as:</w:t>
      </w:r>
    </w:p>
    <w:p w14:paraId="23A99C54" w14:textId="77777777" w:rsidR="0035233C" w:rsidRPr="0007211E" w:rsidRDefault="00BF2C13" w:rsidP="00914BCC">
      <w:pPr>
        <w:spacing w:after="0" w:line="240" w:lineRule="auto"/>
        <w:jc w:val="both"/>
        <w:rPr>
          <w:rFonts w:ascii="Times New Roman" w:eastAsia="Times New Roman" w:hAnsi="Times New Roman" w:cs="Times New Roman"/>
          <w:sz w:val="24"/>
          <w:szCs w:val="24"/>
          <w:rtl/>
        </w:rPr>
      </w:pPr>
      <m:oMathPara>
        <m:oMath>
          <m:m>
            <m:mPr>
              <m:plcHide m:val="1"/>
              <m:mcs>
                <m:mc>
                  <m:mcPr>
                    <m:count m:val="4"/>
                    <m:mcJc m:val="center"/>
                  </m:mcPr>
                </m:mc>
              </m:mcs>
              <m:ctrlPr>
                <w:rPr>
                  <w:rFonts w:ascii="Cambria Math" w:eastAsia="Times New Roman" w:hAnsi="Cambria Math" w:cs="Times New Roman"/>
                  <w:sz w:val="24"/>
                  <w:szCs w:val="24"/>
                </w:rPr>
              </m:ctrlPr>
            </m:mPr>
            <m:mr>
              <m:e/>
              <m:e>
                <m:r>
                  <w:rPr>
                    <w:rFonts w:ascii="Cambria Math" w:eastAsia="Times New Roman" w:hAnsi="Cambria Math" w:cs="Times New Roman"/>
                    <w:sz w:val="24"/>
                    <w:szCs w:val="24"/>
                  </w:rPr>
                  <m:t>B=</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-t</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TVL</m:t>
                    </m:r>
                  </m:sup>
                </m:sSup>
              </m:e>
              <m:e>
                <m:r>
                  <w:rPr>
                    <w:rFonts w:ascii="Cambria Math" w:eastAsia="Times New Roman" w:hAnsi="Cambria Math" w:cs="Times New Roman"/>
                    <w:sz w:val="24"/>
                    <w:szCs w:val="24"/>
                  </w:rPr>
                  <m:t xml:space="preserve">                      </m:t>
                </m:r>
              </m:e>
              <m:e>
                <m:r>
                  <m:rPr>
                    <m:nor/>
                  </m:rPr>
                  <w:rPr>
                    <w:rFonts w:ascii="Times New Roman" w:eastAsia="Times New Roman" w:hAnsi="Times New Roman" w:cs="Times New Roman"/>
                    <w:sz w:val="24"/>
                    <w:szCs w:val="24"/>
                  </w:rPr>
                  <m:t>(</m:t>
                </m:r>
                <m:r>
                  <m:rPr>
                    <m:nor/>
                  </m:rPr>
                  <w:rPr>
                    <w:rFonts w:ascii="Cambria Math" w:eastAsia="Times New Roman" w:hAnsi="Times New Roman" w:cs="Times New Roman" w:hint="cs"/>
                    <w:sz w:val="24"/>
                    <w:szCs w:val="24"/>
                    <w:rtl/>
                  </w:rPr>
                  <m:t>4</m:t>
                </m:r>
                <m:r>
                  <m:rPr>
                    <m:nor/>
                  </m:rPr>
                  <w:rPr>
                    <w:rFonts w:ascii="Times New Roman" w:eastAsia="Times New Roman" w:hAnsi="Times New Roman" w:cs="Times New Roman"/>
                    <w:sz w:val="24"/>
                    <w:szCs w:val="24"/>
                  </w:rPr>
                  <m:t>)</m:t>
                </m:r>
              </m:e>
            </m:mr>
          </m:m>
          <m:r>
            <m:rPr>
              <m:sty m:val="p"/>
            </m:rPr>
            <w:rPr>
              <w:rFonts w:ascii="Cambria Math" w:eastAsia="Times New Roman" w:hAnsi="Cambria Math" w:cs="Times New Roman"/>
              <w:sz w:val="24"/>
              <w:szCs w:val="24"/>
            </w:rPr>
            <m:t xml:space="preserve"> </m:t>
          </m:r>
        </m:oMath>
      </m:oMathPara>
    </w:p>
    <w:p w14:paraId="1852665A" w14:textId="77777777" w:rsidR="0007211E" w:rsidRPr="0007211E" w:rsidRDefault="0007211E" w:rsidP="00914BCC">
      <w:pPr>
        <w:spacing w:after="0" w:line="240" w:lineRule="auto"/>
        <w:jc w:val="both"/>
        <w:rPr>
          <w:rFonts w:ascii="Times New Roman" w:eastAsia="Times New Roman" w:hAnsi="Times New Roman" w:cs="Times New Roman"/>
          <w:sz w:val="24"/>
          <w:szCs w:val="24"/>
          <w:rtl/>
        </w:rPr>
      </w:pPr>
    </w:p>
    <w:p w14:paraId="60599D5E" w14:textId="2857F277" w:rsidR="0007211E" w:rsidRDefault="0007211E" w:rsidP="0007211E">
      <w:pPr>
        <w:spacing w:after="0" w:line="240" w:lineRule="auto"/>
        <w:jc w:val="both"/>
        <w:rPr>
          <w:rFonts w:ascii="Times New Roman" w:eastAsia="Times New Roman" w:hAnsi="Times New Roman" w:cs="Times New Roman"/>
          <w:sz w:val="24"/>
          <w:szCs w:val="24"/>
          <w:rtl/>
        </w:rPr>
      </w:pPr>
      <w:r w:rsidRPr="0007211E">
        <w:rPr>
          <w:rFonts w:ascii="Times New Roman" w:eastAsia="Times New Roman" w:hAnsi="Times New Roman" w:cs="Times New Roman"/>
          <w:sz w:val="24"/>
          <w:szCs w:val="24"/>
        </w:rPr>
        <w:t xml:space="preserve">where </w:t>
      </w:r>
      <w:proofErr w:type="spellStart"/>
      <w:r w:rsidRPr="0007211E">
        <w:rPr>
          <w:rFonts w:ascii="Times New Roman" w:eastAsia="Times New Roman" w:hAnsi="Times New Roman" w:cs="Times New Roman"/>
          <w:sz w:val="24"/>
          <w:szCs w:val="24"/>
        </w:rPr>
        <w:t>t</w:t>
      </w:r>
      <w:proofErr w:type="spellEnd"/>
      <w:r w:rsidRPr="0007211E">
        <w:rPr>
          <w:rFonts w:ascii="Times New Roman" w:eastAsia="Times New Roman" w:hAnsi="Times New Roman" w:cs="Times New Roman"/>
          <w:sz w:val="24"/>
          <w:szCs w:val="24"/>
        </w:rPr>
        <w:t xml:space="preserve"> is shielding thickness (cm), </w:t>
      </w:r>
      <w:r w:rsidRPr="0007211E">
        <w:rPr>
          <w:rFonts w:ascii="Times New Roman" w:eastAsia="Times New Roman" w:hAnsi="Times New Roman" w:cs="Times New Roman"/>
          <w:i/>
          <w:iCs/>
          <w:sz w:val="24"/>
          <w:szCs w:val="24"/>
        </w:rPr>
        <w:t>TVL</w:t>
      </w:r>
      <w:r w:rsidRPr="0007211E">
        <w:rPr>
          <w:rFonts w:ascii="Times New Roman" w:eastAsia="Times New Roman" w:hAnsi="Times New Roman" w:cs="Times New Roman"/>
          <w:sz w:val="24"/>
          <w:szCs w:val="24"/>
        </w:rPr>
        <w:t xml:space="preserve"> is the tenth-value layer (cm), which varies as a function of the shielding material and photon energy. For 511 keV photons, the adopted TVL values were [15]</w:t>
      </w:r>
    </w:p>
    <w:tbl>
      <w:tblPr>
        <w:tblStyle w:val="GridTable1Light"/>
        <w:tblW w:w="0" w:type="auto"/>
        <w:jc w:val="center"/>
        <w:tblLook w:val="04A0" w:firstRow="1" w:lastRow="0" w:firstColumn="1" w:lastColumn="0" w:noHBand="0" w:noVBand="1"/>
      </w:tblPr>
      <w:tblGrid>
        <w:gridCol w:w="1149"/>
        <w:gridCol w:w="1236"/>
      </w:tblGrid>
      <w:tr w:rsidR="0007211E" w:rsidRPr="000C6AB4" w14:paraId="40F8A75B" w14:textId="77777777" w:rsidTr="004D12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93ED2E" w14:textId="77777777" w:rsidR="0007211E" w:rsidRPr="000C6AB4" w:rsidRDefault="0007211E" w:rsidP="004D12E9">
            <w:pPr>
              <w:spacing w:before="100" w:beforeAutospacing="1" w:after="100" w:afterAutospacing="1"/>
              <w:jc w:val="center"/>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Material</w:t>
            </w:r>
          </w:p>
        </w:tc>
        <w:tc>
          <w:tcPr>
            <w:tcW w:w="0" w:type="auto"/>
            <w:hideMark/>
          </w:tcPr>
          <w:p w14:paraId="1AFEEDE2" w14:textId="77777777" w:rsidR="0007211E" w:rsidRPr="000C6AB4" w:rsidRDefault="0007211E" w:rsidP="004D12E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TVL (cm)</w:t>
            </w:r>
          </w:p>
        </w:tc>
      </w:tr>
      <w:tr w:rsidR="0007211E" w:rsidRPr="000C6AB4" w14:paraId="5A76B7C5" w14:textId="77777777" w:rsidTr="004D12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392700" w14:textId="77777777" w:rsidR="0007211E" w:rsidRPr="000C6AB4" w:rsidRDefault="0007211E" w:rsidP="004D12E9">
            <w:pPr>
              <w:spacing w:before="100" w:beforeAutospacing="1" w:after="100" w:afterAutospacing="1"/>
              <w:jc w:val="center"/>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Lead</w:t>
            </w:r>
          </w:p>
        </w:tc>
        <w:tc>
          <w:tcPr>
            <w:tcW w:w="0" w:type="auto"/>
            <w:hideMark/>
          </w:tcPr>
          <w:p w14:paraId="1199F5C8" w14:textId="77777777" w:rsidR="0007211E" w:rsidRPr="000C6AB4" w:rsidRDefault="0007211E" w:rsidP="004D12E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4.1</w:t>
            </w:r>
          </w:p>
        </w:tc>
      </w:tr>
      <w:tr w:rsidR="0007211E" w:rsidRPr="000C6AB4" w14:paraId="711BAA0E" w14:textId="77777777" w:rsidTr="004D12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74F0A9" w14:textId="77777777" w:rsidR="0007211E" w:rsidRPr="000C6AB4" w:rsidRDefault="0007211E" w:rsidP="004D12E9">
            <w:pPr>
              <w:spacing w:before="100" w:beforeAutospacing="1" w:after="100" w:afterAutospacing="1"/>
              <w:jc w:val="center"/>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Iron</w:t>
            </w:r>
          </w:p>
        </w:tc>
        <w:tc>
          <w:tcPr>
            <w:tcW w:w="0" w:type="auto"/>
            <w:hideMark/>
          </w:tcPr>
          <w:p w14:paraId="7C41530A" w14:textId="77777777" w:rsidR="0007211E" w:rsidRPr="000C6AB4" w:rsidRDefault="0007211E" w:rsidP="004D12E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1.8</w:t>
            </w:r>
          </w:p>
        </w:tc>
      </w:tr>
      <w:tr w:rsidR="0007211E" w:rsidRPr="000C6AB4" w14:paraId="1AD1DA27" w14:textId="77777777" w:rsidTr="004D12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57CC01" w14:textId="77777777" w:rsidR="0007211E" w:rsidRPr="000C6AB4" w:rsidRDefault="0007211E" w:rsidP="004D12E9">
            <w:pPr>
              <w:spacing w:before="100" w:beforeAutospacing="1" w:after="100" w:afterAutospacing="1"/>
              <w:jc w:val="center"/>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Concrete</w:t>
            </w:r>
          </w:p>
        </w:tc>
        <w:tc>
          <w:tcPr>
            <w:tcW w:w="0" w:type="auto"/>
            <w:hideMark/>
          </w:tcPr>
          <w:p w14:paraId="3C3A1203" w14:textId="77777777" w:rsidR="0007211E" w:rsidRPr="000C6AB4" w:rsidRDefault="0007211E" w:rsidP="004D12E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C6AB4">
              <w:rPr>
                <w:rFonts w:ascii="Times New Roman" w:eastAsia="Times New Roman" w:hAnsi="Times New Roman" w:cs="Times New Roman"/>
                <w:sz w:val="24"/>
                <w:szCs w:val="24"/>
              </w:rPr>
              <w:t>7.3</w:t>
            </w:r>
          </w:p>
        </w:tc>
      </w:tr>
    </w:tbl>
    <w:p w14:paraId="61772FF8" w14:textId="77777777" w:rsidR="0007211E" w:rsidRPr="0035233C" w:rsidRDefault="0007211E" w:rsidP="0007211E">
      <w:pPr>
        <w:spacing w:after="0" w:line="240" w:lineRule="auto"/>
        <w:jc w:val="both"/>
        <w:rPr>
          <w:rFonts w:ascii="Times New Roman" w:eastAsia="Times New Roman" w:hAnsi="Times New Roman" w:cs="Times New Roman"/>
          <w:sz w:val="24"/>
          <w:szCs w:val="24"/>
          <w:rtl/>
        </w:rPr>
      </w:pPr>
    </w:p>
    <w:p w14:paraId="66C4F6CF" w14:textId="0861F6BD" w:rsidR="0089649B" w:rsidRDefault="005A1171" w:rsidP="0035233C">
      <w:pPr>
        <w:spacing w:after="0" w:line="240" w:lineRule="auto"/>
        <w:jc w:val="both"/>
        <w:rPr>
          <w:rFonts w:ascii="Times New Roman" w:eastAsia="Times New Roman" w:hAnsi="Times New Roman" w:cs="Times New Roman"/>
          <w:sz w:val="24"/>
          <w:szCs w:val="24"/>
          <w:rtl/>
        </w:rPr>
      </w:pPr>
      <m:oMathPara>
        <m:oMath>
          <m:r>
            <m:rPr>
              <m:sty m:val="p"/>
            </m:rPr>
            <w:rPr>
              <w:rFonts w:ascii="Cambria Math" w:eastAsia="Times New Roman" w:hAnsi="Cambria Math" w:cs="Times New Roman"/>
              <w:sz w:val="24"/>
              <w:szCs w:val="24"/>
            </w:rPr>
            <w:br/>
          </m:r>
        </m:oMath>
      </m:oMathPara>
      <w:r w:rsidR="0035233C" w:rsidRPr="0035233C">
        <w:rPr>
          <w:rFonts w:ascii="Times New Roman" w:eastAsia="Times New Roman" w:hAnsi="Times New Roman" w:cs="Times New Roman"/>
          <w:sz w:val="24"/>
          <w:szCs w:val="24"/>
        </w:rPr>
        <w:t>The occupancy-adjusted dose was calculated as:</w:t>
      </w:r>
    </w:p>
    <w:p w14:paraId="17A8DE49" w14:textId="77777777" w:rsidR="0007211E" w:rsidRDefault="0007211E" w:rsidP="0035233C">
      <w:pPr>
        <w:spacing w:after="0" w:line="240" w:lineRule="auto"/>
        <w:jc w:val="both"/>
        <w:rPr>
          <w:rFonts w:ascii="Times New Roman" w:eastAsia="Times New Roman" w:hAnsi="Times New Roman" w:cs="Times New Roman"/>
          <w:sz w:val="24"/>
          <w:szCs w:val="24"/>
          <w:rtl/>
        </w:rPr>
      </w:pPr>
    </w:p>
    <w:p w14:paraId="30F9CDB4" w14:textId="77777777" w:rsidR="0035233C" w:rsidRDefault="0035233C" w:rsidP="0089649B">
      <w:pPr>
        <w:spacing w:after="0" w:line="240" w:lineRule="auto"/>
        <w:rPr>
          <w:rFonts w:ascii="Times New Roman" w:eastAsia="Times New Roman" w:hAnsi="Times New Roman" w:cs="Times New Roman"/>
          <w:sz w:val="24"/>
          <w:szCs w:val="24"/>
          <w:rtl/>
        </w:rPr>
      </w:pPr>
    </w:p>
    <w:p w14:paraId="4EA22678" w14:textId="369FF153" w:rsidR="000C6AB4" w:rsidRPr="000C6AB4" w:rsidRDefault="00BF2C13" w:rsidP="0089649B">
      <w:pPr>
        <w:spacing w:after="0" w:line="240" w:lineRule="auto"/>
        <w:rPr>
          <w:rFonts w:eastAsiaTheme="minorEastAsia"/>
          <w:sz w:val="24"/>
          <w:szCs w:val="24"/>
        </w:rPr>
      </w:pPr>
      <m:oMathPara>
        <m:oMath>
          <m:m>
            <m:mPr>
              <m:plcHide m:val="1"/>
              <m:mcs>
                <m:mc>
                  <m:mcPr>
                    <m:count m:val="4"/>
                    <m:mcJc m:val="center"/>
                  </m:mcPr>
                </m:mc>
              </m:mcs>
              <m:ctrlPr>
                <w:rPr>
                  <w:rFonts w:ascii="Cambria Math" w:eastAsia="Times New Roman" w:hAnsi="Cambria Math" w:cs="Times New Roman"/>
                  <w:sz w:val="24"/>
                  <w:szCs w:val="24"/>
                </w:rPr>
              </m:ctrlPr>
            </m:mPr>
            <m:mr>
              <m:e/>
              <m:e>
                <m:r>
                  <w:rPr>
                    <w:rFonts w:ascii="Cambria Math" w:eastAsia="Times New Roman" w:hAnsi="Cambria Math" w:cs="Times New Roman"/>
                    <w:sz w:val="24"/>
                    <w:szCs w:val="24"/>
                  </w:rPr>
                  <m:t>D=O⋅E⋅B</m:t>
                </m:r>
              </m:e>
              <m:e>
                <m:r>
                  <w:rPr>
                    <w:rFonts w:ascii="Cambria Math" w:eastAsia="Times New Roman" w:hAnsi="Cambria Math" w:cs="Times New Roman"/>
                    <w:sz w:val="24"/>
                    <w:szCs w:val="24"/>
                  </w:rPr>
                  <m:t xml:space="preserve">                   </m:t>
                </m:r>
              </m:e>
              <m:e>
                <m:r>
                  <m:rPr>
                    <m:nor/>
                  </m:rPr>
                  <w:rPr>
                    <w:rFonts w:ascii="Times New Roman" w:eastAsia="Times New Roman" w:hAnsi="Times New Roman" w:cs="Times New Roman"/>
                    <w:sz w:val="24"/>
                    <w:szCs w:val="24"/>
                  </w:rPr>
                  <m:t>(</m:t>
                </m:r>
                <m:r>
                  <m:rPr>
                    <m:nor/>
                  </m:rPr>
                  <w:rPr>
                    <w:rFonts w:ascii="Cambria Math" w:eastAsia="Times New Roman" w:hAnsi="Times New Roman" w:cs="Times New Roman" w:hint="cs"/>
                    <w:sz w:val="24"/>
                    <w:szCs w:val="24"/>
                    <w:rtl/>
                  </w:rPr>
                  <m:t>5</m:t>
                </m:r>
                <m:r>
                  <m:rPr>
                    <m:nor/>
                  </m:rPr>
                  <w:rPr>
                    <w:rFonts w:ascii="Times New Roman" w:eastAsia="Times New Roman" w:hAnsi="Times New Roman" w:cs="Times New Roman"/>
                    <w:sz w:val="24"/>
                    <w:szCs w:val="24"/>
                  </w:rPr>
                  <m:t>)</m:t>
                </m:r>
              </m:e>
            </m:mr>
          </m:m>
        </m:oMath>
      </m:oMathPara>
    </w:p>
    <w:p w14:paraId="279267AC" w14:textId="77777777" w:rsidR="0035233C" w:rsidRDefault="0035233C" w:rsidP="0035233C">
      <w:pPr>
        <w:spacing w:after="0"/>
        <w:rPr>
          <w:rFonts w:ascii="Times New Roman" w:eastAsia="Times New Roman" w:hAnsi="Times New Roman" w:cs="Times New Roman"/>
          <w:sz w:val="24"/>
          <w:szCs w:val="24"/>
          <w:rtl/>
        </w:rPr>
      </w:pPr>
      <w:r w:rsidRPr="0035233C">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O</m:t>
        </m:r>
      </m:oMath>
      <w:r w:rsidRPr="0035233C">
        <w:rPr>
          <w:rFonts w:ascii="Times New Roman" w:eastAsia="Times New Roman" w:hAnsi="Times New Roman" w:cs="Times New Roman"/>
          <w:sz w:val="24"/>
          <w:szCs w:val="24"/>
        </w:rPr>
        <w:t xml:space="preserve">is the occupancy </w:t>
      </w:r>
      <w:proofErr w:type="gramStart"/>
      <w:r w:rsidRPr="0035233C">
        <w:rPr>
          <w:rFonts w:ascii="Times New Roman" w:eastAsia="Times New Roman" w:hAnsi="Times New Roman" w:cs="Times New Roman"/>
          <w:sz w:val="24"/>
          <w:szCs w:val="24"/>
        </w:rPr>
        <w:t>factor.</w:t>
      </w:r>
      <w:proofErr w:type="gramEnd"/>
    </w:p>
    <w:p w14:paraId="57A9CD0A" w14:textId="77777777" w:rsidR="0007211E" w:rsidRDefault="0007211E" w:rsidP="0035233C">
      <w:pPr>
        <w:spacing w:after="0"/>
        <w:rPr>
          <w:rFonts w:ascii="Times New Roman" w:eastAsia="Times New Roman" w:hAnsi="Times New Roman" w:cs="Times New Roman"/>
          <w:b/>
          <w:bCs/>
          <w:sz w:val="24"/>
          <w:szCs w:val="24"/>
          <w:rtl/>
        </w:rPr>
      </w:pPr>
    </w:p>
    <w:p w14:paraId="311E95DD" w14:textId="7FAAD491" w:rsidR="0035233C" w:rsidRDefault="0035233C" w:rsidP="0035233C">
      <w:pPr>
        <w:spacing w:after="0"/>
        <w:rPr>
          <w:rFonts w:ascii="Times New Roman" w:eastAsia="Times New Roman" w:hAnsi="Times New Roman" w:cs="Times New Roman"/>
          <w:b/>
          <w:bCs/>
          <w:sz w:val="24"/>
          <w:szCs w:val="24"/>
          <w:rtl/>
        </w:rPr>
      </w:pPr>
      <w:r w:rsidRPr="0035233C">
        <w:rPr>
          <w:rFonts w:ascii="Times New Roman" w:eastAsia="Times New Roman" w:hAnsi="Times New Roman" w:cs="Times New Roman"/>
          <w:b/>
          <w:bCs/>
          <w:sz w:val="24"/>
          <w:szCs w:val="24"/>
        </w:rPr>
        <w:t>Shielding Thickness Determination</w:t>
      </w:r>
    </w:p>
    <w:p w14:paraId="6CBD1958" w14:textId="77777777" w:rsidR="0035233C" w:rsidRPr="0007211E" w:rsidRDefault="0035233C" w:rsidP="0035233C">
      <w:pPr>
        <w:spacing w:after="0"/>
        <w:rPr>
          <w:rFonts w:ascii="Times New Roman" w:eastAsia="Times New Roman" w:hAnsi="Times New Roman" w:cs="Times New Roman"/>
          <w:sz w:val="24"/>
          <w:szCs w:val="24"/>
        </w:rPr>
      </w:pPr>
      <w:r w:rsidRPr="0007211E">
        <w:rPr>
          <w:rFonts w:ascii="Times New Roman" w:eastAsia="Times New Roman" w:hAnsi="Times New Roman" w:cs="Times New Roman"/>
          <w:sz w:val="24"/>
          <w:szCs w:val="24"/>
        </w:rPr>
        <w:t>Shielding thicknesses were derived using:</w:t>
      </w:r>
    </w:p>
    <w:p w14:paraId="2B8C3957" w14:textId="77777777" w:rsidR="0035233C" w:rsidRDefault="0035233C" w:rsidP="0035233C">
      <w:pPr>
        <w:spacing w:after="0"/>
        <w:rPr>
          <w:rFonts w:ascii="Times New Roman" w:eastAsia="Times New Roman" w:hAnsi="Times New Roman" w:cs="Times New Roman"/>
          <w:b/>
          <w:bCs/>
          <w:sz w:val="24"/>
          <w:szCs w:val="24"/>
          <w:rtl/>
        </w:rPr>
      </w:pPr>
    </w:p>
    <w:p w14:paraId="01D275E3" w14:textId="77084AA7" w:rsidR="0089649B" w:rsidRPr="0089649B" w:rsidRDefault="000C6AB4" w:rsidP="00530D4B">
      <w:pPr>
        <w:spacing w:after="0" w:line="240" w:lineRule="auto"/>
        <w:rPr>
          <w:rFonts w:ascii="Times New Roman" w:eastAsia="Times New Roman" w:hAnsi="Times New Roman" w:cs="Times New Roman"/>
          <w:sz w:val="24"/>
          <w:szCs w:val="24"/>
        </w:rPr>
      </w:pPr>
      <w:r w:rsidRPr="000C6AB4">
        <w:rPr>
          <w:rFonts w:ascii="Times New Roman" w:eastAsia="Times New Roman" w:hAnsi="Times New Roman" w:cs="Times New Roman"/>
          <w:b/>
          <w:bCs/>
          <w:sz w:val="24"/>
          <w:szCs w:val="24"/>
        </w:rPr>
        <w:br/>
      </w:r>
      <m:oMathPara>
        <m:oMath>
          <m:m>
            <m:mPr>
              <m:plcHide m:val="1"/>
              <m:mcs>
                <m:mc>
                  <m:mcPr>
                    <m:count m:val="4"/>
                    <m:mcJc m:val="center"/>
                  </m:mcPr>
                </m:mc>
              </m:mcs>
              <m:ctrlPr>
                <w:rPr>
                  <w:rFonts w:ascii="Cambria Math" w:eastAsia="Times New Roman" w:hAnsi="Cambria Math" w:cs="Times New Roman"/>
                  <w:sz w:val="24"/>
                  <w:szCs w:val="24"/>
                </w:rPr>
              </m:ctrlPr>
            </m:mPr>
            <m:mr>
              <m:e/>
              <m:e>
                <m:r>
                  <w:rPr>
                    <w:rFonts w:ascii="Cambria Math" w:eastAsia="Times New Roman" w:hAnsi="Cambria Math" w:cs="Times New Roman"/>
                    <w:sz w:val="24"/>
                    <w:szCs w:val="24"/>
                  </w:rPr>
                  <m:t>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-μx</m:t>
                    </m:r>
                  </m:sup>
                </m:sSup>
              </m:e>
              <m:e>
                <m:r>
                  <w:rPr>
                    <w:rFonts w:ascii="Cambria Math" w:eastAsia="Times New Roman" w:hAnsi="Cambria Math" w:cs="Times New Roman"/>
                    <w:sz w:val="24"/>
                    <w:szCs w:val="24"/>
                  </w:rPr>
                  <m:t xml:space="preserve">                             </m:t>
                </m:r>
              </m:e>
              <m:e>
                <m:r>
                  <m:rPr>
                    <m:nor/>
                  </m:rPr>
                  <w:rPr>
                    <w:rFonts w:ascii="Times New Roman" w:eastAsia="Times New Roman" w:hAnsi="Times New Roman" w:cs="Times New Roman"/>
                    <w:sz w:val="24"/>
                    <w:szCs w:val="24"/>
                  </w:rPr>
                  <m:t>(</m:t>
                </m:r>
                <m:r>
                  <m:rPr>
                    <m:nor/>
                  </m:rPr>
                  <w:rPr>
                    <w:rFonts w:ascii="Cambria Math" w:eastAsia="Times New Roman" w:hAnsi="Times New Roman" w:cs="Times New Roman" w:hint="cs"/>
                    <w:sz w:val="24"/>
                    <w:szCs w:val="24"/>
                    <w:rtl/>
                  </w:rPr>
                  <m:t>6</m:t>
                </m:r>
                <m:r>
                  <m:rPr>
                    <m:nor/>
                  </m:rPr>
                  <w:rPr>
                    <w:rFonts w:ascii="Times New Roman" w:eastAsia="Times New Roman" w:hAnsi="Times New Roman" w:cs="Times New Roman"/>
                    <w:sz w:val="24"/>
                    <w:szCs w:val="24"/>
                  </w:rPr>
                  <m:t>)</m:t>
                </m:r>
              </m:e>
            </m:mr>
          </m:m>
          <m:r>
            <m:rPr>
              <m:sty m:val="p"/>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w:br/>
          </m:r>
        </m:oMath>
      </m:oMathPara>
    </w:p>
    <w:p w14:paraId="69F1FB57" w14:textId="77777777" w:rsidR="0035233C" w:rsidRPr="0035233C" w:rsidRDefault="00BF2C13" w:rsidP="00821407">
      <w:pPr>
        <w:spacing w:after="0" w:line="240" w:lineRule="auto"/>
        <w:rPr>
          <w:rFonts w:ascii="Times New Roman" w:eastAsia="Times New Roman" w:hAnsi="Times New Roman" w:cs="Times New Roman"/>
          <w:sz w:val="24"/>
          <w:szCs w:val="24"/>
          <w:rtl/>
        </w:rPr>
      </w:pPr>
      <m:oMathPara>
        <m:oMath>
          <m:m>
            <m:mPr>
              <m:plcHide m:val="1"/>
              <m:mcs>
                <m:mc>
                  <m:mcPr>
                    <m:count m:val="4"/>
                    <m:mcJc m:val="center"/>
                  </m:mcPr>
                </m:mc>
              </m:mcs>
              <m:ctrlPr>
                <w:rPr>
                  <w:rFonts w:ascii="Cambria Math" w:eastAsia="Times New Roman" w:hAnsi="Cambria Math" w:cs="Times New Roman"/>
                  <w:sz w:val="24"/>
                  <w:szCs w:val="24"/>
                </w:rPr>
              </m:ctrlPr>
            </m:mPr>
            <m:mr>
              <m:e/>
              <m:e>
                <m:r>
                  <w:rPr>
                    <w:rFonts w:ascii="Cambria Math" w:eastAsia="Times New Roman" w:hAnsi="Cambria Math" w:cs="Times New Roman"/>
                    <w:sz w:val="24"/>
                    <w:szCs w:val="24"/>
                  </w:rPr>
                  <m:t>x=-</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μ</m:t>
                    </m:r>
                  </m:den>
                </m:f>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⁡(T)</m:t>
                </m:r>
              </m:e>
              <m:e>
                <m:r>
                  <w:rPr>
                    <w:rFonts w:ascii="Cambria Math" w:eastAsia="Times New Roman" w:hAnsi="Cambria Math" w:cs="Times New Roman"/>
                    <w:sz w:val="24"/>
                    <w:szCs w:val="24"/>
                  </w:rPr>
                  <m:t xml:space="preserve">       </m:t>
                </m:r>
              </m:e>
              <m:e>
                <m:r>
                  <m:rPr>
                    <m:nor/>
                  </m:rPr>
                  <w:rPr>
                    <w:rFonts w:ascii="Cambria Math" w:eastAsia="Times New Roman" w:hAnsi="Times New Roman" w:cs="Times New Roman" w:hint="cs"/>
                    <w:sz w:val="24"/>
                    <w:szCs w:val="24"/>
                    <w:rtl/>
                  </w:rPr>
                  <m:t xml:space="preserve">          </m:t>
                </m:r>
                <m:r>
                  <m:rPr>
                    <m:nor/>
                  </m:rPr>
                  <w:rPr>
                    <w:rFonts w:ascii="Times New Roman" w:eastAsia="Times New Roman" w:hAnsi="Times New Roman" w:cs="Times New Roman"/>
                    <w:sz w:val="24"/>
                    <w:szCs w:val="24"/>
                  </w:rPr>
                  <m:t>(</m:t>
                </m:r>
                <m:r>
                  <m:rPr>
                    <m:nor/>
                  </m:rPr>
                  <w:rPr>
                    <w:rFonts w:ascii="Cambria Math" w:eastAsia="Times New Roman" w:hAnsi="Times New Roman" w:cs="Times New Roman" w:hint="cs"/>
                    <w:sz w:val="24"/>
                    <w:szCs w:val="24"/>
                    <w:rtl/>
                  </w:rPr>
                  <m:t>7</m:t>
                </m:r>
                <m:r>
                  <m:rPr>
                    <m:nor/>
                  </m:rPr>
                  <w:rPr>
                    <w:rFonts w:ascii="Times New Roman" w:eastAsia="Times New Roman" w:hAnsi="Times New Roman" w:cs="Times New Roman"/>
                    <w:sz w:val="24"/>
                    <w:szCs w:val="24"/>
                  </w:rPr>
                  <m:t>)</m:t>
                </m:r>
              </m:e>
            </m:mr>
          </m:m>
        </m:oMath>
      </m:oMathPara>
    </w:p>
    <w:p w14:paraId="6B7ACC69" w14:textId="77777777" w:rsidR="0035233C" w:rsidRPr="0035233C" w:rsidRDefault="0035233C" w:rsidP="00821407">
      <w:pPr>
        <w:spacing w:after="0" w:line="240" w:lineRule="auto"/>
        <w:rPr>
          <w:rFonts w:ascii="Times New Roman" w:eastAsia="Times New Roman" w:hAnsi="Times New Roman" w:cs="Times New Roman"/>
          <w:sz w:val="24"/>
          <w:szCs w:val="24"/>
          <w:rtl/>
        </w:rPr>
      </w:pPr>
    </w:p>
    <w:p w14:paraId="1FE59A3B" w14:textId="635A2AAC" w:rsidR="0035233C" w:rsidRPr="0035233C" w:rsidRDefault="0035233C" w:rsidP="0035233C">
      <w:pPr>
        <w:spacing w:after="0" w:line="240" w:lineRule="auto"/>
        <w:rPr>
          <w:rFonts w:ascii="Times New Roman" w:eastAsia="Times New Roman" w:hAnsi="Times New Roman" w:cs="Times New Roman"/>
          <w:sz w:val="24"/>
          <w:szCs w:val="24"/>
        </w:rPr>
      </w:pPr>
      <w:r w:rsidRPr="0035233C">
        <w:rPr>
          <w:rFonts w:ascii="Times New Roman" w:eastAsia="Times New Roman" w:hAnsi="Times New Roman" w:cs="Times New Roman"/>
          <w:sz w:val="24"/>
          <w:szCs w:val="24"/>
        </w:rPr>
        <w:lastRenderedPageBreak/>
        <w:t>Linear attenuation coefficients were calculated from NIST XCOM mass attenuation coefficients for 511 keV photons [</w:t>
      </w:r>
      <w:r w:rsidR="00A21C1F">
        <w:rPr>
          <w:rFonts w:ascii="Times New Roman" w:eastAsia="Times New Roman" w:hAnsi="Times New Roman" w:cs="Times New Roman" w:hint="cs"/>
          <w:sz w:val="24"/>
          <w:szCs w:val="24"/>
          <w:rtl/>
        </w:rPr>
        <w:t>1</w:t>
      </w:r>
      <w:r w:rsidR="006952BB">
        <w:rPr>
          <w:rFonts w:ascii="Times New Roman" w:eastAsia="Times New Roman" w:hAnsi="Times New Roman" w:cs="Times New Roman"/>
          <w:sz w:val="24"/>
          <w:szCs w:val="24"/>
        </w:rPr>
        <w:t>7</w:t>
      </w:r>
      <w:r w:rsidRPr="0035233C">
        <w:rPr>
          <w:rFonts w:ascii="Times New Roman" w:eastAsia="Times New Roman" w:hAnsi="Times New Roman" w:cs="Times New Roman"/>
          <w:sz w:val="24"/>
          <w:szCs w:val="24"/>
        </w:rPr>
        <w:t>]. TVL values adopted were 4.1 cm for lead, 1.8 cm for iron, and 7.3 cm for concrete, based on AAPM and NCRP data [1</w:t>
      </w:r>
      <w:r w:rsidR="00A21C1F">
        <w:rPr>
          <w:rFonts w:ascii="Times New Roman" w:eastAsia="Times New Roman" w:hAnsi="Times New Roman" w:cs="Times New Roman" w:hint="cs"/>
          <w:sz w:val="24"/>
          <w:szCs w:val="24"/>
          <w:rtl/>
        </w:rPr>
        <w:t>1</w:t>
      </w:r>
      <w:r w:rsidRPr="0035233C">
        <w:rPr>
          <w:rFonts w:ascii="Times New Roman" w:eastAsia="Times New Roman" w:hAnsi="Times New Roman" w:cs="Times New Roman"/>
          <w:sz w:val="24"/>
          <w:szCs w:val="24"/>
        </w:rPr>
        <w:t>].</w:t>
      </w:r>
    </w:p>
    <w:p w14:paraId="357BB506" w14:textId="2DA5E4E3" w:rsidR="00530D4B" w:rsidRPr="00530D4B" w:rsidRDefault="005A1171" w:rsidP="008D2722">
      <w:pPr>
        <w:spacing w:after="0" w:line="240" w:lineRule="auto"/>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w:br/>
          </m:r>
        </m:oMath>
      </m:oMathPara>
      <w:r w:rsidR="00530D4B" w:rsidRPr="00530D4B">
        <w:rPr>
          <w:rFonts w:ascii="Times New Roman" w:eastAsia="Times New Roman" w:hAnsi="Times New Roman" w:cs="Times New Roman"/>
          <w:sz w:val="24"/>
          <w:szCs w:val="24"/>
        </w:rPr>
        <w:t>These analytical calculations were implemented using spreadsheet-based tools, allowing transparent, reproducible evaluation of shielding requirements for each barrier location.</w:t>
      </w:r>
    </w:p>
    <w:p w14:paraId="56DD4505" w14:textId="01ADADCE" w:rsidR="00B702DC" w:rsidRDefault="000C6AB4" w:rsidP="00B702DC">
      <w:pPr>
        <w:spacing w:before="100" w:beforeAutospacing="1" w:after="100" w:afterAutospacing="1" w:line="240" w:lineRule="auto"/>
        <w:rPr>
          <w:rFonts w:ascii="Times New Roman" w:eastAsia="Times New Roman" w:hAnsi="Times New Roman" w:cs="Times New Roman"/>
          <w:b/>
          <w:bCs/>
          <w:sz w:val="24"/>
          <w:szCs w:val="24"/>
          <w:rtl/>
        </w:rPr>
      </w:pPr>
      <w:r w:rsidRPr="000C6AB4">
        <w:rPr>
          <w:rFonts w:ascii="Times New Roman" w:eastAsia="Times New Roman" w:hAnsi="Times New Roman" w:cs="Times New Roman"/>
          <w:b/>
          <w:bCs/>
          <w:sz w:val="24"/>
          <w:szCs w:val="24"/>
        </w:rPr>
        <w:t xml:space="preserve"> Data and Material Parameters</w:t>
      </w:r>
    </w:p>
    <w:p w14:paraId="0566FD64" w14:textId="7A4DC70E" w:rsidR="00BC03C3" w:rsidRPr="00212741" w:rsidRDefault="00F455D4" w:rsidP="00F455D4">
      <w:pPr>
        <w:spacing w:before="100" w:beforeAutospacing="1" w:after="100" w:afterAutospacing="1" w:line="240" w:lineRule="auto"/>
        <w:jc w:val="both"/>
        <w:rPr>
          <w:rFonts w:ascii="Times New Roman" w:eastAsia="Times New Roman" w:hAnsi="Times New Roman" w:cs="Times New Roman"/>
          <w:b/>
          <w:bCs/>
          <w:sz w:val="24"/>
          <w:szCs w:val="24"/>
        </w:rPr>
      </w:pPr>
      <w:r w:rsidRPr="00F455D4">
        <w:rPr>
          <w:rFonts w:ascii="Times New Roman" w:eastAsia="Times New Roman" w:hAnsi="Times New Roman" w:cs="Times New Roman"/>
          <w:b/>
          <w:bCs/>
          <w:sz w:val="24"/>
          <w:szCs w:val="24"/>
        </w:rPr>
        <w:t xml:space="preserve">Table 1. </w:t>
      </w:r>
      <w:r w:rsidR="00BC03C3" w:rsidRPr="00212741">
        <w:rPr>
          <w:rFonts w:ascii="Times New Roman" w:eastAsia="Times New Roman" w:hAnsi="Times New Roman" w:cs="Times New Roman"/>
          <w:b/>
          <w:bCs/>
          <w:sz w:val="24"/>
          <w:szCs w:val="24"/>
        </w:rPr>
        <w:t>lists relevant physical properties for commonly used PET radionuclides, including half-life, positron fraction, mean and maximum positron energies, gamma energy, and gamma constants.</w:t>
      </w:r>
    </w:p>
    <w:tbl>
      <w:tblPr>
        <w:tblStyle w:val="TableGrid"/>
        <w:tblW w:w="0" w:type="auto"/>
        <w:jc w:val="center"/>
        <w:tblLayout w:type="fixed"/>
        <w:tblLook w:val="04A0" w:firstRow="1" w:lastRow="0" w:firstColumn="1" w:lastColumn="0" w:noHBand="0" w:noVBand="1"/>
      </w:tblPr>
      <w:tblGrid>
        <w:gridCol w:w="1057"/>
        <w:gridCol w:w="1098"/>
        <w:gridCol w:w="1170"/>
        <w:gridCol w:w="1350"/>
        <w:gridCol w:w="990"/>
        <w:gridCol w:w="1440"/>
        <w:gridCol w:w="2245"/>
      </w:tblGrid>
      <w:tr w:rsidR="00E42461" w:rsidRPr="00587DFD" w14:paraId="686AB3C0" w14:textId="77777777" w:rsidTr="000C11FB">
        <w:trPr>
          <w:trHeight w:val="1520"/>
          <w:jc w:val="center"/>
        </w:trPr>
        <w:tc>
          <w:tcPr>
            <w:tcW w:w="1057" w:type="dxa"/>
            <w:vAlign w:val="center"/>
          </w:tcPr>
          <w:p w14:paraId="550391EE" w14:textId="77777777" w:rsidR="003F7249"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Radio</w:t>
            </w:r>
          </w:p>
          <w:p w14:paraId="47BCFAA7" w14:textId="0B901202"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nuclide</w:t>
            </w:r>
          </w:p>
        </w:tc>
        <w:tc>
          <w:tcPr>
            <w:tcW w:w="1098" w:type="dxa"/>
            <w:vAlign w:val="center"/>
          </w:tcPr>
          <w:p w14:paraId="2E271020" w14:textId="77777777"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Half life</w:t>
            </w:r>
          </w:p>
          <w:p w14:paraId="37E8C5B0" w14:textId="47981E6C" w:rsidR="00734DD4" w:rsidRPr="00846337" w:rsidRDefault="000C11FB" w:rsidP="00E42461">
            <w:pPr>
              <w:spacing w:before="100" w:beforeAutospacing="1" w:after="100" w:afterAutospacing="1"/>
              <w:jc w:val="center"/>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w:t>
            </w:r>
            <w:r w:rsidR="00734DD4" w:rsidRPr="00846337">
              <w:rPr>
                <w:rFonts w:asciiTheme="majorBidi" w:eastAsia="Times New Roman" w:hAnsiTheme="majorBidi" w:cstheme="majorBidi"/>
                <w:b/>
                <w:bCs/>
                <w:sz w:val="20"/>
                <w:szCs w:val="20"/>
              </w:rPr>
              <w:t>min</w:t>
            </w:r>
            <w:r>
              <w:rPr>
                <w:rFonts w:asciiTheme="majorBidi" w:eastAsia="Times New Roman" w:hAnsiTheme="majorBidi" w:cstheme="majorBidi"/>
                <w:b/>
                <w:bCs/>
                <w:sz w:val="20"/>
                <w:szCs w:val="20"/>
              </w:rPr>
              <w:t>)</w:t>
            </w:r>
          </w:p>
        </w:tc>
        <w:tc>
          <w:tcPr>
            <w:tcW w:w="1170" w:type="dxa"/>
            <w:vAlign w:val="center"/>
          </w:tcPr>
          <w:p w14:paraId="3B7A05CD" w14:textId="77777777"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tl/>
              </w:rPr>
            </w:pPr>
            <w:r w:rsidRPr="00846337">
              <w:rPr>
                <w:rFonts w:asciiTheme="majorBidi" w:eastAsia="Times New Roman" w:hAnsiTheme="majorBidi" w:cstheme="majorBidi"/>
                <w:b/>
                <w:bCs/>
                <w:sz w:val="20"/>
                <w:szCs w:val="20"/>
              </w:rPr>
              <w:t>Decay mode</w:t>
            </w:r>
          </w:p>
          <w:p w14:paraId="77F4D5CA" w14:textId="64D4C7C7" w:rsidR="00F30F38" w:rsidRPr="00846337" w:rsidRDefault="006C293A"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β⁺</w:t>
            </w:r>
            <w:r w:rsidRPr="00846337">
              <w:rPr>
                <w:rFonts w:asciiTheme="majorBidi" w:eastAsia="Times New Roman" w:hAnsiTheme="majorBidi" w:cstheme="majorBidi" w:hint="cs"/>
                <w:b/>
                <w:bCs/>
                <w:sz w:val="20"/>
                <w:szCs w:val="20"/>
                <w:rtl/>
              </w:rPr>
              <w:t>)</w:t>
            </w:r>
            <w:r w:rsidRPr="00846337">
              <w:rPr>
                <w:rFonts w:asciiTheme="majorBidi" w:eastAsia="Times New Roman" w:hAnsiTheme="majorBidi" w:cstheme="majorBidi"/>
                <w:b/>
                <w:bCs/>
                <w:sz w:val="20"/>
                <w:szCs w:val="20"/>
              </w:rPr>
              <w:t xml:space="preserve"> %)</w:t>
            </w:r>
          </w:p>
        </w:tc>
        <w:tc>
          <w:tcPr>
            <w:tcW w:w="1350" w:type="dxa"/>
            <w:vAlign w:val="center"/>
          </w:tcPr>
          <w:p w14:paraId="60C8BD2B" w14:textId="77777777"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tl/>
              </w:rPr>
            </w:pPr>
            <w:r w:rsidRPr="00846337">
              <w:rPr>
                <w:rFonts w:asciiTheme="majorBidi" w:eastAsia="Times New Roman" w:hAnsiTheme="majorBidi" w:cstheme="majorBidi"/>
                <w:b/>
                <w:bCs/>
                <w:sz w:val="20"/>
                <w:szCs w:val="20"/>
              </w:rPr>
              <w:t>Mean positron MeV</w:t>
            </w:r>
          </w:p>
          <w:p w14:paraId="06BA92F5" w14:textId="69472C4B" w:rsidR="00F30F38" w:rsidRPr="00846337" w:rsidRDefault="00F30F38"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β</w:t>
            </w:r>
            <w:r w:rsidR="006C293A" w:rsidRPr="00846337">
              <w:rPr>
                <w:rFonts w:asciiTheme="majorBidi" w:eastAsia="Times New Roman" w:hAnsiTheme="majorBidi" w:cstheme="majorBidi"/>
                <w:b/>
                <w:bCs/>
                <w:sz w:val="20"/>
                <w:szCs w:val="20"/>
              </w:rPr>
              <w:t>⁺</w:t>
            </w:r>
            <w:r w:rsidR="006C293A" w:rsidRPr="00846337">
              <w:rPr>
                <w:rFonts w:asciiTheme="majorBidi" w:eastAsia="Times New Roman" w:hAnsiTheme="majorBidi" w:cstheme="majorBidi" w:hint="cs"/>
                <w:b/>
                <w:bCs/>
                <w:sz w:val="20"/>
                <w:szCs w:val="20"/>
                <w:rtl/>
              </w:rPr>
              <w:t>)</w:t>
            </w:r>
            <w:r w:rsidR="006C293A" w:rsidRPr="00846337">
              <w:rPr>
                <w:rFonts w:asciiTheme="majorBidi" w:eastAsia="Times New Roman" w:hAnsiTheme="majorBidi" w:cstheme="majorBidi"/>
                <w:b/>
                <w:bCs/>
                <w:sz w:val="20"/>
                <w:szCs w:val="20"/>
              </w:rPr>
              <w:t xml:space="preserve"> %)</w:t>
            </w:r>
          </w:p>
        </w:tc>
        <w:tc>
          <w:tcPr>
            <w:tcW w:w="990" w:type="dxa"/>
            <w:vAlign w:val="center"/>
          </w:tcPr>
          <w:p w14:paraId="7444B9D4" w14:textId="77777777"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Max positron</w:t>
            </w:r>
          </w:p>
          <w:p w14:paraId="3EA47C1F" w14:textId="2BEECD69" w:rsidR="003A4BB2" w:rsidRPr="00846337" w:rsidRDefault="000C11FB" w:rsidP="00E42461">
            <w:pPr>
              <w:spacing w:before="100" w:beforeAutospacing="1" w:after="100" w:afterAutospacing="1"/>
              <w:jc w:val="center"/>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w:t>
            </w:r>
            <w:r w:rsidR="003A4BB2" w:rsidRPr="00846337">
              <w:rPr>
                <w:rFonts w:asciiTheme="majorBidi" w:eastAsia="Times New Roman" w:hAnsiTheme="majorBidi" w:cstheme="majorBidi"/>
                <w:b/>
                <w:bCs/>
                <w:sz w:val="20"/>
                <w:szCs w:val="20"/>
              </w:rPr>
              <w:t>MeV</w:t>
            </w:r>
            <w:r>
              <w:rPr>
                <w:rFonts w:asciiTheme="majorBidi" w:eastAsia="Times New Roman" w:hAnsiTheme="majorBidi" w:cstheme="majorBidi"/>
                <w:b/>
                <w:bCs/>
                <w:sz w:val="20"/>
                <w:szCs w:val="20"/>
              </w:rPr>
              <w:t>)</w:t>
            </w:r>
          </w:p>
        </w:tc>
        <w:tc>
          <w:tcPr>
            <w:tcW w:w="1440" w:type="dxa"/>
            <w:vAlign w:val="center"/>
          </w:tcPr>
          <w:p w14:paraId="001D3613" w14:textId="4B3B1F22" w:rsidR="00E42461"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eastAsia="Times New Roman" w:hAnsiTheme="majorBidi" w:cstheme="majorBidi"/>
                <w:b/>
                <w:bCs/>
                <w:sz w:val="20"/>
                <w:szCs w:val="20"/>
              </w:rPr>
              <w:t>Gamma Energy</w:t>
            </w:r>
            <w:r w:rsidR="00800A62" w:rsidRPr="00846337">
              <w:rPr>
                <w:rFonts w:asciiTheme="majorBidi" w:eastAsia="Times New Roman" w:hAnsiTheme="majorBidi" w:cstheme="majorBidi"/>
                <w:b/>
                <w:bCs/>
                <w:sz w:val="20"/>
                <w:szCs w:val="20"/>
              </w:rPr>
              <w:t xml:space="preserve"> keV</w:t>
            </w:r>
          </w:p>
          <w:p w14:paraId="63832A4B" w14:textId="7DBE1449" w:rsidR="003A4BB2" w:rsidRPr="00846337" w:rsidRDefault="00E42461" w:rsidP="00E42461">
            <w:pPr>
              <w:spacing w:before="100" w:beforeAutospacing="1" w:after="100" w:afterAutospacing="1"/>
              <w:jc w:val="center"/>
              <w:outlineLvl w:val="2"/>
              <w:rPr>
                <w:rFonts w:asciiTheme="majorBidi" w:eastAsia="Times New Roman" w:hAnsiTheme="majorBidi" w:cstheme="majorBidi"/>
                <w:b/>
                <w:bCs/>
                <w:sz w:val="20"/>
                <w:szCs w:val="20"/>
              </w:rPr>
            </w:pPr>
            <w:r w:rsidRPr="00846337">
              <w:rPr>
                <w:rFonts w:asciiTheme="majorBidi" w:hAnsiTheme="majorBidi" w:cstheme="majorBidi"/>
                <w:sz w:val="20"/>
                <w:szCs w:val="20"/>
              </w:rPr>
              <w:t xml:space="preserve"> (</w:t>
            </w:r>
            <w:r w:rsidRPr="00846337">
              <w:rPr>
                <w:rFonts w:asciiTheme="majorBidi" w:eastAsia="Times New Roman" w:hAnsiTheme="majorBidi" w:cstheme="majorBidi"/>
                <w:b/>
                <w:bCs/>
                <w:sz w:val="20"/>
                <w:szCs w:val="20"/>
              </w:rPr>
              <w:t>annihilation)</w:t>
            </w:r>
          </w:p>
          <w:p w14:paraId="473A972A" w14:textId="5BADDB20"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p>
        </w:tc>
        <w:tc>
          <w:tcPr>
            <w:tcW w:w="2245" w:type="dxa"/>
            <w:vAlign w:val="center"/>
          </w:tcPr>
          <w:p w14:paraId="2DC6014C" w14:textId="07BC8270" w:rsidR="003A4BB2" w:rsidRPr="00846337" w:rsidRDefault="003A4BB2" w:rsidP="00E42461">
            <w:pPr>
              <w:spacing w:before="100" w:beforeAutospacing="1" w:after="100" w:afterAutospacing="1"/>
              <w:jc w:val="center"/>
              <w:outlineLvl w:val="2"/>
              <w:rPr>
                <w:rFonts w:asciiTheme="majorBidi" w:eastAsia="Times New Roman" w:hAnsiTheme="majorBidi" w:cstheme="majorBidi"/>
                <w:b/>
                <w:bCs/>
                <w:sz w:val="20"/>
                <w:szCs w:val="20"/>
              </w:rPr>
            </w:pPr>
            <w:r w:rsidRPr="00212741">
              <w:rPr>
                <w:rFonts w:asciiTheme="majorBidi" w:eastAsia="Times New Roman" w:hAnsiTheme="majorBidi" w:cstheme="majorBidi"/>
                <w:b/>
                <w:bCs/>
                <w:sz w:val="20"/>
                <w:szCs w:val="20"/>
              </w:rPr>
              <w:t>Gamma Ray Constant</w:t>
            </w:r>
            <w:r w:rsidRPr="00846337">
              <w:rPr>
                <w:rFonts w:asciiTheme="majorBidi" w:eastAsia="Times New Roman" w:hAnsiTheme="majorBidi" w:cstheme="majorBidi"/>
                <w:sz w:val="20"/>
                <w:szCs w:val="20"/>
              </w:rPr>
              <w:t xml:space="preserve"> </w:t>
            </w:r>
            <w:r w:rsidRPr="00846337">
              <w:rPr>
                <w:rFonts w:asciiTheme="majorBidi" w:eastAsia="Times New Roman" w:hAnsiTheme="majorBidi" w:cstheme="majorBidi"/>
                <w:b/>
                <w:bCs/>
                <w:sz w:val="20"/>
                <w:szCs w:val="20"/>
              </w:rPr>
              <w:t>(mSv·m²/</w:t>
            </w:r>
            <w:proofErr w:type="spellStart"/>
            <w:r w:rsidRPr="00846337">
              <w:rPr>
                <w:rFonts w:asciiTheme="majorBidi" w:eastAsia="Times New Roman" w:hAnsiTheme="majorBidi" w:cstheme="majorBidi"/>
                <w:b/>
                <w:bCs/>
                <w:sz w:val="20"/>
                <w:szCs w:val="20"/>
              </w:rPr>
              <w:t>h·GBq</w:t>
            </w:r>
            <w:proofErr w:type="spellEnd"/>
            <w:r w:rsidRPr="00846337">
              <w:rPr>
                <w:rFonts w:asciiTheme="majorBidi" w:eastAsia="Times New Roman" w:hAnsiTheme="majorBidi" w:cstheme="majorBidi"/>
                <w:b/>
                <w:bCs/>
                <w:sz w:val="20"/>
                <w:szCs w:val="20"/>
              </w:rPr>
              <w:t xml:space="preserve"> at 1 m)</w:t>
            </w:r>
          </w:p>
        </w:tc>
      </w:tr>
      <w:tr w:rsidR="00E42461" w:rsidRPr="00587DFD" w14:paraId="436726BF" w14:textId="77777777" w:rsidTr="000C11FB">
        <w:trPr>
          <w:jc w:val="center"/>
        </w:trPr>
        <w:tc>
          <w:tcPr>
            <w:tcW w:w="1057" w:type="dxa"/>
            <w:vAlign w:val="center"/>
          </w:tcPr>
          <w:p w14:paraId="607EC755" w14:textId="5A1A0053"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F-18</w:t>
            </w:r>
          </w:p>
        </w:tc>
        <w:tc>
          <w:tcPr>
            <w:tcW w:w="1098" w:type="dxa"/>
            <w:vAlign w:val="center"/>
          </w:tcPr>
          <w:p w14:paraId="7AB1E802" w14:textId="67D83E88"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109.8</w:t>
            </w:r>
            <w:r w:rsidR="00734DD4">
              <w:rPr>
                <w:rFonts w:asciiTheme="majorBidi" w:eastAsia="Times New Roman" w:hAnsiTheme="majorBidi" w:cstheme="majorBidi"/>
                <w:sz w:val="24"/>
                <w:szCs w:val="24"/>
              </w:rPr>
              <w:t>0</w:t>
            </w:r>
          </w:p>
        </w:tc>
        <w:tc>
          <w:tcPr>
            <w:tcW w:w="1170" w:type="dxa"/>
            <w:vAlign w:val="center"/>
          </w:tcPr>
          <w:p w14:paraId="161E96A8" w14:textId="5C228900"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 xml:space="preserve"> </w:t>
            </w:r>
            <w:r w:rsidR="005D70E5">
              <w:rPr>
                <w:rFonts w:asciiTheme="majorBidi" w:eastAsia="Times New Roman" w:hAnsiTheme="majorBidi" w:cstheme="majorBidi"/>
                <w:sz w:val="24"/>
                <w:szCs w:val="24"/>
              </w:rPr>
              <w:t>0</w:t>
            </w:r>
            <w:r w:rsidRPr="00587DFD">
              <w:rPr>
                <w:rFonts w:asciiTheme="majorBidi" w:eastAsia="Times New Roman" w:hAnsiTheme="majorBidi" w:cstheme="majorBidi"/>
                <w:sz w:val="24"/>
                <w:szCs w:val="24"/>
              </w:rPr>
              <w:t>97</w:t>
            </w:r>
          </w:p>
        </w:tc>
        <w:tc>
          <w:tcPr>
            <w:tcW w:w="1350" w:type="dxa"/>
            <w:vAlign w:val="center"/>
          </w:tcPr>
          <w:p w14:paraId="2E865D4F" w14:textId="415FFEA1" w:rsidR="003A4BB2" w:rsidRPr="00587DFD" w:rsidRDefault="005D70E5"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97</w:t>
            </w:r>
          </w:p>
        </w:tc>
        <w:tc>
          <w:tcPr>
            <w:tcW w:w="990" w:type="dxa"/>
            <w:vAlign w:val="center"/>
          </w:tcPr>
          <w:p w14:paraId="73B674F7" w14:textId="51BA4A3C"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0.635</w:t>
            </w:r>
          </w:p>
        </w:tc>
        <w:tc>
          <w:tcPr>
            <w:tcW w:w="1440" w:type="dxa"/>
            <w:vAlign w:val="center"/>
          </w:tcPr>
          <w:p w14:paraId="39B21CB2" w14:textId="0D4E791E"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34DD4">
              <w:rPr>
                <w:rFonts w:asciiTheme="majorBidi" w:eastAsia="Times New Roman" w:hAnsiTheme="majorBidi" w:cstheme="majorBidi"/>
                <w:sz w:val="24"/>
                <w:szCs w:val="24"/>
              </w:rPr>
              <w:t>.000</w:t>
            </w:r>
            <w:r w:rsidRPr="00587DFD">
              <w:rPr>
                <w:rFonts w:asciiTheme="majorBidi" w:eastAsia="Times New Roman" w:hAnsiTheme="majorBidi" w:cstheme="majorBidi"/>
                <w:sz w:val="24"/>
                <w:szCs w:val="24"/>
              </w:rPr>
              <w:t xml:space="preserve"> </w:t>
            </w:r>
          </w:p>
        </w:tc>
        <w:tc>
          <w:tcPr>
            <w:tcW w:w="2245" w:type="dxa"/>
            <w:vAlign w:val="center"/>
          </w:tcPr>
          <w:p w14:paraId="0103A0F9" w14:textId="7E88D094"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0.142</w:t>
            </w:r>
          </w:p>
        </w:tc>
      </w:tr>
      <w:tr w:rsidR="00560EC6" w:rsidRPr="00587DFD" w14:paraId="6DEE0E0B" w14:textId="77777777" w:rsidTr="000C11FB">
        <w:trPr>
          <w:jc w:val="center"/>
        </w:trPr>
        <w:tc>
          <w:tcPr>
            <w:tcW w:w="1057" w:type="dxa"/>
            <w:vAlign w:val="center"/>
          </w:tcPr>
          <w:p w14:paraId="67463C2B" w14:textId="292E9292"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C-11</w:t>
            </w:r>
          </w:p>
        </w:tc>
        <w:tc>
          <w:tcPr>
            <w:tcW w:w="1098" w:type="dxa"/>
            <w:vAlign w:val="center"/>
          </w:tcPr>
          <w:p w14:paraId="0C7F39DB" w14:textId="6DE3C8F6" w:rsidR="003A4BB2" w:rsidRPr="00587DFD" w:rsidRDefault="00734DD4"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20.4</w:t>
            </w: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 xml:space="preserve"> </w:t>
            </w:r>
          </w:p>
        </w:tc>
        <w:tc>
          <w:tcPr>
            <w:tcW w:w="1170" w:type="dxa"/>
            <w:vAlign w:val="center"/>
          </w:tcPr>
          <w:p w14:paraId="07DB402F" w14:textId="2187F05F"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1350" w:type="dxa"/>
            <w:vAlign w:val="center"/>
          </w:tcPr>
          <w:p w14:paraId="0139F257" w14:textId="26BFAB6D"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990" w:type="dxa"/>
            <w:vAlign w:val="center"/>
          </w:tcPr>
          <w:p w14:paraId="2712ADFA" w14:textId="133E0336"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0.960</w:t>
            </w:r>
          </w:p>
        </w:tc>
        <w:tc>
          <w:tcPr>
            <w:tcW w:w="1440" w:type="dxa"/>
            <w:vAlign w:val="center"/>
          </w:tcPr>
          <w:p w14:paraId="12A91668" w14:textId="611DC891"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34DD4">
              <w:rPr>
                <w:rFonts w:asciiTheme="majorBidi" w:eastAsia="Times New Roman" w:hAnsiTheme="majorBidi" w:cstheme="majorBidi"/>
                <w:sz w:val="24"/>
                <w:szCs w:val="24"/>
              </w:rPr>
              <w:t>.000</w:t>
            </w:r>
          </w:p>
        </w:tc>
        <w:tc>
          <w:tcPr>
            <w:tcW w:w="2245" w:type="dxa"/>
            <w:vAlign w:val="center"/>
          </w:tcPr>
          <w:p w14:paraId="7BCD56CD" w14:textId="62314C90"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0.34</w:t>
            </w:r>
            <w:r w:rsidR="00734DD4">
              <w:rPr>
                <w:rFonts w:asciiTheme="majorBidi" w:eastAsia="Times New Roman" w:hAnsiTheme="majorBidi" w:cstheme="majorBidi"/>
                <w:sz w:val="24"/>
                <w:szCs w:val="24"/>
              </w:rPr>
              <w:t>0</w:t>
            </w:r>
          </w:p>
        </w:tc>
      </w:tr>
      <w:tr w:rsidR="00560EC6" w:rsidRPr="00587DFD" w14:paraId="7B651588" w14:textId="77777777" w:rsidTr="000C11FB">
        <w:trPr>
          <w:jc w:val="center"/>
        </w:trPr>
        <w:tc>
          <w:tcPr>
            <w:tcW w:w="1057" w:type="dxa"/>
            <w:vAlign w:val="center"/>
          </w:tcPr>
          <w:p w14:paraId="609DA1E6" w14:textId="40C8FFAF"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N-13</w:t>
            </w:r>
          </w:p>
        </w:tc>
        <w:tc>
          <w:tcPr>
            <w:tcW w:w="1098" w:type="dxa"/>
            <w:vAlign w:val="center"/>
          </w:tcPr>
          <w:p w14:paraId="1A58CF98" w14:textId="2646098E" w:rsidR="003A4BB2" w:rsidRPr="00587DFD" w:rsidRDefault="00734DD4"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00</w:t>
            </w:r>
            <w:r w:rsidR="003A4BB2" w:rsidRPr="00587DFD">
              <w:rPr>
                <w:rFonts w:asciiTheme="majorBidi" w:eastAsia="Times New Roman" w:hAnsiTheme="majorBidi" w:cstheme="majorBidi"/>
                <w:sz w:val="24"/>
                <w:szCs w:val="24"/>
              </w:rPr>
              <w:t xml:space="preserve">9.97 </w:t>
            </w:r>
          </w:p>
        </w:tc>
        <w:tc>
          <w:tcPr>
            <w:tcW w:w="1170" w:type="dxa"/>
            <w:vAlign w:val="center"/>
          </w:tcPr>
          <w:p w14:paraId="5C20C84B" w14:textId="38A2420F"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1350" w:type="dxa"/>
            <w:vAlign w:val="center"/>
          </w:tcPr>
          <w:p w14:paraId="70B0C96C" w14:textId="4A712740"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990" w:type="dxa"/>
            <w:vAlign w:val="center"/>
          </w:tcPr>
          <w:p w14:paraId="492C2ED1" w14:textId="4D0DEB15"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1.199</w:t>
            </w:r>
          </w:p>
        </w:tc>
        <w:tc>
          <w:tcPr>
            <w:tcW w:w="1440" w:type="dxa"/>
            <w:vAlign w:val="center"/>
          </w:tcPr>
          <w:p w14:paraId="3F0CE80F" w14:textId="26F3B048"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34DD4">
              <w:rPr>
                <w:rFonts w:asciiTheme="majorBidi" w:eastAsia="Times New Roman" w:hAnsiTheme="majorBidi" w:cstheme="majorBidi"/>
                <w:sz w:val="24"/>
                <w:szCs w:val="24"/>
              </w:rPr>
              <w:t>.000</w:t>
            </w:r>
          </w:p>
        </w:tc>
        <w:tc>
          <w:tcPr>
            <w:tcW w:w="2245" w:type="dxa"/>
            <w:vAlign w:val="center"/>
          </w:tcPr>
          <w:p w14:paraId="6D2F6302" w14:textId="18531E4F"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0.60</w:t>
            </w:r>
            <w:r w:rsidR="00734DD4">
              <w:rPr>
                <w:rFonts w:asciiTheme="majorBidi" w:eastAsia="Times New Roman" w:hAnsiTheme="majorBidi" w:cstheme="majorBidi"/>
                <w:sz w:val="24"/>
                <w:szCs w:val="24"/>
              </w:rPr>
              <w:t>0</w:t>
            </w:r>
          </w:p>
        </w:tc>
      </w:tr>
      <w:tr w:rsidR="00560EC6" w:rsidRPr="00587DFD" w14:paraId="7110AC2C" w14:textId="77777777" w:rsidTr="000C11FB">
        <w:trPr>
          <w:jc w:val="center"/>
        </w:trPr>
        <w:tc>
          <w:tcPr>
            <w:tcW w:w="1057" w:type="dxa"/>
            <w:vAlign w:val="center"/>
          </w:tcPr>
          <w:p w14:paraId="6FF80694" w14:textId="4514B622"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O-15</w:t>
            </w:r>
          </w:p>
        </w:tc>
        <w:tc>
          <w:tcPr>
            <w:tcW w:w="1098" w:type="dxa"/>
            <w:vAlign w:val="center"/>
          </w:tcPr>
          <w:p w14:paraId="1921457E" w14:textId="793D5E95" w:rsidR="003A4BB2" w:rsidRPr="00587DFD" w:rsidRDefault="00734DD4"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00</w:t>
            </w:r>
            <w:r w:rsidR="00721209" w:rsidRPr="00587DFD">
              <w:rPr>
                <w:rFonts w:asciiTheme="majorBidi" w:eastAsia="Times New Roman" w:hAnsiTheme="majorBidi" w:cstheme="majorBidi"/>
                <w:sz w:val="24"/>
                <w:szCs w:val="24"/>
              </w:rPr>
              <w:t>2.0</w:t>
            </w:r>
            <w:r>
              <w:rPr>
                <w:rFonts w:asciiTheme="majorBidi" w:eastAsia="Times New Roman" w:hAnsiTheme="majorBidi" w:cstheme="majorBidi"/>
                <w:sz w:val="24"/>
                <w:szCs w:val="24"/>
              </w:rPr>
              <w:t>0</w:t>
            </w:r>
            <w:r w:rsidR="00721209" w:rsidRPr="00587DFD">
              <w:rPr>
                <w:rFonts w:asciiTheme="majorBidi" w:eastAsia="Times New Roman" w:hAnsiTheme="majorBidi" w:cstheme="majorBidi"/>
                <w:sz w:val="24"/>
                <w:szCs w:val="24"/>
              </w:rPr>
              <w:t xml:space="preserve"> </w:t>
            </w:r>
          </w:p>
        </w:tc>
        <w:tc>
          <w:tcPr>
            <w:tcW w:w="1170" w:type="dxa"/>
            <w:vAlign w:val="center"/>
          </w:tcPr>
          <w:p w14:paraId="2C73B1A4" w14:textId="2BCBE22E"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1350" w:type="dxa"/>
            <w:vAlign w:val="center"/>
          </w:tcPr>
          <w:p w14:paraId="6D72A343" w14:textId="5CA2CFE6"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100</w:t>
            </w:r>
          </w:p>
        </w:tc>
        <w:tc>
          <w:tcPr>
            <w:tcW w:w="990" w:type="dxa"/>
            <w:vAlign w:val="center"/>
          </w:tcPr>
          <w:p w14:paraId="61EE3481" w14:textId="2A0074E0"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1.732</w:t>
            </w:r>
          </w:p>
        </w:tc>
        <w:tc>
          <w:tcPr>
            <w:tcW w:w="1440" w:type="dxa"/>
            <w:vAlign w:val="center"/>
          </w:tcPr>
          <w:p w14:paraId="0A6119C0" w14:textId="57C560B9"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34DD4">
              <w:rPr>
                <w:rFonts w:asciiTheme="majorBidi" w:eastAsia="Times New Roman" w:hAnsiTheme="majorBidi" w:cstheme="majorBidi"/>
                <w:sz w:val="24"/>
                <w:szCs w:val="24"/>
              </w:rPr>
              <w:t>.000</w:t>
            </w:r>
          </w:p>
        </w:tc>
        <w:tc>
          <w:tcPr>
            <w:tcW w:w="2245" w:type="dxa"/>
            <w:vAlign w:val="center"/>
          </w:tcPr>
          <w:p w14:paraId="4A2588E8" w14:textId="47BE890D"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0.97</w:t>
            </w:r>
            <w:r w:rsidR="00734DD4">
              <w:rPr>
                <w:rFonts w:asciiTheme="majorBidi" w:eastAsia="Times New Roman" w:hAnsiTheme="majorBidi" w:cstheme="majorBidi"/>
                <w:sz w:val="24"/>
                <w:szCs w:val="24"/>
              </w:rPr>
              <w:t>0</w:t>
            </w:r>
          </w:p>
        </w:tc>
      </w:tr>
      <w:tr w:rsidR="00560EC6" w:rsidRPr="00587DFD" w14:paraId="31836F22" w14:textId="77777777" w:rsidTr="000C11FB">
        <w:trPr>
          <w:jc w:val="center"/>
        </w:trPr>
        <w:tc>
          <w:tcPr>
            <w:tcW w:w="1057" w:type="dxa"/>
            <w:vAlign w:val="center"/>
          </w:tcPr>
          <w:p w14:paraId="27AA1457" w14:textId="6B4B834D"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Ga-68</w:t>
            </w:r>
          </w:p>
        </w:tc>
        <w:tc>
          <w:tcPr>
            <w:tcW w:w="1098" w:type="dxa"/>
            <w:vAlign w:val="center"/>
          </w:tcPr>
          <w:p w14:paraId="42DB06ED" w14:textId="57635BF8" w:rsidR="003A4BB2" w:rsidRPr="00587DFD" w:rsidRDefault="00734DD4"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67.7</w:t>
            </w: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 xml:space="preserve"> </w:t>
            </w:r>
          </w:p>
        </w:tc>
        <w:tc>
          <w:tcPr>
            <w:tcW w:w="1170" w:type="dxa"/>
            <w:vAlign w:val="center"/>
          </w:tcPr>
          <w:p w14:paraId="67A58A36" w14:textId="33EEAF53"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 xml:space="preserve"> </w:t>
            </w:r>
            <w:r w:rsidR="005D70E5">
              <w:rPr>
                <w:rFonts w:asciiTheme="majorBidi" w:eastAsia="Times New Roman" w:hAnsiTheme="majorBidi" w:cstheme="majorBidi"/>
                <w:sz w:val="24"/>
                <w:szCs w:val="24"/>
              </w:rPr>
              <w:t>0</w:t>
            </w:r>
            <w:r w:rsidRPr="00587DFD">
              <w:rPr>
                <w:rFonts w:asciiTheme="majorBidi" w:eastAsia="Times New Roman" w:hAnsiTheme="majorBidi" w:cstheme="majorBidi"/>
                <w:sz w:val="24"/>
                <w:szCs w:val="24"/>
              </w:rPr>
              <w:t>89</w:t>
            </w:r>
          </w:p>
        </w:tc>
        <w:tc>
          <w:tcPr>
            <w:tcW w:w="1350" w:type="dxa"/>
            <w:vAlign w:val="center"/>
          </w:tcPr>
          <w:p w14:paraId="54B42AD5" w14:textId="1AB83A69" w:rsidR="003A4BB2" w:rsidRPr="00587DFD" w:rsidRDefault="005D70E5"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89</w:t>
            </w:r>
          </w:p>
        </w:tc>
        <w:tc>
          <w:tcPr>
            <w:tcW w:w="990" w:type="dxa"/>
            <w:vAlign w:val="center"/>
          </w:tcPr>
          <w:p w14:paraId="1EDC18D4" w14:textId="6E906C98"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1.899</w:t>
            </w:r>
          </w:p>
        </w:tc>
        <w:tc>
          <w:tcPr>
            <w:tcW w:w="1440" w:type="dxa"/>
            <w:vAlign w:val="center"/>
          </w:tcPr>
          <w:p w14:paraId="7CB1429F" w14:textId="487240EB"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34DD4">
              <w:rPr>
                <w:rFonts w:asciiTheme="majorBidi" w:eastAsia="Times New Roman" w:hAnsiTheme="majorBidi" w:cstheme="majorBidi"/>
                <w:sz w:val="24"/>
                <w:szCs w:val="24"/>
              </w:rPr>
              <w:t>.000</w:t>
            </w:r>
          </w:p>
        </w:tc>
        <w:tc>
          <w:tcPr>
            <w:tcW w:w="2245" w:type="dxa"/>
            <w:vAlign w:val="center"/>
          </w:tcPr>
          <w:p w14:paraId="3755C426" w14:textId="739C9515"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0.67</w:t>
            </w:r>
            <w:r w:rsidR="00734DD4">
              <w:rPr>
                <w:rFonts w:asciiTheme="majorBidi" w:eastAsia="Times New Roman" w:hAnsiTheme="majorBidi" w:cstheme="majorBidi"/>
                <w:sz w:val="24"/>
                <w:szCs w:val="24"/>
              </w:rPr>
              <w:t>0</w:t>
            </w:r>
          </w:p>
        </w:tc>
      </w:tr>
      <w:tr w:rsidR="00560EC6" w:rsidRPr="00587DFD" w14:paraId="4B61EC15" w14:textId="77777777" w:rsidTr="000C11FB">
        <w:trPr>
          <w:jc w:val="center"/>
        </w:trPr>
        <w:tc>
          <w:tcPr>
            <w:tcW w:w="1057" w:type="dxa"/>
            <w:vAlign w:val="center"/>
          </w:tcPr>
          <w:p w14:paraId="1A4B2F04" w14:textId="4D9B0539"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Rb-82</w:t>
            </w:r>
          </w:p>
        </w:tc>
        <w:tc>
          <w:tcPr>
            <w:tcW w:w="1098" w:type="dxa"/>
            <w:vAlign w:val="center"/>
          </w:tcPr>
          <w:p w14:paraId="515760C1" w14:textId="46BCB873" w:rsidR="003A4BB2" w:rsidRPr="00587DFD" w:rsidRDefault="00734DD4"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001.15</w:t>
            </w:r>
            <w:r w:rsidR="003A4BB2" w:rsidRPr="00587DFD">
              <w:rPr>
                <w:rFonts w:asciiTheme="majorBidi" w:eastAsia="Times New Roman" w:hAnsiTheme="majorBidi" w:cstheme="majorBidi"/>
                <w:sz w:val="24"/>
                <w:szCs w:val="24"/>
              </w:rPr>
              <w:t xml:space="preserve"> </w:t>
            </w:r>
          </w:p>
        </w:tc>
        <w:tc>
          <w:tcPr>
            <w:tcW w:w="1170" w:type="dxa"/>
            <w:vAlign w:val="center"/>
          </w:tcPr>
          <w:p w14:paraId="20279DB6" w14:textId="66C8D353" w:rsidR="003A4BB2" w:rsidRPr="00587DFD" w:rsidRDefault="005D70E5"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96</w:t>
            </w:r>
          </w:p>
        </w:tc>
        <w:tc>
          <w:tcPr>
            <w:tcW w:w="1350" w:type="dxa"/>
            <w:vAlign w:val="center"/>
          </w:tcPr>
          <w:p w14:paraId="2ADA218A" w14:textId="28A59268" w:rsidR="003A4BB2" w:rsidRPr="00587DFD" w:rsidRDefault="005D70E5" w:rsidP="00E42461">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0</w:t>
            </w:r>
            <w:r w:rsidR="003A4BB2" w:rsidRPr="00587DFD">
              <w:rPr>
                <w:rFonts w:asciiTheme="majorBidi" w:eastAsia="Times New Roman" w:hAnsiTheme="majorBidi" w:cstheme="majorBidi"/>
                <w:sz w:val="24"/>
                <w:szCs w:val="24"/>
              </w:rPr>
              <w:t>96</w:t>
            </w:r>
          </w:p>
        </w:tc>
        <w:tc>
          <w:tcPr>
            <w:tcW w:w="990" w:type="dxa"/>
            <w:vAlign w:val="center"/>
          </w:tcPr>
          <w:p w14:paraId="0D457D7C" w14:textId="72EE6576"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3.35</w:t>
            </w:r>
            <w:r w:rsidR="005D70E5">
              <w:rPr>
                <w:rFonts w:asciiTheme="majorBidi" w:eastAsia="Times New Roman" w:hAnsiTheme="majorBidi" w:cstheme="majorBidi"/>
                <w:sz w:val="24"/>
                <w:szCs w:val="24"/>
              </w:rPr>
              <w:t>0</w:t>
            </w:r>
          </w:p>
        </w:tc>
        <w:tc>
          <w:tcPr>
            <w:tcW w:w="1440" w:type="dxa"/>
            <w:vAlign w:val="center"/>
          </w:tcPr>
          <w:p w14:paraId="3DEBA310" w14:textId="0A22AEE8"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511</w:t>
            </w:r>
            <w:r w:rsidR="00721209" w:rsidRPr="00587DFD">
              <w:rPr>
                <w:rFonts w:asciiTheme="majorBidi" w:eastAsia="Times New Roman" w:hAnsiTheme="majorBidi" w:cstheme="majorBidi"/>
                <w:sz w:val="24"/>
                <w:szCs w:val="24"/>
              </w:rPr>
              <w:t>,776</w:t>
            </w:r>
          </w:p>
        </w:tc>
        <w:tc>
          <w:tcPr>
            <w:tcW w:w="2245" w:type="dxa"/>
            <w:vAlign w:val="center"/>
          </w:tcPr>
          <w:p w14:paraId="13DB6C50" w14:textId="59102CE8" w:rsidR="003A4BB2" w:rsidRPr="00587DFD" w:rsidRDefault="003A4BB2" w:rsidP="00E42461">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sz w:val="24"/>
                <w:szCs w:val="24"/>
              </w:rPr>
              <w:t>1.26</w:t>
            </w:r>
            <w:r w:rsidR="00734DD4">
              <w:rPr>
                <w:rFonts w:asciiTheme="majorBidi" w:eastAsia="Times New Roman" w:hAnsiTheme="majorBidi" w:cstheme="majorBidi"/>
                <w:sz w:val="24"/>
                <w:szCs w:val="24"/>
              </w:rPr>
              <w:t>0</w:t>
            </w:r>
          </w:p>
        </w:tc>
      </w:tr>
    </w:tbl>
    <w:p w14:paraId="35A247B6" w14:textId="77777777" w:rsidR="008D2722" w:rsidRDefault="008D2722" w:rsidP="004D12E9">
      <w:pPr>
        <w:spacing w:after="0" w:line="240" w:lineRule="auto"/>
        <w:jc w:val="both"/>
        <w:rPr>
          <w:rFonts w:ascii="Times New Roman" w:eastAsia="Times New Roman" w:hAnsi="Times New Roman" w:cs="Times New Roman"/>
          <w:b/>
          <w:bCs/>
          <w:sz w:val="24"/>
          <w:szCs w:val="24"/>
        </w:rPr>
      </w:pPr>
    </w:p>
    <w:p w14:paraId="035114AE"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19089667"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0CB822CB"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2E0BBA1A"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000E8637"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4C7615EF"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182A74B5"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3E8227FC"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44FEC1AB" w14:textId="77777777" w:rsidR="00C80068" w:rsidRDefault="00C80068" w:rsidP="004D12E9">
      <w:pPr>
        <w:spacing w:after="0" w:line="240" w:lineRule="auto"/>
        <w:jc w:val="both"/>
        <w:rPr>
          <w:rFonts w:ascii="Times New Roman" w:eastAsia="Times New Roman" w:hAnsi="Times New Roman" w:cs="Times New Roman"/>
          <w:b/>
          <w:bCs/>
          <w:sz w:val="24"/>
          <w:szCs w:val="24"/>
          <w:rtl/>
        </w:rPr>
      </w:pPr>
    </w:p>
    <w:p w14:paraId="29DFA9D7" w14:textId="2244D07B" w:rsidR="0007211E" w:rsidRPr="0007211E" w:rsidRDefault="0007211E" w:rsidP="004D12E9">
      <w:pPr>
        <w:spacing w:after="0" w:line="240" w:lineRule="auto"/>
        <w:jc w:val="both"/>
        <w:rPr>
          <w:rFonts w:ascii="Times New Roman" w:eastAsia="Times New Roman" w:hAnsi="Times New Roman" w:cs="Times New Roman"/>
          <w:b/>
          <w:bCs/>
          <w:sz w:val="24"/>
          <w:szCs w:val="24"/>
        </w:rPr>
      </w:pPr>
      <w:r w:rsidRPr="0007211E">
        <w:rPr>
          <w:rFonts w:ascii="Times New Roman" w:eastAsia="Times New Roman" w:hAnsi="Times New Roman" w:cs="Times New Roman"/>
          <w:b/>
          <w:bCs/>
          <w:sz w:val="24"/>
          <w:szCs w:val="24"/>
        </w:rPr>
        <w:t>Broad-Beam Transmission Data</w:t>
      </w:r>
    </w:p>
    <w:p w14:paraId="04837034" w14:textId="1F338D87" w:rsidR="0007211E" w:rsidRDefault="0007211E" w:rsidP="00B702DC">
      <w:pPr>
        <w:spacing w:after="0" w:line="240" w:lineRule="auto"/>
        <w:jc w:val="both"/>
        <w:rPr>
          <w:rFonts w:ascii="Times New Roman" w:eastAsia="Times New Roman" w:hAnsi="Times New Roman" w:cs="Times New Roman"/>
          <w:sz w:val="24"/>
          <w:szCs w:val="24"/>
          <w:rtl/>
        </w:rPr>
      </w:pPr>
      <w:r w:rsidRPr="0007211E">
        <w:rPr>
          <w:rFonts w:ascii="Times New Roman" w:eastAsia="Times New Roman" w:hAnsi="Times New Roman" w:cs="Times New Roman"/>
          <w:sz w:val="24"/>
          <w:szCs w:val="24"/>
        </w:rPr>
        <w:t>Lead thicknesses are expressed in millimeters due to its high density, whereas iron and concrete thicknesses are expressed in centimeters, consistent with standard PET shielding practice (AAPM TG-108).</w:t>
      </w:r>
    </w:p>
    <w:p w14:paraId="6738110E" w14:textId="4977B556" w:rsidR="0007211E" w:rsidRDefault="0007211E" w:rsidP="0007211E">
      <w:pPr>
        <w:spacing w:after="0" w:line="240" w:lineRule="auto"/>
        <w:jc w:val="both"/>
        <w:rPr>
          <w:rFonts w:ascii="Times New Roman" w:eastAsia="Times New Roman" w:hAnsi="Times New Roman" w:cs="Times New Roman"/>
          <w:sz w:val="24"/>
          <w:szCs w:val="24"/>
        </w:rPr>
      </w:pPr>
    </w:p>
    <w:p w14:paraId="107485A7" w14:textId="725FB93C" w:rsidR="00044F36" w:rsidRPr="0007211E" w:rsidRDefault="00044F36" w:rsidP="0007211E">
      <w:pPr>
        <w:spacing w:after="0" w:line="240" w:lineRule="auto"/>
        <w:jc w:val="both"/>
        <w:rPr>
          <w:rFonts w:ascii="Times New Roman" w:eastAsia="Times New Roman" w:hAnsi="Times New Roman" w:cs="Times New Roman"/>
          <w:sz w:val="24"/>
          <w:szCs w:val="24"/>
        </w:rPr>
      </w:pPr>
      <w:r w:rsidRPr="00044F36">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 xml:space="preserve">. </w:t>
      </w:r>
      <w:r w:rsidRPr="00044F36">
        <w:rPr>
          <w:rFonts w:ascii="Times New Roman" w:eastAsia="Times New Roman" w:hAnsi="Times New Roman" w:cs="Times New Roman"/>
          <w:sz w:val="24"/>
          <w:szCs w:val="24"/>
        </w:rPr>
        <w:t>Broad-beam transmission factors at 511 keV are summarized in Table 2 for lead (mm), iron (cm), and concrete (cm).</w:t>
      </w:r>
    </w:p>
    <w:tbl>
      <w:tblPr>
        <w:tblStyle w:val="TableGrid"/>
        <w:tblW w:w="0" w:type="auto"/>
        <w:jc w:val="center"/>
        <w:tblLook w:val="04A0" w:firstRow="1" w:lastRow="0" w:firstColumn="1" w:lastColumn="0" w:noHBand="0" w:noVBand="1"/>
      </w:tblPr>
      <w:tblGrid>
        <w:gridCol w:w="1244"/>
        <w:gridCol w:w="1346"/>
        <w:gridCol w:w="1455"/>
        <w:gridCol w:w="1279"/>
      </w:tblGrid>
      <w:tr w:rsidR="00670DDB" w:rsidRPr="00212741" w14:paraId="64D69F52" w14:textId="77777777" w:rsidTr="00734DD4">
        <w:trPr>
          <w:trHeight w:val="158"/>
          <w:jc w:val="center"/>
        </w:trPr>
        <w:tc>
          <w:tcPr>
            <w:tcW w:w="1244" w:type="dxa"/>
            <w:vMerge w:val="restart"/>
          </w:tcPr>
          <w:p w14:paraId="29DFB4C6" w14:textId="057231F1" w:rsidR="00670DDB" w:rsidRPr="00212741" w:rsidRDefault="00670DDB" w:rsidP="00782AAE">
            <w:pPr>
              <w:spacing w:before="100" w:beforeAutospacing="1" w:after="100" w:afterAutospacing="1"/>
              <w:outlineLvl w:val="2"/>
              <w:rPr>
                <w:rFonts w:asciiTheme="majorBidi" w:eastAsia="Times New Roman" w:hAnsiTheme="majorBidi" w:cstheme="majorBidi"/>
                <w:b/>
                <w:bCs/>
              </w:rPr>
            </w:pPr>
            <w:r w:rsidRPr="00212741">
              <w:rPr>
                <w:rFonts w:asciiTheme="majorBidi" w:eastAsia="Times New Roman" w:hAnsiTheme="majorBidi" w:cstheme="majorBidi"/>
                <w:b/>
                <w:bCs/>
              </w:rPr>
              <w:t>Thickness</w:t>
            </w:r>
          </w:p>
        </w:tc>
        <w:tc>
          <w:tcPr>
            <w:tcW w:w="4080" w:type="dxa"/>
            <w:gridSpan w:val="3"/>
          </w:tcPr>
          <w:p w14:paraId="4BE32A32" w14:textId="56FA037E" w:rsidR="00670DDB" w:rsidRPr="00212741" w:rsidRDefault="00670DDB" w:rsidP="00670DDB">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Transmission Factors</w:t>
            </w:r>
          </w:p>
        </w:tc>
      </w:tr>
      <w:tr w:rsidR="00670DDB" w:rsidRPr="00212741" w14:paraId="35C80080" w14:textId="77777777" w:rsidTr="00734DD4">
        <w:trPr>
          <w:trHeight w:val="157"/>
          <w:jc w:val="center"/>
        </w:trPr>
        <w:tc>
          <w:tcPr>
            <w:tcW w:w="1244" w:type="dxa"/>
            <w:vMerge/>
          </w:tcPr>
          <w:p w14:paraId="40BF14CA" w14:textId="77777777" w:rsidR="00670DDB" w:rsidRPr="00212741" w:rsidRDefault="00670DDB" w:rsidP="00782AAE">
            <w:pPr>
              <w:spacing w:before="100" w:beforeAutospacing="1" w:after="100" w:afterAutospacing="1"/>
              <w:outlineLvl w:val="2"/>
              <w:rPr>
                <w:rFonts w:asciiTheme="majorBidi" w:eastAsia="Times New Roman" w:hAnsiTheme="majorBidi" w:cstheme="majorBidi"/>
                <w:b/>
                <w:bCs/>
              </w:rPr>
            </w:pPr>
          </w:p>
        </w:tc>
        <w:tc>
          <w:tcPr>
            <w:tcW w:w="4080" w:type="dxa"/>
            <w:gridSpan w:val="3"/>
          </w:tcPr>
          <w:p w14:paraId="7D8D6E28" w14:textId="163BBEDB"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 xml:space="preserve">Lead        </w:t>
            </w:r>
            <w:r w:rsidR="00734DD4" w:rsidRPr="00212741">
              <w:rPr>
                <w:rFonts w:asciiTheme="majorBidi" w:eastAsia="Times New Roman" w:hAnsiTheme="majorBidi" w:cstheme="majorBidi"/>
                <w:b/>
                <w:bCs/>
              </w:rPr>
              <w:t xml:space="preserve">    </w:t>
            </w:r>
            <w:r w:rsidRPr="00212741">
              <w:rPr>
                <w:rFonts w:asciiTheme="majorBidi" w:eastAsia="Times New Roman" w:hAnsiTheme="majorBidi" w:cstheme="majorBidi"/>
                <w:b/>
                <w:bCs/>
              </w:rPr>
              <w:t xml:space="preserve">Concrete  </w:t>
            </w:r>
            <w:r w:rsidR="00734DD4" w:rsidRPr="00212741">
              <w:rPr>
                <w:rFonts w:asciiTheme="majorBidi" w:eastAsia="Times New Roman" w:hAnsiTheme="majorBidi" w:cstheme="majorBidi"/>
                <w:b/>
                <w:bCs/>
              </w:rPr>
              <w:t xml:space="preserve">   </w:t>
            </w:r>
            <w:r w:rsidRPr="00212741">
              <w:rPr>
                <w:rFonts w:asciiTheme="majorBidi" w:eastAsia="Times New Roman" w:hAnsiTheme="majorBidi" w:cstheme="majorBidi"/>
                <w:b/>
                <w:bCs/>
              </w:rPr>
              <w:t xml:space="preserve"> </w:t>
            </w:r>
            <w:r w:rsidR="008552DD" w:rsidRPr="00212741">
              <w:rPr>
                <w:rFonts w:asciiTheme="majorBidi" w:eastAsia="Times New Roman" w:hAnsiTheme="majorBidi" w:cstheme="majorBidi"/>
                <w:b/>
                <w:bCs/>
              </w:rPr>
              <w:t xml:space="preserve">    </w:t>
            </w:r>
            <w:r w:rsidRPr="00212741">
              <w:rPr>
                <w:rFonts w:asciiTheme="majorBidi" w:eastAsia="Times New Roman" w:hAnsiTheme="majorBidi" w:cstheme="majorBidi"/>
                <w:b/>
                <w:bCs/>
              </w:rPr>
              <w:t xml:space="preserve"> Iron</w:t>
            </w:r>
          </w:p>
        </w:tc>
      </w:tr>
      <w:tr w:rsidR="00670DDB" w:rsidRPr="00212741" w14:paraId="532EB228" w14:textId="77777777" w:rsidTr="008552DD">
        <w:trPr>
          <w:jc w:val="center"/>
        </w:trPr>
        <w:tc>
          <w:tcPr>
            <w:tcW w:w="1244" w:type="dxa"/>
          </w:tcPr>
          <w:p w14:paraId="18AB00DB" w14:textId="0D159647"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0</w:t>
            </w:r>
          </w:p>
        </w:tc>
        <w:tc>
          <w:tcPr>
            <w:tcW w:w="1346" w:type="dxa"/>
          </w:tcPr>
          <w:p w14:paraId="734C92E5" w14:textId="1078EEB9"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1.0000</w:t>
            </w:r>
          </w:p>
        </w:tc>
        <w:tc>
          <w:tcPr>
            <w:tcW w:w="1455" w:type="dxa"/>
          </w:tcPr>
          <w:p w14:paraId="5BAC4404" w14:textId="78B821BE"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1.0000</w:t>
            </w:r>
          </w:p>
        </w:tc>
        <w:tc>
          <w:tcPr>
            <w:tcW w:w="1279" w:type="dxa"/>
          </w:tcPr>
          <w:p w14:paraId="7ABA2BC9" w14:textId="0ABA7D56"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1.0000</w:t>
            </w:r>
          </w:p>
        </w:tc>
      </w:tr>
      <w:tr w:rsidR="00670DDB" w:rsidRPr="00212741" w14:paraId="7C038692" w14:textId="77777777" w:rsidTr="008552DD">
        <w:trPr>
          <w:jc w:val="center"/>
        </w:trPr>
        <w:tc>
          <w:tcPr>
            <w:tcW w:w="1244" w:type="dxa"/>
          </w:tcPr>
          <w:p w14:paraId="4175975A" w14:textId="1032D68C"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1</w:t>
            </w:r>
          </w:p>
        </w:tc>
        <w:tc>
          <w:tcPr>
            <w:tcW w:w="1346" w:type="dxa"/>
          </w:tcPr>
          <w:p w14:paraId="573C23F9" w14:textId="7982008D"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0.8912</w:t>
            </w:r>
          </w:p>
        </w:tc>
        <w:tc>
          <w:tcPr>
            <w:tcW w:w="1455" w:type="dxa"/>
          </w:tcPr>
          <w:p w14:paraId="393CDDDA" w14:textId="022F0194"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0.9583</w:t>
            </w:r>
          </w:p>
        </w:tc>
        <w:tc>
          <w:tcPr>
            <w:tcW w:w="1279" w:type="dxa"/>
          </w:tcPr>
          <w:p w14:paraId="6F17B83A" w14:textId="1F9F2BCF"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0.7484</w:t>
            </w:r>
          </w:p>
        </w:tc>
      </w:tr>
      <w:tr w:rsidR="00670DDB" w:rsidRPr="00212741" w14:paraId="349131C0" w14:textId="77777777" w:rsidTr="008552DD">
        <w:trPr>
          <w:jc w:val="center"/>
        </w:trPr>
        <w:tc>
          <w:tcPr>
            <w:tcW w:w="1244" w:type="dxa"/>
          </w:tcPr>
          <w:p w14:paraId="2E4E98D5" w14:textId="095D678B"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2</w:t>
            </w:r>
          </w:p>
        </w:tc>
        <w:tc>
          <w:tcPr>
            <w:tcW w:w="1346" w:type="dxa"/>
          </w:tcPr>
          <w:p w14:paraId="1849FEB8" w14:textId="128B532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0.7873</w:t>
            </w:r>
          </w:p>
        </w:tc>
        <w:tc>
          <w:tcPr>
            <w:tcW w:w="1455" w:type="dxa"/>
          </w:tcPr>
          <w:p w14:paraId="69BD9C6D" w14:textId="46B8EA32"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0.9088</w:t>
            </w:r>
          </w:p>
        </w:tc>
        <w:tc>
          <w:tcPr>
            <w:tcW w:w="1279" w:type="dxa"/>
          </w:tcPr>
          <w:p w14:paraId="2A26FBA8" w14:textId="3494E8B6"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0.5325</w:t>
            </w:r>
          </w:p>
        </w:tc>
      </w:tr>
      <w:tr w:rsidR="00670DDB" w:rsidRPr="00212741" w14:paraId="59F43899" w14:textId="77777777" w:rsidTr="008552DD">
        <w:trPr>
          <w:jc w:val="center"/>
        </w:trPr>
        <w:tc>
          <w:tcPr>
            <w:tcW w:w="1244" w:type="dxa"/>
          </w:tcPr>
          <w:p w14:paraId="412E64CC" w14:textId="5F59F930"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lastRenderedPageBreak/>
              <w:t>0</w:t>
            </w:r>
            <w:r w:rsidR="00670DDB" w:rsidRPr="00212741">
              <w:rPr>
                <w:rFonts w:asciiTheme="majorBidi" w:eastAsia="Times New Roman" w:hAnsiTheme="majorBidi" w:cstheme="majorBidi"/>
                <w:b/>
                <w:bCs/>
              </w:rPr>
              <w:t>3</w:t>
            </w:r>
          </w:p>
        </w:tc>
        <w:tc>
          <w:tcPr>
            <w:tcW w:w="1346" w:type="dxa"/>
          </w:tcPr>
          <w:p w14:paraId="2BDDBBFB" w14:textId="2A730D7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0.9605</w:t>
            </w:r>
          </w:p>
        </w:tc>
        <w:tc>
          <w:tcPr>
            <w:tcW w:w="1455" w:type="dxa"/>
          </w:tcPr>
          <w:p w14:paraId="748145CD" w14:textId="725D0928"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0.8519</w:t>
            </w:r>
          </w:p>
        </w:tc>
        <w:tc>
          <w:tcPr>
            <w:tcW w:w="1279" w:type="dxa"/>
          </w:tcPr>
          <w:p w14:paraId="1E5FBD77" w14:textId="0882511C"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0.3614</w:t>
            </w:r>
          </w:p>
        </w:tc>
      </w:tr>
      <w:tr w:rsidR="00670DDB" w:rsidRPr="00212741" w14:paraId="3BB4F0F7" w14:textId="77777777" w:rsidTr="008552DD">
        <w:trPr>
          <w:jc w:val="center"/>
        </w:trPr>
        <w:tc>
          <w:tcPr>
            <w:tcW w:w="1244" w:type="dxa"/>
          </w:tcPr>
          <w:p w14:paraId="092C3288" w14:textId="19B9A166"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4</w:t>
            </w:r>
          </w:p>
        </w:tc>
        <w:tc>
          <w:tcPr>
            <w:tcW w:w="1346" w:type="dxa"/>
          </w:tcPr>
          <w:p w14:paraId="7F9B42ED" w14:textId="0EBE899D"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0.6021</w:t>
            </w:r>
          </w:p>
        </w:tc>
        <w:tc>
          <w:tcPr>
            <w:tcW w:w="1455" w:type="dxa"/>
          </w:tcPr>
          <w:p w14:paraId="02636ECB" w14:textId="0D306E8B"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0.7889</w:t>
            </w:r>
          </w:p>
        </w:tc>
        <w:tc>
          <w:tcPr>
            <w:tcW w:w="1279" w:type="dxa"/>
          </w:tcPr>
          <w:p w14:paraId="3B9E1C6A" w14:textId="390B4F7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0.2353</w:t>
            </w:r>
          </w:p>
        </w:tc>
      </w:tr>
      <w:tr w:rsidR="00670DDB" w:rsidRPr="00212741" w14:paraId="7CCE7FA9" w14:textId="77777777" w:rsidTr="008552DD">
        <w:trPr>
          <w:jc w:val="center"/>
        </w:trPr>
        <w:tc>
          <w:tcPr>
            <w:tcW w:w="1244" w:type="dxa"/>
          </w:tcPr>
          <w:p w14:paraId="278D1823" w14:textId="01717C4F"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5</w:t>
            </w:r>
          </w:p>
        </w:tc>
        <w:tc>
          <w:tcPr>
            <w:tcW w:w="1346" w:type="dxa"/>
          </w:tcPr>
          <w:p w14:paraId="6AE3B979" w14:textId="6B0AA6CF"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0.5227</w:t>
            </w:r>
          </w:p>
        </w:tc>
        <w:tc>
          <w:tcPr>
            <w:tcW w:w="1455" w:type="dxa"/>
          </w:tcPr>
          <w:p w14:paraId="3D4F5117" w14:textId="69A92CEA"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0.7218</w:t>
            </w:r>
          </w:p>
        </w:tc>
        <w:tc>
          <w:tcPr>
            <w:tcW w:w="1279" w:type="dxa"/>
          </w:tcPr>
          <w:p w14:paraId="26E6BC32" w14:textId="467654F9"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0.1479</w:t>
            </w:r>
          </w:p>
        </w:tc>
      </w:tr>
      <w:tr w:rsidR="00670DDB" w:rsidRPr="00212741" w14:paraId="3C581483" w14:textId="77777777" w:rsidTr="008552DD">
        <w:trPr>
          <w:jc w:val="center"/>
        </w:trPr>
        <w:tc>
          <w:tcPr>
            <w:tcW w:w="1244" w:type="dxa"/>
          </w:tcPr>
          <w:p w14:paraId="19046AC3" w14:textId="79BA834A"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6</w:t>
            </w:r>
          </w:p>
        </w:tc>
        <w:tc>
          <w:tcPr>
            <w:tcW w:w="1346" w:type="dxa"/>
          </w:tcPr>
          <w:p w14:paraId="598071C3" w14:textId="0E2E0A5E"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0.4522</w:t>
            </w:r>
          </w:p>
        </w:tc>
        <w:tc>
          <w:tcPr>
            <w:tcW w:w="1455" w:type="dxa"/>
          </w:tcPr>
          <w:p w14:paraId="2F992526" w14:textId="551080B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0.6528</w:t>
            </w:r>
          </w:p>
        </w:tc>
        <w:tc>
          <w:tcPr>
            <w:tcW w:w="1279" w:type="dxa"/>
          </w:tcPr>
          <w:p w14:paraId="2132FE72" w14:textId="5208C6BD"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0.0905</w:t>
            </w:r>
          </w:p>
        </w:tc>
      </w:tr>
      <w:tr w:rsidR="00670DDB" w:rsidRPr="00212741" w14:paraId="43CEE63C" w14:textId="77777777" w:rsidTr="008552DD">
        <w:trPr>
          <w:jc w:val="center"/>
        </w:trPr>
        <w:tc>
          <w:tcPr>
            <w:tcW w:w="1244" w:type="dxa"/>
          </w:tcPr>
          <w:p w14:paraId="0171DB32" w14:textId="034BAE9D"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7</w:t>
            </w:r>
          </w:p>
        </w:tc>
        <w:tc>
          <w:tcPr>
            <w:tcW w:w="1346" w:type="dxa"/>
          </w:tcPr>
          <w:p w14:paraId="07F2AD2A" w14:textId="0755C63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0.3903</w:t>
            </w:r>
          </w:p>
        </w:tc>
        <w:tc>
          <w:tcPr>
            <w:tcW w:w="1455" w:type="dxa"/>
          </w:tcPr>
          <w:p w14:paraId="03E9C6E1" w14:textId="1D67F101"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0.5842</w:t>
            </w:r>
          </w:p>
        </w:tc>
        <w:tc>
          <w:tcPr>
            <w:tcW w:w="1279" w:type="dxa"/>
          </w:tcPr>
          <w:p w14:paraId="3A7F6192" w14:textId="6D01943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0.0542</w:t>
            </w:r>
          </w:p>
        </w:tc>
      </w:tr>
      <w:tr w:rsidR="00670DDB" w:rsidRPr="00212741" w14:paraId="0B45F90B" w14:textId="77777777" w:rsidTr="008552DD">
        <w:trPr>
          <w:jc w:val="center"/>
        </w:trPr>
        <w:tc>
          <w:tcPr>
            <w:tcW w:w="1244" w:type="dxa"/>
          </w:tcPr>
          <w:p w14:paraId="0ED21E0C" w14:textId="09767E4D"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8</w:t>
            </w:r>
          </w:p>
        </w:tc>
        <w:tc>
          <w:tcPr>
            <w:tcW w:w="1346" w:type="dxa"/>
          </w:tcPr>
          <w:p w14:paraId="2DD777AB" w14:textId="0176C126"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0.3362</w:t>
            </w:r>
          </w:p>
        </w:tc>
        <w:tc>
          <w:tcPr>
            <w:tcW w:w="1455" w:type="dxa"/>
          </w:tcPr>
          <w:p w14:paraId="3E16B5A3" w14:textId="609D6B61"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0.5180</w:t>
            </w:r>
          </w:p>
        </w:tc>
        <w:tc>
          <w:tcPr>
            <w:tcW w:w="1279" w:type="dxa"/>
          </w:tcPr>
          <w:p w14:paraId="0842F1E1" w14:textId="7EDCEFF9"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0.0319</w:t>
            </w:r>
          </w:p>
        </w:tc>
      </w:tr>
      <w:tr w:rsidR="00670DDB" w:rsidRPr="00212741" w14:paraId="57B7F8C3" w14:textId="77777777" w:rsidTr="008552DD">
        <w:trPr>
          <w:jc w:val="center"/>
        </w:trPr>
        <w:tc>
          <w:tcPr>
            <w:tcW w:w="1244" w:type="dxa"/>
          </w:tcPr>
          <w:p w14:paraId="783203E4" w14:textId="21D80B78" w:rsidR="00670DDB" w:rsidRPr="00212741" w:rsidRDefault="008552DD"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w:t>
            </w:r>
            <w:r w:rsidR="00670DDB" w:rsidRPr="00212741">
              <w:rPr>
                <w:rFonts w:asciiTheme="majorBidi" w:eastAsia="Times New Roman" w:hAnsiTheme="majorBidi" w:cstheme="majorBidi"/>
                <w:b/>
                <w:bCs/>
              </w:rPr>
              <w:t>9</w:t>
            </w:r>
          </w:p>
        </w:tc>
        <w:tc>
          <w:tcPr>
            <w:tcW w:w="1346" w:type="dxa"/>
          </w:tcPr>
          <w:p w14:paraId="31CC3751" w14:textId="3F0F697D"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0.2892</w:t>
            </w:r>
          </w:p>
        </w:tc>
        <w:tc>
          <w:tcPr>
            <w:tcW w:w="1455" w:type="dxa"/>
          </w:tcPr>
          <w:p w14:paraId="0272F113" w14:textId="4953A5A2"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0.4558</w:t>
            </w:r>
          </w:p>
        </w:tc>
        <w:tc>
          <w:tcPr>
            <w:tcW w:w="1279" w:type="dxa"/>
          </w:tcPr>
          <w:p w14:paraId="0E9726CB" w14:textId="1D90CF6F"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0.0186</w:t>
            </w:r>
          </w:p>
        </w:tc>
      </w:tr>
      <w:tr w:rsidR="00670DDB" w:rsidRPr="00212741" w14:paraId="1700D990" w14:textId="77777777" w:rsidTr="008552DD">
        <w:trPr>
          <w:jc w:val="center"/>
        </w:trPr>
        <w:tc>
          <w:tcPr>
            <w:tcW w:w="1244" w:type="dxa"/>
          </w:tcPr>
          <w:p w14:paraId="5AFFD484" w14:textId="21379EA2"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10</w:t>
            </w:r>
          </w:p>
        </w:tc>
        <w:tc>
          <w:tcPr>
            <w:tcW w:w="1346" w:type="dxa"/>
          </w:tcPr>
          <w:p w14:paraId="2388C0C5" w14:textId="17F98285"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0.2485</w:t>
            </w:r>
          </w:p>
        </w:tc>
        <w:tc>
          <w:tcPr>
            <w:tcW w:w="1455" w:type="dxa"/>
          </w:tcPr>
          <w:p w14:paraId="5057FFDC" w14:textId="07EF6942"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0.3987</w:t>
            </w:r>
          </w:p>
        </w:tc>
        <w:tc>
          <w:tcPr>
            <w:tcW w:w="1279" w:type="dxa"/>
          </w:tcPr>
          <w:p w14:paraId="5AFF80E6" w14:textId="39EF1DC8"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0.0107</w:t>
            </w:r>
          </w:p>
        </w:tc>
      </w:tr>
      <w:tr w:rsidR="00670DDB" w:rsidRPr="00212741" w14:paraId="32859AD0" w14:textId="77777777" w:rsidTr="008552DD">
        <w:trPr>
          <w:jc w:val="center"/>
        </w:trPr>
        <w:tc>
          <w:tcPr>
            <w:tcW w:w="1244" w:type="dxa"/>
          </w:tcPr>
          <w:p w14:paraId="0E147850" w14:textId="7F8173CF"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12</w:t>
            </w:r>
          </w:p>
        </w:tc>
        <w:tc>
          <w:tcPr>
            <w:tcW w:w="1346" w:type="dxa"/>
          </w:tcPr>
          <w:p w14:paraId="42585BF2" w14:textId="2EDB4C31"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0.1831</w:t>
            </w:r>
          </w:p>
        </w:tc>
        <w:tc>
          <w:tcPr>
            <w:tcW w:w="1455" w:type="dxa"/>
          </w:tcPr>
          <w:p w14:paraId="52CC264F" w14:textId="1AEF79FD"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0.3008</w:t>
            </w:r>
          </w:p>
        </w:tc>
        <w:tc>
          <w:tcPr>
            <w:tcW w:w="1279" w:type="dxa"/>
          </w:tcPr>
          <w:p w14:paraId="7CE684E7" w14:textId="745590DB"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0.0035</w:t>
            </w:r>
          </w:p>
        </w:tc>
      </w:tr>
      <w:tr w:rsidR="00670DDB" w:rsidRPr="00212741" w14:paraId="45A3A2C2" w14:textId="77777777" w:rsidTr="008552DD">
        <w:trPr>
          <w:jc w:val="center"/>
        </w:trPr>
        <w:tc>
          <w:tcPr>
            <w:tcW w:w="1244" w:type="dxa"/>
          </w:tcPr>
          <w:p w14:paraId="3F5C2838" w14:textId="7B6B7F4E"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14</w:t>
            </w:r>
          </w:p>
        </w:tc>
        <w:tc>
          <w:tcPr>
            <w:tcW w:w="1346" w:type="dxa"/>
          </w:tcPr>
          <w:p w14:paraId="4D7FD219" w14:textId="22F6D764"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0.1347</w:t>
            </w:r>
          </w:p>
        </w:tc>
        <w:tc>
          <w:tcPr>
            <w:tcW w:w="1455" w:type="dxa"/>
          </w:tcPr>
          <w:p w14:paraId="3BABD62F" w14:textId="7495B478"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0.2243</w:t>
            </w:r>
          </w:p>
        </w:tc>
        <w:tc>
          <w:tcPr>
            <w:tcW w:w="1279" w:type="dxa"/>
          </w:tcPr>
          <w:p w14:paraId="4A449F64" w14:textId="6A3C8537"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0.0011</w:t>
            </w:r>
          </w:p>
        </w:tc>
      </w:tr>
      <w:tr w:rsidR="00670DDB" w:rsidRPr="00212741" w14:paraId="47F0E386" w14:textId="77777777" w:rsidTr="008552DD">
        <w:trPr>
          <w:jc w:val="center"/>
        </w:trPr>
        <w:tc>
          <w:tcPr>
            <w:tcW w:w="1244" w:type="dxa"/>
          </w:tcPr>
          <w:p w14:paraId="33A7C9D7" w14:textId="1FAE6620"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16</w:t>
            </w:r>
          </w:p>
        </w:tc>
        <w:tc>
          <w:tcPr>
            <w:tcW w:w="1346" w:type="dxa"/>
          </w:tcPr>
          <w:p w14:paraId="46F70137" w14:textId="4C9C867A"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0.0990</w:t>
            </w:r>
          </w:p>
        </w:tc>
        <w:tc>
          <w:tcPr>
            <w:tcW w:w="1455" w:type="dxa"/>
          </w:tcPr>
          <w:p w14:paraId="0CF67918" w14:textId="6E4D50BB"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01662</w:t>
            </w:r>
          </w:p>
        </w:tc>
        <w:tc>
          <w:tcPr>
            <w:tcW w:w="1279" w:type="dxa"/>
          </w:tcPr>
          <w:p w14:paraId="66904696" w14:textId="7E30254B"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0.0004</w:t>
            </w:r>
          </w:p>
        </w:tc>
      </w:tr>
      <w:tr w:rsidR="00670DDB" w:rsidRPr="00212741" w14:paraId="55D466A8" w14:textId="77777777" w:rsidTr="008552DD">
        <w:trPr>
          <w:jc w:val="center"/>
        </w:trPr>
        <w:tc>
          <w:tcPr>
            <w:tcW w:w="1244" w:type="dxa"/>
          </w:tcPr>
          <w:p w14:paraId="39B21140" w14:textId="45E38036"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18</w:t>
            </w:r>
          </w:p>
        </w:tc>
        <w:tc>
          <w:tcPr>
            <w:tcW w:w="1346" w:type="dxa"/>
          </w:tcPr>
          <w:p w14:paraId="7F4C96F8" w14:textId="706549E5"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0.0728</w:t>
            </w:r>
          </w:p>
        </w:tc>
        <w:tc>
          <w:tcPr>
            <w:tcW w:w="1455" w:type="dxa"/>
          </w:tcPr>
          <w:p w14:paraId="38489650" w14:textId="1EE7BEAA"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0.1227</w:t>
            </w:r>
          </w:p>
        </w:tc>
        <w:tc>
          <w:tcPr>
            <w:tcW w:w="1279" w:type="dxa"/>
          </w:tcPr>
          <w:p w14:paraId="53BB5C65" w14:textId="35162F67"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0.0001</w:t>
            </w:r>
          </w:p>
        </w:tc>
      </w:tr>
      <w:tr w:rsidR="00670DDB" w:rsidRPr="00212741" w14:paraId="28AD6A1B" w14:textId="77777777" w:rsidTr="008552DD">
        <w:trPr>
          <w:jc w:val="center"/>
        </w:trPr>
        <w:tc>
          <w:tcPr>
            <w:tcW w:w="1244" w:type="dxa"/>
          </w:tcPr>
          <w:p w14:paraId="523AF21F" w14:textId="6154E183"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20</w:t>
            </w:r>
          </w:p>
        </w:tc>
        <w:tc>
          <w:tcPr>
            <w:tcW w:w="1346" w:type="dxa"/>
          </w:tcPr>
          <w:p w14:paraId="3A67638F" w14:textId="79D759CC"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0.0535</w:t>
            </w:r>
          </w:p>
        </w:tc>
        <w:tc>
          <w:tcPr>
            <w:tcW w:w="1455" w:type="dxa"/>
          </w:tcPr>
          <w:p w14:paraId="2B6325B0" w14:textId="608BDB7B"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0.0904</w:t>
            </w:r>
          </w:p>
        </w:tc>
        <w:tc>
          <w:tcPr>
            <w:tcW w:w="1279" w:type="dxa"/>
          </w:tcPr>
          <w:p w14:paraId="15A9A862" w14:textId="77777777"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p>
        </w:tc>
      </w:tr>
      <w:tr w:rsidR="00670DDB" w:rsidRPr="00212741" w14:paraId="55785E2B" w14:textId="77777777" w:rsidTr="008552DD">
        <w:trPr>
          <w:jc w:val="center"/>
        </w:trPr>
        <w:tc>
          <w:tcPr>
            <w:tcW w:w="1244" w:type="dxa"/>
          </w:tcPr>
          <w:p w14:paraId="0EF4409C" w14:textId="094B8A69"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25</w:t>
            </w:r>
          </w:p>
        </w:tc>
        <w:tc>
          <w:tcPr>
            <w:tcW w:w="1346" w:type="dxa"/>
          </w:tcPr>
          <w:p w14:paraId="4B5F6515" w14:textId="58B82EC8"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0.0247</w:t>
            </w:r>
          </w:p>
        </w:tc>
        <w:tc>
          <w:tcPr>
            <w:tcW w:w="1455" w:type="dxa"/>
          </w:tcPr>
          <w:p w14:paraId="25B5AA40" w14:textId="146C3A35"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0.0419</w:t>
            </w:r>
          </w:p>
        </w:tc>
        <w:tc>
          <w:tcPr>
            <w:tcW w:w="1279" w:type="dxa"/>
          </w:tcPr>
          <w:p w14:paraId="45512800" w14:textId="77777777"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p>
        </w:tc>
      </w:tr>
      <w:tr w:rsidR="00670DDB" w:rsidRPr="00212741" w14:paraId="4D1EEFA3" w14:textId="77777777" w:rsidTr="008552DD">
        <w:trPr>
          <w:jc w:val="center"/>
        </w:trPr>
        <w:tc>
          <w:tcPr>
            <w:tcW w:w="1244" w:type="dxa"/>
          </w:tcPr>
          <w:p w14:paraId="6DCBD797" w14:textId="371290AE"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30</w:t>
            </w:r>
          </w:p>
        </w:tc>
        <w:tc>
          <w:tcPr>
            <w:tcW w:w="1346" w:type="dxa"/>
          </w:tcPr>
          <w:p w14:paraId="401AC07B" w14:textId="40C15007"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0.0114</w:t>
            </w:r>
          </w:p>
        </w:tc>
        <w:tc>
          <w:tcPr>
            <w:tcW w:w="1455" w:type="dxa"/>
          </w:tcPr>
          <w:p w14:paraId="5D56F5A4" w14:textId="570B5CE0"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0.0194</w:t>
            </w:r>
          </w:p>
        </w:tc>
        <w:tc>
          <w:tcPr>
            <w:tcW w:w="1279" w:type="dxa"/>
          </w:tcPr>
          <w:p w14:paraId="6C1A6EF0" w14:textId="77777777"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p>
        </w:tc>
      </w:tr>
      <w:tr w:rsidR="00670DDB" w:rsidRPr="00212741" w14:paraId="01967A91" w14:textId="77777777" w:rsidTr="008552DD">
        <w:trPr>
          <w:jc w:val="center"/>
        </w:trPr>
        <w:tc>
          <w:tcPr>
            <w:tcW w:w="1244" w:type="dxa"/>
          </w:tcPr>
          <w:p w14:paraId="39E7D925" w14:textId="20FC10A1"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40</w:t>
            </w:r>
          </w:p>
        </w:tc>
        <w:tc>
          <w:tcPr>
            <w:tcW w:w="1346" w:type="dxa"/>
          </w:tcPr>
          <w:p w14:paraId="0E823E8E" w14:textId="7FBD3F1A"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0.0024</w:t>
            </w:r>
          </w:p>
        </w:tc>
        <w:tc>
          <w:tcPr>
            <w:tcW w:w="1455" w:type="dxa"/>
          </w:tcPr>
          <w:p w14:paraId="35A68675" w14:textId="00F7E2D8"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0.0042</w:t>
            </w:r>
          </w:p>
        </w:tc>
        <w:tc>
          <w:tcPr>
            <w:tcW w:w="1279" w:type="dxa"/>
          </w:tcPr>
          <w:p w14:paraId="50810B2C" w14:textId="77777777"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p>
        </w:tc>
      </w:tr>
      <w:tr w:rsidR="00670DDB" w:rsidRPr="00212741" w14:paraId="1E8D156B" w14:textId="77777777" w:rsidTr="008552DD">
        <w:trPr>
          <w:jc w:val="center"/>
        </w:trPr>
        <w:tc>
          <w:tcPr>
            <w:tcW w:w="1244" w:type="dxa"/>
          </w:tcPr>
          <w:p w14:paraId="6F2A53D0" w14:textId="607CBFC9"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50</w:t>
            </w:r>
          </w:p>
        </w:tc>
        <w:tc>
          <w:tcPr>
            <w:tcW w:w="1346" w:type="dxa"/>
          </w:tcPr>
          <w:p w14:paraId="45DE4401" w14:textId="087A0707"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0.0005</w:t>
            </w:r>
          </w:p>
        </w:tc>
        <w:tc>
          <w:tcPr>
            <w:tcW w:w="1455" w:type="dxa"/>
          </w:tcPr>
          <w:p w14:paraId="7AE3B480" w14:textId="47C956B1" w:rsidR="00670DDB" w:rsidRPr="00212741" w:rsidRDefault="00692D40" w:rsidP="008552DD">
            <w:pPr>
              <w:spacing w:before="100" w:beforeAutospacing="1" w:after="100" w:afterAutospacing="1"/>
              <w:jc w:val="center"/>
              <w:outlineLvl w:val="2"/>
              <w:rPr>
                <w:rFonts w:asciiTheme="majorBidi" w:eastAsia="Times New Roman" w:hAnsiTheme="majorBidi" w:cstheme="majorBidi"/>
                <w:b/>
                <w:bCs/>
              </w:rPr>
            </w:pPr>
            <w:r w:rsidRPr="00212741">
              <w:rPr>
                <w:rFonts w:asciiTheme="majorBidi" w:eastAsia="Times New Roman" w:hAnsiTheme="majorBidi" w:cstheme="majorBidi"/>
                <w:b/>
                <w:bCs/>
              </w:rPr>
              <w:t>0.0009</w:t>
            </w:r>
          </w:p>
        </w:tc>
        <w:tc>
          <w:tcPr>
            <w:tcW w:w="1279" w:type="dxa"/>
          </w:tcPr>
          <w:p w14:paraId="0C90800C" w14:textId="77777777" w:rsidR="00670DDB" w:rsidRPr="00212741" w:rsidRDefault="00670DDB" w:rsidP="008552DD">
            <w:pPr>
              <w:spacing w:before="100" w:beforeAutospacing="1" w:after="100" w:afterAutospacing="1"/>
              <w:jc w:val="center"/>
              <w:outlineLvl w:val="2"/>
              <w:rPr>
                <w:rFonts w:asciiTheme="majorBidi" w:eastAsia="Times New Roman" w:hAnsiTheme="majorBidi" w:cstheme="majorBidi"/>
                <w:b/>
                <w:bCs/>
              </w:rPr>
            </w:pPr>
          </w:p>
        </w:tc>
      </w:tr>
    </w:tbl>
    <w:p w14:paraId="17C59397" w14:textId="77777777" w:rsidR="00F455D4" w:rsidRDefault="00F455D4" w:rsidP="0007211E">
      <w:pPr>
        <w:spacing w:after="0" w:line="240" w:lineRule="auto"/>
        <w:jc w:val="both"/>
        <w:rPr>
          <w:rFonts w:ascii="Times New Roman" w:eastAsia="Times New Roman" w:hAnsi="Times New Roman" w:cs="Times New Roman"/>
          <w:b/>
          <w:bCs/>
          <w:sz w:val="24"/>
          <w:szCs w:val="24"/>
          <w:rtl/>
        </w:rPr>
      </w:pPr>
    </w:p>
    <w:p w14:paraId="6FDD536E"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BA066A0"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08CE8844"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3617E383"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3E6D8FB0"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624AA208"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2D4F903E"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CDB5EBB"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2B107409"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0C96FC22"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1D36367"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750A6F5"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162263C"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0B0CF710"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354612E5"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7493D71B"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3A310FCF" w14:textId="77777777" w:rsidR="00C80068" w:rsidRDefault="00C80068" w:rsidP="0007211E">
      <w:pPr>
        <w:spacing w:after="0" w:line="240" w:lineRule="auto"/>
        <w:jc w:val="both"/>
        <w:rPr>
          <w:rFonts w:ascii="Times New Roman" w:eastAsia="Times New Roman" w:hAnsi="Times New Roman" w:cs="Times New Roman"/>
          <w:b/>
          <w:bCs/>
          <w:sz w:val="24"/>
          <w:szCs w:val="24"/>
          <w:rtl/>
        </w:rPr>
      </w:pPr>
    </w:p>
    <w:p w14:paraId="2168C9B3" w14:textId="428317B3" w:rsidR="0007211E" w:rsidRPr="0007211E" w:rsidRDefault="0007211E" w:rsidP="0007211E">
      <w:pPr>
        <w:spacing w:after="0" w:line="240" w:lineRule="auto"/>
        <w:jc w:val="both"/>
        <w:rPr>
          <w:rFonts w:ascii="Times New Roman" w:eastAsia="Times New Roman" w:hAnsi="Times New Roman" w:cs="Times New Roman"/>
          <w:b/>
          <w:bCs/>
          <w:sz w:val="24"/>
          <w:szCs w:val="24"/>
        </w:rPr>
      </w:pPr>
      <w:r w:rsidRPr="0007211E">
        <w:rPr>
          <w:rFonts w:ascii="Times New Roman" w:eastAsia="Times New Roman" w:hAnsi="Times New Roman" w:cs="Times New Roman"/>
          <w:b/>
          <w:bCs/>
          <w:sz w:val="24"/>
          <w:szCs w:val="24"/>
        </w:rPr>
        <w:t>Facility Layout</w:t>
      </w:r>
    </w:p>
    <w:p w14:paraId="4C0EA0EF" w14:textId="77777777" w:rsidR="0007211E" w:rsidRPr="0007211E" w:rsidRDefault="0007211E" w:rsidP="0007211E">
      <w:pPr>
        <w:spacing w:after="0" w:line="240" w:lineRule="auto"/>
        <w:jc w:val="both"/>
        <w:rPr>
          <w:rFonts w:ascii="Times New Roman" w:eastAsia="Times New Roman" w:hAnsi="Times New Roman" w:cs="Times New Roman"/>
          <w:sz w:val="24"/>
          <w:szCs w:val="24"/>
        </w:rPr>
      </w:pPr>
      <w:r w:rsidRPr="0007211E">
        <w:rPr>
          <w:rFonts w:ascii="Times New Roman" w:eastAsia="Times New Roman" w:hAnsi="Times New Roman" w:cs="Times New Roman"/>
          <w:sz w:val="24"/>
          <w:szCs w:val="24"/>
        </w:rPr>
        <w:t>Figure 1 illustrates the architect-designed PET facility layout. The PET scanner room is centrally located and surrounded by controlled and uncontrolled areas. Analytical shielding calculations were applied directly to this layout, incorporating patient workflow, occupancy factors, and source-to-point distances to determine material-specific barrier thicknesses.</w:t>
      </w:r>
    </w:p>
    <w:p w14:paraId="6D674B82" w14:textId="7B7C0BF5" w:rsidR="00276A8E" w:rsidRPr="00587DFD" w:rsidRDefault="005E5D68" w:rsidP="008006BE">
      <w:pPr>
        <w:spacing w:before="100" w:beforeAutospacing="1" w:after="100" w:afterAutospacing="1" w:line="240" w:lineRule="auto"/>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noProof/>
          <w:sz w:val="24"/>
          <w:szCs w:val="24"/>
        </w:rPr>
        <w:lastRenderedPageBreak/>
        <w:drawing>
          <wp:inline distT="0" distB="0" distL="0" distR="0" wp14:anchorId="0285D219" wp14:editId="699F9DA4">
            <wp:extent cx="6300380" cy="3550024"/>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51357" cy="3691440"/>
                    </a:xfrm>
                    <a:prstGeom prst="rect">
                      <a:avLst/>
                    </a:prstGeom>
                  </pic:spPr>
                </pic:pic>
              </a:graphicData>
            </a:graphic>
          </wp:inline>
        </w:drawing>
      </w:r>
    </w:p>
    <w:p w14:paraId="0587C28B" w14:textId="229C3DAB" w:rsidR="00D37963" w:rsidRPr="00846337" w:rsidRDefault="00BC03C3" w:rsidP="00BC03C3">
      <w:pPr>
        <w:spacing w:before="100" w:beforeAutospacing="1" w:after="100" w:afterAutospacing="1" w:line="240" w:lineRule="auto"/>
        <w:jc w:val="center"/>
        <w:outlineLvl w:val="2"/>
        <w:rPr>
          <w:rFonts w:asciiTheme="majorBidi" w:eastAsia="Times New Roman" w:hAnsiTheme="majorBidi" w:cstheme="majorBidi"/>
          <w:rtl/>
        </w:rPr>
      </w:pPr>
      <w:r w:rsidRPr="00846337">
        <w:rPr>
          <w:rFonts w:asciiTheme="majorBidi" w:eastAsia="Times New Roman" w:hAnsiTheme="majorBidi" w:cstheme="majorBidi"/>
          <w:b/>
          <w:bCs/>
        </w:rPr>
        <w:t>Figure 1</w:t>
      </w:r>
      <w:r w:rsidRPr="00846337">
        <w:rPr>
          <w:rFonts w:asciiTheme="majorBidi" w:eastAsia="Times New Roman" w:hAnsiTheme="majorBidi" w:cstheme="majorBidi"/>
        </w:rPr>
        <w:t xml:space="preserve"> </w:t>
      </w:r>
      <w:r w:rsidR="00044F36">
        <w:rPr>
          <w:rFonts w:asciiTheme="majorBidi" w:eastAsia="Times New Roman" w:hAnsiTheme="majorBidi" w:cstheme="majorBidi"/>
        </w:rPr>
        <w:t>T</w:t>
      </w:r>
      <w:r w:rsidRPr="00846337">
        <w:rPr>
          <w:rFonts w:asciiTheme="majorBidi" w:eastAsia="Times New Roman" w:hAnsiTheme="majorBidi" w:cstheme="majorBidi"/>
        </w:rPr>
        <w:t>he PET facility layout designed by the architect. The PET room is centrally located, with adjacent controlled and uncontrolled areas. Analytical shielding calculations were applied directly to this layout, considering patient workflow, occupancy, and distances to estimate required barrier thicknesses for each material.</w:t>
      </w:r>
    </w:p>
    <w:p w14:paraId="2F436924" w14:textId="77777777" w:rsidR="00026CB8" w:rsidRDefault="00026CB8" w:rsidP="00276A8E">
      <w:pPr>
        <w:spacing w:before="100" w:beforeAutospacing="1" w:after="100" w:afterAutospacing="1" w:line="240" w:lineRule="auto"/>
        <w:outlineLvl w:val="2"/>
        <w:rPr>
          <w:rFonts w:asciiTheme="majorBidi" w:eastAsia="Times New Roman" w:hAnsiTheme="majorBidi" w:cstheme="majorBidi"/>
          <w:b/>
          <w:bCs/>
          <w:sz w:val="24"/>
          <w:szCs w:val="24"/>
        </w:rPr>
      </w:pPr>
    </w:p>
    <w:p w14:paraId="0ED8A965" w14:textId="09E19CA7" w:rsidR="00276A8E" w:rsidRDefault="00276A8E" w:rsidP="00276A8E">
      <w:pPr>
        <w:spacing w:before="100" w:beforeAutospacing="1" w:after="100" w:afterAutospacing="1" w:line="240" w:lineRule="auto"/>
        <w:outlineLvl w:val="2"/>
        <w:rPr>
          <w:rFonts w:asciiTheme="majorBidi" w:eastAsia="Times New Roman" w:hAnsiTheme="majorBidi" w:cstheme="majorBidi"/>
          <w:b/>
          <w:bCs/>
          <w:sz w:val="24"/>
          <w:szCs w:val="24"/>
        </w:rPr>
      </w:pPr>
      <w:r w:rsidRPr="00791138">
        <w:rPr>
          <w:rFonts w:asciiTheme="majorBidi" w:eastAsia="Times New Roman" w:hAnsiTheme="majorBidi" w:cstheme="majorBidi"/>
          <w:b/>
          <w:bCs/>
          <w:sz w:val="24"/>
          <w:szCs w:val="24"/>
        </w:rPr>
        <w:t>Results and Discussions</w:t>
      </w:r>
      <w:r w:rsidR="00800A62" w:rsidRPr="00791138">
        <w:rPr>
          <w:rFonts w:asciiTheme="majorBidi" w:eastAsia="Times New Roman" w:hAnsiTheme="majorBidi" w:cstheme="majorBidi"/>
          <w:b/>
          <w:bCs/>
          <w:sz w:val="24"/>
          <w:szCs w:val="24"/>
        </w:rPr>
        <w:t>:</w:t>
      </w:r>
    </w:p>
    <w:p w14:paraId="1377F514" w14:textId="77777777" w:rsidR="00A203B8" w:rsidRPr="00A203B8" w:rsidRDefault="00A203B8" w:rsidP="00A203B8">
      <w:pPr>
        <w:spacing w:before="100" w:beforeAutospacing="1" w:after="100" w:afterAutospacing="1" w:line="240" w:lineRule="auto"/>
        <w:outlineLvl w:val="2"/>
        <w:rPr>
          <w:rFonts w:asciiTheme="majorBidi" w:eastAsia="Times New Roman" w:hAnsiTheme="majorBidi" w:cstheme="majorBidi"/>
          <w:b/>
          <w:bCs/>
          <w:sz w:val="24"/>
          <w:szCs w:val="24"/>
          <w:rtl/>
        </w:rPr>
      </w:pPr>
      <w:r w:rsidRPr="00A203B8">
        <w:rPr>
          <w:rFonts w:asciiTheme="majorBidi" w:eastAsia="Times New Roman" w:hAnsiTheme="majorBidi" w:cstheme="majorBidi"/>
          <w:b/>
          <w:bCs/>
          <w:sz w:val="24"/>
          <w:szCs w:val="24"/>
        </w:rPr>
        <w:t>Table 3. Sample dose and transmission calculations for different locations in the PET facility (Figure 1).</w:t>
      </w:r>
    </w:p>
    <w:tbl>
      <w:tblPr>
        <w:tblStyle w:val="TableGrid"/>
        <w:tblW w:w="0" w:type="auto"/>
        <w:jc w:val="center"/>
        <w:tblLook w:val="04A0" w:firstRow="1" w:lastRow="0" w:firstColumn="1" w:lastColumn="0" w:noHBand="0" w:noVBand="1"/>
      </w:tblPr>
      <w:tblGrid>
        <w:gridCol w:w="1885"/>
        <w:gridCol w:w="1430"/>
        <w:gridCol w:w="1800"/>
        <w:gridCol w:w="1620"/>
        <w:gridCol w:w="1604"/>
      </w:tblGrid>
      <w:tr w:rsidR="00D371C2" w:rsidRPr="00587DFD" w14:paraId="3E6D0ACD" w14:textId="77777777" w:rsidTr="006803E5">
        <w:trPr>
          <w:jc w:val="center"/>
        </w:trPr>
        <w:tc>
          <w:tcPr>
            <w:tcW w:w="1885" w:type="dxa"/>
            <w:vAlign w:val="center"/>
          </w:tcPr>
          <w:p w14:paraId="34ABBECB" w14:textId="0F1276A4" w:rsidR="00D371C2" w:rsidRPr="00587DFD" w:rsidRDefault="00D371C2" w:rsidP="00F316E6">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Rooms</w:t>
            </w:r>
          </w:p>
        </w:tc>
        <w:tc>
          <w:tcPr>
            <w:tcW w:w="1430" w:type="dxa"/>
            <w:vAlign w:val="center"/>
          </w:tcPr>
          <w:p w14:paraId="2C3A7711" w14:textId="33A6C06A" w:rsidR="00D371C2" w:rsidRPr="00587DFD" w:rsidRDefault="00D371C2" w:rsidP="00800A62">
            <w:pPr>
              <w:spacing w:before="100" w:beforeAutospacing="1" w:after="100" w:afterAutospacing="1"/>
              <w:jc w:val="center"/>
              <w:outlineLvl w:val="2"/>
              <w:rPr>
                <w:rFonts w:asciiTheme="majorBidi" w:eastAsia="Times New Roman" w:hAnsiTheme="majorBidi" w:cstheme="majorBidi"/>
                <w:b/>
                <w:bCs/>
                <w:sz w:val="24"/>
                <w:szCs w:val="24"/>
              </w:rPr>
            </w:pPr>
            <w:proofErr w:type="spellStart"/>
            <w:r w:rsidRPr="00587DFD">
              <w:rPr>
                <w:rFonts w:asciiTheme="majorBidi" w:eastAsia="Times New Roman" w:hAnsiTheme="majorBidi" w:cstheme="majorBidi"/>
                <w:b/>
                <w:bCs/>
                <w:sz w:val="24"/>
                <w:szCs w:val="24"/>
              </w:rPr>
              <w:t>Tomograph</w:t>
            </w:r>
            <w:proofErr w:type="spellEnd"/>
            <w:r w:rsidRPr="00587DFD">
              <w:rPr>
                <w:rFonts w:asciiTheme="majorBidi" w:eastAsia="Times New Roman" w:hAnsiTheme="majorBidi" w:cstheme="majorBidi"/>
                <w:b/>
                <w:bCs/>
                <w:sz w:val="24"/>
                <w:szCs w:val="24"/>
              </w:rPr>
              <w:t xml:space="preserve"> distance</w:t>
            </w:r>
            <w:r w:rsidR="008006BE" w:rsidRPr="00587DFD">
              <w:rPr>
                <w:rFonts w:asciiTheme="majorBidi" w:eastAsia="Times New Roman" w:hAnsiTheme="majorBidi" w:cstheme="majorBidi"/>
                <w:b/>
                <w:bCs/>
                <w:sz w:val="24"/>
                <w:szCs w:val="24"/>
              </w:rPr>
              <w:t xml:space="preserve"> </w:t>
            </w:r>
            <w:r w:rsidR="00800A62" w:rsidRPr="00587DFD">
              <w:rPr>
                <w:rFonts w:asciiTheme="majorBidi" w:eastAsia="Times New Roman" w:hAnsiTheme="majorBidi" w:cstheme="majorBidi"/>
                <w:b/>
                <w:bCs/>
                <w:sz w:val="24"/>
                <w:szCs w:val="24"/>
              </w:rPr>
              <w:t xml:space="preserve">    </w:t>
            </w:r>
            <w:proofErr w:type="gramStart"/>
            <w:r w:rsidR="00800A62" w:rsidRPr="00587DFD">
              <w:rPr>
                <w:rFonts w:asciiTheme="majorBidi" w:eastAsia="Times New Roman" w:hAnsiTheme="majorBidi" w:cstheme="majorBidi"/>
                <w:b/>
                <w:bCs/>
                <w:sz w:val="24"/>
                <w:szCs w:val="24"/>
              </w:rPr>
              <w:t xml:space="preserve">   </w:t>
            </w:r>
            <w:r w:rsidR="008006BE" w:rsidRPr="00587DFD">
              <w:rPr>
                <w:rFonts w:asciiTheme="majorBidi" w:eastAsia="Times New Roman" w:hAnsiTheme="majorBidi" w:cstheme="majorBidi"/>
                <w:b/>
                <w:bCs/>
                <w:sz w:val="24"/>
                <w:szCs w:val="24"/>
              </w:rPr>
              <w:t>(</w:t>
            </w:r>
            <w:proofErr w:type="gramEnd"/>
            <w:r w:rsidR="008006BE" w:rsidRPr="00587DFD">
              <w:rPr>
                <w:rFonts w:asciiTheme="majorBidi" w:eastAsia="Times New Roman" w:hAnsiTheme="majorBidi" w:cstheme="majorBidi"/>
                <w:b/>
                <w:bCs/>
                <w:sz w:val="24"/>
                <w:szCs w:val="24"/>
              </w:rPr>
              <w:t>m)</w:t>
            </w:r>
          </w:p>
        </w:tc>
        <w:tc>
          <w:tcPr>
            <w:tcW w:w="1800" w:type="dxa"/>
            <w:vAlign w:val="center"/>
          </w:tcPr>
          <w:p w14:paraId="3BC34D89" w14:textId="7B05E54B" w:rsidR="00D371C2" w:rsidRPr="00587DFD" w:rsidRDefault="00D371C2" w:rsidP="00E96C24">
            <w:pPr>
              <w:spacing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Target Dose (µ</w:t>
            </w:r>
            <w:proofErr w:type="spellStart"/>
            <w:r w:rsidRPr="00587DFD">
              <w:rPr>
                <w:rFonts w:asciiTheme="majorBidi" w:eastAsia="Times New Roman" w:hAnsiTheme="majorBidi" w:cstheme="majorBidi"/>
                <w:b/>
                <w:bCs/>
                <w:sz w:val="24"/>
                <w:szCs w:val="24"/>
              </w:rPr>
              <w:t>Sv</w:t>
            </w:r>
            <w:proofErr w:type="spellEnd"/>
            <w:r w:rsidRPr="00587DFD">
              <w:rPr>
                <w:rFonts w:asciiTheme="majorBidi" w:eastAsia="Times New Roman" w:hAnsiTheme="majorBidi" w:cstheme="majorBidi"/>
                <w:b/>
                <w:bCs/>
                <w:sz w:val="24"/>
                <w:szCs w:val="24"/>
              </w:rPr>
              <w:t>)</w:t>
            </w:r>
          </w:p>
        </w:tc>
        <w:tc>
          <w:tcPr>
            <w:tcW w:w="1620" w:type="dxa"/>
            <w:vAlign w:val="center"/>
          </w:tcPr>
          <w:p w14:paraId="4E8247CD" w14:textId="1F306B44" w:rsidR="00D371C2" w:rsidRPr="00587DFD" w:rsidRDefault="00D371C2" w:rsidP="00800A62">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Total Dose (µ</w:t>
            </w:r>
            <w:proofErr w:type="spellStart"/>
            <w:r w:rsidRPr="00587DFD">
              <w:rPr>
                <w:rFonts w:asciiTheme="majorBidi" w:eastAsia="Times New Roman" w:hAnsiTheme="majorBidi" w:cstheme="majorBidi"/>
                <w:b/>
                <w:bCs/>
                <w:sz w:val="24"/>
                <w:szCs w:val="24"/>
              </w:rPr>
              <w:t>Sv</w:t>
            </w:r>
            <w:proofErr w:type="spellEnd"/>
            <w:r w:rsidRPr="00587DFD">
              <w:rPr>
                <w:rFonts w:asciiTheme="majorBidi" w:eastAsia="Times New Roman" w:hAnsiTheme="majorBidi" w:cstheme="majorBidi"/>
                <w:b/>
                <w:bCs/>
                <w:sz w:val="24"/>
                <w:szCs w:val="24"/>
              </w:rPr>
              <w:t>)</w:t>
            </w:r>
          </w:p>
        </w:tc>
        <w:tc>
          <w:tcPr>
            <w:tcW w:w="1604" w:type="dxa"/>
          </w:tcPr>
          <w:p w14:paraId="770964CD" w14:textId="77FA798F" w:rsidR="00D371C2" w:rsidRPr="00587DFD" w:rsidRDefault="00D371C2" w:rsidP="00D371C2">
            <w:pPr>
              <w:spacing w:before="100" w:beforeAutospacing="1" w:after="100" w:afterAutospacing="1"/>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 xml:space="preserve">Transmission </w:t>
            </w:r>
          </w:p>
        </w:tc>
      </w:tr>
      <w:tr w:rsidR="00D371C2" w:rsidRPr="00587DFD" w14:paraId="200A96E5" w14:textId="77777777" w:rsidTr="006803E5">
        <w:trPr>
          <w:jc w:val="center"/>
        </w:trPr>
        <w:tc>
          <w:tcPr>
            <w:tcW w:w="1885" w:type="dxa"/>
            <w:vAlign w:val="bottom"/>
          </w:tcPr>
          <w:p w14:paraId="78443DE6" w14:textId="3699932D"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reception room</w:t>
            </w:r>
          </w:p>
        </w:tc>
        <w:tc>
          <w:tcPr>
            <w:tcW w:w="1430" w:type="dxa"/>
            <w:vAlign w:val="center"/>
          </w:tcPr>
          <w:p w14:paraId="63B47D55" w14:textId="07D3D521"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sz w:val="24"/>
                <w:szCs w:val="24"/>
              </w:rPr>
              <w:t>10.8</w:t>
            </w:r>
          </w:p>
        </w:tc>
        <w:tc>
          <w:tcPr>
            <w:tcW w:w="1800" w:type="dxa"/>
            <w:vAlign w:val="center"/>
          </w:tcPr>
          <w:p w14:paraId="6D07A22E" w14:textId="5F7B3A6B"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58E5A1D7" w14:textId="0D1694CD"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22.49</w:t>
            </w:r>
          </w:p>
        </w:tc>
        <w:tc>
          <w:tcPr>
            <w:tcW w:w="1604" w:type="dxa"/>
            <w:vAlign w:val="center"/>
          </w:tcPr>
          <w:p w14:paraId="7C7E9AEE" w14:textId="6F5A6190"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0.889</w:t>
            </w:r>
          </w:p>
        </w:tc>
      </w:tr>
      <w:tr w:rsidR="00D371C2" w:rsidRPr="00587DFD" w14:paraId="3E476554" w14:textId="77777777" w:rsidTr="006803E5">
        <w:trPr>
          <w:jc w:val="center"/>
        </w:trPr>
        <w:tc>
          <w:tcPr>
            <w:tcW w:w="1885" w:type="dxa"/>
            <w:vAlign w:val="bottom"/>
          </w:tcPr>
          <w:p w14:paraId="514BA189" w14:textId="3CAFEFE7"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staff WC</w:t>
            </w:r>
          </w:p>
        </w:tc>
        <w:tc>
          <w:tcPr>
            <w:tcW w:w="1430" w:type="dxa"/>
            <w:vAlign w:val="center"/>
          </w:tcPr>
          <w:p w14:paraId="0F321F6E" w14:textId="3EB75D39"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9.3</w:t>
            </w:r>
          </w:p>
        </w:tc>
        <w:tc>
          <w:tcPr>
            <w:tcW w:w="1800" w:type="dxa"/>
            <w:vAlign w:val="center"/>
          </w:tcPr>
          <w:p w14:paraId="5D80F682" w14:textId="7D7DD5AD"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377DCF17" w14:textId="4ABF8B55"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30.33</w:t>
            </w:r>
          </w:p>
        </w:tc>
        <w:tc>
          <w:tcPr>
            <w:tcW w:w="1604" w:type="dxa"/>
            <w:vAlign w:val="center"/>
          </w:tcPr>
          <w:p w14:paraId="707E747A" w14:textId="795DB843"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0.659</w:t>
            </w:r>
          </w:p>
        </w:tc>
      </w:tr>
      <w:tr w:rsidR="00D371C2" w:rsidRPr="00587DFD" w14:paraId="2289956A" w14:textId="77777777" w:rsidTr="006803E5">
        <w:trPr>
          <w:jc w:val="center"/>
        </w:trPr>
        <w:tc>
          <w:tcPr>
            <w:tcW w:w="1885" w:type="dxa"/>
            <w:vAlign w:val="bottom"/>
          </w:tcPr>
          <w:p w14:paraId="54072ED7" w14:textId="4493407E"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uptake room1</w:t>
            </w:r>
          </w:p>
        </w:tc>
        <w:tc>
          <w:tcPr>
            <w:tcW w:w="1430" w:type="dxa"/>
            <w:vAlign w:val="center"/>
          </w:tcPr>
          <w:p w14:paraId="5823190D" w14:textId="1B802934"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7.3</w:t>
            </w:r>
          </w:p>
        </w:tc>
        <w:tc>
          <w:tcPr>
            <w:tcW w:w="1800" w:type="dxa"/>
            <w:vAlign w:val="center"/>
          </w:tcPr>
          <w:p w14:paraId="329CDA74" w14:textId="486FA0EF"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467560A4" w14:textId="207FB52F"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49.24</w:t>
            </w:r>
          </w:p>
        </w:tc>
        <w:tc>
          <w:tcPr>
            <w:tcW w:w="1604" w:type="dxa"/>
            <w:vAlign w:val="center"/>
          </w:tcPr>
          <w:p w14:paraId="20095EE1" w14:textId="1B72D25C"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0.406</w:t>
            </w:r>
          </w:p>
        </w:tc>
      </w:tr>
      <w:tr w:rsidR="00D371C2" w:rsidRPr="00587DFD" w14:paraId="5E1C6BC2" w14:textId="77777777" w:rsidTr="006803E5">
        <w:trPr>
          <w:jc w:val="center"/>
        </w:trPr>
        <w:tc>
          <w:tcPr>
            <w:tcW w:w="1885" w:type="dxa"/>
            <w:vAlign w:val="bottom"/>
          </w:tcPr>
          <w:p w14:paraId="1335B56A" w14:textId="601DF7DD"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patients WC</w:t>
            </w:r>
          </w:p>
        </w:tc>
        <w:tc>
          <w:tcPr>
            <w:tcW w:w="1430" w:type="dxa"/>
            <w:vAlign w:val="center"/>
          </w:tcPr>
          <w:p w14:paraId="66D0D758" w14:textId="1EB96D09"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7.8</w:t>
            </w:r>
          </w:p>
        </w:tc>
        <w:tc>
          <w:tcPr>
            <w:tcW w:w="1800" w:type="dxa"/>
            <w:vAlign w:val="center"/>
          </w:tcPr>
          <w:p w14:paraId="0E7D55F0" w14:textId="237130F3"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79569507" w14:textId="0259F379"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43.13</w:t>
            </w:r>
          </w:p>
        </w:tc>
        <w:tc>
          <w:tcPr>
            <w:tcW w:w="1604" w:type="dxa"/>
            <w:vAlign w:val="center"/>
          </w:tcPr>
          <w:p w14:paraId="09A01A44" w14:textId="1EFCDC2E"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0.463</w:t>
            </w:r>
          </w:p>
        </w:tc>
      </w:tr>
      <w:tr w:rsidR="00D371C2" w:rsidRPr="00587DFD" w14:paraId="0130CAA6" w14:textId="77777777" w:rsidTr="006803E5">
        <w:trPr>
          <w:jc w:val="center"/>
        </w:trPr>
        <w:tc>
          <w:tcPr>
            <w:tcW w:w="1885" w:type="dxa"/>
            <w:vAlign w:val="bottom"/>
          </w:tcPr>
          <w:p w14:paraId="035ECF24" w14:textId="78BACE2C"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uptake room2</w:t>
            </w:r>
          </w:p>
        </w:tc>
        <w:tc>
          <w:tcPr>
            <w:tcW w:w="1430" w:type="dxa"/>
            <w:vAlign w:val="center"/>
          </w:tcPr>
          <w:p w14:paraId="248255AA" w14:textId="4A98AE23"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9.3</w:t>
            </w:r>
          </w:p>
        </w:tc>
        <w:tc>
          <w:tcPr>
            <w:tcW w:w="1800" w:type="dxa"/>
            <w:vAlign w:val="center"/>
          </w:tcPr>
          <w:p w14:paraId="673D4D80" w14:textId="19C13093"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35D314E5" w14:textId="7E8A2383"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30.33</w:t>
            </w:r>
          </w:p>
        </w:tc>
        <w:tc>
          <w:tcPr>
            <w:tcW w:w="1604" w:type="dxa"/>
            <w:vAlign w:val="center"/>
          </w:tcPr>
          <w:p w14:paraId="7DD57685" w14:textId="6597927F"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0.659</w:t>
            </w:r>
          </w:p>
        </w:tc>
      </w:tr>
      <w:tr w:rsidR="00D371C2" w:rsidRPr="00587DFD" w14:paraId="787B677B" w14:textId="77777777" w:rsidTr="006803E5">
        <w:trPr>
          <w:jc w:val="center"/>
        </w:trPr>
        <w:tc>
          <w:tcPr>
            <w:tcW w:w="1885" w:type="dxa"/>
            <w:vAlign w:val="bottom"/>
          </w:tcPr>
          <w:p w14:paraId="47DAFF5F" w14:textId="3184559D"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uptake room3</w:t>
            </w:r>
          </w:p>
        </w:tc>
        <w:tc>
          <w:tcPr>
            <w:tcW w:w="1430" w:type="dxa"/>
            <w:vAlign w:val="center"/>
          </w:tcPr>
          <w:p w14:paraId="72DFCCA3" w14:textId="64684488"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sz w:val="24"/>
                <w:szCs w:val="24"/>
              </w:rPr>
              <w:t>13.8</w:t>
            </w:r>
          </w:p>
        </w:tc>
        <w:tc>
          <w:tcPr>
            <w:tcW w:w="1800" w:type="dxa"/>
            <w:vAlign w:val="center"/>
          </w:tcPr>
          <w:p w14:paraId="3783BAC7" w14:textId="65F24154"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53A12C60" w14:textId="2B18F5C2"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13.77</w:t>
            </w:r>
          </w:p>
        </w:tc>
        <w:tc>
          <w:tcPr>
            <w:tcW w:w="1604" w:type="dxa"/>
            <w:vAlign w:val="center"/>
          </w:tcPr>
          <w:p w14:paraId="69302EAC" w14:textId="0786A80D"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1.45</w:t>
            </w:r>
            <w:r w:rsidR="00F316E6" w:rsidRPr="00587DFD">
              <w:rPr>
                <w:rFonts w:asciiTheme="majorBidi" w:hAnsiTheme="majorBidi" w:cstheme="majorBidi"/>
                <w:color w:val="000000"/>
                <w:sz w:val="24"/>
                <w:szCs w:val="24"/>
              </w:rPr>
              <w:t>0</w:t>
            </w:r>
          </w:p>
        </w:tc>
      </w:tr>
      <w:tr w:rsidR="00D371C2" w:rsidRPr="00587DFD" w14:paraId="011FFDA0" w14:textId="77777777" w:rsidTr="006803E5">
        <w:trPr>
          <w:jc w:val="center"/>
        </w:trPr>
        <w:tc>
          <w:tcPr>
            <w:tcW w:w="1885" w:type="dxa"/>
            <w:vAlign w:val="bottom"/>
          </w:tcPr>
          <w:p w14:paraId="313DC236" w14:textId="634013AB"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office 1</w:t>
            </w:r>
          </w:p>
        </w:tc>
        <w:tc>
          <w:tcPr>
            <w:tcW w:w="1430" w:type="dxa"/>
            <w:vAlign w:val="center"/>
          </w:tcPr>
          <w:p w14:paraId="218D89C8" w14:textId="0F19FCF6"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sz w:val="24"/>
                <w:szCs w:val="24"/>
              </w:rPr>
              <w:t>13.1</w:t>
            </w:r>
          </w:p>
        </w:tc>
        <w:tc>
          <w:tcPr>
            <w:tcW w:w="1800" w:type="dxa"/>
            <w:vAlign w:val="center"/>
          </w:tcPr>
          <w:p w14:paraId="29505415" w14:textId="3B9BE022"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09B66187" w14:textId="3EFA802F"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15.29</w:t>
            </w:r>
          </w:p>
        </w:tc>
        <w:tc>
          <w:tcPr>
            <w:tcW w:w="1604" w:type="dxa"/>
            <w:vAlign w:val="center"/>
          </w:tcPr>
          <w:p w14:paraId="34C83EDA" w14:textId="4881988B"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1.3</w:t>
            </w:r>
            <w:r w:rsidR="00F316E6" w:rsidRPr="00587DFD">
              <w:rPr>
                <w:rFonts w:asciiTheme="majorBidi" w:hAnsiTheme="majorBidi" w:cstheme="majorBidi"/>
                <w:color w:val="000000"/>
                <w:sz w:val="24"/>
                <w:szCs w:val="24"/>
              </w:rPr>
              <w:t>00</w:t>
            </w:r>
          </w:p>
        </w:tc>
      </w:tr>
      <w:tr w:rsidR="00D371C2" w:rsidRPr="00587DFD" w14:paraId="029D66E8" w14:textId="77777777" w:rsidTr="006803E5">
        <w:trPr>
          <w:jc w:val="center"/>
        </w:trPr>
        <w:tc>
          <w:tcPr>
            <w:tcW w:w="1885" w:type="dxa"/>
            <w:vAlign w:val="bottom"/>
          </w:tcPr>
          <w:p w14:paraId="01D3495C" w14:textId="2C3F6C0D"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office 2</w:t>
            </w:r>
          </w:p>
        </w:tc>
        <w:tc>
          <w:tcPr>
            <w:tcW w:w="1430" w:type="dxa"/>
            <w:vAlign w:val="center"/>
          </w:tcPr>
          <w:p w14:paraId="5D76CA7A" w14:textId="1CF24AF2"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sz w:val="24"/>
                <w:szCs w:val="24"/>
              </w:rPr>
              <w:t>12.8</w:t>
            </w:r>
          </w:p>
        </w:tc>
        <w:tc>
          <w:tcPr>
            <w:tcW w:w="1800" w:type="dxa"/>
            <w:vAlign w:val="center"/>
          </w:tcPr>
          <w:p w14:paraId="21B1FF81" w14:textId="0B39987E"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44A3AA5E" w14:textId="1378ECAC"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16.01</w:t>
            </w:r>
          </w:p>
        </w:tc>
        <w:tc>
          <w:tcPr>
            <w:tcW w:w="1604" w:type="dxa"/>
            <w:vAlign w:val="center"/>
          </w:tcPr>
          <w:p w14:paraId="55CBB2F6" w14:textId="2EC5D94D"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1.24</w:t>
            </w:r>
            <w:r w:rsidR="00F316E6" w:rsidRPr="00587DFD">
              <w:rPr>
                <w:rFonts w:asciiTheme="majorBidi" w:hAnsiTheme="majorBidi" w:cstheme="majorBidi"/>
                <w:color w:val="000000"/>
                <w:sz w:val="24"/>
                <w:szCs w:val="24"/>
              </w:rPr>
              <w:t>0</w:t>
            </w:r>
          </w:p>
        </w:tc>
      </w:tr>
      <w:tr w:rsidR="00D371C2" w:rsidRPr="00587DFD" w14:paraId="151A15D8" w14:textId="77777777" w:rsidTr="006803E5">
        <w:trPr>
          <w:jc w:val="center"/>
        </w:trPr>
        <w:tc>
          <w:tcPr>
            <w:tcW w:w="1885" w:type="dxa"/>
            <w:vAlign w:val="bottom"/>
          </w:tcPr>
          <w:p w14:paraId="2044B88C" w14:textId="1820FBE7"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patients change</w:t>
            </w:r>
          </w:p>
        </w:tc>
        <w:tc>
          <w:tcPr>
            <w:tcW w:w="1430" w:type="dxa"/>
            <w:vAlign w:val="center"/>
          </w:tcPr>
          <w:p w14:paraId="631964EE" w14:textId="5E5D5393"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7.3</w:t>
            </w:r>
          </w:p>
        </w:tc>
        <w:tc>
          <w:tcPr>
            <w:tcW w:w="1800" w:type="dxa"/>
            <w:vAlign w:val="center"/>
          </w:tcPr>
          <w:p w14:paraId="07689028" w14:textId="737283DD"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516EF1F9" w14:textId="674CA842"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49.24</w:t>
            </w:r>
          </w:p>
        </w:tc>
        <w:tc>
          <w:tcPr>
            <w:tcW w:w="1604" w:type="dxa"/>
            <w:vAlign w:val="center"/>
          </w:tcPr>
          <w:p w14:paraId="2845B413" w14:textId="1737505F"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0.406</w:t>
            </w:r>
          </w:p>
        </w:tc>
      </w:tr>
      <w:tr w:rsidR="005E5D68" w:rsidRPr="00587DFD" w14:paraId="21B8A9BF" w14:textId="77777777" w:rsidTr="006803E5">
        <w:trPr>
          <w:jc w:val="center"/>
        </w:trPr>
        <w:tc>
          <w:tcPr>
            <w:tcW w:w="1885" w:type="dxa"/>
            <w:vAlign w:val="bottom"/>
          </w:tcPr>
          <w:p w14:paraId="5D8F6806" w14:textId="38FFF30F" w:rsidR="005E5D68" w:rsidRPr="00587DFD" w:rsidRDefault="005E5D68"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store</w:t>
            </w:r>
          </w:p>
        </w:tc>
        <w:tc>
          <w:tcPr>
            <w:tcW w:w="1430" w:type="dxa"/>
            <w:vAlign w:val="center"/>
          </w:tcPr>
          <w:p w14:paraId="5D440368" w14:textId="3D5C0698" w:rsidR="005E5D68"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5E5D68" w:rsidRPr="00587DFD">
              <w:rPr>
                <w:rFonts w:asciiTheme="majorBidi" w:hAnsiTheme="majorBidi" w:cstheme="majorBidi"/>
                <w:sz w:val="24"/>
                <w:szCs w:val="24"/>
              </w:rPr>
              <w:t>7.3</w:t>
            </w:r>
          </w:p>
        </w:tc>
        <w:tc>
          <w:tcPr>
            <w:tcW w:w="1800" w:type="dxa"/>
            <w:vAlign w:val="center"/>
          </w:tcPr>
          <w:p w14:paraId="61969EF2" w14:textId="62AF202F" w:rsidR="005E5D68"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5E5D68" w:rsidRPr="00587DFD">
              <w:rPr>
                <w:rFonts w:asciiTheme="majorBidi" w:eastAsia="Times New Roman" w:hAnsiTheme="majorBidi" w:cstheme="majorBidi"/>
                <w:sz w:val="24"/>
                <w:szCs w:val="24"/>
              </w:rPr>
              <w:t>20</w:t>
            </w:r>
          </w:p>
        </w:tc>
        <w:tc>
          <w:tcPr>
            <w:tcW w:w="1620" w:type="dxa"/>
            <w:vAlign w:val="center"/>
          </w:tcPr>
          <w:p w14:paraId="6A5C91EA" w14:textId="3C03F5B5" w:rsidR="005E5D68" w:rsidRPr="00587DFD" w:rsidRDefault="005E5D68"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49.24</w:t>
            </w:r>
          </w:p>
        </w:tc>
        <w:tc>
          <w:tcPr>
            <w:tcW w:w="1604" w:type="dxa"/>
            <w:vAlign w:val="center"/>
          </w:tcPr>
          <w:p w14:paraId="7C569C57" w14:textId="3CA4417A" w:rsidR="005E5D68" w:rsidRPr="00587DFD" w:rsidRDefault="005E5D68"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0.406</w:t>
            </w:r>
          </w:p>
        </w:tc>
      </w:tr>
      <w:tr w:rsidR="00D371C2" w:rsidRPr="00587DFD" w14:paraId="36E535CE" w14:textId="77777777" w:rsidTr="00A22664">
        <w:trPr>
          <w:trHeight w:val="377"/>
          <w:jc w:val="center"/>
        </w:trPr>
        <w:tc>
          <w:tcPr>
            <w:tcW w:w="1885" w:type="dxa"/>
            <w:vAlign w:val="bottom"/>
          </w:tcPr>
          <w:p w14:paraId="6183E471" w14:textId="446C83D7" w:rsidR="00D371C2" w:rsidRPr="00587DFD" w:rsidRDefault="00D371C2" w:rsidP="00821407">
            <w:pPr>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lastRenderedPageBreak/>
              <w:t>control room</w:t>
            </w:r>
          </w:p>
        </w:tc>
        <w:tc>
          <w:tcPr>
            <w:tcW w:w="1430" w:type="dxa"/>
            <w:vAlign w:val="center"/>
          </w:tcPr>
          <w:p w14:paraId="5A1A78BC" w14:textId="1870CA49" w:rsidR="00D371C2" w:rsidRPr="00587DFD" w:rsidRDefault="005D70E5" w:rsidP="00A22664">
            <w:pPr>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5E5D68" w:rsidRPr="00587DFD">
              <w:rPr>
                <w:rFonts w:asciiTheme="majorBidi" w:hAnsiTheme="majorBidi" w:cstheme="majorBidi"/>
                <w:sz w:val="24"/>
                <w:szCs w:val="24"/>
              </w:rPr>
              <w:t>5.</w:t>
            </w:r>
            <w:r w:rsidR="00E04B4A">
              <w:rPr>
                <w:rFonts w:asciiTheme="majorBidi" w:hAnsiTheme="majorBidi" w:cstheme="majorBidi"/>
                <w:sz w:val="24"/>
                <w:szCs w:val="24"/>
              </w:rPr>
              <w:t>0</w:t>
            </w:r>
          </w:p>
        </w:tc>
        <w:tc>
          <w:tcPr>
            <w:tcW w:w="1800" w:type="dxa"/>
            <w:vAlign w:val="center"/>
          </w:tcPr>
          <w:p w14:paraId="1BDFA669" w14:textId="242C5129" w:rsidR="00D371C2" w:rsidRPr="00587DFD" w:rsidRDefault="00B80122" w:rsidP="00A22664">
            <w:pPr>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100</w:t>
            </w:r>
          </w:p>
        </w:tc>
        <w:tc>
          <w:tcPr>
            <w:tcW w:w="1620" w:type="dxa"/>
            <w:vAlign w:val="center"/>
          </w:tcPr>
          <w:p w14:paraId="6DFFB813" w14:textId="084779C6" w:rsidR="00D371C2" w:rsidRPr="00587DFD" w:rsidRDefault="00E04B4A" w:rsidP="00A22664">
            <w:pPr>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118</w:t>
            </w:r>
            <w:r w:rsidR="00D371C2" w:rsidRPr="00587DFD">
              <w:rPr>
                <w:rFonts w:asciiTheme="majorBidi" w:eastAsia="Times New Roman" w:hAnsiTheme="majorBidi" w:cstheme="majorBidi"/>
                <w:sz w:val="24"/>
                <w:szCs w:val="24"/>
              </w:rPr>
              <w:t>.</w:t>
            </w:r>
            <w:r>
              <w:rPr>
                <w:rFonts w:asciiTheme="majorBidi" w:eastAsia="Times New Roman" w:hAnsiTheme="majorBidi" w:cstheme="majorBidi"/>
                <w:sz w:val="24"/>
                <w:szCs w:val="24"/>
              </w:rPr>
              <w:t>78</w:t>
            </w:r>
          </w:p>
        </w:tc>
        <w:tc>
          <w:tcPr>
            <w:tcW w:w="1604" w:type="dxa"/>
            <w:vAlign w:val="center"/>
          </w:tcPr>
          <w:p w14:paraId="06459802" w14:textId="24031A51" w:rsidR="00D371C2" w:rsidRPr="00587DFD" w:rsidRDefault="00D371C2" w:rsidP="00A22664">
            <w:pPr>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w:t>
            </w:r>
            <w:r w:rsidR="00E04B4A">
              <w:rPr>
                <w:rFonts w:asciiTheme="majorBidi" w:hAnsiTheme="majorBidi" w:cstheme="majorBidi"/>
                <w:color w:val="000000"/>
                <w:sz w:val="24"/>
                <w:szCs w:val="24"/>
              </w:rPr>
              <w:t>841</w:t>
            </w:r>
          </w:p>
        </w:tc>
      </w:tr>
      <w:tr w:rsidR="00D371C2" w:rsidRPr="00587DFD" w14:paraId="3F2C16DB" w14:textId="77777777" w:rsidTr="006803E5">
        <w:trPr>
          <w:jc w:val="center"/>
        </w:trPr>
        <w:tc>
          <w:tcPr>
            <w:tcW w:w="1885" w:type="dxa"/>
            <w:vAlign w:val="bottom"/>
          </w:tcPr>
          <w:p w14:paraId="5F66D023" w14:textId="2E613BCE" w:rsidR="00D371C2" w:rsidRPr="00587DFD" w:rsidRDefault="00821407" w:rsidP="00821407">
            <w:pPr>
              <w:spacing w:before="100" w:beforeAutospacing="1" w:after="100" w:afterAutospacing="1"/>
              <w:jc w:val="center"/>
              <w:outlineLvl w:val="2"/>
              <w:rPr>
                <w:rFonts w:asciiTheme="majorBidi" w:eastAsia="Times New Roman" w:hAnsiTheme="majorBidi" w:cstheme="majorBidi"/>
                <w:b/>
                <w:bCs/>
                <w:sz w:val="24"/>
                <w:szCs w:val="24"/>
              </w:rPr>
            </w:pPr>
            <w:r>
              <w:rPr>
                <w:rFonts w:asciiTheme="majorBidi" w:hAnsiTheme="majorBidi" w:cstheme="majorBidi"/>
                <w:color w:val="000000"/>
                <w:sz w:val="24"/>
                <w:szCs w:val="24"/>
              </w:rPr>
              <w:t xml:space="preserve">Staff </w:t>
            </w:r>
            <w:r w:rsidRPr="00587DFD">
              <w:rPr>
                <w:rFonts w:asciiTheme="majorBidi" w:hAnsiTheme="majorBidi" w:cstheme="majorBidi"/>
                <w:color w:val="000000"/>
                <w:sz w:val="24"/>
                <w:szCs w:val="24"/>
              </w:rPr>
              <w:t>room</w:t>
            </w:r>
          </w:p>
        </w:tc>
        <w:tc>
          <w:tcPr>
            <w:tcW w:w="1430" w:type="dxa"/>
            <w:vAlign w:val="center"/>
          </w:tcPr>
          <w:p w14:paraId="637F3C64" w14:textId="5761B1F5"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8.</w:t>
            </w:r>
            <w:r w:rsidR="005E5D68" w:rsidRPr="00587DFD">
              <w:rPr>
                <w:rFonts w:asciiTheme="majorBidi" w:hAnsiTheme="majorBidi" w:cstheme="majorBidi"/>
                <w:sz w:val="24"/>
                <w:szCs w:val="24"/>
              </w:rPr>
              <w:t>8</w:t>
            </w:r>
          </w:p>
        </w:tc>
        <w:tc>
          <w:tcPr>
            <w:tcW w:w="1800" w:type="dxa"/>
            <w:vAlign w:val="center"/>
          </w:tcPr>
          <w:p w14:paraId="064BC063" w14:textId="1EF7987A" w:rsidR="00D371C2" w:rsidRPr="00587DFD" w:rsidRDefault="00791DCC"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100</w:t>
            </w:r>
          </w:p>
        </w:tc>
        <w:tc>
          <w:tcPr>
            <w:tcW w:w="1620" w:type="dxa"/>
            <w:vAlign w:val="center"/>
          </w:tcPr>
          <w:p w14:paraId="23203822" w14:textId="3743F5C8"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33.88</w:t>
            </w:r>
          </w:p>
        </w:tc>
        <w:tc>
          <w:tcPr>
            <w:tcW w:w="1604" w:type="dxa"/>
            <w:vAlign w:val="center"/>
          </w:tcPr>
          <w:p w14:paraId="26164399" w14:textId="7F016812" w:rsidR="00D371C2" w:rsidRPr="00587DFD" w:rsidRDefault="003158AF"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2.95</w:t>
            </w:r>
            <w:r w:rsidR="00F316E6" w:rsidRPr="00587DFD">
              <w:rPr>
                <w:rFonts w:asciiTheme="majorBidi" w:hAnsiTheme="majorBidi" w:cstheme="majorBidi"/>
                <w:color w:val="000000"/>
                <w:sz w:val="24"/>
                <w:szCs w:val="24"/>
              </w:rPr>
              <w:t>2</w:t>
            </w:r>
          </w:p>
        </w:tc>
      </w:tr>
      <w:tr w:rsidR="00D371C2" w:rsidRPr="00587DFD" w14:paraId="41F1F399" w14:textId="77777777" w:rsidTr="006803E5">
        <w:trPr>
          <w:jc w:val="center"/>
        </w:trPr>
        <w:tc>
          <w:tcPr>
            <w:tcW w:w="1885" w:type="dxa"/>
            <w:vAlign w:val="bottom"/>
          </w:tcPr>
          <w:p w14:paraId="489B0970" w14:textId="395C7EFE" w:rsidR="00D371C2" w:rsidRPr="00587DFD" w:rsidRDefault="00A6302F"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C</w:t>
            </w:r>
            <w:r w:rsidR="00D371C2" w:rsidRPr="00587DFD">
              <w:rPr>
                <w:rFonts w:asciiTheme="majorBidi" w:hAnsiTheme="majorBidi" w:cstheme="majorBidi"/>
                <w:color w:val="000000"/>
                <w:sz w:val="24"/>
                <w:szCs w:val="24"/>
              </w:rPr>
              <w:t>ontrol</w:t>
            </w:r>
            <w:r>
              <w:rPr>
                <w:rFonts w:asciiTheme="majorBidi" w:hAnsiTheme="majorBidi" w:cstheme="majorBidi"/>
                <w:color w:val="000000"/>
                <w:sz w:val="24"/>
                <w:szCs w:val="24"/>
              </w:rPr>
              <w:t xml:space="preserve"> </w:t>
            </w:r>
            <w:r w:rsidR="00D371C2" w:rsidRPr="00587DFD">
              <w:rPr>
                <w:rFonts w:asciiTheme="majorBidi" w:hAnsiTheme="majorBidi" w:cstheme="majorBidi"/>
                <w:color w:val="000000"/>
                <w:sz w:val="24"/>
                <w:szCs w:val="24"/>
              </w:rPr>
              <w:t>corridor</w:t>
            </w:r>
          </w:p>
        </w:tc>
        <w:tc>
          <w:tcPr>
            <w:tcW w:w="1430" w:type="dxa"/>
            <w:vAlign w:val="center"/>
          </w:tcPr>
          <w:p w14:paraId="6A6DA30A" w14:textId="59F4F059"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3.0</w:t>
            </w:r>
          </w:p>
        </w:tc>
        <w:tc>
          <w:tcPr>
            <w:tcW w:w="1800" w:type="dxa"/>
            <w:vAlign w:val="center"/>
          </w:tcPr>
          <w:p w14:paraId="7EC5F144" w14:textId="233CB161"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100</w:t>
            </w:r>
          </w:p>
        </w:tc>
        <w:tc>
          <w:tcPr>
            <w:tcW w:w="1620" w:type="dxa"/>
            <w:vAlign w:val="center"/>
          </w:tcPr>
          <w:p w14:paraId="0AC5A6E8" w14:textId="7D638F9A" w:rsidR="00D371C2" w:rsidRPr="00587DFD" w:rsidRDefault="000760B4"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291</w:t>
            </w:r>
            <w:r w:rsidR="00D371C2" w:rsidRPr="00587DFD">
              <w:rPr>
                <w:rFonts w:asciiTheme="majorBidi" w:eastAsia="Times New Roman" w:hAnsiTheme="majorBidi" w:cstheme="majorBidi"/>
                <w:sz w:val="24"/>
                <w:szCs w:val="24"/>
              </w:rPr>
              <w:t>.5</w:t>
            </w:r>
            <w:r w:rsidR="00F316E6" w:rsidRPr="00587DFD">
              <w:rPr>
                <w:rFonts w:asciiTheme="majorBidi" w:eastAsia="Times New Roman" w:hAnsiTheme="majorBidi" w:cstheme="majorBidi"/>
                <w:sz w:val="24"/>
                <w:szCs w:val="24"/>
              </w:rPr>
              <w:t>0</w:t>
            </w:r>
          </w:p>
        </w:tc>
        <w:tc>
          <w:tcPr>
            <w:tcW w:w="1604" w:type="dxa"/>
            <w:vAlign w:val="center"/>
          </w:tcPr>
          <w:p w14:paraId="5BA0C6A8" w14:textId="511E3BFB"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w:t>
            </w:r>
            <w:r w:rsidR="000760B4" w:rsidRPr="00587DFD">
              <w:rPr>
                <w:rFonts w:asciiTheme="majorBidi" w:hAnsiTheme="majorBidi" w:cstheme="majorBidi"/>
                <w:color w:val="000000"/>
                <w:sz w:val="24"/>
                <w:szCs w:val="24"/>
              </w:rPr>
              <w:t>343</w:t>
            </w:r>
          </w:p>
        </w:tc>
      </w:tr>
      <w:tr w:rsidR="00D371C2" w:rsidRPr="00587DFD" w14:paraId="4549FC63" w14:textId="77777777" w:rsidTr="006803E5">
        <w:trPr>
          <w:jc w:val="center"/>
        </w:trPr>
        <w:tc>
          <w:tcPr>
            <w:tcW w:w="1885" w:type="dxa"/>
            <w:vAlign w:val="bottom"/>
          </w:tcPr>
          <w:p w14:paraId="59F9D9EA" w14:textId="302606BE" w:rsidR="00D371C2" w:rsidRPr="00587DFD" w:rsidRDefault="00D371C2" w:rsidP="00821407">
            <w:pPr>
              <w:spacing w:before="100" w:beforeAutospacing="1" w:after="100" w:afterAutospacing="1"/>
              <w:jc w:val="center"/>
              <w:outlineLvl w:val="2"/>
              <w:rPr>
                <w:rFonts w:asciiTheme="majorBidi" w:eastAsia="Times New Roman" w:hAnsiTheme="majorBidi" w:cstheme="majorBidi"/>
                <w:b/>
                <w:bCs/>
                <w:sz w:val="24"/>
                <w:szCs w:val="24"/>
              </w:rPr>
            </w:pPr>
            <w:r w:rsidRPr="00587DFD">
              <w:rPr>
                <w:rFonts w:asciiTheme="majorBidi" w:hAnsiTheme="majorBidi" w:cstheme="majorBidi"/>
                <w:color w:val="000000"/>
                <w:sz w:val="24"/>
                <w:szCs w:val="24"/>
              </w:rPr>
              <w:t>exit corridor</w:t>
            </w:r>
          </w:p>
        </w:tc>
        <w:tc>
          <w:tcPr>
            <w:tcW w:w="1430" w:type="dxa"/>
            <w:vAlign w:val="center"/>
          </w:tcPr>
          <w:p w14:paraId="3002979A" w14:textId="24B57933"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hAnsiTheme="majorBidi" w:cstheme="majorBidi"/>
                <w:sz w:val="24"/>
                <w:szCs w:val="24"/>
              </w:rPr>
              <w:t>0</w:t>
            </w:r>
            <w:r w:rsidR="00D371C2" w:rsidRPr="00587DFD">
              <w:rPr>
                <w:rFonts w:asciiTheme="majorBidi" w:hAnsiTheme="majorBidi" w:cstheme="majorBidi"/>
                <w:sz w:val="24"/>
                <w:szCs w:val="24"/>
              </w:rPr>
              <w:t>8.2</w:t>
            </w:r>
          </w:p>
        </w:tc>
        <w:tc>
          <w:tcPr>
            <w:tcW w:w="1800" w:type="dxa"/>
            <w:vAlign w:val="center"/>
          </w:tcPr>
          <w:p w14:paraId="6129C949" w14:textId="60F75E76" w:rsidR="00D371C2" w:rsidRPr="00587DFD" w:rsidRDefault="005D70E5" w:rsidP="00F316E6">
            <w:pPr>
              <w:spacing w:before="100" w:beforeAutospacing="1" w:after="100" w:afterAutospacing="1"/>
              <w:jc w:val="center"/>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0</w:t>
            </w:r>
            <w:r w:rsidR="00D371C2" w:rsidRPr="00587DFD">
              <w:rPr>
                <w:rFonts w:asciiTheme="majorBidi" w:eastAsia="Times New Roman" w:hAnsiTheme="majorBidi" w:cstheme="majorBidi"/>
                <w:sz w:val="24"/>
                <w:szCs w:val="24"/>
              </w:rPr>
              <w:t>20</w:t>
            </w:r>
          </w:p>
        </w:tc>
        <w:tc>
          <w:tcPr>
            <w:tcW w:w="1620" w:type="dxa"/>
            <w:vAlign w:val="center"/>
          </w:tcPr>
          <w:p w14:paraId="1B1BE936" w14:textId="21BFCC09"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eastAsia="Times New Roman" w:hAnsiTheme="majorBidi" w:cstheme="majorBidi"/>
                <w:sz w:val="24"/>
                <w:szCs w:val="24"/>
              </w:rPr>
              <w:t>3</w:t>
            </w:r>
            <w:r w:rsidR="000760B4" w:rsidRPr="00587DFD">
              <w:rPr>
                <w:rFonts w:asciiTheme="majorBidi" w:eastAsia="Times New Roman" w:hAnsiTheme="majorBidi" w:cstheme="majorBidi"/>
                <w:sz w:val="24"/>
                <w:szCs w:val="24"/>
              </w:rPr>
              <w:t>9</w:t>
            </w:r>
            <w:r w:rsidRPr="00587DFD">
              <w:rPr>
                <w:rFonts w:asciiTheme="majorBidi" w:eastAsia="Times New Roman" w:hAnsiTheme="majorBidi" w:cstheme="majorBidi"/>
                <w:sz w:val="24"/>
                <w:szCs w:val="24"/>
              </w:rPr>
              <w:t>.</w:t>
            </w:r>
            <w:r w:rsidR="000760B4" w:rsidRPr="00587DFD">
              <w:rPr>
                <w:rFonts w:asciiTheme="majorBidi" w:eastAsia="Times New Roman" w:hAnsiTheme="majorBidi" w:cstheme="majorBidi"/>
                <w:sz w:val="24"/>
                <w:szCs w:val="24"/>
              </w:rPr>
              <w:t>02</w:t>
            </w:r>
          </w:p>
        </w:tc>
        <w:tc>
          <w:tcPr>
            <w:tcW w:w="1604" w:type="dxa"/>
            <w:vAlign w:val="center"/>
          </w:tcPr>
          <w:p w14:paraId="18CE817B" w14:textId="7BC92ADC" w:rsidR="00D371C2" w:rsidRPr="00587DFD" w:rsidRDefault="00D371C2" w:rsidP="00F316E6">
            <w:pPr>
              <w:spacing w:before="100" w:beforeAutospacing="1" w:after="100" w:afterAutospacing="1"/>
              <w:jc w:val="center"/>
              <w:outlineLvl w:val="2"/>
              <w:rPr>
                <w:rFonts w:asciiTheme="majorBidi" w:eastAsia="Times New Roman" w:hAnsiTheme="majorBidi" w:cstheme="majorBidi"/>
                <w:sz w:val="24"/>
                <w:szCs w:val="24"/>
              </w:rPr>
            </w:pPr>
            <w:r w:rsidRPr="00587DFD">
              <w:rPr>
                <w:rFonts w:asciiTheme="majorBidi" w:hAnsiTheme="majorBidi" w:cstheme="majorBidi"/>
                <w:color w:val="000000"/>
                <w:sz w:val="24"/>
                <w:szCs w:val="24"/>
              </w:rPr>
              <w:t>0.5</w:t>
            </w:r>
            <w:r w:rsidR="000760B4" w:rsidRPr="00587DFD">
              <w:rPr>
                <w:rFonts w:asciiTheme="majorBidi" w:hAnsiTheme="majorBidi" w:cstheme="majorBidi"/>
                <w:color w:val="000000"/>
                <w:sz w:val="24"/>
                <w:szCs w:val="24"/>
              </w:rPr>
              <w:t>12</w:t>
            </w:r>
          </w:p>
        </w:tc>
      </w:tr>
    </w:tbl>
    <w:p w14:paraId="2FBB699E" w14:textId="77777777" w:rsidR="00A203B8" w:rsidRDefault="00A203B8" w:rsidP="00A203B8">
      <w:pPr>
        <w:jc w:val="both"/>
        <w:outlineLvl w:val="2"/>
        <w:rPr>
          <w:rFonts w:ascii="Times New Roman" w:eastAsia="Times New Roman" w:hAnsi="Times New Roman" w:cs="Times New Roman"/>
          <w:b/>
          <w:bCs/>
          <w:sz w:val="24"/>
          <w:szCs w:val="24"/>
          <w:rtl/>
        </w:rPr>
      </w:pPr>
    </w:p>
    <w:p w14:paraId="4FA78B14" w14:textId="77777777" w:rsidR="006952BB" w:rsidRDefault="00933FF8" w:rsidP="006952BB">
      <w:pPr>
        <w:jc w:val="both"/>
        <w:outlineLvl w:val="2"/>
      </w:pPr>
      <w:r w:rsidRPr="00511194">
        <w:rPr>
          <w:rFonts w:ascii="Times New Roman" w:eastAsia="Times New Roman" w:hAnsi="Times New Roman" w:cs="Times New Roman"/>
          <w:b/>
          <w:bCs/>
          <w:sz w:val="24"/>
          <w:szCs w:val="24"/>
        </w:rPr>
        <w:t>Table 3</w:t>
      </w:r>
      <w:r w:rsidRPr="00933FF8">
        <w:rPr>
          <w:rFonts w:ascii="Times New Roman" w:eastAsia="Times New Roman" w:hAnsi="Times New Roman" w:cs="Times New Roman"/>
          <w:sz w:val="24"/>
          <w:szCs w:val="24"/>
        </w:rPr>
        <w:t xml:space="preserve"> </w:t>
      </w:r>
      <w:r w:rsidR="006952BB" w:rsidRPr="006952BB">
        <w:rPr>
          <w:rFonts w:ascii="Times New Roman" w:eastAsia="Times New Roman" w:hAnsi="Times New Roman" w:cs="Times New Roman"/>
          <w:sz w:val="24"/>
          <w:szCs w:val="24"/>
        </w:rPr>
        <w:t>summarizes the calculated radiation doses and transmission factors at several locations surrounding the PET facility shown in Figure 1. These estimates were obtained using the analytical methodology described earlier, incorporating scanner geometry, source-to-point distance, occupancy factors, and applicable dose limits for controlled and uncontrolled areas. The transmission factor represents the fraction of photons penetrating each barrier and therefore provides a direct measure of shielding effectiveness. The results reflect realistic operating conditions for an ¹⁸F-based PET facility and demonstrate that all assessed locations remain within internationally accepted dose limits, confirming the adequacy of the proposed shielding design.</w:t>
      </w:r>
    </w:p>
    <w:p w14:paraId="0B266169" w14:textId="71EDECEF" w:rsidR="006952BB" w:rsidRPr="006952BB" w:rsidRDefault="006952BB" w:rsidP="006952BB">
      <w:pPr>
        <w:jc w:val="both"/>
        <w:outlineLvl w:val="2"/>
      </w:pPr>
      <w:r w:rsidRPr="006952BB">
        <w:rPr>
          <w:rFonts w:ascii="Times New Roman" w:eastAsia="Times New Roman" w:hAnsi="Times New Roman" w:cs="Times New Roman"/>
          <w:sz w:val="24"/>
          <w:szCs w:val="24"/>
        </w:rPr>
        <w:t xml:space="preserve">Substantial variation in dose levels was observed across the facility, primarily driven by differences in distance from the PET </w:t>
      </w:r>
      <w:proofErr w:type="spellStart"/>
      <w:r w:rsidRPr="006952BB">
        <w:rPr>
          <w:rFonts w:ascii="Times New Roman" w:eastAsia="Times New Roman" w:hAnsi="Times New Roman" w:cs="Times New Roman"/>
          <w:sz w:val="24"/>
          <w:szCs w:val="24"/>
        </w:rPr>
        <w:t>tomograph</w:t>
      </w:r>
      <w:proofErr w:type="spellEnd"/>
      <w:r w:rsidRPr="006952BB">
        <w:rPr>
          <w:rFonts w:ascii="Times New Roman" w:eastAsia="Times New Roman" w:hAnsi="Times New Roman" w:cs="Times New Roman"/>
          <w:sz w:val="24"/>
          <w:szCs w:val="24"/>
        </w:rPr>
        <w:t xml:space="preserve"> and wall orientation relative to the patient location. The control corridor, located only 3.0 m from the scanner, exhibited the highest calculated dose (291.50 µ</w:t>
      </w:r>
      <w:proofErr w:type="spellStart"/>
      <w:r w:rsidRPr="006952BB">
        <w:rPr>
          <w:rFonts w:ascii="Times New Roman" w:eastAsia="Times New Roman" w:hAnsi="Times New Roman" w:cs="Times New Roman"/>
          <w:sz w:val="24"/>
          <w:szCs w:val="24"/>
        </w:rPr>
        <w:t>Sv</w:t>
      </w:r>
      <w:proofErr w:type="spellEnd"/>
      <w:r w:rsidRPr="006952BB">
        <w:rPr>
          <w:rFonts w:ascii="Times New Roman" w:eastAsia="Times New Roman" w:hAnsi="Times New Roman" w:cs="Times New Roman"/>
          <w:sz w:val="24"/>
          <w:szCs w:val="24"/>
        </w:rPr>
        <w:t>), followed by the control room (118.78 µ</w:t>
      </w:r>
      <w:proofErr w:type="spellStart"/>
      <w:r w:rsidRPr="006952BB">
        <w:rPr>
          <w:rFonts w:ascii="Times New Roman" w:eastAsia="Times New Roman" w:hAnsi="Times New Roman" w:cs="Times New Roman"/>
          <w:sz w:val="24"/>
          <w:szCs w:val="24"/>
        </w:rPr>
        <w:t>Sv</w:t>
      </w:r>
      <w:proofErr w:type="spellEnd"/>
      <w:r w:rsidRPr="006952BB">
        <w:rPr>
          <w:rFonts w:ascii="Times New Roman" w:eastAsia="Times New Roman" w:hAnsi="Times New Roman" w:cs="Times New Roman"/>
          <w:sz w:val="24"/>
          <w:szCs w:val="24"/>
        </w:rPr>
        <w:t>). In contrast, peripheral areas such as Uptake Room 3 and Offices 1 and 2 showed transmission factors equal to or greater than unity (T ≥ 1), indicating that existing structural separation provides sufficient attenuation and that no additional shielding is required for these locations under routine operating conditions.</w:t>
      </w:r>
    </w:p>
    <w:p w14:paraId="3821BE61" w14:textId="671CD8F8" w:rsidR="00A203B8" w:rsidRDefault="00A203B8" w:rsidP="00511194">
      <w:pPr>
        <w:jc w:val="both"/>
        <w:outlineLvl w:val="2"/>
        <w:rPr>
          <w:rFonts w:asciiTheme="majorBidi" w:eastAsia="Times New Roman" w:hAnsiTheme="majorBidi" w:cstheme="majorBidi"/>
          <w:b/>
          <w:bCs/>
          <w:sz w:val="24"/>
          <w:szCs w:val="24"/>
        </w:rPr>
      </w:pPr>
      <w:r w:rsidRPr="00A203B8">
        <w:rPr>
          <w:rFonts w:asciiTheme="majorBidi" w:eastAsia="Times New Roman" w:hAnsiTheme="majorBidi" w:cstheme="majorBidi"/>
          <w:b/>
          <w:bCs/>
          <w:sz w:val="24"/>
          <w:szCs w:val="24"/>
        </w:rPr>
        <w:t>Table 4. Required barrier thicknesses (cm) for concrete, lead, and iron based on analytical transmission factors.</w:t>
      </w:r>
    </w:p>
    <w:p w14:paraId="58BC8B38" w14:textId="77777777" w:rsidR="003515DD" w:rsidRPr="00A203B8" w:rsidRDefault="003515DD" w:rsidP="00511194">
      <w:pPr>
        <w:jc w:val="both"/>
        <w:outlineLvl w:val="2"/>
        <w:rPr>
          <w:rFonts w:asciiTheme="majorBidi" w:eastAsia="Times New Roman" w:hAnsiTheme="majorBidi" w:cstheme="majorBidi"/>
          <w:b/>
          <w:bCs/>
          <w:sz w:val="24"/>
          <w:szCs w:val="24"/>
        </w:rPr>
      </w:pPr>
    </w:p>
    <w:tbl>
      <w:tblPr>
        <w:tblStyle w:val="TableGrid"/>
        <w:tblW w:w="0" w:type="auto"/>
        <w:jc w:val="center"/>
        <w:tblLook w:val="04A0" w:firstRow="1" w:lastRow="0" w:firstColumn="1" w:lastColumn="0" w:noHBand="0" w:noVBand="1"/>
      </w:tblPr>
      <w:tblGrid>
        <w:gridCol w:w="1705"/>
        <w:gridCol w:w="1800"/>
        <w:gridCol w:w="1530"/>
        <w:gridCol w:w="1440"/>
        <w:gridCol w:w="1372"/>
      </w:tblGrid>
      <w:tr w:rsidR="00276A8E" w:rsidRPr="00587DFD" w14:paraId="309D7D45" w14:textId="77777777" w:rsidTr="00560EC6">
        <w:trPr>
          <w:trHeight w:val="368"/>
          <w:jc w:val="center"/>
        </w:trPr>
        <w:tc>
          <w:tcPr>
            <w:tcW w:w="1705" w:type="dxa"/>
            <w:vMerge w:val="restart"/>
            <w:vAlign w:val="center"/>
          </w:tcPr>
          <w:p w14:paraId="6839D50A" w14:textId="70F4B50B" w:rsidR="00276A8E" w:rsidRPr="006356A9" w:rsidRDefault="00276A8E" w:rsidP="00F316E6">
            <w:pPr>
              <w:spacing w:before="100" w:beforeAutospacing="1" w:after="100" w:afterAutospacing="1"/>
              <w:jc w:val="center"/>
              <w:outlineLvl w:val="2"/>
              <w:rPr>
                <w:rFonts w:asciiTheme="majorBidi" w:eastAsia="Times New Roman" w:hAnsiTheme="majorBidi" w:cstheme="majorBidi"/>
                <w:b/>
                <w:bCs/>
              </w:rPr>
            </w:pPr>
            <w:r w:rsidRPr="006356A9">
              <w:rPr>
                <w:rFonts w:asciiTheme="majorBidi" w:eastAsia="Times New Roman" w:hAnsiTheme="majorBidi" w:cstheme="majorBidi"/>
                <w:b/>
                <w:bCs/>
              </w:rPr>
              <w:t>Rooms</w:t>
            </w:r>
          </w:p>
        </w:tc>
        <w:tc>
          <w:tcPr>
            <w:tcW w:w="1800" w:type="dxa"/>
            <w:vMerge w:val="restart"/>
            <w:vAlign w:val="center"/>
          </w:tcPr>
          <w:p w14:paraId="0DAEDC58" w14:textId="5CDEA40F" w:rsidR="00276A8E" w:rsidRPr="006356A9" w:rsidRDefault="00276A8E" w:rsidP="00F316E6">
            <w:pPr>
              <w:spacing w:before="100" w:beforeAutospacing="1" w:after="100" w:afterAutospacing="1"/>
              <w:jc w:val="center"/>
              <w:outlineLvl w:val="2"/>
              <w:rPr>
                <w:rFonts w:asciiTheme="majorBidi" w:eastAsia="Times New Roman" w:hAnsiTheme="majorBidi" w:cstheme="majorBidi"/>
                <w:b/>
                <w:bCs/>
              </w:rPr>
            </w:pPr>
            <w:r w:rsidRPr="006356A9">
              <w:rPr>
                <w:rFonts w:asciiTheme="majorBidi" w:eastAsia="Times New Roman" w:hAnsiTheme="majorBidi" w:cstheme="majorBidi"/>
                <w:b/>
                <w:bCs/>
              </w:rPr>
              <w:t>Transmission</w:t>
            </w:r>
          </w:p>
        </w:tc>
        <w:tc>
          <w:tcPr>
            <w:tcW w:w="4342" w:type="dxa"/>
            <w:gridSpan w:val="3"/>
            <w:vAlign w:val="bottom"/>
          </w:tcPr>
          <w:p w14:paraId="4CBE039D" w14:textId="3B792AD0" w:rsidR="00276A8E" w:rsidRPr="006356A9" w:rsidRDefault="00276A8E" w:rsidP="00276A8E">
            <w:pPr>
              <w:spacing w:before="100" w:beforeAutospacing="1" w:after="100" w:afterAutospacing="1"/>
              <w:jc w:val="center"/>
              <w:outlineLvl w:val="2"/>
              <w:rPr>
                <w:rFonts w:asciiTheme="majorBidi" w:eastAsia="Times New Roman" w:hAnsiTheme="majorBidi" w:cstheme="majorBidi"/>
                <w:b/>
                <w:bCs/>
              </w:rPr>
            </w:pPr>
            <w:r w:rsidRPr="006356A9">
              <w:rPr>
                <w:rFonts w:asciiTheme="majorBidi" w:eastAsia="Times New Roman" w:hAnsiTheme="majorBidi" w:cstheme="majorBidi"/>
                <w:b/>
                <w:bCs/>
              </w:rPr>
              <w:t>Barrier Thickness in</w:t>
            </w:r>
            <w:r w:rsidR="00560EC6" w:rsidRPr="006356A9">
              <w:rPr>
                <w:rFonts w:asciiTheme="majorBidi" w:eastAsia="Times New Roman" w:hAnsiTheme="majorBidi" w:cstheme="majorBidi"/>
                <w:b/>
                <w:bCs/>
              </w:rPr>
              <w:t>(</w:t>
            </w:r>
            <w:r w:rsidRPr="006356A9">
              <w:rPr>
                <w:rFonts w:asciiTheme="majorBidi" w:eastAsia="Times New Roman" w:hAnsiTheme="majorBidi" w:cstheme="majorBidi"/>
                <w:b/>
                <w:bCs/>
              </w:rPr>
              <w:t>cm</w:t>
            </w:r>
            <w:r w:rsidR="00560EC6" w:rsidRPr="006356A9">
              <w:rPr>
                <w:rFonts w:asciiTheme="majorBidi" w:eastAsia="Times New Roman" w:hAnsiTheme="majorBidi" w:cstheme="majorBidi"/>
                <w:b/>
                <w:bCs/>
              </w:rPr>
              <w:t>)</w:t>
            </w:r>
          </w:p>
        </w:tc>
      </w:tr>
      <w:tr w:rsidR="00276A8E" w:rsidRPr="00587DFD" w14:paraId="221DBA12" w14:textId="77777777" w:rsidTr="00560EC6">
        <w:trPr>
          <w:trHeight w:val="233"/>
          <w:jc w:val="center"/>
        </w:trPr>
        <w:tc>
          <w:tcPr>
            <w:tcW w:w="1705" w:type="dxa"/>
            <w:vMerge/>
            <w:vAlign w:val="bottom"/>
          </w:tcPr>
          <w:p w14:paraId="5B666E24" w14:textId="77777777" w:rsidR="00276A8E" w:rsidRPr="006356A9" w:rsidRDefault="00276A8E" w:rsidP="00276A8E">
            <w:pPr>
              <w:spacing w:before="100" w:beforeAutospacing="1" w:after="100" w:afterAutospacing="1"/>
              <w:outlineLvl w:val="2"/>
              <w:rPr>
                <w:rFonts w:asciiTheme="majorBidi" w:hAnsiTheme="majorBidi" w:cstheme="majorBidi"/>
                <w:color w:val="000000"/>
              </w:rPr>
            </w:pPr>
          </w:p>
        </w:tc>
        <w:tc>
          <w:tcPr>
            <w:tcW w:w="1800" w:type="dxa"/>
            <w:vMerge/>
            <w:vAlign w:val="bottom"/>
          </w:tcPr>
          <w:p w14:paraId="039C4854" w14:textId="77777777" w:rsidR="00276A8E" w:rsidRPr="006356A9" w:rsidRDefault="00276A8E" w:rsidP="00276A8E">
            <w:pPr>
              <w:spacing w:before="100" w:beforeAutospacing="1" w:after="100" w:afterAutospacing="1"/>
              <w:outlineLvl w:val="2"/>
              <w:rPr>
                <w:rFonts w:asciiTheme="majorBidi" w:hAnsiTheme="majorBidi" w:cstheme="majorBidi"/>
                <w:color w:val="000000"/>
              </w:rPr>
            </w:pPr>
          </w:p>
        </w:tc>
        <w:tc>
          <w:tcPr>
            <w:tcW w:w="1530" w:type="dxa"/>
            <w:vAlign w:val="bottom"/>
          </w:tcPr>
          <w:p w14:paraId="50837475" w14:textId="1EB5D226"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eastAsia="Times New Roman" w:hAnsiTheme="majorBidi" w:cstheme="majorBidi"/>
                <w:b/>
                <w:bCs/>
              </w:rPr>
              <w:t>concrete</w:t>
            </w:r>
          </w:p>
        </w:tc>
        <w:tc>
          <w:tcPr>
            <w:tcW w:w="1440" w:type="dxa"/>
            <w:vAlign w:val="bottom"/>
          </w:tcPr>
          <w:p w14:paraId="5E17800C" w14:textId="404BC323"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eastAsia="Times New Roman" w:hAnsiTheme="majorBidi" w:cstheme="majorBidi"/>
                <w:b/>
                <w:bCs/>
              </w:rPr>
              <w:t>Lead</w:t>
            </w:r>
          </w:p>
        </w:tc>
        <w:tc>
          <w:tcPr>
            <w:tcW w:w="1372" w:type="dxa"/>
            <w:vAlign w:val="bottom"/>
          </w:tcPr>
          <w:p w14:paraId="1D8F6B8D" w14:textId="3589EC8F"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eastAsia="Times New Roman" w:hAnsiTheme="majorBidi" w:cstheme="majorBidi"/>
                <w:b/>
                <w:bCs/>
              </w:rPr>
              <w:t xml:space="preserve">Iron </w:t>
            </w:r>
          </w:p>
        </w:tc>
      </w:tr>
      <w:tr w:rsidR="00276A8E" w:rsidRPr="00587DFD" w14:paraId="41CFC864" w14:textId="77777777" w:rsidTr="00560EC6">
        <w:trPr>
          <w:jc w:val="center"/>
        </w:trPr>
        <w:tc>
          <w:tcPr>
            <w:tcW w:w="1705" w:type="dxa"/>
            <w:vAlign w:val="bottom"/>
          </w:tcPr>
          <w:p w14:paraId="24DB94BD" w14:textId="76D26818"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reception room</w:t>
            </w:r>
          </w:p>
        </w:tc>
        <w:tc>
          <w:tcPr>
            <w:tcW w:w="1800" w:type="dxa"/>
            <w:vAlign w:val="bottom"/>
          </w:tcPr>
          <w:p w14:paraId="16E5D3E1" w14:textId="6448A86A"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0.889</w:t>
            </w:r>
          </w:p>
        </w:tc>
        <w:tc>
          <w:tcPr>
            <w:tcW w:w="1530" w:type="dxa"/>
            <w:vAlign w:val="bottom"/>
          </w:tcPr>
          <w:p w14:paraId="09FE2194" w14:textId="5DFA6866"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0.980484</w:t>
            </w:r>
          </w:p>
        </w:tc>
        <w:tc>
          <w:tcPr>
            <w:tcW w:w="1440" w:type="dxa"/>
            <w:vAlign w:val="bottom"/>
          </w:tcPr>
          <w:p w14:paraId="755ADF23" w14:textId="36C12832"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0.089135</w:t>
            </w:r>
          </w:p>
        </w:tc>
        <w:tc>
          <w:tcPr>
            <w:tcW w:w="1372" w:type="dxa"/>
            <w:vAlign w:val="bottom"/>
          </w:tcPr>
          <w:p w14:paraId="3A2F40A5" w14:textId="797BBAB8"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0.206418</w:t>
            </w:r>
          </w:p>
        </w:tc>
      </w:tr>
      <w:tr w:rsidR="00276A8E" w:rsidRPr="00587DFD" w14:paraId="47C9FF2B" w14:textId="77777777" w:rsidTr="00560EC6">
        <w:trPr>
          <w:jc w:val="center"/>
        </w:trPr>
        <w:tc>
          <w:tcPr>
            <w:tcW w:w="1705" w:type="dxa"/>
            <w:vAlign w:val="bottom"/>
          </w:tcPr>
          <w:p w14:paraId="5B4784FC" w14:textId="00F05FBA"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staff WC</w:t>
            </w:r>
          </w:p>
        </w:tc>
        <w:tc>
          <w:tcPr>
            <w:tcW w:w="1800" w:type="dxa"/>
            <w:vAlign w:val="bottom"/>
          </w:tcPr>
          <w:p w14:paraId="61C59D86" w14:textId="5271E9F6"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0.659</w:t>
            </w:r>
          </w:p>
        </w:tc>
        <w:tc>
          <w:tcPr>
            <w:tcW w:w="1530" w:type="dxa"/>
            <w:vAlign w:val="bottom"/>
          </w:tcPr>
          <w:p w14:paraId="7538FFAF" w14:textId="6A84087D"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3.475265</w:t>
            </w:r>
          </w:p>
        </w:tc>
        <w:tc>
          <w:tcPr>
            <w:tcW w:w="1440" w:type="dxa"/>
            <w:vAlign w:val="bottom"/>
          </w:tcPr>
          <w:p w14:paraId="26B5CCE5" w14:textId="2B2FDAE9"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0.315933</w:t>
            </w:r>
          </w:p>
        </w:tc>
        <w:tc>
          <w:tcPr>
            <w:tcW w:w="1372" w:type="dxa"/>
            <w:vAlign w:val="bottom"/>
          </w:tcPr>
          <w:p w14:paraId="27822B75" w14:textId="1AB72B7E"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0.731635</w:t>
            </w:r>
          </w:p>
        </w:tc>
      </w:tr>
      <w:tr w:rsidR="00276A8E" w:rsidRPr="00587DFD" w14:paraId="3102E55C" w14:textId="77777777" w:rsidTr="00560EC6">
        <w:trPr>
          <w:jc w:val="center"/>
        </w:trPr>
        <w:tc>
          <w:tcPr>
            <w:tcW w:w="1705" w:type="dxa"/>
            <w:vAlign w:val="bottom"/>
          </w:tcPr>
          <w:p w14:paraId="2B4F0265" w14:textId="43C34E9F"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uptake room1</w:t>
            </w:r>
          </w:p>
        </w:tc>
        <w:tc>
          <w:tcPr>
            <w:tcW w:w="1800" w:type="dxa"/>
            <w:vAlign w:val="bottom"/>
          </w:tcPr>
          <w:p w14:paraId="111B9424" w14:textId="77295B14"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0.406</w:t>
            </w:r>
          </w:p>
        </w:tc>
        <w:tc>
          <w:tcPr>
            <w:tcW w:w="1530" w:type="dxa"/>
            <w:vAlign w:val="bottom"/>
          </w:tcPr>
          <w:p w14:paraId="6A0EEC70" w14:textId="664691C7"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7.511684</w:t>
            </w:r>
          </w:p>
        </w:tc>
        <w:tc>
          <w:tcPr>
            <w:tcW w:w="1440" w:type="dxa"/>
            <w:vAlign w:val="bottom"/>
          </w:tcPr>
          <w:p w14:paraId="599169D7" w14:textId="65EDE0D4"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0.68288</w:t>
            </w:r>
          </w:p>
        </w:tc>
        <w:tc>
          <w:tcPr>
            <w:tcW w:w="1372" w:type="dxa"/>
            <w:vAlign w:val="bottom"/>
          </w:tcPr>
          <w:p w14:paraId="3A963F30" w14:textId="000C43FD"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1.581407</w:t>
            </w:r>
          </w:p>
        </w:tc>
      </w:tr>
      <w:tr w:rsidR="00276A8E" w:rsidRPr="00587DFD" w14:paraId="7EF3AACC" w14:textId="77777777" w:rsidTr="00560EC6">
        <w:trPr>
          <w:jc w:val="center"/>
        </w:trPr>
        <w:tc>
          <w:tcPr>
            <w:tcW w:w="1705" w:type="dxa"/>
            <w:vAlign w:val="bottom"/>
          </w:tcPr>
          <w:p w14:paraId="5725DADA" w14:textId="540C636E"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patient</w:t>
            </w:r>
            <w:r w:rsidR="00143DA9" w:rsidRPr="006356A9">
              <w:rPr>
                <w:rFonts w:asciiTheme="majorBidi" w:hAnsiTheme="majorBidi" w:cstheme="majorBidi"/>
                <w:color w:val="000000"/>
              </w:rPr>
              <w:t>s</w:t>
            </w:r>
            <w:r w:rsidRPr="006356A9">
              <w:rPr>
                <w:rFonts w:asciiTheme="majorBidi" w:hAnsiTheme="majorBidi" w:cstheme="majorBidi"/>
                <w:color w:val="000000"/>
              </w:rPr>
              <w:t xml:space="preserve"> WC</w:t>
            </w:r>
          </w:p>
        </w:tc>
        <w:tc>
          <w:tcPr>
            <w:tcW w:w="1800" w:type="dxa"/>
            <w:vAlign w:val="bottom"/>
          </w:tcPr>
          <w:p w14:paraId="6249D4A1" w14:textId="089810DF"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0.463</w:t>
            </w:r>
          </w:p>
        </w:tc>
        <w:tc>
          <w:tcPr>
            <w:tcW w:w="1530" w:type="dxa"/>
            <w:vAlign w:val="bottom"/>
          </w:tcPr>
          <w:p w14:paraId="456F12DC" w14:textId="3C536E7D"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6.416902</w:t>
            </w:r>
          </w:p>
        </w:tc>
        <w:tc>
          <w:tcPr>
            <w:tcW w:w="1440" w:type="dxa"/>
            <w:vAlign w:val="bottom"/>
          </w:tcPr>
          <w:p w14:paraId="51334AC0" w14:textId="71D70A17"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0.583355</w:t>
            </w:r>
          </w:p>
        </w:tc>
        <w:tc>
          <w:tcPr>
            <w:tcW w:w="1372" w:type="dxa"/>
            <w:vAlign w:val="bottom"/>
          </w:tcPr>
          <w:p w14:paraId="37C796DF" w14:textId="7198F1C3"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1.350927</w:t>
            </w:r>
          </w:p>
        </w:tc>
      </w:tr>
      <w:tr w:rsidR="00276A8E" w:rsidRPr="00587DFD" w14:paraId="44D2F532" w14:textId="77777777" w:rsidTr="00560EC6">
        <w:trPr>
          <w:jc w:val="center"/>
        </w:trPr>
        <w:tc>
          <w:tcPr>
            <w:tcW w:w="1705" w:type="dxa"/>
            <w:vAlign w:val="bottom"/>
          </w:tcPr>
          <w:p w14:paraId="64EC4061" w14:textId="133E76C1"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uptake room2</w:t>
            </w:r>
          </w:p>
        </w:tc>
        <w:tc>
          <w:tcPr>
            <w:tcW w:w="1800" w:type="dxa"/>
            <w:vAlign w:val="bottom"/>
          </w:tcPr>
          <w:p w14:paraId="566EB535" w14:textId="4CCBDF34"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0.659</w:t>
            </w:r>
          </w:p>
        </w:tc>
        <w:tc>
          <w:tcPr>
            <w:tcW w:w="1530" w:type="dxa"/>
            <w:vAlign w:val="bottom"/>
          </w:tcPr>
          <w:p w14:paraId="702AA8A3" w14:textId="67C27A2A"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3.475265</w:t>
            </w:r>
          </w:p>
        </w:tc>
        <w:tc>
          <w:tcPr>
            <w:tcW w:w="1440" w:type="dxa"/>
            <w:vAlign w:val="bottom"/>
          </w:tcPr>
          <w:p w14:paraId="2F94751E" w14:textId="61AB15D4"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0.315933</w:t>
            </w:r>
          </w:p>
        </w:tc>
        <w:tc>
          <w:tcPr>
            <w:tcW w:w="1372" w:type="dxa"/>
            <w:vAlign w:val="bottom"/>
          </w:tcPr>
          <w:p w14:paraId="6D5DDC22" w14:textId="137FB02B"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0.731635</w:t>
            </w:r>
          </w:p>
        </w:tc>
      </w:tr>
      <w:tr w:rsidR="00143DA9" w:rsidRPr="00587DFD" w14:paraId="65AF20AA" w14:textId="77777777" w:rsidTr="00560EC6">
        <w:trPr>
          <w:jc w:val="center"/>
        </w:trPr>
        <w:tc>
          <w:tcPr>
            <w:tcW w:w="1705" w:type="dxa"/>
            <w:vAlign w:val="bottom"/>
          </w:tcPr>
          <w:p w14:paraId="6C1547EB" w14:textId="173C42B6"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uptake room3</w:t>
            </w:r>
          </w:p>
        </w:tc>
        <w:tc>
          <w:tcPr>
            <w:tcW w:w="1800" w:type="dxa"/>
            <w:vAlign w:val="bottom"/>
          </w:tcPr>
          <w:p w14:paraId="0774EA86" w14:textId="443E9D77"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1.45</w:t>
            </w:r>
          </w:p>
        </w:tc>
        <w:tc>
          <w:tcPr>
            <w:tcW w:w="4342" w:type="dxa"/>
            <w:gridSpan w:val="3"/>
            <w:vAlign w:val="bottom"/>
          </w:tcPr>
          <w:p w14:paraId="227E632B" w14:textId="067F924A" w:rsidR="00143DA9" w:rsidRPr="006356A9" w:rsidRDefault="00143DA9" w:rsidP="00303879">
            <w:pPr>
              <w:spacing w:before="100" w:beforeAutospacing="1" w:after="100" w:afterAutospacing="1"/>
              <w:jc w:val="center"/>
              <w:outlineLvl w:val="2"/>
              <w:rPr>
                <w:rFonts w:asciiTheme="majorBidi" w:eastAsia="Times New Roman" w:hAnsiTheme="majorBidi" w:cstheme="majorBidi"/>
              </w:rPr>
            </w:pPr>
            <w:r w:rsidRPr="006356A9">
              <w:rPr>
                <w:rFonts w:asciiTheme="majorBidi" w:eastAsia="Times New Roman" w:hAnsiTheme="majorBidi" w:cstheme="majorBidi"/>
              </w:rPr>
              <w:t xml:space="preserve">T≥1 </w:t>
            </w:r>
            <w:r w:rsidR="00303879" w:rsidRPr="006356A9">
              <w:rPr>
                <w:rFonts w:asciiTheme="majorBidi" w:eastAsia="Times New Roman" w:hAnsiTheme="majorBidi" w:cstheme="majorBidi"/>
              </w:rPr>
              <w:t>— Additional shielding not required</w:t>
            </w:r>
          </w:p>
        </w:tc>
      </w:tr>
      <w:tr w:rsidR="00143DA9" w:rsidRPr="00587DFD" w14:paraId="39AFE01C" w14:textId="77777777" w:rsidTr="00560EC6">
        <w:trPr>
          <w:jc w:val="center"/>
        </w:trPr>
        <w:tc>
          <w:tcPr>
            <w:tcW w:w="1705" w:type="dxa"/>
            <w:vAlign w:val="bottom"/>
          </w:tcPr>
          <w:p w14:paraId="0A8514DE" w14:textId="2EF02689"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 xml:space="preserve">office 1 </w:t>
            </w:r>
          </w:p>
        </w:tc>
        <w:tc>
          <w:tcPr>
            <w:tcW w:w="1800" w:type="dxa"/>
            <w:vAlign w:val="bottom"/>
          </w:tcPr>
          <w:p w14:paraId="2E7E4CD6" w14:textId="312BB453"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1.3</w:t>
            </w:r>
          </w:p>
        </w:tc>
        <w:tc>
          <w:tcPr>
            <w:tcW w:w="4342" w:type="dxa"/>
            <w:gridSpan w:val="3"/>
            <w:vAlign w:val="bottom"/>
          </w:tcPr>
          <w:p w14:paraId="4B774571" w14:textId="1C1B705A" w:rsidR="00143DA9" w:rsidRPr="006356A9" w:rsidRDefault="00143DA9" w:rsidP="00303879">
            <w:pPr>
              <w:spacing w:before="100" w:beforeAutospacing="1" w:after="100" w:afterAutospacing="1"/>
              <w:jc w:val="center"/>
              <w:outlineLvl w:val="2"/>
              <w:rPr>
                <w:rFonts w:asciiTheme="majorBidi" w:eastAsia="Times New Roman" w:hAnsiTheme="majorBidi" w:cstheme="majorBidi"/>
              </w:rPr>
            </w:pPr>
            <w:r w:rsidRPr="006356A9">
              <w:rPr>
                <w:rFonts w:asciiTheme="majorBidi" w:eastAsia="Times New Roman" w:hAnsiTheme="majorBidi" w:cstheme="majorBidi"/>
              </w:rPr>
              <w:t xml:space="preserve">T≥1 </w:t>
            </w:r>
            <w:r w:rsidR="00303879" w:rsidRPr="006356A9">
              <w:rPr>
                <w:rFonts w:asciiTheme="majorBidi" w:eastAsia="Times New Roman" w:hAnsiTheme="majorBidi" w:cstheme="majorBidi"/>
              </w:rPr>
              <w:t>— Additional shielding not required</w:t>
            </w:r>
          </w:p>
        </w:tc>
      </w:tr>
      <w:tr w:rsidR="00143DA9" w:rsidRPr="00587DFD" w14:paraId="02B2A68D" w14:textId="77777777" w:rsidTr="00560EC6">
        <w:trPr>
          <w:jc w:val="center"/>
        </w:trPr>
        <w:tc>
          <w:tcPr>
            <w:tcW w:w="1705" w:type="dxa"/>
            <w:vAlign w:val="bottom"/>
          </w:tcPr>
          <w:p w14:paraId="5D1D6AEA" w14:textId="4E0326EB"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 xml:space="preserve">office 2 </w:t>
            </w:r>
          </w:p>
        </w:tc>
        <w:tc>
          <w:tcPr>
            <w:tcW w:w="1800" w:type="dxa"/>
            <w:vAlign w:val="bottom"/>
          </w:tcPr>
          <w:p w14:paraId="4C9B73E4" w14:textId="74B1A2AD" w:rsidR="00143DA9"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1.24</w:t>
            </w:r>
          </w:p>
        </w:tc>
        <w:tc>
          <w:tcPr>
            <w:tcW w:w="4342" w:type="dxa"/>
            <w:gridSpan w:val="3"/>
            <w:vAlign w:val="bottom"/>
          </w:tcPr>
          <w:p w14:paraId="5B2056E6" w14:textId="18F06431" w:rsidR="00143DA9" w:rsidRPr="006356A9" w:rsidRDefault="00143DA9" w:rsidP="00303879">
            <w:pPr>
              <w:spacing w:before="100" w:beforeAutospacing="1" w:after="100" w:afterAutospacing="1"/>
              <w:jc w:val="center"/>
              <w:outlineLvl w:val="2"/>
              <w:rPr>
                <w:rFonts w:asciiTheme="majorBidi" w:eastAsia="Times New Roman" w:hAnsiTheme="majorBidi" w:cstheme="majorBidi"/>
              </w:rPr>
            </w:pPr>
            <w:r w:rsidRPr="006356A9">
              <w:rPr>
                <w:rFonts w:asciiTheme="majorBidi" w:eastAsia="Times New Roman" w:hAnsiTheme="majorBidi" w:cstheme="majorBidi"/>
              </w:rPr>
              <w:t xml:space="preserve">T≥1 </w:t>
            </w:r>
            <w:r w:rsidR="00303879" w:rsidRPr="006356A9">
              <w:rPr>
                <w:rFonts w:asciiTheme="majorBidi" w:eastAsia="Times New Roman" w:hAnsiTheme="majorBidi" w:cstheme="majorBidi"/>
              </w:rPr>
              <w:t>— Additional shielding not required</w:t>
            </w:r>
          </w:p>
        </w:tc>
      </w:tr>
      <w:tr w:rsidR="00276A8E" w:rsidRPr="00587DFD" w14:paraId="3C09B6EB" w14:textId="77777777" w:rsidTr="00560EC6">
        <w:trPr>
          <w:jc w:val="center"/>
        </w:trPr>
        <w:tc>
          <w:tcPr>
            <w:tcW w:w="1705" w:type="dxa"/>
            <w:vAlign w:val="bottom"/>
          </w:tcPr>
          <w:p w14:paraId="03CE3717" w14:textId="4557CAD0" w:rsidR="00276A8E"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patients</w:t>
            </w:r>
            <w:r w:rsidR="00276A8E" w:rsidRPr="006356A9">
              <w:rPr>
                <w:rFonts w:asciiTheme="majorBidi" w:hAnsiTheme="majorBidi" w:cstheme="majorBidi"/>
                <w:color w:val="000000"/>
              </w:rPr>
              <w:t xml:space="preserve"> change back</w:t>
            </w:r>
          </w:p>
        </w:tc>
        <w:tc>
          <w:tcPr>
            <w:tcW w:w="1800" w:type="dxa"/>
            <w:vAlign w:val="bottom"/>
          </w:tcPr>
          <w:p w14:paraId="19241B37" w14:textId="5DBAAE79"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0.406</w:t>
            </w:r>
          </w:p>
        </w:tc>
        <w:tc>
          <w:tcPr>
            <w:tcW w:w="1530" w:type="dxa"/>
            <w:vAlign w:val="bottom"/>
          </w:tcPr>
          <w:p w14:paraId="1934C6C1" w14:textId="2AD58569"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7.511684</w:t>
            </w:r>
          </w:p>
        </w:tc>
        <w:tc>
          <w:tcPr>
            <w:tcW w:w="1440" w:type="dxa"/>
            <w:vAlign w:val="bottom"/>
          </w:tcPr>
          <w:p w14:paraId="18B98F51" w14:textId="7B71616B"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0.68288</w:t>
            </w:r>
          </w:p>
        </w:tc>
        <w:tc>
          <w:tcPr>
            <w:tcW w:w="1372" w:type="dxa"/>
            <w:vAlign w:val="bottom"/>
          </w:tcPr>
          <w:p w14:paraId="21BBC88E" w14:textId="24961925"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1.581407</w:t>
            </w:r>
          </w:p>
        </w:tc>
      </w:tr>
      <w:tr w:rsidR="00276A8E" w:rsidRPr="00587DFD" w14:paraId="2C4401BE" w14:textId="77777777" w:rsidTr="00560EC6">
        <w:trPr>
          <w:jc w:val="center"/>
        </w:trPr>
        <w:tc>
          <w:tcPr>
            <w:tcW w:w="1705" w:type="dxa"/>
            <w:vAlign w:val="bottom"/>
          </w:tcPr>
          <w:p w14:paraId="3D0BDDBD" w14:textId="09F71F0B"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store</w:t>
            </w:r>
          </w:p>
        </w:tc>
        <w:tc>
          <w:tcPr>
            <w:tcW w:w="1800" w:type="dxa"/>
            <w:vAlign w:val="bottom"/>
          </w:tcPr>
          <w:p w14:paraId="0B467E58" w14:textId="57B3DCCA" w:rsidR="00276A8E" w:rsidRPr="006356A9" w:rsidRDefault="000760B4"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0.406</w:t>
            </w:r>
          </w:p>
        </w:tc>
        <w:tc>
          <w:tcPr>
            <w:tcW w:w="1530" w:type="dxa"/>
            <w:vAlign w:val="bottom"/>
          </w:tcPr>
          <w:p w14:paraId="2A69B1EA" w14:textId="5AB558A2" w:rsidR="00276A8E" w:rsidRPr="006356A9" w:rsidRDefault="000760B4"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7.511684</w:t>
            </w:r>
          </w:p>
        </w:tc>
        <w:tc>
          <w:tcPr>
            <w:tcW w:w="1440" w:type="dxa"/>
            <w:vAlign w:val="bottom"/>
          </w:tcPr>
          <w:p w14:paraId="33DB1D79" w14:textId="6A758357"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w:t>
            </w:r>
            <w:r w:rsidR="000760B4" w:rsidRPr="006356A9">
              <w:rPr>
                <w:rFonts w:asciiTheme="majorBidi" w:hAnsiTheme="majorBidi" w:cstheme="majorBidi"/>
                <w:color w:val="000000"/>
              </w:rPr>
              <w:t>68288</w:t>
            </w:r>
          </w:p>
        </w:tc>
        <w:tc>
          <w:tcPr>
            <w:tcW w:w="1372" w:type="dxa"/>
            <w:vAlign w:val="bottom"/>
          </w:tcPr>
          <w:p w14:paraId="78067F06" w14:textId="3031961C"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1.</w:t>
            </w:r>
            <w:r w:rsidR="000760B4" w:rsidRPr="006356A9">
              <w:rPr>
                <w:rFonts w:asciiTheme="majorBidi" w:hAnsiTheme="majorBidi" w:cstheme="majorBidi"/>
                <w:color w:val="000000"/>
              </w:rPr>
              <w:t>581407</w:t>
            </w:r>
          </w:p>
        </w:tc>
      </w:tr>
      <w:tr w:rsidR="00276A8E" w:rsidRPr="00587DFD" w14:paraId="5C0E8140" w14:textId="77777777" w:rsidTr="00560EC6">
        <w:trPr>
          <w:jc w:val="center"/>
        </w:trPr>
        <w:tc>
          <w:tcPr>
            <w:tcW w:w="1705" w:type="dxa"/>
            <w:vAlign w:val="bottom"/>
          </w:tcPr>
          <w:p w14:paraId="7C2345F7" w14:textId="0A4C1DDE" w:rsidR="00276A8E" w:rsidRPr="006356A9" w:rsidRDefault="00143DA9"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control</w:t>
            </w:r>
            <w:r w:rsidR="00276A8E" w:rsidRPr="006356A9">
              <w:rPr>
                <w:rFonts w:asciiTheme="majorBidi" w:hAnsiTheme="majorBidi" w:cstheme="majorBidi"/>
                <w:color w:val="000000"/>
              </w:rPr>
              <w:t xml:space="preserve"> room </w:t>
            </w:r>
          </w:p>
        </w:tc>
        <w:tc>
          <w:tcPr>
            <w:tcW w:w="1800" w:type="dxa"/>
            <w:vAlign w:val="bottom"/>
          </w:tcPr>
          <w:p w14:paraId="70400A71" w14:textId="742E302D" w:rsidR="00276A8E" w:rsidRPr="006356A9" w:rsidRDefault="00276A8E" w:rsidP="00276A8E">
            <w:pPr>
              <w:spacing w:before="100" w:beforeAutospacing="1" w:after="100" w:afterAutospacing="1"/>
              <w:outlineLvl w:val="2"/>
              <w:rPr>
                <w:rFonts w:asciiTheme="majorBidi" w:eastAsia="Times New Roman" w:hAnsiTheme="majorBidi" w:cstheme="majorBidi"/>
                <w:b/>
                <w:bCs/>
              </w:rPr>
            </w:pPr>
            <w:r w:rsidRPr="006356A9">
              <w:rPr>
                <w:rFonts w:asciiTheme="majorBidi" w:hAnsiTheme="majorBidi" w:cstheme="majorBidi"/>
                <w:color w:val="000000"/>
              </w:rPr>
              <w:t>0.</w:t>
            </w:r>
            <w:r w:rsidR="00E04B4A">
              <w:rPr>
                <w:rFonts w:asciiTheme="majorBidi" w:hAnsiTheme="majorBidi" w:cstheme="majorBidi"/>
                <w:color w:val="000000"/>
              </w:rPr>
              <w:t>841</w:t>
            </w:r>
          </w:p>
        </w:tc>
        <w:tc>
          <w:tcPr>
            <w:tcW w:w="1530" w:type="dxa"/>
            <w:vAlign w:val="bottom"/>
          </w:tcPr>
          <w:p w14:paraId="63DD78AD" w14:textId="5FE4B11C" w:rsidR="00276A8E" w:rsidRPr="006356A9" w:rsidRDefault="00E04B4A" w:rsidP="00E04B4A">
            <w:pPr>
              <w:rPr>
                <w:rFonts w:asciiTheme="majorBidi" w:eastAsia="Times New Roman" w:hAnsiTheme="majorBidi" w:cstheme="majorBidi"/>
                <w:b/>
                <w:bCs/>
              </w:rPr>
            </w:pPr>
            <w:r>
              <w:rPr>
                <w:rFonts w:ascii="Calibri" w:hAnsi="Calibri" w:cs="Calibri"/>
                <w:color w:val="000000"/>
              </w:rPr>
              <w:t>1.44303</w:t>
            </w:r>
          </w:p>
        </w:tc>
        <w:tc>
          <w:tcPr>
            <w:tcW w:w="1440" w:type="dxa"/>
            <w:vAlign w:val="bottom"/>
          </w:tcPr>
          <w:p w14:paraId="426B66C7" w14:textId="65A0DBF2" w:rsidR="00276A8E" w:rsidRPr="006356A9" w:rsidRDefault="00E04B4A" w:rsidP="00E04B4A">
            <w:pPr>
              <w:rPr>
                <w:rFonts w:asciiTheme="majorBidi" w:eastAsia="Times New Roman" w:hAnsiTheme="majorBidi" w:cstheme="majorBidi"/>
                <w:b/>
                <w:bCs/>
              </w:rPr>
            </w:pPr>
            <w:r>
              <w:rPr>
                <w:rFonts w:ascii="Calibri" w:hAnsi="Calibri" w:cs="Calibri"/>
                <w:color w:val="000000"/>
              </w:rPr>
              <w:t>0.131185</w:t>
            </w:r>
          </w:p>
        </w:tc>
        <w:tc>
          <w:tcPr>
            <w:tcW w:w="1372" w:type="dxa"/>
            <w:vAlign w:val="bottom"/>
          </w:tcPr>
          <w:p w14:paraId="2D52C9A5" w14:textId="48946CE2" w:rsidR="00276A8E" w:rsidRPr="006356A9" w:rsidRDefault="00E04B4A" w:rsidP="00E04B4A">
            <w:pPr>
              <w:rPr>
                <w:rFonts w:asciiTheme="majorBidi" w:eastAsia="Times New Roman" w:hAnsiTheme="majorBidi" w:cstheme="majorBidi"/>
                <w:b/>
                <w:bCs/>
              </w:rPr>
            </w:pPr>
            <w:r>
              <w:rPr>
                <w:rFonts w:ascii="Calibri" w:hAnsi="Calibri" w:cs="Calibri"/>
                <w:color w:val="000000"/>
              </w:rPr>
              <w:t>0.303796</w:t>
            </w:r>
          </w:p>
        </w:tc>
      </w:tr>
      <w:tr w:rsidR="003158AF" w:rsidRPr="00587DFD" w14:paraId="7CAD02B5" w14:textId="77777777" w:rsidTr="00560EC6">
        <w:trPr>
          <w:jc w:val="center"/>
        </w:trPr>
        <w:tc>
          <w:tcPr>
            <w:tcW w:w="1705" w:type="dxa"/>
            <w:vAlign w:val="bottom"/>
          </w:tcPr>
          <w:p w14:paraId="4DD6C347" w14:textId="79B45A40" w:rsidR="003158AF" w:rsidRPr="006356A9" w:rsidRDefault="003158AF" w:rsidP="00276A8E">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nurse room</w:t>
            </w:r>
          </w:p>
        </w:tc>
        <w:tc>
          <w:tcPr>
            <w:tcW w:w="1800" w:type="dxa"/>
            <w:vAlign w:val="bottom"/>
          </w:tcPr>
          <w:p w14:paraId="430E53F5" w14:textId="543FCB75" w:rsidR="003158AF" w:rsidRPr="006356A9" w:rsidRDefault="003158AF" w:rsidP="00276A8E">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2.</w:t>
            </w:r>
            <w:r w:rsidR="000760B4" w:rsidRPr="006356A9">
              <w:rPr>
                <w:rFonts w:asciiTheme="majorBidi" w:hAnsiTheme="majorBidi" w:cstheme="majorBidi"/>
                <w:color w:val="000000"/>
              </w:rPr>
              <w:t>952</w:t>
            </w:r>
          </w:p>
        </w:tc>
        <w:tc>
          <w:tcPr>
            <w:tcW w:w="4342" w:type="dxa"/>
            <w:gridSpan w:val="3"/>
            <w:vAlign w:val="bottom"/>
          </w:tcPr>
          <w:p w14:paraId="136AA0F1" w14:textId="63CDED75" w:rsidR="003158AF" w:rsidRPr="006356A9" w:rsidRDefault="003158AF" w:rsidP="00AC54B0">
            <w:pPr>
              <w:spacing w:before="100" w:beforeAutospacing="1" w:after="100" w:afterAutospacing="1"/>
              <w:jc w:val="center"/>
              <w:outlineLvl w:val="2"/>
              <w:rPr>
                <w:rFonts w:asciiTheme="majorBidi" w:eastAsia="Times New Roman" w:hAnsiTheme="majorBidi" w:cstheme="majorBidi"/>
              </w:rPr>
            </w:pPr>
            <w:r w:rsidRPr="006356A9">
              <w:rPr>
                <w:rFonts w:asciiTheme="majorBidi" w:eastAsia="Times New Roman" w:hAnsiTheme="majorBidi" w:cstheme="majorBidi"/>
              </w:rPr>
              <w:t xml:space="preserve">T≥1 </w:t>
            </w:r>
            <w:r w:rsidR="00AC54B0" w:rsidRPr="006356A9">
              <w:rPr>
                <w:rFonts w:asciiTheme="majorBidi" w:eastAsia="Times New Roman" w:hAnsiTheme="majorBidi" w:cstheme="majorBidi"/>
              </w:rPr>
              <w:t>— Additional shielding not required</w:t>
            </w:r>
          </w:p>
        </w:tc>
      </w:tr>
      <w:tr w:rsidR="00AA0F16" w:rsidRPr="00587DFD" w14:paraId="50244E30" w14:textId="77777777" w:rsidTr="005713DF">
        <w:trPr>
          <w:jc w:val="center"/>
        </w:trPr>
        <w:tc>
          <w:tcPr>
            <w:tcW w:w="1705" w:type="dxa"/>
            <w:vAlign w:val="bottom"/>
          </w:tcPr>
          <w:p w14:paraId="2D92151F" w14:textId="16F74748"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control corridor</w:t>
            </w:r>
          </w:p>
        </w:tc>
        <w:tc>
          <w:tcPr>
            <w:tcW w:w="1800" w:type="dxa"/>
            <w:vAlign w:val="center"/>
          </w:tcPr>
          <w:p w14:paraId="58410BA5" w14:textId="6E9CC481"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0.343</w:t>
            </w:r>
          </w:p>
        </w:tc>
        <w:tc>
          <w:tcPr>
            <w:tcW w:w="1530" w:type="dxa"/>
            <w:vAlign w:val="bottom"/>
          </w:tcPr>
          <w:p w14:paraId="52689A6C" w14:textId="2EC7C947"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8.916874</w:t>
            </w:r>
          </w:p>
        </w:tc>
        <w:tc>
          <w:tcPr>
            <w:tcW w:w="1440" w:type="dxa"/>
            <w:vAlign w:val="bottom"/>
          </w:tcPr>
          <w:p w14:paraId="11F90724" w14:textId="06A6F0C3"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0.810625</w:t>
            </w:r>
          </w:p>
        </w:tc>
        <w:tc>
          <w:tcPr>
            <w:tcW w:w="1372" w:type="dxa"/>
            <w:vAlign w:val="bottom"/>
          </w:tcPr>
          <w:p w14:paraId="1993A4C1" w14:textId="47223033"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1.877237</w:t>
            </w:r>
          </w:p>
        </w:tc>
      </w:tr>
      <w:tr w:rsidR="00AA0F16" w:rsidRPr="00587DFD" w14:paraId="518F90CE" w14:textId="77777777" w:rsidTr="005713DF">
        <w:trPr>
          <w:jc w:val="center"/>
        </w:trPr>
        <w:tc>
          <w:tcPr>
            <w:tcW w:w="1705" w:type="dxa"/>
            <w:vAlign w:val="bottom"/>
          </w:tcPr>
          <w:p w14:paraId="388038D3" w14:textId="27765CB7"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exit corridor</w:t>
            </w:r>
          </w:p>
        </w:tc>
        <w:tc>
          <w:tcPr>
            <w:tcW w:w="1800" w:type="dxa"/>
            <w:vAlign w:val="center"/>
          </w:tcPr>
          <w:p w14:paraId="2A10CD7F" w14:textId="108D0D16"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0.512</w:t>
            </w:r>
          </w:p>
        </w:tc>
        <w:tc>
          <w:tcPr>
            <w:tcW w:w="1530" w:type="dxa"/>
            <w:vAlign w:val="bottom"/>
          </w:tcPr>
          <w:p w14:paraId="61A8489E" w14:textId="1F9FFC7C"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5.578589</w:t>
            </w:r>
          </w:p>
        </w:tc>
        <w:tc>
          <w:tcPr>
            <w:tcW w:w="1440" w:type="dxa"/>
            <w:vAlign w:val="bottom"/>
          </w:tcPr>
          <w:p w14:paraId="0FF6BA2E" w14:textId="38455C21"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0.507144</w:t>
            </w:r>
          </w:p>
        </w:tc>
        <w:tc>
          <w:tcPr>
            <w:tcW w:w="1372" w:type="dxa"/>
            <w:vAlign w:val="bottom"/>
          </w:tcPr>
          <w:p w14:paraId="075135F4" w14:textId="63D03A96" w:rsidR="00AA0F16" w:rsidRPr="006356A9" w:rsidRDefault="00AA0F16" w:rsidP="00AA0F16">
            <w:pPr>
              <w:spacing w:before="100" w:beforeAutospacing="1" w:after="100" w:afterAutospacing="1"/>
              <w:outlineLvl w:val="2"/>
              <w:rPr>
                <w:rFonts w:asciiTheme="majorBidi" w:eastAsia="Times New Roman" w:hAnsiTheme="majorBidi" w:cstheme="majorBidi"/>
              </w:rPr>
            </w:pPr>
            <w:r w:rsidRPr="006356A9">
              <w:rPr>
                <w:rFonts w:asciiTheme="majorBidi" w:hAnsiTheme="majorBidi" w:cstheme="majorBidi"/>
                <w:color w:val="000000"/>
              </w:rPr>
              <w:t>1.17444</w:t>
            </w:r>
          </w:p>
        </w:tc>
      </w:tr>
    </w:tbl>
    <w:p w14:paraId="618435F1" w14:textId="77777777" w:rsidR="00511194" w:rsidRDefault="00511194" w:rsidP="00511194">
      <w:pPr>
        <w:rPr>
          <w:rFonts w:ascii="Times New Roman" w:eastAsia="Times New Roman" w:hAnsi="Times New Roman" w:cs="Times New Roman"/>
          <w:b/>
          <w:bCs/>
          <w:sz w:val="24"/>
          <w:szCs w:val="24"/>
          <w:rtl/>
        </w:rPr>
      </w:pPr>
    </w:p>
    <w:p w14:paraId="347FC917" w14:textId="77777777" w:rsidR="004F3627" w:rsidRDefault="00511194" w:rsidP="004F3627">
      <w:pPr>
        <w:jc w:val="both"/>
        <w:rPr>
          <w:rFonts w:ascii="Times New Roman" w:eastAsia="Times New Roman" w:hAnsi="Times New Roman" w:cs="Times New Roman"/>
          <w:sz w:val="24"/>
          <w:szCs w:val="24"/>
          <w:rtl/>
        </w:rPr>
      </w:pPr>
      <w:r w:rsidRPr="00511194">
        <w:rPr>
          <w:rFonts w:ascii="Times New Roman" w:eastAsia="Times New Roman" w:hAnsi="Times New Roman" w:cs="Times New Roman"/>
          <w:b/>
          <w:bCs/>
          <w:sz w:val="24"/>
          <w:szCs w:val="24"/>
        </w:rPr>
        <w:lastRenderedPageBreak/>
        <w:t>Table 4</w:t>
      </w:r>
      <w:r w:rsidRPr="00511194">
        <w:rPr>
          <w:rFonts w:ascii="Times New Roman" w:eastAsia="Times New Roman" w:hAnsi="Times New Roman" w:cs="Times New Roman"/>
          <w:sz w:val="24"/>
          <w:szCs w:val="24"/>
        </w:rPr>
        <w:t xml:space="preserve"> </w:t>
      </w:r>
      <w:r w:rsidR="004F3627" w:rsidRPr="004F3627">
        <w:rPr>
          <w:rFonts w:ascii="Times New Roman" w:eastAsia="Times New Roman" w:hAnsi="Times New Roman" w:cs="Times New Roman"/>
          <w:sz w:val="24"/>
          <w:szCs w:val="24"/>
        </w:rPr>
        <w:t>presents the analytically derived barrier thicknesses required for concrete, lead, and iron. As expected, lead required the smallest thickness to achieve the target attenuation, followed by iron and concrete, reflecting known differences in material density and attenuation properties. For example, shielding of the control corridor would require approximately 8.9 cm of concrete, 0.8 cm of lead, or 1.9 cm of iron to satisfy design dose constraints. Although concrete requires greater thickness, its low cost, availability, and structural compatibility make it the most commonly used shielding material in PET facility construction.</w:t>
      </w:r>
    </w:p>
    <w:p w14:paraId="56CAE2B2" w14:textId="270E105C" w:rsidR="00C243D1" w:rsidRPr="00511194" w:rsidRDefault="007D3A33" w:rsidP="00C80068">
      <w:pPr>
        <w:jc w:val="both"/>
        <w:rPr>
          <w:rFonts w:ascii="Times New Roman" w:eastAsia="Times New Roman" w:hAnsi="Times New Roman" w:cs="Times New Roman"/>
          <w:sz w:val="24"/>
          <w:szCs w:val="24"/>
        </w:rPr>
      </w:pPr>
      <w:r w:rsidRPr="007D3A33">
        <w:rPr>
          <w:rFonts w:ascii="Times New Roman" w:eastAsia="Times New Roman" w:hAnsi="Times New Roman" w:cs="Times New Roman"/>
          <w:sz w:val="24"/>
          <w:szCs w:val="24"/>
        </w:rPr>
        <w:t>Although a formal economic analysis was not performed, the reduced shielding thicknesses obtained through the analytical method—particularly for lead and iron—translate directly into lower material volume and construction requirements. Since shielding cost scales approximately with material thickness and mass, these reductions provide clear evidence of potential cost savings compared with conservative guideline-based designs.</w:t>
      </w:r>
    </w:p>
    <w:p w14:paraId="5DD9A27A" w14:textId="223E2DBE" w:rsidR="00914BCC" w:rsidRDefault="005A1171" w:rsidP="00914BCC">
      <w:pPr>
        <w:spacing w:before="100" w:beforeAutospacing="1" w:after="100" w:afterAutospacing="1" w:line="240" w:lineRule="auto"/>
        <w:jc w:val="center"/>
        <w:outlineLvl w:val="2"/>
        <w:rPr>
          <w:rFonts w:asciiTheme="majorBidi" w:hAnsiTheme="majorBidi" w:cstheme="majorBidi"/>
          <w:sz w:val="24"/>
          <w:szCs w:val="24"/>
          <w:rtl/>
        </w:rPr>
      </w:pPr>
      <w:r w:rsidRPr="00587DFD">
        <w:rPr>
          <w:rFonts w:asciiTheme="majorBidi" w:hAnsiTheme="majorBidi" w:cstheme="majorBidi"/>
          <w:noProof/>
          <w:sz w:val="24"/>
          <w:szCs w:val="24"/>
        </w:rPr>
        <w:object w:dxaOrig="23362" w:dyaOrig="18600" w14:anchorId="464C3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75pt;height:246.55pt" o:ole="">
            <v:imagedata r:id="rId9" o:title=""/>
          </v:shape>
          <o:OLEObject Type="Embed" ProgID="Origin50.Graph" ShapeID="_x0000_i1025" DrawAspect="Content" ObjectID="_1828875840" r:id="rId10"/>
        </w:object>
      </w:r>
    </w:p>
    <w:p w14:paraId="74166647" w14:textId="4F507D09" w:rsidR="006356A9" w:rsidRDefault="006356A9" w:rsidP="00914BCC">
      <w:pPr>
        <w:spacing w:before="100" w:beforeAutospacing="1" w:after="100" w:afterAutospacing="1" w:line="240" w:lineRule="auto"/>
        <w:jc w:val="center"/>
        <w:outlineLvl w:val="2"/>
        <w:rPr>
          <w:rFonts w:asciiTheme="majorBidi" w:hAnsiTheme="majorBidi" w:cstheme="majorBidi"/>
          <w:sz w:val="24"/>
          <w:szCs w:val="24"/>
          <w:rtl/>
        </w:rPr>
      </w:pPr>
      <w:r w:rsidRPr="006356A9">
        <w:rPr>
          <w:rFonts w:asciiTheme="majorBidi" w:hAnsiTheme="majorBidi" w:cstheme="majorBidi"/>
          <w:b/>
          <w:bCs/>
          <w:sz w:val="24"/>
          <w:szCs w:val="24"/>
        </w:rPr>
        <w:t>Figure 2. Broad-beam transmission of 511 keV photons as a function of concrete thickness</w:t>
      </w:r>
    </w:p>
    <w:p w14:paraId="6821A60C" w14:textId="37B03481" w:rsidR="00CC0F99" w:rsidRDefault="005A1171" w:rsidP="00846337">
      <w:pPr>
        <w:spacing w:before="100" w:beforeAutospacing="1" w:after="100" w:afterAutospacing="1" w:line="240" w:lineRule="auto"/>
        <w:jc w:val="center"/>
        <w:outlineLvl w:val="2"/>
        <w:rPr>
          <w:rFonts w:asciiTheme="majorBidi" w:hAnsiTheme="majorBidi" w:cstheme="majorBidi"/>
          <w:sz w:val="24"/>
          <w:szCs w:val="24"/>
          <w:rtl/>
        </w:rPr>
      </w:pPr>
      <w:r>
        <w:rPr>
          <w:noProof/>
        </w:rPr>
        <w:object w:dxaOrig="23363" w:dyaOrig="18600" w14:anchorId="1D9ADD04">
          <v:shape id="_x0000_i1026" type="#_x0000_t75" style="width:279.15pt;height:220.1pt" o:ole="">
            <v:imagedata r:id="rId11" o:title=""/>
          </v:shape>
          <o:OLEObject Type="Embed" ProgID="Origin50.Graph" ShapeID="_x0000_i1026" DrawAspect="Content" ObjectID="_1828875841" r:id="rId12"/>
        </w:object>
      </w:r>
    </w:p>
    <w:p w14:paraId="4FFE4083" w14:textId="60AF4560" w:rsidR="00AC54B0" w:rsidRPr="00846337" w:rsidRDefault="00AC54B0" w:rsidP="00AC54B0">
      <w:pPr>
        <w:spacing w:before="100" w:beforeAutospacing="1" w:after="100" w:afterAutospacing="1" w:line="240" w:lineRule="auto"/>
        <w:jc w:val="center"/>
        <w:outlineLvl w:val="2"/>
        <w:rPr>
          <w:rFonts w:asciiTheme="majorBidi" w:eastAsia="Times New Roman" w:hAnsiTheme="majorBidi" w:cstheme="majorBidi"/>
          <w:b/>
          <w:bCs/>
        </w:rPr>
      </w:pPr>
      <w:r w:rsidRPr="00846337">
        <w:rPr>
          <w:rFonts w:asciiTheme="majorBidi" w:eastAsia="Times New Roman" w:hAnsiTheme="majorBidi" w:cstheme="majorBidi"/>
          <w:b/>
          <w:bCs/>
        </w:rPr>
        <w:t>Figure 3. Broad-beam transmission of 511 keV photons as a function of lead thickness</w:t>
      </w:r>
    </w:p>
    <w:p w14:paraId="20361B2D" w14:textId="5888F3A4" w:rsidR="000C0145" w:rsidRDefault="005A1171" w:rsidP="00D2201B">
      <w:pPr>
        <w:spacing w:before="100" w:beforeAutospacing="1" w:after="100" w:afterAutospacing="1" w:line="240" w:lineRule="auto"/>
        <w:jc w:val="center"/>
        <w:outlineLvl w:val="2"/>
        <w:rPr>
          <w:rFonts w:asciiTheme="majorBidi" w:hAnsiTheme="majorBidi" w:cstheme="majorBidi"/>
          <w:sz w:val="24"/>
          <w:szCs w:val="24"/>
          <w:rtl/>
        </w:rPr>
      </w:pPr>
      <w:r>
        <w:rPr>
          <w:noProof/>
        </w:rPr>
        <w:object w:dxaOrig="23363" w:dyaOrig="18600" w14:anchorId="2D02FCFD">
          <v:shape id="_x0000_i1027" type="#_x0000_t75" style="width:264.25pt;height:211.25pt" o:ole="">
            <v:imagedata r:id="rId13" o:title=""/>
          </v:shape>
          <o:OLEObject Type="Embed" ProgID="Origin50.Graph" ShapeID="_x0000_i1027" DrawAspect="Content" ObjectID="_1828875842" r:id="rId14"/>
        </w:object>
      </w:r>
    </w:p>
    <w:p w14:paraId="17FD52E6" w14:textId="74891FB0" w:rsidR="00846337" w:rsidRPr="00846337" w:rsidRDefault="00846337" w:rsidP="00D2201B">
      <w:pPr>
        <w:spacing w:before="100" w:beforeAutospacing="1" w:after="100" w:afterAutospacing="1" w:line="240" w:lineRule="auto"/>
        <w:jc w:val="center"/>
        <w:outlineLvl w:val="2"/>
        <w:rPr>
          <w:rFonts w:asciiTheme="majorBidi" w:eastAsia="Times New Roman" w:hAnsiTheme="majorBidi" w:cstheme="majorBidi"/>
          <w:b/>
          <w:bCs/>
        </w:rPr>
      </w:pPr>
      <w:r w:rsidRPr="00846337">
        <w:rPr>
          <w:rFonts w:asciiTheme="majorBidi" w:eastAsia="Times New Roman" w:hAnsiTheme="majorBidi" w:cstheme="majorBidi"/>
          <w:b/>
          <w:bCs/>
        </w:rPr>
        <w:t>Figure 4. Broad-beam transmission of 511 keV photons as a function of iron thickness</w:t>
      </w:r>
    </w:p>
    <w:p w14:paraId="51C59487" w14:textId="70B78B37" w:rsidR="00095EBB" w:rsidRPr="00587DFD" w:rsidRDefault="005A1171" w:rsidP="00D2201B">
      <w:pPr>
        <w:tabs>
          <w:tab w:val="left" w:pos="1186"/>
        </w:tabs>
        <w:jc w:val="center"/>
        <w:rPr>
          <w:rFonts w:asciiTheme="majorBidi" w:hAnsiTheme="majorBidi" w:cstheme="majorBidi"/>
          <w:sz w:val="24"/>
          <w:szCs w:val="24"/>
        </w:rPr>
      </w:pPr>
      <w:r>
        <w:rPr>
          <w:noProof/>
        </w:rPr>
        <w:object w:dxaOrig="23363" w:dyaOrig="18600" w14:anchorId="6F7FA528">
          <v:shape id="_x0000_i1028" type="#_x0000_t75" style="width:269.65pt;height:217.35pt" o:ole="">
            <v:imagedata r:id="rId15" o:title=""/>
          </v:shape>
          <o:OLEObject Type="Embed" ProgID="Origin50.Graph" ShapeID="_x0000_i1028" DrawAspect="Content" ObjectID="_1828875843" r:id="rId16"/>
        </w:object>
      </w:r>
    </w:p>
    <w:p w14:paraId="4964D988" w14:textId="77777777" w:rsidR="00D2201B" w:rsidRPr="00D2201B" w:rsidRDefault="000C0145" w:rsidP="00D2201B">
      <w:pPr>
        <w:jc w:val="center"/>
        <w:outlineLvl w:val="2"/>
        <w:rPr>
          <w:rFonts w:asciiTheme="majorBidi" w:hAnsiTheme="majorBidi" w:cstheme="majorBidi"/>
          <w:b/>
          <w:bCs/>
        </w:rPr>
      </w:pPr>
      <w:r w:rsidRPr="00587DFD">
        <w:rPr>
          <w:rFonts w:asciiTheme="majorBidi" w:hAnsiTheme="majorBidi" w:cstheme="majorBidi"/>
          <w:sz w:val="24"/>
          <w:szCs w:val="24"/>
        </w:rPr>
        <w:tab/>
      </w:r>
      <w:r w:rsidR="00D2201B" w:rsidRPr="00D2201B">
        <w:rPr>
          <w:rFonts w:asciiTheme="majorBidi" w:hAnsiTheme="majorBidi" w:cstheme="majorBidi"/>
          <w:b/>
          <w:bCs/>
        </w:rPr>
        <w:t>Figure 5. Comparison between Monte Carlo–based transmission data and analytical results for concrete at 511 keV</w:t>
      </w:r>
    </w:p>
    <w:p w14:paraId="31C2EBF0" w14:textId="4CF1A5E5" w:rsidR="00846337" w:rsidRDefault="005A1171" w:rsidP="00846337">
      <w:pPr>
        <w:spacing w:before="100" w:beforeAutospacing="1" w:after="100" w:afterAutospacing="1" w:line="240" w:lineRule="auto"/>
        <w:jc w:val="center"/>
        <w:outlineLvl w:val="2"/>
        <w:rPr>
          <w:rFonts w:asciiTheme="majorBidi" w:hAnsiTheme="majorBidi" w:cstheme="majorBidi"/>
          <w:sz w:val="24"/>
          <w:szCs w:val="24"/>
          <w:rtl/>
        </w:rPr>
      </w:pPr>
      <w:r>
        <w:rPr>
          <w:noProof/>
        </w:rPr>
        <w:object w:dxaOrig="23363" w:dyaOrig="18600" w14:anchorId="257E48C6">
          <v:shape id="_x0000_i1029" type="#_x0000_t75" style="width:269.65pt;height:214.65pt" o:ole="">
            <v:imagedata r:id="rId17" o:title=""/>
          </v:shape>
          <o:OLEObject Type="Embed" ProgID="Origin50.Graph" ShapeID="_x0000_i1029" DrawAspect="Content" ObjectID="_1828875844" r:id="rId18"/>
        </w:object>
      </w:r>
    </w:p>
    <w:p w14:paraId="4E0CF5CB" w14:textId="1B4E9BFD" w:rsidR="00D2201B" w:rsidRPr="00846337" w:rsidRDefault="00D2201B" w:rsidP="00846337">
      <w:pPr>
        <w:spacing w:before="100" w:beforeAutospacing="1" w:after="100" w:afterAutospacing="1" w:line="240" w:lineRule="auto"/>
        <w:jc w:val="center"/>
        <w:outlineLvl w:val="2"/>
        <w:rPr>
          <w:rFonts w:asciiTheme="majorBidi" w:hAnsiTheme="majorBidi" w:cstheme="majorBidi"/>
          <w:sz w:val="24"/>
          <w:szCs w:val="24"/>
        </w:rPr>
      </w:pPr>
      <w:r w:rsidRPr="00D2201B">
        <w:rPr>
          <w:rFonts w:asciiTheme="majorBidi" w:hAnsiTheme="majorBidi" w:cstheme="majorBidi"/>
          <w:b/>
          <w:bCs/>
        </w:rPr>
        <w:t>Figure 6. Comparison between Monte Carlo–based transmission data and analytical results for lead at 511 keV.</w:t>
      </w:r>
    </w:p>
    <w:p w14:paraId="662C15BA" w14:textId="0E13C572" w:rsidR="00F64712" w:rsidRPr="00587DFD" w:rsidRDefault="00401219" w:rsidP="00D2201B">
      <w:pPr>
        <w:spacing w:before="100" w:beforeAutospacing="1" w:after="100" w:afterAutospacing="1" w:line="240" w:lineRule="auto"/>
        <w:jc w:val="center"/>
        <w:outlineLvl w:val="2"/>
        <w:rPr>
          <w:rFonts w:asciiTheme="majorBidi" w:hAnsiTheme="majorBidi" w:cstheme="majorBidi"/>
          <w:sz w:val="24"/>
          <w:szCs w:val="24"/>
        </w:rPr>
      </w:pPr>
      <w:r w:rsidRPr="00401219">
        <w:rPr>
          <w:noProof/>
        </w:rPr>
        <w:lastRenderedPageBreak/>
        <w:drawing>
          <wp:inline distT="0" distB="0" distL="0" distR="0" wp14:anchorId="491812F6" wp14:editId="1A46BEC4">
            <wp:extent cx="3419409" cy="2723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39731" cy="2739287"/>
                    </a:xfrm>
                    <a:prstGeom prst="rect">
                      <a:avLst/>
                    </a:prstGeom>
                    <a:noFill/>
                    <a:ln>
                      <a:noFill/>
                    </a:ln>
                  </pic:spPr>
                </pic:pic>
              </a:graphicData>
            </a:graphic>
          </wp:inline>
        </w:drawing>
      </w:r>
    </w:p>
    <w:p w14:paraId="615A9857" w14:textId="77777777" w:rsidR="00D169B6" w:rsidRPr="00D169B6" w:rsidRDefault="00D169B6" w:rsidP="00D169B6">
      <w:pPr>
        <w:pStyle w:val="NormalWeb"/>
        <w:jc w:val="center"/>
        <w:rPr>
          <w:rFonts w:asciiTheme="majorBidi" w:hAnsiTheme="majorBidi" w:cstheme="majorBidi"/>
          <w:b/>
          <w:bCs/>
        </w:rPr>
      </w:pPr>
      <w:r w:rsidRPr="00D169B6">
        <w:rPr>
          <w:rFonts w:asciiTheme="majorBidi" w:hAnsiTheme="majorBidi" w:cstheme="majorBidi"/>
          <w:b/>
          <w:bCs/>
        </w:rPr>
        <w:t>Figure 7. Comparison between Monte Carlo–based transmission data and analytical results for iron at 511 keV.</w:t>
      </w:r>
    </w:p>
    <w:p w14:paraId="0A0E6654" w14:textId="77777777" w:rsidR="004F3627" w:rsidRDefault="00511194" w:rsidP="004F3627">
      <w:pPr>
        <w:spacing w:before="100" w:beforeAutospacing="1" w:after="100" w:afterAutospacing="1" w:line="240" w:lineRule="auto"/>
        <w:jc w:val="both"/>
        <w:outlineLvl w:val="2"/>
        <w:rPr>
          <w:rFonts w:asciiTheme="majorBidi" w:eastAsia="Times New Roman" w:hAnsiTheme="majorBidi" w:cstheme="majorBidi"/>
          <w:sz w:val="24"/>
          <w:szCs w:val="24"/>
        </w:rPr>
      </w:pPr>
      <w:r w:rsidRPr="00511194">
        <w:rPr>
          <w:rFonts w:asciiTheme="majorBidi" w:eastAsia="Times New Roman" w:hAnsiTheme="majorBidi" w:cstheme="majorBidi"/>
          <w:b/>
          <w:bCs/>
          <w:sz w:val="24"/>
          <w:szCs w:val="24"/>
        </w:rPr>
        <w:t>Figures 2–4</w:t>
      </w:r>
      <w:r w:rsidRPr="00511194">
        <w:rPr>
          <w:rFonts w:asciiTheme="majorBidi" w:eastAsia="Times New Roman" w:hAnsiTheme="majorBidi" w:cstheme="majorBidi"/>
          <w:sz w:val="24"/>
          <w:szCs w:val="24"/>
        </w:rPr>
        <w:t xml:space="preserve"> </w:t>
      </w:r>
      <w:r w:rsidR="004F3627" w:rsidRPr="004F3627">
        <w:rPr>
          <w:rFonts w:asciiTheme="majorBidi" w:eastAsia="Times New Roman" w:hAnsiTheme="majorBidi" w:cstheme="majorBidi"/>
          <w:sz w:val="24"/>
          <w:szCs w:val="24"/>
        </w:rPr>
        <w:t>illustrate the broad-beam transmission of 511 keV photons as a function of shielding thickness for concrete, lead, and iron. All curves exhibit the expected exponential attenuation behavior, consistent with fundamental photon–matter interaction principles. Lead shows the steepest reduction in transmission with increasing thickness, while concrete demonstrates a more gradual attenuation trend, necessitating thicker barriers to achieve equivalent protection. Iron exhibits intermediate behavior, offering a balance between attenuation efficiency and structural strength.</w:t>
      </w:r>
    </w:p>
    <w:p w14:paraId="42DD56E8" w14:textId="44E7036E" w:rsidR="00511194" w:rsidRPr="00511194" w:rsidRDefault="00511194" w:rsidP="004F3627">
      <w:pPr>
        <w:spacing w:before="100" w:beforeAutospacing="1" w:after="100" w:afterAutospacing="1" w:line="240" w:lineRule="auto"/>
        <w:jc w:val="both"/>
        <w:outlineLvl w:val="2"/>
        <w:rPr>
          <w:rFonts w:asciiTheme="majorBidi" w:eastAsia="Times New Roman" w:hAnsiTheme="majorBidi" w:cstheme="majorBidi"/>
          <w:sz w:val="24"/>
          <w:szCs w:val="24"/>
        </w:rPr>
      </w:pPr>
      <w:r w:rsidRPr="00511194">
        <w:rPr>
          <w:rFonts w:asciiTheme="majorBidi" w:eastAsia="Times New Roman" w:hAnsiTheme="majorBidi" w:cstheme="majorBidi"/>
          <w:b/>
          <w:bCs/>
          <w:sz w:val="24"/>
          <w:szCs w:val="24"/>
        </w:rPr>
        <w:t>Figures 5–7</w:t>
      </w:r>
      <w:r w:rsidRPr="00511194">
        <w:rPr>
          <w:rFonts w:asciiTheme="majorBidi" w:eastAsia="Times New Roman" w:hAnsiTheme="majorBidi" w:cstheme="majorBidi"/>
          <w:sz w:val="24"/>
          <w:szCs w:val="24"/>
        </w:rPr>
        <w:t xml:space="preserve"> </w:t>
      </w:r>
      <w:r w:rsidR="004F3627" w:rsidRPr="004F3627">
        <w:rPr>
          <w:rFonts w:asciiTheme="majorBidi" w:eastAsia="Times New Roman" w:hAnsiTheme="majorBidi" w:cstheme="majorBidi"/>
          <w:sz w:val="24"/>
          <w:szCs w:val="24"/>
        </w:rPr>
        <w:t>compare the analytically calculated transmission factors with published Monte Carlo–based broad-beam transmission data. The close agreement observed across all three materials confirms that the analytical approach, when applied to a realistic architectural layout, provides results consistent with established PET shielding references. The analytical method yielded barrier thickness ranges of approximately 0.08–0.81 cm for lead, 0.20–1.87 cm for iron, and 0.9–8.9 cm for concrete. These values were applied directly to the architectural plan based on room classification, workload, and occupancy.</w:t>
      </w:r>
    </w:p>
    <w:p w14:paraId="206F4D25" w14:textId="77777777" w:rsidR="00CD22E5" w:rsidRPr="00CD22E5" w:rsidRDefault="00CD22E5" w:rsidP="00CD22E5">
      <w:pPr>
        <w:spacing w:before="100" w:beforeAutospacing="1" w:after="100" w:afterAutospacing="1" w:line="240" w:lineRule="auto"/>
        <w:jc w:val="both"/>
        <w:outlineLvl w:val="2"/>
        <w:rPr>
          <w:rFonts w:asciiTheme="majorBidi" w:hAnsiTheme="majorBidi" w:cstheme="majorBidi"/>
          <w:sz w:val="24"/>
          <w:szCs w:val="24"/>
        </w:rPr>
      </w:pPr>
      <w:r w:rsidRPr="00CD22E5">
        <w:rPr>
          <w:rFonts w:asciiTheme="majorBidi" w:hAnsiTheme="majorBidi" w:cstheme="majorBidi"/>
          <w:sz w:val="24"/>
          <w:szCs w:val="24"/>
        </w:rPr>
        <w:t>Although no Monte Carlo simulations were performed in this study, validation against published Monte Carlo–derived transmission data demonstrated agreement within accepted shielding design tolerances. In several locations, the analytical approach resulted in slightly lower required thicknesses, highlighting the conservative nature of generalized shielding tables when applied without facility-specific adaptation. By incorporating the actual room layout and operational conditions, the proposed method ensures regulatory compliance while avoiding unnecessary over-shielding.</w:t>
      </w:r>
    </w:p>
    <w:p w14:paraId="2C72977F" w14:textId="77777777" w:rsidR="00C80068" w:rsidRDefault="00CD22E5" w:rsidP="00C80068">
      <w:pPr>
        <w:spacing w:before="100" w:beforeAutospacing="1" w:after="100" w:afterAutospacing="1" w:line="240" w:lineRule="auto"/>
        <w:jc w:val="both"/>
        <w:outlineLvl w:val="2"/>
        <w:rPr>
          <w:rFonts w:asciiTheme="majorBidi" w:hAnsiTheme="majorBidi" w:cstheme="majorBidi"/>
          <w:sz w:val="24"/>
          <w:szCs w:val="24"/>
          <w:rtl/>
        </w:rPr>
      </w:pPr>
      <w:r w:rsidRPr="00CD22E5">
        <w:rPr>
          <w:rFonts w:asciiTheme="majorBidi" w:hAnsiTheme="majorBidi" w:cstheme="majorBidi"/>
          <w:sz w:val="24"/>
          <w:szCs w:val="24"/>
        </w:rPr>
        <w:t xml:space="preserve">The reduced shielding thicknesses obtained using this analytical framework have important practical implications, particularly for facilities in low-resource settings. Because shielding is applied only where needed, material usage and construction costs can be minimized without </w:t>
      </w:r>
      <w:r w:rsidRPr="00CD22E5">
        <w:rPr>
          <w:rFonts w:asciiTheme="majorBidi" w:hAnsiTheme="majorBidi" w:cstheme="majorBidi"/>
          <w:sz w:val="24"/>
          <w:szCs w:val="24"/>
        </w:rPr>
        <w:lastRenderedPageBreak/>
        <w:t>compromising radiation safety. While Monte Carlo simulations remain the preferred approach for complex geometries, the present method offers a reliable and accessible alternative for standard PET facility designs.</w:t>
      </w:r>
    </w:p>
    <w:p w14:paraId="75950838" w14:textId="0C121314" w:rsidR="00C80068" w:rsidRPr="00CD22E5" w:rsidRDefault="00CD22E5" w:rsidP="00C80068">
      <w:pPr>
        <w:spacing w:before="100" w:beforeAutospacing="1" w:after="100" w:afterAutospacing="1" w:line="240" w:lineRule="auto"/>
        <w:jc w:val="both"/>
        <w:outlineLvl w:val="2"/>
        <w:rPr>
          <w:rFonts w:asciiTheme="majorBidi" w:hAnsiTheme="majorBidi" w:cstheme="majorBidi"/>
          <w:sz w:val="24"/>
          <w:szCs w:val="24"/>
          <w:rtl/>
        </w:rPr>
      </w:pPr>
      <w:r w:rsidRPr="00CD22E5">
        <w:rPr>
          <w:rFonts w:asciiTheme="majorBidi" w:hAnsiTheme="majorBidi" w:cstheme="majorBidi"/>
          <w:sz w:val="24"/>
          <w:szCs w:val="24"/>
        </w:rPr>
        <w:t>Overall, the close agreement observed between the analytically derived shielding thicknesses and published Monte Carlo–based broad-beam transmission data confirms that facility-specific analytical methods, when appropriately applied, can achieve regulatory-compliant PET shielding without unnecessary overdesign. Similar conclusions regarding the conservative nature of generalized PET shielding tables and the importance of geometry-specific assessments have been reported in AAPM Task Group 108 [1]</w:t>
      </w:r>
      <w:r>
        <w:rPr>
          <w:rFonts w:asciiTheme="majorBidi" w:hAnsiTheme="majorBidi" w:cstheme="majorBidi"/>
          <w:sz w:val="24"/>
          <w:szCs w:val="24"/>
        </w:rPr>
        <w:t>.</w:t>
      </w:r>
    </w:p>
    <w:p w14:paraId="19304780" w14:textId="1718FA1D" w:rsidR="0016017A" w:rsidRPr="0016017A" w:rsidRDefault="0016017A" w:rsidP="007B1C51">
      <w:pPr>
        <w:spacing w:before="100" w:beforeAutospacing="1" w:after="100" w:afterAutospacing="1" w:line="240" w:lineRule="auto"/>
        <w:outlineLvl w:val="2"/>
        <w:rPr>
          <w:rFonts w:asciiTheme="majorBidi" w:eastAsia="Times New Roman" w:hAnsiTheme="majorBidi" w:cstheme="majorBidi"/>
          <w:b/>
          <w:bCs/>
          <w:sz w:val="24"/>
          <w:szCs w:val="24"/>
        </w:rPr>
      </w:pPr>
      <w:r w:rsidRPr="0016017A">
        <w:rPr>
          <w:rFonts w:asciiTheme="majorBidi" w:eastAsia="Times New Roman" w:hAnsiTheme="majorBidi" w:cstheme="majorBidi"/>
          <w:b/>
          <w:bCs/>
          <w:sz w:val="24"/>
          <w:szCs w:val="24"/>
        </w:rPr>
        <w:t>Conclusion:</w:t>
      </w:r>
    </w:p>
    <w:p w14:paraId="272F65EB" w14:textId="49C3BE11" w:rsidR="007D3A33" w:rsidRPr="007D3A33" w:rsidRDefault="007D3A33" w:rsidP="007D3A33">
      <w:pPr>
        <w:jc w:val="both"/>
        <w:outlineLvl w:val="2"/>
        <w:rPr>
          <w:rFonts w:asciiTheme="majorBidi" w:eastAsia="Times New Roman" w:hAnsiTheme="majorBidi" w:cstheme="majorBidi"/>
          <w:sz w:val="24"/>
          <w:szCs w:val="24"/>
        </w:rPr>
      </w:pPr>
      <w:r w:rsidRPr="007D3A33">
        <w:rPr>
          <w:rFonts w:asciiTheme="majorBidi" w:eastAsia="Times New Roman" w:hAnsiTheme="majorBidi" w:cstheme="majorBidi"/>
          <w:sz w:val="24"/>
          <w:szCs w:val="24"/>
        </w:rPr>
        <w:t>This study presented a practical and facility-specific analytical approach for radiation shielding design in PET facilities, based on realistic architectural planning and validated against published Monte Carlo–derived broad-beam transmission data. The results demonstrated that analytically calculated shielding thicknesses for concrete, lead, and iron remain fully compliant with international radiation protection standards while generally yielding lower thickness requirements than conservative guideline-based estimates. Because shielding cost is strongly dependent on material thickness and mass, the demonstrated reduction in required barrier thickness provides direct, physics-based evidence of lower construction cost without compromising radiation safety.</w:t>
      </w:r>
    </w:p>
    <w:p w14:paraId="6065AC08" w14:textId="77777777" w:rsidR="007D3A33" w:rsidRPr="007D3A33" w:rsidRDefault="007D3A33" w:rsidP="007D3A33">
      <w:pPr>
        <w:spacing w:before="100" w:beforeAutospacing="1" w:after="100" w:afterAutospacing="1" w:line="240" w:lineRule="auto"/>
        <w:jc w:val="both"/>
        <w:outlineLvl w:val="2"/>
        <w:rPr>
          <w:rFonts w:asciiTheme="majorBidi" w:eastAsia="Times New Roman" w:hAnsiTheme="majorBidi" w:cstheme="majorBidi"/>
          <w:sz w:val="24"/>
          <w:szCs w:val="24"/>
        </w:rPr>
      </w:pPr>
      <w:r w:rsidRPr="007D3A33">
        <w:rPr>
          <w:rFonts w:asciiTheme="majorBidi" w:eastAsia="Times New Roman" w:hAnsiTheme="majorBidi" w:cstheme="majorBidi"/>
          <w:sz w:val="24"/>
          <w:szCs w:val="24"/>
        </w:rPr>
        <w:t>By integrating analytical attenuation equations with validated reference data and applying them directly to an architect-designed PET layout, the proposed methodology addresses a key gap in the existing literature—namely, the lack of accessible and validated shielding design methods suitable for low-resource settings. The close agreement observed with AAPM Task Group 108 transmission data confirms that reliable PET shielding can be achieved without reliance on computationally intensive Monte Carlo simulations.</w:t>
      </w:r>
    </w:p>
    <w:p w14:paraId="259F7EFE" w14:textId="5EF6837D" w:rsidR="007A5BA7" w:rsidRDefault="007D3A33" w:rsidP="007D3A33">
      <w:pPr>
        <w:spacing w:before="100" w:beforeAutospacing="1" w:after="100" w:afterAutospacing="1" w:line="240" w:lineRule="auto"/>
        <w:jc w:val="both"/>
        <w:outlineLvl w:val="2"/>
        <w:rPr>
          <w:rFonts w:asciiTheme="majorBidi" w:eastAsia="Times New Roman" w:hAnsiTheme="majorBidi" w:cstheme="majorBidi"/>
          <w:sz w:val="24"/>
          <w:szCs w:val="24"/>
        </w:rPr>
      </w:pPr>
      <w:r w:rsidRPr="007D3A33">
        <w:rPr>
          <w:rFonts w:asciiTheme="majorBidi" w:eastAsia="Times New Roman" w:hAnsiTheme="majorBidi" w:cstheme="majorBidi"/>
          <w:sz w:val="24"/>
          <w:szCs w:val="24"/>
        </w:rPr>
        <w:t>Future work will focus on extending this analytical framework to more complex PET facility geometries and hybrid imaging systems such as PET/CT and PET/MR, where additional scatter and secondary radiation sources may influence shielding requirements. Incorporating site-specific occupancy patterns and time-dependent workload variations is also expected to further refine dose estimates. In selected cases, limited Monte Carlo simulations may be used as supplementary tools to benchmark analytical results in highly irregular or non-standard facility layouts.</w:t>
      </w:r>
    </w:p>
    <w:p w14:paraId="321F3F5B" w14:textId="73CE63F1" w:rsidR="00044F36" w:rsidRDefault="00044F36" w:rsidP="007D3A33">
      <w:pPr>
        <w:spacing w:before="100" w:beforeAutospacing="1" w:after="100" w:afterAutospacing="1" w:line="240" w:lineRule="auto"/>
        <w:jc w:val="both"/>
        <w:outlineLvl w:val="2"/>
        <w:rPr>
          <w:rFonts w:asciiTheme="majorBidi" w:eastAsia="Times New Roman" w:hAnsiTheme="majorBidi" w:cstheme="majorBidi"/>
          <w:sz w:val="24"/>
          <w:szCs w:val="24"/>
        </w:rPr>
      </w:pPr>
    </w:p>
    <w:p w14:paraId="469AF337"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b/>
          <w:sz w:val="24"/>
          <w:szCs w:val="24"/>
        </w:rPr>
      </w:pPr>
      <w:r w:rsidRPr="00044F36">
        <w:rPr>
          <w:rFonts w:asciiTheme="majorBidi" w:eastAsia="Times New Roman" w:hAnsiTheme="majorBidi" w:cstheme="majorBidi"/>
          <w:b/>
          <w:sz w:val="24"/>
          <w:szCs w:val="24"/>
        </w:rPr>
        <w:t>Disclaimer (Artificial intelligence)</w:t>
      </w:r>
    </w:p>
    <w:p w14:paraId="41715E72"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 xml:space="preserve">Option 1: </w:t>
      </w:r>
    </w:p>
    <w:p w14:paraId="3541109C"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Author(s) hereby declare that NO generative AI technologies such as Large Language Models (</w:t>
      </w:r>
      <w:proofErr w:type="spellStart"/>
      <w:r w:rsidRPr="00044F36">
        <w:rPr>
          <w:rFonts w:asciiTheme="majorBidi" w:eastAsia="Times New Roman" w:hAnsiTheme="majorBidi" w:cstheme="majorBidi"/>
          <w:sz w:val="24"/>
          <w:szCs w:val="24"/>
        </w:rPr>
        <w:t>ChatGPT</w:t>
      </w:r>
      <w:proofErr w:type="spellEnd"/>
      <w:r w:rsidRPr="00044F36">
        <w:rPr>
          <w:rFonts w:asciiTheme="majorBidi" w:eastAsia="Times New Roman" w:hAnsiTheme="majorBidi" w:cstheme="majorBidi"/>
          <w:sz w:val="24"/>
          <w:szCs w:val="24"/>
        </w:rPr>
        <w:t xml:space="preserve">, COPILOT, etc.) and text-to-image generators have been used during the writing or editing of this manuscript. </w:t>
      </w:r>
    </w:p>
    <w:p w14:paraId="1C26F84E"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lastRenderedPageBreak/>
        <w:t xml:space="preserve">Option 2: </w:t>
      </w:r>
    </w:p>
    <w:p w14:paraId="1E1094B1"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25014B"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Details of the AI usage are given below:</w:t>
      </w:r>
    </w:p>
    <w:p w14:paraId="0FAFA6E4"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1.</w:t>
      </w:r>
    </w:p>
    <w:p w14:paraId="60A22A0E" w14:textId="77777777" w:rsidR="00044F36" w:rsidRP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2.</w:t>
      </w:r>
    </w:p>
    <w:p w14:paraId="4FDD053E" w14:textId="483441E3" w:rsidR="00044F36" w:rsidRDefault="00044F36" w:rsidP="00044F36">
      <w:pPr>
        <w:spacing w:before="100" w:beforeAutospacing="1" w:after="100" w:afterAutospacing="1" w:line="240" w:lineRule="auto"/>
        <w:jc w:val="both"/>
        <w:outlineLvl w:val="2"/>
        <w:rPr>
          <w:rFonts w:asciiTheme="majorBidi" w:eastAsia="Times New Roman" w:hAnsiTheme="majorBidi" w:cstheme="majorBidi"/>
          <w:sz w:val="24"/>
          <w:szCs w:val="24"/>
        </w:rPr>
      </w:pPr>
      <w:r w:rsidRPr="00044F36">
        <w:rPr>
          <w:rFonts w:asciiTheme="majorBidi" w:eastAsia="Times New Roman" w:hAnsiTheme="majorBidi" w:cstheme="majorBidi"/>
          <w:sz w:val="24"/>
          <w:szCs w:val="24"/>
        </w:rPr>
        <w:t>3.</w:t>
      </w:r>
    </w:p>
    <w:p w14:paraId="05710EE7" w14:textId="45414EDD" w:rsidR="00D4452F" w:rsidRPr="00D4452F" w:rsidRDefault="00782AAE" w:rsidP="00D4452F">
      <w:pPr>
        <w:spacing w:before="100" w:beforeAutospacing="1" w:after="100" w:afterAutospacing="1" w:line="240" w:lineRule="auto"/>
        <w:outlineLvl w:val="2"/>
        <w:rPr>
          <w:rFonts w:asciiTheme="majorBidi" w:eastAsia="Times New Roman" w:hAnsiTheme="majorBidi" w:cstheme="majorBidi"/>
          <w:b/>
          <w:bCs/>
          <w:sz w:val="24"/>
          <w:szCs w:val="24"/>
        </w:rPr>
      </w:pPr>
      <w:r w:rsidRPr="00587DFD">
        <w:rPr>
          <w:rFonts w:asciiTheme="majorBidi" w:eastAsia="Times New Roman" w:hAnsiTheme="majorBidi" w:cstheme="majorBidi"/>
          <w:b/>
          <w:bCs/>
          <w:sz w:val="24"/>
          <w:szCs w:val="24"/>
        </w:rPr>
        <w:t>References</w:t>
      </w:r>
    </w:p>
    <w:p w14:paraId="20106102" w14:textId="0EFF0718" w:rsidR="00EB4503" w:rsidRDefault="00EB4503" w:rsidP="00EB4503">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EB4503">
        <w:rPr>
          <w:rFonts w:ascii="Times New Roman" w:eastAsia="Times New Roman" w:hAnsi="Times New Roman" w:cs="Times New Roman"/>
          <w:sz w:val="24"/>
          <w:szCs w:val="24"/>
        </w:rPr>
        <w:t xml:space="preserve">Madsen MT, Anderson JA, </w:t>
      </w:r>
      <w:proofErr w:type="spellStart"/>
      <w:r w:rsidRPr="00EB4503">
        <w:rPr>
          <w:rFonts w:ascii="Times New Roman" w:eastAsia="Times New Roman" w:hAnsi="Times New Roman" w:cs="Times New Roman"/>
          <w:sz w:val="24"/>
          <w:szCs w:val="24"/>
        </w:rPr>
        <w:t>Halama</w:t>
      </w:r>
      <w:proofErr w:type="spellEnd"/>
      <w:r w:rsidRPr="00EB4503">
        <w:rPr>
          <w:rFonts w:ascii="Times New Roman" w:eastAsia="Times New Roman" w:hAnsi="Times New Roman" w:cs="Times New Roman"/>
          <w:sz w:val="24"/>
          <w:szCs w:val="24"/>
        </w:rPr>
        <w:t xml:space="preserve"> JR, </w:t>
      </w:r>
      <w:proofErr w:type="spellStart"/>
      <w:r w:rsidRPr="00EB4503">
        <w:rPr>
          <w:rFonts w:ascii="Times New Roman" w:eastAsia="Times New Roman" w:hAnsi="Times New Roman" w:cs="Times New Roman"/>
          <w:sz w:val="24"/>
          <w:szCs w:val="24"/>
        </w:rPr>
        <w:t>Kleck</w:t>
      </w:r>
      <w:proofErr w:type="spellEnd"/>
      <w:r w:rsidRPr="00EB4503">
        <w:rPr>
          <w:rFonts w:ascii="Times New Roman" w:eastAsia="Times New Roman" w:hAnsi="Times New Roman" w:cs="Times New Roman"/>
          <w:sz w:val="24"/>
          <w:szCs w:val="24"/>
        </w:rPr>
        <w:t xml:space="preserve"> J, </w:t>
      </w:r>
      <w:proofErr w:type="spellStart"/>
      <w:r w:rsidRPr="00EB4503">
        <w:rPr>
          <w:rFonts w:ascii="Times New Roman" w:eastAsia="Times New Roman" w:hAnsi="Times New Roman" w:cs="Times New Roman"/>
          <w:sz w:val="24"/>
          <w:szCs w:val="24"/>
        </w:rPr>
        <w:t>Simpkin</w:t>
      </w:r>
      <w:proofErr w:type="spellEnd"/>
      <w:r w:rsidRPr="00EB4503">
        <w:rPr>
          <w:rFonts w:ascii="Times New Roman" w:eastAsia="Times New Roman" w:hAnsi="Times New Roman" w:cs="Times New Roman"/>
          <w:sz w:val="24"/>
          <w:szCs w:val="24"/>
        </w:rPr>
        <w:t xml:space="preserve"> DJ, </w:t>
      </w:r>
      <w:proofErr w:type="spellStart"/>
      <w:r w:rsidRPr="00EB4503">
        <w:rPr>
          <w:rFonts w:ascii="Times New Roman" w:eastAsia="Times New Roman" w:hAnsi="Times New Roman" w:cs="Times New Roman"/>
          <w:sz w:val="24"/>
          <w:szCs w:val="24"/>
        </w:rPr>
        <w:t>Votaw</w:t>
      </w:r>
      <w:proofErr w:type="spellEnd"/>
      <w:r w:rsidRPr="00EB4503">
        <w:rPr>
          <w:rFonts w:ascii="Times New Roman" w:eastAsia="Times New Roman" w:hAnsi="Times New Roman" w:cs="Times New Roman"/>
          <w:sz w:val="24"/>
          <w:szCs w:val="24"/>
        </w:rPr>
        <w:t xml:space="preserve"> JR, et al. AAPM Task Group 108: PET and PET/CT shielding requirements. </w:t>
      </w:r>
      <w:r w:rsidRPr="00EB4503">
        <w:rPr>
          <w:rFonts w:ascii="Times New Roman" w:eastAsia="Times New Roman" w:hAnsi="Times New Roman" w:cs="Times New Roman"/>
          <w:i/>
          <w:iCs/>
          <w:sz w:val="24"/>
          <w:szCs w:val="24"/>
        </w:rPr>
        <w:t>Medical Physics.</w:t>
      </w:r>
      <w:r w:rsidRPr="00EB4503">
        <w:rPr>
          <w:rFonts w:ascii="Times New Roman" w:eastAsia="Times New Roman" w:hAnsi="Times New Roman" w:cs="Times New Roman"/>
          <w:sz w:val="24"/>
          <w:szCs w:val="24"/>
        </w:rPr>
        <w:t xml:space="preserve"> 2006;33(1):4–15. </w:t>
      </w:r>
      <w:hyperlink r:id="rId20" w:history="1">
        <w:r w:rsidR="00C80068" w:rsidRPr="00B87DED">
          <w:rPr>
            <w:rStyle w:val="Hyperlink"/>
            <w:rFonts w:ascii="Times New Roman" w:eastAsia="Times New Roman" w:hAnsi="Times New Roman" w:cs="Times New Roman"/>
            <w:sz w:val="24"/>
            <w:szCs w:val="24"/>
          </w:rPr>
          <w:t>https://doi.org/10.1118/1.2135911</w:t>
        </w:r>
      </w:hyperlink>
    </w:p>
    <w:p w14:paraId="55D22055" w14:textId="77777777" w:rsidR="00C80068" w:rsidRPr="00EB4503" w:rsidRDefault="00C80068" w:rsidP="00C80068">
      <w:pPr>
        <w:spacing w:before="100" w:beforeAutospacing="1" w:after="100" w:afterAutospacing="1" w:line="276" w:lineRule="auto"/>
        <w:ind w:left="720"/>
        <w:outlineLvl w:val="2"/>
        <w:rPr>
          <w:rFonts w:ascii="Times New Roman" w:eastAsia="Times New Roman" w:hAnsi="Times New Roman" w:cs="Times New Roman"/>
          <w:sz w:val="24"/>
          <w:szCs w:val="24"/>
        </w:rPr>
      </w:pPr>
    </w:p>
    <w:p w14:paraId="668AB34B" w14:textId="085D1509" w:rsidR="00C80068" w:rsidRDefault="00EB4503" w:rsidP="00C80068">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EB4503">
        <w:rPr>
          <w:rFonts w:ascii="Times New Roman" w:eastAsia="Times New Roman" w:hAnsi="Times New Roman" w:cs="Times New Roman"/>
          <w:sz w:val="24"/>
          <w:szCs w:val="24"/>
        </w:rPr>
        <w:t>Cherry SR, Sorenson JA, Phelps ME. Physics in Nuclear Medicine. 4th ed. Philadelphia: Elsevier Saunders; 2012.</w:t>
      </w:r>
    </w:p>
    <w:p w14:paraId="782C9ADE" w14:textId="77777777" w:rsidR="00C80068" w:rsidRPr="00C80068" w:rsidRDefault="00C80068" w:rsidP="00C80068">
      <w:pPr>
        <w:spacing w:before="100" w:beforeAutospacing="1" w:after="100" w:afterAutospacing="1" w:line="276" w:lineRule="auto"/>
        <w:outlineLvl w:val="2"/>
        <w:rPr>
          <w:rFonts w:ascii="Times New Roman" w:eastAsia="Times New Roman" w:hAnsi="Times New Roman" w:cs="Times New Roman"/>
          <w:sz w:val="24"/>
          <w:szCs w:val="24"/>
        </w:rPr>
      </w:pPr>
    </w:p>
    <w:p w14:paraId="3F3B8288" w14:textId="185B7DC4" w:rsidR="00C80068" w:rsidRDefault="00EB4503" w:rsidP="00C80068">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EB4503">
        <w:rPr>
          <w:rFonts w:ascii="Times New Roman" w:eastAsia="Times New Roman" w:hAnsi="Times New Roman" w:cs="Times New Roman"/>
          <w:sz w:val="24"/>
          <w:szCs w:val="24"/>
        </w:rPr>
        <w:t xml:space="preserve">Townsend DW. Positron emission tomography/computed tomography. </w:t>
      </w:r>
      <w:r w:rsidRPr="00EB4503">
        <w:rPr>
          <w:rFonts w:ascii="Times New Roman" w:eastAsia="Times New Roman" w:hAnsi="Times New Roman" w:cs="Times New Roman"/>
          <w:i/>
          <w:iCs/>
          <w:sz w:val="24"/>
          <w:szCs w:val="24"/>
        </w:rPr>
        <w:t>Seminars in Nuclear Medicine.</w:t>
      </w:r>
      <w:r w:rsidRPr="00EB4503">
        <w:rPr>
          <w:rFonts w:ascii="Times New Roman" w:eastAsia="Times New Roman" w:hAnsi="Times New Roman" w:cs="Times New Roman"/>
          <w:sz w:val="24"/>
          <w:szCs w:val="24"/>
        </w:rPr>
        <w:t xml:space="preserve"> 2008;38(3):152–166. </w:t>
      </w:r>
      <w:hyperlink r:id="rId21" w:history="1">
        <w:r w:rsidR="00C80068" w:rsidRPr="00B87DED">
          <w:rPr>
            <w:rStyle w:val="Hyperlink"/>
            <w:rFonts w:ascii="Times New Roman" w:eastAsia="Times New Roman" w:hAnsi="Times New Roman" w:cs="Times New Roman"/>
            <w:sz w:val="24"/>
            <w:szCs w:val="24"/>
          </w:rPr>
          <w:t>https://doi.org/10.1053/j.semnuclmed.2008.02.001</w:t>
        </w:r>
      </w:hyperlink>
    </w:p>
    <w:p w14:paraId="26171570" w14:textId="77777777" w:rsidR="00C80068" w:rsidRPr="00C80068" w:rsidRDefault="00C80068" w:rsidP="00C80068">
      <w:pPr>
        <w:spacing w:before="100" w:beforeAutospacing="1" w:after="100" w:afterAutospacing="1" w:line="276" w:lineRule="auto"/>
        <w:outlineLvl w:val="2"/>
        <w:rPr>
          <w:rFonts w:ascii="Times New Roman" w:eastAsia="Times New Roman" w:hAnsi="Times New Roman" w:cs="Times New Roman"/>
          <w:sz w:val="24"/>
          <w:szCs w:val="24"/>
        </w:rPr>
      </w:pPr>
    </w:p>
    <w:p w14:paraId="138242E3" w14:textId="18461363" w:rsidR="00EB4503" w:rsidRDefault="00EB4503" w:rsidP="00EB4503">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EB4503">
        <w:rPr>
          <w:rFonts w:ascii="Times New Roman" w:eastAsia="Times New Roman" w:hAnsi="Times New Roman" w:cs="Times New Roman"/>
          <w:sz w:val="24"/>
          <w:szCs w:val="24"/>
        </w:rPr>
        <w:t>Boellaard</w:t>
      </w:r>
      <w:proofErr w:type="spellEnd"/>
      <w:r w:rsidRPr="00EB4503">
        <w:rPr>
          <w:rFonts w:ascii="Times New Roman" w:eastAsia="Times New Roman" w:hAnsi="Times New Roman" w:cs="Times New Roman"/>
          <w:sz w:val="24"/>
          <w:szCs w:val="24"/>
        </w:rPr>
        <w:t xml:space="preserve"> R. Standards for PET image acquisition and quantitative data analysis. </w:t>
      </w:r>
      <w:r w:rsidRPr="00EB4503">
        <w:rPr>
          <w:rFonts w:ascii="Times New Roman" w:eastAsia="Times New Roman" w:hAnsi="Times New Roman" w:cs="Times New Roman"/>
          <w:i/>
          <w:iCs/>
          <w:sz w:val="24"/>
          <w:szCs w:val="24"/>
        </w:rPr>
        <w:t>European Journal of Nuclear Medicine and Molecular Imaging.</w:t>
      </w:r>
      <w:r w:rsidRPr="00EB4503">
        <w:rPr>
          <w:rFonts w:ascii="Times New Roman" w:eastAsia="Times New Roman" w:hAnsi="Times New Roman" w:cs="Times New Roman"/>
          <w:sz w:val="24"/>
          <w:szCs w:val="24"/>
        </w:rPr>
        <w:t xml:space="preserve"> 2009;36(Suppl 1</w:t>
      </w:r>
      <w:r w:rsidR="00F1724A" w:rsidRPr="00EB4503">
        <w:rPr>
          <w:rFonts w:ascii="Times New Roman" w:eastAsia="Times New Roman" w:hAnsi="Times New Roman" w:cs="Times New Roman"/>
          <w:sz w:val="24"/>
          <w:szCs w:val="24"/>
        </w:rPr>
        <w:t>): S</w:t>
      </w:r>
      <w:r w:rsidRPr="00EB4503">
        <w:rPr>
          <w:rFonts w:ascii="Times New Roman" w:eastAsia="Times New Roman" w:hAnsi="Times New Roman" w:cs="Times New Roman"/>
          <w:sz w:val="24"/>
          <w:szCs w:val="24"/>
        </w:rPr>
        <w:t xml:space="preserve">68–S77. </w:t>
      </w:r>
      <w:hyperlink r:id="rId22" w:history="1">
        <w:r w:rsidR="00B7337F" w:rsidRPr="00B87DED">
          <w:rPr>
            <w:rStyle w:val="Hyperlink"/>
            <w:rFonts w:ascii="Times New Roman" w:eastAsia="Times New Roman" w:hAnsi="Times New Roman" w:cs="Times New Roman"/>
            <w:sz w:val="24"/>
            <w:szCs w:val="24"/>
          </w:rPr>
          <w:t>https://doi.org/10.1007/s00259-008-0957-5</w:t>
        </w:r>
      </w:hyperlink>
    </w:p>
    <w:p w14:paraId="5362704A" w14:textId="77777777" w:rsidR="00B7337F" w:rsidRDefault="00B7337F" w:rsidP="00B7337F">
      <w:pPr>
        <w:pStyle w:val="ListParagraph"/>
        <w:rPr>
          <w:rFonts w:ascii="Times New Roman" w:eastAsia="Times New Roman" w:hAnsi="Times New Roman" w:cs="Times New Roman"/>
          <w:sz w:val="24"/>
          <w:szCs w:val="24"/>
        </w:rPr>
      </w:pPr>
    </w:p>
    <w:p w14:paraId="074CB880" w14:textId="77777777"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International Atomic Energy Agency (IAEA). Radiation Protection and Safety in Nuclear Medicine. Safety Reports Series No. 63. Vienna: IAEA; 2014.</w:t>
      </w:r>
    </w:p>
    <w:p w14:paraId="5F45C4E4" w14:textId="77777777" w:rsidR="00B7337F" w:rsidRPr="00B7337F" w:rsidRDefault="00B7337F" w:rsidP="00B7337F">
      <w:pPr>
        <w:spacing w:before="100" w:beforeAutospacing="1" w:after="100" w:afterAutospacing="1" w:line="276" w:lineRule="auto"/>
        <w:outlineLvl w:val="2"/>
        <w:rPr>
          <w:rFonts w:ascii="Times New Roman" w:eastAsia="Times New Roman" w:hAnsi="Times New Roman" w:cs="Times New Roman"/>
          <w:sz w:val="24"/>
          <w:szCs w:val="24"/>
        </w:rPr>
      </w:pPr>
    </w:p>
    <w:p w14:paraId="254EC0E9" w14:textId="24624DC7" w:rsidR="00EB4503" w:rsidRDefault="00EB4503" w:rsidP="00EB4503">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EB4503">
        <w:rPr>
          <w:rFonts w:ascii="Times New Roman" w:eastAsia="Times New Roman" w:hAnsi="Times New Roman" w:cs="Times New Roman"/>
          <w:sz w:val="24"/>
          <w:szCs w:val="24"/>
        </w:rPr>
        <w:lastRenderedPageBreak/>
        <w:t xml:space="preserve">Waller D, Khullar P, </w:t>
      </w:r>
      <w:proofErr w:type="spellStart"/>
      <w:r w:rsidRPr="00EB4503">
        <w:rPr>
          <w:rFonts w:ascii="Times New Roman" w:eastAsia="Times New Roman" w:hAnsi="Times New Roman" w:cs="Times New Roman"/>
          <w:sz w:val="24"/>
          <w:szCs w:val="24"/>
        </w:rPr>
        <w:t>Zankl</w:t>
      </w:r>
      <w:proofErr w:type="spellEnd"/>
      <w:r w:rsidRPr="00EB4503">
        <w:rPr>
          <w:rFonts w:ascii="Times New Roman" w:eastAsia="Times New Roman" w:hAnsi="Times New Roman" w:cs="Times New Roman"/>
          <w:sz w:val="24"/>
          <w:szCs w:val="24"/>
        </w:rPr>
        <w:t xml:space="preserve"> M, Sutherland R. Design of PET/CT facilities and radiation protection considerations. </w:t>
      </w:r>
      <w:r w:rsidRPr="00EB4503">
        <w:rPr>
          <w:rFonts w:ascii="Times New Roman" w:eastAsia="Times New Roman" w:hAnsi="Times New Roman" w:cs="Times New Roman"/>
          <w:i/>
          <w:iCs/>
          <w:sz w:val="24"/>
          <w:szCs w:val="24"/>
        </w:rPr>
        <w:t>Applied Radiation and Isotopes.</w:t>
      </w:r>
      <w:r w:rsidRPr="00EB4503">
        <w:rPr>
          <w:rFonts w:ascii="Times New Roman" w:eastAsia="Times New Roman" w:hAnsi="Times New Roman" w:cs="Times New Roman"/>
          <w:sz w:val="24"/>
          <w:szCs w:val="24"/>
        </w:rPr>
        <w:t xml:space="preserve"> </w:t>
      </w:r>
      <w:r w:rsidR="00F1724A" w:rsidRPr="00EB4503">
        <w:rPr>
          <w:rFonts w:ascii="Times New Roman" w:eastAsia="Times New Roman" w:hAnsi="Times New Roman" w:cs="Times New Roman"/>
          <w:sz w:val="24"/>
          <w:szCs w:val="24"/>
        </w:rPr>
        <w:t>2016; 118:126</w:t>
      </w:r>
      <w:r w:rsidRPr="00EB4503">
        <w:rPr>
          <w:rFonts w:ascii="Times New Roman" w:eastAsia="Times New Roman" w:hAnsi="Times New Roman" w:cs="Times New Roman"/>
          <w:sz w:val="24"/>
          <w:szCs w:val="24"/>
        </w:rPr>
        <w:t xml:space="preserve">–132. </w:t>
      </w:r>
      <w:hyperlink r:id="rId23" w:history="1">
        <w:r w:rsidR="00B7337F" w:rsidRPr="00B87DED">
          <w:rPr>
            <w:rStyle w:val="Hyperlink"/>
            <w:rFonts w:ascii="Times New Roman" w:eastAsia="Times New Roman" w:hAnsi="Times New Roman" w:cs="Times New Roman"/>
            <w:sz w:val="24"/>
            <w:szCs w:val="24"/>
          </w:rPr>
          <w:t>https://doi.org/10.1016/j.apradiso.2015.12.001</w:t>
        </w:r>
      </w:hyperlink>
    </w:p>
    <w:p w14:paraId="6855D7FE" w14:textId="77777777" w:rsidR="00B7337F" w:rsidRPr="00B7337F" w:rsidRDefault="00B7337F" w:rsidP="00B7337F">
      <w:pPr>
        <w:spacing w:before="100" w:beforeAutospacing="1" w:after="100" w:afterAutospacing="1" w:line="276" w:lineRule="auto"/>
        <w:outlineLvl w:val="2"/>
        <w:rPr>
          <w:rFonts w:ascii="Times New Roman" w:eastAsia="Times New Roman" w:hAnsi="Times New Roman" w:cs="Times New Roman"/>
          <w:sz w:val="24"/>
          <w:szCs w:val="24"/>
        </w:rPr>
      </w:pPr>
    </w:p>
    <w:p w14:paraId="594B6187" w14:textId="01B1FE1D" w:rsidR="00EB4503" w:rsidRDefault="00EB4503" w:rsidP="00EB4503">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EB4503">
        <w:rPr>
          <w:rFonts w:ascii="Times New Roman" w:eastAsia="Times New Roman" w:hAnsi="Times New Roman" w:cs="Times New Roman"/>
          <w:sz w:val="24"/>
          <w:szCs w:val="24"/>
        </w:rPr>
        <w:t>Nassef</w:t>
      </w:r>
      <w:proofErr w:type="spellEnd"/>
      <w:r w:rsidRPr="00EB4503">
        <w:rPr>
          <w:rFonts w:ascii="Times New Roman" w:eastAsia="Times New Roman" w:hAnsi="Times New Roman" w:cs="Times New Roman"/>
          <w:sz w:val="24"/>
          <w:szCs w:val="24"/>
        </w:rPr>
        <w:t xml:space="preserve"> MH, </w:t>
      </w:r>
      <w:proofErr w:type="spellStart"/>
      <w:r w:rsidRPr="00EB4503">
        <w:rPr>
          <w:rFonts w:ascii="Times New Roman" w:eastAsia="Times New Roman" w:hAnsi="Times New Roman" w:cs="Times New Roman"/>
          <w:sz w:val="24"/>
          <w:szCs w:val="24"/>
        </w:rPr>
        <w:t>Kinsara</w:t>
      </w:r>
      <w:proofErr w:type="spellEnd"/>
      <w:r w:rsidRPr="00EB4503">
        <w:rPr>
          <w:rFonts w:ascii="Times New Roman" w:eastAsia="Times New Roman" w:hAnsi="Times New Roman" w:cs="Times New Roman"/>
          <w:sz w:val="24"/>
          <w:szCs w:val="24"/>
        </w:rPr>
        <w:t xml:space="preserve"> AA. Occupational radiation dose in nuclear medicine facilities. </w:t>
      </w:r>
      <w:r w:rsidRPr="00EB4503">
        <w:rPr>
          <w:rFonts w:ascii="Times New Roman" w:eastAsia="Times New Roman" w:hAnsi="Times New Roman" w:cs="Times New Roman"/>
          <w:i/>
          <w:iCs/>
          <w:sz w:val="24"/>
          <w:szCs w:val="24"/>
        </w:rPr>
        <w:t>Journal of Radiological Protection.</w:t>
      </w:r>
      <w:r w:rsidRPr="00EB4503">
        <w:rPr>
          <w:rFonts w:ascii="Times New Roman" w:eastAsia="Times New Roman" w:hAnsi="Times New Roman" w:cs="Times New Roman"/>
          <w:sz w:val="24"/>
          <w:szCs w:val="24"/>
        </w:rPr>
        <w:t xml:space="preserve"> 2017;37(4):955–965. </w:t>
      </w:r>
      <w:hyperlink r:id="rId24" w:history="1">
        <w:r w:rsidR="00B7337F" w:rsidRPr="00B87DED">
          <w:rPr>
            <w:rStyle w:val="Hyperlink"/>
            <w:rFonts w:ascii="Times New Roman" w:eastAsia="Times New Roman" w:hAnsi="Times New Roman" w:cs="Times New Roman"/>
            <w:sz w:val="24"/>
            <w:szCs w:val="24"/>
          </w:rPr>
          <w:t>https://doi.org/10.1088/1361-6498/aa8d74</w:t>
        </w:r>
      </w:hyperlink>
    </w:p>
    <w:p w14:paraId="246E5409" w14:textId="77777777" w:rsidR="00B7337F" w:rsidRDefault="00B7337F" w:rsidP="00B7337F">
      <w:pPr>
        <w:pStyle w:val="ListParagraph"/>
        <w:rPr>
          <w:rFonts w:ascii="Times New Roman" w:eastAsia="Times New Roman" w:hAnsi="Times New Roman" w:cs="Times New Roman"/>
          <w:sz w:val="24"/>
          <w:szCs w:val="24"/>
        </w:rPr>
      </w:pPr>
    </w:p>
    <w:p w14:paraId="3BE9670D" w14:textId="363DDE4D"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B7337F">
        <w:rPr>
          <w:rFonts w:ascii="Times New Roman" w:eastAsia="Times New Roman" w:hAnsi="Times New Roman" w:cs="Times New Roman"/>
          <w:sz w:val="24"/>
          <w:szCs w:val="24"/>
        </w:rPr>
        <w:t>Carnicer</w:t>
      </w:r>
      <w:proofErr w:type="spellEnd"/>
      <w:r w:rsidRPr="00B7337F">
        <w:rPr>
          <w:rFonts w:ascii="Times New Roman" w:eastAsia="Times New Roman" w:hAnsi="Times New Roman" w:cs="Times New Roman"/>
          <w:sz w:val="24"/>
          <w:szCs w:val="24"/>
        </w:rPr>
        <w:t xml:space="preserve"> A, Sans-</w:t>
      </w:r>
      <w:proofErr w:type="spellStart"/>
      <w:r w:rsidRPr="00B7337F">
        <w:rPr>
          <w:rFonts w:ascii="Times New Roman" w:eastAsia="Times New Roman" w:hAnsi="Times New Roman" w:cs="Times New Roman"/>
          <w:sz w:val="24"/>
          <w:szCs w:val="24"/>
        </w:rPr>
        <w:t>Mercé</w:t>
      </w:r>
      <w:proofErr w:type="spellEnd"/>
      <w:r w:rsidRPr="00B7337F">
        <w:rPr>
          <w:rFonts w:ascii="Times New Roman" w:eastAsia="Times New Roman" w:hAnsi="Times New Roman" w:cs="Times New Roman"/>
          <w:sz w:val="24"/>
          <w:szCs w:val="24"/>
        </w:rPr>
        <w:t xml:space="preserve"> M, </w:t>
      </w:r>
      <w:proofErr w:type="spellStart"/>
      <w:r w:rsidRPr="00B7337F">
        <w:rPr>
          <w:rFonts w:ascii="Times New Roman" w:eastAsia="Times New Roman" w:hAnsi="Times New Roman" w:cs="Times New Roman"/>
          <w:sz w:val="24"/>
          <w:szCs w:val="24"/>
        </w:rPr>
        <w:t>Baechler</w:t>
      </w:r>
      <w:proofErr w:type="spellEnd"/>
      <w:r w:rsidRPr="00B7337F">
        <w:rPr>
          <w:rFonts w:ascii="Times New Roman" w:eastAsia="Times New Roman" w:hAnsi="Times New Roman" w:cs="Times New Roman"/>
          <w:sz w:val="24"/>
          <w:szCs w:val="24"/>
        </w:rPr>
        <w:t xml:space="preserve"> S, et al. Hand exposure in diagnostic nuclear medicine with 18F- and 99mTc-labelled radiopharmaceuticals: </w:t>
      </w:r>
      <w:bookmarkStart w:id="0" w:name="_GoBack"/>
      <w:r w:rsidRPr="00B7337F">
        <w:rPr>
          <w:rFonts w:ascii="Times New Roman" w:eastAsia="Times New Roman" w:hAnsi="Times New Roman" w:cs="Times New Roman"/>
          <w:sz w:val="24"/>
          <w:szCs w:val="24"/>
        </w:rPr>
        <w:t>result</w:t>
      </w:r>
      <w:bookmarkEnd w:id="0"/>
      <w:r w:rsidRPr="00B7337F">
        <w:rPr>
          <w:rFonts w:ascii="Times New Roman" w:eastAsia="Times New Roman" w:hAnsi="Times New Roman" w:cs="Times New Roman"/>
          <w:sz w:val="24"/>
          <w:szCs w:val="24"/>
        </w:rPr>
        <w:t xml:space="preserve">s of the ORAMED project. </w:t>
      </w:r>
      <w:r w:rsidRPr="00B7337F">
        <w:rPr>
          <w:rFonts w:ascii="Times New Roman" w:eastAsia="Times New Roman" w:hAnsi="Times New Roman" w:cs="Times New Roman"/>
          <w:i/>
          <w:iCs/>
          <w:sz w:val="24"/>
          <w:szCs w:val="24"/>
        </w:rPr>
        <w:t>Radiation Measurements.</w:t>
      </w:r>
      <w:r w:rsidRPr="00B7337F">
        <w:rPr>
          <w:rFonts w:ascii="Times New Roman" w:eastAsia="Times New Roman" w:hAnsi="Times New Roman" w:cs="Times New Roman"/>
          <w:sz w:val="24"/>
          <w:szCs w:val="24"/>
        </w:rPr>
        <w:t xml:space="preserve"> 2011;46(12):1505–1511. </w:t>
      </w:r>
      <w:hyperlink r:id="rId25" w:history="1">
        <w:r w:rsidR="00B7337F" w:rsidRPr="00B87DED">
          <w:rPr>
            <w:rStyle w:val="Hyperlink"/>
            <w:rFonts w:ascii="Times New Roman" w:eastAsia="Times New Roman" w:hAnsi="Times New Roman" w:cs="Times New Roman"/>
            <w:sz w:val="24"/>
            <w:szCs w:val="24"/>
          </w:rPr>
          <w:t>https://doi.org/10.1016/j.radmeas.2011.07.019</w:t>
        </w:r>
      </w:hyperlink>
    </w:p>
    <w:p w14:paraId="7E860610" w14:textId="77777777" w:rsidR="00B7337F" w:rsidRDefault="00B7337F" w:rsidP="00B7337F">
      <w:pPr>
        <w:pStyle w:val="ListParagraph"/>
        <w:rPr>
          <w:rFonts w:ascii="Times New Roman" w:eastAsia="Times New Roman" w:hAnsi="Times New Roman" w:cs="Times New Roman"/>
          <w:sz w:val="24"/>
          <w:szCs w:val="24"/>
        </w:rPr>
      </w:pPr>
    </w:p>
    <w:p w14:paraId="04232835" w14:textId="068828DF"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 xml:space="preserve">Johnson T, Martin CJ. Shielding design for PET/CT facilities. </w:t>
      </w:r>
      <w:r w:rsidRPr="00B7337F">
        <w:rPr>
          <w:rFonts w:ascii="Times New Roman" w:eastAsia="Times New Roman" w:hAnsi="Times New Roman" w:cs="Times New Roman"/>
          <w:i/>
          <w:iCs/>
          <w:sz w:val="24"/>
          <w:szCs w:val="24"/>
        </w:rPr>
        <w:t>Journal of Radiological Protection.</w:t>
      </w:r>
      <w:r w:rsidRPr="00B7337F">
        <w:rPr>
          <w:rFonts w:ascii="Times New Roman" w:eastAsia="Times New Roman" w:hAnsi="Times New Roman" w:cs="Times New Roman"/>
          <w:sz w:val="24"/>
          <w:szCs w:val="24"/>
        </w:rPr>
        <w:t xml:space="preserve"> 2020;40(2</w:t>
      </w:r>
      <w:r w:rsidR="00F1724A" w:rsidRPr="00B7337F">
        <w:rPr>
          <w:rFonts w:ascii="Times New Roman" w:eastAsia="Times New Roman" w:hAnsi="Times New Roman" w:cs="Times New Roman"/>
          <w:sz w:val="24"/>
          <w:szCs w:val="24"/>
        </w:rPr>
        <w:t>): R</w:t>
      </w:r>
      <w:r w:rsidRPr="00B7337F">
        <w:rPr>
          <w:rFonts w:ascii="Times New Roman" w:eastAsia="Times New Roman" w:hAnsi="Times New Roman" w:cs="Times New Roman"/>
          <w:sz w:val="24"/>
          <w:szCs w:val="24"/>
        </w:rPr>
        <w:t xml:space="preserve">125–R145. </w:t>
      </w:r>
      <w:hyperlink r:id="rId26" w:history="1">
        <w:r w:rsidR="00B7337F" w:rsidRPr="00B87DED">
          <w:rPr>
            <w:rStyle w:val="Hyperlink"/>
            <w:rFonts w:ascii="Times New Roman" w:eastAsia="Times New Roman" w:hAnsi="Times New Roman" w:cs="Times New Roman"/>
            <w:sz w:val="24"/>
            <w:szCs w:val="24"/>
          </w:rPr>
          <w:t>https://doi.org/10.1088/1361-6498/ab7b3a</w:t>
        </w:r>
      </w:hyperlink>
    </w:p>
    <w:p w14:paraId="3094B77F" w14:textId="77777777" w:rsidR="00B7337F" w:rsidRDefault="00B7337F" w:rsidP="00B7337F">
      <w:pPr>
        <w:pStyle w:val="ListParagraph"/>
        <w:rPr>
          <w:rFonts w:ascii="Times New Roman" w:eastAsia="Times New Roman" w:hAnsi="Times New Roman" w:cs="Times New Roman"/>
          <w:sz w:val="24"/>
          <w:szCs w:val="24"/>
        </w:rPr>
      </w:pPr>
    </w:p>
    <w:p w14:paraId="53CA1B7F" w14:textId="13D947ED"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 xml:space="preserve">International Commission on Radiological Protection (ICRP). The 2007 Recommendations of the International Commission on Radiological Protection. </w:t>
      </w:r>
      <w:r w:rsidRPr="00B7337F">
        <w:rPr>
          <w:rFonts w:ascii="Times New Roman" w:eastAsia="Times New Roman" w:hAnsi="Times New Roman" w:cs="Times New Roman"/>
          <w:i/>
          <w:iCs/>
          <w:sz w:val="24"/>
          <w:szCs w:val="24"/>
        </w:rPr>
        <w:t>Annals of the ICRP.</w:t>
      </w:r>
      <w:r w:rsidRPr="00B7337F">
        <w:rPr>
          <w:rFonts w:ascii="Times New Roman" w:eastAsia="Times New Roman" w:hAnsi="Times New Roman" w:cs="Times New Roman"/>
          <w:sz w:val="24"/>
          <w:szCs w:val="24"/>
        </w:rPr>
        <w:t xml:space="preserve"> ICRP Publication 103; 2007. </w:t>
      </w:r>
      <w:hyperlink r:id="rId27" w:history="1">
        <w:r w:rsidR="00B7337F" w:rsidRPr="00B87DED">
          <w:rPr>
            <w:rStyle w:val="Hyperlink"/>
            <w:rFonts w:ascii="Times New Roman" w:eastAsia="Times New Roman" w:hAnsi="Times New Roman" w:cs="Times New Roman"/>
            <w:sz w:val="24"/>
            <w:szCs w:val="24"/>
          </w:rPr>
          <w:t>https://doi.org/10.1016/j.icrp.2007.10.003</w:t>
        </w:r>
      </w:hyperlink>
    </w:p>
    <w:p w14:paraId="11A8FA2F" w14:textId="77777777" w:rsidR="00B7337F" w:rsidRDefault="00B7337F" w:rsidP="00B7337F">
      <w:pPr>
        <w:pStyle w:val="ListParagraph"/>
        <w:rPr>
          <w:rFonts w:ascii="Times New Roman" w:eastAsia="Times New Roman" w:hAnsi="Times New Roman" w:cs="Times New Roman"/>
          <w:sz w:val="24"/>
          <w:szCs w:val="24"/>
        </w:rPr>
      </w:pPr>
    </w:p>
    <w:p w14:paraId="0B8DB15B" w14:textId="77777777"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National Council on Radiation Protection and Measurements (NCRP). Structural Shielding Design for Medical X-Ray Imaging Facilities. NCRP Report No. 147. Bethesda, MD; 2004.</w:t>
      </w:r>
    </w:p>
    <w:p w14:paraId="46D31731" w14:textId="77777777" w:rsidR="00B7337F" w:rsidRDefault="00B7337F" w:rsidP="00B7337F">
      <w:pPr>
        <w:pStyle w:val="ListParagraph"/>
        <w:rPr>
          <w:rFonts w:ascii="Times New Roman" w:eastAsia="Times New Roman" w:hAnsi="Times New Roman" w:cs="Times New Roman"/>
          <w:sz w:val="24"/>
          <w:szCs w:val="24"/>
        </w:rPr>
      </w:pPr>
    </w:p>
    <w:p w14:paraId="55D997D8" w14:textId="201B21FF"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B7337F">
        <w:rPr>
          <w:rFonts w:ascii="Times New Roman" w:eastAsia="Times New Roman" w:hAnsi="Times New Roman" w:cs="Times New Roman"/>
          <w:sz w:val="24"/>
          <w:szCs w:val="24"/>
        </w:rPr>
        <w:t>Vanhavere</w:t>
      </w:r>
      <w:proofErr w:type="spellEnd"/>
      <w:r w:rsidRPr="00B7337F">
        <w:rPr>
          <w:rFonts w:ascii="Times New Roman" w:eastAsia="Times New Roman" w:hAnsi="Times New Roman" w:cs="Times New Roman"/>
          <w:sz w:val="24"/>
          <w:szCs w:val="24"/>
        </w:rPr>
        <w:t xml:space="preserve"> F, </w:t>
      </w:r>
      <w:proofErr w:type="spellStart"/>
      <w:r w:rsidRPr="00B7337F">
        <w:rPr>
          <w:rFonts w:ascii="Times New Roman" w:eastAsia="Times New Roman" w:hAnsi="Times New Roman" w:cs="Times New Roman"/>
          <w:sz w:val="24"/>
          <w:szCs w:val="24"/>
        </w:rPr>
        <w:t>Röttger</w:t>
      </w:r>
      <w:proofErr w:type="spellEnd"/>
      <w:r w:rsidRPr="00B7337F">
        <w:rPr>
          <w:rFonts w:ascii="Times New Roman" w:eastAsia="Times New Roman" w:hAnsi="Times New Roman" w:cs="Times New Roman"/>
          <w:sz w:val="24"/>
          <w:szCs w:val="24"/>
        </w:rPr>
        <w:t xml:space="preserve"> A, </w:t>
      </w:r>
      <w:proofErr w:type="spellStart"/>
      <w:r w:rsidRPr="00B7337F">
        <w:rPr>
          <w:rFonts w:ascii="Times New Roman" w:eastAsia="Times New Roman" w:hAnsi="Times New Roman" w:cs="Times New Roman"/>
          <w:sz w:val="24"/>
          <w:szCs w:val="24"/>
        </w:rPr>
        <w:t>Gualdrini</w:t>
      </w:r>
      <w:proofErr w:type="spellEnd"/>
      <w:r w:rsidRPr="00B7337F">
        <w:rPr>
          <w:rFonts w:ascii="Times New Roman" w:eastAsia="Times New Roman" w:hAnsi="Times New Roman" w:cs="Times New Roman"/>
          <w:sz w:val="24"/>
          <w:szCs w:val="24"/>
        </w:rPr>
        <w:t xml:space="preserve"> G, </w:t>
      </w:r>
      <w:proofErr w:type="spellStart"/>
      <w:r w:rsidRPr="00B7337F">
        <w:rPr>
          <w:rFonts w:ascii="Times New Roman" w:eastAsia="Times New Roman" w:hAnsi="Times New Roman" w:cs="Times New Roman"/>
          <w:sz w:val="24"/>
          <w:szCs w:val="24"/>
        </w:rPr>
        <w:t>Ginjaume</w:t>
      </w:r>
      <w:proofErr w:type="spellEnd"/>
      <w:r w:rsidRPr="00B7337F">
        <w:rPr>
          <w:rFonts w:ascii="Times New Roman" w:eastAsia="Times New Roman" w:hAnsi="Times New Roman" w:cs="Times New Roman"/>
          <w:sz w:val="24"/>
          <w:szCs w:val="24"/>
        </w:rPr>
        <w:t xml:space="preserve"> M. Monte Carlo modelling for PET shielding. </w:t>
      </w:r>
      <w:r w:rsidRPr="00B7337F">
        <w:rPr>
          <w:rFonts w:ascii="Times New Roman" w:eastAsia="Times New Roman" w:hAnsi="Times New Roman" w:cs="Times New Roman"/>
          <w:i/>
          <w:iCs/>
          <w:sz w:val="24"/>
          <w:szCs w:val="24"/>
        </w:rPr>
        <w:t>Radiation Protection Dosimetry.</w:t>
      </w:r>
      <w:r w:rsidRPr="00B7337F">
        <w:rPr>
          <w:rFonts w:ascii="Times New Roman" w:eastAsia="Times New Roman" w:hAnsi="Times New Roman" w:cs="Times New Roman"/>
          <w:sz w:val="24"/>
          <w:szCs w:val="24"/>
        </w:rPr>
        <w:t xml:space="preserve"> 2007;125(1–4):358–363. </w:t>
      </w:r>
      <w:hyperlink r:id="rId28" w:history="1">
        <w:r w:rsidR="00B7337F" w:rsidRPr="00B87DED">
          <w:rPr>
            <w:rStyle w:val="Hyperlink"/>
            <w:rFonts w:ascii="Times New Roman" w:eastAsia="Times New Roman" w:hAnsi="Times New Roman" w:cs="Times New Roman"/>
            <w:sz w:val="24"/>
            <w:szCs w:val="24"/>
          </w:rPr>
          <w:t>https://doi.org/10.1093/rpd/ncm071</w:t>
        </w:r>
      </w:hyperlink>
    </w:p>
    <w:p w14:paraId="4BF403CF" w14:textId="77777777" w:rsidR="00B7337F" w:rsidRDefault="00B7337F" w:rsidP="00B7337F">
      <w:pPr>
        <w:pStyle w:val="ListParagraph"/>
        <w:rPr>
          <w:rFonts w:ascii="Times New Roman" w:eastAsia="Times New Roman" w:hAnsi="Times New Roman" w:cs="Times New Roman"/>
          <w:sz w:val="24"/>
          <w:szCs w:val="24"/>
        </w:rPr>
      </w:pPr>
    </w:p>
    <w:p w14:paraId="17A3249E" w14:textId="724D36ED"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B7337F">
        <w:rPr>
          <w:rFonts w:ascii="Times New Roman" w:eastAsia="Times New Roman" w:hAnsi="Times New Roman" w:cs="Times New Roman"/>
          <w:sz w:val="24"/>
          <w:szCs w:val="24"/>
        </w:rPr>
        <w:lastRenderedPageBreak/>
        <w:t>Uz</w:t>
      </w:r>
      <w:proofErr w:type="spellEnd"/>
      <w:r w:rsidRPr="00B7337F">
        <w:rPr>
          <w:rFonts w:ascii="Times New Roman" w:eastAsia="Times New Roman" w:hAnsi="Times New Roman" w:cs="Times New Roman"/>
          <w:sz w:val="24"/>
          <w:szCs w:val="24"/>
        </w:rPr>
        <w:t xml:space="preserve"> Zaman M, et al. Shielding design approaches in PET/CT facilities. </w:t>
      </w:r>
      <w:r w:rsidRPr="00B7337F">
        <w:rPr>
          <w:rFonts w:ascii="Times New Roman" w:eastAsia="Times New Roman" w:hAnsi="Times New Roman" w:cs="Times New Roman"/>
          <w:i/>
          <w:iCs/>
          <w:sz w:val="24"/>
          <w:szCs w:val="24"/>
        </w:rPr>
        <w:t>Journal of Radiological Protection.</w:t>
      </w:r>
      <w:r w:rsidRPr="00B7337F">
        <w:rPr>
          <w:rFonts w:ascii="Times New Roman" w:eastAsia="Times New Roman" w:hAnsi="Times New Roman" w:cs="Times New Roman"/>
          <w:sz w:val="24"/>
          <w:szCs w:val="24"/>
        </w:rPr>
        <w:t xml:space="preserve"> 2014;34(4):803–816. </w:t>
      </w:r>
      <w:hyperlink r:id="rId29" w:history="1">
        <w:r w:rsidR="00B7337F" w:rsidRPr="00B87DED">
          <w:rPr>
            <w:rStyle w:val="Hyperlink"/>
            <w:rFonts w:ascii="Times New Roman" w:eastAsia="Times New Roman" w:hAnsi="Times New Roman" w:cs="Times New Roman"/>
            <w:sz w:val="24"/>
            <w:szCs w:val="24"/>
          </w:rPr>
          <w:t>https://doi.org/10.1088/0952-4746/34/4/803</w:t>
        </w:r>
      </w:hyperlink>
    </w:p>
    <w:p w14:paraId="174123F4" w14:textId="77777777" w:rsidR="00B7337F" w:rsidRDefault="00B7337F" w:rsidP="00B7337F">
      <w:pPr>
        <w:pStyle w:val="ListParagraph"/>
        <w:rPr>
          <w:rFonts w:ascii="Times New Roman" w:eastAsia="Times New Roman" w:hAnsi="Times New Roman" w:cs="Times New Roman"/>
          <w:sz w:val="24"/>
          <w:szCs w:val="24"/>
        </w:rPr>
      </w:pPr>
    </w:p>
    <w:p w14:paraId="68C0917F" w14:textId="3FCC2121"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proofErr w:type="spellStart"/>
      <w:r w:rsidRPr="00B7337F">
        <w:rPr>
          <w:rFonts w:ascii="Times New Roman" w:eastAsia="Times New Roman" w:hAnsi="Times New Roman" w:cs="Times New Roman"/>
          <w:sz w:val="24"/>
          <w:szCs w:val="24"/>
        </w:rPr>
        <w:t>Oumano</w:t>
      </w:r>
      <w:proofErr w:type="spellEnd"/>
      <w:r w:rsidRPr="00B7337F">
        <w:rPr>
          <w:rFonts w:ascii="Times New Roman" w:eastAsia="Times New Roman" w:hAnsi="Times New Roman" w:cs="Times New Roman"/>
          <w:sz w:val="24"/>
          <w:szCs w:val="24"/>
        </w:rPr>
        <w:t xml:space="preserve"> M, Wendt R, Botti J, et al. Shielding resources for four common radiopharmaceuticals utilized for imaging and therapy: Tc-99m, F-18, I-131, and Lu-177. </w:t>
      </w:r>
      <w:r w:rsidRPr="00B7337F">
        <w:rPr>
          <w:rFonts w:ascii="Times New Roman" w:eastAsia="Times New Roman" w:hAnsi="Times New Roman" w:cs="Times New Roman"/>
          <w:i/>
          <w:iCs/>
          <w:sz w:val="24"/>
          <w:szCs w:val="24"/>
        </w:rPr>
        <w:t>Journal of Applied Clinical Medical Physics.</w:t>
      </w:r>
      <w:r w:rsidRPr="00B7337F">
        <w:rPr>
          <w:rFonts w:ascii="Times New Roman" w:eastAsia="Times New Roman" w:hAnsi="Times New Roman" w:cs="Times New Roman"/>
          <w:sz w:val="24"/>
          <w:szCs w:val="24"/>
        </w:rPr>
        <w:t xml:space="preserve"> 2025;26(5</w:t>
      </w:r>
      <w:r w:rsidR="00F1724A" w:rsidRPr="00B7337F">
        <w:rPr>
          <w:rFonts w:ascii="Times New Roman" w:eastAsia="Times New Roman" w:hAnsi="Times New Roman" w:cs="Times New Roman"/>
          <w:sz w:val="24"/>
          <w:szCs w:val="24"/>
        </w:rPr>
        <w:t>): e</w:t>
      </w:r>
      <w:r w:rsidRPr="00B7337F">
        <w:rPr>
          <w:rFonts w:ascii="Times New Roman" w:eastAsia="Times New Roman" w:hAnsi="Times New Roman" w:cs="Times New Roman"/>
          <w:sz w:val="24"/>
          <w:szCs w:val="24"/>
        </w:rPr>
        <w:t xml:space="preserve">70084. </w:t>
      </w:r>
      <w:hyperlink r:id="rId30" w:history="1">
        <w:r w:rsidR="00B7337F" w:rsidRPr="00B87DED">
          <w:rPr>
            <w:rStyle w:val="Hyperlink"/>
            <w:rFonts w:ascii="Times New Roman" w:eastAsia="Times New Roman" w:hAnsi="Times New Roman" w:cs="Times New Roman"/>
            <w:sz w:val="24"/>
            <w:szCs w:val="24"/>
          </w:rPr>
          <w:t>https://doi.org/10.1002/acm2.70084</w:t>
        </w:r>
      </w:hyperlink>
    </w:p>
    <w:p w14:paraId="151FC708" w14:textId="77777777" w:rsidR="00B7337F" w:rsidRDefault="00B7337F" w:rsidP="00B7337F">
      <w:pPr>
        <w:pStyle w:val="ListParagraph"/>
        <w:rPr>
          <w:rFonts w:ascii="Times New Roman" w:eastAsia="Times New Roman" w:hAnsi="Times New Roman" w:cs="Times New Roman"/>
          <w:sz w:val="24"/>
          <w:szCs w:val="24"/>
        </w:rPr>
      </w:pPr>
    </w:p>
    <w:p w14:paraId="3E9A95A5" w14:textId="2B024333"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 xml:space="preserve">Steiner V, </w:t>
      </w:r>
      <w:proofErr w:type="spellStart"/>
      <w:r w:rsidRPr="00B7337F">
        <w:rPr>
          <w:rFonts w:ascii="Times New Roman" w:eastAsia="Times New Roman" w:hAnsi="Times New Roman" w:cs="Times New Roman"/>
          <w:sz w:val="24"/>
          <w:szCs w:val="24"/>
        </w:rPr>
        <w:t>Malki</w:t>
      </w:r>
      <w:proofErr w:type="spellEnd"/>
      <w:r w:rsidRPr="00B7337F">
        <w:rPr>
          <w:rFonts w:ascii="Times New Roman" w:eastAsia="Times New Roman" w:hAnsi="Times New Roman" w:cs="Times New Roman"/>
          <w:sz w:val="24"/>
          <w:szCs w:val="24"/>
        </w:rPr>
        <w:t xml:space="preserve"> A, Ben Yehuda T, </w:t>
      </w:r>
      <w:proofErr w:type="spellStart"/>
      <w:r w:rsidRPr="00B7337F">
        <w:rPr>
          <w:rFonts w:ascii="Times New Roman" w:eastAsia="Times New Roman" w:hAnsi="Times New Roman" w:cs="Times New Roman"/>
          <w:sz w:val="24"/>
          <w:szCs w:val="24"/>
        </w:rPr>
        <w:t>Moinester</w:t>
      </w:r>
      <w:proofErr w:type="spellEnd"/>
      <w:r w:rsidRPr="00B7337F">
        <w:rPr>
          <w:rFonts w:ascii="Times New Roman" w:eastAsia="Times New Roman" w:hAnsi="Times New Roman" w:cs="Times New Roman"/>
          <w:sz w:val="24"/>
          <w:szCs w:val="24"/>
        </w:rPr>
        <w:t xml:space="preserve"> M. Concrete and lead shielding requirements for PET facilities. </w:t>
      </w:r>
      <w:proofErr w:type="spellStart"/>
      <w:r w:rsidRPr="00B7337F">
        <w:rPr>
          <w:rFonts w:ascii="Times New Roman" w:eastAsia="Times New Roman" w:hAnsi="Times New Roman" w:cs="Times New Roman"/>
          <w:i/>
          <w:iCs/>
          <w:sz w:val="24"/>
          <w:szCs w:val="24"/>
        </w:rPr>
        <w:t>arXiv</w:t>
      </w:r>
      <w:proofErr w:type="spellEnd"/>
      <w:r w:rsidRPr="00B7337F">
        <w:rPr>
          <w:rFonts w:ascii="Times New Roman" w:eastAsia="Times New Roman" w:hAnsi="Times New Roman" w:cs="Times New Roman"/>
          <w:i/>
          <w:iCs/>
          <w:sz w:val="24"/>
          <w:szCs w:val="24"/>
        </w:rPr>
        <w:t xml:space="preserve"> preprint.</w:t>
      </w:r>
      <w:r w:rsidRPr="00B7337F">
        <w:rPr>
          <w:rFonts w:ascii="Times New Roman" w:eastAsia="Times New Roman" w:hAnsi="Times New Roman" w:cs="Times New Roman"/>
          <w:sz w:val="24"/>
          <w:szCs w:val="24"/>
        </w:rPr>
        <w:t xml:space="preserve"> 2024. </w:t>
      </w:r>
      <w:hyperlink r:id="rId31" w:history="1">
        <w:r w:rsidR="00B7337F" w:rsidRPr="00B87DED">
          <w:rPr>
            <w:rStyle w:val="Hyperlink"/>
            <w:rFonts w:ascii="Times New Roman" w:eastAsia="Times New Roman" w:hAnsi="Times New Roman" w:cs="Times New Roman"/>
            <w:sz w:val="24"/>
            <w:szCs w:val="24"/>
          </w:rPr>
          <w:t>https://doi.org/10.48550/arXiv.2407.12991</w:t>
        </w:r>
      </w:hyperlink>
    </w:p>
    <w:p w14:paraId="10D8D632" w14:textId="77777777" w:rsidR="00B7337F" w:rsidRDefault="00B7337F" w:rsidP="00B7337F">
      <w:pPr>
        <w:pStyle w:val="ListParagraph"/>
        <w:rPr>
          <w:rFonts w:ascii="Times New Roman" w:eastAsia="Times New Roman" w:hAnsi="Times New Roman" w:cs="Times New Roman"/>
          <w:sz w:val="24"/>
          <w:szCs w:val="24"/>
        </w:rPr>
      </w:pPr>
    </w:p>
    <w:p w14:paraId="4B6BB2FB" w14:textId="0B6508EC"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 xml:space="preserve">Hubbell JH, Seltzer SM. Tables of X-ray mass attenuation coefficients and mass energy-absorption coefficients. NIST Standard Reference Database 126. </w:t>
      </w:r>
      <w:hyperlink r:id="rId32" w:history="1">
        <w:r w:rsidR="00B7337F" w:rsidRPr="00B87DED">
          <w:rPr>
            <w:rStyle w:val="Hyperlink"/>
            <w:rFonts w:ascii="Times New Roman" w:eastAsia="Times New Roman" w:hAnsi="Times New Roman" w:cs="Times New Roman"/>
            <w:sz w:val="24"/>
            <w:szCs w:val="24"/>
          </w:rPr>
          <w:t>https://doi.org/10.18434/T4D01F</w:t>
        </w:r>
      </w:hyperlink>
    </w:p>
    <w:p w14:paraId="3E13EDF9" w14:textId="77777777" w:rsidR="00B7337F" w:rsidRDefault="00B7337F" w:rsidP="00B7337F">
      <w:pPr>
        <w:pStyle w:val="ListParagraph"/>
        <w:rPr>
          <w:rFonts w:ascii="Times New Roman" w:eastAsia="Times New Roman" w:hAnsi="Times New Roman" w:cs="Times New Roman"/>
          <w:sz w:val="24"/>
          <w:szCs w:val="24"/>
        </w:rPr>
      </w:pPr>
    </w:p>
    <w:p w14:paraId="7DBE316E" w14:textId="65127174" w:rsidR="00EB4503" w:rsidRDefault="00EB4503" w:rsidP="00B7337F">
      <w:pPr>
        <w:numPr>
          <w:ilvl w:val="0"/>
          <w:numId w:val="40"/>
        </w:numPr>
        <w:spacing w:before="100" w:beforeAutospacing="1" w:after="100" w:afterAutospacing="1" w:line="276" w:lineRule="auto"/>
        <w:outlineLvl w:val="2"/>
        <w:rPr>
          <w:rFonts w:ascii="Times New Roman" w:eastAsia="Times New Roman" w:hAnsi="Times New Roman" w:cs="Times New Roman"/>
          <w:sz w:val="24"/>
          <w:szCs w:val="24"/>
        </w:rPr>
      </w:pPr>
      <w:r w:rsidRPr="00B7337F">
        <w:rPr>
          <w:rFonts w:ascii="Times New Roman" w:eastAsia="Times New Roman" w:hAnsi="Times New Roman" w:cs="Times New Roman"/>
          <w:sz w:val="24"/>
          <w:szCs w:val="24"/>
        </w:rPr>
        <w:t xml:space="preserve">Berger MJ, Hubbell JH, Seltzer SM, et al. XCOM: Photon Cross Sections Database (NIST Standard Reference Database 8). National Institute of Standards and Technology (NIST). </w:t>
      </w:r>
      <w:hyperlink r:id="rId33" w:history="1">
        <w:r w:rsidR="00B7337F" w:rsidRPr="00B87DED">
          <w:rPr>
            <w:rStyle w:val="Hyperlink"/>
            <w:rFonts w:ascii="Times New Roman" w:eastAsia="Times New Roman" w:hAnsi="Times New Roman" w:cs="Times New Roman"/>
            <w:sz w:val="24"/>
            <w:szCs w:val="24"/>
          </w:rPr>
          <w:t>https://doi.org/10.18434/T48G6X</w:t>
        </w:r>
      </w:hyperlink>
    </w:p>
    <w:p w14:paraId="0F975AAA" w14:textId="77777777" w:rsidR="00B7337F" w:rsidRDefault="00B7337F" w:rsidP="00B7337F">
      <w:pPr>
        <w:pStyle w:val="ListParagraph"/>
        <w:rPr>
          <w:rFonts w:ascii="Times New Roman" w:eastAsia="Times New Roman" w:hAnsi="Times New Roman" w:cs="Times New Roman"/>
          <w:sz w:val="24"/>
          <w:szCs w:val="24"/>
        </w:rPr>
      </w:pPr>
    </w:p>
    <w:p w14:paraId="654373B3" w14:textId="77777777" w:rsidR="00B7337F" w:rsidRPr="00B7337F" w:rsidRDefault="00B7337F" w:rsidP="00B7337F">
      <w:pPr>
        <w:spacing w:before="100" w:beforeAutospacing="1" w:after="100" w:afterAutospacing="1" w:line="276" w:lineRule="auto"/>
        <w:ind w:left="720"/>
        <w:outlineLvl w:val="2"/>
        <w:rPr>
          <w:rFonts w:ascii="Times New Roman" w:eastAsia="Times New Roman" w:hAnsi="Times New Roman" w:cs="Times New Roman"/>
          <w:sz w:val="24"/>
          <w:szCs w:val="24"/>
        </w:rPr>
      </w:pPr>
    </w:p>
    <w:p w14:paraId="48E79B25" w14:textId="6BC6B58F" w:rsidR="00782AAE" w:rsidRPr="006356A9" w:rsidRDefault="00782AAE" w:rsidP="00D90B80">
      <w:pPr>
        <w:spacing w:before="100" w:beforeAutospacing="1" w:after="100" w:afterAutospacing="1" w:line="240" w:lineRule="auto"/>
        <w:outlineLvl w:val="2"/>
        <w:rPr>
          <w:rFonts w:ascii="Times New Roman" w:eastAsia="Times New Roman" w:hAnsi="Times New Roman" w:cs="Times New Roman"/>
          <w:sz w:val="24"/>
          <w:szCs w:val="24"/>
          <w:rtl/>
        </w:rPr>
      </w:pPr>
    </w:p>
    <w:sectPr w:rsidR="00782AAE" w:rsidRPr="006356A9" w:rsidSect="000C0145">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545E" w14:textId="77777777" w:rsidR="00BF2C13" w:rsidRDefault="00BF2C13" w:rsidP="005166F0">
      <w:pPr>
        <w:spacing w:after="0" w:line="240" w:lineRule="auto"/>
      </w:pPr>
      <w:r>
        <w:separator/>
      </w:r>
    </w:p>
  </w:endnote>
  <w:endnote w:type="continuationSeparator" w:id="0">
    <w:p w14:paraId="7B708EE2" w14:textId="77777777" w:rsidR="00BF2C13" w:rsidRDefault="00BF2C13" w:rsidP="0051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rPr>
      <w:id w:val="-70737202"/>
      <w:docPartObj>
        <w:docPartGallery w:val="Page Numbers (Bottom of Page)"/>
        <w:docPartUnique/>
      </w:docPartObj>
    </w:sdtPr>
    <w:sdtEndPr>
      <w:rPr>
        <w:rFonts w:asciiTheme="majorHAnsi" w:eastAsiaTheme="majorEastAsia" w:hAnsiTheme="majorHAnsi" w:cstheme="majorBidi"/>
        <w:noProof/>
        <w:color w:val="4472C4" w:themeColor="accent1"/>
        <w:sz w:val="40"/>
        <w:szCs w:val="40"/>
      </w:rPr>
    </w:sdtEndPr>
    <w:sdtContent>
      <w:p w14:paraId="62E26B91" w14:textId="7063EC18" w:rsidR="0016017A" w:rsidRDefault="0016017A">
        <w:pPr>
          <w:pStyle w:val="Footer"/>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4472C4" w:themeColor="accent1"/>
            <w:sz w:val="40"/>
            <w:szCs w:val="40"/>
          </w:rPr>
          <w:t>2</w:t>
        </w:r>
        <w:r>
          <w:rPr>
            <w:rFonts w:asciiTheme="majorHAnsi" w:eastAsiaTheme="majorEastAsia" w:hAnsiTheme="majorHAnsi" w:cstheme="majorBidi"/>
            <w:noProof/>
            <w:color w:val="4472C4" w:themeColor="accent1"/>
            <w:sz w:val="40"/>
            <w:szCs w:val="40"/>
          </w:rPr>
          <w:fldChar w:fldCharType="end"/>
        </w:r>
      </w:p>
    </w:sdtContent>
  </w:sdt>
  <w:p w14:paraId="1579CE65" w14:textId="77777777" w:rsidR="0016017A" w:rsidRDefault="0016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5838C" w14:textId="77777777" w:rsidR="00BF2C13" w:rsidRDefault="00BF2C13" w:rsidP="005166F0">
      <w:pPr>
        <w:spacing w:after="0" w:line="240" w:lineRule="auto"/>
      </w:pPr>
      <w:r>
        <w:separator/>
      </w:r>
    </w:p>
  </w:footnote>
  <w:footnote w:type="continuationSeparator" w:id="0">
    <w:p w14:paraId="678112A4" w14:textId="77777777" w:rsidR="00BF2C13" w:rsidRDefault="00BF2C13" w:rsidP="00516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24A"/>
    <w:multiLevelType w:val="multilevel"/>
    <w:tmpl w:val="8AB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3230"/>
    <w:multiLevelType w:val="multilevel"/>
    <w:tmpl w:val="1C2E8B2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 w15:restartNumberingAfterBreak="0">
    <w:nsid w:val="03377F9B"/>
    <w:multiLevelType w:val="multilevel"/>
    <w:tmpl w:val="74CE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20ED5"/>
    <w:multiLevelType w:val="multilevel"/>
    <w:tmpl w:val="8A6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1ED1"/>
    <w:multiLevelType w:val="multilevel"/>
    <w:tmpl w:val="C216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85D89"/>
    <w:multiLevelType w:val="multilevel"/>
    <w:tmpl w:val="1FE2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25CF4"/>
    <w:multiLevelType w:val="multilevel"/>
    <w:tmpl w:val="6E4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C33C5"/>
    <w:multiLevelType w:val="multilevel"/>
    <w:tmpl w:val="9D5E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50A5F"/>
    <w:multiLevelType w:val="multilevel"/>
    <w:tmpl w:val="14F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20812"/>
    <w:multiLevelType w:val="multilevel"/>
    <w:tmpl w:val="7F8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20A51"/>
    <w:multiLevelType w:val="multilevel"/>
    <w:tmpl w:val="04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C2835"/>
    <w:multiLevelType w:val="multilevel"/>
    <w:tmpl w:val="8722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1765B"/>
    <w:multiLevelType w:val="multilevel"/>
    <w:tmpl w:val="C63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507F1"/>
    <w:multiLevelType w:val="multilevel"/>
    <w:tmpl w:val="C05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853EF"/>
    <w:multiLevelType w:val="multilevel"/>
    <w:tmpl w:val="81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7459C"/>
    <w:multiLevelType w:val="multilevel"/>
    <w:tmpl w:val="73C6FAB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22A83519"/>
    <w:multiLevelType w:val="multilevel"/>
    <w:tmpl w:val="A07C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C7EAB"/>
    <w:multiLevelType w:val="multilevel"/>
    <w:tmpl w:val="6228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E79D9"/>
    <w:multiLevelType w:val="multilevel"/>
    <w:tmpl w:val="949E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A5754"/>
    <w:multiLevelType w:val="multilevel"/>
    <w:tmpl w:val="073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D6563"/>
    <w:multiLevelType w:val="multilevel"/>
    <w:tmpl w:val="CB9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D0560"/>
    <w:multiLevelType w:val="multilevel"/>
    <w:tmpl w:val="DBEC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65598E"/>
    <w:multiLevelType w:val="multilevel"/>
    <w:tmpl w:val="DED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B1A17"/>
    <w:multiLevelType w:val="multilevel"/>
    <w:tmpl w:val="81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6388C"/>
    <w:multiLevelType w:val="multilevel"/>
    <w:tmpl w:val="1BF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537E4"/>
    <w:multiLevelType w:val="multilevel"/>
    <w:tmpl w:val="B634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734CBF"/>
    <w:multiLevelType w:val="multilevel"/>
    <w:tmpl w:val="04AA262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93D73"/>
    <w:multiLevelType w:val="multilevel"/>
    <w:tmpl w:val="55A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27C3D"/>
    <w:multiLevelType w:val="multilevel"/>
    <w:tmpl w:val="F6E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D61F3"/>
    <w:multiLevelType w:val="multilevel"/>
    <w:tmpl w:val="FC96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5571B"/>
    <w:multiLevelType w:val="multilevel"/>
    <w:tmpl w:val="E84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15705"/>
    <w:multiLevelType w:val="multilevel"/>
    <w:tmpl w:val="584E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F0654"/>
    <w:multiLevelType w:val="multilevel"/>
    <w:tmpl w:val="0B4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387DDC"/>
    <w:multiLevelType w:val="multilevel"/>
    <w:tmpl w:val="6E7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A3A01"/>
    <w:multiLevelType w:val="hybridMultilevel"/>
    <w:tmpl w:val="0A0E0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759A3"/>
    <w:multiLevelType w:val="multilevel"/>
    <w:tmpl w:val="18F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80879"/>
    <w:multiLevelType w:val="multilevel"/>
    <w:tmpl w:val="705E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B49B7"/>
    <w:multiLevelType w:val="multilevel"/>
    <w:tmpl w:val="5724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30"/>
  </w:num>
  <w:num w:numId="4">
    <w:abstractNumId w:val="5"/>
  </w:num>
  <w:num w:numId="5">
    <w:abstractNumId w:val="12"/>
  </w:num>
  <w:num w:numId="6">
    <w:abstractNumId w:val="14"/>
  </w:num>
  <w:num w:numId="7">
    <w:abstractNumId w:val="17"/>
  </w:num>
  <w:num w:numId="8">
    <w:abstractNumId w:val="11"/>
  </w:num>
  <w:num w:numId="9">
    <w:abstractNumId w:val="16"/>
  </w:num>
  <w:num w:numId="10">
    <w:abstractNumId w:val="33"/>
  </w:num>
  <w:num w:numId="11">
    <w:abstractNumId w:val="18"/>
  </w:num>
  <w:num w:numId="12">
    <w:abstractNumId w:val="9"/>
  </w:num>
  <w:num w:numId="13">
    <w:abstractNumId w:val="6"/>
  </w:num>
  <w:num w:numId="14">
    <w:abstractNumId w:val="3"/>
  </w:num>
  <w:num w:numId="15">
    <w:abstractNumId w:val="0"/>
  </w:num>
  <w:num w:numId="16">
    <w:abstractNumId w:val="22"/>
  </w:num>
  <w:num w:numId="17">
    <w:abstractNumId w:val="8"/>
  </w:num>
  <w:num w:numId="18">
    <w:abstractNumId w:val="24"/>
  </w:num>
  <w:num w:numId="19">
    <w:abstractNumId w:val="15"/>
  </w:num>
  <w:num w:numId="20">
    <w:abstractNumId w:val="20"/>
  </w:num>
  <w:num w:numId="21">
    <w:abstractNumId w:val="23"/>
  </w:num>
  <w:num w:numId="22">
    <w:abstractNumId w:val="32"/>
  </w:num>
  <w:num w:numId="23">
    <w:abstractNumId w:val="29"/>
  </w:num>
  <w:num w:numId="24">
    <w:abstractNumId w:val="13"/>
  </w:num>
  <w:num w:numId="25">
    <w:abstractNumId w:val="7"/>
  </w:num>
  <w:num w:numId="26">
    <w:abstractNumId w:val="26"/>
  </w:num>
  <w:num w:numId="27">
    <w:abstractNumId w:val="24"/>
  </w:num>
  <w:num w:numId="28">
    <w:abstractNumId w:val="20"/>
  </w:num>
  <w:num w:numId="29">
    <w:abstractNumId w:val="27"/>
  </w:num>
  <w:num w:numId="30">
    <w:abstractNumId w:val="34"/>
  </w:num>
  <w:num w:numId="31">
    <w:abstractNumId w:val="25"/>
  </w:num>
  <w:num w:numId="32">
    <w:abstractNumId w:val="37"/>
  </w:num>
  <w:num w:numId="33">
    <w:abstractNumId w:val="31"/>
  </w:num>
  <w:num w:numId="34">
    <w:abstractNumId w:val="35"/>
  </w:num>
  <w:num w:numId="35">
    <w:abstractNumId w:val="19"/>
  </w:num>
  <w:num w:numId="36">
    <w:abstractNumId w:val="28"/>
  </w:num>
  <w:num w:numId="37">
    <w:abstractNumId w:val="36"/>
  </w:num>
  <w:num w:numId="38">
    <w:abstractNumId w:val="2"/>
  </w:num>
  <w:num w:numId="39">
    <w:abstractNumId w:val="1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AE"/>
    <w:rsid w:val="00003FD6"/>
    <w:rsid w:val="000160E4"/>
    <w:rsid w:val="00025CFF"/>
    <w:rsid w:val="00026CB8"/>
    <w:rsid w:val="00027BC7"/>
    <w:rsid w:val="00037C6A"/>
    <w:rsid w:val="00044F36"/>
    <w:rsid w:val="0004597D"/>
    <w:rsid w:val="000513C7"/>
    <w:rsid w:val="0007211E"/>
    <w:rsid w:val="000760B4"/>
    <w:rsid w:val="00081CD3"/>
    <w:rsid w:val="00082981"/>
    <w:rsid w:val="00095EBB"/>
    <w:rsid w:val="000A0FF3"/>
    <w:rsid w:val="000B18EF"/>
    <w:rsid w:val="000B528A"/>
    <w:rsid w:val="000B6492"/>
    <w:rsid w:val="000C0145"/>
    <w:rsid w:val="000C11FB"/>
    <w:rsid w:val="000C37A3"/>
    <w:rsid w:val="000C6AB4"/>
    <w:rsid w:val="000D4FC4"/>
    <w:rsid w:val="000D6872"/>
    <w:rsid w:val="000E0D3F"/>
    <w:rsid w:val="000E1079"/>
    <w:rsid w:val="000E6341"/>
    <w:rsid w:val="00113924"/>
    <w:rsid w:val="00115A5F"/>
    <w:rsid w:val="00116AD1"/>
    <w:rsid w:val="00135C92"/>
    <w:rsid w:val="00143DA9"/>
    <w:rsid w:val="00157A53"/>
    <w:rsid w:val="0016017A"/>
    <w:rsid w:val="001A403D"/>
    <w:rsid w:val="001D36B4"/>
    <w:rsid w:val="001E6293"/>
    <w:rsid w:val="001F17BD"/>
    <w:rsid w:val="001F3BE5"/>
    <w:rsid w:val="001F771B"/>
    <w:rsid w:val="002040F3"/>
    <w:rsid w:val="00212741"/>
    <w:rsid w:val="00220283"/>
    <w:rsid w:val="0022565C"/>
    <w:rsid w:val="00231E9D"/>
    <w:rsid w:val="00235ED0"/>
    <w:rsid w:val="00256B66"/>
    <w:rsid w:val="00257C21"/>
    <w:rsid w:val="00265E4F"/>
    <w:rsid w:val="0027688E"/>
    <w:rsid w:val="00276A8E"/>
    <w:rsid w:val="0028476C"/>
    <w:rsid w:val="00285A4C"/>
    <w:rsid w:val="0029172B"/>
    <w:rsid w:val="00294801"/>
    <w:rsid w:val="002B6CD1"/>
    <w:rsid w:val="002C2BAC"/>
    <w:rsid w:val="002D0CEE"/>
    <w:rsid w:val="002E62C3"/>
    <w:rsid w:val="002E78F4"/>
    <w:rsid w:val="002F1F28"/>
    <w:rsid w:val="002F4E0A"/>
    <w:rsid w:val="00303879"/>
    <w:rsid w:val="003051C4"/>
    <w:rsid w:val="00313DFA"/>
    <w:rsid w:val="00315859"/>
    <w:rsid w:val="003158AF"/>
    <w:rsid w:val="0032181A"/>
    <w:rsid w:val="00323AFF"/>
    <w:rsid w:val="00324774"/>
    <w:rsid w:val="0033600A"/>
    <w:rsid w:val="003515DD"/>
    <w:rsid w:val="0035233C"/>
    <w:rsid w:val="00392EB6"/>
    <w:rsid w:val="003A0A30"/>
    <w:rsid w:val="003A2A04"/>
    <w:rsid w:val="003A4BB2"/>
    <w:rsid w:val="003B0333"/>
    <w:rsid w:val="003B1B22"/>
    <w:rsid w:val="003B65E1"/>
    <w:rsid w:val="003C06E9"/>
    <w:rsid w:val="003C2E32"/>
    <w:rsid w:val="003F07BE"/>
    <w:rsid w:val="003F7249"/>
    <w:rsid w:val="00401121"/>
    <w:rsid w:val="00401219"/>
    <w:rsid w:val="0041353F"/>
    <w:rsid w:val="004155E6"/>
    <w:rsid w:val="004168F7"/>
    <w:rsid w:val="00431BA6"/>
    <w:rsid w:val="004477A7"/>
    <w:rsid w:val="004519D2"/>
    <w:rsid w:val="004629C0"/>
    <w:rsid w:val="0046370F"/>
    <w:rsid w:val="00471894"/>
    <w:rsid w:val="00474E10"/>
    <w:rsid w:val="00480960"/>
    <w:rsid w:val="00484048"/>
    <w:rsid w:val="004846C4"/>
    <w:rsid w:val="00486640"/>
    <w:rsid w:val="00487017"/>
    <w:rsid w:val="00497CCB"/>
    <w:rsid w:val="004C5007"/>
    <w:rsid w:val="004D3961"/>
    <w:rsid w:val="004D4E73"/>
    <w:rsid w:val="004E7393"/>
    <w:rsid w:val="004F3627"/>
    <w:rsid w:val="00501263"/>
    <w:rsid w:val="00510C01"/>
    <w:rsid w:val="00511194"/>
    <w:rsid w:val="005166F0"/>
    <w:rsid w:val="005179D1"/>
    <w:rsid w:val="0052349F"/>
    <w:rsid w:val="00524327"/>
    <w:rsid w:val="00530D4B"/>
    <w:rsid w:val="00542B6B"/>
    <w:rsid w:val="00543A43"/>
    <w:rsid w:val="00547BBD"/>
    <w:rsid w:val="00551B87"/>
    <w:rsid w:val="00560EC6"/>
    <w:rsid w:val="00585304"/>
    <w:rsid w:val="00587DFD"/>
    <w:rsid w:val="005A1171"/>
    <w:rsid w:val="005A4703"/>
    <w:rsid w:val="005C6F88"/>
    <w:rsid w:val="005D49ED"/>
    <w:rsid w:val="005D70E5"/>
    <w:rsid w:val="005E5D68"/>
    <w:rsid w:val="005F1C40"/>
    <w:rsid w:val="005F1EF8"/>
    <w:rsid w:val="006032B2"/>
    <w:rsid w:val="00603D70"/>
    <w:rsid w:val="00613EC2"/>
    <w:rsid w:val="006166A4"/>
    <w:rsid w:val="00621BA8"/>
    <w:rsid w:val="006249D2"/>
    <w:rsid w:val="006356A9"/>
    <w:rsid w:val="0063694A"/>
    <w:rsid w:val="0064299D"/>
    <w:rsid w:val="006563A7"/>
    <w:rsid w:val="00660229"/>
    <w:rsid w:val="00665CF1"/>
    <w:rsid w:val="00670DDB"/>
    <w:rsid w:val="00670E06"/>
    <w:rsid w:val="006803E5"/>
    <w:rsid w:val="00692D40"/>
    <w:rsid w:val="006952BB"/>
    <w:rsid w:val="00696ECC"/>
    <w:rsid w:val="006B0525"/>
    <w:rsid w:val="006C293A"/>
    <w:rsid w:val="006C7E75"/>
    <w:rsid w:val="006D01E0"/>
    <w:rsid w:val="006D0F9C"/>
    <w:rsid w:val="006E3104"/>
    <w:rsid w:val="006F7B32"/>
    <w:rsid w:val="0070122B"/>
    <w:rsid w:val="00707639"/>
    <w:rsid w:val="0071328A"/>
    <w:rsid w:val="007157EA"/>
    <w:rsid w:val="00720461"/>
    <w:rsid w:val="00721209"/>
    <w:rsid w:val="00727344"/>
    <w:rsid w:val="0073422C"/>
    <w:rsid w:val="00734721"/>
    <w:rsid w:val="00734DD4"/>
    <w:rsid w:val="00746A7E"/>
    <w:rsid w:val="00750818"/>
    <w:rsid w:val="00751B19"/>
    <w:rsid w:val="00782AAE"/>
    <w:rsid w:val="00791138"/>
    <w:rsid w:val="00791DCC"/>
    <w:rsid w:val="007A4566"/>
    <w:rsid w:val="007A5BA7"/>
    <w:rsid w:val="007B1C51"/>
    <w:rsid w:val="007B6685"/>
    <w:rsid w:val="007D1B72"/>
    <w:rsid w:val="007D3A33"/>
    <w:rsid w:val="007D6346"/>
    <w:rsid w:val="007D7BAF"/>
    <w:rsid w:val="007F2ADC"/>
    <w:rsid w:val="008006BE"/>
    <w:rsid w:val="00800A62"/>
    <w:rsid w:val="00804291"/>
    <w:rsid w:val="00806796"/>
    <w:rsid w:val="00815C3A"/>
    <w:rsid w:val="00821407"/>
    <w:rsid w:val="00822043"/>
    <w:rsid w:val="00836510"/>
    <w:rsid w:val="00836A02"/>
    <w:rsid w:val="00842D63"/>
    <w:rsid w:val="00846337"/>
    <w:rsid w:val="008552DD"/>
    <w:rsid w:val="00856E39"/>
    <w:rsid w:val="008672B0"/>
    <w:rsid w:val="00874C7A"/>
    <w:rsid w:val="00883E2C"/>
    <w:rsid w:val="00886534"/>
    <w:rsid w:val="008931C4"/>
    <w:rsid w:val="0089649B"/>
    <w:rsid w:val="008C14F0"/>
    <w:rsid w:val="008D2722"/>
    <w:rsid w:val="008E2C44"/>
    <w:rsid w:val="008E59C7"/>
    <w:rsid w:val="00903F00"/>
    <w:rsid w:val="00905DE1"/>
    <w:rsid w:val="00905DE5"/>
    <w:rsid w:val="0091219E"/>
    <w:rsid w:val="00914BCC"/>
    <w:rsid w:val="00916D63"/>
    <w:rsid w:val="009223D0"/>
    <w:rsid w:val="00933FF8"/>
    <w:rsid w:val="00935B5B"/>
    <w:rsid w:val="00952E4C"/>
    <w:rsid w:val="009759AF"/>
    <w:rsid w:val="00975EDE"/>
    <w:rsid w:val="00985290"/>
    <w:rsid w:val="00990D89"/>
    <w:rsid w:val="009C008E"/>
    <w:rsid w:val="009C40D6"/>
    <w:rsid w:val="009C70F7"/>
    <w:rsid w:val="009E0443"/>
    <w:rsid w:val="00A051A0"/>
    <w:rsid w:val="00A064E4"/>
    <w:rsid w:val="00A16204"/>
    <w:rsid w:val="00A203B8"/>
    <w:rsid w:val="00A21C1F"/>
    <w:rsid w:val="00A22664"/>
    <w:rsid w:val="00A321C8"/>
    <w:rsid w:val="00A34BAC"/>
    <w:rsid w:val="00A37BC9"/>
    <w:rsid w:val="00A50ABF"/>
    <w:rsid w:val="00A6302F"/>
    <w:rsid w:val="00A73468"/>
    <w:rsid w:val="00A80B90"/>
    <w:rsid w:val="00A851B8"/>
    <w:rsid w:val="00A90E9C"/>
    <w:rsid w:val="00AA0F16"/>
    <w:rsid w:val="00AA5FAD"/>
    <w:rsid w:val="00AB276E"/>
    <w:rsid w:val="00AC0595"/>
    <w:rsid w:val="00AC54B0"/>
    <w:rsid w:val="00AD2F90"/>
    <w:rsid w:val="00AF1491"/>
    <w:rsid w:val="00B32DEC"/>
    <w:rsid w:val="00B421C1"/>
    <w:rsid w:val="00B50798"/>
    <w:rsid w:val="00B5370B"/>
    <w:rsid w:val="00B702DC"/>
    <w:rsid w:val="00B7337F"/>
    <w:rsid w:val="00B75AEF"/>
    <w:rsid w:val="00B7634D"/>
    <w:rsid w:val="00B80122"/>
    <w:rsid w:val="00B8281C"/>
    <w:rsid w:val="00B936DF"/>
    <w:rsid w:val="00B94F26"/>
    <w:rsid w:val="00BA1B7E"/>
    <w:rsid w:val="00BA1BC0"/>
    <w:rsid w:val="00BA21DC"/>
    <w:rsid w:val="00BA2AF2"/>
    <w:rsid w:val="00BC03C3"/>
    <w:rsid w:val="00BD2A43"/>
    <w:rsid w:val="00BF2C13"/>
    <w:rsid w:val="00C01899"/>
    <w:rsid w:val="00C03583"/>
    <w:rsid w:val="00C04CD1"/>
    <w:rsid w:val="00C05692"/>
    <w:rsid w:val="00C05F74"/>
    <w:rsid w:val="00C07CC8"/>
    <w:rsid w:val="00C07E90"/>
    <w:rsid w:val="00C127CE"/>
    <w:rsid w:val="00C20C28"/>
    <w:rsid w:val="00C243D1"/>
    <w:rsid w:val="00C409F0"/>
    <w:rsid w:val="00C41040"/>
    <w:rsid w:val="00C414ED"/>
    <w:rsid w:val="00C56F7E"/>
    <w:rsid w:val="00C76D15"/>
    <w:rsid w:val="00C80068"/>
    <w:rsid w:val="00C90671"/>
    <w:rsid w:val="00CA5317"/>
    <w:rsid w:val="00CB675A"/>
    <w:rsid w:val="00CC0F99"/>
    <w:rsid w:val="00CC6713"/>
    <w:rsid w:val="00CD22E5"/>
    <w:rsid w:val="00CE0EA9"/>
    <w:rsid w:val="00CF5048"/>
    <w:rsid w:val="00D10951"/>
    <w:rsid w:val="00D11C40"/>
    <w:rsid w:val="00D169B6"/>
    <w:rsid w:val="00D2201B"/>
    <w:rsid w:val="00D2587A"/>
    <w:rsid w:val="00D32F98"/>
    <w:rsid w:val="00D371C2"/>
    <w:rsid w:val="00D37963"/>
    <w:rsid w:val="00D43FE0"/>
    <w:rsid w:val="00D4452F"/>
    <w:rsid w:val="00D570C0"/>
    <w:rsid w:val="00D623F0"/>
    <w:rsid w:val="00D73D26"/>
    <w:rsid w:val="00D90B80"/>
    <w:rsid w:val="00D9559D"/>
    <w:rsid w:val="00DA6BB9"/>
    <w:rsid w:val="00DA7FEF"/>
    <w:rsid w:val="00DB3481"/>
    <w:rsid w:val="00DC2C9A"/>
    <w:rsid w:val="00DC6485"/>
    <w:rsid w:val="00DE75B6"/>
    <w:rsid w:val="00E04B4A"/>
    <w:rsid w:val="00E0669D"/>
    <w:rsid w:val="00E12D98"/>
    <w:rsid w:val="00E22620"/>
    <w:rsid w:val="00E2457F"/>
    <w:rsid w:val="00E3670F"/>
    <w:rsid w:val="00E41178"/>
    <w:rsid w:val="00E42461"/>
    <w:rsid w:val="00E5233E"/>
    <w:rsid w:val="00E61B31"/>
    <w:rsid w:val="00E71C5C"/>
    <w:rsid w:val="00E96C24"/>
    <w:rsid w:val="00EA18CA"/>
    <w:rsid w:val="00EB4503"/>
    <w:rsid w:val="00EB4E74"/>
    <w:rsid w:val="00EE47BC"/>
    <w:rsid w:val="00EE7E4F"/>
    <w:rsid w:val="00EF5D36"/>
    <w:rsid w:val="00F07EDF"/>
    <w:rsid w:val="00F1724A"/>
    <w:rsid w:val="00F228EC"/>
    <w:rsid w:val="00F30F38"/>
    <w:rsid w:val="00F316E6"/>
    <w:rsid w:val="00F455D4"/>
    <w:rsid w:val="00F458B6"/>
    <w:rsid w:val="00F4707A"/>
    <w:rsid w:val="00F604E6"/>
    <w:rsid w:val="00F617CD"/>
    <w:rsid w:val="00F64712"/>
    <w:rsid w:val="00F87566"/>
    <w:rsid w:val="00F92F27"/>
    <w:rsid w:val="00FA0768"/>
    <w:rsid w:val="00FA50B5"/>
    <w:rsid w:val="00FA54B6"/>
    <w:rsid w:val="00FA6F7F"/>
    <w:rsid w:val="00FD138F"/>
    <w:rsid w:val="00FD7AB0"/>
    <w:rsid w:val="00FF4E9C"/>
    <w:rsid w:val="00FF4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A304"/>
  <w15:chartTrackingRefBased/>
  <w15:docId w15:val="{5F44C024-6273-427F-9524-6C302AAE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67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82A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410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2AAE"/>
    <w:rPr>
      <w:rFonts w:ascii="Times New Roman" w:eastAsia="Times New Roman" w:hAnsi="Times New Roman" w:cs="Times New Roman"/>
      <w:b/>
      <w:bCs/>
      <w:sz w:val="27"/>
      <w:szCs w:val="27"/>
    </w:rPr>
  </w:style>
  <w:style w:type="character" w:styleId="Strong">
    <w:name w:val="Strong"/>
    <w:basedOn w:val="DefaultParagraphFont"/>
    <w:uiPriority w:val="22"/>
    <w:qFormat/>
    <w:rsid w:val="00782AAE"/>
    <w:rPr>
      <w:b/>
      <w:bCs/>
    </w:rPr>
  </w:style>
  <w:style w:type="paragraph" w:styleId="NormalWeb">
    <w:name w:val="Normal (Web)"/>
    <w:basedOn w:val="Normal"/>
    <w:uiPriority w:val="99"/>
    <w:unhideWhenUsed/>
    <w:rsid w:val="00782A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AAE"/>
    <w:rPr>
      <w:i/>
      <w:iCs/>
    </w:rPr>
  </w:style>
  <w:style w:type="character" w:customStyle="1" w:styleId="sr-only">
    <w:name w:val="sr-only"/>
    <w:basedOn w:val="DefaultParagraphFont"/>
    <w:rsid w:val="00782AAE"/>
  </w:style>
  <w:style w:type="paragraph" w:styleId="z-TopofForm">
    <w:name w:val="HTML Top of Form"/>
    <w:basedOn w:val="Normal"/>
    <w:next w:val="Normal"/>
    <w:link w:val="z-TopofFormChar"/>
    <w:hidden/>
    <w:uiPriority w:val="99"/>
    <w:semiHidden/>
    <w:unhideWhenUsed/>
    <w:rsid w:val="00782A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2AAE"/>
    <w:rPr>
      <w:rFonts w:ascii="Arial" w:eastAsia="Times New Roman" w:hAnsi="Arial" w:cs="Arial"/>
      <w:vanish/>
      <w:sz w:val="16"/>
      <w:szCs w:val="16"/>
    </w:rPr>
  </w:style>
  <w:style w:type="paragraph" w:customStyle="1" w:styleId="placeholder">
    <w:name w:val="placeholder"/>
    <w:basedOn w:val="Normal"/>
    <w:rsid w:val="00782AA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82A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2AAE"/>
    <w:rPr>
      <w:rFonts w:ascii="Arial" w:eastAsia="Times New Roman" w:hAnsi="Arial" w:cs="Arial"/>
      <w:vanish/>
      <w:sz w:val="16"/>
      <w:szCs w:val="16"/>
    </w:rPr>
  </w:style>
  <w:style w:type="character" w:styleId="Hyperlink">
    <w:name w:val="Hyperlink"/>
    <w:basedOn w:val="DefaultParagraphFont"/>
    <w:uiPriority w:val="99"/>
    <w:unhideWhenUsed/>
    <w:rsid w:val="00C41040"/>
    <w:rPr>
      <w:color w:val="0563C1" w:themeColor="hyperlink"/>
      <w:u w:val="single"/>
    </w:rPr>
  </w:style>
  <w:style w:type="character" w:styleId="UnresolvedMention">
    <w:name w:val="Unresolved Mention"/>
    <w:basedOn w:val="DefaultParagraphFont"/>
    <w:uiPriority w:val="99"/>
    <w:semiHidden/>
    <w:unhideWhenUsed/>
    <w:rsid w:val="00C41040"/>
    <w:rPr>
      <w:color w:val="605E5C"/>
      <w:shd w:val="clear" w:color="auto" w:fill="E1DFDD"/>
    </w:rPr>
  </w:style>
  <w:style w:type="character" w:customStyle="1" w:styleId="Heading4Char">
    <w:name w:val="Heading 4 Char"/>
    <w:basedOn w:val="DefaultParagraphFont"/>
    <w:link w:val="Heading4"/>
    <w:uiPriority w:val="9"/>
    <w:rsid w:val="00C41040"/>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C41040"/>
  </w:style>
  <w:style w:type="character" w:customStyle="1" w:styleId="mord">
    <w:name w:val="mord"/>
    <w:basedOn w:val="DefaultParagraphFont"/>
    <w:rsid w:val="00C41040"/>
  </w:style>
  <w:style w:type="character" w:customStyle="1" w:styleId="mrel">
    <w:name w:val="mrel"/>
    <w:basedOn w:val="DefaultParagraphFont"/>
    <w:rsid w:val="00C41040"/>
  </w:style>
  <w:style w:type="character" w:customStyle="1" w:styleId="mopen">
    <w:name w:val="mopen"/>
    <w:basedOn w:val="DefaultParagraphFont"/>
    <w:rsid w:val="00C41040"/>
  </w:style>
  <w:style w:type="character" w:customStyle="1" w:styleId="mbin">
    <w:name w:val="mbin"/>
    <w:basedOn w:val="DefaultParagraphFont"/>
    <w:rsid w:val="00C41040"/>
  </w:style>
  <w:style w:type="character" w:customStyle="1" w:styleId="vlist-s">
    <w:name w:val="vlist-s"/>
    <w:basedOn w:val="DefaultParagraphFont"/>
    <w:rsid w:val="00C41040"/>
  </w:style>
  <w:style w:type="character" w:customStyle="1" w:styleId="mclose">
    <w:name w:val="mclose"/>
    <w:basedOn w:val="DefaultParagraphFont"/>
    <w:rsid w:val="00C41040"/>
  </w:style>
  <w:style w:type="character" w:customStyle="1" w:styleId="mpunct">
    <w:name w:val="mpunct"/>
    <w:basedOn w:val="DefaultParagraphFont"/>
    <w:rsid w:val="00C41040"/>
  </w:style>
  <w:style w:type="table" w:styleId="TableGrid">
    <w:name w:val="Table Grid"/>
    <w:basedOn w:val="TableNormal"/>
    <w:uiPriority w:val="39"/>
    <w:rsid w:val="007D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7E90"/>
    <w:rPr>
      <w:color w:val="808080"/>
    </w:rPr>
  </w:style>
  <w:style w:type="character" w:customStyle="1" w:styleId="Heading2Char">
    <w:name w:val="Heading 2 Char"/>
    <w:basedOn w:val="DefaultParagraphFont"/>
    <w:link w:val="Heading2"/>
    <w:uiPriority w:val="9"/>
    <w:semiHidden/>
    <w:rsid w:val="00CC67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16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6F0"/>
  </w:style>
  <w:style w:type="paragraph" w:styleId="Footer">
    <w:name w:val="footer"/>
    <w:basedOn w:val="Normal"/>
    <w:link w:val="FooterChar"/>
    <w:uiPriority w:val="99"/>
    <w:unhideWhenUsed/>
    <w:rsid w:val="00516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6F0"/>
  </w:style>
  <w:style w:type="table" w:styleId="GridTable1Light">
    <w:name w:val="Grid Table 1 Light"/>
    <w:basedOn w:val="TableNormal"/>
    <w:uiPriority w:val="46"/>
    <w:rsid w:val="00896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65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0854">
      <w:bodyDiv w:val="1"/>
      <w:marLeft w:val="0"/>
      <w:marRight w:val="0"/>
      <w:marTop w:val="0"/>
      <w:marBottom w:val="0"/>
      <w:divBdr>
        <w:top w:val="none" w:sz="0" w:space="0" w:color="auto"/>
        <w:left w:val="none" w:sz="0" w:space="0" w:color="auto"/>
        <w:bottom w:val="none" w:sz="0" w:space="0" w:color="auto"/>
        <w:right w:val="none" w:sz="0" w:space="0" w:color="auto"/>
      </w:divBdr>
    </w:div>
    <w:div w:id="77605138">
      <w:bodyDiv w:val="1"/>
      <w:marLeft w:val="0"/>
      <w:marRight w:val="0"/>
      <w:marTop w:val="0"/>
      <w:marBottom w:val="0"/>
      <w:divBdr>
        <w:top w:val="none" w:sz="0" w:space="0" w:color="auto"/>
        <w:left w:val="none" w:sz="0" w:space="0" w:color="auto"/>
        <w:bottom w:val="none" w:sz="0" w:space="0" w:color="auto"/>
        <w:right w:val="none" w:sz="0" w:space="0" w:color="auto"/>
      </w:divBdr>
    </w:div>
    <w:div w:id="130682822">
      <w:bodyDiv w:val="1"/>
      <w:marLeft w:val="0"/>
      <w:marRight w:val="0"/>
      <w:marTop w:val="0"/>
      <w:marBottom w:val="0"/>
      <w:divBdr>
        <w:top w:val="none" w:sz="0" w:space="0" w:color="auto"/>
        <w:left w:val="none" w:sz="0" w:space="0" w:color="auto"/>
        <w:bottom w:val="none" w:sz="0" w:space="0" w:color="auto"/>
        <w:right w:val="none" w:sz="0" w:space="0" w:color="auto"/>
      </w:divBdr>
    </w:div>
    <w:div w:id="151024239">
      <w:bodyDiv w:val="1"/>
      <w:marLeft w:val="0"/>
      <w:marRight w:val="0"/>
      <w:marTop w:val="0"/>
      <w:marBottom w:val="0"/>
      <w:divBdr>
        <w:top w:val="none" w:sz="0" w:space="0" w:color="auto"/>
        <w:left w:val="none" w:sz="0" w:space="0" w:color="auto"/>
        <w:bottom w:val="none" w:sz="0" w:space="0" w:color="auto"/>
        <w:right w:val="none" w:sz="0" w:space="0" w:color="auto"/>
      </w:divBdr>
      <w:divsChild>
        <w:div w:id="1300920160">
          <w:marLeft w:val="0"/>
          <w:marRight w:val="0"/>
          <w:marTop w:val="0"/>
          <w:marBottom w:val="0"/>
          <w:divBdr>
            <w:top w:val="none" w:sz="0" w:space="0" w:color="auto"/>
            <w:left w:val="none" w:sz="0" w:space="0" w:color="auto"/>
            <w:bottom w:val="none" w:sz="0" w:space="0" w:color="auto"/>
            <w:right w:val="none" w:sz="0" w:space="0" w:color="auto"/>
          </w:divBdr>
          <w:divsChild>
            <w:div w:id="1015351402">
              <w:marLeft w:val="0"/>
              <w:marRight w:val="0"/>
              <w:marTop w:val="0"/>
              <w:marBottom w:val="0"/>
              <w:divBdr>
                <w:top w:val="none" w:sz="0" w:space="0" w:color="auto"/>
                <w:left w:val="none" w:sz="0" w:space="0" w:color="auto"/>
                <w:bottom w:val="none" w:sz="0" w:space="0" w:color="auto"/>
                <w:right w:val="none" w:sz="0" w:space="0" w:color="auto"/>
              </w:divBdr>
              <w:divsChild>
                <w:div w:id="610549712">
                  <w:marLeft w:val="0"/>
                  <w:marRight w:val="0"/>
                  <w:marTop w:val="0"/>
                  <w:marBottom w:val="0"/>
                  <w:divBdr>
                    <w:top w:val="none" w:sz="0" w:space="0" w:color="auto"/>
                    <w:left w:val="none" w:sz="0" w:space="0" w:color="auto"/>
                    <w:bottom w:val="none" w:sz="0" w:space="0" w:color="auto"/>
                    <w:right w:val="none" w:sz="0" w:space="0" w:color="auto"/>
                  </w:divBdr>
                  <w:divsChild>
                    <w:div w:id="894194341">
                      <w:marLeft w:val="0"/>
                      <w:marRight w:val="0"/>
                      <w:marTop w:val="0"/>
                      <w:marBottom w:val="0"/>
                      <w:divBdr>
                        <w:top w:val="none" w:sz="0" w:space="0" w:color="auto"/>
                        <w:left w:val="none" w:sz="0" w:space="0" w:color="auto"/>
                        <w:bottom w:val="none" w:sz="0" w:space="0" w:color="auto"/>
                        <w:right w:val="none" w:sz="0" w:space="0" w:color="auto"/>
                      </w:divBdr>
                      <w:divsChild>
                        <w:div w:id="561216452">
                          <w:marLeft w:val="0"/>
                          <w:marRight w:val="0"/>
                          <w:marTop w:val="0"/>
                          <w:marBottom w:val="0"/>
                          <w:divBdr>
                            <w:top w:val="none" w:sz="0" w:space="0" w:color="auto"/>
                            <w:left w:val="none" w:sz="0" w:space="0" w:color="auto"/>
                            <w:bottom w:val="none" w:sz="0" w:space="0" w:color="auto"/>
                            <w:right w:val="none" w:sz="0" w:space="0" w:color="auto"/>
                          </w:divBdr>
                          <w:divsChild>
                            <w:div w:id="1249386806">
                              <w:marLeft w:val="0"/>
                              <w:marRight w:val="0"/>
                              <w:marTop w:val="0"/>
                              <w:marBottom w:val="0"/>
                              <w:divBdr>
                                <w:top w:val="none" w:sz="0" w:space="0" w:color="auto"/>
                                <w:left w:val="none" w:sz="0" w:space="0" w:color="auto"/>
                                <w:bottom w:val="none" w:sz="0" w:space="0" w:color="auto"/>
                                <w:right w:val="none" w:sz="0" w:space="0" w:color="auto"/>
                              </w:divBdr>
                              <w:divsChild>
                                <w:div w:id="1663385263">
                                  <w:marLeft w:val="0"/>
                                  <w:marRight w:val="0"/>
                                  <w:marTop w:val="0"/>
                                  <w:marBottom w:val="0"/>
                                  <w:divBdr>
                                    <w:top w:val="none" w:sz="0" w:space="0" w:color="auto"/>
                                    <w:left w:val="none" w:sz="0" w:space="0" w:color="auto"/>
                                    <w:bottom w:val="none" w:sz="0" w:space="0" w:color="auto"/>
                                    <w:right w:val="none" w:sz="0" w:space="0" w:color="auto"/>
                                  </w:divBdr>
                                  <w:divsChild>
                                    <w:div w:id="808714251">
                                      <w:marLeft w:val="0"/>
                                      <w:marRight w:val="0"/>
                                      <w:marTop w:val="0"/>
                                      <w:marBottom w:val="0"/>
                                      <w:divBdr>
                                        <w:top w:val="none" w:sz="0" w:space="0" w:color="auto"/>
                                        <w:left w:val="none" w:sz="0" w:space="0" w:color="auto"/>
                                        <w:bottom w:val="none" w:sz="0" w:space="0" w:color="auto"/>
                                        <w:right w:val="none" w:sz="0" w:space="0" w:color="auto"/>
                                      </w:divBdr>
                                      <w:divsChild>
                                        <w:div w:id="238250836">
                                          <w:marLeft w:val="0"/>
                                          <w:marRight w:val="0"/>
                                          <w:marTop w:val="0"/>
                                          <w:marBottom w:val="0"/>
                                          <w:divBdr>
                                            <w:top w:val="none" w:sz="0" w:space="0" w:color="auto"/>
                                            <w:left w:val="none" w:sz="0" w:space="0" w:color="auto"/>
                                            <w:bottom w:val="none" w:sz="0" w:space="0" w:color="auto"/>
                                            <w:right w:val="none" w:sz="0" w:space="0" w:color="auto"/>
                                          </w:divBdr>
                                          <w:divsChild>
                                            <w:div w:id="1276710506">
                                              <w:marLeft w:val="0"/>
                                              <w:marRight w:val="0"/>
                                              <w:marTop w:val="0"/>
                                              <w:marBottom w:val="0"/>
                                              <w:divBdr>
                                                <w:top w:val="none" w:sz="0" w:space="0" w:color="auto"/>
                                                <w:left w:val="none" w:sz="0" w:space="0" w:color="auto"/>
                                                <w:bottom w:val="none" w:sz="0" w:space="0" w:color="auto"/>
                                                <w:right w:val="none" w:sz="0" w:space="0" w:color="auto"/>
                                              </w:divBdr>
                                              <w:divsChild>
                                                <w:div w:id="44720831">
                                                  <w:marLeft w:val="0"/>
                                                  <w:marRight w:val="0"/>
                                                  <w:marTop w:val="0"/>
                                                  <w:marBottom w:val="0"/>
                                                  <w:divBdr>
                                                    <w:top w:val="none" w:sz="0" w:space="0" w:color="auto"/>
                                                    <w:left w:val="none" w:sz="0" w:space="0" w:color="auto"/>
                                                    <w:bottom w:val="none" w:sz="0" w:space="0" w:color="auto"/>
                                                    <w:right w:val="none" w:sz="0" w:space="0" w:color="auto"/>
                                                  </w:divBdr>
                                                  <w:divsChild>
                                                    <w:div w:id="3289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09978">
                                      <w:marLeft w:val="0"/>
                                      <w:marRight w:val="0"/>
                                      <w:marTop w:val="0"/>
                                      <w:marBottom w:val="0"/>
                                      <w:divBdr>
                                        <w:top w:val="none" w:sz="0" w:space="0" w:color="auto"/>
                                        <w:left w:val="none" w:sz="0" w:space="0" w:color="auto"/>
                                        <w:bottom w:val="none" w:sz="0" w:space="0" w:color="auto"/>
                                        <w:right w:val="none" w:sz="0" w:space="0" w:color="auto"/>
                                      </w:divBdr>
                                      <w:divsChild>
                                        <w:div w:id="9352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15780">
          <w:marLeft w:val="0"/>
          <w:marRight w:val="0"/>
          <w:marTop w:val="0"/>
          <w:marBottom w:val="0"/>
          <w:divBdr>
            <w:top w:val="none" w:sz="0" w:space="0" w:color="auto"/>
            <w:left w:val="none" w:sz="0" w:space="0" w:color="auto"/>
            <w:bottom w:val="none" w:sz="0" w:space="0" w:color="auto"/>
            <w:right w:val="none" w:sz="0" w:space="0" w:color="auto"/>
          </w:divBdr>
          <w:divsChild>
            <w:div w:id="1828596229">
              <w:marLeft w:val="0"/>
              <w:marRight w:val="0"/>
              <w:marTop w:val="0"/>
              <w:marBottom w:val="0"/>
              <w:divBdr>
                <w:top w:val="none" w:sz="0" w:space="0" w:color="auto"/>
                <w:left w:val="none" w:sz="0" w:space="0" w:color="auto"/>
                <w:bottom w:val="none" w:sz="0" w:space="0" w:color="auto"/>
                <w:right w:val="none" w:sz="0" w:space="0" w:color="auto"/>
              </w:divBdr>
              <w:divsChild>
                <w:div w:id="1914585312">
                  <w:marLeft w:val="0"/>
                  <w:marRight w:val="0"/>
                  <w:marTop w:val="0"/>
                  <w:marBottom w:val="0"/>
                  <w:divBdr>
                    <w:top w:val="none" w:sz="0" w:space="0" w:color="auto"/>
                    <w:left w:val="none" w:sz="0" w:space="0" w:color="auto"/>
                    <w:bottom w:val="none" w:sz="0" w:space="0" w:color="auto"/>
                    <w:right w:val="none" w:sz="0" w:space="0" w:color="auto"/>
                  </w:divBdr>
                  <w:divsChild>
                    <w:div w:id="929971220">
                      <w:marLeft w:val="0"/>
                      <w:marRight w:val="0"/>
                      <w:marTop w:val="0"/>
                      <w:marBottom w:val="0"/>
                      <w:divBdr>
                        <w:top w:val="none" w:sz="0" w:space="0" w:color="auto"/>
                        <w:left w:val="none" w:sz="0" w:space="0" w:color="auto"/>
                        <w:bottom w:val="none" w:sz="0" w:space="0" w:color="auto"/>
                        <w:right w:val="none" w:sz="0" w:space="0" w:color="auto"/>
                      </w:divBdr>
                      <w:divsChild>
                        <w:div w:id="96099326">
                          <w:marLeft w:val="0"/>
                          <w:marRight w:val="0"/>
                          <w:marTop w:val="0"/>
                          <w:marBottom w:val="0"/>
                          <w:divBdr>
                            <w:top w:val="none" w:sz="0" w:space="0" w:color="auto"/>
                            <w:left w:val="none" w:sz="0" w:space="0" w:color="auto"/>
                            <w:bottom w:val="none" w:sz="0" w:space="0" w:color="auto"/>
                            <w:right w:val="none" w:sz="0" w:space="0" w:color="auto"/>
                          </w:divBdr>
                          <w:divsChild>
                            <w:div w:id="1679043404">
                              <w:marLeft w:val="0"/>
                              <w:marRight w:val="0"/>
                              <w:marTop w:val="0"/>
                              <w:marBottom w:val="0"/>
                              <w:divBdr>
                                <w:top w:val="none" w:sz="0" w:space="0" w:color="auto"/>
                                <w:left w:val="none" w:sz="0" w:space="0" w:color="auto"/>
                                <w:bottom w:val="none" w:sz="0" w:space="0" w:color="auto"/>
                                <w:right w:val="none" w:sz="0" w:space="0" w:color="auto"/>
                              </w:divBdr>
                              <w:divsChild>
                                <w:div w:id="1693652856">
                                  <w:marLeft w:val="0"/>
                                  <w:marRight w:val="0"/>
                                  <w:marTop w:val="0"/>
                                  <w:marBottom w:val="0"/>
                                  <w:divBdr>
                                    <w:top w:val="none" w:sz="0" w:space="0" w:color="auto"/>
                                    <w:left w:val="none" w:sz="0" w:space="0" w:color="auto"/>
                                    <w:bottom w:val="none" w:sz="0" w:space="0" w:color="auto"/>
                                    <w:right w:val="none" w:sz="0" w:space="0" w:color="auto"/>
                                  </w:divBdr>
                                  <w:divsChild>
                                    <w:div w:id="1193303840">
                                      <w:marLeft w:val="0"/>
                                      <w:marRight w:val="0"/>
                                      <w:marTop w:val="0"/>
                                      <w:marBottom w:val="0"/>
                                      <w:divBdr>
                                        <w:top w:val="none" w:sz="0" w:space="0" w:color="auto"/>
                                        <w:left w:val="none" w:sz="0" w:space="0" w:color="auto"/>
                                        <w:bottom w:val="none" w:sz="0" w:space="0" w:color="auto"/>
                                        <w:right w:val="none" w:sz="0" w:space="0" w:color="auto"/>
                                      </w:divBdr>
                                      <w:divsChild>
                                        <w:div w:id="355928617">
                                          <w:marLeft w:val="0"/>
                                          <w:marRight w:val="0"/>
                                          <w:marTop w:val="0"/>
                                          <w:marBottom w:val="0"/>
                                          <w:divBdr>
                                            <w:top w:val="none" w:sz="0" w:space="0" w:color="auto"/>
                                            <w:left w:val="none" w:sz="0" w:space="0" w:color="auto"/>
                                            <w:bottom w:val="none" w:sz="0" w:space="0" w:color="auto"/>
                                            <w:right w:val="none" w:sz="0" w:space="0" w:color="auto"/>
                                          </w:divBdr>
                                          <w:divsChild>
                                            <w:div w:id="362249762">
                                              <w:marLeft w:val="0"/>
                                              <w:marRight w:val="0"/>
                                              <w:marTop w:val="0"/>
                                              <w:marBottom w:val="0"/>
                                              <w:divBdr>
                                                <w:top w:val="none" w:sz="0" w:space="0" w:color="auto"/>
                                                <w:left w:val="none" w:sz="0" w:space="0" w:color="auto"/>
                                                <w:bottom w:val="none" w:sz="0" w:space="0" w:color="auto"/>
                                                <w:right w:val="none" w:sz="0" w:space="0" w:color="auto"/>
                                              </w:divBdr>
                                              <w:divsChild>
                                                <w:div w:id="1843928407">
                                                  <w:marLeft w:val="0"/>
                                                  <w:marRight w:val="0"/>
                                                  <w:marTop w:val="0"/>
                                                  <w:marBottom w:val="0"/>
                                                  <w:divBdr>
                                                    <w:top w:val="none" w:sz="0" w:space="0" w:color="auto"/>
                                                    <w:left w:val="none" w:sz="0" w:space="0" w:color="auto"/>
                                                    <w:bottom w:val="none" w:sz="0" w:space="0" w:color="auto"/>
                                                    <w:right w:val="none" w:sz="0" w:space="0" w:color="auto"/>
                                                  </w:divBdr>
                                                  <w:divsChild>
                                                    <w:div w:id="9485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137931">
      <w:bodyDiv w:val="1"/>
      <w:marLeft w:val="0"/>
      <w:marRight w:val="0"/>
      <w:marTop w:val="0"/>
      <w:marBottom w:val="0"/>
      <w:divBdr>
        <w:top w:val="none" w:sz="0" w:space="0" w:color="auto"/>
        <w:left w:val="none" w:sz="0" w:space="0" w:color="auto"/>
        <w:bottom w:val="none" w:sz="0" w:space="0" w:color="auto"/>
        <w:right w:val="none" w:sz="0" w:space="0" w:color="auto"/>
      </w:divBdr>
    </w:div>
    <w:div w:id="415059684">
      <w:bodyDiv w:val="1"/>
      <w:marLeft w:val="0"/>
      <w:marRight w:val="0"/>
      <w:marTop w:val="0"/>
      <w:marBottom w:val="0"/>
      <w:divBdr>
        <w:top w:val="none" w:sz="0" w:space="0" w:color="auto"/>
        <w:left w:val="none" w:sz="0" w:space="0" w:color="auto"/>
        <w:bottom w:val="none" w:sz="0" w:space="0" w:color="auto"/>
        <w:right w:val="none" w:sz="0" w:space="0" w:color="auto"/>
      </w:divBdr>
    </w:div>
    <w:div w:id="495926291">
      <w:bodyDiv w:val="1"/>
      <w:marLeft w:val="0"/>
      <w:marRight w:val="0"/>
      <w:marTop w:val="0"/>
      <w:marBottom w:val="0"/>
      <w:divBdr>
        <w:top w:val="none" w:sz="0" w:space="0" w:color="auto"/>
        <w:left w:val="none" w:sz="0" w:space="0" w:color="auto"/>
        <w:bottom w:val="none" w:sz="0" w:space="0" w:color="auto"/>
        <w:right w:val="none" w:sz="0" w:space="0" w:color="auto"/>
      </w:divBdr>
    </w:div>
    <w:div w:id="509687185">
      <w:bodyDiv w:val="1"/>
      <w:marLeft w:val="0"/>
      <w:marRight w:val="0"/>
      <w:marTop w:val="0"/>
      <w:marBottom w:val="0"/>
      <w:divBdr>
        <w:top w:val="none" w:sz="0" w:space="0" w:color="auto"/>
        <w:left w:val="none" w:sz="0" w:space="0" w:color="auto"/>
        <w:bottom w:val="none" w:sz="0" w:space="0" w:color="auto"/>
        <w:right w:val="none" w:sz="0" w:space="0" w:color="auto"/>
      </w:divBdr>
    </w:div>
    <w:div w:id="656418794">
      <w:bodyDiv w:val="1"/>
      <w:marLeft w:val="0"/>
      <w:marRight w:val="0"/>
      <w:marTop w:val="0"/>
      <w:marBottom w:val="0"/>
      <w:divBdr>
        <w:top w:val="none" w:sz="0" w:space="0" w:color="auto"/>
        <w:left w:val="none" w:sz="0" w:space="0" w:color="auto"/>
        <w:bottom w:val="none" w:sz="0" w:space="0" w:color="auto"/>
        <w:right w:val="none" w:sz="0" w:space="0" w:color="auto"/>
      </w:divBdr>
      <w:divsChild>
        <w:div w:id="1818916402">
          <w:marLeft w:val="0"/>
          <w:marRight w:val="0"/>
          <w:marTop w:val="0"/>
          <w:marBottom w:val="0"/>
          <w:divBdr>
            <w:top w:val="none" w:sz="0" w:space="0" w:color="auto"/>
            <w:left w:val="none" w:sz="0" w:space="0" w:color="auto"/>
            <w:bottom w:val="none" w:sz="0" w:space="0" w:color="auto"/>
            <w:right w:val="none" w:sz="0" w:space="0" w:color="auto"/>
          </w:divBdr>
          <w:divsChild>
            <w:div w:id="2003655863">
              <w:marLeft w:val="0"/>
              <w:marRight w:val="0"/>
              <w:marTop w:val="0"/>
              <w:marBottom w:val="0"/>
              <w:divBdr>
                <w:top w:val="none" w:sz="0" w:space="0" w:color="auto"/>
                <w:left w:val="none" w:sz="0" w:space="0" w:color="auto"/>
                <w:bottom w:val="none" w:sz="0" w:space="0" w:color="auto"/>
                <w:right w:val="none" w:sz="0" w:space="0" w:color="auto"/>
              </w:divBdr>
              <w:divsChild>
                <w:div w:id="702097397">
                  <w:marLeft w:val="0"/>
                  <w:marRight w:val="0"/>
                  <w:marTop w:val="0"/>
                  <w:marBottom w:val="0"/>
                  <w:divBdr>
                    <w:top w:val="none" w:sz="0" w:space="0" w:color="auto"/>
                    <w:left w:val="none" w:sz="0" w:space="0" w:color="auto"/>
                    <w:bottom w:val="none" w:sz="0" w:space="0" w:color="auto"/>
                    <w:right w:val="none" w:sz="0" w:space="0" w:color="auto"/>
                  </w:divBdr>
                  <w:divsChild>
                    <w:div w:id="68960925">
                      <w:marLeft w:val="0"/>
                      <w:marRight w:val="0"/>
                      <w:marTop w:val="0"/>
                      <w:marBottom w:val="0"/>
                      <w:divBdr>
                        <w:top w:val="none" w:sz="0" w:space="0" w:color="auto"/>
                        <w:left w:val="none" w:sz="0" w:space="0" w:color="auto"/>
                        <w:bottom w:val="none" w:sz="0" w:space="0" w:color="auto"/>
                        <w:right w:val="none" w:sz="0" w:space="0" w:color="auto"/>
                      </w:divBdr>
                      <w:divsChild>
                        <w:div w:id="1850410962">
                          <w:marLeft w:val="0"/>
                          <w:marRight w:val="0"/>
                          <w:marTop w:val="0"/>
                          <w:marBottom w:val="0"/>
                          <w:divBdr>
                            <w:top w:val="none" w:sz="0" w:space="0" w:color="auto"/>
                            <w:left w:val="none" w:sz="0" w:space="0" w:color="auto"/>
                            <w:bottom w:val="none" w:sz="0" w:space="0" w:color="auto"/>
                            <w:right w:val="none" w:sz="0" w:space="0" w:color="auto"/>
                          </w:divBdr>
                          <w:divsChild>
                            <w:div w:id="947543129">
                              <w:marLeft w:val="0"/>
                              <w:marRight w:val="0"/>
                              <w:marTop w:val="0"/>
                              <w:marBottom w:val="0"/>
                              <w:divBdr>
                                <w:top w:val="none" w:sz="0" w:space="0" w:color="auto"/>
                                <w:left w:val="none" w:sz="0" w:space="0" w:color="auto"/>
                                <w:bottom w:val="none" w:sz="0" w:space="0" w:color="auto"/>
                                <w:right w:val="none" w:sz="0" w:space="0" w:color="auto"/>
                              </w:divBdr>
                              <w:divsChild>
                                <w:div w:id="403993993">
                                  <w:marLeft w:val="0"/>
                                  <w:marRight w:val="0"/>
                                  <w:marTop w:val="0"/>
                                  <w:marBottom w:val="0"/>
                                  <w:divBdr>
                                    <w:top w:val="none" w:sz="0" w:space="0" w:color="auto"/>
                                    <w:left w:val="none" w:sz="0" w:space="0" w:color="auto"/>
                                    <w:bottom w:val="none" w:sz="0" w:space="0" w:color="auto"/>
                                    <w:right w:val="none" w:sz="0" w:space="0" w:color="auto"/>
                                  </w:divBdr>
                                  <w:divsChild>
                                    <w:div w:id="804735490">
                                      <w:marLeft w:val="0"/>
                                      <w:marRight w:val="0"/>
                                      <w:marTop w:val="0"/>
                                      <w:marBottom w:val="0"/>
                                      <w:divBdr>
                                        <w:top w:val="none" w:sz="0" w:space="0" w:color="auto"/>
                                        <w:left w:val="none" w:sz="0" w:space="0" w:color="auto"/>
                                        <w:bottom w:val="none" w:sz="0" w:space="0" w:color="auto"/>
                                        <w:right w:val="none" w:sz="0" w:space="0" w:color="auto"/>
                                      </w:divBdr>
                                      <w:divsChild>
                                        <w:div w:id="1816096206">
                                          <w:marLeft w:val="0"/>
                                          <w:marRight w:val="0"/>
                                          <w:marTop w:val="0"/>
                                          <w:marBottom w:val="0"/>
                                          <w:divBdr>
                                            <w:top w:val="none" w:sz="0" w:space="0" w:color="auto"/>
                                            <w:left w:val="none" w:sz="0" w:space="0" w:color="auto"/>
                                            <w:bottom w:val="none" w:sz="0" w:space="0" w:color="auto"/>
                                            <w:right w:val="none" w:sz="0" w:space="0" w:color="auto"/>
                                          </w:divBdr>
                                          <w:divsChild>
                                            <w:div w:id="949701690">
                                              <w:marLeft w:val="0"/>
                                              <w:marRight w:val="0"/>
                                              <w:marTop w:val="0"/>
                                              <w:marBottom w:val="0"/>
                                              <w:divBdr>
                                                <w:top w:val="none" w:sz="0" w:space="0" w:color="auto"/>
                                                <w:left w:val="none" w:sz="0" w:space="0" w:color="auto"/>
                                                <w:bottom w:val="none" w:sz="0" w:space="0" w:color="auto"/>
                                                <w:right w:val="none" w:sz="0" w:space="0" w:color="auto"/>
                                              </w:divBdr>
                                              <w:divsChild>
                                                <w:div w:id="405223746">
                                                  <w:marLeft w:val="0"/>
                                                  <w:marRight w:val="0"/>
                                                  <w:marTop w:val="0"/>
                                                  <w:marBottom w:val="0"/>
                                                  <w:divBdr>
                                                    <w:top w:val="none" w:sz="0" w:space="0" w:color="auto"/>
                                                    <w:left w:val="none" w:sz="0" w:space="0" w:color="auto"/>
                                                    <w:bottom w:val="none" w:sz="0" w:space="0" w:color="auto"/>
                                                    <w:right w:val="none" w:sz="0" w:space="0" w:color="auto"/>
                                                  </w:divBdr>
                                                  <w:divsChild>
                                                    <w:div w:id="18284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32505">
                                      <w:marLeft w:val="0"/>
                                      <w:marRight w:val="0"/>
                                      <w:marTop w:val="0"/>
                                      <w:marBottom w:val="0"/>
                                      <w:divBdr>
                                        <w:top w:val="none" w:sz="0" w:space="0" w:color="auto"/>
                                        <w:left w:val="none" w:sz="0" w:space="0" w:color="auto"/>
                                        <w:bottom w:val="none" w:sz="0" w:space="0" w:color="auto"/>
                                        <w:right w:val="none" w:sz="0" w:space="0" w:color="auto"/>
                                      </w:divBdr>
                                      <w:divsChild>
                                        <w:div w:id="13754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094953">
          <w:marLeft w:val="0"/>
          <w:marRight w:val="0"/>
          <w:marTop w:val="0"/>
          <w:marBottom w:val="0"/>
          <w:divBdr>
            <w:top w:val="none" w:sz="0" w:space="0" w:color="auto"/>
            <w:left w:val="none" w:sz="0" w:space="0" w:color="auto"/>
            <w:bottom w:val="none" w:sz="0" w:space="0" w:color="auto"/>
            <w:right w:val="none" w:sz="0" w:space="0" w:color="auto"/>
          </w:divBdr>
          <w:divsChild>
            <w:div w:id="926771557">
              <w:marLeft w:val="0"/>
              <w:marRight w:val="0"/>
              <w:marTop w:val="0"/>
              <w:marBottom w:val="0"/>
              <w:divBdr>
                <w:top w:val="none" w:sz="0" w:space="0" w:color="auto"/>
                <w:left w:val="none" w:sz="0" w:space="0" w:color="auto"/>
                <w:bottom w:val="none" w:sz="0" w:space="0" w:color="auto"/>
                <w:right w:val="none" w:sz="0" w:space="0" w:color="auto"/>
              </w:divBdr>
              <w:divsChild>
                <w:div w:id="1819028935">
                  <w:marLeft w:val="0"/>
                  <w:marRight w:val="0"/>
                  <w:marTop w:val="0"/>
                  <w:marBottom w:val="0"/>
                  <w:divBdr>
                    <w:top w:val="none" w:sz="0" w:space="0" w:color="auto"/>
                    <w:left w:val="none" w:sz="0" w:space="0" w:color="auto"/>
                    <w:bottom w:val="none" w:sz="0" w:space="0" w:color="auto"/>
                    <w:right w:val="none" w:sz="0" w:space="0" w:color="auto"/>
                  </w:divBdr>
                  <w:divsChild>
                    <w:div w:id="1222668726">
                      <w:marLeft w:val="0"/>
                      <w:marRight w:val="0"/>
                      <w:marTop w:val="0"/>
                      <w:marBottom w:val="0"/>
                      <w:divBdr>
                        <w:top w:val="none" w:sz="0" w:space="0" w:color="auto"/>
                        <w:left w:val="none" w:sz="0" w:space="0" w:color="auto"/>
                        <w:bottom w:val="none" w:sz="0" w:space="0" w:color="auto"/>
                        <w:right w:val="none" w:sz="0" w:space="0" w:color="auto"/>
                      </w:divBdr>
                      <w:divsChild>
                        <w:div w:id="384833963">
                          <w:marLeft w:val="0"/>
                          <w:marRight w:val="0"/>
                          <w:marTop w:val="0"/>
                          <w:marBottom w:val="0"/>
                          <w:divBdr>
                            <w:top w:val="none" w:sz="0" w:space="0" w:color="auto"/>
                            <w:left w:val="none" w:sz="0" w:space="0" w:color="auto"/>
                            <w:bottom w:val="none" w:sz="0" w:space="0" w:color="auto"/>
                            <w:right w:val="none" w:sz="0" w:space="0" w:color="auto"/>
                          </w:divBdr>
                          <w:divsChild>
                            <w:div w:id="266472456">
                              <w:marLeft w:val="0"/>
                              <w:marRight w:val="0"/>
                              <w:marTop w:val="0"/>
                              <w:marBottom w:val="0"/>
                              <w:divBdr>
                                <w:top w:val="none" w:sz="0" w:space="0" w:color="auto"/>
                                <w:left w:val="none" w:sz="0" w:space="0" w:color="auto"/>
                                <w:bottom w:val="none" w:sz="0" w:space="0" w:color="auto"/>
                                <w:right w:val="none" w:sz="0" w:space="0" w:color="auto"/>
                              </w:divBdr>
                              <w:divsChild>
                                <w:div w:id="1884949211">
                                  <w:marLeft w:val="0"/>
                                  <w:marRight w:val="0"/>
                                  <w:marTop w:val="0"/>
                                  <w:marBottom w:val="0"/>
                                  <w:divBdr>
                                    <w:top w:val="none" w:sz="0" w:space="0" w:color="auto"/>
                                    <w:left w:val="none" w:sz="0" w:space="0" w:color="auto"/>
                                    <w:bottom w:val="none" w:sz="0" w:space="0" w:color="auto"/>
                                    <w:right w:val="none" w:sz="0" w:space="0" w:color="auto"/>
                                  </w:divBdr>
                                  <w:divsChild>
                                    <w:div w:id="423501275">
                                      <w:marLeft w:val="0"/>
                                      <w:marRight w:val="0"/>
                                      <w:marTop w:val="0"/>
                                      <w:marBottom w:val="0"/>
                                      <w:divBdr>
                                        <w:top w:val="none" w:sz="0" w:space="0" w:color="auto"/>
                                        <w:left w:val="none" w:sz="0" w:space="0" w:color="auto"/>
                                        <w:bottom w:val="none" w:sz="0" w:space="0" w:color="auto"/>
                                        <w:right w:val="none" w:sz="0" w:space="0" w:color="auto"/>
                                      </w:divBdr>
                                      <w:divsChild>
                                        <w:div w:id="1033044606">
                                          <w:marLeft w:val="0"/>
                                          <w:marRight w:val="0"/>
                                          <w:marTop w:val="0"/>
                                          <w:marBottom w:val="0"/>
                                          <w:divBdr>
                                            <w:top w:val="none" w:sz="0" w:space="0" w:color="auto"/>
                                            <w:left w:val="none" w:sz="0" w:space="0" w:color="auto"/>
                                            <w:bottom w:val="none" w:sz="0" w:space="0" w:color="auto"/>
                                            <w:right w:val="none" w:sz="0" w:space="0" w:color="auto"/>
                                          </w:divBdr>
                                          <w:divsChild>
                                            <w:div w:id="1012716">
                                              <w:marLeft w:val="0"/>
                                              <w:marRight w:val="0"/>
                                              <w:marTop w:val="0"/>
                                              <w:marBottom w:val="0"/>
                                              <w:divBdr>
                                                <w:top w:val="none" w:sz="0" w:space="0" w:color="auto"/>
                                                <w:left w:val="none" w:sz="0" w:space="0" w:color="auto"/>
                                                <w:bottom w:val="none" w:sz="0" w:space="0" w:color="auto"/>
                                                <w:right w:val="none" w:sz="0" w:space="0" w:color="auto"/>
                                              </w:divBdr>
                                              <w:divsChild>
                                                <w:div w:id="2697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190090">
      <w:bodyDiv w:val="1"/>
      <w:marLeft w:val="0"/>
      <w:marRight w:val="0"/>
      <w:marTop w:val="0"/>
      <w:marBottom w:val="0"/>
      <w:divBdr>
        <w:top w:val="none" w:sz="0" w:space="0" w:color="auto"/>
        <w:left w:val="none" w:sz="0" w:space="0" w:color="auto"/>
        <w:bottom w:val="none" w:sz="0" w:space="0" w:color="auto"/>
        <w:right w:val="none" w:sz="0" w:space="0" w:color="auto"/>
      </w:divBdr>
    </w:div>
    <w:div w:id="675035867">
      <w:bodyDiv w:val="1"/>
      <w:marLeft w:val="0"/>
      <w:marRight w:val="0"/>
      <w:marTop w:val="0"/>
      <w:marBottom w:val="0"/>
      <w:divBdr>
        <w:top w:val="none" w:sz="0" w:space="0" w:color="auto"/>
        <w:left w:val="none" w:sz="0" w:space="0" w:color="auto"/>
        <w:bottom w:val="none" w:sz="0" w:space="0" w:color="auto"/>
        <w:right w:val="none" w:sz="0" w:space="0" w:color="auto"/>
      </w:divBdr>
    </w:div>
    <w:div w:id="939335330">
      <w:bodyDiv w:val="1"/>
      <w:marLeft w:val="0"/>
      <w:marRight w:val="0"/>
      <w:marTop w:val="0"/>
      <w:marBottom w:val="0"/>
      <w:divBdr>
        <w:top w:val="none" w:sz="0" w:space="0" w:color="auto"/>
        <w:left w:val="none" w:sz="0" w:space="0" w:color="auto"/>
        <w:bottom w:val="none" w:sz="0" w:space="0" w:color="auto"/>
        <w:right w:val="none" w:sz="0" w:space="0" w:color="auto"/>
      </w:divBdr>
    </w:div>
    <w:div w:id="951132190">
      <w:bodyDiv w:val="1"/>
      <w:marLeft w:val="0"/>
      <w:marRight w:val="0"/>
      <w:marTop w:val="0"/>
      <w:marBottom w:val="0"/>
      <w:divBdr>
        <w:top w:val="none" w:sz="0" w:space="0" w:color="auto"/>
        <w:left w:val="none" w:sz="0" w:space="0" w:color="auto"/>
        <w:bottom w:val="none" w:sz="0" w:space="0" w:color="auto"/>
        <w:right w:val="none" w:sz="0" w:space="0" w:color="auto"/>
      </w:divBdr>
      <w:divsChild>
        <w:div w:id="1222525065">
          <w:marLeft w:val="0"/>
          <w:marRight w:val="0"/>
          <w:marTop w:val="0"/>
          <w:marBottom w:val="0"/>
          <w:divBdr>
            <w:top w:val="none" w:sz="0" w:space="0" w:color="auto"/>
            <w:left w:val="none" w:sz="0" w:space="0" w:color="auto"/>
            <w:bottom w:val="none" w:sz="0" w:space="0" w:color="auto"/>
            <w:right w:val="none" w:sz="0" w:space="0" w:color="auto"/>
          </w:divBdr>
          <w:divsChild>
            <w:div w:id="956906979">
              <w:marLeft w:val="0"/>
              <w:marRight w:val="0"/>
              <w:marTop w:val="0"/>
              <w:marBottom w:val="0"/>
              <w:divBdr>
                <w:top w:val="none" w:sz="0" w:space="0" w:color="auto"/>
                <w:left w:val="none" w:sz="0" w:space="0" w:color="auto"/>
                <w:bottom w:val="none" w:sz="0" w:space="0" w:color="auto"/>
                <w:right w:val="none" w:sz="0" w:space="0" w:color="auto"/>
              </w:divBdr>
              <w:divsChild>
                <w:div w:id="107429467">
                  <w:marLeft w:val="0"/>
                  <w:marRight w:val="0"/>
                  <w:marTop w:val="0"/>
                  <w:marBottom w:val="0"/>
                  <w:divBdr>
                    <w:top w:val="none" w:sz="0" w:space="0" w:color="auto"/>
                    <w:left w:val="none" w:sz="0" w:space="0" w:color="auto"/>
                    <w:bottom w:val="none" w:sz="0" w:space="0" w:color="auto"/>
                    <w:right w:val="none" w:sz="0" w:space="0" w:color="auto"/>
                  </w:divBdr>
                  <w:divsChild>
                    <w:div w:id="18315689">
                      <w:marLeft w:val="0"/>
                      <w:marRight w:val="0"/>
                      <w:marTop w:val="0"/>
                      <w:marBottom w:val="0"/>
                      <w:divBdr>
                        <w:top w:val="none" w:sz="0" w:space="0" w:color="auto"/>
                        <w:left w:val="none" w:sz="0" w:space="0" w:color="auto"/>
                        <w:bottom w:val="none" w:sz="0" w:space="0" w:color="auto"/>
                        <w:right w:val="none" w:sz="0" w:space="0" w:color="auto"/>
                      </w:divBdr>
                      <w:divsChild>
                        <w:div w:id="524828897">
                          <w:marLeft w:val="0"/>
                          <w:marRight w:val="0"/>
                          <w:marTop w:val="0"/>
                          <w:marBottom w:val="0"/>
                          <w:divBdr>
                            <w:top w:val="none" w:sz="0" w:space="0" w:color="auto"/>
                            <w:left w:val="none" w:sz="0" w:space="0" w:color="auto"/>
                            <w:bottom w:val="none" w:sz="0" w:space="0" w:color="auto"/>
                            <w:right w:val="none" w:sz="0" w:space="0" w:color="auto"/>
                          </w:divBdr>
                          <w:divsChild>
                            <w:div w:id="1404257028">
                              <w:marLeft w:val="0"/>
                              <w:marRight w:val="0"/>
                              <w:marTop w:val="0"/>
                              <w:marBottom w:val="0"/>
                              <w:divBdr>
                                <w:top w:val="none" w:sz="0" w:space="0" w:color="auto"/>
                                <w:left w:val="none" w:sz="0" w:space="0" w:color="auto"/>
                                <w:bottom w:val="none" w:sz="0" w:space="0" w:color="auto"/>
                                <w:right w:val="none" w:sz="0" w:space="0" w:color="auto"/>
                              </w:divBdr>
                              <w:divsChild>
                                <w:div w:id="1929194274">
                                  <w:marLeft w:val="0"/>
                                  <w:marRight w:val="0"/>
                                  <w:marTop w:val="0"/>
                                  <w:marBottom w:val="0"/>
                                  <w:divBdr>
                                    <w:top w:val="none" w:sz="0" w:space="0" w:color="auto"/>
                                    <w:left w:val="none" w:sz="0" w:space="0" w:color="auto"/>
                                    <w:bottom w:val="none" w:sz="0" w:space="0" w:color="auto"/>
                                    <w:right w:val="none" w:sz="0" w:space="0" w:color="auto"/>
                                  </w:divBdr>
                                  <w:divsChild>
                                    <w:div w:id="1083911544">
                                      <w:marLeft w:val="0"/>
                                      <w:marRight w:val="0"/>
                                      <w:marTop w:val="0"/>
                                      <w:marBottom w:val="0"/>
                                      <w:divBdr>
                                        <w:top w:val="none" w:sz="0" w:space="0" w:color="auto"/>
                                        <w:left w:val="none" w:sz="0" w:space="0" w:color="auto"/>
                                        <w:bottom w:val="none" w:sz="0" w:space="0" w:color="auto"/>
                                        <w:right w:val="none" w:sz="0" w:space="0" w:color="auto"/>
                                      </w:divBdr>
                                      <w:divsChild>
                                        <w:div w:id="1141843395">
                                          <w:marLeft w:val="0"/>
                                          <w:marRight w:val="0"/>
                                          <w:marTop w:val="0"/>
                                          <w:marBottom w:val="0"/>
                                          <w:divBdr>
                                            <w:top w:val="none" w:sz="0" w:space="0" w:color="auto"/>
                                            <w:left w:val="none" w:sz="0" w:space="0" w:color="auto"/>
                                            <w:bottom w:val="none" w:sz="0" w:space="0" w:color="auto"/>
                                            <w:right w:val="none" w:sz="0" w:space="0" w:color="auto"/>
                                          </w:divBdr>
                                          <w:divsChild>
                                            <w:div w:id="1408310339">
                                              <w:marLeft w:val="0"/>
                                              <w:marRight w:val="0"/>
                                              <w:marTop w:val="0"/>
                                              <w:marBottom w:val="0"/>
                                              <w:divBdr>
                                                <w:top w:val="none" w:sz="0" w:space="0" w:color="auto"/>
                                                <w:left w:val="none" w:sz="0" w:space="0" w:color="auto"/>
                                                <w:bottom w:val="none" w:sz="0" w:space="0" w:color="auto"/>
                                                <w:right w:val="none" w:sz="0" w:space="0" w:color="auto"/>
                                              </w:divBdr>
                                              <w:divsChild>
                                                <w:div w:id="1128401696">
                                                  <w:marLeft w:val="0"/>
                                                  <w:marRight w:val="0"/>
                                                  <w:marTop w:val="0"/>
                                                  <w:marBottom w:val="0"/>
                                                  <w:divBdr>
                                                    <w:top w:val="none" w:sz="0" w:space="0" w:color="auto"/>
                                                    <w:left w:val="none" w:sz="0" w:space="0" w:color="auto"/>
                                                    <w:bottom w:val="none" w:sz="0" w:space="0" w:color="auto"/>
                                                    <w:right w:val="none" w:sz="0" w:space="0" w:color="auto"/>
                                                  </w:divBdr>
                                                  <w:divsChild>
                                                    <w:div w:id="18876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29894">
                                      <w:marLeft w:val="0"/>
                                      <w:marRight w:val="0"/>
                                      <w:marTop w:val="0"/>
                                      <w:marBottom w:val="0"/>
                                      <w:divBdr>
                                        <w:top w:val="none" w:sz="0" w:space="0" w:color="auto"/>
                                        <w:left w:val="none" w:sz="0" w:space="0" w:color="auto"/>
                                        <w:bottom w:val="none" w:sz="0" w:space="0" w:color="auto"/>
                                        <w:right w:val="none" w:sz="0" w:space="0" w:color="auto"/>
                                      </w:divBdr>
                                      <w:divsChild>
                                        <w:div w:id="19985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59197">
          <w:marLeft w:val="0"/>
          <w:marRight w:val="0"/>
          <w:marTop w:val="0"/>
          <w:marBottom w:val="0"/>
          <w:divBdr>
            <w:top w:val="none" w:sz="0" w:space="0" w:color="auto"/>
            <w:left w:val="none" w:sz="0" w:space="0" w:color="auto"/>
            <w:bottom w:val="none" w:sz="0" w:space="0" w:color="auto"/>
            <w:right w:val="none" w:sz="0" w:space="0" w:color="auto"/>
          </w:divBdr>
          <w:divsChild>
            <w:div w:id="1736977110">
              <w:marLeft w:val="0"/>
              <w:marRight w:val="0"/>
              <w:marTop w:val="0"/>
              <w:marBottom w:val="0"/>
              <w:divBdr>
                <w:top w:val="none" w:sz="0" w:space="0" w:color="auto"/>
                <w:left w:val="none" w:sz="0" w:space="0" w:color="auto"/>
                <w:bottom w:val="none" w:sz="0" w:space="0" w:color="auto"/>
                <w:right w:val="none" w:sz="0" w:space="0" w:color="auto"/>
              </w:divBdr>
              <w:divsChild>
                <w:div w:id="686295123">
                  <w:marLeft w:val="0"/>
                  <w:marRight w:val="0"/>
                  <w:marTop w:val="0"/>
                  <w:marBottom w:val="0"/>
                  <w:divBdr>
                    <w:top w:val="none" w:sz="0" w:space="0" w:color="auto"/>
                    <w:left w:val="none" w:sz="0" w:space="0" w:color="auto"/>
                    <w:bottom w:val="none" w:sz="0" w:space="0" w:color="auto"/>
                    <w:right w:val="none" w:sz="0" w:space="0" w:color="auto"/>
                  </w:divBdr>
                  <w:divsChild>
                    <w:div w:id="549852619">
                      <w:marLeft w:val="0"/>
                      <w:marRight w:val="0"/>
                      <w:marTop w:val="0"/>
                      <w:marBottom w:val="0"/>
                      <w:divBdr>
                        <w:top w:val="none" w:sz="0" w:space="0" w:color="auto"/>
                        <w:left w:val="none" w:sz="0" w:space="0" w:color="auto"/>
                        <w:bottom w:val="none" w:sz="0" w:space="0" w:color="auto"/>
                        <w:right w:val="none" w:sz="0" w:space="0" w:color="auto"/>
                      </w:divBdr>
                      <w:divsChild>
                        <w:div w:id="762455313">
                          <w:marLeft w:val="0"/>
                          <w:marRight w:val="0"/>
                          <w:marTop w:val="0"/>
                          <w:marBottom w:val="0"/>
                          <w:divBdr>
                            <w:top w:val="none" w:sz="0" w:space="0" w:color="auto"/>
                            <w:left w:val="none" w:sz="0" w:space="0" w:color="auto"/>
                            <w:bottom w:val="none" w:sz="0" w:space="0" w:color="auto"/>
                            <w:right w:val="none" w:sz="0" w:space="0" w:color="auto"/>
                          </w:divBdr>
                          <w:divsChild>
                            <w:div w:id="693768988">
                              <w:marLeft w:val="0"/>
                              <w:marRight w:val="0"/>
                              <w:marTop w:val="0"/>
                              <w:marBottom w:val="0"/>
                              <w:divBdr>
                                <w:top w:val="none" w:sz="0" w:space="0" w:color="auto"/>
                                <w:left w:val="none" w:sz="0" w:space="0" w:color="auto"/>
                                <w:bottom w:val="none" w:sz="0" w:space="0" w:color="auto"/>
                                <w:right w:val="none" w:sz="0" w:space="0" w:color="auto"/>
                              </w:divBdr>
                              <w:divsChild>
                                <w:div w:id="1814059279">
                                  <w:marLeft w:val="0"/>
                                  <w:marRight w:val="0"/>
                                  <w:marTop w:val="0"/>
                                  <w:marBottom w:val="0"/>
                                  <w:divBdr>
                                    <w:top w:val="none" w:sz="0" w:space="0" w:color="auto"/>
                                    <w:left w:val="none" w:sz="0" w:space="0" w:color="auto"/>
                                    <w:bottom w:val="none" w:sz="0" w:space="0" w:color="auto"/>
                                    <w:right w:val="none" w:sz="0" w:space="0" w:color="auto"/>
                                  </w:divBdr>
                                  <w:divsChild>
                                    <w:div w:id="1137213308">
                                      <w:marLeft w:val="0"/>
                                      <w:marRight w:val="0"/>
                                      <w:marTop w:val="0"/>
                                      <w:marBottom w:val="0"/>
                                      <w:divBdr>
                                        <w:top w:val="none" w:sz="0" w:space="0" w:color="auto"/>
                                        <w:left w:val="none" w:sz="0" w:space="0" w:color="auto"/>
                                        <w:bottom w:val="none" w:sz="0" w:space="0" w:color="auto"/>
                                        <w:right w:val="none" w:sz="0" w:space="0" w:color="auto"/>
                                      </w:divBdr>
                                      <w:divsChild>
                                        <w:div w:id="1471903414">
                                          <w:marLeft w:val="0"/>
                                          <w:marRight w:val="0"/>
                                          <w:marTop w:val="0"/>
                                          <w:marBottom w:val="0"/>
                                          <w:divBdr>
                                            <w:top w:val="none" w:sz="0" w:space="0" w:color="auto"/>
                                            <w:left w:val="none" w:sz="0" w:space="0" w:color="auto"/>
                                            <w:bottom w:val="none" w:sz="0" w:space="0" w:color="auto"/>
                                            <w:right w:val="none" w:sz="0" w:space="0" w:color="auto"/>
                                          </w:divBdr>
                                          <w:divsChild>
                                            <w:div w:id="1598563780">
                                              <w:marLeft w:val="0"/>
                                              <w:marRight w:val="0"/>
                                              <w:marTop w:val="0"/>
                                              <w:marBottom w:val="0"/>
                                              <w:divBdr>
                                                <w:top w:val="none" w:sz="0" w:space="0" w:color="auto"/>
                                                <w:left w:val="none" w:sz="0" w:space="0" w:color="auto"/>
                                                <w:bottom w:val="none" w:sz="0" w:space="0" w:color="auto"/>
                                                <w:right w:val="none" w:sz="0" w:space="0" w:color="auto"/>
                                              </w:divBdr>
                                              <w:divsChild>
                                                <w:div w:id="1192918884">
                                                  <w:marLeft w:val="0"/>
                                                  <w:marRight w:val="0"/>
                                                  <w:marTop w:val="0"/>
                                                  <w:marBottom w:val="0"/>
                                                  <w:divBdr>
                                                    <w:top w:val="none" w:sz="0" w:space="0" w:color="auto"/>
                                                    <w:left w:val="none" w:sz="0" w:space="0" w:color="auto"/>
                                                    <w:bottom w:val="none" w:sz="0" w:space="0" w:color="auto"/>
                                                    <w:right w:val="none" w:sz="0" w:space="0" w:color="auto"/>
                                                  </w:divBdr>
                                                  <w:divsChild>
                                                    <w:div w:id="423843888">
                                                      <w:marLeft w:val="0"/>
                                                      <w:marRight w:val="0"/>
                                                      <w:marTop w:val="0"/>
                                                      <w:marBottom w:val="0"/>
                                                      <w:divBdr>
                                                        <w:top w:val="none" w:sz="0" w:space="0" w:color="auto"/>
                                                        <w:left w:val="none" w:sz="0" w:space="0" w:color="auto"/>
                                                        <w:bottom w:val="none" w:sz="0" w:space="0" w:color="auto"/>
                                                        <w:right w:val="none" w:sz="0" w:space="0" w:color="auto"/>
                                                      </w:divBdr>
                                                      <w:divsChild>
                                                        <w:div w:id="1971551281">
                                                          <w:marLeft w:val="0"/>
                                                          <w:marRight w:val="0"/>
                                                          <w:marTop w:val="0"/>
                                                          <w:marBottom w:val="0"/>
                                                          <w:divBdr>
                                                            <w:top w:val="none" w:sz="0" w:space="0" w:color="auto"/>
                                                            <w:left w:val="none" w:sz="0" w:space="0" w:color="auto"/>
                                                            <w:bottom w:val="none" w:sz="0" w:space="0" w:color="auto"/>
                                                            <w:right w:val="none" w:sz="0" w:space="0" w:color="auto"/>
                                                          </w:divBdr>
                                                          <w:divsChild>
                                                            <w:div w:id="2070807292">
                                                              <w:marLeft w:val="0"/>
                                                              <w:marRight w:val="0"/>
                                                              <w:marTop w:val="0"/>
                                                              <w:marBottom w:val="0"/>
                                                              <w:divBdr>
                                                                <w:top w:val="none" w:sz="0" w:space="0" w:color="auto"/>
                                                                <w:left w:val="none" w:sz="0" w:space="0" w:color="auto"/>
                                                                <w:bottom w:val="none" w:sz="0" w:space="0" w:color="auto"/>
                                                                <w:right w:val="none" w:sz="0" w:space="0" w:color="auto"/>
                                                              </w:divBdr>
                                                              <w:divsChild>
                                                                <w:div w:id="13948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9088193">
      <w:bodyDiv w:val="1"/>
      <w:marLeft w:val="0"/>
      <w:marRight w:val="0"/>
      <w:marTop w:val="0"/>
      <w:marBottom w:val="0"/>
      <w:divBdr>
        <w:top w:val="none" w:sz="0" w:space="0" w:color="auto"/>
        <w:left w:val="none" w:sz="0" w:space="0" w:color="auto"/>
        <w:bottom w:val="none" w:sz="0" w:space="0" w:color="auto"/>
        <w:right w:val="none" w:sz="0" w:space="0" w:color="auto"/>
      </w:divBdr>
    </w:div>
    <w:div w:id="1107506047">
      <w:bodyDiv w:val="1"/>
      <w:marLeft w:val="0"/>
      <w:marRight w:val="0"/>
      <w:marTop w:val="0"/>
      <w:marBottom w:val="0"/>
      <w:divBdr>
        <w:top w:val="none" w:sz="0" w:space="0" w:color="auto"/>
        <w:left w:val="none" w:sz="0" w:space="0" w:color="auto"/>
        <w:bottom w:val="none" w:sz="0" w:space="0" w:color="auto"/>
        <w:right w:val="none" w:sz="0" w:space="0" w:color="auto"/>
      </w:divBdr>
    </w:div>
    <w:div w:id="1274510500">
      <w:bodyDiv w:val="1"/>
      <w:marLeft w:val="0"/>
      <w:marRight w:val="0"/>
      <w:marTop w:val="0"/>
      <w:marBottom w:val="0"/>
      <w:divBdr>
        <w:top w:val="none" w:sz="0" w:space="0" w:color="auto"/>
        <w:left w:val="none" w:sz="0" w:space="0" w:color="auto"/>
        <w:bottom w:val="none" w:sz="0" w:space="0" w:color="auto"/>
        <w:right w:val="none" w:sz="0" w:space="0" w:color="auto"/>
      </w:divBdr>
    </w:div>
    <w:div w:id="1308634327">
      <w:bodyDiv w:val="1"/>
      <w:marLeft w:val="0"/>
      <w:marRight w:val="0"/>
      <w:marTop w:val="0"/>
      <w:marBottom w:val="0"/>
      <w:divBdr>
        <w:top w:val="none" w:sz="0" w:space="0" w:color="auto"/>
        <w:left w:val="none" w:sz="0" w:space="0" w:color="auto"/>
        <w:bottom w:val="none" w:sz="0" w:space="0" w:color="auto"/>
        <w:right w:val="none" w:sz="0" w:space="0" w:color="auto"/>
      </w:divBdr>
    </w:div>
    <w:div w:id="1380593490">
      <w:bodyDiv w:val="1"/>
      <w:marLeft w:val="0"/>
      <w:marRight w:val="0"/>
      <w:marTop w:val="0"/>
      <w:marBottom w:val="0"/>
      <w:divBdr>
        <w:top w:val="none" w:sz="0" w:space="0" w:color="auto"/>
        <w:left w:val="none" w:sz="0" w:space="0" w:color="auto"/>
        <w:bottom w:val="none" w:sz="0" w:space="0" w:color="auto"/>
        <w:right w:val="none" w:sz="0" w:space="0" w:color="auto"/>
      </w:divBdr>
    </w:div>
    <w:div w:id="1404521886">
      <w:bodyDiv w:val="1"/>
      <w:marLeft w:val="0"/>
      <w:marRight w:val="0"/>
      <w:marTop w:val="0"/>
      <w:marBottom w:val="0"/>
      <w:divBdr>
        <w:top w:val="none" w:sz="0" w:space="0" w:color="auto"/>
        <w:left w:val="none" w:sz="0" w:space="0" w:color="auto"/>
        <w:bottom w:val="none" w:sz="0" w:space="0" w:color="auto"/>
        <w:right w:val="none" w:sz="0" w:space="0" w:color="auto"/>
      </w:divBdr>
    </w:div>
    <w:div w:id="1423263799">
      <w:bodyDiv w:val="1"/>
      <w:marLeft w:val="0"/>
      <w:marRight w:val="0"/>
      <w:marTop w:val="0"/>
      <w:marBottom w:val="0"/>
      <w:divBdr>
        <w:top w:val="none" w:sz="0" w:space="0" w:color="auto"/>
        <w:left w:val="none" w:sz="0" w:space="0" w:color="auto"/>
        <w:bottom w:val="none" w:sz="0" w:space="0" w:color="auto"/>
        <w:right w:val="none" w:sz="0" w:space="0" w:color="auto"/>
      </w:divBdr>
    </w:div>
    <w:div w:id="1457677262">
      <w:bodyDiv w:val="1"/>
      <w:marLeft w:val="0"/>
      <w:marRight w:val="0"/>
      <w:marTop w:val="0"/>
      <w:marBottom w:val="0"/>
      <w:divBdr>
        <w:top w:val="none" w:sz="0" w:space="0" w:color="auto"/>
        <w:left w:val="none" w:sz="0" w:space="0" w:color="auto"/>
        <w:bottom w:val="none" w:sz="0" w:space="0" w:color="auto"/>
        <w:right w:val="none" w:sz="0" w:space="0" w:color="auto"/>
      </w:divBdr>
    </w:div>
    <w:div w:id="1703164045">
      <w:bodyDiv w:val="1"/>
      <w:marLeft w:val="0"/>
      <w:marRight w:val="0"/>
      <w:marTop w:val="0"/>
      <w:marBottom w:val="0"/>
      <w:divBdr>
        <w:top w:val="none" w:sz="0" w:space="0" w:color="auto"/>
        <w:left w:val="none" w:sz="0" w:space="0" w:color="auto"/>
        <w:bottom w:val="none" w:sz="0" w:space="0" w:color="auto"/>
        <w:right w:val="none" w:sz="0" w:space="0" w:color="auto"/>
      </w:divBdr>
    </w:div>
    <w:div w:id="1717659666">
      <w:bodyDiv w:val="1"/>
      <w:marLeft w:val="0"/>
      <w:marRight w:val="0"/>
      <w:marTop w:val="0"/>
      <w:marBottom w:val="0"/>
      <w:divBdr>
        <w:top w:val="none" w:sz="0" w:space="0" w:color="auto"/>
        <w:left w:val="none" w:sz="0" w:space="0" w:color="auto"/>
        <w:bottom w:val="none" w:sz="0" w:space="0" w:color="auto"/>
        <w:right w:val="none" w:sz="0" w:space="0" w:color="auto"/>
      </w:divBdr>
    </w:div>
    <w:div w:id="1760174644">
      <w:bodyDiv w:val="1"/>
      <w:marLeft w:val="0"/>
      <w:marRight w:val="0"/>
      <w:marTop w:val="0"/>
      <w:marBottom w:val="0"/>
      <w:divBdr>
        <w:top w:val="none" w:sz="0" w:space="0" w:color="auto"/>
        <w:left w:val="none" w:sz="0" w:space="0" w:color="auto"/>
        <w:bottom w:val="none" w:sz="0" w:space="0" w:color="auto"/>
        <w:right w:val="none" w:sz="0" w:space="0" w:color="auto"/>
      </w:divBdr>
    </w:div>
    <w:div w:id="1829325182">
      <w:bodyDiv w:val="1"/>
      <w:marLeft w:val="0"/>
      <w:marRight w:val="0"/>
      <w:marTop w:val="0"/>
      <w:marBottom w:val="0"/>
      <w:divBdr>
        <w:top w:val="none" w:sz="0" w:space="0" w:color="auto"/>
        <w:left w:val="none" w:sz="0" w:space="0" w:color="auto"/>
        <w:bottom w:val="none" w:sz="0" w:space="0" w:color="auto"/>
        <w:right w:val="none" w:sz="0" w:space="0" w:color="auto"/>
      </w:divBdr>
    </w:div>
    <w:div w:id="1910114639">
      <w:bodyDiv w:val="1"/>
      <w:marLeft w:val="0"/>
      <w:marRight w:val="0"/>
      <w:marTop w:val="0"/>
      <w:marBottom w:val="0"/>
      <w:divBdr>
        <w:top w:val="none" w:sz="0" w:space="0" w:color="auto"/>
        <w:left w:val="none" w:sz="0" w:space="0" w:color="auto"/>
        <w:bottom w:val="none" w:sz="0" w:space="0" w:color="auto"/>
        <w:right w:val="none" w:sz="0" w:space="0" w:color="auto"/>
      </w:divBdr>
    </w:div>
    <w:div w:id="1977685774">
      <w:bodyDiv w:val="1"/>
      <w:marLeft w:val="0"/>
      <w:marRight w:val="0"/>
      <w:marTop w:val="0"/>
      <w:marBottom w:val="0"/>
      <w:divBdr>
        <w:top w:val="none" w:sz="0" w:space="0" w:color="auto"/>
        <w:left w:val="none" w:sz="0" w:space="0" w:color="auto"/>
        <w:bottom w:val="none" w:sz="0" w:space="0" w:color="auto"/>
        <w:right w:val="none" w:sz="0" w:space="0" w:color="auto"/>
      </w:divBdr>
    </w:div>
    <w:div w:id="20913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hyperlink" Target="https://doi.org/10.1088/1361-6498/ab7b3a" TargetMode="External"/><Relationship Id="rId3" Type="http://schemas.openxmlformats.org/officeDocument/2006/relationships/styles" Target="styles.xml"/><Relationship Id="rId21" Type="http://schemas.openxmlformats.org/officeDocument/2006/relationships/hyperlink" Target="https://doi.org/10.1053/j.semnuclmed.2008.02.0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hyperlink" Target="https://doi.org/10.1016/j.radmeas.2011.07.019" TargetMode="External"/><Relationship Id="rId33" Type="http://schemas.openxmlformats.org/officeDocument/2006/relationships/hyperlink" Target="https://doi.org/10.18434/T48G6X"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doi.org/10.1118/1.2135911" TargetMode="External"/><Relationship Id="rId29" Type="http://schemas.openxmlformats.org/officeDocument/2006/relationships/hyperlink" Target="https://doi.org/10.1088/0952-4746/34/4/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88/1361-6498/aa8d74" TargetMode="External"/><Relationship Id="rId32" Type="http://schemas.openxmlformats.org/officeDocument/2006/relationships/hyperlink" Target="https://doi.org/10.18434/T4D01F"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doi.org/10.1016/j.apradiso.2015.12.001" TargetMode="External"/><Relationship Id="rId28" Type="http://schemas.openxmlformats.org/officeDocument/2006/relationships/hyperlink" Target="https://doi.org/10.1093/rpd/ncm071"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hyperlink" Target="https://doi.org/10.48550/arXiv.2407.1299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doi.org/10.1007/s00259-008-0957-5" TargetMode="External"/><Relationship Id="rId27" Type="http://schemas.openxmlformats.org/officeDocument/2006/relationships/hyperlink" Target="https://doi.org/10.1016/j.icrp.2007.10.003" TargetMode="External"/><Relationship Id="rId30" Type="http://schemas.openxmlformats.org/officeDocument/2006/relationships/hyperlink" Target="https://doi.org/10.1002/acm2.7008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7D4F43-0FF2-4E26-B767-E4151C52CF74}">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B957-8700-4265-A1EC-30582EA0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kemmohamadain@gmail.com</dc:creator>
  <cp:keywords/>
  <dc:description/>
  <cp:lastModifiedBy>Editor-1183</cp:lastModifiedBy>
  <cp:revision>4</cp:revision>
  <cp:lastPrinted>2025-12-07T06:11:00Z</cp:lastPrinted>
  <dcterms:created xsi:type="dcterms:W3CDTF">2025-12-17T06:48:00Z</dcterms:created>
  <dcterms:modified xsi:type="dcterms:W3CDTF">2026-01-02T10:46:00Z</dcterms:modified>
</cp:coreProperties>
</file>