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097B6" w14:textId="77777777" w:rsidR="00754C9A" w:rsidRDefault="00754C9A" w:rsidP="004A75E5">
      <w:pPr>
        <w:pStyle w:val="Title"/>
        <w:spacing w:after="0"/>
        <w:jc w:val="both"/>
        <w:rPr>
          <w:rFonts w:ascii="Arial" w:hAnsi="Arial" w:cs="Arial"/>
        </w:rPr>
      </w:pPr>
    </w:p>
    <w:p w14:paraId="6149127B" w14:textId="77777777" w:rsidR="00535A7E" w:rsidRPr="001D3F45" w:rsidRDefault="00535A7E" w:rsidP="004A75E5">
      <w:pPr>
        <w:jc w:val="both"/>
        <w:rPr>
          <w:rFonts w:ascii="Arial" w:hAnsi="Arial" w:cs="Arial"/>
          <w:b/>
          <w:sz w:val="32"/>
          <w:szCs w:val="32"/>
          <w:lang w:eastAsia="en-IN"/>
        </w:rPr>
      </w:pPr>
      <w:r w:rsidRPr="001D3F45">
        <w:rPr>
          <w:rFonts w:ascii="Arial" w:hAnsi="Arial" w:cs="Arial"/>
          <w:b/>
          <w:sz w:val="32"/>
          <w:szCs w:val="32"/>
        </w:rPr>
        <w:t>From Diagnosis to Cure: An AS-OCT-Guided Multimodal Management of Localized OSSN</w:t>
      </w:r>
    </w:p>
    <w:p w14:paraId="4B56F224" w14:textId="77777777" w:rsidR="00A258C3" w:rsidRPr="00790ADA" w:rsidRDefault="00A258C3" w:rsidP="004A75E5">
      <w:pPr>
        <w:pStyle w:val="Author"/>
        <w:spacing w:line="240" w:lineRule="auto"/>
        <w:jc w:val="both"/>
        <w:rPr>
          <w:rFonts w:ascii="Arial" w:hAnsi="Arial" w:cs="Arial"/>
          <w:sz w:val="36"/>
        </w:rPr>
      </w:pPr>
    </w:p>
    <w:p w14:paraId="47DDD9F3" w14:textId="10821085" w:rsidR="00E62B87" w:rsidRPr="007D06E2" w:rsidRDefault="00E62B87" w:rsidP="004A75E5">
      <w:pPr>
        <w:pStyle w:val="Affiliation"/>
        <w:spacing w:after="0" w:line="240" w:lineRule="auto"/>
        <w:jc w:val="both"/>
        <w:rPr>
          <w:rFonts w:ascii="Arial" w:hAnsi="Arial" w:cs="Arial"/>
          <w:i/>
        </w:rPr>
      </w:pPr>
    </w:p>
    <w:p w14:paraId="24FF0962" w14:textId="77777777" w:rsidR="00790ADA" w:rsidRDefault="00790ADA" w:rsidP="004A75E5">
      <w:pPr>
        <w:pStyle w:val="Affiliation"/>
        <w:spacing w:after="0" w:line="240" w:lineRule="auto"/>
        <w:jc w:val="both"/>
        <w:rPr>
          <w:rFonts w:ascii="Arial" w:hAnsi="Arial" w:cs="Arial"/>
        </w:rPr>
      </w:pPr>
    </w:p>
    <w:p w14:paraId="6717C0BA" w14:textId="77777777" w:rsidR="002C57D2" w:rsidRPr="00FB3A86" w:rsidRDefault="002C57D2" w:rsidP="004A75E5">
      <w:pPr>
        <w:pStyle w:val="Affiliation"/>
        <w:spacing w:after="0" w:line="240" w:lineRule="auto"/>
        <w:jc w:val="both"/>
        <w:rPr>
          <w:rFonts w:ascii="Arial" w:hAnsi="Arial" w:cs="Arial"/>
        </w:rPr>
      </w:pPr>
    </w:p>
    <w:p w14:paraId="15498E64" w14:textId="77777777" w:rsidR="00B01FCD" w:rsidRPr="00FB3A86" w:rsidRDefault="003C00EB" w:rsidP="004A75E5">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lang w:val="en-IN" w:eastAsia="en-IN"/>
        </w:rPr>
        <mc:AlternateContent>
          <mc:Choice Requires="wps">
            <w:drawing>
              <wp:inline distT="0" distB="0" distL="0" distR="0" wp14:anchorId="7CE63981" wp14:editId="2739045F">
                <wp:extent cx="5303520" cy="0"/>
                <wp:effectExtent l="15240" t="15875" r="15240"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F774EBC"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41E85E9B" w14:textId="452EAE80" w:rsidR="00B01FCD" w:rsidRDefault="00B01FCD" w:rsidP="004A75E5">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A8236B4" w14:textId="77777777" w:rsidR="00790ADA" w:rsidRPr="00FB3A86" w:rsidRDefault="00790ADA" w:rsidP="004A75E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EE27AF" w14:paraId="61CD0EDA" w14:textId="77777777" w:rsidTr="001E44FE">
        <w:tc>
          <w:tcPr>
            <w:tcW w:w="9576" w:type="dxa"/>
            <w:shd w:val="clear" w:color="auto" w:fill="F2F2F2"/>
          </w:tcPr>
          <w:p w14:paraId="40795B6D" w14:textId="75580A2E" w:rsidR="00B72B4F" w:rsidRPr="00EE27AF" w:rsidRDefault="00B72B4F" w:rsidP="004A75E5">
            <w:pPr>
              <w:pStyle w:val="NormalWeb"/>
              <w:spacing w:line="360" w:lineRule="auto"/>
              <w:jc w:val="both"/>
              <w:rPr>
                <w:rFonts w:ascii="Arial" w:hAnsi="Arial" w:cs="Arial"/>
                <w:sz w:val="22"/>
                <w:szCs w:val="22"/>
              </w:rPr>
            </w:pPr>
            <w:r w:rsidRPr="00EE27AF">
              <w:rPr>
                <w:rStyle w:val="Strong"/>
                <w:rFonts w:ascii="Arial" w:hAnsi="Arial" w:cs="Arial"/>
                <w:sz w:val="22"/>
                <w:szCs w:val="22"/>
              </w:rPr>
              <w:t>Aims:</w:t>
            </w:r>
            <w:r w:rsidRPr="00EE27AF">
              <w:rPr>
                <w:rFonts w:ascii="Arial" w:hAnsi="Arial" w:cs="Arial"/>
                <w:sz w:val="22"/>
                <w:szCs w:val="22"/>
              </w:rPr>
              <w:br/>
            </w:r>
            <w:r w:rsidR="004A75E5">
              <w:rPr>
                <w:rFonts w:ascii="Arial" w:hAnsi="Arial" w:cs="Arial"/>
                <w:sz w:val="22"/>
                <w:szCs w:val="22"/>
              </w:rPr>
              <w:t>This study</w:t>
            </w:r>
            <w:r w:rsidRPr="00EE27AF">
              <w:rPr>
                <w:rFonts w:ascii="Arial" w:hAnsi="Arial" w:cs="Arial"/>
                <w:sz w:val="22"/>
                <w:szCs w:val="22"/>
              </w:rPr>
              <w:t xml:space="preserve"> report</w:t>
            </w:r>
            <w:r w:rsidR="004A75E5">
              <w:rPr>
                <w:rFonts w:ascii="Arial" w:hAnsi="Arial" w:cs="Arial"/>
                <w:sz w:val="22"/>
                <w:szCs w:val="22"/>
              </w:rPr>
              <w:t>s</w:t>
            </w:r>
            <w:r w:rsidRPr="00EE27AF">
              <w:rPr>
                <w:rFonts w:ascii="Arial" w:hAnsi="Arial" w:cs="Arial"/>
                <w:sz w:val="22"/>
                <w:szCs w:val="22"/>
              </w:rPr>
              <w:t xml:space="preserve"> a case of localized ocular surface squamous neoplasia (OSSN) and </w:t>
            </w:r>
            <w:r w:rsidR="004A75E5">
              <w:rPr>
                <w:rFonts w:ascii="Arial" w:hAnsi="Arial" w:cs="Arial"/>
                <w:sz w:val="22"/>
                <w:szCs w:val="22"/>
              </w:rPr>
              <w:t>highlights</w:t>
            </w:r>
            <w:r w:rsidRPr="00EE27AF">
              <w:rPr>
                <w:rFonts w:ascii="Arial" w:hAnsi="Arial" w:cs="Arial"/>
                <w:sz w:val="22"/>
                <w:szCs w:val="22"/>
              </w:rPr>
              <w:t xml:space="preserve"> the role of anterior segment optical coherence tomography (AS-OCT) in diagnosis, surgical planning, and postoperative surveillance.</w:t>
            </w:r>
          </w:p>
          <w:p w14:paraId="0AB53BBE" w14:textId="77777777" w:rsidR="00B72B4F" w:rsidRPr="00EE27AF" w:rsidRDefault="00B72B4F" w:rsidP="004A75E5">
            <w:pPr>
              <w:pStyle w:val="NormalWeb"/>
              <w:spacing w:line="360" w:lineRule="auto"/>
              <w:jc w:val="both"/>
              <w:rPr>
                <w:rFonts w:ascii="Arial" w:hAnsi="Arial" w:cs="Arial"/>
                <w:sz w:val="22"/>
                <w:szCs w:val="22"/>
              </w:rPr>
            </w:pPr>
            <w:r w:rsidRPr="00EE27AF">
              <w:rPr>
                <w:rStyle w:val="Strong"/>
                <w:rFonts w:ascii="Arial" w:hAnsi="Arial" w:cs="Arial"/>
                <w:sz w:val="22"/>
                <w:szCs w:val="22"/>
              </w:rPr>
              <w:t>Presentation of Case:</w:t>
            </w:r>
            <w:r w:rsidRPr="00EE27AF">
              <w:rPr>
                <w:rFonts w:ascii="Arial" w:hAnsi="Arial" w:cs="Arial"/>
                <w:sz w:val="22"/>
                <w:szCs w:val="22"/>
              </w:rPr>
              <w:br/>
              <w:t>A 60-year-old male farmer presented with a small, well-defined greyish-white lesion measuring 3 × 3 mm at the nasal limbus of the right eye. Anterior segment optical coherence tomography revealed a thickened, hyperreflective epithelial lesion with an abrupt transition from normal epithelium and preservation of Bowman’s layer, suggestive of pre-invasive OSSN. The lesion was managed with wide local excision using the no-touch technique with 4 mm margins, double freeze–thaw cryotherapy, intraoperative mitomycin C (0.04%), and amniotic membrane grafting. Histopathological examination confirmed carcinoma in situ. Postoperatively, topical 5-fluorouracil 1% was administered for four weeks.</w:t>
            </w:r>
          </w:p>
          <w:p w14:paraId="65C1A503" w14:textId="77777777" w:rsidR="00B72B4F" w:rsidRPr="00EE27AF" w:rsidRDefault="00B72B4F" w:rsidP="004A75E5">
            <w:pPr>
              <w:pStyle w:val="NormalWeb"/>
              <w:spacing w:line="360" w:lineRule="auto"/>
              <w:jc w:val="both"/>
              <w:rPr>
                <w:rFonts w:ascii="Arial" w:hAnsi="Arial" w:cs="Arial"/>
                <w:sz w:val="22"/>
                <w:szCs w:val="22"/>
              </w:rPr>
            </w:pPr>
            <w:r w:rsidRPr="00EE27AF">
              <w:rPr>
                <w:rStyle w:val="Strong"/>
                <w:rFonts w:ascii="Arial" w:hAnsi="Arial" w:cs="Arial"/>
                <w:sz w:val="22"/>
                <w:szCs w:val="22"/>
              </w:rPr>
              <w:t>Discussion:</w:t>
            </w:r>
            <w:r w:rsidRPr="00EE27AF">
              <w:rPr>
                <w:rFonts w:ascii="Arial" w:hAnsi="Arial" w:cs="Arial"/>
                <w:sz w:val="22"/>
                <w:szCs w:val="22"/>
              </w:rPr>
              <w:br/>
              <w:t>AS-OCT provided a reliable, non-invasive assessment of lesion depth and extent, which assisted in confirming epithelial confinement and guiding surgical management. The combined use of surgical excision and adjuvant chemotherapy helped reduce recurrence risk while maintaining ocular surface integrity.</w:t>
            </w:r>
          </w:p>
          <w:p w14:paraId="50E45EBF" w14:textId="77777777" w:rsidR="00B72B4F" w:rsidRPr="00EE27AF" w:rsidRDefault="00B72B4F" w:rsidP="004A75E5">
            <w:pPr>
              <w:pStyle w:val="NormalWeb"/>
              <w:spacing w:line="360" w:lineRule="auto"/>
              <w:jc w:val="both"/>
              <w:rPr>
                <w:rFonts w:ascii="Arial" w:hAnsi="Arial" w:cs="Arial"/>
                <w:sz w:val="22"/>
                <w:szCs w:val="22"/>
              </w:rPr>
            </w:pPr>
            <w:r w:rsidRPr="00EE27AF">
              <w:rPr>
                <w:rStyle w:val="Strong"/>
                <w:rFonts w:ascii="Arial" w:hAnsi="Arial" w:cs="Arial"/>
                <w:sz w:val="22"/>
                <w:szCs w:val="22"/>
              </w:rPr>
              <w:t>Conclusion:</w:t>
            </w:r>
            <w:r w:rsidRPr="00EE27AF">
              <w:rPr>
                <w:rFonts w:ascii="Arial" w:hAnsi="Arial" w:cs="Arial"/>
                <w:sz w:val="22"/>
                <w:szCs w:val="22"/>
              </w:rPr>
              <w:br/>
              <w:t xml:space="preserve">Early diagnosis supported by AS-OCT and a multimodal therapeutic approach can achieve </w:t>
            </w:r>
            <w:proofErr w:type="spellStart"/>
            <w:r w:rsidRPr="00EE27AF">
              <w:rPr>
                <w:rFonts w:ascii="Arial" w:hAnsi="Arial" w:cs="Arial"/>
                <w:sz w:val="22"/>
                <w:szCs w:val="22"/>
              </w:rPr>
              <w:t>favorable</w:t>
            </w:r>
            <w:proofErr w:type="spellEnd"/>
            <w:r w:rsidRPr="00EE27AF">
              <w:rPr>
                <w:rFonts w:ascii="Arial" w:hAnsi="Arial" w:cs="Arial"/>
                <w:sz w:val="22"/>
                <w:szCs w:val="22"/>
              </w:rPr>
              <w:t xml:space="preserve"> anatomical and oncological outcomes in localized OSSN.</w:t>
            </w:r>
          </w:p>
          <w:p w14:paraId="6413AC7C" w14:textId="77777777" w:rsidR="00505F06" w:rsidRPr="00EE27AF" w:rsidRDefault="00505F06" w:rsidP="004A75E5">
            <w:pPr>
              <w:pStyle w:val="Body"/>
              <w:spacing w:after="0" w:line="360" w:lineRule="auto"/>
              <w:rPr>
                <w:rFonts w:ascii="Arial" w:eastAsia="Calibri" w:hAnsi="Arial" w:cs="Arial"/>
                <w:sz w:val="22"/>
                <w:szCs w:val="22"/>
              </w:rPr>
            </w:pPr>
          </w:p>
        </w:tc>
      </w:tr>
    </w:tbl>
    <w:p w14:paraId="12BF9A10" w14:textId="77777777" w:rsidR="00636EB2" w:rsidRPr="00EE27AF" w:rsidRDefault="00636EB2" w:rsidP="004A75E5">
      <w:pPr>
        <w:pStyle w:val="Body"/>
        <w:spacing w:after="0" w:line="360" w:lineRule="auto"/>
        <w:rPr>
          <w:rFonts w:ascii="Arial" w:hAnsi="Arial" w:cs="Arial"/>
          <w:i/>
          <w:sz w:val="22"/>
          <w:szCs w:val="22"/>
        </w:rPr>
      </w:pPr>
    </w:p>
    <w:p w14:paraId="262579EF" w14:textId="0FBA90EA" w:rsidR="00B52896" w:rsidRPr="00EE27AF" w:rsidRDefault="00A24E7E" w:rsidP="004A75E5">
      <w:pPr>
        <w:pStyle w:val="NormalWeb"/>
        <w:spacing w:line="360" w:lineRule="auto"/>
        <w:jc w:val="both"/>
        <w:rPr>
          <w:rFonts w:ascii="Arial" w:hAnsi="Arial" w:cs="Arial"/>
          <w:i/>
          <w:sz w:val="22"/>
          <w:szCs w:val="22"/>
        </w:rPr>
      </w:pPr>
      <w:r w:rsidRPr="00EE27AF">
        <w:rPr>
          <w:rFonts w:ascii="Arial" w:hAnsi="Arial" w:cs="Arial"/>
          <w:i/>
          <w:sz w:val="22"/>
          <w:szCs w:val="22"/>
        </w:rPr>
        <w:t xml:space="preserve">Keywords: </w:t>
      </w:r>
      <w:r w:rsidR="005A1DE4" w:rsidRPr="00EE27AF">
        <w:rPr>
          <w:rFonts w:ascii="Arial" w:hAnsi="Arial" w:cs="Arial"/>
          <w:i/>
          <w:sz w:val="22"/>
          <w:szCs w:val="22"/>
        </w:rPr>
        <w:t xml:space="preserve">Ocular surface squamous </w:t>
      </w:r>
      <w:proofErr w:type="spellStart"/>
      <w:proofErr w:type="gramStart"/>
      <w:r w:rsidR="005A1DE4" w:rsidRPr="00EE27AF">
        <w:rPr>
          <w:rFonts w:ascii="Arial" w:hAnsi="Arial" w:cs="Arial"/>
          <w:i/>
          <w:sz w:val="22"/>
          <w:szCs w:val="22"/>
        </w:rPr>
        <w:t>neoplasia,AS</w:t>
      </w:r>
      <w:proofErr w:type="spellEnd"/>
      <w:proofErr w:type="gramEnd"/>
      <w:r w:rsidR="005A1DE4" w:rsidRPr="00EE27AF">
        <w:rPr>
          <w:rFonts w:ascii="Arial" w:hAnsi="Arial" w:cs="Arial"/>
          <w:i/>
          <w:sz w:val="22"/>
          <w:szCs w:val="22"/>
        </w:rPr>
        <w:t>-</w:t>
      </w:r>
      <w:proofErr w:type="spellStart"/>
      <w:r w:rsidR="005A1DE4" w:rsidRPr="00EE27AF">
        <w:rPr>
          <w:rFonts w:ascii="Arial" w:hAnsi="Arial" w:cs="Arial"/>
          <w:i/>
          <w:sz w:val="22"/>
          <w:szCs w:val="22"/>
        </w:rPr>
        <w:t>OCT,No</w:t>
      </w:r>
      <w:proofErr w:type="spellEnd"/>
      <w:r w:rsidR="005A1DE4" w:rsidRPr="00EE27AF">
        <w:rPr>
          <w:rFonts w:ascii="Arial" w:hAnsi="Arial" w:cs="Arial"/>
          <w:i/>
          <w:sz w:val="22"/>
          <w:szCs w:val="22"/>
        </w:rPr>
        <w:t>-touch technique, Mitomycin-C,5-Fluorouracil,Amniotic membrane transplantation</w:t>
      </w:r>
    </w:p>
    <w:p w14:paraId="06C397CD" w14:textId="77777777" w:rsidR="0024282C" w:rsidRPr="00EE27AF" w:rsidRDefault="0024282C" w:rsidP="004A75E5">
      <w:pPr>
        <w:pStyle w:val="Body"/>
        <w:spacing w:after="0" w:line="360" w:lineRule="auto"/>
        <w:rPr>
          <w:rFonts w:ascii="Arial" w:hAnsi="Arial" w:cs="Arial"/>
          <w:i/>
          <w:sz w:val="22"/>
          <w:szCs w:val="22"/>
        </w:rPr>
      </w:pPr>
    </w:p>
    <w:p w14:paraId="18A33C03" w14:textId="77777777" w:rsidR="00505F06" w:rsidRPr="00EE27AF" w:rsidRDefault="00505F06" w:rsidP="004A75E5">
      <w:pPr>
        <w:pStyle w:val="Body"/>
        <w:spacing w:after="0" w:line="360" w:lineRule="auto"/>
        <w:rPr>
          <w:rFonts w:ascii="Arial" w:hAnsi="Arial" w:cs="Arial"/>
          <w:i/>
          <w:sz w:val="22"/>
          <w:szCs w:val="22"/>
        </w:rPr>
      </w:pPr>
    </w:p>
    <w:p w14:paraId="4941FCD5" w14:textId="3091D860" w:rsidR="007F7B32" w:rsidRPr="00EE27AF" w:rsidRDefault="00902823" w:rsidP="004A75E5">
      <w:pPr>
        <w:pStyle w:val="AbstHead"/>
        <w:spacing w:after="0" w:line="360" w:lineRule="auto"/>
        <w:jc w:val="both"/>
        <w:rPr>
          <w:rFonts w:ascii="Arial" w:hAnsi="Arial" w:cs="Arial"/>
          <w:szCs w:val="22"/>
        </w:rPr>
      </w:pPr>
      <w:r w:rsidRPr="00EE27AF">
        <w:rPr>
          <w:rFonts w:ascii="Arial" w:hAnsi="Arial" w:cs="Arial"/>
          <w:szCs w:val="22"/>
        </w:rPr>
        <w:t xml:space="preserve">1. </w:t>
      </w:r>
      <w:r w:rsidR="00B01FCD" w:rsidRPr="00EE27AF">
        <w:rPr>
          <w:rFonts w:ascii="Arial" w:hAnsi="Arial" w:cs="Arial"/>
          <w:szCs w:val="22"/>
        </w:rPr>
        <w:t>INTRODUCTION</w:t>
      </w:r>
      <w:r w:rsidR="007F7B32" w:rsidRPr="00EE27AF">
        <w:rPr>
          <w:rFonts w:ascii="Arial" w:hAnsi="Arial" w:cs="Arial"/>
          <w:szCs w:val="22"/>
        </w:rPr>
        <w:t xml:space="preserve"> </w:t>
      </w:r>
    </w:p>
    <w:p w14:paraId="038D44A2" w14:textId="77777777" w:rsidR="00790ADA" w:rsidRPr="00EE27AF" w:rsidRDefault="00790ADA" w:rsidP="004A75E5">
      <w:pPr>
        <w:pStyle w:val="AbstHead"/>
        <w:spacing w:after="0" w:line="360" w:lineRule="auto"/>
        <w:jc w:val="both"/>
        <w:rPr>
          <w:rFonts w:ascii="Arial" w:hAnsi="Arial" w:cs="Arial"/>
          <w:szCs w:val="22"/>
        </w:rPr>
      </w:pPr>
    </w:p>
    <w:p w14:paraId="5D8EB8BE" w14:textId="5E15D438" w:rsidR="00B72B4F" w:rsidRPr="00EE27AF" w:rsidRDefault="00B72B4F" w:rsidP="004A75E5">
      <w:pPr>
        <w:pStyle w:val="NormalWeb"/>
        <w:spacing w:line="360" w:lineRule="auto"/>
        <w:jc w:val="both"/>
        <w:rPr>
          <w:rFonts w:ascii="Arial" w:hAnsi="Arial" w:cs="Arial"/>
          <w:sz w:val="22"/>
          <w:szCs w:val="22"/>
        </w:rPr>
      </w:pPr>
      <w:r w:rsidRPr="00EE27AF">
        <w:rPr>
          <w:rFonts w:ascii="Arial" w:hAnsi="Arial" w:cs="Arial"/>
          <w:sz w:val="22"/>
          <w:szCs w:val="22"/>
        </w:rPr>
        <w:t>Ocular Surface Squamous Neoplasia (OSSN) represents a spectrum of dysplastic and malignant epithelial disorders involving the conjunctiva and cornea, ranging from conjunctival intraepithelial neoplasia to invasive squamous cell carcinoma. It is recognized as the most common non-pigmented malignancy of the ocular surface and occurs more frequently in regions with high ultraviolet-B radiation exposure, particularly among individuals engaged in outdoor occupations. Several etiological factors have been implicated in its development, including human papillomavirus (HPV) infection, immunosuppres</w:t>
      </w:r>
      <w:r w:rsidR="00EE27AF" w:rsidRPr="00EE27AF">
        <w:rPr>
          <w:rFonts w:ascii="Arial" w:hAnsi="Arial" w:cs="Arial"/>
          <w:sz w:val="22"/>
          <w:szCs w:val="22"/>
        </w:rPr>
        <w:t>sion</w:t>
      </w:r>
      <w:r w:rsidR="004A75E5">
        <w:rPr>
          <w:rFonts w:ascii="Arial" w:hAnsi="Arial" w:cs="Arial"/>
          <w:sz w:val="22"/>
          <w:szCs w:val="22"/>
        </w:rPr>
        <w:t>,</w:t>
      </w:r>
      <w:r w:rsidR="00EE27AF" w:rsidRPr="00EE27AF">
        <w:rPr>
          <w:rFonts w:ascii="Arial" w:hAnsi="Arial" w:cs="Arial"/>
          <w:sz w:val="22"/>
          <w:szCs w:val="22"/>
        </w:rPr>
        <w:t xml:space="preserve"> </w:t>
      </w:r>
      <w:r w:rsidRPr="00EE27AF">
        <w:rPr>
          <w:rFonts w:ascii="Arial" w:hAnsi="Arial" w:cs="Arial"/>
          <w:sz w:val="22"/>
          <w:szCs w:val="22"/>
        </w:rPr>
        <w:t>most notably HIV infection and chronic ocular surface irritation (1–3).</w:t>
      </w:r>
    </w:p>
    <w:p w14:paraId="47522C36" w14:textId="77777777" w:rsidR="00B72B4F" w:rsidRPr="00EE27AF" w:rsidRDefault="00B72B4F" w:rsidP="004A75E5">
      <w:pPr>
        <w:pStyle w:val="NormalWeb"/>
        <w:spacing w:line="360" w:lineRule="auto"/>
        <w:jc w:val="both"/>
        <w:rPr>
          <w:rFonts w:ascii="Arial" w:hAnsi="Arial" w:cs="Arial"/>
          <w:sz w:val="22"/>
          <w:szCs w:val="22"/>
        </w:rPr>
      </w:pPr>
      <w:r w:rsidRPr="00EE27AF">
        <w:rPr>
          <w:rFonts w:ascii="Arial" w:hAnsi="Arial" w:cs="Arial"/>
          <w:sz w:val="22"/>
          <w:szCs w:val="22"/>
        </w:rPr>
        <w:t>Clinically, OSSN often appears as a grey-white, gelatinous, or leukoplakic lesion arising at or near the limbus, with variable extension onto the cornea. Many patients remain asymptomatic in the early stages, and lesions are frequently detected during routine ophthalmic examination. When present, symptoms are usually mild and include ocular irritation or redness related to surface inflammation (4). The lesion may show surface keratinization or prominent feeder vessels and can closely resemble benign conditions such as pterygium or pinguecula, which makes clinical differentiation difficult.</w:t>
      </w:r>
    </w:p>
    <w:p w14:paraId="3676EFA1" w14:textId="77777777" w:rsidR="00B72B4F" w:rsidRPr="00EE27AF" w:rsidRDefault="00B72B4F" w:rsidP="004A75E5">
      <w:pPr>
        <w:pStyle w:val="NormalWeb"/>
        <w:spacing w:line="360" w:lineRule="auto"/>
        <w:jc w:val="both"/>
        <w:rPr>
          <w:rFonts w:ascii="Arial" w:hAnsi="Arial" w:cs="Arial"/>
          <w:sz w:val="22"/>
          <w:szCs w:val="22"/>
        </w:rPr>
      </w:pPr>
      <w:r w:rsidRPr="00EE27AF">
        <w:rPr>
          <w:rFonts w:ascii="Arial" w:hAnsi="Arial" w:cs="Arial"/>
          <w:sz w:val="22"/>
          <w:szCs w:val="22"/>
        </w:rPr>
        <w:t>Anterior segment optical coherence tomography (AS-OCT) has emerged as a useful non-invasive adjunct in the evaluation of suspected OSSN. Typical imaging features include epithelial thickening with increased reflectivity and a sharp transition from normal to abnormal epithelium, allowing better delineation of lesion margins and assessment of depth. In the present case, AS-OCT demonstrated these characteristic epithelial changes and supported the clinical diagnosis while also facilitating disease monitoring. Despite the utility of such imaging modalities, impression cytology and histopathological examination continue to serve as the definitive methods for diagnosis (5).</w:t>
      </w:r>
    </w:p>
    <w:p w14:paraId="0BD3CF6E" w14:textId="4D9D1851" w:rsidR="00B72B4F" w:rsidRPr="00EE27AF" w:rsidRDefault="00B72B4F" w:rsidP="004A75E5">
      <w:pPr>
        <w:pStyle w:val="NormalWeb"/>
        <w:spacing w:line="360" w:lineRule="auto"/>
        <w:jc w:val="both"/>
        <w:rPr>
          <w:rFonts w:ascii="Arial" w:hAnsi="Arial" w:cs="Arial"/>
          <w:sz w:val="22"/>
          <w:szCs w:val="22"/>
        </w:rPr>
      </w:pPr>
      <w:r w:rsidRPr="00EE27AF">
        <w:rPr>
          <w:rFonts w:ascii="Arial" w:hAnsi="Arial" w:cs="Arial"/>
          <w:sz w:val="22"/>
          <w:szCs w:val="22"/>
        </w:rPr>
        <w:t>The current standard of management for OSSN involves surgical excision using the no-touch technique, ensuring adequate safety margins while minimi</w:t>
      </w:r>
      <w:r w:rsidR="004A75E5">
        <w:rPr>
          <w:rFonts w:ascii="Arial" w:hAnsi="Arial" w:cs="Arial"/>
          <w:sz w:val="22"/>
          <w:szCs w:val="22"/>
        </w:rPr>
        <w:t>s</w:t>
      </w:r>
      <w:r w:rsidRPr="00EE27AF">
        <w:rPr>
          <w:rFonts w:ascii="Arial" w:hAnsi="Arial" w:cs="Arial"/>
          <w:sz w:val="22"/>
          <w:szCs w:val="22"/>
        </w:rPr>
        <w:t>ing the risk of tumo</w:t>
      </w:r>
      <w:r w:rsidR="004A75E5">
        <w:rPr>
          <w:rFonts w:ascii="Arial" w:hAnsi="Arial" w:cs="Arial"/>
          <w:sz w:val="22"/>
          <w:szCs w:val="22"/>
        </w:rPr>
        <w:t>u</w:t>
      </w:r>
      <w:r w:rsidRPr="00EE27AF">
        <w:rPr>
          <w:rFonts w:ascii="Arial" w:hAnsi="Arial" w:cs="Arial"/>
          <w:sz w:val="22"/>
          <w:szCs w:val="22"/>
        </w:rPr>
        <w:t>r cell dissemination. Adjuvant topical chemotherapeutic agents, including mitomycin-C, 5-fluorouracil, and interferon alpha-2b, are often employed to reduce recurrence rates and preserve ocular surface integrity, particularly in cases with high-risk features or incomplete margins (6,7).</w:t>
      </w:r>
    </w:p>
    <w:p w14:paraId="57C95D91" w14:textId="77777777" w:rsidR="00790ADA" w:rsidRPr="00EE27AF" w:rsidRDefault="00790ADA" w:rsidP="004A75E5">
      <w:pPr>
        <w:pStyle w:val="Body"/>
        <w:spacing w:after="0" w:line="360" w:lineRule="auto"/>
        <w:rPr>
          <w:rFonts w:ascii="Arial" w:hAnsi="Arial" w:cs="Arial"/>
          <w:sz w:val="22"/>
          <w:szCs w:val="22"/>
        </w:rPr>
      </w:pPr>
    </w:p>
    <w:p w14:paraId="63175CC4" w14:textId="486BAF23" w:rsidR="007F7B32" w:rsidRPr="00EE27AF" w:rsidRDefault="00902823" w:rsidP="004A75E5">
      <w:pPr>
        <w:pStyle w:val="AbstHead"/>
        <w:spacing w:after="0" w:line="360" w:lineRule="auto"/>
        <w:jc w:val="both"/>
        <w:rPr>
          <w:rFonts w:ascii="Arial" w:hAnsi="Arial" w:cs="Arial"/>
          <w:szCs w:val="22"/>
        </w:rPr>
      </w:pPr>
      <w:r w:rsidRPr="00EE27AF">
        <w:rPr>
          <w:rFonts w:ascii="Arial" w:hAnsi="Arial" w:cs="Arial"/>
          <w:szCs w:val="22"/>
        </w:rPr>
        <w:t>2. material and method</w:t>
      </w:r>
      <w:r w:rsidR="00000F8F" w:rsidRPr="00EE27AF">
        <w:rPr>
          <w:rFonts w:ascii="Arial" w:hAnsi="Arial" w:cs="Arial"/>
          <w:szCs w:val="22"/>
        </w:rPr>
        <w:t xml:space="preserve">s </w:t>
      </w:r>
    </w:p>
    <w:p w14:paraId="124EA3EC" w14:textId="77777777" w:rsidR="00790ADA" w:rsidRPr="00EE27AF" w:rsidRDefault="00790ADA" w:rsidP="004A75E5">
      <w:pPr>
        <w:pStyle w:val="AbstHead"/>
        <w:spacing w:after="0" w:line="360" w:lineRule="auto"/>
        <w:jc w:val="both"/>
        <w:rPr>
          <w:rFonts w:ascii="Arial" w:hAnsi="Arial" w:cs="Arial"/>
          <w:szCs w:val="22"/>
        </w:rPr>
      </w:pPr>
    </w:p>
    <w:p w14:paraId="6DF34A9B" w14:textId="77777777" w:rsidR="005A1DE4" w:rsidRPr="00EE27AF" w:rsidRDefault="005A1DE4" w:rsidP="004A75E5">
      <w:pPr>
        <w:spacing w:before="100" w:beforeAutospacing="1" w:after="100" w:afterAutospacing="1" w:line="360" w:lineRule="auto"/>
        <w:jc w:val="both"/>
        <w:rPr>
          <w:rFonts w:ascii="Arial" w:hAnsi="Arial" w:cs="Arial"/>
          <w:sz w:val="22"/>
          <w:szCs w:val="22"/>
          <w:lang w:eastAsia="en-IN"/>
        </w:rPr>
      </w:pPr>
      <w:r w:rsidRPr="00EE27AF">
        <w:rPr>
          <w:rFonts w:ascii="Arial" w:hAnsi="Arial" w:cs="Arial"/>
          <w:sz w:val="22"/>
          <w:szCs w:val="22"/>
          <w:lang w:eastAsia="en-IN"/>
        </w:rPr>
        <w:t xml:space="preserve">A 60-year-old male farmer presented with a one-year history of a small, gradually enlarging lesion at the nasal </w:t>
      </w:r>
      <w:proofErr w:type="spellStart"/>
      <w:r w:rsidRPr="00EE27AF">
        <w:rPr>
          <w:rFonts w:ascii="Arial" w:hAnsi="Arial" w:cs="Arial"/>
          <w:sz w:val="22"/>
          <w:szCs w:val="22"/>
          <w:lang w:eastAsia="en-IN"/>
        </w:rPr>
        <w:t>sclerocorneal</w:t>
      </w:r>
      <w:proofErr w:type="spellEnd"/>
      <w:r w:rsidRPr="00EE27AF">
        <w:rPr>
          <w:rFonts w:ascii="Arial" w:hAnsi="Arial" w:cs="Arial"/>
          <w:sz w:val="22"/>
          <w:szCs w:val="22"/>
          <w:lang w:eastAsia="en-IN"/>
        </w:rPr>
        <w:t xml:space="preserve"> junction of the right eye. The lesion measured approximately 3 × 3 mm, appeared </w:t>
      </w:r>
      <w:r w:rsidRPr="00EE27AF">
        <w:rPr>
          <w:rFonts w:ascii="Arial" w:hAnsi="Arial" w:cs="Arial"/>
          <w:bCs/>
          <w:sz w:val="22"/>
          <w:szCs w:val="22"/>
          <w:lang w:eastAsia="en-IN"/>
        </w:rPr>
        <w:t>greyish-white, elevated, and well-circumscribed</w:t>
      </w:r>
      <w:r w:rsidRPr="00EE27AF">
        <w:rPr>
          <w:rFonts w:ascii="Arial" w:hAnsi="Arial" w:cs="Arial"/>
          <w:sz w:val="22"/>
          <w:szCs w:val="22"/>
          <w:lang w:eastAsia="en-IN"/>
        </w:rPr>
        <w:t xml:space="preserve">, with a </w:t>
      </w:r>
      <w:r w:rsidRPr="00EE27AF">
        <w:rPr>
          <w:rFonts w:ascii="Arial" w:hAnsi="Arial" w:cs="Arial"/>
          <w:bCs/>
          <w:sz w:val="22"/>
          <w:szCs w:val="22"/>
          <w:lang w:eastAsia="en-IN"/>
        </w:rPr>
        <w:t>prominent feeder vessel</w:t>
      </w:r>
      <w:r w:rsidRPr="00EE27AF">
        <w:rPr>
          <w:rFonts w:ascii="Arial" w:hAnsi="Arial" w:cs="Arial"/>
          <w:sz w:val="22"/>
          <w:szCs w:val="22"/>
          <w:lang w:eastAsia="en-IN"/>
        </w:rPr>
        <w:t xml:space="preserve"> (Fig. 1a). The patient reported </w:t>
      </w:r>
      <w:r w:rsidRPr="00EE27AF">
        <w:rPr>
          <w:rFonts w:ascii="Arial" w:hAnsi="Arial" w:cs="Arial"/>
          <w:bCs/>
          <w:sz w:val="22"/>
          <w:szCs w:val="22"/>
          <w:lang w:eastAsia="en-IN"/>
        </w:rPr>
        <w:t>no pain, redness, or visual loss</w:t>
      </w:r>
      <w:r w:rsidRPr="00EE27AF">
        <w:rPr>
          <w:rFonts w:ascii="Arial" w:hAnsi="Arial" w:cs="Arial"/>
          <w:sz w:val="22"/>
          <w:szCs w:val="22"/>
          <w:lang w:eastAsia="en-IN"/>
        </w:rPr>
        <w:t xml:space="preserve">. His history of </w:t>
      </w:r>
      <w:r w:rsidRPr="00EE27AF">
        <w:rPr>
          <w:rFonts w:ascii="Arial" w:hAnsi="Arial" w:cs="Arial"/>
          <w:bCs/>
          <w:sz w:val="22"/>
          <w:szCs w:val="22"/>
          <w:lang w:eastAsia="en-IN"/>
        </w:rPr>
        <w:t>chronic ultraviolet exposure due to outdoor occupation</w:t>
      </w:r>
      <w:r w:rsidRPr="00EE27AF">
        <w:rPr>
          <w:rFonts w:ascii="Arial" w:hAnsi="Arial" w:cs="Arial"/>
          <w:sz w:val="22"/>
          <w:szCs w:val="22"/>
          <w:lang w:eastAsia="en-IN"/>
        </w:rPr>
        <w:t xml:space="preserve"> was noted as a major predisposing factor. There was no history suggestive of immunosuppression or prior ocular trauma.</w:t>
      </w:r>
    </w:p>
    <w:p w14:paraId="29820D27" w14:textId="77777777" w:rsidR="005A1DE4" w:rsidRPr="00EE27AF" w:rsidRDefault="005A1DE4" w:rsidP="004A75E5">
      <w:pPr>
        <w:spacing w:before="100" w:beforeAutospacing="1" w:after="100" w:afterAutospacing="1" w:line="360" w:lineRule="auto"/>
        <w:jc w:val="both"/>
        <w:rPr>
          <w:rFonts w:ascii="Arial" w:hAnsi="Arial" w:cs="Arial"/>
          <w:sz w:val="22"/>
          <w:szCs w:val="22"/>
          <w:lang w:eastAsia="en-IN"/>
        </w:rPr>
      </w:pPr>
      <w:r w:rsidRPr="00EE27AF">
        <w:rPr>
          <w:rFonts w:ascii="Arial" w:hAnsi="Arial" w:cs="Arial"/>
          <w:bCs/>
          <w:sz w:val="22"/>
          <w:szCs w:val="22"/>
          <w:lang w:eastAsia="en-IN"/>
        </w:rPr>
        <w:t>AS-OCT</w:t>
      </w:r>
      <w:r w:rsidRPr="00EE27AF">
        <w:rPr>
          <w:rFonts w:ascii="Arial" w:hAnsi="Arial" w:cs="Arial"/>
          <w:sz w:val="22"/>
          <w:szCs w:val="22"/>
          <w:lang w:eastAsia="en-IN"/>
        </w:rPr>
        <w:t xml:space="preserve"> </w:t>
      </w:r>
      <w:r w:rsidRPr="00EE27AF">
        <w:rPr>
          <w:rFonts w:ascii="Arial" w:hAnsi="Arial" w:cs="Arial"/>
          <w:sz w:val="22"/>
          <w:szCs w:val="22"/>
        </w:rPr>
        <w:t xml:space="preserve">demonstrated a markedly thickened, hyperreflective epithelial layer with an abrupt transition from normal to abnormal epithelium and preservation of Bowman’s layer </w:t>
      </w:r>
      <w:r w:rsidRPr="00EE27AF">
        <w:rPr>
          <w:rFonts w:ascii="Arial" w:hAnsi="Arial" w:cs="Arial"/>
          <w:sz w:val="22"/>
          <w:szCs w:val="22"/>
          <w:lang w:eastAsia="en-IN"/>
        </w:rPr>
        <w:t>(Fig. 1b)</w:t>
      </w:r>
      <w:r w:rsidRPr="00EE27AF">
        <w:rPr>
          <w:rFonts w:ascii="Arial" w:hAnsi="Arial" w:cs="Arial"/>
          <w:sz w:val="22"/>
          <w:szCs w:val="22"/>
        </w:rPr>
        <w:t>, consistent with pre-invasive OSSN. These findings aided in confirming epithelial confinement of the lesion and guided surgical planning.</w:t>
      </w:r>
      <w:r w:rsidRPr="00EE27AF">
        <w:rPr>
          <w:rFonts w:ascii="Arial" w:hAnsi="Arial" w:cs="Arial"/>
          <w:sz w:val="22"/>
          <w:szCs w:val="22"/>
          <w:lang w:eastAsia="en-IN"/>
        </w:rPr>
        <w:t xml:space="preserve"> (5). These imaging features helped confirm the clinical diagnosis and aided in preoperative surgical planning.</w:t>
      </w:r>
    </w:p>
    <w:p w14:paraId="7D3F59EC" w14:textId="77777777" w:rsidR="005A1DE4" w:rsidRPr="00EE27AF" w:rsidRDefault="005A1DE4" w:rsidP="004A75E5">
      <w:pPr>
        <w:spacing w:before="100" w:beforeAutospacing="1" w:after="100" w:afterAutospacing="1" w:line="360" w:lineRule="auto"/>
        <w:jc w:val="both"/>
        <w:rPr>
          <w:rFonts w:ascii="Arial" w:hAnsi="Arial" w:cs="Arial"/>
          <w:sz w:val="22"/>
          <w:szCs w:val="22"/>
          <w:lang w:eastAsia="en-IN"/>
        </w:rPr>
      </w:pPr>
      <w:r w:rsidRPr="00EE27AF">
        <w:rPr>
          <w:rFonts w:ascii="Arial" w:hAnsi="Arial" w:cs="Arial"/>
          <w:sz w:val="22"/>
          <w:szCs w:val="22"/>
          <w:lang w:eastAsia="en-IN"/>
        </w:rPr>
        <w:t xml:space="preserve">A </w:t>
      </w:r>
      <w:r w:rsidRPr="00EE27AF">
        <w:rPr>
          <w:rFonts w:ascii="Arial" w:hAnsi="Arial" w:cs="Arial"/>
          <w:bCs/>
          <w:sz w:val="22"/>
          <w:szCs w:val="22"/>
          <w:lang w:eastAsia="en-IN"/>
        </w:rPr>
        <w:t>clinical diagnosis of OSSN</w:t>
      </w:r>
      <w:r w:rsidRPr="00EE27AF">
        <w:rPr>
          <w:rFonts w:ascii="Arial" w:hAnsi="Arial" w:cs="Arial"/>
          <w:sz w:val="22"/>
          <w:szCs w:val="22"/>
          <w:lang w:eastAsia="en-IN"/>
        </w:rPr>
        <w:t xml:space="preserve"> was made, and the patient underwent </w:t>
      </w:r>
      <w:r w:rsidRPr="00EE27AF">
        <w:rPr>
          <w:rFonts w:ascii="Arial" w:hAnsi="Arial" w:cs="Arial"/>
          <w:bCs/>
          <w:sz w:val="22"/>
          <w:szCs w:val="22"/>
          <w:lang w:eastAsia="en-IN"/>
        </w:rPr>
        <w:t>surgical excision</w:t>
      </w:r>
      <w:r w:rsidRPr="00EE27AF">
        <w:rPr>
          <w:rFonts w:ascii="Arial" w:hAnsi="Arial" w:cs="Arial"/>
          <w:sz w:val="22"/>
          <w:szCs w:val="22"/>
          <w:lang w:eastAsia="en-IN"/>
        </w:rPr>
        <w:t xml:space="preserve"> of the lesion using the </w:t>
      </w:r>
      <w:r w:rsidRPr="00EE27AF">
        <w:rPr>
          <w:rFonts w:ascii="Arial" w:hAnsi="Arial" w:cs="Arial"/>
          <w:bCs/>
          <w:sz w:val="22"/>
          <w:szCs w:val="22"/>
          <w:lang w:eastAsia="en-IN"/>
        </w:rPr>
        <w:t>no-touch technique</w:t>
      </w:r>
      <w:r w:rsidRPr="00EE27AF">
        <w:rPr>
          <w:rFonts w:ascii="Arial" w:hAnsi="Arial" w:cs="Arial"/>
          <w:sz w:val="22"/>
          <w:szCs w:val="22"/>
          <w:lang w:eastAsia="en-IN"/>
        </w:rPr>
        <w:t xml:space="preserve"> with </w:t>
      </w:r>
      <w:r w:rsidRPr="00EE27AF">
        <w:rPr>
          <w:rFonts w:ascii="Arial" w:hAnsi="Arial" w:cs="Arial"/>
          <w:bCs/>
          <w:sz w:val="22"/>
          <w:szCs w:val="22"/>
          <w:lang w:eastAsia="en-IN"/>
        </w:rPr>
        <w:t>4 mm safety margins</w:t>
      </w:r>
      <w:r w:rsidRPr="00EE27AF">
        <w:rPr>
          <w:rFonts w:ascii="Arial" w:hAnsi="Arial" w:cs="Arial"/>
          <w:sz w:val="22"/>
          <w:szCs w:val="22"/>
          <w:lang w:eastAsia="en-IN"/>
        </w:rPr>
        <w:t xml:space="preserve">. </w:t>
      </w:r>
      <w:r w:rsidRPr="00EE27AF">
        <w:rPr>
          <w:rFonts w:ascii="Arial" w:hAnsi="Arial" w:cs="Arial"/>
          <w:bCs/>
          <w:sz w:val="22"/>
          <w:szCs w:val="22"/>
          <w:lang w:eastAsia="en-IN"/>
        </w:rPr>
        <w:t>Double freeze–thaw cryotherapy</w:t>
      </w:r>
      <w:r w:rsidRPr="00EE27AF">
        <w:rPr>
          <w:rFonts w:ascii="Arial" w:hAnsi="Arial" w:cs="Arial"/>
          <w:sz w:val="22"/>
          <w:szCs w:val="22"/>
          <w:lang w:eastAsia="en-IN"/>
        </w:rPr>
        <w:t xml:space="preserve"> was applied to the conjunctival and scleral edges, followed by </w:t>
      </w:r>
      <w:r w:rsidRPr="00EE27AF">
        <w:rPr>
          <w:rFonts w:ascii="Arial" w:hAnsi="Arial" w:cs="Arial"/>
          <w:bCs/>
          <w:sz w:val="22"/>
          <w:szCs w:val="22"/>
          <w:lang w:eastAsia="en-IN"/>
        </w:rPr>
        <w:t>intraoperative mitomycin-C (MMC) 0.04%</w:t>
      </w:r>
      <w:r w:rsidRPr="00EE27AF">
        <w:rPr>
          <w:rFonts w:ascii="Arial" w:hAnsi="Arial" w:cs="Arial"/>
          <w:sz w:val="22"/>
          <w:szCs w:val="22"/>
          <w:lang w:eastAsia="en-IN"/>
        </w:rPr>
        <w:t xml:space="preserve"> application for </w:t>
      </w:r>
      <w:r w:rsidRPr="00EE27AF">
        <w:rPr>
          <w:rFonts w:ascii="Arial" w:hAnsi="Arial" w:cs="Arial"/>
          <w:bCs/>
          <w:sz w:val="22"/>
          <w:szCs w:val="22"/>
          <w:lang w:eastAsia="en-IN"/>
        </w:rPr>
        <w:t>three minutes</w:t>
      </w:r>
      <w:r w:rsidRPr="00EE27AF">
        <w:rPr>
          <w:rFonts w:ascii="Arial" w:hAnsi="Arial" w:cs="Arial"/>
          <w:sz w:val="22"/>
          <w:szCs w:val="22"/>
          <w:lang w:eastAsia="en-IN"/>
        </w:rPr>
        <w:t xml:space="preserve"> to reduce the risk of local recurrence. The resultant conjunctival defect was </w:t>
      </w:r>
      <w:r w:rsidRPr="00EE27AF">
        <w:rPr>
          <w:rFonts w:ascii="Arial" w:hAnsi="Arial" w:cs="Arial"/>
          <w:bCs/>
          <w:sz w:val="22"/>
          <w:szCs w:val="22"/>
          <w:lang w:eastAsia="en-IN"/>
        </w:rPr>
        <w:t>reconstructed with an amniotic membrane graft</w:t>
      </w:r>
      <w:r w:rsidRPr="00EE27AF">
        <w:rPr>
          <w:rFonts w:ascii="Arial" w:hAnsi="Arial" w:cs="Arial"/>
          <w:sz w:val="22"/>
          <w:szCs w:val="22"/>
          <w:lang w:eastAsia="en-IN"/>
        </w:rPr>
        <w:t>, ensuring a smooth postoperative ocular surface and rapid epithelial healing.</w:t>
      </w:r>
    </w:p>
    <w:p w14:paraId="02699AE4" w14:textId="77777777" w:rsidR="005A1DE4" w:rsidRPr="00EE27AF" w:rsidRDefault="005A1DE4" w:rsidP="004A75E5">
      <w:pPr>
        <w:spacing w:before="100" w:beforeAutospacing="1" w:after="100" w:afterAutospacing="1" w:line="360" w:lineRule="auto"/>
        <w:jc w:val="both"/>
        <w:rPr>
          <w:rFonts w:ascii="Arial" w:hAnsi="Arial" w:cs="Arial"/>
          <w:sz w:val="22"/>
          <w:szCs w:val="22"/>
          <w:lang w:eastAsia="en-IN"/>
        </w:rPr>
      </w:pPr>
      <w:r w:rsidRPr="00EE27AF">
        <w:rPr>
          <w:rFonts w:ascii="Arial" w:hAnsi="Arial" w:cs="Arial"/>
          <w:bCs/>
          <w:sz w:val="22"/>
          <w:szCs w:val="22"/>
          <w:lang w:eastAsia="en-IN"/>
        </w:rPr>
        <w:t>Histopathological examination</w:t>
      </w:r>
      <w:r w:rsidRPr="00EE27AF">
        <w:rPr>
          <w:rFonts w:ascii="Arial" w:hAnsi="Arial" w:cs="Arial"/>
          <w:sz w:val="22"/>
          <w:szCs w:val="22"/>
          <w:lang w:eastAsia="en-IN"/>
        </w:rPr>
        <w:t xml:space="preserve"> revealed </w:t>
      </w:r>
      <w:r w:rsidRPr="00EE27AF">
        <w:rPr>
          <w:rFonts w:ascii="Arial" w:hAnsi="Arial" w:cs="Arial"/>
          <w:bCs/>
          <w:sz w:val="22"/>
          <w:szCs w:val="22"/>
          <w:lang w:eastAsia="en-IN"/>
        </w:rPr>
        <w:t>acanthotic and parakeratotic stratified squamous epithelium</w:t>
      </w:r>
      <w:r w:rsidRPr="00EE27AF">
        <w:rPr>
          <w:rFonts w:ascii="Arial" w:hAnsi="Arial" w:cs="Arial"/>
          <w:sz w:val="22"/>
          <w:szCs w:val="22"/>
          <w:lang w:eastAsia="en-IN"/>
        </w:rPr>
        <w:t xml:space="preserve"> showing </w:t>
      </w:r>
      <w:r w:rsidRPr="00EE27AF">
        <w:rPr>
          <w:rFonts w:ascii="Arial" w:hAnsi="Arial" w:cs="Arial"/>
          <w:bCs/>
          <w:sz w:val="22"/>
          <w:szCs w:val="22"/>
          <w:lang w:eastAsia="en-IN"/>
        </w:rPr>
        <w:t>severe dysplasia involving more than two-thirds of the epithelial thickness</w:t>
      </w:r>
      <w:r w:rsidRPr="00EE27AF">
        <w:rPr>
          <w:rFonts w:ascii="Arial" w:hAnsi="Arial" w:cs="Arial"/>
          <w:sz w:val="22"/>
          <w:szCs w:val="22"/>
          <w:lang w:eastAsia="en-IN"/>
        </w:rPr>
        <w:t xml:space="preserve">, without breach of the basement membrane or stromal invasion (Fig.1c) features consistent with </w:t>
      </w:r>
      <w:r w:rsidRPr="00EE27AF">
        <w:rPr>
          <w:rFonts w:ascii="Arial" w:hAnsi="Arial" w:cs="Arial"/>
          <w:bCs/>
          <w:sz w:val="22"/>
          <w:szCs w:val="22"/>
          <w:lang w:eastAsia="en-IN"/>
        </w:rPr>
        <w:t>carcinoma in situ (pre-invasive OSSN)</w:t>
      </w:r>
      <w:r w:rsidRPr="00EE27AF">
        <w:rPr>
          <w:rFonts w:ascii="Arial" w:hAnsi="Arial" w:cs="Arial"/>
          <w:sz w:val="22"/>
          <w:szCs w:val="22"/>
          <w:lang w:eastAsia="en-IN"/>
        </w:rPr>
        <w:t>. These findings correlated well with the AS-OCT observations.</w:t>
      </w:r>
    </w:p>
    <w:p w14:paraId="2867BC86" w14:textId="77777777" w:rsidR="005A1DE4" w:rsidRPr="00EE27AF" w:rsidRDefault="005A1DE4" w:rsidP="004A75E5">
      <w:pPr>
        <w:spacing w:before="100" w:beforeAutospacing="1" w:after="100" w:afterAutospacing="1" w:line="360" w:lineRule="auto"/>
        <w:jc w:val="both"/>
        <w:rPr>
          <w:rFonts w:ascii="Arial" w:hAnsi="Arial" w:cs="Arial"/>
          <w:sz w:val="22"/>
          <w:szCs w:val="22"/>
          <w:lang w:eastAsia="en-IN"/>
        </w:rPr>
      </w:pPr>
      <w:r w:rsidRPr="00EE27AF">
        <w:rPr>
          <w:rFonts w:ascii="Arial" w:hAnsi="Arial" w:cs="Arial"/>
          <w:sz w:val="22"/>
          <w:szCs w:val="22"/>
          <w:lang w:eastAsia="en-IN"/>
        </w:rPr>
        <w:t xml:space="preserve">The </w:t>
      </w:r>
      <w:r w:rsidRPr="00EE27AF">
        <w:rPr>
          <w:rFonts w:ascii="Arial" w:hAnsi="Arial" w:cs="Arial"/>
          <w:bCs/>
          <w:sz w:val="22"/>
          <w:szCs w:val="22"/>
          <w:lang w:eastAsia="en-IN"/>
        </w:rPr>
        <w:t>postoperative regimen</w:t>
      </w:r>
      <w:r w:rsidRPr="00EE27AF">
        <w:rPr>
          <w:rFonts w:ascii="Arial" w:hAnsi="Arial" w:cs="Arial"/>
          <w:sz w:val="22"/>
          <w:szCs w:val="22"/>
          <w:lang w:eastAsia="en-IN"/>
        </w:rPr>
        <w:t xml:space="preserve"> included </w:t>
      </w:r>
      <w:r w:rsidRPr="00EE27AF">
        <w:rPr>
          <w:rFonts w:ascii="Arial" w:hAnsi="Arial" w:cs="Arial"/>
          <w:bCs/>
          <w:sz w:val="22"/>
          <w:szCs w:val="22"/>
          <w:lang w:eastAsia="en-IN"/>
        </w:rPr>
        <w:t>topical 5-fluorouracil (5-FU) 1% eye drops</w:t>
      </w:r>
      <w:r w:rsidRPr="00EE27AF">
        <w:rPr>
          <w:rFonts w:ascii="Arial" w:hAnsi="Arial" w:cs="Arial"/>
          <w:sz w:val="22"/>
          <w:szCs w:val="22"/>
          <w:lang w:eastAsia="en-IN"/>
        </w:rPr>
        <w:t xml:space="preserve"> administered </w:t>
      </w:r>
      <w:r w:rsidRPr="00EE27AF">
        <w:rPr>
          <w:rFonts w:ascii="Arial" w:hAnsi="Arial" w:cs="Arial"/>
          <w:bCs/>
          <w:sz w:val="22"/>
          <w:szCs w:val="22"/>
          <w:lang w:eastAsia="en-IN"/>
        </w:rPr>
        <w:t>four times daily for four weeks</w:t>
      </w:r>
      <w:r w:rsidRPr="00EE27AF">
        <w:rPr>
          <w:rFonts w:ascii="Arial" w:hAnsi="Arial" w:cs="Arial"/>
          <w:sz w:val="22"/>
          <w:szCs w:val="22"/>
          <w:lang w:eastAsia="en-IN"/>
        </w:rPr>
        <w:t xml:space="preserve">, along with lubricants and corticosteroid tapering. The </w:t>
      </w:r>
      <w:r w:rsidRPr="00EE27AF">
        <w:rPr>
          <w:rFonts w:ascii="Arial" w:hAnsi="Arial" w:cs="Arial"/>
          <w:bCs/>
          <w:sz w:val="22"/>
          <w:szCs w:val="22"/>
          <w:lang w:eastAsia="en-IN"/>
        </w:rPr>
        <w:t>ocular surface healed completely</w:t>
      </w:r>
      <w:r w:rsidRPr="00EE27AF">
        <w:rPr>
          <w:rFonts w:ascii="Arial" w:hAnsi="Arial" w:cs="Arial"/>
          <w:sz w:val="22"/>
          <w:szCs w:val="22"/>
          <w:lang w:eastAsia="en-IN"/>
        </w:rPr>
        <w:t xml:space="preserve"> within four weeks, and </w:t>
      </w:r>
      <w:r w:rsidRPr="00EE27AF">
        <w:rPr>
          <w:rFonts w:ascii="Arial" w:hAnsi="Arial" w:cs="Arial"/>
          <w:bCs/>
          <w:sz w:val="22"/>
          <w:szCs w:val="22"/>
          <w:lang w:eastAsia="en-IN"/>
        </w:rPr>
        <w:t>no recurrence was observed after 12 months of follow-up</w:t>
      </w:r>
      <w:r w:rsidRPr="00EE27AF">
        <w:rPr>
          <w:rFonts w:ascii="Arial" w:hAnsi="Arial" w:cs="Arial"/>
          <w:sz w:val="22"/>
          <w:szCs w:val="22"/>
          <w:lang w:eastAsia="en-IN"/>
        </w:rPr>
        <w:t xml:space="preserve"> (Fig. 1d). This case underscores the importance of </w:t>
      </w:r>
      <w:r w:rsidRPr="00EE27AF">
        <w:rPr>
          <w:rFonts w:ascii="Arial" w:hAnsi="Arial" w:cs="Arial"/>
          <w:bCs/>
          <w:sz w:val="22"/>
          <w:szCs w:val="22"/>
          <w:lang w:eastAsia="en-IN"/>
        </w:rPr>
        <w:t>AS-OCT in early diagnosis, accurate staging, and postoperative surveillance</w:t>
      </w:r>
      <w:r w:rsidRPr="00EE27AF">
        <w:rPr>
          <w:rFonts w:ascii="Arial" w:hAnsi="Arial" w:cs="Arial"/>
          <w:sz w:val="22"/>
          <w:szCs w:val="22"/>
          <w:lang w:eastAsia="en-IN"/>
        </w:rPr>
        <w:t xml:space="preserve"> in OSSN, especially in high-risk individuals such as outdoor workers.</w:t>
      </w:r>
    </w:p>
    <w:p w14:paraId="2EB83427" w14:textId="77777777" w:rsidR="00461E26" w:rsidRPr="00EE27AF" w:rsidRDefault="00461E26" w:rsidP="004A75E5">
      <w:pPr>
        <w:spacing w:before="100" w:beforeAutospacing="1" w:after="100" w:afterAutospacing="1" w:line="360" w:lineRule="auto"/>
        <w:jc w:val="both"/>
        <w:outlineLvl w:val="2"/>
        <w:rPr>
          <w:rFonts w:ascii="Arial" w:hAnsi="Arial" w:cs="Arial"/>
          <w:b/>
          <w:bCs/>
          <w:sz w:val="22"/>
          <w:szCs w:val="22"/>
          <w:lang w:eastAsia="en-IN"/>
        </w:rPr>
      </w:pPr>
      <w:r w:rsidRPr="00EE27AF">
        <w:rPr>
          <w:rFonts w:ascii="Arial" w:hAnsi="Arial" w:cs="Arial"/>
          <w:b/>
          <w:bCs/>
          <w:sz w:val="22"/>
          <w:szCs w:val="22"/>
          <w:lang w:eastAsia="en-IN"/>
        </w:rPr>
        <w:t>Figures</w:t>
      </w:r>
    </w:p>
    <w:p w14:paraId="6BB593FB" w14:textId="77777777" w:rsidR="00461E26" w:rsidRPr="00EE27AF" w:rsidRDefault="00461E26" w:rsidP="004A75E5">
      <w:pPr>
        <w:spacing w:before="100" w:beforeAutospacing="1" w:after="100" w:afterAutospacing="1" w:line="360" w:lineRule="auto"/>
        <w:jc w:val="both"/>
        <w:outlineLvl w:val="2"/>
        <w:rPr>
          <w:rFonts w:ascii="Arial" w:hAnsi="Arial" w:cs="Arial"/>
          <w:b/>
          <w:bCs/>
          <w:sz w:val="22"/>
          <w:szCs w:val="22"/>
          <w:lang w:eastAsia="en-IN"/>
        </w:rPr>
      </w:pPr>
      <w:r w:rsidRPr="00EE27AF">
        <w:rPr>
          <w:rFonts w:ascii="Arial" w:hAnsi="Arial" w:cs="Arial"/>
          <w:b/>
          <w:bCs/>
          <w:noProof/>
          <w:sz w:val="22"/>
          <w:szCs w:val="22"/>
          <w:lang w:val="en-IN" w:eastAsia="en-IN"/>
        </w:rPr>
        <w:lastRenderedPageBreak/>
        <w:drawing>
          <wp:inline distT="0" distB="0" distL="0" distR="0" wp14:anchorId="516989C0" wp14:editId="58D67167">
            <wp:extent cx="5731510" cy="17462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1-03 at 8.05.44 PM.jpeg"/>
                    <pic:cNvPicPr/>
                  </pic:nvPicPr>
                  <pic:blipFill>
                    <a:blip r:embed="rId10">
                      <a:extLst>
                        <a:ext uri="{28A0092B-C50C-407E-A947-70E740481C1C}">
                          <a14:useLocalDpi xmlns:a14="http://schemas.microsoft.com/office/drawing/2010/main" val="0"/>
                        </a:ext>
                      </a:extLst>
                    </a:blip>
                    <a:stretch>
                      <a:fillRect/>
                    </a:stretch>
                  </pic:blipFill>
                  <pic:spPr>
                    <a:xfrm>
                      <a:off x="0" y="0"/>
                      <a:ext cx="5731510" cy="1746250"/>
                    </a:xfrm>
                    <a:prstGeom prst="rect">
                      <a:avLst/>
                    </a:prstGeom>
                  </pic:spPr>
                </pic:pic>
              </a:graphicData>
            </a:graphic>
          </wp:inline>
        </w:drawing>
      </w:r>
    </w:p>
    <w:p w14:paraId="2FFAFFE4" w14:textId="77777777" w:rsidR="00461E26" w:rsidRPr="00EE27AF" w:rsidRDefault="00461E26" w:rsidP="004A75E5">
      <w:pPr>
        <w:spacing w:line="360" w:lineRule="auto"/>
        <w:jc w:val="both"/>
        <w:rPr>
          <w:rFonts w:ascii="Arial" w:hAnsi="Arial" w:cs="Arial"/>
          <w:sz w:val="22"/>
          <w:szCs w:val="22"/>
        </w:rPr>
      </w:pPr>
      <w:r w:rsidRPr="00EE27AF">
        <w:rPr>
          <w:rStyle w:val="Strong"/>
          <w:rFonts w:ascii="Arial" w:hAnsi="Arial" w:cs="Arial"/>
          <w:sz w:val="22"/>
          <w:szCs w:val="22"/>
        </w:rPr>
        <w:t>Figure 1.</w:t>
      </w:r>
      <w:r w:rsidRPr="00EE27AF">
        <w:rPr>
          <w:rFonts w:ascii="Arial" w:hAnsi="Arial" w:cs="Arial"/>
          <w:sz w:val="22"/>
          <w:szCs w:val="22"/>
        </w:rPr>
        <w:t xml:space="preserve"> Multimodal documentation and management of pre-invasive ocular surface squamous neoplasia (OSSN) in a 60-year-old male farmer.</w:t>
      </w:r>
    </w:p>
    <w:p w14:paraId="4B37A379" w14:textId="77777777" w:rsidR="00461E26" w:rsidRPr="00EE27AF" w:rsidRDefault="00461E26" w:rsidP="004A75E5">
      <w:pPr>
        <w:spacing w:line="360" w:lineRule="auto"/>
        <w:jc w:val="both"/>
        <w:rPr>
          <w:rFonts w:ascii="Arial" w:hAnsi="Arial" w:cs="Arial"/>
          <w:sz w:val="22"/>
          <w:szCs w:val="22"/>
          <w:lang w:eastAsia="en-IN"/>
        </w:rPr>
      </w:pPr>
      <w:r w:rsidRPr="00EE27AF">
        <w:rPr>
          <w:rFonts w:ascii="Arial" w:hAnsi="Arial" w:cs="Arial"/>
          <w:sz w:val="22"/>
          <w:szCs w:val="22"/>
        </w:rPr>
        <w:br/>
        <w:t xml:space="preserve">(a) </w:t>
      </w:r>
      <w:r w:rsidRPr="00EE27AF">
        <w:rPr>
          <w:rStyle w:val="Emphasis"/>
          <w:rFonts w:ascii="Arial" w:hAnsi="Arial" w:cs="Arial"/>
          <w:sz w:val="22"/>
          <w:szCs w:val="22"/>
        </w:rPr>
        <w:t>Slit-lamp photograph</w:t>
      </w:r>
      <w:r w:rsidRPr="00EE27AF">
        <w:rPr>
          <w:rFonts w:ascii="Arial" w:hAnsi="Arial" w:cs="Arial"/>
          <w:sz w:val="22"/>
          <w:szCs w:val="22"/>
        </w:rPr>
        <w:t xml:space="preserve"> showing a greyish-white, elevated, well-circumscribed lesion with a prominent feeder vessel at the nasal limbus of the right eye (3 × 3 mm), consistent with a clinically suspected OSSN.</w:t>
      </w:r>
      <w:r w:rsidRPr="00EE27AF">
        <w:rPr>
          <w:rFonts w:ascii="Arial" w:hAnsi="Arial" w:cs="Arial"/>
          <w:sz w:val="22"/>
          <w:szCs w:val="22"/>
        </w:rPr>
        <w:br/>
        <w:t xml:space="preserve">(b) </w:t>
      </w:r>
      <w:r w:rsidRPr="00EE27AF">
        <w:rPr>
          <w:rStyle w:val="Emphasis"/>
          <w:rFonts w:ascii="Arial" w:hAnsi="Arial" w:cs="Arial"/>
          <w:sz w:val="22"/>
          <w:szCs w:val="22"/>
        </w:rPr>
        <w:t>Anterior Segment Optical Coherence Tomography (AS-OCT)</w:t>
      </w:r>
      <w:r w:rsidRPr="00EE27AF">
        <w:rPr>
          <w:rFonts w:ascii="Arial" w:hAnsi="Arial" w:cs="Arial"/>
          <w:sz w:val="22"/>
          <w:szCs w:val="22"/>
        </w:rPr>
        <w:t xml:space="preserve"> image demonstrating an abrupt transition from normal to abnormal epithelium with epithelial hyperreflectivity and thickening (≈180 µm), while Bowman’s layer remains intact, confirming the epithelial confinement typical of pre-invasive OSSN.</w:t>
      </w:r>
      <w:r w:rsidRPr="00EE27AF">
        <w:rPr>
          <w:rFonts w:ascii="Arial" w:hAnsi="Arial" w:cs="Arial"/>
          <w:sz w:val="22"/>
          <w:szCs w:val="22"/>
        </w:rPr>
        <w:br/>
        <w:t xml:space="preserve">(c) </w:t>
      </w:r>
      <w:r w:rsidRPr="00EE27AF">
        <w:rPr>
          <w:rStyle w:val="Emphasis"/>
          <w:rFonts w:ascii="Arial" w:hAnsi="Arial" w:cs="Arial"/>
          <w:sz w:val="22"/>
          <w:szCs w:val="22"/>
        </w:rPr>
        <w:t>Histopathology (H&amp;E stain, 40×)</w:t>
      </w:r>
      <w:r w:rsidRPr="00EE27AF">
        <w:rPr>
          <w:rFonts w:ascii="Arial" w:hAnsi="Arial" w:cs="Arial"/>
          <w:sz w:val="22"/>
          <w:szCs w:val="22"/>
        </w:rPr>
        <w:t xml:space="preserve"> revealing acanthotic and parakeratotic epithelium with severe epithelial dysplasia involving more than two-thirds of the epithelial thickness, without stromal invasion, consistent with carcinoma in situ.</w:t>
      </w:r>
      <w:r w:rsidRPr="00EE27AF">
        <w:rPr>
          <w:rFonts w:ascii="Arial" w:hAnsi="Arial" w:cs="Arial"/>
          <w:sz w:val="22"/>
          <w:szCs w:val="22"/>
        </w:rPr>
        <w:br/>
        <w:t xml:space="preserve">(d) </w:t>
      </w:r>
      <w:r w:rsidRPr="00EE27AF">
        <w:rPr>
          <w:rStyle w:val="Emphasis"/>
          <w:rFonts w:ascii="Arial" w:hAnsi="Arial" w:cs="Arial"/>
          <w:sz w:val="22"/>
          <w:szCs w:val="22"/>
        </w:rPr>
        <w:t>Postoperative slit-lamp photograph</w:t>
      </w:r>
      <w:r w:rsidRPr="00EE27AF">
        <w:rPr>
          <w:rFonts w:ascii="Arial" w:hAnsi="Arial" w:cs="Arial"/>
          <w:sz w:val="22"/>
          <w:szCs w:val="22"/>
        </w:rPr>
        <w:t xml:space="preserve"> after 12 months showing a clear ocular surface with well-integrated amniotic membrane graft and no evidence of recurrence following no-touch excision, intraoperative MMC, and adjuvant topical 5-FU therapy.</w:t>
      </w:r>
    </w:p>
    <w:p w14:paraId="30872409" w14:textId="77777777" w:rsidR="00461E26" w:rsidRPr="00EE27AF" w:rsidRDefault="00461E26" w:rsidP="004A75E5">
      <w:pPr>
        <w:spacing w:before="100" w:beforeAutospacing="1" w:after="100" w:afterAutospacing="1" w:line="360" w:lineRule="auto"/>
        <w:jc w:val="both"/>
        <w:rPr>
          <w:rFonts w:ascii="Arial" w:hAnsi="Arial" w:cs="Arial"/>
          <w:sz w:val="22"/>
          <w:szCs w:val="22"/>
          <w:lang w:eastAsia="en-IN"/>
        </w:rPr>
      </w:pPr>
    </w:p>
    <w:p w14:paraId="4B7E4742" w14:textId="77777777" w:rsidR="00790ADA" w:rsidRPr="00EE27AF" w:rsidRDefault="00790ADA" w:rsidP="004A75E5">
      <w:pPr>
        <w:pStyle w:val="Body"/>
        <w:spacing w:after="0" w:line="360" w:lineRule="auto"/>
        <w:rPr>
          <w:rFonts w:ascii="Arial" w:hAnsi="Arial" w:cs="Arial"/>
          <w:sz w:val="22"/>
          <w:szCs w:val="22"/>
        </w:rPr>
      </w:pPr>
    </w:p>
    <w:p w14:paraId="46808E96" w14:textId="77777777" w:rsidR="00902823" w:rsidRPr="00EE27AF" w:rsidRDefault="00000F8F" w:rsidP="004A75E5">
      <w:pPr>
        <w:pStyle w:val="Head1"/>
        <w:spacing w:after="0" w:line="360" w:lineRule="auto"/>
        <w:jc w:val="both"/>
        <w:rPr>
          <w:rFonts w:ascii="Arial" w:hAnsi="Arial" w:cs="Arial"/>
          <w:szCs w:val="22"/>
        </w:rPr>
      </w:pPr>
      <w:r w:rsidRPr="00EE27AF">
        <w:rPr>
          <w:rFonts w:ascii="Arial" w:hAnsi="Arial" w:cs="Arial"/>
          <w:szCs w:val="22"/>
        </w:rPr>
        <w:t>3</w:t>
      </w:r>
      <w:r w:rsidR="00902823" w:rsidRPr="00EE27AF">
        <w:rPr>
          <w:rFonts w:ascii="Arial" w:hAnsi="Arial" w:cs="Arial"/>
          <w:szCs w:val="22"/>
        </w:rPr>
        <w:t xml:space="preserve">. </w:t>
      </w:r>
      <w:r w:rsidRPr="00EE27AF">
        <w:rPr>
          <w:rFonts w:ascii="Arial" w:hAnsi="Arial" w:cs="Arial"/>
          <w:szCs w:val="22"/>
        </w:rPr>
        <w:t>results and discussion</w:t>
      </w:r>
    </w:p>
    <w:p w14:paraId="4CEAE1A4" w14:textId="77777777" w:rsidR="00790ADA" w:rsidRPr="00EE27AF" w:rsidRDefault="00790ADA" w:rsidP="004A75E5">
      <w:pPr>
        <w:pStyle w:val="Head1"/>
        <w:spacing w:after="0" w:line="360" w:lineRule="auto"/>
        <w:jc w:val="both"/>
        <w:rPr>
          <w:rFonts w:ascii="Arial" w:hAnsi="Arial" w:cs="Arial"/>
          <w:szCs w:val="22"/>
        </w:rPr>
      </w:pPr>
    </w:p>
    <w:p w14:paraId="69DF1F8D" w14:textId="0AA12C43" w:rsidR="00B72B4F" w:rsidRPr="00EE27AF" w:rsidRDefault="00B72B4F" w:rsidP="004A75E5">
      <w:pPr>
        <w:pStyle w:val="NormalWeb"/>
        <w:spacing w:line="360" w:lineRule="auto"/>
        <w:jc w:val="both"/>
        <w:rPr>
          <w:rFonts w:ascii="Arial" w:hAnsi="Arial" w:cs="Arial"/>
          <w:sz w:val="22"/>
          <w:szCs w:val="22"/>
        </w:rPr>
      </w:pPr>
      <w:r w:rsidRPr="00EE27AF">
        <w:rPr>
          <w:rFonts w:ascii="Arial" w:hAnsi="Arial" w:cs="Arial"/>
          <w:sz w:val="22"/>
          <w:szCs w:val="22"/>
        </w:rPr>
        <w:t>This case demonstrates the value of a structured diagnostic and treatment approach in the management of ocular surface squamous neoplasia, particularly in individuals with significant ultraviolet exposure. Although OSSN is a well-recogni</w:t>
      </w:r>
      <w:r w:rsidR="004A75E5">
        <w:rPr>
          <w:rFonts w:ascii="Arial" w:hAnsi="Arial" w:cs="Arial"/>
          <w:sz w:val="22"/>
          <w:szCs w:val="22"/>
        </w:rPr>
        <w:t>s</w:t>
      </w:r>
      <w:r w:rsidRPr="00EE27AF">
        <w:rPr>
          <w:rFonts w:ascii="Arial" w:hAnsi="Arial" w:cs="Arial"/>
          <w:sz w:val="22"/>
          <w:szCs w:val="22"/>
        </w:rPr>
        <w:t>ed ocular surface malignancy, its resemblance to benign lesions such as pterygium or pinguecula often results in delayed diagnosis, underscoring the importance of adjunctive imaging in clinical decision-making.</w:t>
      </w:r>
    </w:p>
    <w:p w14:paraId="2FCA4F4C" w14:textId="77777777" w:rsidR="00B72B4F" w:rsidRPr="00EE27AF" w:rsidRDefault="00B72B4F" w:rsidP="004A75E5">
      <w:pPr>
        <w:pStyle w:val="NormalWeb"/>
        <w:spacing w:line="360" w:lineRule="auto"/>
        <w:jc w:val="both"/>
        <w:rPr>
          <w:rFonts w:ascii="Arial" w:hAnsi="Arial" w:cs="Arial"/>
          <w:sz w:val="22"/>
          <w:szCs w:val="22"/>
        </w:rPr>
      </w:pPr>
      <w:r w:rsidRPr="00EE27AF">
        <w:rPr>
          <w:rFonts w:ascii="Arial" w:hAnsi="Arial" w:cs="Arial"/>
          <w:sz w:val="22"/>
          <w:szCs w:val="22"/>
        </w:rPr>
        <w:t xml:space="preserve">Anterior segment optical coherence tomography has become a useful non-invasive tool for evaluating suspected OSSN by allowing detailed assessment of epithelial thickness, reflectivity, and lesion margins. Typical AS-OCT features include epithelial hyperreflectivity, increased epithelial thickness, and a sharp </w:t>
      </w:r>
      <w:r w:rsidRPr="00EE27AF">
        <w:rPr>
          <w:rFonts w:ascii="Arial" w:hAnsi="Arial" w:cs="Arial"/>
          <w:sz w:val="22"/>
          <w:szCs w:val="22"/>
        </w:rPr>
        <w:lastRenderedPageBreak/>
        <w:t>transition between normal and abnormal epithelium, which show good correlation with histopathological findings (8). In the present case, AS-OCT confirmed epithelial confinement of the lesion with preservation of Bowman’s layer, supporting a diagnosis of pre-invasive OSSN and assisting in planning a localized surgical approach. In addition, AS-OCT served as a useful modality during follow-up for early detection of subclinical recurrence.</w:t>
      </w:r>
    </w:p>
    <w:p w14:paraId="7F50DFBC" w14:textId="77777777" w:rsidR="00B72B4F" w:rsidRPr="00EE27AF" w:rsidRDefault="00B72B4F" w:rsidP="004A75E5">
      <w:pPr>
        <w:pStyle w:val="NormalWeb"/>
        <w:spacing w:line="360" w:lineRule="auto"/>
        <w:jc w:val="both"/>
        <w:rPr>
          <w:rFonts w:ascii="Arial" w:hAnsi="Arial" w:cs="Arial"/>
          <w:sz w:val="22"/>
          <w:szCs w:val="22"/>
        </w:rPr>
      </w:pPr>
      <w:r w:rsidRPr="00EE27AF">
        <w:rPr>
          <w:rFonts w:ascii="Arial" w:hAnsi="Arial" w:cs="Arial"/>
          <w:sz w:val="22"/>
          <w:szCs w:val="22"/>
        </w:rPr>
        <w:t xml:space="preserve">Surgical excision remains the primary treatment for small, localized OSSN lesions. Adherence to the no-touch technique, along with adequate safety margins and adjunctive cryotherapy, helps minimize the risk of </w:t>
      </w:r>
      <w:proofErr w:type="spellStart"/>
      <w:r w:rsidRPr="00EE27AF">
        <w:rPr>
          <w:rFonts w:ascii="Arial" w:hAnsi="Arial" w:cs="Arial"/>
          <w:sz w:val="22"/>
          <w:szCs w:val="22"/>
        </w:rPr>
        <w:t>tumor</w:t>
      </w:r>
      <w:proofErr w:type="spellEnd"/>
      <w:r w:rsidRPr="00EE27AF">
        <w:rPr>
          <w:rFonts w:ascii="Arial" w:hAnsi="Arial" w:cs="Arial"/>
          <w:sz w:val="22"/>
          <w:szCs w:val="22"/>
        </w:rPr>
        <w:t xml:space="preserve"> seeding and incomplete excision (6). The use of intraoperative mitomycin C further enhances local disease control by targeting residual dysplastic cells at the surgical margins. Postoperative topical 5-fluorouracil has an additional role in reducing recurrence by treating microscopic residual disease, thereby allowing effective </w:t>
      </w:r>
      <w:proofErr w:type="spellStart"/>
      <w:r w:rsidRPr="00EE27AF">
        <w:rPr>
          <w:rFonts w:ascii="Arial" w:hAnsi="Arial" w:cs="Arial"/>
          <w:sz w:val="22"/>
          <w:szCs w:val="22"/>
        </w:rPr>
        <w:t>tumor</w:t>
      </w:r>
      <w:proofErr w:type="spellEnd"/>
      <w:r w:rsidRPr="00EE27AF">
        <w:rPr>
          <w:rFonts w:ascii="Arial" w:hAnsi="Arial" w:cs="Arial"/>
          <w:sz w:val="22"/>
          <w:szCs w:val="22"/>
        </w:rPr>
        <w:t xml:space="preserve"> control while preserving limbal stem cell function and ocular surface anatomy (9,10).</w:t>
      </w:r>
    </w:p>
    <w:p w14:paraId="5CA43A4A" w14:textId="77777777" w:rsidR="00B72B4F" w:rsidRPr="00EE27AF" w:rsidRDefault="00B72B4F" w:rsidP="004A75E5">
      <w:pPr>
        <w:pStyle w:val="NormalWeb"/>
        <w:spacing w:line="360" w:lineRule="auto"/>
        <w:jc w:val="both"/>
        <w:rPr>
          <w:rFonts w:ascii="Arial" w:hAnsi="Arial" w:cs="Arial"/>
          <w:sz w:val="22"/>
          <w:szCs w:val="22"/>
        </w:rPr>
      </w:pPr>
      <w:r w:rsidRPr="00EE27AF">
        <w:rPr>
          <w:rFonts w:ascii="Arial" w:hAnsi="Arial" w:cs="Arial"/>
          <w:sz w:val="22"/>
          <w:szCs w:val="22"/>
        </w:rPr>
        <w:t>In this patient, the absence of recurrence at one year of follow-up reflects the benefit of early detection, precise surgical technique, and appropriate use of adjuvan</w:t>
      </w:r>
      <w:bookmarkStart w:id="0" w:name="_GoBack"/>
      <w:bookmarkEnd w:id="0"/>
      <w:r w:rsidRPr="00EE27AF">
        <w:rPr>
          <w:rFonts w:ascii="Arial" w:hAnsi="Arial" w:cs="Arial"/>
          <w:sz w:val="22"/>
          <w:szCs w:val="22"/>
        </w:rPr>
        <w:t>t therapy. This case highlights the importance of combining careful clinical evaluation with imaging-guided management to achieve durable disease control in OSSN.</w:t>
      </w:r>
    </w:p>
    <w:p w14:paraId="235D00A0" w14:textId="77777777" w:rsidR="005A1DE4" w:rsidRPr="00EE27AF" w:rsidRDefault="005A1DE4" w:rsidP="004A75E5">
      <w:pPr>
        <w:spacing w:before="100" w:beforeAutospacing="1" w:after="100" w:afterAutospacing="1" w:line="360" w:lineRule="auto"/>
        <w:jc w:val="both"/>
        <w:rPr>
          <w:rFonts w:ascii="Arial" w:hAnsi="Arial" w:cs="Arial"/>
          <w:sz w:val="22"/>
          <w:szCs w:val="22"/>
          <w:lang w:eastAsia="en-IN"/>
        </w:rPr>
      </w:pPr>
    </w:p>
    <w:p w14:paraId="41EDC880" w14:textId="77777777" w:rsidR="00E053D0" w:rsidRPr="00EE27AF" w:rsidRDefault="00E053D0" w:rsidP="004A75E5">
      <w:pPr>
        <w:pStyle w:val="Body"/>
        <w:spacing w:after="0" w:line="360" w:lineRule="auto"/>
        <w:rPr>
          <w:rFonts w:ascii="Arial" w:hAnsi="Arial" w:cs="Arial"/>
          <w:sz w:val="22"/>
          <w:szCs w:val="22"/>
        </w:rPr>
      </w:pPr>
    </w:p>
    <w:p w14:paraId="5A31B030" w14:textId="77777777" w:rsidR="00790ADA" w:rsidRPr="00EE27AF" w:rsidRDefault="00790ADA" w:rsidP="004A75E5">
      <w:pPr>
        <w:pStyle w:val="Body"/>
        <w:spacing w:after="0" w:line="360" w:lineRule="auto"/>
        <w:rPr>
          <w:rFonts w:ascii="Arial" w:hAnsi="Arial" w:cs="Arial"/>
          <w:sz w:val="22"/>
          <w:szCs w:val="22"/>
        </w:rPr>
      </w:pPr>
    </w:p>
    <w:p w14:paraId="3F410B89" w14:textId="77777777" w:rsidR="00B01FCD" w:rsidRPr="00EE27AF" w:rsidRDefault="00000F8F" w:rsidP="004A75E5">
      <w:pPr>
        <w:pStyle w:val="ConcHead"/>
        <w:spacing w:after="0" w:line="360" w:lineRule="auto"/>
        <w:jc w:val="both"/>
        <w:rPr>
          <w:rFonts w:ascii="Arial" w:hAnsi="Arial" w:cs="Arial"/>
          <w:szCs w:val="22"/>
        </w:rPr>
      </w:pPr>
      <w:r w:rsidRPr="00EE27AF">
        <w:rPr>
          <w:rFonts w:ascii="Arial" w:hAnsi="Arial" w:cs="Arial"/>
          <w:szCs w:val="22"/>
        </w:rPr>
        <w:t xml:space="preserve">4. </w:t>
      </w:r>
      <w:r w:rsidR="00B01FCD" w:rsidRPr="00EE27AF">
        <w:rPr>
          <w:rFonts w:ascii="Arial" w:hAnsi="Arial" w:cs="Arial"/>
          <w:szCs w:val="22"/>
        </w:rPr>
        <w:t>Conclusion</w:t>
      </w:r>
    </w:p>
    <w:p w14:paraId="3D646867" w14:textId="77777777" w:rsidR="00B72B4F" w:rsidRPr="00EE27AF" w:rsidRDefault="00B72B4F" w:rsidP="004A75E5">
      <w:pPr>
        <w:pStyle w:val="NormalWeb"/>
        <w:spacing w:line="360" w:lineRule="auto"/>
        <w:jc w:val="both"/>
        <w:rPr>
          <w:rFonts w:ascii="Arial" w:hAnsi="Arial" w:cs="Arial"/>
          <w:sz w:val="22"/>
          <w:szCs w:val="22"/>
        </w:rPr>
      </w:pPr>
      <w:r w:rsidRPr="00EE27AF">
        <w:rPr>
          <w:rFonts w:ascii="Arial" w:hAnsi="Arial" w:cs="Arial"/>
          <w:sz w:val="22"/>
          <w:szCs w:val="22"/>
        </w:rPr>
        <w:t>Ocular surface squamous neoplasia should be considered in the differential diagnosis of any limbal or conjunctival lesion, particularly in individuals with chronic ultraviolet exposure or outdoor occupations. Early recognition, supported by adjunctive imaging such as AS-OCT, plays a key role in distinguishing pre-invasive disease from benign ocular surface conditions.</w:t>
      </w:r>
    </w:p>
    <w:p w14:paraId="500604E5" w14:textId="77777777" w:rsidR="00B72B4F" w:rsidRPr="00EE27AF" w:rsidRDefault="00B72B4F" w:rsidP="004A75E5">
      <w:pPr>
        <w:pStyle w:val="NormalWeb"/>
        <w:spacing w:line="360" w:lineRule="auto"/>
        <w:jc w:val="both"/>
        <w:rPr>
          <w:rFonts w:ascii="Arial" w:hAnsi="Arial" w:cs="Arial"/>
          <w:sz w:val="22"/>
          <w:szCs w:val="22"/>
        </w:rPr>
      </w:pPr>
      <w:r w:rsidRPr="00EE27AF">
        <w:rPr>
          <w:rFonts w:ascii="Arial" w:hAnsi="Arial" w:cs="Arial"/>
          <w:sz w:val="22"/>
          <w:szCs w:val="22"/>
        </w:rPr>
        <w:t>Meticulous surgical excision using the no-touch technique, combined with intraoperative mitomycin C and postoperative topical chemotherapy when indicated, provides effective disease control with low recurrence rates while preserving ocular surface integrity. This case emphasizes the importance of a multimodal, individualized approach in the management of localized OSSN to achieve optimal visual and oncological outcomes.</w:t>
      </w:r>
    </w:p>
    <w:p w14:paraId="11F697FE" w14:textId="77777777" w:rsidR="007D06E2" w:rsidRPr="00EE27AF" w:rsidRDefault="007D06E2" w:rsidP="004A75E5">
      <w:pPr>
        <w:spacing w:before="100" w:beforeAutospacing="1" w:after="100" w:afterAutospacing="1" w:line="360" w:lineRule="auto"/>
        <w:jc w:val="both"/>
        <w:rPr>
          <w:rFonts w:ascii="Arial" w:hAnsi="Arial" w:cs="Arial"/>
          <w:sz w:val="22"/>
          <w:szCs w:val="22"/>
          <w:lang w:eastAsia="en-IN"/>
        </w:rPr>
      </w:pPr>
    </w:p>
    <w:p w14:paraId="3C3193BC" w14:textId="77777777" w:rsidR="00790ADA" w:rsidRPr="00EE27AF" w:rsidRDefault="00790ADA" w:rsidP="004A75E5">
      <w:pPr>
        <w:pStyle w:val="Body"/>
        <w:spacing w:after="0" w:line="360" w:lineRule="auto"/>
        <w:rPr>
          <w:rFonts w:ascii="Arial" w:hAnsi="Arial" w:cs="Arial"/>
          <w:sz w:val="22"/>
          <w:szCs w:val="22"/>
        </w:rPr>
      </w:pPr>
    </w:p>
    <w:p w14:paraId="54FD706F" w14:textId="77777777" w:rsidR="00B01FCD" w:rsidRPr="00EE27AF" w:rsidRDefault="00B01FCD" w:rsidP="004A75E5">
      <w:pPr>
        <w:pStyle w:val="AcknHead"/>
        <w:spacing w:after="0" w:line="360" w:lineRule="auto"/>
        <w:jc w:val="both"/>
        <w:rPr>
          <w:rFonts w:ascii="Arial" w:hAnsi="Arial" w:cs="Arial"/>
          <w:szCs w:val="22"/>
        </w:rPr>
      </w:pPr>
      <w:r w:rsidRPr="00EE27AF">
        <w:rPr>
          <w:rFonts w:ascii="Arial" w:hAnsi="Arial" w:cs="Arial"/>
          <w:szCs w:val="22"/>
        </w:rPr>
        <w:lastRenderedPageBreak/>
        <w:t>Acknowledg</w:t>
      </w:r>
      <w:r w:rsidR="003E2904" w:rsidRPr="00EE27AF">
        <w:rPr>
          <w:rFonts w:ascii="Arial" w:hAnsi="Arial" w:cs="Arial"/>
          <w:szCs w:val="22"/>
        </w:rPr>
        <w:t>E</w:t>
      </w:r>
      <w:r w:rsidRPr="00EE27AF">
        <w:rPr>
          <w:rFonts w:ascii="Arial" w:hAnsi="Arial" w:cs="Arial"/>
          <w:szCs w:val="22"/>
        </w:rPr>
        <w:t>ments</w:t>
      </w:r>
    </w:p>
    <w:p w14:paraId="19CF23B3" w14:textId="77777777" w:rsidR="00790ADA" w:rsidRPr="00EE27AF" w:rsidRDefault="00790ADA" w:rsidP="004A75E5">
      <w:pPr>
        <w:pStyle w:val="AcknHead"/>
        <w:spacing w:after="0" w:line="360" w:lineRule="auto"/>
        <w:jc w:val="both"/>
        <w:rPr>
          <w:rFonts w:ascii="Arial" w:hAnsi="Arial" w:cs="Arial"/>
          <w:szCs w:val="22"/>
        </w:rPr>
      </w:pPr>
    </w:p>
    <w:p w14:paraId="3A99478B" w14:textId="77777777" w:rsidR="00315186" w:rsidRPr="00EE27AF" w:rsidRDefault="007D06E2" w:rsidP="004A75E5">
      <w:pPr>
        <w:spacing w:line="360" w:lineRule="auto"/>
        <w:jc w:val="both"/>
        <w:rPr>
          <w:rFonts w:ascii="Arial" w:hAnsi="Arial" w:cs="Arial"/>
          <w:sz w:val="22"/>
          <w:szCs w:val="22"/>
        </w:rPr>
      </w:pPr>
      <w:r w:rsidRPr="00EE27AF">
        <w:rPr>
          <w:rFonts w:ascii="Arial" w:hAnsi="Arial" w:cs="Arial"/>
          <w:sz w:val="22"/>
          <w:szCs w:val="22"/>
        </w:rPr>
        <w:t>The authors would like to acknowledge the support of the Department of Ophthalmology and the Department of Pathology for their assistance in patient management, diagnostic evaluation, and histopathological processing. We also thank the clinical and nursing staff involved in perioperative care and follow-up for their cooperation and support. The authors are grateful to the patient for providing consent to share clinical details and images for academic and educational purposes.</w:t>
      </w:r>
    </w:p>
    <w:p w14:paraId="255A7E35" w14:textId="77777777" w:rsidR="00315186" w:rsidRPr="00EE27AF" w:rsidRDefault="00315186" w:rsidP="004A75E5">
      <w:pPr>
        <w:spacing w:line="360" w:lineRule="auto"/>
        <w:jc w:val="both"/>
        <w:rPr>
          <w:rFonts w:ascii="Arial" w:hAnsi="Arial" w:cs="Arial"/>
          <w:sz w:val="22"/>
          <w:szCs w:val="22"/>
        </w:rPr>
      </w:pPr>
    </w:p>
    <w:p w14:paraId="1BA88183" w14:textId="77777777" w:rsidR="00315186" w:rsidRPr="00EE27AF" w:rsidRDefault="00315186" w:rsidP="004A75E5">
      <w:pPr>
        <w:spacing w:line="360" w:lineRule="auto"/>
        <w:jc w:val="both"/>
        <w:rPr>
          <w:rFonts w:ascii="Arial" w:hAnsi="Arial" w:cs="Arial"/>
          <w:sz w:val="22"/>
          <w:szCs w:val="22"/>
        </w:rPr>
      </w:pPr>
    </w:p>
    <w:p w14:paraId="2A7D324B" w14:textId="77777777" w:rsidR="00315186" w:rsidRPr="00EE27AF" w:rsidRDefault="00315186" w:rsidP="004A75E5">
      <w:pPr>
        <w:spacing w:line="360" w:lineRule="auto"/>
        <w:jc w:val="both"/>
        <w:rPr>
          <w:rFonts w:ascii="Arial" w:hAnsi="Arial" w:cs="Arial"/>
          <w:sz w:val="22"/>
          <w:szCs w:val="22"/>
        </w:rPr>
      </w:pPr>
    </w:p>
    <w:p w14:paraId="1FFF2776" w14:textId="77777777" w:rsidR="00E62B87" w:rsidRPr="00EE27AF" w:rsidRDefault="00E62B87" w:rsidP="004A75E5">
      <w:pPr>
        <w:pStyle w:val="Heading2"/>
        <w:spacing w:line="360" w:lineRule="auto"/>
        <w:jc w:val="both"/>
        <w:rPr>
          <w:rFonts w:ascii="Arial" w:hAnsi="Arial" w:cs="Arial"/>
          <w:color w:val="000000" w:themeColor="text1"/>
          <w:sz w:val="22"/>
          <w:szCs w:val="22"/>
        </w:rPr>
      </w:pPr>
      <w:r w:rsidRPr="00EE27AF">
        <w:rPr>
          <w:rStyle w:val="Strong"/>
          <w:rFonts w:ascii="Arial" w:hAnsi="Arial" w:cs="Arial"/>
          <w:b/>
          <w:bCs/>
          <w:color w:val="000000" w:themeColor="text1"/>
          <w:sz w:val="22"/>
          <w:szCs w:val="22"/>
        </w:rPr>
        <w:t>COMPETING INTERESTS</w:t>
      </w:r>
    </w:p>
    <w:p w14:paraId="1A99A6E5" w14:textId="77777777" w:rsidR="00E62B87" w:rsidRPr="00EE27AF" w:rsidRDefault="00E62B87" w:rsidP="004A75E5">
      <w:pPr>
        <w:pStyle w:val="NormalWeb"/>
        <w:spacing w:line="360" w:lineRule="auto"/>
        <w:jc w:val="both"/>
        <w:rPr>
          <w:rFonts w:ascii="Arial" w:hAnsi="Arial" w:cs="Arial"/>
          <w:color w:val="000000" w:themeColor="text1"/>
          <w:sz w:val="22"/>
          <w:szCs w:val="22"/>
        </w:rPr>
      </w:pPr>
      <w:r w:rsidRPr="00EE27AF">
        <w:rPr>
          <w:rFonts w:ascii="Arial" w:hAnsi="Arial" w:cs="Arial"/>
          <w:color w:val="000000" w:themeColor="text1"/>
          <w:sz w:val="22"/>
          <w:szCs w:val="22"/>
        </w:rPr>
        <w:t>The authors declare that they have no competing interests.</w:t>
      </w:r>
    </w:p>
    <w:p w14:paraId="13A46E8B" w14:textId="77777777" w:rsidR="00E62B87" w:rsidRPr="00EE27AF" w:rsidRDefault="00E62B87" w:rsidP="004A75E5">
      <w:pPr>
        <w:spacing w:line="360" w:lineRule="auto"/>
        <w:jc w:val="both"/>
        <w:rPr>
          <w:rFonts w:ascii="Arial" w:hAnsi="Arial" w:cs="Arial"/>
          <w:color w:val="000000" w:themeColor="text1"/>
          <w:sz w:val="22"/>
          <w:szCs w:val="22"/>
        </w:rPr>
      </w:pPr>
    </w:p>
    <w:p w14:paraId="26318BB0" w14:textId="77777777" w:rsidR="00E62B87" w:rsidRPr="00EE27AF" w:rsidRDefault="00E62B87" w:rsidP="004A75E5">
      <w:pPr>
        <w:pStyle w:val="Heading2"/>
        <w:spacing w:line="360" w:lineRule="auto"/>
        <w:jc w:val="both"/>
        <w:rPr>
          <w:rFonts w:ascii="Arial" w:hAnsi="Arial" w:cs="Arial"/>
          <w:color w:val="000000" w:themeColor="text1"/>
          <w:sz w:val="22"/>
          <w:szCs w:val="22"/>
        </w:rPr>
      </w:pPr>
      <w:r w:rsidRPr="00EE27AF">
        <w:rPr>
          <w:rStyle w:val="Strong"/>
          <w:rFonts w:ascii="Arial" w:hAnsi="Arial" w:cs="Arial"/>
          <w:b/>
          <w:bCs/>
          <w:color w:val="000000" w:themeColor="text1"/>
          <w:sz w:val="22"/>
          <w:szCs w:val="22"/>
        </w:rPr>
        <w:t>AUTHORS’ CONTRIBUTIONS</w:t>
      </w:r>
    </w:p>
    <w:p w14:paraId="55C89376" w14:textId="77777777" w:rsidR="00E62B87" w:rsidRPr="00EE27AF" w:rsidRDefault="00E62B87" w:rsidP="004A75E5">
      <w:pPr>
        <w:pStyle w:val="NormalWeb"/>
        <w:spacing w:line="360" w:lineRule="auto"/>
        <w:jc w:val="both"/>
        <w:rPr>
          <w:rFonts w:ascii="Arial" w:hAnsi="Arial" w:cs="Arial"/>
          <w:color w:val="000000" w:themeColor="text1"/>
          <w:sz w:val="22"/>
          <w:szCs w:val="22"/>
        </w:rPr>
      </w:pPr>
      <w:r w:rsidRPr="00EE27AF">
        <w:rPr>
          <w:rFonts w:ascii="Arial" w:hAnsi="Arial" w:cs="Arial"/>
          <w:color w:val="000000" w:themeColor="text1"/>
          <w:sz w:val="22"/>
          <w:szCs w:val="22"/>
        </w:rPr>
        <w:t xml:space="preserve">Ruchi Shukla and </w:t>
      </w:r>
      <w:proofErr w:type="spellStart"/>
      <w:r w:rsidRPr="00EE27AF">
        <w:rPr>
          <w:rFonts w:ascii="Arial" w:hAnsi="Arial" w:cs="Arial"/>
          <w:color w:val="000000" w:themeColor="text1"/>
          <w:sz w:val="22"/>
          <w:szCs w:val="22"/>
        </w:rPr>
        <w:t>Aparajita</w:t>
      </w:r>
      <w:proofErr w:type="spellEnd"/>
      <w:r w:rsidRPr="00EE27AF">
        <w:rPr>
          <w:rFonts w:ascii="Arial" w:hAnsi="Arial" w:cs="Arial"/>
          <w:color w:val="000000" w:themeColor="text1"/>
          <w:sz w:val="22"/>
          <w:szCs w:val="22"/>
        </w:rPr>
        <w:t xml:space="preserve"> Shukla were involved in clinical evaluation, diagnosis, and surgical management of the patient. </w:t>
      </w:r>
      <w:proofErr w:type="spellStart"/>
      <w:r w:rsidRPr="00EE27AF">
        <w:rPr>
          <w:rFonts w:ascii="Arial" w:hAnsi="Arial" w:cs="Arial"/>
          <w:color w:val="000000" w:themeColor="text1"/>
          <w:sz w:val="22"/>
          <w:szCs w:val="22"/>
        </w:rPr>
        <w:t>Aparajita</w:t>
      </w:r>
      <w:proofErr w:type="spellEnd"/>
      <w:r w:rsidRPr="00EE27AF">
        <w:rPr>
          <w:rFonts w:ascii="Arial" w:hAnsi="Arial" w:cs="Arial"/>
          <w:color w:val="000000" w:themeColor="text1"/>
          <w:sz w:val="22"/>
          <w:szCs w:val="22"/>
        </w:rPr>
        <w:t xml:space="preserve"> Shukla conceptualized the case report, interpreted the AS-OCT findings, supervised the study, and critically revised the manuscript as the corresponding author. </w:t>
      </w:r>
      <w:proofErr w:type="spellStart"/>
      <w:r w:rsidRPr="00EE27AF">
        <w:rPr>
          <w:rFonts w:ascii="Arial" w:hAnsi="Arial" w:cs="Arial"/>
          <w:color w:val="000000" w:themeColor="text1"/>
          <w:sz w:val="22"/>
          <w:szCs w:val="22"/>
        </w:rPr>
        <w:t>Nilakshi</w:t>
      </w:r>
      <w:proofErr w:type="spellEnd"/>
      <w:r w:rsidRPr="00EE27AF">
        <w:rPr>
          <w:rFonts w:ascii="Arial" w:hAnsi="Arial" w:cs="Arial"/>
          <w:color w:val="000000" w:themeColor="text1"/>
          <w:sz w:val="22"/>
          <w:szCs w:val="22"/>
        </w:rPr>
        <w:t xml:space="preserve"> Banerjee contributed to clinical data collection, postoperative follow-up, and literature review. Harshit Bajpai performed the histopathological examination, interpreted the pathology findings, and provided pathological inputs and images. All authors read and approved the final manuscript.</w:t>
      </w:r>
    </w:p>
    <w:p w14:paraId="0ACDFC5F" w14:textId="77777777" w:rsidR="00E62B87" w:rsidRPr="00EE27AF" w:rsidRDefault="00E62B87" w:rsidP="004A75E5">
      <w:pPr>
        <w:spacing w:line="360" w:lineRule="auto"/>
        <w:jc w:val="both"/>
        <w:rPr>
          <w:rFonts w:ascii="Arial" w:hAnsi="Arial" w:cs="Arial"/>
          <w:color w:val="000000" w:themeColor="text1"/>
          <w:sz w:val="22"/>
          <w:szCs w:val="22"/>
        </w:rPr>
      </w:pPr>
    </w:p>
    <w:p w14:paraId="1B578E92" w14:textId="77777777" w:rsidR="00E62B87" w:rsidRPr="00EE27AF" w:rsidRDefault="00E62B87" w:rsidP="004A75E5">
      <w:pPr>
        <w:pStyle w:val="Heading2"/>
        <w:spacing w:line="360" w:lineRule="auto"/>
        <w:jc w:val="both"/>
        <w:rPr>
          <w:rFonts w:ascii="Arial" w:hAnsi="Arial" w:cs="Arial"/>
          <w:color w:val="000000" w:themeColor="text1"/>
          <w:sz w:val="22"/>
          <w:szCs w:val="22"/>
        </w:rPr>
      </w:pPr>
      <w:r w:rsidRPr="00EE27AF">
        <w:rPr>
          <w:rStyle w:val="Strong"/>
          <w:rFonts w:ascii="Arial" w:hAnsi="Arial" w:cs="Arial"/>
          <w:b/>
          <w:bCs/>
          <w:color w:val="000000" w:themeColor="text1"/>
          <w:sz w:val="22"/>
          <w:szCs w:val="22"/>
        </w:rPr>
        <w:t>CONSENT</w:t>
      </w:r>
    </w:p>
    <w:p w14:paraId="09054A83" w14:textId="77777777" w:rsidR="00E62B87" w:rsidRPr="00EE27AF" w:rsidRDefault="00E62B87" w:rsidP="004A75E5">
      <w:pPr>
        <w:pStyle w:val="NormalWeb"/>
        <w:spacing w:line="360" w:lineRule="auto"/>
        <w:jc w:val="both"/>
        <w:rPr>
          <w:rFonts w:ascii="Arial" w:hAnsi="Arial" w:cs="Arial"/>
          <w:color w:val="000000" w:themeColor="text1"/>
          <w:sz w:val="22"/>
          <w:szCs w:val="22"/>
        </w:rPr>
      </w:pPr>
      <w:r w:rsidRPr="00EE27AF">
        <w:rPr>
          <w:rFonts w:ascii="Arial" w:hAnsi="Arial" w:cs="Arial"/>
          <w:color w:val="000000" w:themeColor="text1"/>
          <w:sz w:val="22"/>
          <w:szCs w:val="22"/>
        </w:rPr>
        <w:t>All authors declare that written informed consent was obtained from the patient for publication of this case report and the accompanying clinical images. A copy of the written consent is available for review by the Editorial Office/Chief Editor/Editorial Board members of this journal upon request.</w:t>
      </w:r>
    </w:p>
    <w:p w14:paraId="2B084468" w14:textId="77777777" w:rsidR="00E62B87" w:rsidRPr="00EE27AF" w:rsidRDefault="00E62B87" w:rsidP="004A75E5">
      <w:pPr>
        <w:spacing w:line="360" w:lineRule="auto"/>
        <w:jc w:val="both"/>
        <w:rPr>
          <w:rFonts w:ascii="Arial" w:hAnsi="Arial" w:cs="Arial"/>
          <w:color w:val="000000" w:themeColor="text1"/>
          <w:sz w:val="22"/>
          <w:szCs w:val="22"/>
        </w:rPr>
      </w:pPr>
    </w:p>
    <w:p w14:paraId="773501D3" w14:textId="77777777" w:rsidR="00E62B87" w:rsidRPr="00EE27AF" w:rsidRDefault="00E62B87" w:rsidP="004A75E5">
      <w:pPr>
        <w:pStyle w:val="Heading2"/>
        <w:spacing w:line="360" w:lineRule="auto"/>
        <w:jc w:val="both"/>
        <w:rPr>
          <w:rFonts w:ascii="Arial" w:hAnsi="Arial" w:cs="Arial"/>
          <w:color w:val="000000" w:themeColor="text1"/>
          <w:sz w:val="22"/>
          <w:szCs w:val="22"/>
        </w:rPr>
      </w:pPr>
      <w:r w:rsidRPr="00EE27AF">
        <w:rPr>
          <w:rStyle w:val="Strong"/>
          <w:rFonts w:ascii="Arial" w:hAnsi="Arial" w:cs="Arial"/>
          <w:b/>
          <w:bCs/>
          <w:color w:val="000000" w:themeColor="text1"/>
          <w:sz w:val="22"/>
          <w:szCs w:val="22"/>
        </w:rPr>
        <w:t>ETHICAL APPROVAL</w:t>
      </w:r>
    </w:p>
    <w:p w14:paraId="4793F6C2" w14:textId="77777777" w:rsidR="00E62B87" w:rsidRPr="00EE27AF" w:rsidRDefault="00E62B87" w:rsidP="004A75E5">
      <w:pPr>
        <w:pStyle w:val="NormalWeb"/>
        <w:spacing w:line="360" w:lineRule="auto"/>
        <w:jc w:val="both"/>
        <w:rPr>
          <w:rFonts w:ascii="Arial" w:hAnsi="Arial" w:cs="Arial"/>
          <w:color w:val="000000" w:themeColor="text1"/>
          <w:sz w:val="22"/>
          <w:szCs w:val="22"/>
        </w:rPr>
      </w:pPr>
      <w:r w:rsidRPr="00EE27AF">
        <w:rPr>
          <w:rFonts w:ascii="Arial" w:hAnsi="Arial" w:cs="Arial"/>
          <w:color w:val="000000" w:themeColor="text1"/>
          <w:sz w:val="22"/>
          <w:szCs w:val="22"/>
        </w:rPr>
        <w:t>Ethical approval was not required for this study as it is a single case report, in accordance with institutional policy. The study was conducted in compliance with the ethical principles outlined in the Declaration of Helsinki, and patient confidentiality was strictly maintained.</w:t>
      </w:r>
    </w:p>
    <w:p w14:paraId="057B800D" w14:textId="77777777" w:rsidR="000339FB" w:rsidRPr="00005ED1" w:rsidRDefault="000339FB" w:rsidP="004A75E5">
      <w:pPr>
        <w:pStyle w:val="NoSpacing"/>
        <w:jc w:val="both"/>
        <w:rPr>
          <w:rFonts w:ascii="Arial" w:hAnsi="Arial" w:cs="Arial"/>
          <w:highlight w:val="yellow"/>
        </w:rPr>
      </w:pPr>
      <w:bookmarkStart w:id="1" w:name="_Hlk198031404"/>
      <w:r w:rsidRPr="00005ED1">
        <w:rPr>
          <w:rFonts w:ascii="Arial" w:hAnsi="Arial" w:cs="Arial"/>
          <w:highlight w:val="yellow"/>
        </w:rPr>
        <w:lastRenderedPageBreak/>
        <w:t>Disclaimer (Artificial intelligence)</w:t>
      </w:r>
    </w:p>
    <w:p w14:paraId="6DEC1DE1" w14:textId="77777777" w:rsidR="000339FB" w:rsidRPr="00005ED1" w:rsidRDefault="000339FB" w:rsidP="004A75E5">
      <w:pPr>
        <w:pStyle w:val="NoSpacing"/>
        <w:jc w:val="both"/>
        <w:rPr>
          <w:rFonts w:ascii="Arial" w:hAnsi="Arial" w:cs="Arial"/>
          <w:highlight w:val="yellow"/>
        </w:rPr>
      </w:pPr>
    </w:p>
    <w:p w14:paraId="1643328F" w14:textId="77777777" w:rsidR="000339FB" w:rsidRPr="00005ED1" w:rsidRDefault="000339FB" w:rsidP="004A75E5">
      <w:pPr>
        <w:pStyle w:val="NoSpacing"/>
        <w:jc w:val="both"/>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2AF74821" w14:textId="77777777" w:rsidR="000339FB" w:rsidRDefault="000339FB" w:rsidP="004A75E5">
      <w:pPr>
        <w:pStyle w:val="NoSpacing"/>
        <w:jc w:val="both"/>
        <w:rPr>
          <w:rFonts w:ascii="Arial" w:hAnsi="Arial" w:cs="Arial"/>
        </w:rPr>
      </w:pPr>
    </w:p>
    <w:p w14:paraId="6F373CC0" w14:textId="77777777" w:rsidR="00B72B4F" w:rsidRPr="000339FB" w:rsidRDefault="00B72B4F" w:rsidP="004A75E5">
      <w:pPr>
        <w:pStyle w:val="NormalWeb"/>
        <w:spacing w:line="360" w:lineRule="auto"/>
        <w:jc w:val="both"/>
        <w:rPr>
          <w:rFonts w:ascii="Arial" w:hAnsi="Arial" w:cs="Arial"/>
          <w:color w:val="000000" w:themeColor="text1"/>
          <w:sz w:val="22"/>
          <w:szCs w:val="22"/>
          <w:lang w:val="en-US"/>
        </w:rPr>
      </w:pPr>
    </w:p>
    <w:p w14:paraId="352293D4" w14:textId="77777777" w:rsidR="00B72B4F" w:rsidRPr="00E62B87" w:rsidRDefault="00B72B4F" w:rsidP="004A75E5">
      <w:pPr>
        <w:pStyle w:val="NormalWeb"/>
        <w:spacing w:line="360" w:lineRule="auto"/>
        <w:jc w:val="both"/>
        <w:rPr>
          <w:rFonts w:ascii="Arial" w:hAnsi="Arial" w:cs="Arial"/>
          <w:color w:val="000000" w:themeColor="text1"/>
          <w:sz w:val="22"/>
          <w:szCs w:val="22"/>
        </w:rPr>
      </w:pPr>
    </w:p>
    <w:p w14:paraId="0A8DEC15" w14:textId="77777777" w:rsidR="00B01FCD" w:rsidRDefault="00B01FCD" w:rsidP="004A75E5">
      <w:pPr>
        <w:pStyle w:val="ReferHead"/>
        <w:spacing w:after="0"/>
        <w:jc w:val="both"/>
        <w:rPr>
          <w:rFonts w:ascii="Arial" w:hAnsi="Arial" w:cs="Arial"/>
        </w:rPr>
      </w:pPr>
      <w:r w:rsidRPr="00FB3A86">
        <w:rPr>
          <w:rFonts w:ascii="Arial" w:hAnsi="Arial" w:cs="Arial"/>
        </w:rPr>
        <w:t>References</w:t>
      </w:r>
    </w:p>
    <w:p w14:paraId="01A6A0B9" w14:textId="77777777" w:rsidR="00790ADA" w:rsidRPr="00FB3A86" w:rsidRDefault="00790ADA" w:rsidP="004A75E5">
      <w:pPr>
        <w:pStyle w:val="ReferHead"/>
        <w:spacing w:after="0"/>
        <w:jc w:val="both"/>
        <w:rPr>
          <w:rFonts w:ascii="Arial" w:hAnsi="Arial" w:cs="Arial"/>
        </w:rPr>
      </w:pPr>
    </w:p>
    <w:p w14:paraId="70708A6F" w14:textId="77777777" w:rsidR="00876CFB" w:rsidRPr="00876CFB" w:rsidRDefault="00876CFB" w:rsidP="004A75E5">
      <w:pPr>
        <w:pStyle w:val="ListParagraph"/>
        <w:numPr>
          <w:ilvl w:val="0"/>
          <w:numId w:val="36"/>
        </w:numPr>
        <w:spacing w:before="100" w:beforeAutospacing="1" w:after="100" w:afterAutospacing="1" w:line="240" w:lineRule="auto"/>
        <w:jc w:val="both"/>
        <w:rPr>
          <w:rFonts w:ascii="Arial" w:eastAsia="Times New Roman" w:hAnsi="Arial" w:cs="Arial"/>
          <w:lang w:eastAsia="en-IN"/>
        </w:rPr>
      </w:pPr>
      <w:r w:rsidRPr="00876CFB">
        <w:rPr>
          <w:rFonts w:ascii="Arial" w:eastAsia="Times New Roman" w:hAnsi="Arial" w:cs="Arial"/>
          <w:lang w:eastAsia="en-IN"/>
        </w:rPr>
        <w:t xml:space="preserve">Shields CL, </w:t>
      </w:r>
      <w:proofErr w:type="spellStart"/>
      <w:r w:rsidRPr="00876CFB">
        <w:rPr>
          <w:rFonts w:ascii="Arial" w:eastAsia="Times New Roman" w:hAnsi="Arial" w:cs="Arial"/>
          <w:lang w:eastAsia="en-IN"/>
        </w:rPr>
        <w:t>Alset</w:t>
      </w:r>
      <w:proofErr w:type="spellEnd"/>
      <w:r w:rsidRPr="00876CFB">
        <w:rPr>
          <w:rFonts w:ascii="Arial" w:eastAsia="Times New Roman" w:hAnsi="Arial" w:cs="Arial"/>
          <w:lang w:eastAsia="en-IN"/>
        </w:rPr>
        <w:t xml:space="preserve"> AE, Boal NS, et al. (2017). Conjunctival tumours in 5002 cases: comparative analysis of benign and malignant counterparts. Am J </w:t>
      </w:r>
      <w:proofErr w:type="spellStart"/>
      <w:r w:rsidRPr="00876CFB">
        <w:rPr>
          <w:rFonts w:ascii="Arial" w:eastAsia="Times New Roman" w:hAnsi="Arial" w:cs="Arial"/>
          <w:lang w:eastAsia="en-IN"/>
        </w:rPr>
        <w:t>Ophthalmol</w:t>
      </w:r>
      <w:proofErr w:type="spellEnd"/>
      <w:r w:rsidRPr="00876CFB">
        <w:rPr>
          <w:rFonts w:ascii="Arial" w:eastAsia="Times New Roman" w:hAnsi="Arial" w:cs="Arial"/>
          <w:lang w:eastAsia="en-IN"/>
        </w:rPr>
        <w:t>, 173, 106–133.</w:t>
      </w:r>
    </w:p>
    <w:p w14:paraId="287BAB21" w14:textId="77777777" w:rsidR="00876CFB" w:rsidRPr="00876CFB" w:rsidRDefault="00876CFB" w:rsidP="004A75E5">
      <w:pPr>
        <w:pStyle w:val="ListParagraph"/>
        <w:numPr>
          <w:ilvl w:val="0"/>
          <w:numId w:val="36"/>
        </w:numPr>
        <w:spacing w:before="100" w:beforeAutospacing="1" w:after="100" w:afterAutospacing="1" w:line="240" w:lineRule="auto"/>
        <w:jc w:val="both"/>
        <w:rPr>
          <w:rFonts w:ascii="Arial" w:eastAsia="Times New Roman" w:hAnsi="Arial" w:cs="Arial"/>
          <w:lang w:eastAsia="en-IN"/>
        </w:rPr>
      </w:pPr>
      <w:r w:rsidRPr="00876CFB">
        <w:rPr>
          <w:rFonts w:ascii="Arial" w:eastAsia="Times New Roman" w:hAnsi="Arial" w:cs="Arial"/>
          <w:lang w:eastAsia="en-IN"/>
        </w:rPr>
        <w:t xml:space="preserve">Moon CS, </w:t>
      </w:r>
      <w:proofErr w:type="spellStart"/>
      <w:r w:rsidRPr="00876CFB">
        <w:rPr>
          <w:rFonts w:ascii="Arial" w:eastAsia="Times New Roman" w:hAnsi="Arial" w:cs="Arial"/>
          <w:lang w:eastAsia="en-IN"/>
        </w:rPr>
        <w:t>Nanji</w:t>
      </w:r>
      <w:proofErr w:type="spellEnd"/>
      <w:r w:rsidRPr="00876CFB">
        <w:rPr>
          <w:rFonts w:ascii="Arial" w:eastAsia="Times New Roman" w:hAnsi="Arial" w:cs="Arial"/>
          <w:lang w:eastAsia="en-IN"/>
        </w:rPr>
        <w:t xml:space="preserve"> AA, </w:t>
      </w:r>
      <w:proofErr w:type="spellStart"/>
      <w:r w:rsidRPr="00876CFB">
        <w:rPr>
          <w:rFonts w:ascii="Arial" w:eastAsia="Times New Roman" w:hAnsi="Arial" w:cs="Arial"/>
          <w:lang w:eastAsia="en-IN"/>
        </w:rPr>
        <w:t>Galor</w:t>
      </w:r>
      <w:proofErr w:type="spellEnd"/>
      <w:r w:rsidRPr="00876CFB">
        <w:rPr>
          <w:rFonts w:ascii="Arial" w:eastAsia="Times New Roman" w:hAnsi="Arial" w:cs="Arial"/>
          <w:lang w:eastAsia="en-IN"/>
        </w:rPr>
        <w:t xml:space="preserve"> A, McCollister KE, Karp CL. (2016). Surgical versus medical treatment of ocular surface squamous neoplasia: a cost comparison. Ophthalmology, 123(3), 497–504.</w:t>
      </w:r>
    </w:p>
    <w:p w14:paraId="2B60D819" w14:textId="77777777" w:rsidR="00876CFB" w:rsidRPr="00876CFB" w:rsidRDefault="00876CFB" w:rsidP="004A75E5">
      <w:pPr>
        <w:pStyle w:val="ListParagraph"/>
        <w:numPr>
          <w:ilvl w:val="0"/>
          <w:numId w:val="36"/>
        </w:numPr>
        <w:spacing w:before="100" w:beforeAutospacing="1" w:after="100" w:afterAutospacing="1" w:line="240" w:lineRule="auto"/>
        <w:jc w:val="both"/>
        <w:rPr>
          <w:rFonts w:ascii="Arial" w:eastAsia="Times New Roman" w:hAnsi="Arial" w:cs="Arial"/>
          <w:lang w:eastAsia="en-IN"/>
        </w:rPr>
      </w:pPr>
      <w:r w:rsidRPr="003E1E28">
        <w:rPr>
          <w:rFonts w:ascii="Arial" w:eastAsia="Times New Roman" w:hAnsi="Arial" w:cs="Arial"/>
          <w:lang w:val="nl-BE" w:eastAsia="en-IN"/>
        </w:rPr>
        <w:t xml:space="preserve">Patel U, Karp CL, Dubovy SR. </w:t>
      </w:r>
      <w:r w:rsidRPr="00876CFB">
        <w:rPr>
          <w:rFonts w:ascii="Arial" w:eastAsia="Times New Roman" w:hAnsi="Arial" w:cs="Arial"/>
          <w:lang w:eastAsia="en-IN"/>
        </w:rPr>
        <w:t xml:space="preserve">(2021). Update on the management of ocular surface squamous neoplasia. </w:t>
      </w:r>
      <w:proofErr w:type="spellStart"/>
      <w:r w:rsidRPr="00876CFB">
        <w:rPr>
          <w:rFonts w:ascii="Arial" w:eastAsia="Times New Roman" w:hAnsi="Arial" w:cs="Arial"/>
          <w:lang w:eastAsia="en-IN"/>
        </w:rPr>
        <w:t>Curr</w:t>
      </w:r>
      <w:proofErr w:type="spellEnd"/>
      <w:r w:rsidRPr="00876CFB">
        <w:rPr>
          <w:rFonts w:ascii="Arial" w:eastAsia="Times New Roman" w:hAnsi="Arial" w:cs="Arial"/>
          <w:lang w:eastAsia="en-IN"/>
        </w:rPr>
        <w:t xml:space="preserve"> </w:t>
      </w:r>
      <w:proofErr w:type="spellStart"/>
      <w:r w:rsidRPr="00876CFB">
        <w:rPr>
          <w:rFonts w:ascii="Arial" w:eastAsia="Times New Roman" w:hAnsi="Arial" w:cs="Arial"/>
          <w:lang w:eastAsia="en-IN"/>
        </w:rPr>
        <w:t>Ophthalmol</w:t>
      </w:r>
      <w:proofErr w:type="spellEnd"/>
      <w:r w:rsidRPr="00876CFB">
        <w:rPr>
          <w:rFonts w:ascii="Arial" w:eastAsia="Times New Roman" w:hAnsi="Arial" w:cs="Arial"/>
          <w:lang w:eastAsia="en-IN"/>
        </w:rPr>
        <w:t xml:space="preserve"> Rep, 9(1), 7–15.</w:t>
      </w:r>
    </w:p>
    <w:p w14:paraId="3D4EF905" w14:textId="77777777" w:rsidR="00876CFB" w:rsidRPr="00876CFB" w:rsidRDefault="00876CFB" w:rsidP="004A75E5">
      <w:pPr>
        <w:pStyle w:val="ListParagraph"/>
        <w:numPr>
          <w:ilvl w:val="0"/>
          <w:numId w:val="36"/>
        </w:numPr>
        <w:spacing w:before="100" w:beforeAutospacing="1" w:after="100" w:afterAutospacing="1" w:line="240" w:lineRule="auto"/>
        <w:jc w:val="both"/>
        <w:rPr>
          <w:rFonts w:ascii="Arial" w:eastAsia="Times New Roman" w:hAnsi="Arial" w:cs="Arial"/>
          <w:lang w:eastAsia="en-IN"/>
        </w:rPr>
      </w:pPr>
      <w:r w:rsidRPr="00876CFB">
        <w:rPr>
          <w:rFonts w:ascii="Arial" w:eastAsia="Times New Roman" w:hAnsi="Arial" w:cs="Arial"/>
          <w:lang w:eastAsia="en-IN"/>
        </w:rPr>
        <w:t xml:space="preserve">Chang V, Bunya VY, Wells J, Engelmann A, </w:t>
      </w:r>
      <w:proofErr w:type="spellStart"/>
      <w:r w:rsidRPr="00876CFB">
        <w:rPr>
          <w:rFonts w:ascii="Arial" w:eastAsia="Times New Roman" w:hAnsi="Arial" w:cs="Arial"/>
          <w:lang w:eastAsia="en-IN"/>
        </w:rPr>
        <w:t>Gurnani</w:t>
      </w:r>
      <w:proofErr w:type="spellEnd"/>
      <w:r w:rsidRPr="00876CFB">
        <w:rPr>
          <w:rFonts w:ascii="Arial" w:eastAsia="Times New Roman" w:hAnsi="Arial" w:cs="Arial"/>
          <w:lang w:eastAsia="en-IN"/>
        </w:rPr>
        <w:t xml:space="preserve"> B, Lally S. (2025). Ocular surface squamous neoplasia. </w:t>
      </w:r>
      <w:proofErr w:type="spellStart"/>
      <w:r w:rsidRPr="00876CFB">
        <w:rPr>
          <w:rFonts w:ascii="Arial" w:eastAsia="Times New Roman" w:hAnsi="Arial" w:cs="Arial"/>
          <w:lang w:eastAsia="en-IN"/>
        </w:rPr>
        <w:t>EyeWiki</w:t>
      </w:r>
      <w:proofErr w:type="spellEnd"/>
      <w:r w:rsidRPr="00876CFB">
        <w:rPr>
          <w:rFonts w:ascii="Arial" w:eastAsia="Times New Roman" w:hAnsi="Arial" w:cs="Arial"/>
          <w:lang w:eastAsia="en-IN"/>
        </w:rPr>
        <w:t>. American Academy of Ophthalmology.</w:t>
      </w:r>
    </w:p>
    <w:p w14:paraId="19B408AA" w14:textId="77777777" w:rsidR="00876CFB" w:rsidRPr="00876CFB" w:rsidRDefault="00876CFB" w:rsidP="004A75E5">
      <w:pPr>
        <w:pStyle w:val="ListParagraph"/>
        <w:numPr>
          <w:ilvl w:val="0"/>
          <w:numId w:val="36"/>
        </w:numPr>
        <w:spacing w:before="100" w:beforeAutospacing="1" w:after="100" w:afterAutospacing="1" w:line="240" w:lineRule="auto"/>
        <w:jc w:val="both"/>
        <w:rPr>
          <w:rFonts w:ascii="Arial" w:eastAsia="Times New Roman" w:hAnsi="Arial" w:cs="Arial"/>
          <w:lang w:eastAsia="en-IN"/>
        </w:rPr>
      </w:pPr>
      <w:proofErr w:type="spellStart"/>
      <w:r w:rsidRPr="00876CFB">
        <w:rPr>
          <w:rFonts w:ascii="Arial" w:eastAsia="Times New Roman" w:hAnsi="Arial" w:cs="Arial"/>
          <w:lang w:eastAsia="en-IN"/>
        </w:rPr>
        <w:t>Venkateswaran</w:t>
      </w:r>
      <w:proofErr w:type="spellEnd"/>
      <w:r w:rsidRPr="00876CFB">
        <w:rPr>
          <w:rFonts w:ascii="Arial" w:eastAsia="Times New Roman" w:hAnsi="Arial" w:cs="Arial"/>
          <w:lang w:eastAsia="en-IN"/>
        </w:rPr>
        <w:t xml:space="preserve"> N, Mercado C, </w:t>
      </w:r>
      <w:proofErr w:type="spellStart"/>
      <w:r w:rsidRPr="00876CFB">
        <w:rPr>
          <w:rFonts w:ascii="Arial" w:eastAsia="Times New Roman" w:hAnsi="Arial" w:cs="Arial"/>
          <w:lang w:eastAsia="en-IN"/>
        </w:rPr>
        <w:t>Galor</w:t>
      </w:r>
      <w:proofErr w:type="spellEnd"/>
      <w:r w:rsidRPr="00876CFB">
        <w:rPr>
          <w:rFonts w:ascii="Arial" w:eastAsia="Times New Roman" w:hAnsi="Arial" w:cs="Arial"/>
          <w:lang w:eastAsia="en-IN"/>
        </w:rPr>
        <w:t xml:space="preserve"> A, Karp CL, Bunya VY, </w:t>
      </w:r>
      <w:proofErr w:type="spellStart"/>
      <w:r w:rsidRPr="00876CFB">
        <w:rPr>
          <w:rFonts w:ascii="Arial" w:eastAsia="Times New Roman" w:hAnsi="Arial" w:cs="Arial"/>
          <w:lang w:eastAsia="en-IN"/>
        </w:rPr>
        <w:t>Nallasamy</w:t>
      </w:r>
      <w:proofErr w:type="spellEnd"/>
      <w:r w:rsidRPr="00876CFB">
        <w:rPr>
          <w:rFonts w:ascii="Arial" w:eastAsia="Times New Roman" w:hAnsi="Arial" w:cs="Arial"/>
          <w:lang w:eastAsia="en-IN"/>
        </w:rPr>
        <w:t xml:space="preserve"> N, Ahmad S, </w:t>
      </w:r>
      <w:proofErr w:type="spellStart"/>
      <w:r w:rsidRPr="00876CFB">
        <w:rPr>
          <w:rFonts w:ascii="Arial" w:eastAsia="Times New Roman" w:hAnsi="Arial" w:cs="Arial"/>
          <w:lang w:eastAsia="en-IN"/>
        </w:rPr>
        <w:t>Dhanya</w:t>
      </w:r>
      <w:proofErr w:type="spellEnd"/>
      <w:r w:rsidRPr="00876CFB">
        <w:rPr>
          <w:rFonts w:ascii="Arial" w:eastAsia="Times New Roman" w:hAnsi="Arial" w:cs="Arial"/>
          <w:lang w:eastAsia="en-IN"/>
        </w:rPr>
        <w:t xml:space="preserve"> SD. (2024). Anterior segment optical coherence tomography for various ocular surface lesions and corneal pathologies. </w:t>
      </w:r>
      <w:proofErr w:type="spellStart"/>
      <w:r w:rsidRPr="00876CFB">
        <w:rPr>
          <w:rFonts w:ascii="Arial" w:eastAsia="Times New Roman" w:hAnsi="Arial" w:cs="Arial"/>
          <w:lang w:eastAsia="en-IN"/>
        </w:rPr>
        <w:t>EyeWiki</w:t>
      </w:r>
      <w:proofErr w:type="spellEnd"/>
      <w:r w:rsidRPr="00876CFB">
        <w:rPr>
          <w:rFonts w:ascii="Arial" w:eastAsia="Times New Roman" w:hAnsi="Arial" w:cs="Arial"/>
          <w:lang w:eastAsia="en-IN"/>
        </w:rPr>
        <w:t>. American Academy of Ophthalmology.</w:t>
      </w:r>
    </w:p>
    <w:p w14:paraId="2ABD1F0D" w14:textId="77777777" w:rsidR="00876CFB" w:rsidRPr="00876CFB" w:rsidRDefault="00876CFB" w:rsidP="004A75E5">
      <w:pPr>
        <w:pStyle w:val="ListParagraph"/>
        <w:numPr>
          <w:ilvl w:val="0"/>
          <w:numId w:val="36"/>
        </w:numPr>
        <w:spacing w:before="100" w:beforeAutospacing="1" w:after="100" w:afterAutospacing="1" w:line="240" w:lineRule="auto"/>
        <w:jc w:val="both"/>
        <w:rPr>
          <w:rFonts w:ascii="Arial" w:eastAsia="Times New Roman" w:hAnsi="Arial" w:cs="Arial"/>
          <w:lang w:eastAsia="en-IN"/>
        </w:rPr>
      </w:pPr>
      <w:r w:rsidRPr="003E1E28">
        <w:rPr>
          <w:rFonts w:ascii="Arial" w:eastAsia="Times New Roman" w:hAnsi="Arial" w:cs="Arial"/>
          <w:lang w:val="nl-BE" w:eastAsia="en-IN"/>
        </w:rPr>
        <w:t xml:space="preserve">Shields CL, Shields JA, De Potter P. (1997). </w:t>
      </w:r>
      <w:r w:rsidRPr="00876CFB">
        <w:rPr>
          <w:rFonts w:ascii="Arial" w:eastAsia="Times New Roman" w:hAnsi="Arial" w:cs="Arial"/>
          <w:lang w:eastAsia="en-IN"/>
        </w:rPr>
        <w:t xml:space="preserve">Surgical management of conjunctival </w:t>
      </w:r>
      <w:proofErr w:type="spellStart"/>
      <w:r w:rsidRPr="00876CFB">
        <w:rPr>
          <w:rFonts w:ascii="Arial" w:eastAsia="Times New Roman" w:hAnsi="Arial" w:cs="Arial"/>
          <w:lang w:eastAsia="en-IN"/>
        </w:rPr>
        <w:t>tumors</w:t>
      </w:r>
      <w:proofErr w:type="spellEnd"/>
      <w:r w:rsidRPr="00876CFB">
        <w:rPr>
          <w:rFonts w:ascii="Arial" w:eastAsia="Times New Roman" w:hAnsi="Arial" w:cs="Arial"/>
          <w:lang w:eastAsia="en-IN"/>
        </w:rPr>
        <w:t xml:space="preserve">: the “no-touch” technique. Arch </w:t>
      </w:r>
      <w:proofErr w:type="spellStart"/>
      <w:r w:rsidRPr="00876CFB">
        <w:rPr>
          <w:rFonts w:ascii="Arial" w:eastAsia="Times New Roman" w:hAnsi="Arial" w:cs="Arial"/>
          <w:lang w:eastAsia="en-IN"/>
        </w:rPr>
        <w:t>Ophthalmol</w:t>
      </w:r>
      <w:proofErr w:type="spellEnd"/>
      <w:r w:rsidRPr="00876CFB">
        <w:rPr>
          <w:rFonts w:ascii="Arial" w:eastAsia="Times New Roman" w:hAnsi="Arial" w:cs="Arial"/>
          <w:lang w:eastAsia="en-IN"/>
        </w:rPr>
        <w:t>, 115(6), 808–815.</w:t>
      </w:r>
    </w:p>
    <w:p w14:paraId="345CFF87" w14:textId="77777777" w:rsidR="00876CFB" w:rsidRPr="00876CFB" w:rsidRDefault="00876CFB" w:rsidP="004A75E5">
      <w:pPr>
        <w:pStyle w:val="ListParagraph"/>
        <w:numPr>
          <w:ilvl w:val="0"/>
          <w:numId w:val="36"/>
        </w:numPr>
        <w:spacing w:before="100" w:beforeAutospacing="1" w:after="100" w:afterAutospacing="1" w:line="240" w:lineRule="auto"/>
        <w:jc w:val="both"/>
        <w:rPr>
          <w:rFonts w:ascii="Arial" w:eastAsia="Times New Roman" w:hAnsi="Arial" w:cs="Arial"/>
          <w:lang w:eastAsia="en-IN"/>
        </w:rPr>
      </w:pPr>
      <w:proofErr w:type="spellStart"/>
      <w:r w:rsidRPr="00876CFB">
        <w:rPr>
          <w:rFonts w:ascii="Arial" w:eastAsia="Times New Roman" w:hAnsi="Arial" w:cs="Arial"/>
          <w:lang w:eastAsia="en-IN"/>
        </w:rPr>
        <w:t>Parrozzani</w:t>
      </w:r>
      <w:proofErr w:type="spellEnd"/>
      <w:r w:rsidRPr="00876CFB">
        <w:rPr>
          <w:rFonts w:ascii="Arial" w:eastAsia="Times New Roman" w:hAnsi="Arial" w:cs="Arial"/>
          <w:lang w:eastAsia="en-IN"/>
        </w:rPr>
        <w:t xml:space="preserve"> R, </w:t>
      </w:r>
      <w:proofErr w:type="spellStart"/>
      <w:r w:rsidRPr="00876CFB">
        <w:rPr>
          <w:rFonts w:ascii="Arial" w:eastAsia="Times New Roman" w:hAnsi="Arial" w:cs="Arial"/>
          <w:lang w:eastAsia="en-IN"/>
        </w:rPr>
        <w:t>Lazzarini</w:t>
      </w:r>
      <w:proofErr w:type="spellEnd"/>
      <w:r w:rsidRPr="00876CFB">
        <w:rPr>
          <w:rFonts w:ascii="Arial" w:eastAsia="Times New Roman" w:hAnsi="Arial" w:cs="Arial"/>
          <w:lang w:eastAsia="en-IN"/>
        </w:rPr>
        <w:t xml:space="preserve"> D, </w:t>
      </w:r>
      <w:proofErr w:type="spellStart"/>
      <w:r w:rsidRPr="00876CFB">
        <w:rPr>
          <w:rFonts w:ascii="Arial" w:eastAsia="Times New Roman" w:hAnsi="Arial" w:cs="Arial"/>
          <w:lang w:eastAsia="en-IN"/>
        </w:rPr>
        <w:t>Alemany</w:t>
      </w:r>
      <w:proofErr w:type="spellEnd"/>
      <w:r w:rsidRPr="00876CFB">
        <w:rPr>
          <w:rFonts w:ascii="Arial" w:eastAsia="Times New Roman" w:hAnsi="Arial" w:cs="Arial"/>
          <w:lang w:eastAsia="en-IN"/>
        </w:rPr>
        <w:t xml:space="preserve">-Rubio E, Urban F, </w:t>
      </w:r>
      <w:proofErr w:type="spellStart"/>
      <w:r w:rsidRPr="00876CFB">
        <w:rPr>
          <w:rFonts w:ascii="Arial" w:eastAsia="Times New Roman" w:hAnsi="Arial" w:cs="Arial"/>
          <w:lang w:eastAsia="en-IN"/>
        </w:rPr>
        <w:t>Midena</w:t>
      </w:r>
      <w:proofErr w:type="spellEnd"/>
      <w:r w:rsidRPr="00876CFB">
        <w:rPr>
          <w:rFonts w:ascii="Arial" w:eastAsia="Times New Roman" w:hAnsi="Arial" w:cs="Arial"/>
          <w:lang w:eastAsia="en-IN"/>
        </w:rPr>
        <w:t xml:space="preserve"> E. (2011). Topical 1% 5-fluorouracil in ocular surface squamous neoplasia: a long-term safety study. Br J </w:t>
      </w:r>
      <w:proofErr w:type="spellStart"/>
      <w:r w:rsidRPr="00876CFB">
        <w:rPr>
          <w:rFonts w:ascii="Arial" w:eastAsia="Times New Roman" w:hAnsi="Arial" w:cs="Arial"/>
          <w:lang w:eastAsia="en-IN"/>
        </w:rPr>
        <w:t>Ophthalmol</w:t>
      </w:r>
      <w:proofErr w:type="spellEnd"/>
      <w:r w:rsidRPr="00876CFB">
        <w:rPr>
          <w:rFonts w:ascii="Arial" w:eastAsia="Times New Roman" w:hAnsi="Arial" w:cs="Arial"/>
          <w:lang w:eastAsia="en-IN"/>
        </w:rPr>
        <w:t>, 95(3), 355–359.</w:t>
      </w:r>
    </w:p>
    <w:p w14:paraId="6EC3B4A8" w14:textId="77777777" w:rsidR="00876CFB" w:rsidRPr="00876CFB" w:rsidRDefault="00876CFB" w:rsidP="004A75E5">
      <w:pPr>
        <w:pStyle w:val="ListParagraph"/>
        <w:numPr>
          <w:ilvl w:val="0"/>
          <w:numId w:val="36"/>
        </w:numPr>
        <w:spacing w:before="100" w:beforeAutospacing="1" w:after="100" w:afterAutospacing="1" w:line="240" w:lineRule="auto"/>
        <w:jc w:val="both"/>
        <w:rPr>
          <w:rFonts w:ascii="Arial" w:eastAsia="Times New Roman" w:hAnsi="Arial" w:cs="Arial"/>
          <w:lang w:eastAsia="en-IN"/>
        </w:rPr>
      </w:pPr>
      <w:r w:rsidRPr="00876CFB">
        <w:rPr>
          <w:rFonts w:ascii="Arial" w:eastAsia="Times New Roman" w:hAnsi="Arial" w:cs="Arial"/>
          <w:lang w:eastAsia="en-IN"/>
        </w:rPr>
        <w:t xml:space="preserve">Thomas BJ, </w:t>
      </w:r>
      <w:proofErr w:type="spellStart"/>
      <w:r w:rsidRPr="00876CFB">
        <w:rPr>
          <w:rFonts w:ascii="Arial" w:eastAsia="Times New Roman" w:hAnsi="Arial" w:cs="Arial"/>
          <w:lang w:eastAsia="en-IN"/>
        </w:rPr>
        <w:t>Galor</w:t>
      </w:r>
      <w:proofErr w:type="spellEnd"/>
      <w:r w:rsidRPr="00876CFB">
        <w:rPr>
          <w:rFonts w:ascii="Arial" w:eastAsia="Times New Roman" w:hAnsi="Arial" w:cs="Arial"/>
          <w:lang w:eastAsia="en-IN"/>
        </w:rPr>
        <w:t xml:space="preserve"> A, </w:t>
      </w:r>
      <w:proofErr w:type="spellStart"/>
      <w:r w:rsidRPr="00876CFB">
        <w:rPr>
          <w:rFonts w:ascii="Arial" w:eastAsia="Times New Roman" w:hAnsi="Arial" w:cs="Arial"/>
          <w:lang w:eastAsia="en-IN"/>
        </w:rPr>
        <w:t>Nanji</w:t>
      </w:r>
      <w:proofErr w:type="spellEnd"/>
      <w:r w:rsidRPr="00876CFB">
        <w:rPr>
          <w:rFonts w:ascii="Arial" w:eastAsia="Times New Roman" w:hAnsi="Arial" w:cs="Arial"/>
          <w:lang w:eastAsia="en-IN"/>
        </w:rPr>
        <w:t xml:space="preserve"> AA, El Sayyad F, Wang J, </w:t>
      </w:r>
      <w:proofErr w:type="spellStart"/>
      <w:r w:rsidRPr="00876CFB">
        <w:rPr>
          <w:rFonts w:ascii="Arial" w:eastAsia="Times New Roman" w:hAnsi="Arial" w:cs="Arial"/>
          <w:lang w:eastAsia="en-IN"/>
        </w:rPr>
        <w:t>Dubovy</w:t>
      </w:r>
      <w:proofErr w:type="spellEnd"/>
      <w:r w:rsidRPr="00876CFB">
        <w:rPr>
          <w:rFonts w:ascii="Arial" w:eastAsia="Times New Roman" w:hAnsi="Arial" w:cs="Arial"/>
          <w:lang w:eastAsia="en-IN"/>
        </w:rPr>
        <w:t xml:space="preserve"> SR, </w:t>
      </w:r>
      <w:proofErr w:type="spellStart"/>
      <w:r w:rsidRPr="00876CFB">
        <w:rPr>
          <w:rFonts w:ascii="Arial" w:eastAsia="Times New Roman" w:hAnsi="Arial" w:cs="Arial"/>
          <w:lang w:eastAsia="en-IN"/>
        </w:rPr>
        <w:t>Joag</w:t>
      </w:r>
      <w:proofErr w:type="spellEnd"/>
      <w:r w:rsidRPr="00876CFB">
        <w:rPr>
          <w:rFonts w:ascii="Arial" w:eastAsia="Times New Roman" w:hAnsi="Arial" w:cs="Arial"/>
          <w:lang w:eastAsia="en-IN"/>
        </w:rPr>
        <w:t xml:space="preserve"> MG, Karp CL. (2014). </w:t>
      </w:r>
      <w:proofErr w:type="spellStart"/>
      <w:r w:rsidRPr="00876CFB">
        <w:rPr>
          <w:rFonts w:ascii="Arial" w:eastAsia="Times New Roman" w:hAnsi="Arial" w:cs="Arial"/>
          <w:lang w:eastAsia="en-IN"/>
        </w:rPr>
        <w:t>Ultra high-resolution</w:t>
      </w:r>
      <w:proofErr w:type="spellEnd"/>
      <w:r w:rsidRPr="00876CFB">
        <w:rPr>
          <w:rFonts w:ascii="Arial" w:eastAsia="Times New Roman" w:hAnsi="Arial" w:cs="Arial"/>
          <w:lang w:eastAsia="en-IN"/>
        </w:rPr>
        <w:t xml:space="preserve"> anterior segment optical coherence tomography in the diagnosis and management of ocular surface squamous neoplasia. </w:t>
      </w:r>
      <w:proofErr w:type="spellStart"/>
      <w:r w:rsidRPr="00876CFB">
        <w:rPr>
          <w:rFonts w:ascii="Arial" w:eastAsia="Times New Roman" w:hAnsi="Arial" w:cs="Arial"/>
          <w:lang w:eastAsia="en-IN"/>
        </w:rPr>
        <w:t>Ocul</w:t>
      </w:r>
      <w:proofErr w:type="spellEnd"/>
      <w:r w:rsidRPr="00876CFB">
        <w:rPr>
          <w:rFonts w:ascii="Arial" w:eastAsia="Times New Roman" w:hAnsi="Arial" w:cs="Arial"/>
          <w:lang w:eastAsia="en-IN"/>
        </w:rPr>
        <w:t xml:space="preserve"> Surf, 12(1), 46–58.</w:t>
      </w:r>
    </w:p>
    <w:p w14:paraId="64F69055" w14:textId="77777777" w:rsidR="00876CFB" w:rsidRPr="00876CFB" w:rsidRDefault="00876CFB" w:rsidP="004A75E5">
      <w:pPr>
        <w:pStyle w:val="ListParagraph"/>
        <w:numPr>
          <w:ilvl w:val="0"/>
          <w:numId w:val="36"/>
        </w:numPr>
        <w:spacing w:before="100" w:beforeAutospacing="1" w:after="100" w:afterAutospacing="1" w:line="240" w:lineRule="auto"/>
        <w:jc w:val="both"/>
        <w:rPr>
          <w:rFonts w:ascii="Arial" w:eastAsia="Times New Roman" w:hAnsi="Arial" w:cs="Arial"/>
          <w:lang w:eastAsia="en-IN"/>
        </w:rPr>
      </w:pPr>
      <w:proofErr w:type="spellStart"/>
      <w:r w:rsidRPr="00876CFB">
        <w:rPr>
          <w:rFonts w:ascii="Arial" w:eastAsia="Times New Roman" w:hAnsi="Arial" w:cs="Arial"/>
          <w:lang w:eastAsia="en-IN"/>
        </w:rPr>
        <w:t>Kozma</w:t>
      </w:r>
      <w:proofErr w:type="spellEnd"/>
      <w:r w:rsidRPr="00876CFB">
        <w:rPr>
          <w:rFonts w:ascii="Arial" w:eastAsia="Times New Roman" w:hAnsi="Arial" w:cs="Arial"/>
          <w:lang w:eastAsia="en-IN"/>
        </w:rPr>
        <w:t xml:space="preserve"> K, </w:t>
      </w:r>
      <w:proofErr w:type="spellStart"/>
      <w:r w:rsidRPr="00876CFB">
        <w:rPr>
          <w:rFonts w:ascii="Arial" w:eastAsia="Times New Roman" w:hAnsi="Arial" w:cs="Arial"/>
          <w:lang w:eastAsia="en-IN"/>
        </w:rPr>
        <w:t>Dömötör</w:t>
      </w:r>
      <w:proofErr w:type="spellEnd"/>
      <w:r w:rsidRPr="00876CFB">
        <w:rPr>
          <w:rFonts w:ascii="Arial" w:eastAsia="Times New Roman" w:hAnsi="Arial" w:cs="Arial"/>
          <w:lang w:eastAsia="en-IN"/>
        </w:rPr>
        <w:t xml:space="preserve"> ZR, </w:t>
      </w:r>
      <w:proofErr w:type="spellStart"/>
      <w:r w:rsidRPr="00876CFB">
        <w:rPr>
          <w:rFonts w:ascii="Arial" w:eastAsia="Times New Roman" w:hAnsi="Arial" w:cs="Arial"/>
          <w:lang w:eastAsia="en-IN"/>
        </w:rPr>
        <w:t>Csutak</w:t>
      </w:r>
      <w:proofErr w:type="spellEnd"/>
      <w:r w:rsidRPr="00876CFB">
        <w:rPr>
          <w:rFonts w:ascii="Arial" w:eastAsia="Times New Roman" w:hAnsi="Arial" w:cs="Arial"/>
          <w:lang w:eastAsia="en-IN"/>
        </w:rPr>
        <w:t xml:space="preserve"> A, </w:t>
      </w:r>
      <w:proofErr w:type="spellStart"/>
      <w:r w:rsidRPr="00876CFB">
        <w:rPr>
          <w:rFonts w:ascii="Arial" w:eastAsia="Times New Roman" w:hAnsi="Arial" w:cs="Arial"/>
          <w:lang w:eastAsia="en-IN"/>
        </w:rPr>
        <w:t>Szabó</w:t>
      </w:r>
      <w:proofErr w:type="spellEnd"/>
      <w:r w:rsidRPr="00876CFB">
        <w:rPr>
          <w:rFonts w:ascii="Arial" w:eastAsia="Times New Roman" w:hAnsi="Arial" w:cs="Arial"/>
          <w:lang w:eastAsia="en-IN"/>
        </w:rPr>
        <w:t xml:space="preserve"> L, </w:t>
      </w:r>
      <w:proofErr w:type="spellStart"/>
      <w:r w:rsidRPr="00876CFB">
        <w:rPr>
          <w:rFonts w:ascii="Arial" w:eastAsia="Times New Roman" w:hAnsi="Arial" w:cs="Arial"/>
          <w:lang w:eastAsia="en-IN"/>
        </w:rPr>
        <w:t>Hegyi</w:t>
      </w:r>
      <w:proofErr w:type="spellEnd"/>
      <w:r w:rsidRPr="00876CFB">
        <w:rPr>
          <w:rFonts w:ascii="Arial" w:eastAsia="Times New Roman" w:hAnsi="Arial" w:cs="Arial"/>
          <w:lang w:eastAsia="en-IN"/>
        </w:rPr>
        <w:t xml:space="preserve"> P, </w:t>
      </w:r>
      <w:proofErr w:type="spellStart"/>
      <w:r w:rsidRPr="00876CFB">
        <w:rPr>
          <w:rFonts w:ascii="Arial" w:eastAsia="Times New Roman" w:hAnsi="Arial" w:cs="Arial"/>
          <w:lang w:eastAsia="en-IN"/>
        </w:rPr>
        <w:t>Erőss</w:t>
      </w:r>
      <w:proofErr w:type="spellEnd"/>
      <w:r w:rsidRPr="00876CFB">
        <w:rPr>
          <w:rFonts w:ascii="Arial" w:eastAsia="Times New Roman" w:hAnsi="Arial" w:cs="Arial"/>
          <w:lang w:eastAsia="en-IN"/>
        </w:rPr>
        <w:t xml:space="preserve"> B, </w:t>
      </w:r>
      <w:proofErr w:type="spellStart"/>
      <w:r w:rsidRPr="00876CFB">
        <w:rPr>
          <w:rFonts w:ascii="Arial" w:eastAsia="Times New Roman" w:hAnsi="Arial" w:cs="Arial"/>
          <w:lang w:eastAsia="en-IN"/>
        </w:rPr>
        <w:t>Helyes</w:t>
      </w:r>
      <w:proofErr w:type="spellEnd"/>
      <w:r w:rsidRPr="00876CFB">
        <w:rPr>
          <w:rFonts w:ascii="Arial" w:eastAsia="Times New Roman" w:hAnsi="Arial" w:cs="Arial"/>
          <w:lang w:eastAsia="en-IN"/>
        </w:rPr>
        <w:t xml:space="preserve"> Z, </w:t>
      </w:r>
      <w:proofErr w:type="spellStart"/>
      <w:r w:rsidRPr="00876CFB">
        <w:rPr>
          <w:rFonts w:ascii="Arial" w:eastAsia="Times New Roman" w:hAnsi="Arial" w:cs="Arial"/>
          <w:lang w:eastAsia="en-IN"/>
        </w:rPr>
        <w:t>Molnár</w:t>
      </w:r>
      <w:proofErr w:type="spellEnd"/>
      <w:r w:rsidRPr="00876CFB">
        <w:rPr>
          <w:rFonts w:ascii="Arial" w:eastAsia="Times New Roman" w:hAnsi="Arial" w:cs="Arial"/>
          <w:lang w:eastAsia="en-IN"/>
        </w:rPr>
        <w:t xml:space="preserve"> Z, </w:t>
      </w:r>
      <w:proofErr w:type="spellStart"/>
      <w:r w:rsidRPr="00876CFB">
        <w:rPr>
          <w:rFonts w:ascii="Arial" w:eastAsia="Times New Roman" w:hAnsi="Arial" w:cs="Arial"/>
          <w:lang w:eastAsia="en-IN"/>
        </w:rPr>
        <w:t>Dembrovszky</w:t>
      </w:r>
      <w:proofErr w:type="spellEnd"/>
      <w:r w:rsidRPr="00876CFB">
        <w:rPr>
          <w:rFonts w:ascii="Arial" w:eastAsia="Times New Roman" w:hAnsi="Arial" w:cs="Arial"/>
          <w:lang w:eastAsia="en-IN"/>
        </w:rPr>
        <w:t xml:space="preserve"> F, </w:t>
      </w:r>
      <w:proofErr w:type="spellStart"/>
      <w:r w:rsidRPr="00876CFB">
        <w:rPr>
          <w:rFonts w:ascii="Arial" w:eastAsia="Times New Roman" w:hAnsi="Arial" w:cs="Arial"/>
          <w:lang w:eastAsia="en-IN"/>
        </w:rPr>
        <w:t>Szalai</w:t>
      </w:r>
      <w:proofErr w:type="spellEnd"/>
      <w:r w:rsidRPr="00876CFB">
        <w:rPr>
          <w:rFonts w:ascii="Arial" w:eastAsia="Times New Roman" w:hAnsi="Arial" w:cs="Arial"/>
          <w:lang w:eastAsia="en-IN"/>
        </w:rPr>
        <w:t xml:space="preserve"> E. (2022). Topical pharmacotherapy for ocular surface squamous neoplasia: systematic review and meta-analysis. Sci Rep, 12, 14221.</w:t>
      </w:r>
    </w:p>
    <w:p w14:paraId="620BFE18" w14:textId="77777777" w:rsidR="00876CFB" w:rsidRPr="00876CFB" w:rsidRDefault="00876CFB" w:rsidP="004A75E5">
      <w:pPr>
        <w:pStyle w:val="ListParagraph"/>
        <w:numPr>
          <w:ilvl w:val="0"/>
          <w:numId w:val="36"/>
        </w:numPr>
        <w:spacing w:before="100" w:beforeAutospacing="1" w:after="100" w:afterAutospacing="1" w:line="240" w:lineRule="auto"/>
        <w:jc w:val="both"/>
        <w:rPr>
          <w:rFonts w:ascii="Arial" w:eastAsia="Times New Roman" w:hAnsi="Arial" w:cs="Arial"/>
          <w:lang w:eastAsia="en-IN"/>
        </w:rPr>
      </w:pPr>
      <w:r w:rsidRPr="00876CFB">
        <w:rPr>
          <w:rFonts w:ascii="Arial" w:eastAsia="Times New Roman" w:hAnsi="Arial" w:cs="Arial"/>
          <w:lang w:eastAsia="en-IN"/>
        </w:rPr>
        <w:t xml:space="preserve">Lee GA, Hirst LW. (1995). Ocular surface squamous neoplasia. </w:t>
      </w:r>
      <w:proofErr w:type="spellStart"/>
      <w:r w:rsidRPr="00876CFB">
        <w:rPr>
          <w:rFonts w:ascii="Arial" w:eastAsia="Times New Roman" w:hAnsi="Arial" w:cs="Arial"/>
          <w:lang w:eastAsia="en-IN"/>
        </w:rPr>
        <w:t>Surv</w:t>
      </w:r>
      <w:proofErr w:type="spellEnd"/>
      <w:r w:rsidRPr="00876CFB">
        <w:rPr>
          <w:rFonts w:ascii="Arial" w:eastAsia="Times New Roman" w:hAnsi="Arial" w:cs="Arial"/>
          <w:lang w:eastAsia="en-IN"/>
        </w:rPr>
        <w:t xml:space="preserve"> </w:t>
      </w:r>
      <w:proofErr w:type="spellStart"/>
      <w:r w:rsidRPr="00876CFB">
        <w:rPr>
          <w:rFonts w:ascii="Arial" w:eastAsia="Times New Roman" w:hAnsi="Arial" w:cs="Arial"/>
          <w:lang w:eastAsia="en-IN"/>
        </w:rPr>
        <w:t>Ophthalmol</w:t>
      </w:r>
      <w:proofErr w:type="spellEnd"/>
      <w:r w:rsidRPr="00876CFB">
        <w:rPr>
          <w:rFonts w:ascii="Arial" w:eastAsia="Times New Roman" w:hAnsi="Arial" w:cs="Arial"/>
          <w:lang w:eastAsia="en-IN"/>
        </w:rPr>
        <w:t>, 39(6), 429–450.</w:t>
      </w:r>
    </w:p>
    <w:p w14:paraId="011FCA2C" w14:textId="77777777" w:rsidR="00876CFB" w:rsidRPr="00876CFB" w:rsidRDefault="00876CFB" w:rsidP="004A75E5">
      <w:pPr>
        <w:pStyle w:val="ListParagraph"/>
        <w:numPr>
          <w:ilvl w:val="0"/>
          <w:numId w:val="36"/>
        </w:numPr>
        <w:spacing w:before="100" w:beforeAutospacing="1" w:after="100" w:afterAutospacing="1" w:line="240" w:lineRule="auto"/>
        <w:jc w:val="both"/>
        <w:rPr>
          <w:rFonts w:ascii="Arial" w:eastAsia="Times New Roman" w:hAnsi="Arial" w:cs="Arial"/>
          <w:lang w:eastAsia="en-IN"/>
        </w:rPr>
      </w:pPr>
      <w:r w:rsidRPr="00876CFB">
        <w:rPr>
          <w:rFonts w:ascii="Arial" w:eastAsia="Times New Roman" w:hAnsi="Arial" w:cs="Arial"/>
          <w:lang w:eastAsia="en-IN"/>
        </w:rPr>
        <w:t xml:space="preserve">Sinha S, Ramesh PV, Nishant P, </w:t>
      </w:r>
      <w:proofErr w:type="spellStart"/>
      <w:r w:rsidRPr="00876CFB">
        <w:rPr>
          <w:rFonts w:ascii="Arial" w:eastAsia="Times New Roman" w:hAnsi="Arial" w:cs="Arial"/>
          <w:lang w:eastAsia="en-IN"/>
        </w:rPr>
        <w:t>Morya</w:t>
      </w:r>
      <w:proofErr w:type="spellEnd"/>
      <w:r w:rsidRPr="00876CFB">
        <w:rPr>
          <w:rFonts w:ascii="Arial" w:eastAsia="Times New Roman" w:hAnsi="Arial" w:cs="Arial"/>
          <w:lang w:eastAsia="en-IN"/>
        </w:rPr>
        <w:t xml:space="preserve"> AK, Prasad R. (2024). Novel automated non-invasive detection of ocular surface squamous neoplasia using artificial intelligence. World J </w:t>
      </w:r>
      <w:proofErr w:type="spellStart"/>
      <w:r w:rsidRPr="00876CFB">
        <w:rPr>
          <w:rFonts w:ascii="Arial" w:eastAsia="Times New Roman" w:hAnsi="Arial" w:cs="Arial"/>
          <w:lang w:eastAsia="en-IN"/>
        </w:rPr>
        <w:t>Methodol</w:t>
      </w:r>
      <w:proofErr w:type="spellEnd"/>
      <w:r w:rsidRPr="00876CFB">
        <w:rPr>
          <w:rFonts w:ascii="Arial" w:eastAsia="Times New Roman" w:hAnsi="Arial" w:cs="Arial"/>
          <w:lang w:eastAsia="en-IN"/>
        </w:rPr>
        <w:t>, 14(2), 92267.</w:t>
      </w:r>
    </w:p>
    <w:p w14:paraId="3B9B993B" w14:textId="77777777" w:rsidR="00B01FCD" w:rsidRPr="00876CFB" w:rsidRDefault="00876CFB" w:rsidP="004A75E5">
      <w:pPr>
        <w:pStyle w:val="Reference"/>
        <w:numPr>
          <w:ilvl w:val="0"/>
          <w:numId w:val="36"/>
        </w:numPr>
        <w:spacing w:line="240" w:lineRule="auto"/>
        <w:rPr>
          <w:rFonts w:ascii="Arial" w:hAnsi="Arial" w:cs="Arial"/>
          <w:sz w:val="22"/>
          <w:szCs w:val="22"/>
        </w:rPr>
      </w:pPr>
      <w:proofErr w:type="spellStart"/>
      <w:r w:rsidRPr="00876CFB">
        <w:rPr>
          <w:rFonts w:ascii="Arial" w:hAnsi="Arial" w:cs="Arial"/>
          <w:sz w:val="22"/>
          <w:szCs w:val="22"/>
          <w:lang w:eastAsia="en-IN"/>
        </w:rPr>
        <w:t>Demirci</w:t>
      </w:r>
      <w:proofErr w:type="spellEnd"/>
      <w:r w:rsidRPr="00876CFB">
        <w:rPr>
          <w:rFonts w:ascii="Arial" w:hAnsi="Arial" w:cs="Arial"/>
          <w:sz w:val="22"/>
          <w:szCs w:val="22"/>
          <w:lang w:eastAsia="en-IN"/>
        </w:rPr>
        <w:t xml:space="preserve"> H, Vo JN, Wu YM, </w:t>
      </w:r>
      <w:proofErr w:type="spellStart"/>
      <w:r w:rsidRPr="00876CFB">
        <w:rPr>
          <w:rFonts w:ascii="Arial" w:hAnsi="Arial" w:cs="Arial"/>
          <w:sz w:val="22"/>
          <w:szCs w:val="22"/>
          <w:lang w:eastAsia="en-IN"/>
        </w:rPr>
        <w:t>Elner</w:t>
      </w:r>
      <w:proofErr w:type="spellEnd"/>
      <w:r w:rsidRPr="00876CFB">
        <w:rPr>
          <w:rFonts w:ascii="Arial" w:hAnsi="Arial" w:cs="Arial"/>
          <w:sz w:val="22"/>
          <w:szCs w:val="22"/>
          <w:lang w:eastAsia="en-IN"/>
        </w:rPr>
        <w:t xml:space="preserve"> V, </w:t>
      </w:r>
      <w:proofErr w:type="spellStart"/>
      <w:r w:rsidRPr="00876CFB">
        <w:rPr>
          <w:rFonts w:ascii="Arial" w:hAnsi="Arial" w:cs="Arial"/>
          <w:sz w:val="22"/>
          <w:szCs w:val="22"/>
          <w:lang w:eastAsia="en-IN"/>
        </w:rPr>
        <w:t>Chinnaiyan</w:t>
      </w:r>
      <w:proofErr w:type="spellEnd"/>
      <w:r w:rsidRPr="00876CFB">
        <w:rPr>
          <w:rFonts w:ascii="Arial" w:hAnsi="Arial" w:cs="Arial"/>
          <w:sz w:val="22"/>
          <w:szCs w:val="22"/>
          <w:lang w:eastAsia="en-IN"/>
        </w:rPr>
        <w:t xml:space="preserve"> AM, Robinson D, </w:t>
      </w:r>
      <w:proofErr w:type="spellStart"/>
      <w:r w:rsidRPr="00876CFB">
        <w:rPr>
          <w:rFonts w:ascii="Arial" w:hAnsi="Arial" w:cs="Arial"/>
          <w:sz w:val="22"/>
          <w:szCs w:val="22"/>
          <w:lang w:eastAsia="en-IN"/>
        </w:rPr>
        <w:t>Demirci</w:t>
      </w:r>
      <w:proofErr w:type="spellEnd"/>
      <w:r w:rsidRPr="00876CFB">
        <w:rPr>
          <w:rFonts w:ascii="Arial" w:hAnsi="Arial" w:cs="Arial"/>
          <w:sz w:val="22"/>
          <w:szCs w:val="22"/>
          <w:lang w:eastAsia="en-IN"/>
        </w:rPr>
        <w:t xml:space="preserve"> FY. (2025). Next-generation sequencing-based molecular profiling of conjunctival squamous cell carcinoma and its potential application for therapy. </w:t>
      </w:r>
      <w:proofErr w:type="spellStart"/>
      <w:r w:rsidRPr="00876CFB">
        <w:rPr>
          <w:rFonts w:ascii="Arial" w:hAnsi="Arial" w:cs="Arial"/>
          <w:sz w:val="22"/>
          <w:szCs w:val="22"/>
          <w:lang w:eastAsia="en-IN"/>
        </w:rPr>
        <w:t>Ophthalmol</w:t>
      </w:r>
      <w:proofErr w:type="spellEnd"/>
      <w:r w:rsidRPr="00876CFB">
        <w:rPr>
          <w:rFonts w:ascii="Arial" w:hAnsi="Arial" w:cs="Arial"/>
          <w:sz w:val="22"/>
          <w:szCs w:val="22"/>
          <w:lang w:eastAsia="en-IN"/>
        </w:rPr>
        <w:t xml:space="preserve"> Sci, 5(5), 100801</w:t>
      </w:r>
    </w:p>
    <w:p w14:paraId="5B523C75" w14:textId="77777777" w:rsidR="00B01FCD" w:rsidRPr="00FB3A86" w:rsidRDefault="00B01FCD" w:rsidP="004A75E5">
      <w:pPr>
        <w:pStyle w:val="Appendix"/>
        <w:spacing w:after="0"/>
        <w:jc w:val="both"/>
        <w:rPr>
          <w:rFonts w:ascii="Arial" w:hAnsi="Arial" w:cs="Arial"/>
          <w:b w:val="0"/>
        </w:rPr>
      </w:pPr>
    </w:p>
    <w:sectPr w:rsidR="00B01FCD" w:rsidRPr="00FB3A86" w:rsidSect="00412475">
      <w:footerReference w:type="default" r:id="rId11"/>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A9690" w14:textId="77777777" w:rsidR="00D520EA" w:rsidRDefault="00D520EA" w:rsidP="00C37E61">
      <w:r>
        <w:separator/>
      </w:r>
    </w:p>
  </w:endnote>
  <w:endnote w:type="continuationSeparator" w:id="0">
    <w:p w14:paraId="3E1D2AA4" w14:textId="77777777" w:rsidR="00D520EA" w:rsidRDefault="00D520E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7D203" w14:textId="77777777" w:rsidR="009E048A" w:rsidRDefault="009E048A">
    <w:pPr>
      <w:pStyle w:val="Footer"/>
      <w:rPr>
        <w:rFonts w:ascii="Arial" w:hAnsi="Arial" w:cs="Arial"/>
        <w:sz w:val="16"/>
      </w:rPr>
    </w:pPr>
  </w:p>
  <w:p w14:paraId="29909D3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BEC6F45" w14:textId="77777777" w:rsidR="009E048A" w:rsidRDefault="009E048A">
    <w:pPr>
      <w:pStyle w:val="Footer"/>
      <w:rPr>
        <w:rFonts w:ascii="Arial" w:hAnsi="Arial" w:cs="Arial"/>
        <w:sz w:val="16"/>
      </w:rPr>
    </w:pPr>
  </w:p>
  <w:p w14:paraId="2875828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FF40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B2B58" w14:textId="77777777" w:rsidR="00D520EA" w:rsidRDefault="00D520EA" w:rsidP="00C37E61">
      <w:r>
        <w:separator/>
      </w:r>
    </w:p>
  </w:footnote>
  <w:footnote w:type="continuationSeparator" w:id="0">
    <w:p w14:paraId="7B2611BC" w14:textId="77777777" w:rsidR="00D520EA" w:rsidRDefault="00D520E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8D81C" w14:textId="77777777" w:rsidR="00296529" w:rsidRPr="00296529" w:rsidRDefault="00296529" w:rsidP="00296529">
    <w:pPr>
      <w:ind w:left="2160"/>
      <w:jc w:val="center"/>
      <w:rPr>
        <w:rFonts w:ascii="Times New Roman" w:eastAsia="Calibri" w:hAnsi="Times New Roman"/>
        <w:i/>
        <w:sz w:val="18"/>
        <w:szCs w:val="22"/>
      </w:rPr>
    </w:pPr>
  </w:p>
  <w:p w14:paraId="6E679DC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1D0C4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6CB4C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E5FAD2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8284D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52FE80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900DD"/>
    <w:multiLevelType w:val="hybridMultilevel"/>
    <w:tmpl w:val="8390C7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4719ED"/>
    <w:multiLevelType w:val="hybridMultilevel"/>
    <w:tmpl w:val="8F567A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2F27704"/>
    <w:multiLevelType w:val="multilevel"/>
    <w:tmpl w:val="CA1AD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C876FD"/>
    <w:multiLevelType w:val="hybridMultilevel"/>
    <w:tmpl w:val="2D9E61B6"/>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5D7DCF"/>
    <w:multiLevelType w:val="hybridMultilevel"/>
    <w:tmpl w:val="C0D2EDA0"/>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F312FE8"/>
    <w:multiLevelType w:val="multilevel"/>
    <w:tmpl w:val="32648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3AE4564"/>
    <w:multiLevelType w:val="hybridMultilevel"/>
    <w:tmpl w:val="B23630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4"/>
  </w:num>
  <w:num w:numId="9">
    <w:abstractNumId w:val="32"/>
  </w:num>
  <w:num w:numId="10">
    <w:abstractNumId w:val="3"/>
  </w:num>
  <w:num w:numId="11">
    <w:abstractNumId w:val="25"/>
  </w:num>
  <w:num w:numId="12">
    <w:abstractNumId w:val="4"/>
  </w:num>
  <w:num w:numId="13">
    <w:abstractNumId w:val="23"/>
  </w:num>
  <w:num w:numId="14">
    <w:abstractNumId w:val="10"/>
  </w:num>
  <w:num w:numId="15">
    <w:abstractNumId w:val="28"/>
  </w:num>
  <w:num w:numId="16">
    <w:abstractNumId w:val="6"/>
  </w:num>
  <w:num w:numId="17">
    <w:abstractNumId w:val="29"/>
  </w:num>
  <w:num w:numId="18">
    <w:abstractNumId w:val="16"/>
  </w:num>
  <w:num w:numId="19">
    <w:abstractNumId w:val="35"/>
  </w:num>
  <w:num w:numId="20">
    <w:abstractNumId w:val="13"/>
  </w:num>
  <w:num w:numId="21">
    <w:abstractNumId w:val="11"/>
  </w:num>
  <w:num w:numId="22">
    <w:abstractNumId w:val="15"/>
  </w:num>
  <w:num w:numId="23">
    <w:abstractNumId w:val="26"/>
  </w:num>
  <w:num w:numId="24">
    <w:abstractNumId w:val="33"/>
  </w:num>
  <w:num w:numId="25">
    <w:abstractNumId w:val="5"/>
  </w:num>
  <w:num w:numId="26">
    <w:abstractNumId w:val="20"/>
  </w:num>
  <w:num w:numId="27">
    <w:abstractNumId w:val="27"/>
  </w:num>
  <w:num w:numId="28">
    <w:abstractNumId w:val="34"/>
  </w:num>
  <w:num w:numId="29">
    <w:abstractNumId w:val="31"/>
  </w:num>
  <w:num w:numId="30">
    <w:abstractNumId w:val="12"/>
  </w:num>
  <w:num w:numId="31">
    <w:abstractNumId w:val="24"/>
  </w:num>
  <w:num w:numId="32">
    <w:abstractNumId w:val="7"/>
  </w:num>
  <w:num w:numId="33">
    <w:abstractNumId w:val="21"/>
  </w:num>
  <w:num w:numId="34">
    <w:abstractNumId w:val="1"/>
  </w:num>
  <w:num w:numId="35">
    <w:abstractNumId w:val="18"/>
  </w:num>
  <w:num w:numId="36">
    <w:abstractNumId w:val="17"/>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1NDY1MbA0MDcytjBW0lEKTi0uzszPAykwrAUAHjsomywAAAA="/>
  </w:docVars>
  <w:rsids>
    <w:rsidRoot w:val="00AA6219"/>
    <w:rsid w:val="00000F8F"/>
    <w:rsid w:val="00030174"/>
    <w:rsid w:val="000339FB"/>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068B"/>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00EB"/>
    <w:rsid w:val="003C4C86"/>
    <w:rsid w:val="003C6258"/>
    <w:rsid w:val="003E1E28"/>
    <w:rsid w:val="003E2904"/>
    <w:rsid w:val="00401927"/>
    <w:rsid w:val="0041027F"/>
    <w:rsid w:val="00412475"/>
    <w:rsid w:val="00423789"/>
    <w:rsid w:val="00440F43"/>
    <w:rsid w:val="00441B6F"/>
    <w:rsid w:val="00446221"/>
    <w:rsid w:val="00450E62"/>
    <w:rsid w:val="004539DB"/>
    <w:rsid w:val="00461E26"/>
    <w:rsid w:val="00471A80"/>
    <w:rsid w:val="004A75E5"/>
    <w:rsid w:val="004D305E"/>
    <w:rsid w:val="004D4277"/>
    <w:rsid w:val="00502516"/>
    <w:rsid w:val="00505F06"/>
    <w:rsid w:val="00506828"/>
    <w:rsid w:val="0053056E"/>
    <w:rsid w:val="00535A7E"/>
    <w:rsid w:val="00554FDA"/>
    <w:rsid w:val="005A1DE4"/>
    <w:rsid w:val="005C784C"/>
    <w:rsid w:val="005D08EB"/>
    <w:rsid w:val="005D17F6"/>
    <w:rsid w:val="005E5539"/>
    <w:rsid w:val="00602BF5"/>
    <w:rsid w:val="00617FDD"/>
    <w:rsid w:val="00633614"/>
    <w:rsid w:val="00633F68"/>
    <w:rsid w:val="00636EB2"/>
    <w:rsid w:val="006375B8"/>
    <w:rsid w:val="0066510A"/>
    <w:rsid w:val="00670CB4"/>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5761F"/>
    <w:rsid w:val="00761D52"/>
    <w:rsid w:val="0077749E"/>
    <w:rsid w:val="00790ADA"/>
    <w:rsid w:val="007D06E2"/>
    <w:rsid w:val="007D2288"/>
    <w:rsid w:val="007D7637"/>
    <w:rsid w:val="007E088F"/>
    <w:rsid w:val="007F7B32"/>
    <w:rsid w:val="00804BC2"/>
    <w:rsid w:val="0081431A"/>
    <w:rsid w:val="0083216F"/>
    <w:rsid w:val="00860000"/>
    <w:rsid w:val="00863BD3"/>
    <w:rsid w:val="008641ED"/>
    <w:rsid w:val="00866D66"/>
    <w:rsid w:val="008671C6"/>
    <w:rsid w:val="00875803"/>
    <w:rsid w:val="00876CFB"/>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71B"/>
    <w:rsid w:val="00A51431"/>
    <w:rsid w:val="00A539AD"/>
    <w:rsid w:val="00A7337F"/>
    <w:rsid w:val="00A94063"/>
    <w:rsid w:val="00AA6219"/>
    <w:rsid w:val="00AA74E0"/>
    <w:rsid w:val="00AB703F"/>
    <w:rsid w:val="00AC6BB8"/>
    <w:rsid w:val="00AE008F"/>
    <w:rsid w:val="00B01FCD"/>
    <w:rsid w:val="00B1776C"/>
    <w:rsid w:val="00B52583"/>
    <w:rsid w:val="00B52896"/>
    <w:rsid w:val="00B72B4F"/>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3EAE"/>
    <w:rsid w:val="00CE793C"/>
    <w:rsid w:val="00CF193C"/>
    <w:rsid w:val="00D173F1"/>
    <w:rsid w:val="00D520EA"/>
    <w:rsid w:val="00D74CB0"/>
    <w:rsid w:val="00D8295D"/>
    <w:rsid w:val="00DC2A65"/>
    <w:rsid w:val="00DE15F0"/>
    <w:rsid w:val="00DE5663"/>
    <w:rsid w:val="00DE78AA"/>
    <w:rsid w:val="00E053D0"/>
    <w:rsid w:val="00E15994"/>
    <w:rsid w:val="00E3114E"/>
    <w:rsid w:val="00E31A70"/>
    <w:rsid w:val="00E35B02"/>
    <w:rsid w:val="00E62B87"/>
    <w:rsid w:val="00E66496"/>
    <w:rsid w:val="00E66B35"/>
    <w:rsid w:val="00E66E10"/>
    <w:rsid w:val="00E769F6"/>
    <w:rsid w:val="00E8407C"/>
    <w:rsid w:val="00E84F3C"/>
    <w:rsid w:val="00E92A68"/>
    <w:rsid w:val="00EA012C"/>
    <w:rsid w:val="00EC6A55"/>
    <w:rsid w:val="00ED0288"/>
    <w:rsid w:val="00EE27AF"/>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BE71F"/>
  <w15:docId w15:val="{C111325A-5F38-4368-AB7A-A33767CA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62B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B72B4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5A1DE4"/>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5A1DE4"/>
    <w:rPr>
      <w:b/>
      <w:bCs/>
    </w:rPr>
  </w:style>
  <w:style w:type="character" w:customStyle="1" w:styleId="Heading2Char">
    <w:name w:val="Heading 2 Char"/>
    <w:basedOn w:val="DefaultParagraphFont"/>
    <w:link w:val="Heading2"/>
    <w:semiHidden/>
    <w:rsid w:val="00E62B8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76CFB"/>
    <w:pPr>
      <w:spacing w:after="200" w:line="276" w:lineRule="auto"/>
      <w:ind w:left="720"/>
      <w:contextualSpacing/>
    </w:pPr>
    <w:rPr>
      <w:rFonts w:asciiTheme="minorHAnsi" w:eastAsiaTheme="minorHAnsi" w:hAnsiTheme="minorHAnsi" w:cstheme="minorBidi"/>
      <w:sz w:val="22"/>
      <w:szCs w:val="22"/>
      <w:lang w:val="en-IN"/>
    </w:rPr>
  </w:style>
  <w:style w:type="character" w:customStyle="1" w:styleId="Heading3Char">
    <w:name w:val="Heading 3 Char"/>
    <w:basedOn w:val="DefaultParagraphFont"/>
    <w:link w:val="Heading3"/>
    <w:semiHidden/>
    <w:rsid w:val="00B72B4F"/>
    <w:rPr>
      <w:rFonts w:asciiTheme="majorHAnsi" w:eastAsiaTheme="majorEastAsia" w:hAnsiTheme="majorHAnsi" w:cstheme="majorBidi"/>
      <w:b/>
      <w:bCs/>
      <w:color w:val="4F81BD" w:themeColor="accent1"/>
    </w:rPr>
  </w:style>
  <w:style w:type="paragraph" w:styleId="NoSpacing">
    <w:name w:val="No Spacing"/>
    <w:uiPriority w:val="1"/>
    <w:qFormat/>
    <w:rsid w:val="000339FB"/>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77957922">
      <w:bodyDiv w:val="1"/>
      <w:marLeft w:val="0"/>
      <w:marRight w:val="0"/>
      <w:marTop w:val="0"/>
      <w:marBottom w:val="0"/>
      <w:divBdr>
        <w:top w:val="none" w:sz="0" w:space="0" w:color="auto"/>
        <w:left w:val="none" w:sz="0" w:space="0" w:color="auto"/>
        <w:bottom w:val="none" w:sz="0" w:space="0" w:color="auto"/>
        <w:right w:val="none" w:sz="0" w:space="0" w:color="auto"/>
      </w:divBdr>
    </w:div>
    <w:div w:id="63406748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6389948">
      <w:bodyDiv w:val="1"/>
      <w:marLeft w:val="0"/>
      <w:marRight w:val="0"/>
      <w:marTop w:val="0"/>
      <w:marBottom w:val="0"/>
      <w:divBdr>
        <w:top w:val="none" w:sz="0" w:space="0" w:color="auto"/>
        <w:left w:val="none" w:sz="0" w:space="0" w:color="auto"/>
        <w:bottom w:val="none" w:sz="0" w:space="0" w:color="auto"/>
        <w:right w:val="none" w:sz="0" w:space="0" w:color="auto"/>
      </w:divBdr>
    </w:div>
    <w:div w:id="85761791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1882037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1808001">
      <w:bodyDiv w:val="1"/>
      <w:marLeft w:val="0"/>
      <w:marRight w:val="0"/>
      <w:marTop w:val="0"/>
      <w:marBottom w:val="0"/>
      <w:divBdr>
        <w:top w:val="none" w:sz="0" w:space="0" w:color="auto"/>
        <w:left w:val="none" w:sz="0" w:space="0" w:color="auto"/>
        <w:bottom w:val="none" w:sz="0" w:space="0" w:color="auto"/>
        <w:right w:val="none" w:sz="0" w:space="0" w:color="auto"/>
      </w:divBdr>
    </w:div>
    <w:div w:id="181741093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3031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AE9A2-1E9B-4E83-BC05-AEF4E1E01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7</Pages>
  <Words>2229</Words>
  <Characters>12710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14910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8</cp:revision>
  <cp:lastPrinted>1999-07-06T11:00:00Z</cp:lastPrinted>
  <dcterms:created xsi:type="dcterms:W3CDTF">2026-01-08T18:36:00Z</dcterms:created>
  <dcterms:modified xsi:type="dcterms:W3CDTF">2026-01-10T10:13:00Z</dcterms:modified>
</cp:coreProperties>
</file>