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3B33A" w14:textId="5E5E6060" w:rsidR="00050D9B" w:rsidRPr="00050D9B" w:rsidRDefault="00DF35D2"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fr-FR"/>
        </w:rPr>
      </w:pPr>
      <w:r w:rsidRPr="00050D9B">
        <w:rPr>
          <w:rFonts w:ascii="Times New Roman" w:eastAsia="Times New Roman" w:hAnsi="Times New Roman" w:cs="Times New Roman"/>
          <w:color w:val="FF0000"/>
          <w:sz w:val="24"/>
          <w:szCs w:val="24"/>
          <w:lang w:val="en-GB"/>
        </w:rPr>
        <w:t xml:space="preserve"> </w:t>
      </w:r>
      <w:r w:rsidR="00050D9B" w:rsidRPr="00050D9B">
        <w:rPr>
          <w:rFonts w:ascii="Times New Roman" w:eastAsia="Times New Roman" w:hAnsi="Times New Roman" w:cs="Times New Roman"/>
          <w:color w:val="FF0000"/>
          <w:sz w:val="24"/>
          <w:szCs w:val="24"/>
          <w:lang w:val="en-GB"/>
        </w:rPr>
        <w:t>“Evaluation of microbial safety and antibiotic resistance genes in peanut paste circulating in Bangui, Central African Republic.”</w:t>
      </w:r>
    </w:p>
    <w:p w14:paraId="48D4CDFF" w14:textId="77777777" w:rsidR="00050D9B" w:rsidRPr="008154DE" w:rsidRDefault="00050D9B"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47E938DA"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p>
    <w:p w14:paraId="5936CBF3"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57271C">
        <w:rPr>
          <w:rFonts w:ascii="Times New Roman" w:eastAsia="Times New Roman" w:hAnsi="Times New Roman" w:cs="Times New Roman"/>
          <w:b/>
          <w:color w:val="1F1F1F"/>
          <w:sz w:val="24"/>
          <w:szCs w:val="24"/>
          <w:lang w:eastAsia="fr-FR"/>
        </w:rPr>
        <w:t>Abstract</w:t>
      </w:r>
    </w:p>
    <w:p w14:paraId="263B116E"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57271C">
        <w:rPr>
          <w:rFonts w:ascii="Times New Roman" w:eastAsia="Times New Roman" w:hAnsi="Times New Roman" w:cs="Times New Roman"/>
          <w:b/>
          <w:color w:val="1F1F1F"/>
          <w:sz w:val="24"/>
          <w:szCs w:val="24"/>
          <w:lang w:eastAsia="fr-FR"/>
        </w:rPr>
        <w:t xml:space="preserve">Introduction: </w:t>
      </w:r>
      <w:bookmarkStart w:id="0" w:name="_GoBack"/>
      <w:bookmarkEnd w:id="0"/>
    </w:p>
    <w:p w14:paraId="43186EDF" w14:textId="5AAC2C44" w:rsidR="0057271C" w:rsidRPr="00050D9B" w:rsidRDefault="0057271C" w:rsidP="00050D9B">
      <w:pPr>
        <w:pStyle w:val="HTMLPreformatted"/>
        <w:shd w:val="clear" w:color="auto" w:fill="FFFFFF" w:themeFill="background1"/>
        <w:jc w:val="both"/>
        <w:rPr>
          <w:rFonts w:ascii="inherit" w:eastAsia="Times New Roman" w:hAnsi="inherit" w:cs="Courier New"/>
          <w:color w:val="1F1F1F"/>
          <w:sz w:val="42"/>
          <w:szCs w:val="42"/>
          <w:lang w:eastAsia="fr-FR"/>
        </w:rPr>
      </w:pPr>
      <w:r w:rsidRPr="00050D9B">
        <w:rPr>
          <w:rFonts w:ascii="Times New Roman" w:eastAsia="Times New Roman" w:hAnsi="Times New Roman" w:cs="Times New Roman"/>
          <w:color w:val="1F1F1F"/>
          <w:sz w:val="24"/>
          <w:szCs w:val="24"/>
          <w:lang w:eastAsia="fr-FR"/>
        </w:rPr>
        <w:t>Antimicrobial resistance remains a concern for the World Health Organization, a problem affecting both veterinary health and the agri-food system, with serious risks to consumers due to the global emergence of antibiotic-resistant strains. This global threat is increasingly poorly controlled in certain sectors, and despite the "One Health" approach, few developed countries have conducted studies on antibiotic resistance in bacterial strains isolated from food and veterinary products.</w:t>
      </w:r>
      <w:r w:rsidR="00050D9B" w:rsidRPr="00050D9B">
        <w:rPr>
          <w:rFonts w:ascii="inherit" w:eastAsia="Times New Roman" w:hAnsi="inherit" w:cs="Courier New"/>
          <w:color w:val="1F1F1F"/>
          <w:sz w:val="42"/>
          <w:szCs w:val="42"/>
          <w:lang w:val="en" w:eastAsia="fr-FR"/>
        </w:rPr>
        <w:t xml:space="preserve"> </w:t>
      </w:r>
      <w:r w:rsidR="00050D9B" w:rsidRPr="00050D9B">
        <w:rPr>
          <w:rFonts w:ascii="Times New Roman" w:eastAsia="Times New Roman" w:hAnsi="Times New Roman" w:cs="Times New Roman"/>
          <w:color w:val="1F1F1F"/>
          <w:sz w:val="24"/>
          <w:szCs w:val="24"/>
          <w:lang w:eastAsia="fr-FR"/>
        </w:rPr>
        <w:t>The overall objective of this study was to investigate, using isolates obtained from samples of peanut paste sold in the city of Bangui, the genes conferring resistance to beta-lactams and quinolones.</w:t>
      </w:r>
    </w:p>
    <w:p w14:paraId="1B62268C" w14:textId="21C910AA" w:rsidR="0057271C" w:rsidRPr="005A02E4" w:rsidRDefault="0057271C" w:rsidP="005A02E4">
      <w:pPr>
        <w:pStyle w:val="HTMLPreformatted"/>
        <w:shd w:val="clear" w:color="auto" w:fill="FFFFFF" w:themeFill="background1"/>
        <w:jc w:val="both"/>
        <w:rPr>
          <w:rFonts w:ascii="Times New Roman" w:eastAsia="Times New Roman" w:hAnsi="Times New Roman" w:cs="Times New Roman"/>
          <w:color w:val="1F1F1F"/>
          <w:sz w:val="24"/>
          <w:szCs w:val="24"/>
          <w:lang w:eastAsia="fr-FR"/>
        </w:rPr>
      </w:pPr>
      <w:proofErr w:type="gramStart"/>
      <w:r w:rsidRPr="005A02E4">
        <w:rPr>
          <w:rFonts w:ascii="Times New Roman" w:eastAsia="Times New Roman" w:hAnsi="Times New Roman" w:cs="Times New Roman"/>
          <w:color w:val="1F1F1F"/>
          <w:sz w:val="24"/>
          <w:szCs w:val="24"/>
          <w:lang w:eastAsia="fr-FR"/>
        </w:rPr>
        <w:t>Methodology:</w:t>
      </w:r>
      <w:proofErr w:type="gramEnd"/>
      <w:r w:rsidR="008A163C" w:rsidRPr="005A02E4">
        <w:rPr>
          <w:rFonts w:ascii="Times New Roman" w:eastAsia="Times New Roman" w:hAnsi="Times New Roman" w:cs="Times New Roman"/>
          <w:color w:val="1F1F1F"/>
          <w:sz w:val="24"/>
          <w:szCs w:val="24"/>
          <w:lang w:eastAsia="fr-FR"/>
        </w:rPr>
        <w:t xml:space="preserve"> </w:t>
      </w:r>
      <w:r w:rsidR="005A02E4" w:rsidRPr="005A02E4">
        <w:rPr>
          <w:rFonts w:ascii="Times New Roman" w:eastAsia="Times New Roman" w:hAnsi="Times New Roman" w:cs="Times New Roman"/>
          <w:color w:val="1F1F1F"/>
          <w:sz w:val="24"/>
          <w:szCs w:val="24"/>
          <w:lang w:eastAsia="fr-FR"/>
        </w:rPr>
        <w:t>A total of 320 samples of peanut paste sold in the eight main markets of Bangui's city districts were collected. The presence of resistance genes to beta-lactams (TEM, CtxM1, and CtxM2) and quinolones (qnrB and SHV) was investigated. Fifty-one strains of medically relevant Enterobacteriaceae were isolated and identified.</w:t>
      </w:r>
      <w:r w:rsidR="005A02E4">
        <w:rPr>
          <w:rFonts w:ascii="Times New Roman" w:eastAsia="Times New Roman" w:hAnsi="Times New Roman" w:cs="Times New Roman"/>
          <w:color w:val="1F1F1F"/>
          <w:sz w:val="24"/>
          <w:szCs w:val="24"/>
          <w:lang w:eastAsia="fr-FR"/>
        </w:rPr>
        <w:t xml:space="preserve"> </w:t>
      </w:r>
      <w:r w:rsidRPr="0057271C">
        <w:rPr>
          <w:rFonts w:ascii="Times New Roman" w:eastAsia="Times New Roman" w:hAnsi="Times New Roman" w:cs="Times New Roman"/>
          <w:color w:val="1F1F1F"/>
          <w:sz w:val="24"/>
          <w:szCs w:val="24"/>
          <w:lang w:eastAsia="fr-FR"/>
        </w:rPr>
        <w:t xml:space="preserve">Phenotypic resistance testing was performed using the </w:t>
      </w:r>
      <w:r w:rsidR="004B45C0">
        <w:rPr>
          <w:rFonts w:ascii="Times New Roman" w:eastAsia="Times New Roman" w:hAnsi="Times New Roman" w:cs="Times New Roman"/>
          <w:color w:val="1F1F1F"/>
          <w:sz w:val="24"/>
          <w:szCs w:val="24"/>
          <w:lang w:eastAsia="fr-FR"/>
        </w:rPr>
        <w:t xml:space="preserve">disc </w:t>
      </w:r>
      <w:r w:rsidRPr="0057271C">
        <w:rPr>
          <w:rFonts w:ascii="Times New Roman" w:eastAsia="Times New Roman" w:hAnsi="Times New Roman" w:cs="Times New Roman"/>
          <w:color w:val="1F1F1F"/>
          <w:sz w:val="24"/>
          <w:szCs w:val="24"/>
          <w:lang w:eastAsia="fr-FR"/>
        </w:rPr>
        <w:t>diffusion method on Muller-Hinton agar, and genotypic analysis was performed using molecular techniques</w:t>
      </w:r>
      <w:r w:rsidR="004B45C0">
        <w:rPr>
          <w:rFonts w:ascii="Times New Roman" w:eastAsia="Times New Roman" w:hAnsi="Times New Roman" w:cs="Times New Roman"/>
          <w:color w:val="1F1F1F"/>
          <w:sz w:val="24"/>
          <w:szCs w:val="24"/>
          <w:lang w:eastAsia="fr-FR"/>
        </w:rPr>
        <w:t xml:space="preserve"> by PCR</w:t>
      </w:r>
      <w:r w:rsidRPr="0057271C">
        <w:rPr>
          <w:rFonts w:ascii="Times New Roman" w:eastAsia="Times New Roman" w:hAnsi="Times New Roman" w:cs="Times New Roman"/>
          <w:color w:val="1F1F1F"/>
          <w:sz w:val="24"/>
          <w:szCs w:val="24"/>
          <w:lang w:eastAsia="fr-FR"/>
        </w:rPr>
        <w:t>, including thermal extraction of genetic material and detection by agarose gel electrophoresis.</w:t>
      </w:r>
    </w:p>
    <w:p w14:paraId="1F6D91EB" w14:textId="77777777"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57271C">
        <w:rPr>
          <w:rFonts w:ascii="Times New Roman" w:eastAsia="Times New Roman" w:hAnsi="Times New Roman" w:cs="Times New Roman"/>
          <w:b/>
          <w:color w:val="1F1F1F"/>
          <w:sz w:val="24"/>
          <w:szCs w:val="24"/>
          <w:lang w:eastAsia="fr-FR"/>
        </w:rPr>
        <w:t>Results</w:t>
      </w:r>
    </w:p>
    <w:p w14:paraId="49839BAB" w14:textId="174B9D97" w:rsidR="0057271C" w:rsidRPr="00BF6B6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57271C">
        <w:rPr>
          <w:rFonts w:ascii="Times New Roman" w:eastAsia="Times New Roman" w:hAnsi="Times New Roman" w:cs="Times New Roman"/>
          <w:color w:val="1F1F1F"/>
          <w:sz w:val="24"/>
          <w:szCs w:val="24"/>
          <w:lang w:eastAsia="fr-FR"/>
        </w:rPr>
        <w:t xml:space="preserve">The results of this study reveal the presence of </w:t>
      </w:r>
      <w:r w:rsidR="004B45C0">
        <w:rPr>
          <w:rFonts w:ascii="Times New Roman" w:eastAsia="Times New Roman" w:hAnsi="Times New Roman" w:cs="Times New Roman"/>
          <w:color w:val="1F1F1F"/>
          <w:sz w:val="24"/>
          <w:szCs w:val="24"/>
          <w:lang w:eastAsia="fr-FR"/>
        </w:rPr>
        <w:t>pathogens</w:t>
      </w:r>
      <w:r w:rsidRPr="0057271C">
        <w:rPr>
          <w:rFonts w:ascii="Times New Roman" w:eastAsia="Times New Roman" w:hAnsi="Times New Roman" w:cs="Times New Roman"/>
          <w:color w:val="1F1F1F"/>
          <w:sz w:val="24"/>
          <w:szCs w:val="24"/>
          <w:lang w:eastAsia="fr-FR"/>
        </w:rPr>
        <w:t xml:space="preserve"> in different proportions. </w:t>
      </w:r>
      <w:r w:rsidRPr="00BF6B6E">
        <w:rPr>
          <w:rFonts w:ascii="Times New Roman" w:eastAsia="Times New Roman" w:hAnsi="Times New Roman" w:cs="Times New Roman"/>
          <w:i/>
          <w:color w:val="1F1F1F"/>
          <w:sz w:val="24"/>
          <w:szCs w:val="24"/>
          <w:lang w:eastAsia="fr-FR"/>
        </w:rPr>
        <w:t>Citrobacter</w:t>
      </w:r>
      <w:r w:rsidRPr="0057271C">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freundii</w:t>
      </w:r>
      <w:r w:rsidRPr="0057271C">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color w:val="1F1F1F"/>
          <w:sz w:val="24"/>
          <w:szCs w:val="24"/>
          <w:lang w:eastAsia="fr-FR"/>
        </w:rPr>
        <w:t>5.7</w:t>
      </w:r>
      <w:proofErr w:type="gramStart"/>
      <w:r w:rsidRPr="00BF6B6E">
        <w:rPr>
          <w:rFonts w:ascii="Times New Roman" w:eastAsia="Times New Roman" w:hAnsi="Times New Roman" w:cs="Times New Roman"/>
          <w:color w:val="1F1F1F"/>
          <w:sz w:val="24"/>
          <w:szCs w:val="24"/>
          <w:lang w:eastAsia="fr-FR"/>
        </w:rPr>
        <w:t>%;</w:t>
      </w:r>
      <w:proofErr w:type="gramEnd"/>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Citrobacter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koserii</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Enterobacter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cloacae</w:t>
      </w:r>
      <w:r w:rsidRPr="00BF6B6E">
        <w:rPr>
          <w:rFonts w:ascii="Times New Roman" w:eastAsia="Times New Roman" w:hAnsi="Times New Roman" w:cs="Times New Roman"/>
          <w:color w:val="1F1F1F"/>
          <w:sz w:val="24"/>
          <w:szCs w:val="24"/>
          <w:lang w:eastAsia="fr-FR"/>
        </w:rPr>
        <w:t xml:space="preserve"> 10.3%; </w:t>
      </w:r>
      <w:r w:rsidRPr="00BF6B6E">
        <w:rPr>
          <w:rFonts w:ascii="Times New Roman" w:eastAsia="Times New Roman" w:hAnsi="Times New Roman" w:cs="Times New Roman"/>
          <w:i/>
          <w:color w:val="1F1F1F"/>
          <w:sz w:val="24"/>
          <w:szCs w:val="24"/>
          <w:lang w:eastAsia="fr-FR"/>
        </w:rPr>
        <w:t>Enterobacter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koserii</w:t>
      </w:r>
      <w:r w:rsidRPr="00BF6B6E">
        <w:rPr>
          <w:rFonts w:ascii="Times New Roman" w:eastAsia="Times New Roman" w:hAnsi="Times New Roman" w:cs="Times New Roman"/>
          <w:color w:val="1F1F1F"/>
          <w:sz w:val="24"/>
          <w:szCs w:val="24"/>
          <w:lang w:eastAsia="fr-FR"/>
        </w:rPr>
        <w:t xml:space="preserve"> 1.1%; </w:t>
      </w:r>
      <w:r w:rsidRPr="00BF6B6E">
        <w:rPr>
          <w:rFonts w:ascii="Times New Roman" w:eastAsia="Times New Roman" w:hAnsi="Times New Roman" w:cs="Times New Roman"/>
          <w:i/>
          <w:color w:val="1F1F1F"/>
          <w:sz w:val="24"/>
          <w:szCs w:val="24"/>
          <w:lang w:eastAsia="fr-FR"/>
        </w:rPr>
        <w:t>Enterobacter</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sakazakii</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Escherichia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coli</w:t>
      </w:r>
      <w:r w:rsidRPr="00BF6B6E">
        <w:rPr>
          <w:rFonts w:ascii="Times New Roman" w:eastAsia="Times New Roman" w:hAnsi="Times New Roman" w:cs="Times New Roman"/>
          <w:color w:val="1F1F1F"/>
          <w:sz w:val="24"/>
          <w:szCs w:val="24"/>
          <w:lang w:eastAsia="fr-FR"/>
        </w:rPr>
        <w:t xml:space="preserve"> 29.9%; </w:t>
      </w:r>
      <w:r w:rsidRPr="00BF6B6E">
        <w:rPr>
          <w:rFonts w:ascii="Times New Roman" w:eastAsia="Times New Roman" w:hAnsi="Times New Roman" w:cs="Times New Roman"/>
          <w:i/>
          <w:color w:val="1F1F1F"/>
          <w:sz w:val="24"/>
          <w:szCs w:val="24"/>
          <w:lang w:eastAsia="fr-FR"/>
        </w:rPr>
        <w:t>Flaviomonas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Horzitiabita</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Flaviomonas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luteola</w:t>
      </w:r>
      <w:r w:rsidRPr="00BF6B6E">
        <w:rPr>
          <w:rFonts w:ascii="Times New Roman" w:eastAsia="Times New Roman" w:hAnsi="Times New Roman" w:cs="Times New Roman"/>
          <w:color w:val="1F1F1F"/>
          <w:sz w:val="24"/>
          <w:szCs w:val="24"/>
          <w:lang w:eastAsia="fr-FR"/>
        </w:rPr>
        <w:t xml:space="preserve"> 1.1%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arizonnae</w:t>
      </w:r>
      <w:r w:rsidRPr="00BF6B6E">
        <w:rPr>
          <w:rFonts w:ascii="Times New Roman" w:eastAsia="Times New Roman" w:hAnsi="Times New Roman" w:cs="Times New Roman"/>
          <w:color w:val="1F1F1F"/>
          <w:sz w:val="24"/>
          <w:szCs w:val="24"/>
          <w:lang w:eastAsia="fr-FR"/>
        </w:rPr>
        <w:t xml:space="preserve"> 1.1%;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ornithinolytica</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oxytoca</w:t>
      </w:r>
      <w:r w:rsidRPr="00BF6B6E">
        <w:rPr>
          <w:rFonts w:ascii="Times New Roman" w:eastAsia="Times New Roman" w:hAnsi="Times New Roman" w:cs="Times New Roman"/>
          <w:color w:val="1F1F1F"/>
          <w:sz w:val="24"/>
          <w:szCs w:val="24"/>
          <w:lang w:eastAsia="fr-FR"/>
        </w:rPr>
        <w:t xml:space="preserve"> 3.4%Klebsiella ozaenae1.1%;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pneumoniae</w:t>
      </w:r>
      <w:r w:rsidRPr="00BF6B6E">
        <w:rPr>
          <w:rFonts w:ascii="Times New Roman" w:eastAsia="Times New Roman" w:hAnsi="Times New Roman" w:cs="Times New Roman"/>
          <w:color w:val="1F1F1F"/>
          <w:sz w:val="24"/>
          <w:szCs w:val="24"/>
          <w:lang w:eastAsia="fr-FR"/>
        </w:rPr>
        <w:t xml:space="preserve"> 3.4%; </w:t>
      </w:r>
      <w:r w:rsidRPr="00BF6B6E">
        <w:rPr>
          <w:rFonts w:ascii="Times New Roman" w:eastAsia="Times New Roman" w:hAnsi="Times New Roman" w:cs="Times New Roman"/>
          <w:i/>
          <w:color w:val="1F1F1F"/>
          <w:sz w:val="24"/>
          <w:szCs w:val="24"/>
          <w:lang w:eastAsia="fr-FR"/>
        </w:rPr>
        <w:t>Klebsiella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spp</w:t>
      </w:r>
      <w:r w:rsidRPr="00BF6B6E">
        <w:rPr>
          <w:rFonts w:ascii="Times New Roman" w:eastAsia="Times New Roman" w:hAnsi="Times New Roman" w:cs="Times New Roman"/>
          <w:color w:val="1F1F1F"/>
          <w:sz w:val="24"/>
          <w:szCs w:val="24"/>
          <w:lang w:eastAsia="fr-FR"/>
        </w:rPr>
        <w:t xml:space="preserve"> 10.3%; </w:t>
      </w:r>
      <w:r w:rsidRPr="00BF6B6E">
        <w:rPr>
          <w:rFonts w:ascii="Times New Roman" w:eastAsia="Times New Roman" w:hAnsi="Times New Roman" w:cs="Times New Roman"/>
          <w:i/>
          <w:color w:val="1F1F1F"/>
          <w:sz w:val="24"/>
          <w:szCs w:val="24"/>
          <w:lang w:eastAsia="fr-FR"/>
        </w:rPr>
        <w:t>Proteus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mirabilis</w:t>
      </w:r>
      <w:r w:rsidRPr="00BF6B6E">
        <w:rPr>
          <w:rFonts w:ascii="Times New Roman" w:eastAsia="Times New Roman" w:hAnsi="Times New Roman" w:cs="Times New Roman"/>
          <w:color w:val="1F1F1F"/>
          <w:sz w:val="24"/>
          <w:szCs w:val="24"/>
          <w:lang w:eastAsia="fr-FR"/>
        </w:rPr>
        <w:t xml:space="preserve"> 8.0%; </w:t>
      </w:r>
      <w:r w:rsidRPr="00BF6B6E">
        <w:rPr>
          <w:rFonts w:ascii="Times New Roman" w:eastAsia="Times New Roman" w:hAnsi="Times New Roman" w:cs="Times New Roman"/>
          <w:i/>
          <w:color w:val="1F1F1F"/>
          <w:sz w:val="24"/>
          <w:szCs w:val="24"/>
          <w:lang w:eastAsia="fr-FR"/>
        </w:rPr>
        <w:t>Pseudomonas</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aeruginosa</w:t>
      </w:r>
      <w:r w:rsidRPr="00BF6B6E">
        <w:rPr>
          <w:rFonts w:ascii="Times New Roman" w:eastAsia="Times New Roman" w:hAnsi="Times New Roman" w:cs="Times New Roman"/>
          <w:color w:val="1F1F1F"/>
          <w:sz w:val="24"/>
          <w:szCs w:val="24"/>
          <w:lang w:eastAsia="fr-FR"/>
        </w:rPr>
        <w:t xml:space="preserve"> 4.6%; </w:t>
      </w:r>
      <w:r w:rsidRPr="00BF6B6E">
        <w:rPr>
          <w:rFonts w:ascii="Times New Roman" w:eastAsia="Times New Roman" w:hAnsi="Times New Roman" w:cs="Times New Roman"/>
          <w:i/>
          <w:color w:val="1F1F1F"/>
          <w:sz w:val="24"/>
          <w:szCs w:val="24"/>
          <w:lang w:eastAsia="fr-FR"/>
        </w:rPr>
        <w:t>Serratia</w:t>
      </w:r>
      <w:r w:rsidRPr="00BF6B6E">
        <w:rPr>
          <w:rFonts w:ascii="Times New Roman" w:eastAsia="Times New Roman" w:hAnsi="Times New Roman" w:cs="Times New Roman"/>
          <w:color w:val="1F1F1F"/>
          <w:sz w:val="24"/>
          <w:szCs w:val="24"/>
          <w:lang w:eastAsia="fr-FR"/>
        </w:rPr>
        <w:t xml:space="preserve"> </w:t>
      </w:r>
      <w:r w:rsidRPr="00BF6B6E">
        <w:rPr>
          <w:rFonts w:ascii="Times New Roman" w:eastAsia="Times New Roman" w:hAnsi="Times New Roman" w:cs="Times New Roman"/>
          <w:i/>
          <w:color w:val="1F1F1F"/>
          <w:sz w:val="24"/>
          <w:szCs w:val="24"/>
          <w:lang w:eastAsia="fr-FR"/>
        </w:rPr>
        <w:t>liquefaciens</w:t>
      </w:r>
      <w:r w:rsidRPr="00BF6B6E">
        <w:rPr>
          <w:rFonts w:ascii="Times New Roman" w:eastAsia="Times New Roman" w:hAnsi="Times New Roman" w:cs="Times New Roman"/>
          <w:color w:val="1F1F1F"/>
          <w:sz w:val="24"/>
          <w:szCs w:val="24"/>
          <w:lang w:eastAsia="fr-FR"/>
        </w:rPr>
        <w:t xml:space="preserve"> 1.1%.</w:t>
      </w:r>
      <w:r w:rsidRPr="0057271C">
        <w:rPr>
          <w:rFonts w:ascii="Times New Roman" w:eastAsia="Times New Roman" w:hAnsi="Times New Roman" w:cs="Times New Roman"/>
          <w:color w:val="1F1F1F"/>
          <w:sz w:val="24"/>
          <w:szCs w:val="24"/>
          <w:lang w:eastAsia="fr-FR"/>
        </w:rPr>
        <w:t xml:space="preserve"> </w:t>
      </w:r>
      <w:proofErr w:type="gramStart"/>
      <w:r w:rsidR="00BF6B6E" w:rsidRPr="00BF6B6E">
        <w:rPr>
          <w:rFonts w:ascii="Times New Roman" w:eastAsia="Times New Roman" w:hAnsi="Times New Roman" w:cs="Times New Roman"/>
          <w:color w:val="1F1F1F"/>
          <w:sz w:val="24"/>
          <w:szCs w:val="24"/>
          <w:lang w:eastAsia="fr-FR"/>
        </w:rPr>
        <w:t>the</w:t>
      </w:r>
      <w:proofErr w:type="gramEnd"/>
      <w:r w:rsidR="00BF6B6E" w:rsidRPr="00BF6B6E">
        <w:rPr>
          <w:rFonts w:ascii="Times New Roman" w:eastAsia="Times New Roman" w:hAnsi="Times New Roman" w:cs="Times New Roman"/>
          <w:color w:val="1F1F1F"/>
          <w:sz w:val="24"/>
          <w:szCs w:val="24"/>
          <w:lang w:eastAsia="fr-FR"/>
        </w:rPr>
        <w:t xml:space="preserve"> proportion of beta-lactam resistance genes was 69% for the TEM gene.</w:t>
      </w:r>
      <w:r w:rsidRPr="0057271C">
        <w:rPr>
          <w:rFonts w:ascii="Times New Roman" w:eastAsia="Times New Roman" w:hAnsi="Times New Roman" w:cs="Times New Roman"/>
          <w:color w:val="1F1F1F"/>
          <w:sz w:val="24"/>
          <w:szCs w:val="24"/>
          <w:lang w:eastAsia="fr-FR"/>
        </w:rPr>
        <w:t>27.6% for ctxM1, and absent for the ctxM2 gene. The observed quino</w:t>
      </w:r>
      <w:r w:rsidR="00644E3C">
        <w:rPr>
          <w:rFonts w:ascii="Times New Roman" w:eastAsia="Times New Roman" w:hAnsi="Times New Roman" w:cs="Times New Roman"/>
          <w:color w:val="1F1F1F"/>
          <w:sz w:val="24"/>
          <w:szCs w:val="24"/>
          <w:lang w:eastAsia="fr-FR"/>
        </w:rPr>
        <w:t xml:space="preserve">lone </w:t>
      </w:r>
      <w:r w:rsidR="00BF6B6E">
        <w:rPr>
          <w:rFonts w:ascii="Times New Roman" w:eastAsia="Times New Roman" w:hAnsi="Times New Roman" w:cs="Times New Roman"/>
          <w:color w:val="1F1F1F"/>
          <w:sz w:val="24"/>
          <w:szCs w:val="24"/>
          <w:lang w:eastAsia="fr-FR"/>
        </w:rPr>
        <w:t xml:space="preserve">genotypic </w:t>
      </w:r>
      <w:r w:rsidR="00644E3C">
        <w:rPr>
          <w:rFonts w:ascii="Times New Roman" w:eastAsia="Times New Roman" w:hAnsi="Times New Roman" w:cs="Times New Roman"/>
          <w:color w:val="1F1F1F"/>
          <w:sz w:val="24"/>
          <w:szCs w:val="24"/>
          <w:lang w:eastAsia="fr-FR"/>
        </w:rPr>
        <w:t xml:space="preserve">resistance genes were qnrb </w:t>
      </w:r>
      <w:r w:rsidRPr="0057271C">
        <w:rPr>
          <w:rFonts w:ascii="Times New Roman" w:eastAsia="Times New Roman" w:hAnsi="Times New Roman" w:cs="Times New Roman"/>
          <w:color w:val="1F1F1F"/>
          <w:sz w:val="24"/>
          <w:szCs w:val="24"/>
          <w:lang w:eastAsia="fr-FR"/>
        </w:rPr>
        <w:t>at 18% and SHV at 21.5%.</w:t>
      </w:r>
    </w:p>
    <w:p w14:paraId="58F7CAE8"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1F1F1F"/>
          <w:sz w:val="24"/>
          <w:szCs w:val="24"/>
          <w:lang w:eastAsia="fr-FR"/>
        </w:rPr>
      </w:pPr>
      <w:r w:rsidRPr="0057271C">
        <w:rPr>
          <w:rFonts w:ascii="inherit" w:eastAsia="Times New Roman" w:hAnsi="inherit" w:cs="Courier New"/>
          <w:b/>
          <w:color w:val="1F1F1F"/>
          <w:sz w:val="24"/>
          <w:szCs w:val="24"/>
          <w:lang w:eastAsia="fr-FR"/>
        </w:rPr>
        <w:t>Conclusion</w:t>
      </w:r>
    </w:p>
    <w:p w14:paraId="353013AD" w14:textId="77777777"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57271C">
        <w:rPr>
          <w:rFonts w:ascii="inherit" w:eastAsia="Times New Roman" w:hAnsi="inherit" w:cs="Courier New"/>
          <w:color w:val="1F1F1F"/>
          <w:sz w:val="24"/>
          <w:szCs w:val="24"/>
          <w:lang w:eastAsia="fr-FR"/>
        </w:rPr>
        <w:t>Phenotypic and genomic research on antibiotic resistance in peanut paste samples sold in the city of Bangui revealed the presence of resistance genes to beta-lactams and quinolones. The detection of these resistance genes in a food sample poses a serious problem for consumer health and therapeutic management in human medicine.</w:t>
      </w:r>
    </w:p>
    <w:p w14:paraId="106FB52F"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57271C">
        <w:rPr>
          <w:rFonts w:ascii="Times New Roman" w:eastAsia="Times New Roman" w:hAnsi="Times New Roman" w:cs="Times New Roman"/>
          <w:b/>
          <w:color w:val="1F1F1F"/>
          <w:sz w:val="24"/>
          <w:szCs w:val="24"/>
          <w:lang w:eastAsia="fr-FR"/>
        </w:rPr>
        <w:t>Keywords: Peanut butter; Beta-lactam; Quinolone, Bangui</w:t>
      </w:r>
    </w:p>
    <w:p w14:paraId="28867DAE"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p>
    <w:p w14:paraId="4A903921"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Introduction</w:t>
      </w:r>
    </w:p>
    <w:p w14:paraId="19EC7451" w14:textId="51FAD570" w:rsidR="00D50771" w:rsidRPr="008E0D3C" w:rsidRDefault="00BF6B6E" w:rsidP="008E0D3C">
      <w:pPr>
        <w:pStyle w:val="HTMLPreformatted"/>
        <w:jc w:val="both"/>
        <w:rPr>
          <w:rFonts w:ascii="inherit" w:eastAsia="Times New Roman" w:hAnsi="inherit" w:cs="Courier New"/>
          <w:color w:val="1F1F1F"/>
          <w:sz w:val="24"/>
          <w:szCs w:val="24"/>
          <w:lang w:eastAsia="fr-FR"/>
        </w:rPr>
      </w:pPr>
      <w:r w:rsidRPr="00BF6B6E">
        <w:rPr>
          <w:rFonts w:ascii="Times New Roman" w:eastAsia="Times New Roman" w:hAnsi="Times New Roman" w:cs="Times New Roman"/>
          <w:color w:val="1F1F1F"/>
          <w:sz w:val="24"/>
          <w:szCs w:val="24"/>
          <w:lang w:eastAsia="fr-FR"/>
        </w:rPr>
        <w:t>Antibiotic resistance in bacterial strains is a major global public health problem due to self-medication, misuse, and the presence of antibiotic residues in food. This is compounded by the presence of pathogens carrying antibiotic resistance genes, which can transfer this res</w:t>
      </w:r>
      <w:r w:rsidR="008E0D3C">
        <w:rPr>
          <w:rFonts w:ascii="Times New Roman" w:eastAsia="Times New Roman" w:hAnsi="Times New Roman" w:cs="Times New Roman"/>
          <w:color w:val="1F1F1F"/>
          <w:sz w:val="24"/>
          <w:szCs w:val="24"/>
          <w:lang w:eastAsia="fr-FR"/>
        </w:rPr>
        <w:t xml:space="preserve">istance to infected individuals </w:t>
      </w:r>
      <w:r w:rsidR="00D50771" w:rsidRPr="00D50771">
        <w:rPr>
          <w:rFonts w:ascii="Times New Roman" w:eastAsia="Times New Roman" w:hAnsi="Times New Roman" w:cs="Times New Roman"/>
          <w:color w:val="1F1F1F"/>
          <w:sz w:val="24"/>
          <w:szCs w:val="24"/>
          <w:lang w:eastAsia="fr-FR"/>
        </w:rPr>
        <w:t xml:space="preserve">[1]. The discovery of antibiotics has long facilitated </w:t>
      </w:r>
      <w:r w:rsidR="00D50771" w:rsidRPr="008E0D3C">
        <w:rPr>
          <w:rFonts w:ascii="inherit" w:eastAsia="Times New Roman" w:hAnsi="inherit" w:cs="Courier New"/>
          <w:color w:val="1F1F1F"/>
          <w:sz w:val="24"/>
          <w:szCs w:val="24"/>
          <w:lang w:eastAsia="fr-FR"/>
        </w:rPr>
        <w:t xml:space="preserve">therapeutic decision-making and the appropriate management of bacterial infections. However, bacteria have very rapidly developed antibiotic resistance, which continues to evolve globally [2]. Bacterial resistance to antibiotics is expressed by the fact that bacteria acquire resistance to an antibiotic drug to which they were previously susceptible [3][2]. A bacterium can be naturally (or intrinsically) resistant to certain </w:t>
      </w:r>
      <w:proofErr w:type="gramStart"/>
      <w:r w:rsidR="00D50771" w:rsidRPr="008E0D3C">
        <w:rPr>
          <w:rFonts w:ascii="inherit" w:eastAsia="Times New Roman" w:hAnsi="inherit" w:cs="Courier New"/>
          <w:color w:val="1F1F1F"/>
          <w:sz w:val="24"/>
          <w:szCs w:val="24"/>
          <w:lang w:eastAsia="fr-FR"/>
        </w:rPr>
        <w:t>antibiotics;</w:t>
      </w:r>
      <w:proofErr w:type="gramEnd"/>
      <w:r w:rsidR="00D50771" w:rsidRPr="008E0D3C">
        <w:rPr>
          <w:rFonts w:ascii="inherit" w:eastAsia="Times New Roman" w:hAnsi="inherit" w:cs="Courier New"/>
          <w:color w:val="1F1F1F"/>
          <w:sz w:val="24"/>
          <w:szCs w:val="24"/>
          <w:lang w:eastAsia="fr-FR"/>
        </w:rPr>
        <w:t xml:space="preserve"> this resistance mechanism is then part of its genetic makeup and is transmitted to its offspring chromosomally [4].This is also a problem falling within the One Health concept, which could </w:t>
      </w:r>
      <w:r w:rsidR="00D50771" w:rsidRPr="008E0D3C">
        <w:rPr>
          <w:rFonts w:ascii="inherit" w:eastAsia="Times New Roman" w:hAnsi="inherit" w:cs="Courier New"/>
          <w:color w:val="1F1F1F"/>
          <w:sz w:val="24"/>
          <w:szCs w:val="24"/>
          <w:lang w:eastAsia="fr-FR"/>
        </w:rPr>
        <w:lastRenderedPageBreak/>
        <w:t>impact the population consuming food containing antibiotic-resistant pathogens [5][6]. Bacteria, and in particular Enterobacteriaceae, are most often implicated, through a multitude of resistance mechanisms. The considerable consequences of this resistance include a significant increase in mortality, morbidity, and the high cost of treatment [7][8]. The presence of medically important germs in food generates a social and economic burden despite good hygiene practices in production facilities, aimed at combating the transmission of foodborne bacterial diseases [9].The safety of food products for human consumption is becoming an increasingly important public health concern. Global forecasts of individual and/or collective foodborne illnesses have shown that each year, one in ten people becomes ill after consuming food contaminated with pathogenic germs and/or their toxins. A global estimate of over 91 million cases and 137,000 deaths per year [4]. The emergence of antibiotic-resistant bacteria in food is a complex mechanism that can transfer disease-causing bacteria to humans through microorganism interaction or human contact with food, which could ensure the transfer of antibiotic-resistant bacteria into food intended for human consumption [</w:t>
      </w:r>
      <w:proofErr w:type="gramStart"/>
      <w:r w:rsidR="00D50771" w:rsidRPr="008E0D3C">
        <w:rPr>
          <w:rFonts w:ascii="inherit" w:eastAsia="Times New Roman" w:hAnsi="inherit" w:cs="Courier New"/>
          <w:color w:val="1F1F1F"/>
          <w:sz w:val="24"/>
          <w:szCs w:val="24"/>
          <w:lang w:eastAsia="fr-FR"/>
        </w:rPr>
        <w:t>10][</w:t>
      </w:r>
      <w:proofErr w:type="gramEnd"/>
      <w:r w:rsidR="00D50771" w:rsidRPr="008E0D3C">
        <w:rPr>
          <w:rFonts w:ascii="inherit" w:eastAsia="Times New Roman" w:hAnsi="inherit" w:cs="Courier New"/>
          <w:color w:val="1F1F1F"/>
          <w:sz w:val="24"/>
          <w:szCs w:val="24"/>
          <w:lang w:eastAsia="fr-FR"/>
        </w:rPr>
        <w:t xml:space="preserve">11]. </w:t>
      </w:r>
      <w:r w:rsidR="008E0D3C" w:rsidRPr="008E0D3C">
        <w:rPr>
          <w:rFonts w:ascii="inherit" w:eastAsia="Times New Roman" w:hAnsi="inherit" w:cs="Courier New"/>
          <w:color w:val="1F1F1F"/>
          <w:sz w:val="24"/>
          <w:szCs w:val="24"/>
          <w:lang w:eastAsia="fr-FR"/>
        </w:rPr>
        <w:t xml:space="preserve">Certain African regions are disproportionately affected by the problem of foodborne pathogens, including salmonella, </w:t>
      </w:r>
      <w:r w:rsidR="008E0D3C" w:rsidRPr="008E0D3C">
        <w:rPr>
          <w:rFonts w:ascii="inherit" w:eastAsia="Times New Roman" w:hAnsi="inherit" w:cs="Courier New"/>
          <w:i/>
          <w:color w:val="1F1F1F"/>
          <w:sz w:val="24"/>
          <w:szCs w:val="24"/>
          <w:lang w:eastAsia="fr-FR"/>
        </w:rPr>
        <w:t xml:space="preserve">Escherichia </w:t>
      </w:r>
      <w:proofErr w:type="gramStart"/>
      <w:r w:rsidR="008E0D3C" w:rsidRPr="008E0D3C">
        <w:rPr>
          <w:rFonts w:ascii="inherit" w:eastAsia="Times New Roman" w:hAnsi="inherit" w:cs="Courier New"/>
          <w:i/>
          <w:color w:val="1F1F1F"/>
          <w:sz w:val="24"/>
          <w:szCs w:val="24"/>
          <w:lang w:eastAsia="fr-FR"/>
        </w:rPr>
        <w:t>coli</w:t>
      </w:r>
      <w:r w:rsidR="00D50771" w:rsidRPr="00D50771">
        <w:rPr>
          <w:rFonts w:ascii="inherit" w:eastAsia="Times New Roman" w:hAnsi="inherit" w:cs="Courier New"/>
          <w:color w:val="1F1F1F"/>
          <w:sz w:val="24"/>
          <w:szCs w:val="24"/>
          <w:lang w:eastAsia="fr-FR"/>
        </w:rPr>
        <w:t>[</w:t>
      </w:r>
      <w:proofErr w:type="gramEnd"/>
      <w:r w:rsidR="00D50771" w:rsidRPr="00D50771">
        <w:rPr>
          <w:rFonts w:ascii="inherit" w:eastAsia="Times New Roman" w:hAnsi="inherit" w:cs="Courier New"/>
          <w:color w:val="1F1F1F"/>
          <w:sz w:val="24"/>
          <w:szCs w:val="24"/>
          <w:lang w:eastAsia="fr-FR"/>
        </w:rPr>
        <w:t>12]. In the Central African Republic, peanut paste is a popular culinary staple, consumed directly as butter or as an ingredient. However, the artisanal production methods, sales processes, and physicochemical and nutritional composition mean that peanut paste is highly susceptible to microbial contamination [</w:t>
      </w:r>
      <w:proofErr w:type="gramStart"/>
      <w:r w:rsidR="00D50771" w:rsidRPr="00D50771">
        <w:rPr>
          <w:rFonts w:ascii="inherit" w:eastAsia="Times New Roman" w:hAnsi="inherit" w:cs="Courier New"/>
          <w:color w:val="1F1F1F"/>
          <w:sz w:val="24"/>
          <w:szCs w:val="24"/>
          <w:lang w:eastAsia="fr-FR"/>
        </w:rPr>
        <w:t>13][</w:t>
      </w:r>
      <w:proofErr w:type="gramEnd"/>
      <w:r w:rsidR="00D50771" w:rsidRPr="00D50771">
        <w:rPr>
          <w:rFonts w:ascii="inherit" w:eastAsia="Times New Roman" w:hAnsi="inherit" w:cs="Courier New"/>
          <w:color w:val="1F1F1F"/>
          <w:sz w:val="24"/>
          <w:szCs w:val="24"/>
          <w:lang w:eastAsia="fr-FR"/>
        </w:rPr>
        <w:t>14]. Few studies have been conducted on antibiotic resistance in bacterial strains found in food in the Central African Republic. It is within this context that this study was conducted, with the objective of determining the phenotypic and genomic resistance of bacteria isolated from peanut paste sold in the city of Bangui.</w:t>
      </w:r>
    </w:p>
    <w:p w14:paraId="1F370C4A"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Materials and Methods</w:t>
      </w:r>
    </w:p>
    <w:p w14:paraId="1DDF2397"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50771">
        <w:rPr>
          <w:rFonts w:ascii="Times New Roman" w:eastAsia="Times New Roman" w:hAnsi="Times New Roman" w:cs="Times New Roman"/>
          <w:color w:val="1F1F1F"/>
          <w:sz w:val="24"/>
          <w:szCs w:val="24"/>
          <w:lang w:eastAsia="fr-FR"/>
        </w:rPr>
        <w:t>Biological Material</w:t>
      </w:r>
    </w:p>
    <w:p w14:paraId="14650DE2" w14:textId="58F8329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50771">
        <w:rPr>
          <w:rFonts w:ascii="Times New Roman" w:eastAsia="Times New Roman" w:hAnsi="Times New Roman" w:cs="Times New Roman"/>
          <w:color w:val="1F1F1F"/>
          <w:sz w:val="24"/>
          <w:szCs w:val="24"/>
          <w:lang w:eastAsia="fr-FR"/>
        </w:rPr>
        <w:t xml:space="preserve">The biological material consisted of isolates (Enterobacteriaceae) isolated from </w:t>
      </w:r>
      <w:r w:rsidR="00877CCA">
        <w:rPr>
          <w:rFonts w:ascii="Times New Roman" w:eastAsia="Times New Roman" w:hAnsi="Times New Roman" w:cs="Times New Roman"/>
          <w:color w:val="1F1F1F"/>
          <w:sz w:val="24"/>
          <w:szCs w:val="24"/>
          <w:lang w:eastAsia="fr-FR"/>
        </w:rPr>
        <w:t xml:space="preserve">320 </w:t>
      </w:r>
      <w:r w:rsidR="00877CCA" w:rsidRPr="00D50771">
        <w:rPr>
          <w:rFonts w:ascii="Times New Roman" w:eastAsia="Times New Roman" w:hAnsi="Times New Roman" w:cs="Times New Roman"/>
          <w:color w:val="1F1F1F"/>
          <w:sz w:val="24"/>
          <w:szCs w:val="24"/>
          <w:lang w:eastAsia="fr-FR"/>
        </w:rPr>
        <w:t xml:space="preserve">samples </w:t>
      </w:r>
      <w:r w:rsidR="00877CCA">
        <w:rPr>
          <w:rFonts w:ascii="Times New Roman" w:eastAsia="Times New Roman" w:hAnsi="Times New Roman" w:cs="Times New Roman"/>
          <w:color w:val="1F1F1F"/>
          <w:sz w:val="24"/>
          <w:szCs w:val="24"/>
          <w:lang w:eastAsia="fr-FR"/>
        </w:rPr>
        <w:t xml:space="preserve">of </w:t>
      </w:r>
      <w:r w:rsidRPr="00D50771">
        <w:rPr>
          <w:rFonts w:ascii="Times New Roman" w:eastAsia="Times New Roman" w:hAnsi="Times New Roman" w:cs="Times New Roman"/>
          <w:color w:val="1F1F1F"/>
          <w:sz w:val="24"/>
          <w:szCs w:val="24"/>
          <w:lang w:eastAsia="fr-FR"/>
        </w:rPr>
        <w:t>peanut paste.</w:t>
      </w:r>
    </w:p>
    <w:p w14:paraId="03D24928"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Sampling</w:t>
      </w:r>
    </w:p>
    <w:p w14:paraId="354D43E5" w14:textId="77777777"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50771">
        <w:rPr>
          <w:rFonts w:ascii="Times New Roman" w:eastAsia="Times New Roman" w:hAnsi="Times New Roman" w:cs="Times New Roman"/>
          <w:color w:val="1F1F1F"/>
          <w:sz w:val="24"/>
          <w:szCs w:val="24"/>
          <w:lang w:eastAsia="fr-FR"/>
        </w:rPr>
        <w:t>51 strains of Enterobacteriaceae of medical interest isolated and identified from peanut paste were used as isolates in this study.</w:t>
      </w:r>
    </w:p>
    <w:p w14:paraId="70328327"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50771">
        <w:rPr>
          <w:rFonts w:ascii="Times New Roman" w:eastAsia="Times New Roman" w:hAnsi="Times New Roman" w:cs="Times New Roman"/>
          <w:b/>
          <w:color w:val="1F1F1F"/>
          <w:sz w:val="24"/>
          <w:szCs w:val="24"/>
          <w:lang w:eastAsia="fr-FR"/>
        </w:rPr>
        <w:t>Bacteriological Analysis</w:t>
      </w:r>
    </w:p>
    <w:p w14:paraId="5CDE5CA3" w14:textId="4DE9383F" w:rsidR="00D928DD" w:rsidRPr="008154DE" w:rsidRDefault="00D50771" w:rsidP="00F07886">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r w:rsidRPr="00D50771">
        <w:rPr>
          <w:rFonts w:ascii="Times New Roman" w:eastAsia="Times New Roman" w:hAnsi="Times New Roman" w:cs="Times New Roman"/>
          <w:color w:val="1F1F1F"/>
          <w:sz w:val="24"/>
          <w:szCs w:val="24"/>
          <w:lang w:eastAsia="fr-FR"/>
        </w:rPr>
        <w:t xml:space="preserve">Strain isolation and identification were based on conventional bacteriological techniques and official methods for microbiological food analysis [15]. The stock solution was prepared according to the guidelines of the French standard (NF EN ISO 4833, 2006). 25 g of each sample was weighed and suspended in 225 mL of buffered peptone water and incubated for 24 h at 37°C [16]. Inoculation was performed on the surface of the agar plates. 10 µL of the stock solution was streaked onto the surface of Salmonella and </w:t>
      </w:r>
      <w:proofErr w:type="gramStart"/>
      <w:r w:rsidRPr="00D50771">
        <w:rPr>
          <w:rFonts w:ascii="Times New Roman" w:eastAsia="Times New Roman" w:hAnsi="Times New Roman" w:cs="Times New Roman"/>
          <w:color w:val="1F1F1F"/>
          <w:sz w:val="24"/>
          <w:szCs w:val="24"/>
          <w:lang w:eastAsia="fr-FR"/>
        </w:rPr>
        <w:t>Shigella;</w:t>
      </w:r>
      <w:proofErr w:type="gramEnd"/>
      <w:r w:rsidRPr="00D50771">
        <w:rPr>
          <w:rFonts w:ascii="Times New Roman" w:eastAsia="Times New Roman" w:hAnsi="Times New Roman" w:cs="Times New Roman"/>
          <w:color w:val="1F1F1F"/>
          <w:sz w:val="24"/>
          <w:szCs w:val="24"/>
          <w:lang w:eastAsia="fr-FR"/>
        </w:rPr>
        <w:t xml:space="preserve"> Mac Cockney, Hektowen, and Bile Esculin Asilia agar plates, which were incubated at 3</w:t>
      </w:r>
      <w:r w:rsidR="00877CCA">
        <w:rPr>
          <w:rFonts w:ascii="Times New Roman" w:eastAsia="Times New Roman" w:hAnsi="Times New Roman" w:cs="Times New Roman"/>
          <w:color w:val="1F1F1F"/>
          <w:sz w:val="24"/>
          <w:szCs w:val="24"/>
          <w:lang w:eastAsia="fr-FR"/>
        </w:rPr>
        <w:t>7</w:t>
      </w:r>
      <w:r w:rsidRPr="00D50771">
        <w:rPr>
          <w:rFonts w:ascii="Times New Roman" w:eastAsia="Times New Roman" w:hAnsi="Times New Roman" w:cs="Times New Roman"/>
          <w:color w:val="1F1F1F"/>
          <w:sz w:val="24"/>
          <w:szCs w:val="24"/>
          <w:lang w:eastAsia="fr-FR"/>
        </w:rPr>
        <w:t>°C for 24 hours. After 24 hours of incubation, viable colonies developed on the surface of the agar plates. An isolated colony was collected and replicated on Muller Hinton agar to obtain a pure strain, which was then identified using the Api20E gallery. Identification was based on the study of biochemical characteristics. A supposedly pure strain of the colony was collected and suspended in a volume of physiological saline [</w:t>
      </w:r>
      <w:proofErr w:type="gramStart"/>
      <w:r w:rsidRPr="00D50771">
        <w:rPr>
          <w:rFonts w:ascii="Times New Roman" w:eastAsia="Times New Roman" w:hAnsi="Times New Roman" w:cs="Times New Roman"/>
          <w:color w:val="1F1F1F"/>
          <w:sz w:val="24"/>
          <w:szCs w:val="24"/>
          <w:lang w:eastAsia="fr-FR"/>
        </w:rPr>
        <w:t>17][</w:t>
      </w:r>
      <w:proofErr w:type="gramEnd"/>
      <w:r w:rsidRPr="00D50771">
        <w:rPr>
          <w:rFonts w:ascii="Times New Roman" w:eastAsia="Times New Roman" w:hAnsi="Times New Roman" w:cs="Times New Roman"/>
          <w:color w:val="1F1F1F"/>
          <w:sz w:val="24"/>
          <w:szCs w:val="24"/>
          <w:lang w:eastAsia="fr-FR"/>
        </w:rPr>
        <w:t>18].</w:t>
      </w:r>
      <w:r w:rsidR="00D928DD" w:rsidRPr="00D928DD">
        <w:rPr>
          <w:rFonts w:ascii="Times New Roman" w:eastAsia="Times New Roman" w:hAnsi="Times New Roman" w:cs="Times New Roman"/>
          <w:color w:val="1F1F1F"/>
          <w:sz w:val="24"/>
          <w:szCs w:val="24"/>
          <w:lang w:eastAsia="fr-FR"/>
        </w:rPr>
        <w:t xml:space="preserve">A small amount of water was placed in the bottom wells to create a humid atmosphere in the gallery. The reference number of each strain was marked on the side tab of the gallery box. The gallery was inoculated using a sterile Pasteur pipette filled with bacterial suspension. The tip of the pipette was placed on one side of the well, allowing the suspension to flow gently into the well of the slightly tilted plate, while avoiding the formation of air bubbles. The wells marked with boxed characteristics (CIT, VP, GEL) were completely filled, and the underlined characteristics (ADH, LDC, ODC, H2S, URE) were filled to the opening with petroleum jelly. Once inoculation was complete, </w:t>
      </w:r>
      <w:r w:rsidR="00D928DD" w:rsidRPr="00D928DD">
        <w:rPr>
          <w:rFonts w:ascii="Times New Roman" w:eastAsia="Times New Roman" w:hAnsi="Times New Roman" w:cs="Times New Roman"/>
          <w:color w:val="1F1F1F"/>
          <w:sz w:val="24"/>
          <w:szCs w:val="24"/>
          <w:lang w:eastAsia="fr-FR"/>
        </w:rPr>
        <w:lastRenderedPageBreak/>
        <w:t xml:space="preserve">the plate was incubated at 37°C for 18 to 24 hours.The gallery was read by verifying the purity of the strain in an orderly and methodical manner after checking the glucose well and reading any other identification tubes. All manipulations were performed aseptically under a laminar flow hood. Antibiotic susceptibility testing was carried out using the Mueller-Hinton agar diffusion method according to the recommendations of the French Society for Microbiology's Antibiogram Committee (CA-SFM version </w:t>
      </w:r>
      <w:proofErr w:type="gramStart"/>
      <w:r w:rsidR="00D928DD" w:rsidRPr="00D928DD">
        <w:rPr>
          <w:rFonts w:ascii="Times New Roman" w:eastAsia="Times New Roman" w:hAnsi="Times New Roman" w:cs="Times New Roman"/>
          <w:color w:val="1F1F1F"/>
          <w:sz w:val="24"/>
          <w:szCs w:val="24"/>
          <w:lang w:eastAsia="fr-FR"/>
        </w:rPr>
        <w:t>2020)[</w:t>
      </w:r>
      <w:proofErr w:type="gramEnd"/>
      <w:r w:rsidR="00D928DD" w:rsidRPr="00D928DD">
        <w:rPr>
          <w:rFonts w:ascii="Times New Roman" w:eastAsia="Times New Roman" w:hAnsi="Times New Roman" w:cs="Times New Roman"/>
          <w:color w:val="1F1F1F"/>
          <w:sz w:val="24"/>
          <w:szCs w:val="24"/>
          <w:lang w:eastAsia="fr-FR"/>
        </w:rPr>
        <w:t xml:space="preserve">2][19][20]. The following antibiotic discs were </w:t>
      </w:r>
      <w:proofErr w:type="gramStart"/>
      <w:r w:rsidR="00D928DD" w:rsidRPr="00D928DD">
        <w:rPr>
          <w:rFonts w:ascii="Times New Roman" w:eastAsia="Times New Roman" w:hAnsi="Times New Roman" w:cs="Times New Roman"/>
          <w:color w:val="1F1F1F"/>
          <w:sz w:val="24"/>
          <w:szCs w:val="24"/>
          <w:lang w:eastAsia="fr-FR"/>
        </w:rPr>
        <w:t>used:</w:t>
      </w:r>
      <w:proofErr w:type="gramEnd"/>
      <w:r w:rsidR="00D928DD" w:rsidRPr="00D928DD">
        <w:rPr>
          <w:rFonts w:ascii="Times New Roman" w:eastAsia="Times New Roman" w:hAnsi="Times New Roman" w:cs="Times New Roman"/>
          <w:color w:val="1F1F1F"/>
          <w:sz w:val="24"/>
          <w:szCs w:val="24"/>
          <w:lang w:eastAsia="fr-FR"/>
        </w:rPr>
        <w:t xml:space="preserve"> Ampicillin (10 µg); Amoxicillin + Clavulanic Acid (10 µg); Ticarcillin (75 µg)</w:t>
      </w:r>
      <w:r w:rsidR="00F07886">
        <w:rPr>
          <w:rFonts w:ascii="Times New Roman" w:eastAsia="Times New Roman" w:hAnsi="Times New Roman" w:cs="Times New Roman"/>
          <w:color w:val="1F1F1F"/>
          <w:sz w:val="24"/>
          <w:szCs w:val="24"/>
          <w:lang w:eastAsia="fr-FR"/>
        </w:rPr>
        <w:t>; Cefoxitin (30 µg); Ceftazidim (30 µg); Cefotaxim</w:t>
      </w:r>
      <w:r w:rsidR="00D928DD" w:rsidRPr="00D928DD">
        <w:rPr>
          <w:rFonts w:ascii="Times New Roman" w:eastAsia="Times New Roman" w:hAnsi="Times New Roman" w:cs="Times New Roman"/>
          <w:color w:val="1F1F1F"/>
          <w:sz w:val="24"/>
          <w:szCs w:val="24"/>
          <w:lang w:eastAsia="fr-FR"/>
        </w:rPr>
        <w:t xml:space="preserve"> (30 µg); Cefepime (30 µg); Ceftriaxone (30 µg); Gentamicin (120 µg); Nalixic acid (10 µg); Ciprofloxacin (5 µg); Ampicillin (10 µg). The pure strains obtained were stored at -80°C in Brain Heart Broth (BCC) medium.</w:t>
      </w:r>
    </w:p>
    <w:p w14:paraId="5994C197" w14:textId="77777777" w:rsidR="00D928DD" w:rsidRPr="00644E3C"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644E3C">
        <w:rPr>
          <w:rFonts w:ascii="Times New Roman" w:eastAsia="Times New Roman" w:hAnsi="Times New Roman" w:cs="Times New Roman"/>
          <w:b/>
          <w:color w:val="1F1F1F"/>
          <w:sz w:val="24"/>
          <w:szCs w:val="24"/>
          <w:lang w:eastAsia="fr-FR"/>
        </w:rPr>
        <w:t>Molecular Analysis</w:t>
      </w:r>
    </w:p>
    <w:p w14:paraId="3AD398AB" w14:textId="48E2C3BB" w:rsidR="00D928DD" w:rsidRPr="005D13A4" w:rsidRDefault="00D928DD" w:rsidP="005D13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Antibiotic resistance gene detection was performed using the molecular diagnostic technique for 24-hour post-gene amplification (PCR) strains. This involved bacterial DNA extraction and purification using the Qiagen kit, amplification by conventional PCR, and detection by 1.5% agarose gel electrophoresis</w:t>
      </w:r>
      <w:r w:rsidR="00E70BB7">
        <w:rPr>
          <w:rFonts w:ascii="Times New Roman" w:eastAsia="Times New Roman" w:hAnsi="Times New Roman" w:cs="Times New Roman"/>
          <w:color w:val="1F1F1F"/>
          <w:sz w:val="24"/>
          <w:szCs w:val="24"/>
          <w:lang w:eastAsia="fr-FR"/>
        </w:rPr>
        <w:t>.</w:t>
      </w:r>
      <w:r w:rsidRPr="00D928DD">
        <w:rPr>
          <w:rFonts w:ascii="Times New Roman" w:eastAsia="Times New Roman" w:hAnsi="Times New Roman" w:cs="Times New Roman"/>
          <w:color w:val="1F1F1F"/>
          <w:sz w:val="24"/>
          <w:szCs w:val="24"/>
          <w:lang w:eastAsia="fr-FR"/>
        </w:rPr>
        <w:t xml:space="preserve"> [</w:t>
      </w:r>
      <w:proofErr w:type="gramStart"/>
      <w:r w:rsidRPr="00D928DD">
        <w:rPr>
          <w:rFonts w:ascii="Times New Roman" w:eastAsia="Times New Roman" w:hAnsi="Times New Roman" w:cs="Times New Roman"/>
          <w:color w:val="1F1F1F"/>
          <w:sz w:val="24"/>
          <w:szCs w:val="24"/>
          <w:lang w:eastAsia="fr-FR"/>
        </w:rPr>
        <w:t>10][</w:t>
      </w:r>
      <w:proofErr w:type="gramEnd"/>
      <w:r w:rsidRPr="00D928DD">
        <w:rPr>
          <w:rFonts w:ascii="Times New Roman" w:eastAsia="Times New Roman" w:hAnsi="Times New Roman" w:cs="Times New Roman"/>
          <w:color w:val="1F1F1F"/>
          <w:sz w:val="24"/>
          <w:szCs w:val="24"/>
          <w:lang w:eastAsia="fr-FR"/>
        </w:rPr>
        <w:t xml:space="preserve">21][7][2]. </w:t>
      </w:r>
      <w:r w:rsidRPr="005D13A4">
        <w:rPr>
          <w:rFonts w:ascii="Times New Roman" w:eastAsia="Times New Roman" w:hAnsi="Times New Roman" w:cs="Times New Roman"/>
          <w:color w:val="1F1F1F"/>
          <w:sz w:val="24"/>
          <w:szCs w:val="24"/>
          <w:lang w:eastAsia="fr-FR"/>
        </w:rPr>
        <w:t>Genetic material was extracted from the strains by heat shock. Two mL of distilled water were dispensed into microtubes, proportional to the number of strains used. A few strains were collected, added to the distilled water, homogenized, and incubated in a water bath at 100°C for 5 minutes. The entire system was then centrifuged at 13,000 rpm for 10 minutes. The resulting supernatant consists of the extracted genetic material [10]</w:t>
      </w:r>
      <w:r w:rsidRPr="00D928DD">
        <w:rPr>
          <w:rFonts w:ascii="Times New Roman" w:eastAsia="Times New Roman" w:hAnsi="Times New Roman" w:cs="Times New Roman"/>
          <w:color w:val="1F1F1F"/>
          <w:sz w:val="24"/>
          <w:szCs w:val="24"/>
          <w:lang w:eastAsia="fr-FR"/>
        </w:rPr>
        <w:t xml:space="preserve">.The Master Mix was prepared according to the manufacturer's recommendations. Each component of the kit was placed in a corresponding vial based on the size of the sample to be analyzed. 48 µL of the mix and 2 µL of DNA were taken and placed in the microtube for amplification. The Eppendoorf tube containing 48 µL of the mix and 2 µL of the sample was amplified by </w:t>
      </w:r>
      <w:r w:rsidR="00E70BB7">
        <w:rPr>
          <w:rFonts w:ascii="Times New Roman" w:eastAsia="Times New Roman" w:hAnsi="Times New Roman" w:cs="Times New Roman"/>
          <w:color w:val="1F1F1F"/>
          <w:sz w:val="24"/>
          <w:szCs w:val="24"/>
          <w:lang w:eastAsia="fr-FR"/>
        </w:rPr>
        <w:t xml:space="preserve">conventional </w:t>
      </w:r>
      <w:r w:rsidRPr="00D928DD">
        <w:rPr>
          <w:rFonts w:ascii="Times New Roman" w:eastAsia="Times New Roman" w:hAnsi="Times New Roman" w:cs="Times New Roman"/>
          <w:color w:val="1F1F1F"/>
          <w:sz w:val="24"/>
          <w:szCs w:val="24"/>
          <w:lang w:eastAsia="fr-FR"/>
        </w:rPr>
        <w:t xml:space="preserve">polymerization (PCR). </w:t>
      </w:r>
      <w:r w:rsidR="005D13A4" w:rsidRPr="005D13A4">
        <w:rPr>
          <w:rFonts w:ascii="Times New Roman" w:eastAsia="Times New Roman" w:hAnsi="Times New Roman" w:cs="Times New Roman"/>
          <w:color w:val="1F1F1F"/>
          <w:sz w:val="24"/>
          <w:szCs w:val="24"/>
          <w:lang w:eastAsia="fr-FR"/>
        </w:rPr>
        <w:t xml:space="preserve">Denaturation was performed at a high temperature of 95 °C. Hybridization between 45 and 65 °C characterized the association of target DNA strands by base complementarity, serving as the starting point for polymerization of the complementary strand. Elongation at 72 °C respected the principle of complementarity in the 5' and 3' directions. The newly synthesized strand will serve as a template for the next cycle [22]. The amplified product was visualized by agarose gel electrophoresis. Nucleic acids migrate under the influence of an electric field thanks to ethidium bromide (EBM). Finally, the migration bands were </w:t>
      </w:r>
      <w:proofErr w:type="gramStart"/>
      <w:r w:rsidR="005D13A4" w:rsidRPr="005D13A4">
        <w:rPr>
          <w:rFonts w:ascii="Times New Roman" w:eastAsia="Times New Roman" w:hAnsi="Times New Roman" w:cs="Times New Roman"/>
          <w:color w:val="1F1F1F"/>
          <w:sz w:val="24"/>
          <w:szCs w:val="24"/>
          <w:lang w:eastAsia="fr-FR"/>
        </w:rPr>
        <w:t>visuali</w:t>
      </w:r>
      <w:r w:rsidR="005D13A4">
        <w:rPr>
          <w:rFonts w:ascii="Times New Roman" w:eastAsia="Times New Roman" w:hAnsi="Times New Roman" w:cs="Times New Roman"/>
          <w:color w:val="1F1F1F"/>
          <w:sz w:val="24"/>
          <w:szCs w:val="24"/>
          <w:lang w:eastAsia="fr-FR"/>
        </w:rPr>
        <w:t>zed</w:t>
      </w:r>
      <w:r w:rsidRPr="00D928DD">
        <w:rPr>
          <w:rFonts w:ascii="Times New Roman" w:eastAsia="Times New Roman" w:hAnsi="Times New Roman" w:cs="Times New Roman"/>
          <w:color w:val="1F1F1F"/>
          <w:sz w:val="24"/>
          <w:szCs w:val="24"/>
          <w:lang w:eastAsia="fr-FR"/>
        </w:rPr>
        <w:t>[</w:t>
      </w:r>
      <w:proofErr w:type="gramEnd"/>
      <w:r w:rsidRPr="00D928DD">
        <w:rPr>
          <w:rFonts w:ascii="Times New Roman" w:eastAsia="Times New Roman" w:hAnsi="Times New Roman" w:cs="Times New Roman"/>
          <w:color w:val="1F1F1F"/>
          <w:sz w:val="24"/>
          <w:szCs w:val="24"/>
          <w:lang w:eastAsia="fr-FR"/>
        </w:rPr>
        <w:t>2], [7], [22][10].</w:t>
      </w:r>
    </w:p>
    <w:p w14:paraId="6294B7A7" w14:textId="77777777"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7E567235"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D928DD">
        <w:rPr>
          <w:rFonts w:ascii="Times New Roman" w:eastAsia="Times New Roman" w:hAnsi="Times New Roman" w:cs="Times New Roman"/>
          <w:b/>
          <w:color w:val="1F1F1F"/>
          <w:sz w:val="24"/>
          <w:szCs w:val="24"/>
          <w:lang w:eastAsia="fr-FR"/>
        </w:rPr>
        <w:t>Data Analysis</w:t>
      </w:r>
    </w:p>
    <w:p w14:paraId="556854B6" w14:textId="77777777"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Data were entered into Microsoft Word and Excel 2013 and analyzed using Epi Info 7.2.1.0. Descriptive statistical tests were used to calculate central tendency. With p &lt; 0.05 on two-tailed tests, the results were considered statistically significant with a 95% confidence interval. Some results were expressed as frequencies and percentages, and SPS software was used for some trend analyses.</w:t>
      </w:r>
    </w:p>
    <w:p w14:paraId="1E86B4E4" w14:textId="77777777" w:rsidR="00D928DD" w:rsidRPr="00F07886"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F07886">
        <w:rPr>
          <w:rFonts w:ascii="Times New Roman" w:eastAsia="Times New Roman" w:hAnsi="Times New Roman" w:cs="Times New Roman"/>
          <w:b/>
          <w:color w:val="1F1F1F"/>
          <w:sz w:val="24"/>
          <w:szCs w:val="24"/>
          <w:lang w:eastAsia="fr-FR"/>
        </w:rPr>
        <w:t>Results</w:t>
      </w:r>
    </w:p>
    <w:p w14:paraId="30D66273" w14:textId="66A9DD37"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928DD">
        <w:rPr>
          <w:rFonts w:ascii="Times New Roman" w:eastAsia="Times New Roman" w:hAnsi="Times New Roman" w:cs="Times New Roman"/>
          <w:color w:val="1F1F1F"/>
          <w:sz w:val="24"/>
          <w:szCs w:val="24"/>
          <w:lang w:eastAsia="fr-FR"/>
        </w:rPr>
        <w:t>A total of 51 Enterobacteriaceae strains were isolated and identified, followed by antibiotic susceptibility testing and genotyping of beta-lactam and quinolone resistance genes for each strain.</w:t>
      </w:r>
    </w:p>
    <w:p w14:paraId="2B8BA487"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 xml:space="preserve">Table </w:t>
      </w:r>
      <w:r w:rsidR="00E74B5E">
        <w:rPr>
          <w:rFonts w:ascii="Times New Roman" w:eastAsia="Times New Roman" w:hAnsi="Times New Roman" w:cs="Times New Roman"/>
          <w:color w:val="1F1F1F"/>
          <w:sz w:val="24"/>
          <w:szCs w:val="24"/>
          <w:lang w:eastAsia="fr-FR"/>
        </w:rPr>
        <w:t>1</w:t>
      </w:r>
      <w:r w:rsidRPr="00D928DD">
        <w:rPr>
          <w:rFonts w:ascii="Times New Roman" w:eastAsia="Times New Roman" w:hAnsi="Times New Roman" w:cs="Times New Roman"/>
          <w:color w:val="1F1F1F"/>
          <w:sz w:val="24"/>
          <w:szCs w:val="24"/>
          <w:lang w:eastAsia="fr-FR"/>
        </w:rPr>
        <w:t xml:space="preserve"> presents each type of gene sought, along with the primers and sequences.</w:t>
      </w:r>
    </w:p>
    <w:p w14:paraId="2733A536"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0355DE1D"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1036BBAE"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1ECABE15"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62EAE41F"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683E77D0"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3F875EBF"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474AACB6" w14:textId="77777777"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D928DD">
        <w:rPr>
          <w:rFonts w:ascii="Times New Roman" w:eastAsia="Times New Roman" w:hAnsi="Times New Roman" w:cs="Times New Roman"/>
          <w:color w:val="1F1F1F"/>
          <w:sz w:val="24"/>
          <w:szCs w:val="24"/>
          <w:lang w:eastAsia="fr-FR"/>
        </w:rPr>
        <w:t xml:space="preserve">Table </w:t>
      </w:r>
      <w:proofErr w:type="gramStart"/>
      <w:r w:rsidR="006B2AFA">
        <w:rPr>
          <w:rFonts w:ascii="Times New Roman" w:eastAsia="Times New Roman" w:hAnsi="Times New Roman" w:cs="Times New Roman"/>
          <w:color w:val="1F1F1F"/>
          <w:sz w:val="24"/>
          <w:szCs w:val="24"/>
          <w:lang w:eastAsia="fr-FR"/>
        </w:rPr>
        <w:t>1</w:t>
      </w:r>
      <w:r w:rsidRPr="00D928DD">
        <w:rPr>
          <w:rFonts w:ascii="Times New Roman" w:eastAsia="Times New Roman" w:hAnsi="Times New Roman" w:cs="Times New Roman"/>
          <w:color w:val="1F1F1F"/>
          <w:sz w:val="24"/>
          <w:szCs w:val="24"/>
          <w:lang w:eastAsia="fr-FR"/>
        </w:rPr>
        <w:t>:</w:t>
      </w:r>
      <w:proofErr w:type="gramEnd"/>
      <w:r w:rsidRPr="00D928DD">
        <w:rPr>
          <w:rFonts w:ascii="Times New Roman" w:eastAsia="Times New Roman" w:hAnsi="Times New Roman" w:cs="Times New Roman"/>
          <w:color w:val="1F1F1F"/>
          <w:sz w:val="24"/>
          <w:szCs w:val="24"/>
          <w:lang w:eastAsia="fr-FR"/>
        </w:rPr>
        <w:t xml:space="preserve"> Resistance genes sought.</w:t>
      </w:r>
    </w:p>
    <w:p w14:paraId="16D0AE77" w14:textId="77777777" w:rsidR="009B0DC1" w:rsidRPr="00D928DD"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362"/>
        <w:gridCol w:w="3563"/>
      </w:tblGrid>
      <w:tr w:rsidR="009B0DC1" w:rsidRPr="009B0DC1" w14:paraId="05B300DD" w14:textId="77777777" w:rsidTr="009B523D">
        <w:trPr>
          <w:trHeight w:val="184"/>
          <w:jc w:val="center"/>
        </w:trPr>
        <w:tc>
          <w:tcPr>
            <w:tcW w:w="1843" w:type="dxa"/>
            <w:tcBorders>
              <w:top w:val="single" w:sz="4" w:space="0" w:color="auto"/>
              <w:bottom w:val="single" w:sz="4" w:space="0" w:color="auto"/>
            </w:tcBorders>
          </w:tcPr>
          <w:p w14:paraId="5EC1D7BB"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Genes</w:t>
            </w:r>
          </w:p>
        </w:tc>
        <w:tc>
          <w:tcPr>
            <w:tcW w:w="2362" w:type="dxa"/>
            <w:tcBorders>
              <w:top w:val="single" w:sz="4" w:space="0" w:color="auto"/>
              <w:bottom w:val="single" w:sz="4" w:space="0" w:color="auto"/>
            </w:tcBorders>
          </w:tcPr>
          <w:p w14:paraId="4D7E0C3B"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Primers</w:t>
            </w:r>
          </w:p>
        </w:tc>
        <w:tc>
          <w:tcPr>
            <w:tcW w:w="3563" w:type="dxa"/>
            <w:tcBorders>
              <w:top w:val="single" w:sz="4" w:space="0" w:color="auto"/>
              <w:bottom w:val="single" w:sz="4" w:space="0" w:color="auto"/>
            </w:tcBorders>
          </w:tcPr>
          <w:p w14:paraId="77A81177"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Se</w:t>
            </w:r>
            <w:r w:rsidRPr="009B0DC1">
              <w:rPr>
                <w:rFonts w:ascii="Times New Roman" w:eastAsia="Calibri" w:hAnsi="Times New Roman" w:cs="Times New Roman"/>
                <w:sz w:val="24"/>
                <w:szCs w:val="24"/>
              </w:rPr>
              <w:t>quences</w:t>
            </w:r>
          </w:p>
        </w:tc>
      </w:tr>
      <w:tr w:rsidR="009B0DC1" w:rsidRPr="009B0DC1" w14:paraId="363AE9FA" w14:textId="77777777" w:rsidTr="009B0DC1">
        <w:trPr>
          <w:jc w:val="center"/>
        </w:trPr>
        <w:tc>
          <w:tcPr>
            <w:tcW w:w="1843" w:type="dxa"/>
            <w:vMerge w:val="restart"/>
            <w:tcBorders>
              <w:top w:val="single" w:sz="4" w:space="0" w:color="auto"/>
            </w:tcBorders>
            <w:shd w:val="clear" w:color="auto" w:fill="D5DCE4"/>
          </w:tcPr>
          <w:p w14:paraId="3F34D0DD"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TEM</w:t>
            </w:r>
          </w:p>
        </w:tc>
        <w:tc>
          <w:tcPr>
            <w:tcW w:w="2362" w:type="dxa"/>
            <w:tcBorders>
              <w:top w:val="single" w:sz="4" w:space="0" w:color="auto"/>
            </w:tcBorders>
            <w:shd w:val="clear" w:color="auto" w:fill="D5DCE4"/>
          </w:tcPr>
          <w:p w14:paraId="683D791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Tem-OT3</w:t>
            </w:r>
          </w:p>
        </w:tc>
        <w:tc>
          <w:tcPr>
            <w:tcW w:w="3563" w:type="dxa"/>
            <w:tcBorders>
              <w:top w:val="single" w:sz="4" w:space="0" w:color="auto"/>
            </w:tcBorders>
            <w:shd w:val="clear" w:color="auto" w:fill="D5DCE4"/>
          </w:tcPr>
          <w:p w14:paraId="195A3F4B"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ATGAGTATTCAACATTTCCG</w:t>
            </w:r>
          </w:p>
        </w:tc>
      </w:tr>
      <w:tr w:rsidR="009B0DC1" w:rsidRPr="009B0DC1" w14:paraId="6DC47452" w14:textId="77777777" w:rsidTr="009B0DC1">
        <w:trPr>
          <w:jc w:val="center"/>
        </w:trPr>
        <w:tc>
          <w:tcPr>
            <w:tcW w:w="1843" w:type="dxa"/>
            <w:vMerge/>
            <w:shd w:val="clear" w:color="auto" w:fill="D5DCE4"/>
          </w:tcPr>
          <w:p w14:paraId="0D2EEB7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5DCE4"/>
          </w:tcPr>
          <w:p w14:paraId="5C0C37A7"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Tem-OT4</w:t>
            </w:r>
          </w:p>
        </w:tc>
        <w:tc>
          <w:tcPr>
            <w:tcW w:w="3563" w:type="dxa"/>
            <w:shd w:val="clear" w:color="auto" w:fill="D5DCE4"/>
          </w:tcPr>
          <w:p w14:paraId="5BBFF26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CCAATGCTTAATCAGTGAGG</w:t>
            </w:r>
          </w:p>
        </w:tc>
      </w:tr>
      <w:tr w:rsidR="009B0DC1" w:rsidRPr="009B0DC1" w14:paraId="600C07C4" w14:textId="77777777" w:rsidTr="009B0DC1">
        <w:trPr>
          <w:jc w:val="center"/>
        </w:trPr>
        <w:tc>
          <w:tcPr>
            <w:tcW w:w="1843" w:type="dxa"/>
            <w:vMerge w:val="restart"/>
            <w:shd w:val="clear" w:color="auto" w:fill="FBE4D5"/>
          </w:tcPr>
          <w:p w14:paraId="24AF727D"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ctx-M1</w:t>
            </w:r>
          </w:p>
        </w:tc>
        <w:tc>
          <w:tcPr>
            <w:tcW w:w="2362" w:type="dxa"/>
            <w:shd w:val="clear" w:color="auto" w:fill="FBE4D5"/>
          </w:tcPr>
          <w:p w14:paraId="79C7F34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ctxM1(+)</w:t>
            </w:r>
          </w:p>
        </w:tc>
        <w:tc>
          <w:tcPr>
            <w:tcW w:w="3563" w:type="dxa"/>
            <w:shd w:val="clear" w:color="auto" w:fill="FBE4D5"/>
          </w:tcPr>
          <w:p w14:paraId="06CC209E"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GGTTAAAAAATCACTGCGTC</w:t>
            </w:r>
          </w:p>
        </w:tc>
      </w:tr>
      <w:tr w:rsidR="009B0DC1" w:rsidRPr="009B0DC1" w14:paraId="4C488B85" w14:textId="77777777" w:rsidTr="009B0DC1">
        <w:trPr>
          <w:jc w:val="center"/>
        </w:trPr>
        <w:tc>
          <w:tcPr>
            <w:tcW w:w="1843" w:type="dxa"/>
            <w:vMerge/>
            <w:shd w:val="clear" w:color="auto" w:fill="FBE4D5"/>
          </w:tcPr>
          <w:p w14:paraId="4892D726"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BE4D5"/>
          </w:tcPr>
          <w:p w14:paraId="4454AAB1"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ctxM1(-)</w:t>
            </w:r>
          </w:p>
        </w:tc>
        <w:tc>
          <w:tcPr>
            <w:tcW w:w="3563" w:type="dxa"/>
            <w:shd w:val="clear" w:color="auto" w:fill="FBE4D5"/>
          </w:tcPr>
          <w:p w14:paraId="7F2512A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TTGGTGACGATTTTAGCCGC</w:t>
            </w:r>
          </w:p>
        </w:tc>
      </w:tr>
      <w:tr w:rsidR="009B0DC1" w:rsidRPr="009B0DC1" w14:paraId="28E336FB" w14:textId="77777777" w:rsidTr="009B0DC1">
        <w:trPr>
          <w:jc w:val="center"/>
        </w:trPr>
        <w:tc>
          <w:tcPr>
            <w:tcW w:w="1843" w:type="dxa"/>
            <w:vMerge w:val="restart"/>
            <w:shd w:val="clear" w:color="auto" w:fill="EDEDED"/>
          </w:tcPr>
          <w:p w14:paraId="161D4FDA"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ctx-M2</w:t>
            </w:r>
          </w:p>
        </w:tc>
        <w:tc>
          <w:tcPr>
            <w:tcW w:w="2362" w:type="dxa"/>
            <w:shd w:val="clear" w:color="auto" w:fill="EDEDED"/>
          </w:tcPr>
          <w:p w14:paraId="7D8D0C33"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ctxM2(+)</w:t>
            </w:r>
          </w:p>
        </w:tc>
        <w:tc>
          <w:tcPr>
            <w:tcW w:w="3563" w:type="dxa"/>
            <w:shd w:val="clear" w:color="auto" w:fill="EDEDED"/>
          </w:tcPr>
          <w:p w14:paraId="2719EE9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ATGATGACTCAGAGCATTCG</w:t>
            </w:r>
          </w:p>
        </w:tc>
      </w:tr>
      <w:tr w:rsidR="009B0DC1" w:rsidRPr="009B0DC1" w14:paraId="39078E23" w14:textId="77777777" w:rsidTr="009B0DC1">
        <w:trPr>
          <w:jc w:val="center"/>
        </w:trPr>
        <w:tc>
          <w:tcPr>
            <w:tcW w:w="1843" w:type="dxa"/>
            <w:vMerge/>
            <w:shd w:val="clear" w:color="auto" w:fill="EDEDED"/>
          </w:tcPr>
          <w:p w14:paraId="2FC0F50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DEDED"/>
          </w:tcPr>
          <w:p w14:paraId="1884F014"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ctxM2(-)</w:t>
            </w:r>
          </w:p>
        </w:tc>
        <w:tc>
          <w:tcPr>
            <w:tcW w:w="3563" w:type="dxa"/>
            <w:shd w:val="clear" w:color="auto" w:fill="EDEDED"/>
          </w:tcPr>
          <w:p w14:paraId="3EFADD46"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TGGGTTACGATTTTCGCCGC</w:t>
            </w:r>
          </w:p>
        </w:tc>
      </w:tr>
      <w:tr w:rsidR="009B0DC1" w:rsidRPr="009B0DC1" w14:paraId="202132AE" w14:textId="77777777" w:rsidTr="009B0DC1">
        <w:trPr>
          <w:jc w:val="center"/>
        </w:trPr>
        <w:tc>
          <w:tcPr>
            <w:tcW w:w="1843" w:type="dxa"/>
            <w:vMerge w:val="restart"/>
            <w:shd w:val="clear" w:color="auto" w:fill="FFF2CC"/>
          </w:tcPr>
          <w:p w14:paraId="71E4A808"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qnrA</w:t>
            </w:r>
          </w:p>
        </w:tc>
        <w:tc>
          <w:tcPr>
            <w:tcW w:w="2362" w:type="dxa"/>
            <w:shd w:val="clear" w:color="auto" w:fill="FFF2CC"/>
          </w:tcPr>
          <w:p w14:paraId="6C0F3A8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14:paraId="1F4473F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TGCCAGGCACAGATCTTGAC</w:t>
            </w:r>
          </w:p>
        </w:tc>
      </w:tr>
      <w:tr w:rsidR="009B0DC1" w:rsidRPr="009B0DC1" w14:paraId="1543A706" w14:textId="77777777" w:rsidTr="009B0DC1">
        <w:trPr>
          <w:jc w:val="center"/>
        </w:trPr>
        <w:tc>
          <w:tcPr>
            <w:tcW w:w="1843" w:type="dxa"/>
            <w:vMerge/>
            <w:shd w:val="clear" w:color="auto" w:fill="FFF2CC"/>
          </w:tcPr>
          <w:p w14:paraId="34A20B4A"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FF2CC"/>
          </w:tcPr>
          <w:p w14:paraId="4797D3B3"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14:paraId="26A14E4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TTCTCACGCCAGGATTTGAG</w:t>
            </w:r>
          </w:p>
        </w:tc>
      </w:tr>
      <w:tr w:rsidR="009B0DC1" w:rsidRPr="009B0DC1" w14:paraId="433C078C" w14:textId="77777777" w:rsidTr="009B0DC1">
        <w:trPr>
          <w:jc w:val="center"/>
        </w:trPr>
        <w:tc>
          <w:tcPr>
            <w:tcW w:w="1843" w:type="dxa"/>
            <w:vMerge w:val="restart"/>
            <w:shd w:val="clear" w:color="auto" w:fill="D9E2F3"/>
          </w:tcPr>
          <w:p w14:paraId="5F6B4661"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qnrB</w:t>
            </w:r>
          </w:p>
        </w:tc>
        <w:tc>
          <w:tcPr>
            <w:tcW w:w="2362" w:type="dxa"/>
            <w:shd w:val="clear" w:color="auto" w:fill="D9E2F3"/>
          </w:tcPr>
          <w:p w14:paraId="3177CFBB"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14:paraId="5C690044"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TGGCGAAAAAATTRACAGAA</w:t>
            </w:r>
          </w:p>
        </w:tc>
      </w:tr>
      <w:tr w:rsidR="009B0DC1" w:rsidRPr="009B0DC1" w14:paraId="4258104A" w14:textId="77777777" w:rsidTr="009B0DC1">
        <w:trPr>
          <w:jc w:val="center"/>
        </w:trPr>
        <w:tc>
          <w:tcPr>
            <w:tcW w:w="1843" w:type="dxa"/>
            <w:vMerge/>
            <w:shd w:val="clear" w:color="auto" w:fill="D9E2F3"/>
          </w:tcPr>
          <w:p w14:paraId="70FA4D57"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9E2F3"/>
          </w:tcPr>
          <w:p w14:paraId="4D75E76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14:paraId="3F3A804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GAGCAACGAYGCCTGGTAG</w:t>
            </w:r>
          </w:p>
        </w:tc>
      </w:tr>
      <w:tr w:rsidR="009B0DC1" w:rsidRPr="009B0DC1" w14:paraId="58E808D6" w14:textId="77777777" w:rsidTr="009B0DC1">
        <w:trPr>
          <w:jc w:val="center"/>
        </w:trPr>
        <w:tc>
          <w:tcPr>
            <w:tcW w:w="1843" w:type="dxa"/>
            <w:vMerge w:val="restart"/>
            <w:shd w:val="clear" w:color="auto" w:fill="E2EFD9"/>
          </w:tcPr>
          <w:p w14:paraId="4775C152"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SHV</w:t>
            </w:r>
          </w:p>
        </w:tc>
        <w:tc>
          <w:tcPr>
            <w:tcW w:w="2362" w:type="dxa"/>
            <w:shd w:val="clear" w:color="auto" w:fill="E2EFD9"/>
          </w:tcPr>
          <w:p w14:paraId="0B8649D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SHV-OS5</w:t>
            </w:r>
          </w:p>
        </w:tc>
        <w:tc>
          <w:tcPr>
            <w:tcW w:w="3563" w:type="dxa"/>
            <w:shd w:val="clear" w:color="auto" w:fill="E2EFD9"/>
          </w:tcPr>
          <w:p w14:paraId="39CBC241"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TTATCTCCCTGTTAGCCACC</w:t>
            </w:r>
          </w:p>
        </w:tc>
      </w:tr>
      <w:tr w:rsidR="009B0DC1" w:rsidRPr="009B0DC1" w14:paraId="630F7AF7" w14:textId="77777777" w:rsidTr="009B0DC1">
        <w:trPr>
          <w:jc w:val="center"/>
        </w:trPr>
        <w:tc>
          <w:tcPr>
            <w:tcW w:w="1843" w:type="dxa"/>
            <w:vMerge/>
            <w:shd w:val="clear" w:color="auto" w:fill="E2EFD9"/>
          </w:tcPr>
          <w:p w14:paraId="58A7CFA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2EFD9"/>
          </w:tcPr>
          <w:p w14:paraId="38D75387"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SHV-OS6</w:t>
            </w:r>
          </w:p>
        </w:tc>
        <w:tc>
          <w:tcPr>
            <w:tcW w:w="3563" w:type="dxa"/>
            <w:shd w:val="clear" w:color="auto" w:fill="E2EFD9"/>
          </w:tcPr>
          <w:p w14:paraId="37AC2B8C"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GATTTGCTGATTTCGCTCGG</w:t>
            </w:r>
          </w:p>
        </w:tc>
      </w:tr>
    </w:tbl>
    <w:p w14:paraId="63ED3F27"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32846C2E" w14:textId="77777777" w:rsidR="008014DA" w:rsidRDefault="008014D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1F9CAAD0" w14:textId="77777777" w:rsidR="009B0DC1" w:rsidRPr="008154DE"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9B0DC1">
        <w:rPr>
          <w:rFonts w:ascii="Times New Roman" w:eastAsia="Times New Roman" w:hAnsi="Times New Roman" w:cs="Times New Roman"/>
          <w:color w:val="1F1F1F"/>
          <w:sz w:val="24"/>
          <w:szCs w:val="24"/>
          <w:lang w:eastAsia="fr-FR"/>
        </w:rPr>
        <w:t>Figure 1 shows the overall proportion of contamination of peanut pastes by enterobacteria of medical interest, of which 54% of the peanut pastes were contaminated.</w:t>
      </w:r>
    </w:p>
    <w:p w14:paraId="5851B9C3" w14:textId="77777777" w:rsidR="00D50771" w:rsidRPr="008154DE" w:rsidRDefault="00D50771" w:rsidP="00644E3C">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p>
    <w:p w14:paraId="525063A0" w14:textId="77777777"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710ADFA4" w14:textId="77777777" w:rsidR="009B0DC1" w:rsidRPr="008154DE" w:rsidRDefault="009B0DC1" w:rsidP="00644E3C">
      <w:pPr>
        <w:jc w:val="both"/>
        <w:rPr>
          <w:lang w:val="en-US"/>
        </w:rPr>
      </w:pPr>
    </w:p>
    <w:p w14:paraId="493293B5" w14:textId="77777777" w:rsidR="009B0DC1" w:rsidRPr="009B0DC1" w:rsidRDefault="00644E3C" w:rsidP="00AA79D9">
      <w:pPr>
        <w:jc w:val="center"/>
      </w:pPr>
      <w:r>
        <w:rPr>
          <w:noProof/>
          <w:lang w:eastAsia="fr-FR"/>
        </w:rPr>
        <w:drawing>
          <wp:inline distT="0" distB="0" distL="0" distR="0" wp14:anchorId="4CE284CE" wp14:editId="290DA928">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596DC8" w14:textId="77777777" w:rsidR="009B0DC1"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eastAsia="fr-FR"/>
        </w:rPr>
      </w:pPr>
      <w:r w:rsidRPr="009B0DC1">
        <w:rPr>
          <w:rFonts w:ascii="inherit" w:eastAsia="Times New Roman" w:hAnsi="inherit" w:cs="Courier New"/>
          <w:color w:val="1F1F1F"/>
          <w:sz w:val="24"/>
          <w:szCs w:val="24"/>
          <w:lang w:eastAsia="fr-FR"/>
        </w:rPr>
        <w:t>Figure 1: Prevalence of contamination of peanut paste by germs of medical interest</w:t>
      </w:r>
    </w:p>
    <w:p w14:paraId="65D56221"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eastAsia="fr-FR"/>
        </w:rPr>
      </w:pPr>
    </w:p>
    <w:p w14:paraId="462268F9" w14:textId="77777777" w:rsidR="00644E3C" w:rsidRPr="008154DE"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val="en-US" w:eastAsia="fr-FR"/>
        </w:rPr>
      </w:pPr>
    </w:p>
    <w:p w14:paraId="31220242"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00BD63BD"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7CA80141"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54451246" w14:textId="77777777"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sidRPr="00E372DE">
        <w:rPr>
          <w:rFonts w:ascii="Times New Roman" w:eastAsia="Times New Roman" w:hAnsi="Times New Roman" w:cs="Times New Roman"/>
          <w:color w:val="1F1F1F"/>
          <w:sz w:val="24"/>
          <w:szCs w:val="24"/>
          <w:lang w:eastAsia="fr-FR"/>
        </w:rPr>
        <w:t>Figure 2 shows the proportion of the different bacterial species isolated.</w:t>
      </w:r>
    </w:p>
    <w:p w14:paraId="78DAEFF4" w14:textId="77777777" w:rsidR="00157EAA" w:rsidRDefault="00E372DE" w:rsidP="00644E3C">
      <w:pPr>
        <w:tabs>
          <w:tab w:val="left" w:pos="2309"/>
        </w:tabs>
        <w:jc w:val="both"/>
      </w:pPr>
      <w:r>
        <w:rPr>
          <w:noProof/>
          <w:lang w:eastAsia="fr-FR"/>
        </w:rPr>
        <w:drawing>
          <wp:inline distT="0" distB="0" distL="0" distR="0" wp14:anchorId="0C1F379B" wp14:editId="4157838D">
            <wp:extent cx="5472752" cy="2477069"/>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344C65" w14:textId="77777777" w:rsid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Table 2</w:t>
      </w:r>
      <w:r w:rsidR="00E372DE" w:rsidRPr="00E372DE">
        <w:rPr>
          <w:rFonts w:ascii="Times New Roman" w:eastAsia="Times New Roman" w:hAnsi="Times New Roman" w:cs="Times New Roman"/>
          <w:color w:val="1F1F1F"/>
          <w:sz w:val="24"/>
          <w:szCs w:val="24"/>
          <w:lang w:eastAsia="fr-FR"/>
        </w:rPr>
        <w:t xml:space="preserve"> presents the different phenotypic proportions of antibiotic resistance.</w:t>
      </w:r>
    </w:p>
    <w:p w14:paraId="455870FD" w14:textId="1091FEC8" w:rsidR="00784644" w:rsidRDefault="00784644" w:rsidP="0078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fr-FR"/>
        </w:rPr>
      </w:pPr>
      <w:r w:rsidRPr="00784644">
        <w:rPr>
          <w:rFonts w:ascii="Times New Roman" w:eastAsia="Times New Roman" w:hAnsi="Times New Roman" w:cs="Times New Roman"/>
          <w:i/>
          <w:color w:val="1F1F1F"/>
          <w:sz w:val="24"/>
          <w:szCs w:val="24"/>
          <w:lang w:eastAsia="fr-FR"/>
        </w:rPr>
        <w:t>Escherichia coli</w:t>
      </w:r>
      <w:r w:rsidRPr="00784644">
        <w:rPr>
          <w:rFonts w:ascii="Times New Roman" w:eastAsia="Times New Roman" w:hAnsi="Times New Roman" w:cs="Times New Roman"/>
          <w:color w:val="1F1F1F"/>
          <w:sz w:val="24"/>
          <w:szCs w:val="24"/>
          <w:lang w:eastAsia="fr-FR"/>
        </w:rPr>
        <w:t xml:space="preserve"> represents 29.90%, </w:t>
      </w:r>
      <w:r w:rsidRPr="00784644">
        <w:rPr>
          <w:rFonts w:ascii="Times New Roman" w:eastAsia="Times New Roman" w:hAnsi="Times New Roman" w:cs="Times New Roman"/>
          <w:i/>
          <w:color w:val="1F1F1F"/>
          <w:sz w:val="24"/>
          <w:szCs w:val="24"/>
          <w:lang w:eastAsia="fr-FR"/>
        </w:rPr>
        <w:t>Enterobacter</w:t>
      </w:r>
      <w:r>
        <w:rPr>
          <w:rFonts w:ascii="Times New Roman" w:eastAsia="Times New Roman" w:hAnsi="Times New Roman" w:cs="Times New Roman"/>
          <w:i/>
          <w:color w:val="1F1F1F"/>
          <w:sz w:val="24"/>
          <w:szCs w:val="24"/>
          <w:lang w:eastAsia="fr-FR"/>
        </w:rPr>
        <w:t xml:space="preserve"> cloac</w:t>
      </w:r>
      <w:r w:rsidRPr="00784644">
        <w:rPr>
          <w:rFonts w:ascii="Times New Roman" w:eastAsia="Times New Roman" w:hAnsi="Times New Roman" w:cs="Times New Roman"/>
          <w:i/>
          <w:color w:val="1F1F1F"/>
          <w:sz w:val="24"/>
          <w:szCs w:val="24"/>
          <w:lang w:eastAsia="fr-FR"/>
        </w:rPr>
        <w:t>ae</w:t>
      </w:r>
      <w:r w:rsidRPr="00784644">
        <w:rPr>
          <w:rFonts w:ascii="Times New Roman" w:eastAsia="Times New Roman" w:hAnsi="Times New Roman" w:cs="Times New Roman"/>
          <w:color w:val="1F1F1F"/>
          <w:sz w:val="24"/>
          <w:szCs w:val="24"/>
          <w:lang w:eastAsia="fr-FR"/>
        </w:rPr>
        <w:t xml:space="preserve"> and </w:t>
      </w:r>
      <w:r w:rsidRPr="00784644">
        <w:rPr>
          <w:rFonts w:ascii="Times New Roman" w:eastAsia="Times New Roman" w:hAnsi="Times New Roman" w:cs="Times New Roman"/>
          <w:i/>
          <w:color w:val="1F1F1F"/>
          <w:sz w:val="24"/>
          <w:szCs w:val="24"/>
          <w:lang w:eastAsia="fr-FR"/>
        </w:rPr>
        <w:t>Klebsiella</w:t>
      </w:r>
      <w:r w:rsidRPr="00784644">
        <w:rPr>
          <w:rFonts w:ascii="Times New Roman" w:eastAsia="Times New Roman" w:hAnsi="Times New Roman" w:cs="Times New Roman"/>
          <w:color w:val="1F1F1F"/>
          <w:sz w:val="24"/>
          <w:szCs w:val="24"/>
          <w:lang w:eastAsia="fr-FR"/>
        </w:rPr>
        <w:t xml:space="preserve"> </w:t>
      </w:r>
      <w:r w:rsidRPr="00784644">
        <w:rPr>
          <w:rFonts w:ascii="Times New Roman" w:eastAsia="Times New Roman" w:hAnsi="Times New Roman" w:cs="Times New Roman"/>
          <w:i/>
          <w:color w:val="1F1F1F"/>
          <w:sz w:val="24"/>
          <w:szCs w:val="24"/>
          <w:lang w:eastAsia="fr-FR"/>
        </w:rPr>
        <w:t>spp</w:t>
      </w:r>
      <w:r w:rsidRPr="00784644">
        <w:rPr>
          <w:rFonts w:ascii="Times New Roman" w:eastAsia="Times New Roman" w:hAnsi="Times New Roman" w:cs="Times New Roman"/>
          <w:color w:val="1F1F1F"/>
          <w:sz w:val="24"/>
          <w:szCs w:val="24"/>
          <w:lang w:eastAsia="fr-FR"/>
        </w:rPr>
        <w:t>. 10.30%, followed by Proteus mirabilis with 8</w:t>
      </w:r>
      <w:r>
        <w:rPr>
          <w:rFonts w:ascii="Times New Roman" w:eastAsia="Times New Roman" w:hAnsi="Times New Roman" w:cs="Times New Roman"/>
          <w:color w:val="1F1F1F"/>
          <w:sz w:val="24"/>
          <w:szCs w:val="24"/>
          <w:lang w:eastAsia="fr-FR"/>
        </w:rPr>
        <w:t>,0</w:t>
      </w:r>
      <w:r w:rsidRPr="00784644">
        <w:rPr>
          <w:rFonts w:ascii="Times New Roman" w:eastAsia="Times New Roman" w:hAnsi="Times New Roman" w:cs="Times New Roman"/>
          <w:color w:val="1F1F1F"/>
          <w:sz w:val="24"/>
          <w:szCs w:val="24"/>
          <w:lang w:eastAsia="fr-FR"/>
        </w:rPr>
        <w:t>%.</w:t>
      </w:r>
    </w:p>
    <w:p w14:paraId="555E9CED" w14:textId="77777777" w:rsidR="00784644" w:rsidRDefault="00784644" w:rsidP="0078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1F1F"/>
          <w:sz w:val="24"/>
          <w:szCs w:val="24"/>
          <w:lang w:eastAsia="fr-FR"/>
        </w:rPr>
      </w:pPr>
    </w:p>
    <w:p w14:paraId="2B636FC5" w14:textId="77777777" w:rsid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Table 2</w:t>
      </w:r>
      <w:r w:rsidR="00E372DE" w:rsidRPr="00E372DE">
        <w:rPr>
          <w:rFonts w:ascii="Times New Roman" w:eastAsia="Times New Roman" w:hAnsi="Times New Roman" w:cs="Times New Roman"/>
          <w:color w:val="1F1F1F"/>
          <w:sz w:val="24"/>
          <w:szCs w:val="24"/>
          <w:lang w:eastAsia="fr-FR"/>
        </w:rPr>
        <w:t>: Phenotypic profile of antibiotic resistance</w:t>
      </w:r>
    </w:p>
    <w:tbl>
      <w:tblPr>
        <w:tblW w:w="976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38"/>
        <w:gridCol w:w="656"/>
        <w:gridCol w:w="901"/>
        <w:gridCol w:w="668"/>
        <w:gridCol w:w="497"/>
        <w:gridCol w:w="620"/>
        <w:gridCol w:w="776"/>
        <w:gridCol w:w="620"/>
        <w:gridCol w:w="620"/>
        <w:gridCol w:w="620"/>
        <w:gridCol w:w="465"/>
        <w:gridCol w:w="620"/>
        <w:gridCol w:w="466"/>
      </w:tblGrid>
      <w:tr w:rsidR="007C2FF5" w:rsidRPr="00E372DE" w14:paraId="38071A62" w14:textId="77777777" w:rsidTr="007C2FF5">
        <w:trPr>
          <w:trHeight w:val="1849"/>
          <w:jc w:val="center"/>
        </w:trPr>
        <w:tc>
          <w:tcPr>
            <w:tcW w:w="2238" w:type="dxa"/>
            <w:tcBorders>
              <w:top w:val="single" w:sz="4" w:space="0" w:color="auto"/>
              <w:bottom w:val="single" w:sz="4" w:space="0" w:color="auto"/>
            </w:tcBorders>
            <w:shd w:val="clear" w:color="000000" w:fill="FFD966"/>
            <w:noWrap/>
            <w:vAlign w:val="center"/>
            <w:hideMark/>
          </w:tcPr>
          <w:p w14:paraId="20C3B170" w14:textId="77777777" w:rsidR="007C2FF5" w:rsidRPr="00E372DE" w:rsidRDefault="007C2FF5" w:rsidP="00644E3C">
            <w:pPr>
              <w:spacing w:after="0" w:line="240" w:lineRule="auto"/>
              <w:jc w:val="both"/>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Germs isolated</w:t>
            </w:r>
          </w:p>
        </w:tc>
        <w:tc>
          <w:tcPr>
            <w:tcW w:w="656" w:type="dxa"/>
            <w:tcBorders>
              <w:top w:val="single" w:sz="4" w:space="0" w:color="auto"/>
              <w:bottom w:val="single" w:sz="4" w:space="0" w:color="auto"/>
            </w:tcBorders>
            <w:shd w:val="clear" w:color="000000" w:fill="FFD966"/>
            <w:noWrap/>
            <w:textDirection w:val="btLr"/>
            <w:vAlign w:val="center"/>
            <w:hideMark/>
          </w:tcPr>
          <w:p w14:paraId="0E7ACA24"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Ampicillin10ug (</w:t>
            </w:r>
            <w:r w:rsidRPr="00E372DE">
              <w:rPr>
                <w:rFonts w:ascii="Calibri" w:eastAsia="Times New Roman" w:hAnsi="Calibri" w:cs="Calibri"/>
                <w:b/>
                <w:bCs/>
                <w:color w:val="000000"/>
                <w:sz w:val="16"/>
                <w:szCs w:val="16"/>
                <w:lang w:eastAsia="fr-FR"/>
              </w:rPr>
              <w:t>%</w:t>
            </w:r>
            <w:r w:rsidRPr="00E372DE">
              <w:rPr>
                <w:rFonts w:ascii="Times New Roman" w:eastAsia="Times New Roman" w:hAnsi="Times New Roman" w:cs="Times New Roman"/>
                <w:b/>
                <w:bCs/>
                <w:color w:val="000000"/>
                <w:sz w:val="16"/>
                <w:szCs w:val="16"/>
                <w:lang w:eastAsia="fr-FR"/>
              </w:rPr>
              <w:t>)</w:t>
            </w:r>
          </w:p>
        </w:tc>
        <w:tc>
          <w:tcPr>
            <w:tcW w:w="901" w:type="dxa"/>
            <w:tcBorders>
              <w:top w:val="single" w:sz="4" w:space="0" w:color="auto"/>
              <w:bottom w:val="single" w:sz="4" w:space="0" w:color="auto"/>
            </w:tcBorders>
            <w:shd w:val="clear" w:color="000000" w:fill="FFD966"/>
            <w:noWrap/>
            <w:textDirection w:val="btLr"/>
            <w:vAlign w:val="center"/>
            <w:hideMark/>
          </w:tcPr>
          <w:p w14:paraId="17A98040"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Amoxicillin+Acide</w:t>
            </w:r>
          </w:p>
          <w:p w14:paraId="5CA9E16D"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Clavulanique20ug (%)</w:t>
            </w:r>
          </w:p>
        </w:tc>
        <w:tc>
          <w:tcPr>
            <w:tcW w:w="668" w:type="dxa"/>
            <w:tcBorders>
              <w:top w:val="single" w:sz="4" w:space="0" w:color="auto"/>
              <w:bottom w:val="single" w:sz="4" w:space="0" w:color="auto"/>
            </w:tcBorders>
            <w:shd w:val="clear" w:color="000000" w:fill="FFD966"/>
            <w:noWrap/>
            <w:textDirection w:val="btLr"/>
            <w:vAlign w:val="center"/>
            <w:hideMark/>
          </w:tcPr>
          <w:p w14:paraId="7C3A0C0E"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Ticarcillin 75ug (%)</w:t>
            </w:r>
          </w:p>
        </w:tc>
        <w:tc>
          <w:tcPr>
            <w:tcW w:w="497" w:type="dxa"/>
            <w:tcBorders>
              <w:top w:val="single" w:sz="4" w:space="0" w:color="auto"/>
              <w:bottom w:val="single" w:sz="4" w:space="0" w:color="auto"/>
            </w:tcBorders>
            <w:shd w:val="clear" w:color="000000" w:fill="FFD966"/>
            <w:noWrap/>
            <w:textDirection w:val="btLr"/>
            <w:vAlign w:val="center"/>
            <w:hideMark/>
          </w:tcPr>
          <w:p w14:paraId="59ED5FC8"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Cefotaxim5ug (%)</w:t>
            </w:r>
          </w:p>
        </w:tc>
        <w:tc>
          <w:tcPr>
            <w:tcW w:w="620" w:type="dxa"/>
            <w:tcBorders>
              <w:top w:val="single" w:sz="4" w:space="0" w:color="auto"/>
              <w:bottom w:val="single" w:sz="4" w:space="0" w:color="auto"/>
            </w:tcBorders>
            <w:shd w:val="clear" w:color="000000" w:fill="FFD966"/>
            <w:noWrap/>
            <w:textDirection w:val="btLr"/>
            <w:vAlign w:val="center"/>
            <w:hideMark/>
          </w:tcPr>
          <w:p w14:paraId="02806EAD"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Cefoxitin30ug (%)</w:t>
            </w:r>
          </w:p>
        </w:tc>
        <w:tc>
          <w:tcPr>
            <w:tcW w:w="776" w:type="dxa"/>
            <w:tcBorders>
              <w:top w:val="single" w:sz="4" w:space="0" w:color="auto"/>
              <w:bottom w:val="single" w:sz="4" w:space="0" w:color="auto"/>
            </w:tcBorders>
            <w:shd w:val="clear" w:color="000000" w:fill="FFD966"/>
            <w:noWrap/>
            <w:textDirection w:val="btLr"/>
            <w:vAlign w:val="center"/>
            <w:hideMark/>
          </w:tcPr>
          <w:p w14:paraId="14228F5C"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Ceftazidime 10ug (%)</w:t>
            </w:r>
          </w:p>
        </w:tc>
        <w:tc>
          <w:tcPr>
            <w:tcW w:w="620" w:type="dxa"/>
            <w:tcBorders>
              <w:top w:val="single" w:sz="4" w:space="0" w:color="auto"/>
              <w:bottom w:val="single" w:sz="4" w:space="0" w:color="auto"/>
            </w:tcBorders>
            <w:shd w:val="clear" w:color="000000" w:fill="FFD966"/>
            <w:noWrap/>
            <w:textDirection w:val="btLr"/>
            <w:vAlign w:val="center"/>
            <w:hideMark/>
          </w:tcPr>
          <w:p w14:paraId="0CE26BDB"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Cefotaxim </w:t>
            </w:r>
            <w:r w:rsidRPr="00E372DE">
              <w:rPr>
                <w:rFonts w:ascii="Times New Roman" w:eastAsia="Times New Roman" w:hAnsi="Times New Roman" w:cs="Times New Roman"/>
                <w:b/>
                <w:bCs/>
                <w:color w:val="000000"/>
                <w:sz w:val="16"/>
                <w:szCs w:val="16"/>
                <w:lang w:eastAsia="fr-FR"/>
              </w:rPr>
              <w:t>(%)</w:t>
            </w:r>
          </w:p>
        </w:tc>
        <w:tc>
          <w:tcPr>
            <w:tcW w:w="620" w:type="dxa"/>
            <w:tcBorders>
              <w:top w:val="single" w:sz="4" w:space="0" w:color="auto"/>
              <w:bottom w:val="single" w:sz="4" w:space="0" w:color="auto"/>
            </w:tcBorders>
            <w:shd w:val="clear" w:color="000000" w:fill="FFD966"/>
            <w:noWrap/>
            <w:textDirection w:val="btLr"/>
            <w:vAlign w:val="center"/>
            <w:hideMark/>
          </w:tcPr>
          <w:p w14:paraId="65507A36"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Cefepime30ug (%)</w:t>
            </w:r>
          </w:p>
        </w:tc>
        <w:tc>
          <w:tcPr>
            <w:tcW w:w="620" w:type="dxa"/>
            <w:tcBorders>
              <w:top w:val="single" w:sz="4" w:space="0" w:color="auto"/>
              <w:bottom w:val="single" w:sz="4" w:space="0" w:color="auto"/>
            </w:tcBorders>
            <w:shd w:val="clear" w:color="000000" w:fill="FFD966"/>
            <w:noWrap/>
            <w:textDirection w:val="btLr"/>
            <w:vAlign w:val="center"/>
            <w:hideMark/>
          </w:tcPr>
          <w:p w14:paraId="5B6D58A9"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p>
          <w:p w14:paraId="0CEF2C94"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Cefriaxon </w:t>
            </w:r>
            <w:r w:rsidRPr="00E372DE">
              <w:rPr>
                <w:rFonts w:ascii="Times New Roman" w:eastAsia="Times New Roman" w:hAnsi="Times New Roman" w:cs="Times New Roman"/>
                <w:b/>
                <w:bCs/>
                <w:color w:val="000000"/>
                <w:sz w:val="16"/>
                <w:szCs w:val="16"/>
                <w:lang w:eastAsia="fr-FR"/>
              </w:rPr>
              <w:t>30ug (%)</w:t>
            </w:r>
          </w:p>
        </w:tc>
        <w:tc>
          <w:tcPr>
            <w:tcW w:w="465" w:type="dxa"/>
            <w:tcBorders>
              <w:top w:val="single" w:sz="4" w:space="0" w:color="auto"/>
              <w:bottom w:val="single" w:sz="4" w:space="0" w:color="auto"/>
            </w:tcBorders>
            <w:shd w:val="clear" w:color="000000" w:fill="FFD966"/>
            <w:noWrap/>
            <w:textDirection w:val="btLr"/>
            <w:vAlign w:val="center"/>
            <w:hideMark/>
          </w:tcPr>
          <w:p w14:paraId="4E8DF3CB"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Gentamycin</w:t>
            </w:r>
            <w:r w:rsidRPr="00E372DE">
              <w:rPr>
                <w:rFonts w:ascii="Times New Roman" w:eastAsia="Times New Roman" w:hAnsi="Times New Roman" w:cs="Times New Roman"/>
                <w:b/>
                <w:bCs/>
                <w:color w:val="000000"/>
                <w:sz w:val="16"/>
                <w:szCs w:val="16"/>
                <w:lang w:eastAsia="fr-FR"/>
              </w:rPr>
              <w:t>120ug (%)</w:t>
            </w:r>
          </w:p>
        </w:tc>
        <w:tc>
          <w:tcPr>
            <w:tcW w:w="620" w:type="dxa"/>
            <w:tcBorders>
              <w:top w:val="single" w:sz="4" w:space="0" w:color="auto"/>
              <w:bottom w:val="single" w:sz="4" w:space="0" w:color="auto"/>
            </w:tcBorders>
            <w:shd w:val="clear" w:color="000000" w:fill="FFD966"/>
            <w:noWrap/>
            <w:textDirection w:val="btLr"/>
            <w:vAlign w:val="center"/>
            <w:hideMark/>
          </w:tcPr>
          <w:p w14:paraId="36CE9E45"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Nalixidic acide30ug (%)</w:t>
            </w:r>
          </w:p>
        </w:tc>
        <w:tc>
          <w:tcPr>
            <w:tcW w:w="466" w:type="dxa"/>
            <w:tcBorders>
              <w:top w:val="single" w:sz="4" w:space="0" w:color="auto"/>
              <w:bottom w:val="single" w:sz="4" w:space="0" w:color="auto"/>
            </w:tcBorders>
            <w:shd w:val="clear" w:color="000000" w:fill="FFD966"/>
            <w:noWrap/>
            <w:textDirection w:val="btLr"/>
            <w:vAlign w:val="center"/>
            <w:hideMark/>
          </w:tcPr>
          <w:p w14:paraId="2F9A89A5" w14:textId="77777777" w:rsidR="007C2FF5" w:rsidRPr="00E372DE" w:rsidRDefault="007C2FF5"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Ciprofloxacin 5ug (%)</w:t>
            </w:r>
          </w:p>
        </w:tc>
      </w:tr>
      <w:tr w:rsidR="007C2FF5" w:rsidRPr="00E372DE" w14:paraId="130B0210" w14:textId="77777777" w:rsidTr="007C2FF5">
        <w:trPr>
          <w:trHeight w:val="220"/>
          <w:jc w:val="center"/>
        </w:trPr>
        <w:tc>
          <w:tcPr>
            <w:tcW w:w="2238" w:type="dxa"/>
            <w:tcBorders>
              <w:top w:val="single" w:sz="4" w:space="0" w:color="auto"/>
            </w:tcBorders>
            <w:noWrap/>
            <w:vAlign w:val="center"/>
            <w:hideMark/>
          </w:tcPr>
          <w:p w14:paraId="038BFA3F"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freundii</w:t>
            </w:r>
          </w:p>
        </w:tc>
        <w:tc>
          <w:tcPr>
            <w:tcW w:w="656" w:type="dxa"/>
            <w:tcBorders>
              <w:top w:val="single" w:sz="4" w:space="0" w:color="auto"/>
            </w:tcBorders>
            <w:noWrap/>
            <w:vAlign w:val="center"/>
            <w:hideMark/>
          </w:tcPr>
          <w:p w14:paraId="2C0BF1C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901" w:type="dxa"/>
            <w:tcBorders>
              <w:top w:val="single" w:sz="4" w:space="0" w:color="auto"/>
            </w:tcBorders>
            <w:noWrap/>
            <w:vAlign w:val="center"/>
            <w:hideMark/>
          </w:tcPr>
          <w:p w14:paraId="6147C75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8" w:type="dxa"/>
            <w:tcBorders>
              <w:top w:val="single" w:sz="4" w:space="0" w:color="auto"/>
            </w:tcBorders>
            <w:noWrap/>
            <w:vAlign w:val="center"/>
            <w:hideMark/>
          </w:tcPr>
          <w:p w14:paraId="19B7699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7" w:type="dxa"/>
            <w:tcBorders>
              <w:top w:val="single" w:sz="4" w:space="0" w:color="auto"/>
            </w:tcBorders>
            <w:noWrap/>
            <w:vAlign w:val="center"/>
            <w:hideMark/>
          </w:tcPr>
          <w:p w14:paraId="2C59970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tcBorders>
              <w:top w:val="single" w:sz="4" w:space="0" w:color="auto"/>
            </w:tcBorders>
            <w:noWrap/>
            <w:vAlign w:val="center"/>
            <w:hideMark/>
          </w:tcPr>
          <w:p w14:paraId="04048A1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6" w:type="dxa"/>
            <w:tcBorders>
              <w:top w:val="single" w:sz="4" w:space="0" w:color="auto"/>
            </w:tcBorders>
            <w:noWrap/>
            <w:vAlign w:val="center"/>
            <w:hideMark/>
          </w:tcPr>
          <w:p w14:paraId="3D3363C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tcBorders>
              <w:top w:val="single" w:sz="4" w:space="0" w:color="auto"/>
            </w:tcBorders>
            <w:noWrap/>
            <w:vAlign w:val="center"/>
            <w:hideMark/>
          </w:tcPr>
          <w:p w14:paraId="7788DDE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33,30</w:t>
            </w:r>
          </w:p>
        </w:tc>
        <w:tc>
          <w:tcPr>
            <w:tcW w:w="620" w:type="dxa"/>
            <w:tcBorders>
              <w:top w:val="single" w:sz="4" w:space="0" w:color="auto"/>
            </w:tcBorders>
            <w:noWrap/>
            <w:vAlign w:val="center"/>
            <w:hideMark/>
          </w:tcPr>
          <w:p w14:paraId="58B5E1B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20" w:type="dxa"/>
            <w:tcBorders>
              <w:top w:val="single" w:sz="4" w:space="0" w:color="auto"/>
            </w:tcBorders>
            <w:noWrap/>
            <w:vAlign w:val="center"/>
            <w:hideMark/>
          </w:tcPr>
          <w:p w14:paraId="54A16B5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5" w:type="dxa"/>
            <w:tcBorders>
              <w:top w:val="single" w:sz="4" w:space="0" w:color="auto"/>
            </w:tcBorders>
            <w:noWrap/>
            <w:vAlign w:val="center"/>
            <w:hideMark/>
          </w:tcPr>
          <w:p w14:paraId="4F9EFEF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tcBorders>
              <w:top w:val="single" w:sz="4" w:space="0" w:color="auto"/>
            </w:tcBorders>
            <w:noWrap/>
            <w:vAlign w:val="center"/>
            <w:hideMark/>
          </w:tcPr>
          <w:p w14:paraId="21A7D28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tcBorders>
              <w:top w:val="single" w:sz="4" w:space="0" w:color="auto"/>
            </w:tcBorders>
            <w:noWrap/>
            <w:vAlign w:val="center"/>
            <w:hideMark/>
          </w:tcPr>
          <w:p w14:paraId="3E4335A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3894F09B" w14:textId="77777777" w:rsidTr="007C2FF5">
        <w:trPr>
          <w:trHeight w:val="220"/>
          <w:jc w:val="center"/>
        </w:trPr>
        <w:tc>
          <w:tcPr>
            <w:tcW w:w="2238" w:type="dxa"/>
            <w:noWrap/>
            <w:vAlign w:val="center"/>
            <w:hideMark/>
          </w:tcPr>
          <w:p w14:paraId="285AD1A4"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koserii</w:t>
            </w:r>
          </w:p>
        </w:tc>
        <w:tc>
          <w:tcPr>
            <w:tcW w:w="656" w:type="dxa"/>
            <w:noWrap/>
            <w:vAlign w:val="center"/>
            <w:hideMark/>
          </w:tcPr>
          <w:p w14:paraId="3F29526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901" w:type="dxa"/>
            <w:noWrap/>
            <w:vAlign w:val="center"/>
            <w:hideMark/>
          </w:tcPr>
          <w:p w14:paraId="2F4AFA6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8" w:type="dxa"/>
            <w:noWrap/>
            <w:vAlign w:val="center"/>
            <w:hideMark/>
          </w:tcPr>
          <w:p w14:paraId="6A74479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7" w:type="dxa"/>
            <w:noWrap/>
            <w:vAlign w:val="center"/>
            <w:hideMark/>
          </w:tcPr>
          <w:p w14:paraId="09EB11F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20" w:type="dxa"/>
            <w:noWrap/>
            <w:vAlign w:val="center"/>
            <w:hideMark/>
          </w:tcPr>
          <w:p w14:paraId="1A1E289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776" w:type="dxa"/>
            <w:noWrap/>
            <w:vAlign w:val="center"/>
            <w:hideMark/>
          </w:tcPr>
          <w:p w14:paraId="1207471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3C3E7C2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442E566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40B5DD5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5" w:type="dxa"/>
            <w:noWrap/>
            <w:vAlign w:val="center"/>
            <w:hideMark/>
          </w:tcPr>
          <w:p w14:paraId="1BF98C0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F7EBE1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4C4E68D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597CCEB9" w14:textId="77777777" w:rsidTr="007C2FF5">
        <w:trPr>
          <w:trHeight w:val="220"/>
          <w:jc w:val="center"/>
        </w:trPr>
        <w:tc>
          <w:tcPr>
            <w:tcW w:w="2238" w:type="dxa"/>
            <w:noWrap/>
            <w:vAlign w:val="center"/>
            <w:hideMark/>
          </w:tcPr>
          <w:p w14:paraId="44DF4F3D"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cloacae</w:t>
            </w:r>
          </w:p>
        </w:tc>
        <w:tc>
          <w:tcPr>
            <w:tcW w:w="656" w:type="dxa"/>
            <w:noWrap/>
            <w:vAlign w:val="center"/>
            <w:hideMark/>
          </w:tcPr>
          <w:p w14:paraId="45EFA4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901" w:type="dxa"/>
            <w:noWrap/>
            <w:vAlign w:val="center"/>
            <w:hideMark/>
          </w:tcPr>
          <w:p w14:paraId="1580548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8" w:type="dxa"/>
            <w:noWrap/>
            <w:vAlign w:val="center"/>
            <w:hideMark/>
          </w:tcPr>
          <w:p w14:paraId="77379E5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7" w:type="dxa"/>
            <w:noWrap/>
            <w:vAlign w:val="center"/>
            <w:hideMark/>
          </w:tcPr>
          <w:p w14:paraId="2BC2BE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20" w:type="dxa"/>
            <w:noWrap/>
            <w:vAlign w:val="center"/>
            <w:hideMark/>
          </w:tcPr>
          <w:p w14:paraId="690CA26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6" w:type="dxa"/>
            <w:noWrap/>
            <w:vAlign w:val="center"/>
            <w:hideMark/>
          </w:tcPr>
          <w:p w14:paraId="24BF86B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20" w:type="dxa"/>
            <w:noWrap/>
            <w:vAlign w:val="center"/>
            <w:hideMark/>
          </w:tcPr>
          <w:p w14:paraId="629EE10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42BDA9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20" w:type="dxa"/>
            <w:noWrap/>
            <w:vAlign w:val="center"/>
            <w:hideMark/>
          </w:tcPr>
          <w:p w14:paraId="216E38F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12,5</w:t>
            </w:r>
          </w:p>
        </w:tc>
        <w:tc>
          <w:tcPr>
            <w:tcW w:w="465" w:type="dxa"/>
            <w:noWrap/>
            <w:vAlign w:val="center"/>
            <w:hideMark/>
          </w:tcPr>
          <w:p w14:paraId="1C8C083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324E1F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37,5</w:t>
            </w:r>
          </w:p>
        </w:tc>
        <w:tc>
          <w:tcPr>
            <w:tcW w:w="466" w:type="dxa"/>
            <w:noWrap/>
            <w:vAlign w:val="center"/>
            <w:hideMark/>
          </w:tcPr>
          <w:p w14:paraId="78FD26A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38,0</w:t>
            </w:r>
          </w:p>
        </w:tc>
      </w:tr>
      <w:tr w:rsidR="007C2FF5" w:rsidRPr="00E372DE" w14:paraId="1E21C267" w14:textId="77777777" w:rsidTr="007C2FF5">
        <w:trPr>
          <w:trHeight w:val="220"/>
          <w:jc w:val="center"/>
        </w:trPr>
        <w:tc>
          <w:tcPr>
            <w:tcW w:w="2238" w:type="dxa"/>
            <w:noWrap/>
            <w:vAlign w:val="center"/>
            <w:hideMark/>
          </w:tcPr>
          <w:p w14:paraId="241386A5"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koserii</w:t>
            </w:r>
          </w:p>
        </w:tc>
        <w:tc>
          <w:tcPr>
            <w:tcW w:w="656" w:type="dxa"/>
            <w:shd w:val="clear" w:color="000000" w:fill="C5E0B3"/>
            <w:noWrap/>
            <w:vAlign w:val="center"/>
            <w:hideMark/>
          </w:tcPr>
          <w:p w14:paraId="1C212FF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901" w:type="dxa"/>
            <w:shd w:val="clear" w:color="000000" w:fill="C5E0B3"/>
            <w:noWrap/>
            <w:vAlign w:val="center"/>
            <w:hideMark/>
          </w:tcPr>
          <w:p w14:paraId="4039461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68" w:type="dxa"/>
            <w:shd w:val="clear" w:color="000000" w:fill="C5E0B3"/>
            <w:noWrap/>
            <w:vAlign w:val="center"/>
            <w:hideMark/>
          </w:tcPr>
          <w:p w14:paraId="704368E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shd w:val="clear" w:color="000000" w:fill="C5E0B3"/>
            <w:noWrap/>
            <w:vAlign w:val="center"/>
            <w:hideMark/>
          </w:tcPr>
          <w:p w14:paraId="651D343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2C6A414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6" w:type="dxa"/>
            <w:noWrap/>
            <w:vAlign w:val="center"/>
            <w:hideMark/>
          </w:tcPr>
          <w:p w14:paraId="0358472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CAF23C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5FD278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20" w:type="dxa"/>
            <w:noWrap/>
            <w:vAlign w:val="center"/>
            <w:hideMark/>
          </w:tcPr>
          <w:p w14:paraId="2BE1EE1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1576A00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shd w:val="clear" w:color="000000" w:fill="C5E0B3"/>
            <w:noWrap/>
            <w:vAlign w:val="center"/>
            <w:hideMark/>
          </w:tcPr>
          <w:p w14:paraId="02E4DEB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6" w:type="dxa"/>
            <w:shd w:val="clear" w:color="000000" w:fill="C5E0B3"/>
            <w:noWrap/>
            <w:vAlign w:val="center"/>
            <w:hideMark/>
          </w:tcPr>
          <w:p w14:paraId="2140ED9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r>
      <w:tr w:rsidR="007C2FF5" w:rsidRPr="00E372DE" w14:paraId="256D52CF" w14:textId="77777777" w:rsidTr="007C2FF5">
        <w:trPr>
          <w:trHeight w:val="220"/>
          <w:jc w:val="center"/>
        </w:trPr>
        <w:tc>
          <w:tcPr>
            <w:tcW w:w="2238" w:type="dxa"/>
            <w:noWrap/>
            <w:vAlign w:val="center"/>
            <w:hideMark/>
          </w:tcPr>
          <w:p w14:paraId="102BB4F3"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sakazakii</w:t>
            </w:r>
          </w:p>
        </w:tc>
        <w:tc>
          <w:tcPr>
            <w:tcW w:w="656" w:type="dxa"/>
            <w:noWrap/>
            <w:vAlign w:val="center"/>
            <w:hideMark/>
          </w:tcPr>
          <w:p w14:paraId="77C9855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901" w:type="dxa"/>
            <w:noWrap/>
            <w:vAlign w:val="center"/>
            <w:hideMark/>
          </w:tcPr>
          <w:p w14:paraId="090D949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6909C54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97" w:type="dxa"/>
            <w:noWrap/>
            <w:vAlign w:val="center"/>
            <w:hideMark/>
          </w:tcPr>
          <w:p w14:paraId="36E355D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A6119C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0A25FC9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E583A3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9BF535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20" w:type="dxa"/>
            <w:noWrap/>
            <w:vAlign w:val="center"/>
            <w:hideMark/>
          </w:tcPr>
          <w:p w14:paraId="4BEDCD8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7CF3B85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2CF305A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6" w:type="dxa"/>
            <w:noWrap/>
            <w:vAlign w:val="center"/>
            <w:hideMark/>
          </w:tcPr>
          <w:p w14:paraId="022D4FE9"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r>
      <w:tr w:rsidR="007C2FF5" w:rsidRPr="00E372DE" w14:paraId="3166258D" w14:textId="77777777" w:rsidTr="007C2FF5">
        <w:trPr>
          <w:trHeight w:val="220"/>
          <w:jc w:val="center"/>
        </w:trPr>
        <w:tc>
          <w:tcPr>
            <w:tcW w:w="2238" w:type="dxa"/>
            <w:noWrap/>
            <w:vAlign w:val="center"/>
            <w:hideMark/>
          </w:tcPr>
          <w:p w14:paraId="6E0EA6CA"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Escherichia coli</w:t>
            </w:r>
          </w:p>
        </w:tc>
        <w:tc>
          <w:tcPr>
            <w:tcW w:w="656" w:type="dxa"/>
            <w:noWrap/>
            <w:vAlign w:val="center"/>
            <w:hideMark/>
          </w:tcPr>
          <w:p w14:paraId="43217A2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901" w:type="dxa"/>
            <w:noWrap/>
            <w:vAlign w:val="center"/>
            <w:hideMark/>
          </w:tcPr>
          <w:p w14:paraId="76593F0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8" w:type="dxa"/>
            <w:noWrap/>
            <w:vAlign w:val="center"/>
            <w:hideMark/>
          </w:tcPr>
          <w:p w14:paraId="58D2F2B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7" w:type="dxa"/>
            <w:noWrap/>
            <w:vAlign w:val="center"/>
            <w:hideMark/>
          </w:tcPr>
          <w:p w14:paraId="2FB618F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20" w:type="dxa"/>
            <w:noWrap/>
            <w:vAlign w:val="center"/>
            <w:hideMark/>
          </w:tcPr>
          <w:p w14:paraId="77E7B3C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776" w:type="dxa"/>
            <w:noWrap/>
            <w:vAlign w:val="center"/>
            <w:hideMark/>
          </w:tcPr>
          <w:p w14:paraId="0EE9F96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620" w:type="dxa"/>
            <w:noWrap/>
            <w:vAlign w:val="center"/>
            <w:hideMark/>
          </w:tcPr>
          <w:p w14:paraId="41107E0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8,30</w:t>
            </w:r>
          </w:p>
        </w:tc>
        <w:tc>
          <w:tcPr>
            <w:tcW w:w="620" w:type="dxa"/>
            <w:noWrap/>
            <w:vAlign w:val="center"/>
            <w:hideMark/>
          </w:tcPr>
          <w:p w14:paraId="30BF246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8,0</w:t>
            </w:r>
          </w:p>
        </w:tc>
        <w:tc>
          <w:tcPr>
            <w:tcW w:w="620" w:type="dxa"/>
            <w:noWrap/>
            <w:vAlign w:val="center"/>
            <w:hideMark/>
          </w:tcPr>
          <w:p w14:paraId="2FE3C80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465" w:type="dxa"/>
            <w:noWrap/>
            <w:vAlign w:val="center"/>
            <w:hideMark/>
          </w:tcPr>
          <w:p w14:paraId="507C804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5351897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7A1489F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5FC15591" w14:textId="77777777" w:rsidTr="007C2FF5">
        <w:trPr>
          <w:trHeight w:val="220"/>
          <w:jc w:val="center"/>
        </w:trPr>
        <w:tc>
          <w:tcPr>
            <w:tcW w:w="2238" w:type="dxa"/>
            <w:noWrap/>
            <w:vAlign w:val="center"/>
            <w:hideMark/>
          </w:tcPr>
          <w:p w14:paraId="36BB6FE3"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arizonnae</w:t>
            </w:r>
          </w:p>
        </w:tc>
        <w:tc>
          <w:tcPr>
            <w:tcW w:w="656" w:type="dxa"/>
            <w:noWrap/>
            <w:vAlign w:val="center"/>
            <w:hideMark/>
          </w:tcPr>
          <w:p w14:paraId="4FC0186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901" w:type="dxa"/>
            <w:noWrap/>
            <w:vAlign w:val="center"/>
            <w:hideMark/>
          </w:tcPr>
          <w:p w14:paraId="17748A0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6CE0C06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497" w:type="dxa"/>
            <w:noWrap/>
            <w:vAlign w:val="center"/>
            <w:hideMark/>
          </w:tcPr>
          <w:p w14:paraId="05422BA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56915F7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2207274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7799AB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620" w:type="dxa"/>
            <w:noWrap/>
            <w:vAlign w:val="center"/>
            <w:hideMark/>
          </w:tcPr>
          <w:p w14:paraId="5F32325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23C2A3E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7D169C6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77AD9D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6F03A60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694B8A07" w14:textId="77777777" w:rsidTr="007C2FF5">
        <w:trPr>
          <w:trHeight w:val="220"/>
          <w:jc w:val="center"/>
        </w:trPr>
        <w:tc>
          <w:tcPr>
            <w:tcW w:w="2238" w:type="dxa"/>
            <w:noWrap/>
            <w:vAlign w:val="center"/>
            <w:hideMark/>
          </w:tcPr>
          <w:p w14:paraId="16FC7ECF"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ornithinolytica</w:t>
            </w:r>
          </w:p>
        </w:tc>
        <w:tc>
          <w:tcPr>
            <w:tcW w:w="656" w:type="dxa"/>
            <w:noWrap/>
            <w:vAlign w:val="center"/>
            <w:hideMark/>
          </w:tcPr>
          <w:p w14:paraId="6F998A9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noWrap/>
            <w:vAlign w:val="center"/>
            <w:hideMark/>
          </w:tcPr>
          <w:p w14:paraId="70668FF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68" w:type="dxa"/>
            <w:noWrap/>
            <w:vAlign w:val="center"/>
            <w:hideMark/>
          </w:tcPr>
          <w:p w14:paraId="29AD806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noWrap/>
            <w:vAlign w:val="center"/>
            <w:hideMark/>
          </w:tcPr>
          <w:p w14:paraId="00238D2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20" w:type="dxa"/>
            <w:noWrap/>
            <w:vAlign w:val="center"/>
            <w:hideMark/>
          </w:tcPr>
          <w:p w14:paraId="6EEB625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6" w:type="dxa"/>
            <w:noWrap/>
            <w:vAlign w:val="center"/>
            <w:hideMark/>
          </w:tcPr>
          <w:p w14:paraId="57298F6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706E85B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5B0D3CA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25DDF93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5" w:type="dxa"/>
            <w:noWrap/>
            <w:vAlign w:val="center"/>
            <w:hideMark/>
          </w:tcPr>
          <w:p w14:paraId="4FAD8AB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FAE837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6" w:type="dxa"/>
            <w:noWrap/>
            <w:vAlign w:val="center"/>
            <w:hideMark/>
          </w:tcPr>
          <w:p w14:paraId="74F72E6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r>
      <w:tr w:rsidR="007C2FF5" w:rsidRPr="00E372DE" w14:paraId="1529CAC9" w14:textId="77777777" w:rsidTr="007C2FF5">
        <w:trPr>
          <w:trHeight w:val="220"/>
          <w:jc w:val="center"/>
        </w:trPr>
        <w:tc>
          <w:tcPr>
            <w:tcW w:w="2238" w:type="dxa"/>
            <w:noWrap/>
            <w:vAlign w:val="center"/>
            <w:hideMark/>
          </w:tcPr>
          <w:p w14:paraId="11FB0E9B"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oxytoca</w:t>
            </w:r>
          </w:p>
        </w:tc>
        <w:tc>
          <w:tcPr>
            <w:tcW w:w="656" w:type="dxa"/>
            <w:noWrap/>
            <w:vAlign w:val="center"/>
            <w:hideMark/>
          </w:tcPr>
          <w:p w14:paraId="676BFE8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noWrap/>
            <w:vAlign w:val="center"/>
            <w:hideMark/>
          </w:tcPr>
          <w:p w14:paraId="3510D0B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6124F65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noWrap/>
            <w:vAlign w:val="center"/>
            <w:hideMark/>
          </w:tcPr>
          <w:p w14:paraId="620B685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20" w:type="dxa"/>
            <w:noWrap/>
            <w:vAlign w:val="center"/>
            <w:hideMark/>
          </w:tcPr>
          <w:p w14:paraId="6AAE60F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3ECAC6A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4332C1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3A2E3B4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AA4E7F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43649C8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05D64CD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094EFE3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5910233C" w14:textId="77777777" w:rsidTr="007C2FF5">
        <w:trPr>
          <w:trHeight w:val="220"/>
          <w:jc w:val="center"/>
        </w:trPr>
        <w:tc>
          <w:tcPr>
            <w:tcW w:w="2238" w:type="dxa"/>
            <w:noWrap/>
            <w:vAlign w:val="center"/>
            <w:hideMark/>
          </w:tcPr>
          <w:p w14:paraId="7F553A7C"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pneumoniae</w:t>
            </w:r>
          </w:p>
        </w:tc>
        <w:tc>
          <w:tcPr>
            <w:tcW w:w="656" w:type="dxa"/>
            <w:shd w:val="clear" w:color="000000" w:fill="C5E0B3"/>
            <w:noWrap/>
            <w:vAlign w:val="center"/>
            <w:hideMark/>
          </w:tcPr>
          <w:p w14:paraId="03B1B37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shd w:val="clear" w:color="000000" w:fill="C5E0B3"/>
            <w:noWrap/>
            <w:vAlign w:val="center"/>
            <w:hideMark/>
          </w:tcPr>
          <w:p w14:paraId="533E9EF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668" w:type="dxa"/>
            <w:shd w:val="clear" w:color="000000" w:fill="C5E0B3"/>
            <w:noWrap/>
            <w:vAlign w:val="center"/>
            <w:hideMark/>
          </w:tcPr>
          <w:p w14:paraId="24664A0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7" w:type="dxa"/>
            <w:shd w:val="clear" w:color="000000" w:fill="C5E0B3"/>
            <w:noWrap/>
            <w:vAlign w:val="center"/>
            <w:hideMark/>
          </w:tcPr>
          <w:p w14:paraId="033364B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65AA5B7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6" w:type="dxa"/>
            <w:shd w:val="clear" w:color="000000" w:fill="C5E0B3"/>
            <w:noWrap/>
            <w:vAlign w:val="center"/>
            <w:hideMark/>
          </w:tcPr>
          <w:p w14:paraId="538513B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3353537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1EB6B8B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20" w:type="dxa"/>
            <w:shd w:val="clear" w:color="000000" w:fill="C5E0B3"/>
            <w:noWrap/>
            <w:vAlign w:val="center"/>
            <w:hideMark/>
          </w:tcPr>
          <w:p w14:paraId="62D99B0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5" w:type="dxa"/>
            <w:noWrap/>
            <w:vAlign w:val="center"/>
            <w:hideMark/>
          </w:tcPr>
          <w:p w14:paraId="511C2A4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408E2F5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29BA349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7C2FF5" w:rsidRPr="00E372DE" w14:paraId="1976608C" w14:textId="77777777" w:rsidTr="007C2FF5">
        <w:trPr>
          <w:trHeight w:val="220"/>
          <w:jc w:val="center"/>
        </w:trPr>
        <w:tc>
          <w:tcPr>
            <w:tcW w:w="2238" w:type="dxa"/>
            <w:noWrap/>
            <w:vAlign w:val="center"/>
            <w:hideMark/>
          </w:tcPr>
          <w:p w14:paraId="5B249F45"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spp</w:t>
            </w:r>
          </w:p>
        </w:tc>
        <w:tc>
          <w:tcPr>
            <w:tcW w:w="656" w:type="dxa"/>
            <w:noWrap/>
            <w:vAlign w:val="center"/>
            <w:hideMark/>
          </w:tcPr>
          <w:p w14:paraId="26FEF82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901" w:type="dxa"/>
            <w:noWrap/>
            <w:vAlign w:val="center"/>
            <w:hideMark/>
          </w:tcPr>
          <w:p w14:paraId="1E83B59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68" w:type="dxa"/>
            <w:noWrap/>
            <w:vAlign w:val="center"/>
            <w:hideMark/>
          </w:tcPr>
          <w:p w14:paraId="3DD9E9C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7" w:type="dxa"/>
            <w:noWrap/>
            <w:vAlign w:val="center"/>
            <w:hideMark/>
          </w:tcPr>
          <w:p w14:paraId="6BEB1AB0"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356BBB23"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6" w:type="dxa"/>
            <w:noWrap/>
            <w:vAlign w:val="center"/>
            <w:hideMark/>
          </w:tcPr>
          <w:p w14:paraId="00F7087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20" w:type="dxa"/>
            <w:noWrap/>
            <w:vAlign w:val="center"/>
            <w:hideMark/>
          </w:tcPr>
          <w:p w14:paraId="200C22B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20" w:type="dxa"/>
            <w:noWrap/>
            <w:vAlign w:val="center"/>
            <w:hideMark/>
          </w:tcPr>
          <w:p w14:paraId="0C9C480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20" w:type="dxa"/>
            <w:noWrap/>
            <w:vAlign w:val="center"/>
            <w:hideMark/>
          </w:tcPr>
          <w:p w14:paraId="62851F4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5" w:type="dxa"/>
            <w:noWrap/>
            <w:vAlign w:val="center"/>
            <w:hideMark/>
          </w:tcPr>
          <w:p w14:paraId="280EF03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021DC9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6" w:type="dxa"/>
            <w:noWrap/>
            <w:vAlign w:val="center"/>
            <w:hideMark/>
          </w:tcPr>
          <w:p w14:paraId="0E18AE0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r>
      <w:tr w:rsidR="007C2FF5" w:rsidRPr="00E372DE" w14:paraId="5193EF0A" w14:textId="77777777" w:rsidTr="007C2FF5">
        <w:trPr>
          <w:trHeight w:val="220"/>
          <w:jc w:val="center"/>
        </w:trPr>
        <w:tc>
          <w:tcPr>
            <w:tcW w:w="2238" w:type="dxa"/>
            <w:noWrap/>
            <w:vAlign w:val="center"/>
            <w:hideMark/>
          </w:tcPr>
          <w:p w14:paraId="6D628E1C"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Proteus mirabilis</w:t>
            </w:r>
          </w:p>
        </w:tc>
        <w:tc>
          <w:tcPr>
            <w:tcW w:w="656" w:type="dxa"/>
            <w:noWrap/>
            <w:vAlign w:val="center"/>
            <w:hideMark/>
          </w:tcPr>
          <w:p w14:paraId="78F2AB4D"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901" w:type="dxa"/>
            <w:noWrap/>
            <w:vAlign w:val="center"/>
            <w:hideMark/>
          </w:tcPr>
          <w:p w14:paraId="10A28EC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668" w:type="dxa"/>
            <w:noWrap/>
            <w:vAlign w:val="center"/>
            <w:hideMark/>
          </w:tcPr>
          <w:p w14:paraId="474D229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497" w:type="dxa"/>
            <w:noWrap/>
            <w:vAlign w:val="center"/>
            <w:hideMark/>
          </w:tcPr>
          <w:p w14:paraId="7535E08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20" w:type="dxa"/>
            <w:noWrap/>
            <w:vAlign w:val="center"/>
            <w:hideMark/>
          </w:tcPr>
          <w:p w14:paraId="2EF4D3FF"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6" w:type="dxa"/>
            <w:noWrap/>
            <w:vAlign w:val="center"/>
            <w:hideMark/>
          </w:tcPr>
          <w:p w14:paraId="0175B5D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1BCD57D7"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20" w:type="dxa"/>
            <w:noWrap/>
            <w:vAlign w:val="center"/>
            <w:hideMark/>
          </w:tcPr>
          <w:p w14:paraId="2FAF941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20" w:type="dxa"/>
            <w:noWrap/>
            <w:vAlign w:val="center"/>
            <w:hideMark/>
          </w:tcPr>
          <w:p w14:paraId="7DD0480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5" w:type="dxa"/>
            <w:noWrap/>
            <w:vAlign w:val="center"/>
            <w:hideMark/>
          </w:tcPr>
          <w:p w14:paraId="3A67E955"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3F6F27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6" w:type="dxa"/>
            <w:noWrap/>
            <w:vAlign w:val="center"/>
            <w:hideMark/>
          </w:tcPr>
          <w:p w14:paraId="2644F6B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r>
      <w:tr w:rsidR="007C2FF5" w:rsidRPr="00E372DE" w14:paraId="4242C5CB" w14:textId="77777777" w:rsidTr="007C2FF5">
        <w:trPr>
          <w:trHeight w:val="230"/>
          <w:jc w:val="center"/>
        </w:trPr>
        <w:tc>
          <w:tcPr>
            <w:tcW w:w="2238" w:type="dxa"/>
            <w:noWrap/>
            <w:vAlign w:val="center"/>
            <w:hideMark/>
          </w:tcPr>
          <w:p w14:paraId="3346438D" w14:textId="77777777" w:rsidR="007C2FF5" w:rsidRPr="00E372DE" w:rsidRDefault="007C2FF5"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Serratia liquefaciens</w:t>
            </w:r>
          </w:p>
        </w:tc>
        <w:tc>
          <w:tcPr>
            <w:tcW w:w="656" w:type="dxa"/>
            <w:noWrap/>
            <w:vAlign w:val="center"/>
            <w:hideMark/>
          </w:tcPr>
          <w:p w14:paraId="299A47CC"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901" w:type="dxa"/>
            <w:noWrap/>
            <w:vAlign w:val="center"/>
            <w:hideMark/>
          </w:tcPr>
          <w:p w14:paraId="1EC1333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8" w:type="dxa"/>
            <w:noWrap/>
            <w:vAlign w:val="center"/>
            <w:hideMark/>
          </w:tcPr>
          <w:p w14:paraId="74D6206A"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497" w:type="dxa"/>
            <w:noWrap/>
            <w:vAlign w:val="center"/>
            <w:hideMark/>
          </w:tcPr>
          <w:p w14:paraId="55A66A2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6C427C48"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6" w:type="dxa"/>
            <w:noWrap/>
            <w:vAlign w:val="center"/>
            <w:hideMark/>
          </w:tcPr>
          <w:p w14:paraId="4DA6BF8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10DA0B1"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52DA5E32"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1E5C9156"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5" w:type="dxa"/>
            <w:noWrap/>
            <w:vAlign w:val="center"/>
            <w:hideMark/>
          </w:tcPr>
          <w:p w14:paraId="60405CAB"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20" w:type="dxa"/>
            <w:noWrap/>
            <w:vAlign w:val="center"/>
            <w:hideMark/>
          </w:tcPr>
          <w:p w14:paraId="202FF074"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6" w:type="dxa"/>
            <w:noWrap/>
            <w:vAlign w:val="center"/>
            <w:hideMark/>
          </w:tcPr>
          <w:p w14:paraId="6A284DEE" w14:textId="77777777" w:rsidR="007C2FF5" w:rsidRPr="00E372DE" w:rsidRDefault="007C2FF5"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bl>
    <w:p w14:paraId="16AACE32" w14:textId="77777777" w:rsid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E372DE">
        <w:rPr>
          <w:rFonts w:ascii="Times New Roman" w:eastAsia="Times New Roman" w:hAnsi="Times New Roman" w:cs="Times New Roman"/>
          <w:color w:val="1F1F1F"/>
          <w:sz w:val="24"/>
          <w:szCs w:val="24"/>
          <w:lang w:eastAsia="fr-FR"/>
        </w:rPr>
        <w:t>33% resistance to gentamicin and Klebsiella pneumoniae strains 100% resistant to almost all antibiotics except gentamicin, nalixic acid and ciprofloxacin.</w:t>
      </w:r>
    </w:p>
    <w:p w14:paraId="31B518A6"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0B7F72E6"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eastAsia="fr-FR"/>
        </w:rPr>
      </w:pPr>
    </w:p>
    <w:p w14:paraId="336785D2" w14:textId="77777777"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eastAsia="fr-FR"/>
        </w:rPr>
        <w:lastRenderedPageBreak/>
        <w:t>Table 3</w:t>
      </w:r>
      <w:r w:rsidR="00E372DE" w:rsidRPr="00E372DE">
        <w:rPr>
          <w:rFonts w:ascii="Times New Roman" w:eastAsia="Times New Roman" w:hAnsi="Times New Roman" w:cs="Times New Roman"/>
          <w:color w:val="1F1F1F"/>
          <w:sz w:val="24"/>
          <w:szCs w:val="24"/>
          <w:lang w:eastAsia="fr-FR"/>
        </w:rPr>
        <w:t>: Profile of antibiotic resistance genes sought</w:t>
      </w:r>
    </w:p>
    <w:p w14:paraId="25859FD5" w14:textId="77777777"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tbl>
      <w:tblPr>
        <w:tblW w:w="10916" w:type="dxa"/>
        <w:tblInd w:w="-85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69"/>
        <w:gridCol w:w="912"/>
        <w:gridCol w:w="740"/>
        <w:gridCol w:w="1092"/>
        <w:gridCol w:w="850"/>
        <w:gridCol w:w="709"/>
        <w:gridCol w:w="992"/>
        <w:gridCol w:w="709"/>
        <w:gridCol w:w="942"/>
        <w:gridCol w:w="850"/>
        <w:gridCol w:w="851"/>
      </w:tblGrid>
      <w:tr w:rsidR="00E372DE" w:rsidRPr="00E372DE" w14:paraId="1E11C53D" w14:textId="77777777" w:rsidTr="003574F3">
        <w:trPr>
          <w:trHeight w:val="315"/>
        </w:trPr>
        <w:tc>
          <w:tcPr>
            <w:tcW w:w="2269" w:type="dxa"/>
            <w:tcBorders>
              <w:top w:val="single" w:sz="4" w:space="0" w:color="auto"/>
              <w:bottom w:val="single" w:sz="4" w:space="0" w:color="auto"/>
            </w:tcBorders>
            <w:shd w:val="clear" w:color="auto" w:fill="DEEAF6"/>
          </w:tcPr>
          <w:p w14:paraId="1251805B" w14:textId="77777777" w:rsidR="00E372DE" w:rsidRPr="008154DE" w:rsidRDefault="00E372DE" w:rsidP="00644E3C">
            <w:pPr>
              <w:spacing w:after="0" w:line="240" w:lineRule="auto"/>
              <w:jc w:val="both"/>
              <w:rPr>
                <w:rFonts w:ascii="Times New Roman" w:eastAsia="Times New Roman" w:hAnsi="Times New Roman" w:cs="Times New Roman"/>
                <w:color w:val="000000"/>
                <w:sz w:val="24"/>
                <w:szCs w:val="24"/>
                <w:lang w:val="en-US" w:eastAsia="fr-FR"/>
              </w:rPr>
            </w:pPr>
          </w:p>
        </w:tc>
        <w:tc>
          <w:tcPr>
            <w:tcW w:w="1652" w:type="dxa"/>
            <w:gridSpan w:val="2"/>
            <w:tcBorders>
              <w:top w:val="single" w:sz="4" w:space="0" w:color="auto"/>
              <w:bottom w:val="single" w:sz="4" w:space="0" w:color="auto"/>
            </w:tcBorders>
            <w:shd w:val="clear" w:color="auto" w:fill="DEEAF6"/>
            <w:noWrap/>
            <w:vAlign w:val="bottom"/>
            <w:hideMark/>
          </w:tcPr>
          <w:p w14:paraId="5BB5CB98"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TEM</w:t>
            </w:r>
          </w:p>
        </w:tc>
        <w:tc>
          <w:tcPr>
            <w:tcW w:w="1942" w:type="dxa"/>
            <w:gridSpan w:val="2"/>
            <w:tcBorders>
              <w:top w:val="single" w:sz="4" w:space="0" w:color="auto"/>
              <w:bottom w:val="single" w:sz="4" w:space="0" w:color="auto"/>
            </w:tcBorders>
            <w:shd w:val="clear" w:color="auto" w:fill="DEEAF6"/>
            <w:noWrap/>
            <w:vAlign w:val="bottom"/>
            <w:hideMark/>
          </w:tcPr>
          <w:p w14:paraId="68506A52"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ctxM1</w:t>
            </w:r>
          </w:p>
        </w:tc>
        <w:tc>
          <w:tcPr>
            <w:tcW w:w="1701" w:type="dxa"/>
            <w:gridSpan w:val="2"/>
            <w:tcBorders>
              <w:top w:val="single" w:sz="4" w:space="0" w:color="auto"/>
              <w:bottom w:val="single" w:sz="4" w:space="0" w:color="auto"/>
            </w:tcBorders>
            <w:shd w:val="clear" w:color="auto" w:fill="DEEAF6"/>
            <w:noWrap/>
            <w:vAlign w:val="bottom"/>
            <w:hideMark/>
          </w:tcPr>
          <w:p w14:paraId="700BBF67"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ctxM2</w:t>
            </w:r>
          </w:p>
        </w:tc>
        <w:tc>
          <w:tcPr>
            <w:tcW w:w="1651" w:type="dxa"/>
            <w:gridSpan w:val="2"/>
            <w:tcBorders>
              <w:top w:val="single" w:sz="4" w:space="0" w:color="auto"/>
              <w:bottom w:val="single" w:sz="4" w:space="0" w:color="auto"/>
            </w:tcBorders>
            <w:shd w:val="clear" w:color="auto" w:fill="DEEAF6"/>
            <w:noWrap/>
            <w:vAlign w:val="bottom"/>
            <w:hideMark/>
          </w:tcPr>
          <w:p w14:paraId="0DBAB6AD"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qnr</w:t>
            </w:r>
            <w:r w:rsidR="003574F3">
              <w:rPr>
                <w:rFonts w:ascii="Times New Roman" w:eastAsia="Times New Roman" w:hAnsi="Times New Roman" w:cs="Times New Roman"/>
                <w:color w:val="000000"/>
                <w:sz w:val="24"/>
                <w:szCs w:val="24"/>
                <w:lang w:eastAsia="fr-FR"/>
              </w:rPr>
              <w:t>B</w:t>
            </w:r>
          </w:p>
        </w:tc>
        <w:tc>
          <w:tcPr>
            <w:tcW w:w="1701" w:type="dxa"/>
            <w:gridSpan w:val="2"/>
            <w:tcBorders>
              <w:top w:val="single" w:sz="4" w:space="0" w:color="auto"/>
              <w:bottom w:val="single" w:sz="4" w:space="0" w:color="auto"/>
            </w:tcBorders>
            <w:shd w:val="clear" w:color="auto" w:fill="DEEAF6"/>
            <w:noWrap/>
            <w:vAlign w:val="bottom"/>
            <w:hideMark/>
          </w:tcPr>
          <w:p w14:paraId="4EFEBFD2"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SHV</w:t>
            </w:r>
          </w:p>
        </w:tc>
      </w:tr>
      <w:tr w:rsidR="003574F3" w:rsidRPr="00E372DE" w14:paraId="6D8ACF4E" w14:textId="77777777" w:rsidTr="003574F3">
        <w:trPr>
          <w:trHeight w:val="315"/>
        </w:trPr>
        <w:tc>
          <w:tcPr>
            <w:tcW w:w="2269" w:type="dxa"/>
            <w:tcBorders>
              <w:top w:val="single" w:sz="4" w:space="0" w:color="auto"/>
            </w:tcBorders>
          </w:tcPr>
          <w:p w14:paraId="2AC888DB" w14:textId="77777777" w:rsidR="00E372DE" w:rsidRPr="00E372DE" w:rsidRDefault="003574F3" w:rsidP="00644E3C">
            <w:pPr>
              <w:spacing w:after="0" w:line="36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T</w:t>
            </w:r>
            <w:r w:rsidR="00E372DE" w:rsidRPr="00E372DE">
              <w:rPr>
                <w:rFonts w:ascii="Times New Roman" w:eastAsia="Times New Roman" w:hAnsi="Times New Roman" w:cs="Times New Roman"/>
                <w:color w:val="000000"/>
                <w:sz w:val="20"/>
                <w:szCs w:val="20"/>
                <w:lang w:eastAsia="fr-FR"/>
              </w:rPr>
              <w:t>est</w:t>
            </w:r>
            <w:r>
              <w:rPr>
                <w:rFonts w:ascii="Times New Roman" w:eastAsia="Times New Roman" w:hAnsi="Times New Roman" w:cs="Times New Roman"/>
                <w:color w:val="000000"/>
                <w:sz w:val="20"/>
                <w:szCs w:val="20"/>
                <w:lang w:eastAsia="fr-FR"/>
              </w:rPr>
              <w:t xml:space="preserve"> result</w:t>
            </w:r>
          </w:p>
        </w:tc>
        <w:tc>
          <w:tcPr>
            <w:tcW w:w="912" w:type="dxa"/>
            <w:tcBorders>
              <w:top w:val="single" w:sz="4" w:space="0" w:color="auto"/>
            </w:tcBorders>
            <w:noWrap/>
            <w:vAlign w:val="bottom"/>
            <w:hideMark/>
          </w:tcPr>
          <w:p w14:paraId="6A370F46"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740" w:type="dxa"/>
            <w:tcBorders>
              <w:top w:val="single" w:sz="4" w:space="0" w:color="auto"/>
            </w:tcBorders>
            <w:noWrap/>
            <w:vAlign w:val="bottom"/>
            <w:hideMark/>
          </w:tcPr>
          <w:p w14:paraId="5D51E8D7"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1092" w:type="dxa"/>
            <w:tcBorders>
              <w:top w:val="single" w:sz="4" w:space="0" w:color="auto"/>
            </w:tcBorders>
            <w:noWrap/>
            <w:vAlign w:val="bottom"/>
            <w:hideMark/>
          </w:tcPr>
          <w:p w14:paraId="2A5E55FA"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0" w:type="dxa"/>
            <w:tcBorders>
              <w:top w:val="single" w:sz="4" w:space="0" w:color="auto"/>
            </w:tcBorders>
            <w:noWrap/>
            <w:vAlign w:val="bottom"/>
            <w:hideMark/>
          </w:tcPr>
          <w:p w14:paraId="00151172"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14:paraId="434AE9AD"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92" w:type="dxa"/>
            <w:tcBorders>
              <w:top w:val="single" w:sz="4" w:space="0" w:color="auto"/>
            </w:tcBorders>
            <w:noWrap/>
            <w:vAlign w:val="bottom"/>
            <w:hideMark/>
          </w:tcPr>
          <w:p w14:paraId="2BF37295"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14:paraId="357F9259"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42" w:type="dxa"/>
            <w:tcBorders>
              <w:top w:val="single" w:sz="4" w:space="0" w:color="auto"/>
            </w:tcBorders>
            <w:noWrap/>
            <w:vAlign w:val="bottom"/>
            <w:hideMark/>
          </w:tcPr>
          <w:p w14:paraId="7A1E4076"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850" w:type="dxa"/>
            <w:tcBorders>
              <w:top w:val="single" w:sz="4" w:space="0" w:color="auto"/>
            </w:tcBorders>
            <w:noWrap/>
            <w:vAlign w:val="bottom"/>
            <w:hideMark/>
          </w:tcPr>
          <w:p w14:paraId="759BF0CA"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1" w:type="dxa"/>
            <w:tcBorders>
              <w:top w:val="single" w:sz="4" w:space="0" w:color="auto"/>
            </w:tcBorders>
            <w:noWrap/>
            <w:vAlign w:val="bottom"/>
            <w:hideMark/>
          </w:tcPr>
          <w:p w14:paraId="7A717462"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r>
      <w:tr w:rsidR="003574F3" w:rsidRPr="00E372DE" w14:paraId="048E32B5" w14:textId="77777777" w:rsidTr="003574F3">
        <w:trPr>
          <w:trHeight w:val="300"/>
        </w:trPr>
        <w:tc>
          <w:tcPr>
            <w:tcW w:w="2269" w:type="dxa"/>
          </w:tcPr>
          <w:p w14:paraId="013FDF59" w14:textId="77777777" w:rsidR="00E372DE" w:rsidRPr="00E372DE" w:rsidRDefault="003574F3" w:rsidP="00644E3C">
            <w:pPr>
              <w:spacing w:after="0" w:line="36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Number of employees</w:t>
            </w:r>
          </w:p>
        </w:tc>
        <w:tc>
          <w:tcPr>
            <w:tcW w:w="912" w:type="dxa"/>
            <w:noWrap/>
            <w:vAlign w:val="bottom"/>
            <w:hideMark/>
          </w:tcPr>
          <w:p w14:paraId="0A67FE20"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35</w:t>
            </w:r>
          </w:p>
        </w:tc>
        <w:tc>
          <w:tcPr>
            <w:tcW w:w="740" w:type="dxa"/>
            <w:noWrap/>
            <w:vAlign w:val="bottom"/>
            <w:hideMark/>
          </w:tcPr>
          <w:p w14:paraId="528CCC3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w:t>
            </w:r>
          </w:p>
        </w:tc>
        <w:tc>
          <w:tcPr>
            <w:tcW w:w="1092" w:type="dxa"/>
            <w:noWrap/>
            <w:vAlign w:val="bottom"/>
            <w:hideMark/>
          </w:tcPr>
          <w:p w14:paraId="7E836754"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w:t>
            </w:r>
          </w:p>
        </w:tc>
        <w:tc>
          <w:tcPr>
            <w:tcW w:w="850" w:type="dxa"/>
            <w:noWrap/>
            <w:vAlign w:val="bottom"/>
            <w:hideMark/>
          </w:tcPr>
          <w:p w14:paraId="12200817"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37</w:t>
            </w:r>
          </w:p>
        </w:tc>
        <w:tc>
          <w:tcPr>
            <w:tcW w:w="709" w:type="dxa"/>
            <w:noWrap/>
            <w:vAlign w:val="bottom"/>
            <w:hideMark/>
          </w:tcPr>
          <w:p w14:paraId="71E31685"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14:paraId="2FE3E70D"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51</w:t>
            </w:r>
          </w:p>
        </w:tc>
        <w:tc>
          <w:tcPr>
            <w:tcW w:w="709" w:type="dxa"/>
            <w:noWrap/>
            <w:vAlign w:val="bottom"/>
            <w:hideMark/>
          </w:tcPr>
          <w:p w14:paraId="5523A594"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9</w:t>
            </w:r>
          </w:p>
        </w:tc>
        <w:tc>
          <w:tcPr>
            <w:tcW w:w="942" w:type="dxa"/>
            <w:noWrap/>
            <w:vAlign w:val="bottom"/>
            <w:hideMark/>
          </w:tcPr>
          <w:p w14:paraId="53940006"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42</w:t>
            </w:r>
          </w:p>
        </w:tc>
        <w:tc>
          <w:tcPr>
            <w:tcW w:w="850" w:type="dxa"/>
            <w:noWrap/>
            <w:vAlign w:val="bottom"/>
            <w:hideMark/>
          </w:tcPr>
          <w:p w14:paraId="6FD1B72D"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11</w:t>
            </w:r>
          </w:p>
        </w:tc>
        <w:tc>
          <w:tcPr>
            <w:tcW w:w="851" w:type="dxa"/>
            <w:noWrap/>
            <w:vAlign w:val="bottom"/>
            <w:hideMark/>
          </w:tcPr>
          <w:p w14:paraId="5B6D20BF"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w:t>
            </w:r>
          </w:p>
        </w:tc>
      </w:tr>
      <w:tr w:rsidR="003574F3" w:rsidRPr="00E372DE" w14:paraId="29E11DDD" w14:textId="77777777" w:rsidTr="003574F3">
        <w:trPr>
          <w:trHeight w:val="300"/>
        </w:trPr>
        <w:tc>
          <w:tcPr>
            <w:tcW w:w="2269" w:type="dxa"/>
          </w:tcPr>
          <w:p w14:paraId="5E3BEBC5" w14:textId="77777777" w:rsidR="00E372DE" w:rsidRPr="00E372DE" w:rsidRDefault="00E372DE" w:rsidP="00644E3C">
            <w:pPr>
              <w:spacing w:after="0" w:line="360" w:lineRule="auto"/>
              <w:jc w:val="both"/>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Proportion(%)</w:t>
            </w:r>
          </w:p>
        </w:tc>
        <w:tc>
          <w:tcPr>
            <w:tcW w:w="912" w:type="dxa"/>
            <w:noWrap/>
            <w:vAlign w:val="bottom"/>
            <w:hideMark/>
          </w:tcPr>
          <w:p w14:paraId="3BD0D03D"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68,6</w:t>
            </w:r>
          </w:p>
        </w:tc>
        <w:tc>
          <w:tcPr>
            <w:tcW w:w="740" w:type="dxa"/>
            <w:noWrap/>
            <w:vAlign w:val="bottom"/>
            <w:hideMark/>
          </w:tcPr>
          <w:p w14:paraId="54D18EAC"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31,3</w:t>
            </w:r>
          </w:p>
        </w:tc>
        <w:tc>
          <w:tcPr>
            <w:tcW w:w="1092" w:type="dxa"/>
            <w:noWrap/>
            <w:vAlign w:val="bottom"/>
            <w:hideMark/>
          </w:tcPr>
          <w:p w14:paraId="065B4683"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27,4</w:t>
            </w:r>
          </w:p>
        </w:tc>
        <w:tc>
          <w:tcPr>
            <w:tcW w:w="850" w:type="dxa"/>
            <w:noWrap/>
            <w:vAlign w:val="bottom"/>
            <w:hideMark/>
          </w:tcPr>
          <w:p w14:paraId="76ACC3E3"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72,5</w:t>
            </w:r>
          </w:p>
        </w:tc>
        <w:tc>
          <w:tcPr>
            <w:tcW w:w="709" w:type="dxa"/>
            <w:noWrap/>
            <w:vAlign w:val="bottom"/>
            <w:hideMark/>
          </w:tcPr>
          <w:p w14:paraId="5CE3D36C"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14:paraId="2B32CF1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709" w:type="dxa"/>
            <w:noWrap/>
            <w:vAlign w:val="bottom"/>
            <w:hideMark/>
          </w:tcPr>
          <w:p w14:paraId="573FA50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17,6</w:t>
            </w:r>
          </w:p>
        </w:tc>
        <w:tc>
          <w:tcPr>
            <w:tcW w:w="942" w:type="dxa"/>
            <w:noWrap/>
            <w:vAlign w:val="bottom"/>
            <w:hideMark/>
          </w:tcPr>
          <w:p w14:paraId="3FAB1187"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82,3</w:t>
            </w:r>
          </w:p>
        </w:tc>
        <w:tc>
          <w:tcPr>
            <w:tcW w:w="850" w:type="dxa"/>
            <w:noWrap/>
            <w:vAlign w:val="bottom"/>
            <w:hideMark/>
          </w:tcPr>
          <w:p w14:paraId="20CC37EB"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21,5</w:t>
            </w:r>
          </w:p>
        </w:tc>
        <w:tc>
          <w:tcPr>
            <w:tcW w:w="851" w:type="dxa"/>
            <w:noWrap/>
            <w:vAlign w:val="bottom"/>
            <w:hideMark/>
          </w:tcPr>
          <w:p w14:paraId="5589FDF9"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78,4</w:t>
            </w:r>
          </w:p>
        </w:tc>
      </w:tr>
    </w:tbl>
    <w:p w14:paraId="3C436A0C" w14:textId="77777777" w:rsidR="00E372DE" w:rsidRDefault="00E372DE" w:rsidP="00644E3C">
      <w:pPr>
        <w:tabs>
          <w:tab w:val="left" w:pos="2309"/>
        </w:tabs>
        <w:jc w:val="both"/>
      </w:pPr>
    </w:p>
    <w:p w14:paraId="01482222" w14:textId="77777777"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E372DE">
        <w:rPr>
          <w:rFonts w:ascii="inherit" w:eastAsia="Times New Roman" w:hAnsi="inherit" w:cs="Courier New"/>
          <w:color w:val="1F1F1F"/>
          <w:sz w:val="24"/>
          <w:szCs w:val="24"/>
          <w:lang w:eastAsia="fr-FR"/>
        </w:rPr>
        <w:t>The table below shows the profile of resistance genes expressed by bacterial species.</w:t>
      </w:r>
    </w:p>
    <w:p w14:paraId="475228AD" w14:textId="77777777" w:rsidR="00E372DE" w:rsidRDefault="00D8387D"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r>
        <w:rPr>
          <w:rFonts w:ascii="inherit" w:eastAsia="Times New Roman" w:hAnsi="inherit" w:cs="Courier New"/>
          <w:color w:val="1F1F1F"/>
          <w:sz w:val="24"/>
          <w:szCs w:val="24"/>
          <w:lang w:eastAsia="fr-FR"/>
        </w:rPr>
        <w:tab/>
      </w:r>
    </w:p>
    <w:p w14:paraId="05267B5B" w14:textId="1DB30AFF" w:rsidR="00F9212B" w:rsidRDefault="00F9212B"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sidRPr="00F9212B">
        <w:rPr>
          <w:rFonts w:ascii="inherit" w:eastAsia="Times New Roman" w:hAnsi="inherit" w:cs="Courier New"/>
          <w:noProof/>
          <w:color w:val="1F1F1F"/>
          <w:sz w:val="24"/>
          <w:szCs w:val="24"/>
          <w:lang w:eastAsia="fr-FR"/>
        </w:rPr>
        <w:drawing>
          <wp:inline distT="0" distB="0" distL="0" distR="0" wp14:anchorId="78B9A403" wp14:editId="04D5FCF5">
            <wp:extent cx="5506218" cy="213389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6218" cy="2133898"/>
                    </a:xfrm>
                    <a:prstGeom prst="rect">
                      <a:avLst/>
                    </a:prstGeom>
                  </pic:spPr>
                </pic:pic>
              </a:graphicData>
            </a:graphic>
          </wp:inline>
        </w:drawing>
      </w:r>
    </w:p>
    <w:p w14:paraId="2055EBD8" w14:textId="532B82F8" w:rsidR="00F9212B" w:rsidRDefault="00C65520"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a)</w:t>
      </w:r>
      <w:r w:rsidR="00F9212B">
        <w:rPr>
          <w:rFonts w:ascii="inherit" w:eastAsia="Times New Roman" w:hAnsi="inherit" w:cs="Courier New"/>
          <w:color w:val="1F1F1F"/>
          <w:sz w:val="24"/>
          <w:szCs w:val="24"/>
          <w:lang w:eastAsia="fr-FR"/>
        </w:rPr>
        <w:t>Gene TEM Gel 1</w:t>
      </w:r>
    </w:p>
    <w:p w14:paraId="2BC6D6FC" w14:textId="62C93E39" w:rsidR="00F9212B" w:rsidRDefault="00F9212B"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sidRPr="00F9212B">
        <w:rPr>
          <w:rFonts w:ascii="inherit" w:eastAsia="Times New Roman" w:hAnsi="inherit" w:cs="Courier New"/>
          <w:noProof/>
          <w:color w:val="1F1F1F"/>
          <w:sz w:val="24"/>
          <w:szCs w:val="24"/>
          <w:lang w:eastAsia="fr-FR"/>
        </w:rPr>
        <w:drawing>
          <wp:inline distT="0" distB="0" distL="0" distR="0" wp14:anchorId="5D650D3D" wp14:editId="08B9B2A8">
            <wp:extent cx="5515745" cy="1724266"/>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5745" cy="1724266"/>
                    </a:xfrm>
                    <a:prstGeom prst="rect">
                      <a:avLst/>
                    </a:prstGeom>
                  </pic:spPr>
                </pic:pic>
              </a:graphicData>
            </a:graphic>
          </wp:inline>
        </w:drawing>
      </w:r>
    </w:p>
    <w:p w14:paraId="5707942C" w14:textId="00FA0000" w:rsidR="00F9212B" w:rsidRDefault="00C65520"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w:t>
      </w:r>
      <w:proofErr w:type="gramStart"/>
      <w:r>
        <w:rPr>
          <w:rFonts w:ascii="inherit" w:eastAsia="Times New Roman" w:hAnsi="inherit" w:cs="Courier New"/>
          <w:color w:val="1F1F1F"/>
          <w:sz w:val="24"/>
          <w:szCs w:val="24"/>
          <w:lang w:eastAsia="fr-FR"/>
        </w:rPr>
        <w:t>b)</w:t>
      </w:r>
      <w:r w:rsidR="00F9212B">
        <w:rPr>
          <w:rFonts w:ascii="inherit" w:eastAsia="Times New Roman" w:hAnsi="inherit" w:cs="Courier New"/>
          <w:color w:val="1F1F1F"/>
          <w:sz w:val="24"/>
          <w:szCs w:val="24"/>
          <w:lang w:eastAsia="fr-FR"/>
        </w:rPr>
        <w:t>TEM</w:t>
      </w:r>
      <w:proofErr w:type="gramEnd"/>
      <w:r w:rsidR="00F9212B">
        <w:rPr>
          <w:rFonts w:ascii="inherit" w:eastAsia="Times New Roman" w:hAnsi="inherit" w:cs="Courier New"/>
          <w:color w:val="1F1F1F"/>
          <w:sz w:val="24"/>
          <w:szCs w:val="24"/>
          <w:lang w:eastAsia="fr-FR"/>
        </w:rPr>
        <w:t xml:space="preserve"> Gel 2</w:t>
      </w:r>
    </w:p>
    <w:p w14:paraId="05561C41" w14:textId="77777777" w:rsidR="009B51EB" w:rsidRPr="009B51EB" w:rsidRDefault="00F9212B" w:rsidP="009B51EB">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Figure </w:t>
      </w:r>
      <w:r w:rsidR="009B51EB">
        <w:rPr>
          <w:rFonts w:ascii="inherit" w:eastAsia="Times New Roman" w:hAnsi="inherit" w:cs="Courier New"/>
          <w:color w:val="1F1F1F"/>
          <w:sz w:val="24"/>
          <w:szCs w:val="24"/>
          <w:lang w:eastAsia="fr-FR"/>
        </w:rPr>
        <w:t xml:space="preserve">3 : </w:t>
      </w:r>
      <w:r w:rsidR="009B51EB" w:rsidRPr="009B51EB">
        <w:rPr>
          <w:rFonts w:ascii="inherit" w:eastAsia="Times New Roman" w:hAnsi="inherit" w:cs="Courier New"/>
          <w:color w:val="1F1F1F"/>
          <w:sz w:val="24"/>
          <w:szCs w:val="24"/>
          <w:lang w:eastAsia="fr-FR"/>
        </w:rPr>
        <w:t>TEM gene migration image on agarose gel</w:t>
      </w:r>
    </w:p>
    <w:p w14:paraId="04182707" w14:textId="0B062214" w:rsidR="00C65520" w:rsidRDefault="00C65520" w:rsidP="009B51EB">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w:t>
      </w:r>
      <w:r w:rsidRPr="00C65520">
        <w:rPr>
          <w:rFonts w:ascii="inherit" w:eastAsia="Times New Roman" w:hAnsi="inherit" w:cs="Courier New"/>
          <w:color w:val="1F1F1F"/>
          <w:sz w:val="24"/>
          <w:szCs w:val="24"/>
          <w:lang w:eastAsia="fr-FR"/>
        </w:rPr>
        <w:t xml:space="preserve">Thirty-five (35) positive cases out of 51 strains, representing 69% of the strains, for the </w:t>
      </w:r>
      <w:r>
        <w:rPr>
          <w:rFonts w:ascii="inherit" w:eastAsia="Times New Roman" w:hAnsi="inherit" w:cs="Courier New"/>
          <w:color w:val="1F1F1F"/>
          <w:sz w:val="24"/>
          <w:szCs w:val="24"/>
          <w:lang w:eastAsia="fr-FR"/>
        </w:rPr>
        <w:t xml:space="preserve">      </w:t>
      </w:r>
    </w:p>
    <w:p w14:paraId="3A15F10C" w14:textId="18206175"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 xml:space="preserve">       </w:t>
      </w:r>
      <w:proofErr w:type="gramStart"/>
      <w:r w:rsidRPr="00C65520">
        <w:rPr>
          <w:rFonts w:ascii="inherit" w:eastAsia="Times New Roman" w:hAnsi="inherit" w:cs="Courier New"/>
          <w:color w:val="1F1F1F"/>
          <w:sz w:val="24"/>
          <w:szCs w:val="24"/>
          <w:lang w:eastAsia="fr-FR"/>
        </w:rPr>
        <w:t>presence</w:t>
      </w:r>
      <w:proofErr w:type="gramEnd"/>
      <w:r w:rsidRPr="00C65520">
        <w:rPr>
          <w:rFonts w:ascii="inherit" w:eastAsia="Times New Roman" w:hAnsi="inherit" w:cs="Courier New"/>
          <w:color w:val="1F1F1F"/>
          <w:sz w:val="24"/>
          <w:szCs w:val="24"/>
          <w:lang w:eastAsia="fr-FR"/>
        </w:rPr>
        <w:t xml:space="preserve"> of the TEM gene.</w:t>
      </w:r>
    </w:p>
    <w:p w14:paraId="2D477349" w14:textId="6EC069A4"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C65520">
        <w:rPr>
          <w:rFonts w:ascii="inherit" w:eastAsia="Times New Roman" w:hAnsi="inherit" w:cs="Courier New"/>
          <w:noProof/>
          <w:color w:val="1F1F1F"/>
          <w:sz w:val="24"/>
          <w:szCs w:val="24"/>
          <w:lang w:eastAsia="fr-FR"/>
        </w:rPr>
        <w:lastRenderedPageBreak/>
        <w:drawing>
          <wp:inline distT="0" distB="0" distL="0" distR="0" wp14:anchorId="66A1BB1A" wp14:editId="565D8EDE">
            <wp:extent cx="5760720" cy="26619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661920"/>
                    </a:xfrm>
                    <a:prstGeom prst="rect">
                      <a:avLst/>
                    </a:prstGeom>
                  </pic:spPr>
                </pic:pic>
              </a:graphicData>
            </a:graphic>
          </wp:inline>
        </w:drawing>
      </w:r>
    </w:p>
    <w:p w14:paraId="5E3EC844" w14:textId="544CCA04"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Figure</w:t>
      </w:r>
      <w:r w:rsidR="009B51EB">
        <w:rPr>
          <w:rFonts w:ascii="inherit" w:eastAsia="Times New Roman" w:hAnsi="inherit" w:cs="Courier New"/>
          <w:color w:val="1F1F1F"/>
          <w:sz w:val="24"/>
          <w:szCs w:val="24"/>
          <w:lang w:eastAsia="fr-FR"/>
        </w:rPr>
        <w:t xml:space="preserve"> 4</w:t>
      </w:r>
      <w:r>
        <w:rPr>
          <w:rFonts w:ascii="inherit" w:eastAsia="Times New Roman" w:hAnsi="inherit" w:cs="Courier New"/>
          <w:color w:val="1F1F1F"/>
          <w:sz w:val="24"/>
          <w:szCs w:val="24"/>
          <w:lang w:eastAsia="fr-FR"/>
        </w:rPr>
        <w:t>:</w:t>
      </w:r>
      <w:r w:rsidR="009B51EB" w:rsidRPr="009B51EB">
        <w:rPr>
          <w:rFonts w:ascii="inherit" w:eastAsia="Times New Roman" w:hAnsi="inherit" w:cs="Courier New"/>
          <w:color w:val="1F1F1F"/>
          <w:sz w:val="24"/>
          <w:szCs w:val="24"/>
          <w:lang w:eastAsia="fr-FR"/>
        </w:rPr>
        <w:t xml:space="preserve"> </w:t>
      </w:r>
      <w:r w:rsidR="009B51EB">
        <w:rPr>
          <w:rFonts w:ascii="inherit" w:eastAsia="Times New Roman" w:hAnsi="inherit" w:cs="Courier New"/>
          <w:color w:val="1F1F1F"/>
          <w:sz w:val="24"/>
          <w:szCs w:val="24"/>
          <w:lang w:eastAsia="fr-FR"/>
        </w:rPr>
        <w:t xml:space="preserve">CTX-M1 </w:t>
      </w:r>
      <w:r w:rsidR="009B51EB" w:rsidRPr="009B51EB">
        <w:rPr>
          <w:rFonts w:ascii="inherit" w:eastAsia="Times New Roman" w:hAnsi="inherit" w:cs="Courier New"/>
          <w:color w:val="1F1F1F"/>
          <w:sz w:val="24"/>
          <w:szCs w:val="24"/>
          <w:lang w:eastAsia="fr-FR"/>
        </w:rPr>
        <w:t>gene migration image on agarose gel</w:t>
      </w:r>
    </w:p>
    <w:p w14:paraId="26C3C4D3" w14:textId="77777777"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C65520">
        <w:rPr>
          <w:rFonts w:ascii="inherit" w:eastAsia="Times New Roman" w:hAnsi="inherit" w:cs="Courier New"/>
          <w:color w:val="1F1F1F"/>
          <w:sz w:val="24"/>
          <w:szCs w:val="24"/>
          <w:lang w:eastAsia="fr-FR"/>
        </w:rPr>
        <w:t>Fourteen (14) positive cases out of 51 strains, representing a 27.6% prevalence of the gene in the studied population.</w:t>
      </w:r>
    </w:p>
    <w:p w14:paraId="7C6E5830" w14:textId="77777777" w:rsidR="00C65520" w:rsidRP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
    <w:p w14:paraId="1FF1F89D" w14:textId="0BA72E11"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sidRPr="00C65520">
        <w:rPr>
          <w:rFonts w:ascii="inherit" w:eastAsia="Times New Roman" w:hAnsi="inherit" w:cs="Courier New"/>
          <w:noProof/>
          <w:color w:val="1F1F1F"/>
          <w:sz w:val="24"/>
          <w:szCs w:val="24"/>
          <w:lang w:eastAsia="fr-FR"/>
        </w:rPr>
        <w:drawing>
          <wp:inline distT="0" distB="0" distL="0" distR="0" wp14:anchorId="279EFB33" wp14:editId="13FD5BB1">
            <wp:extent cx="5760720" cy="243014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30145"/>
                    </a:xfrm>
                    <a:prstGeom prst="rect">
                      <a:avLst/>
                    </a:prstGeom>
                  </pic:spPr>
                </pic:pic>
              </a:graphicData>
            </a:graphic>
          </wp:inline>
        </w:drawing>
      </w:r>
    </w:p>
    <w:p w14:paraId="79B340FB" w14:textId="5836E855"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Figure</w:t>
      </w:r>
      <w:r w:rsidR="009B51EB">
        <w:rPr>
          <w:rFonts w:ascii="inherit" w:eastAsia="Times New Roman" w:hAnsi="inherit" w:cs="Courier New"/>
          <w:color w:val="1F1F1F"/>
          <w:sz w:val="24"/>
          <w:szCs w:val="24"/>
          <w:lang w:eastAsia="fr-FR"/>
        </w:rPr>
        <w:t xml:space="preserve"> 5 :</w:t>
      </w:r>
      <w:r w:rsidR="009B51EB" w:rsidRPr="009B51EB">
        <w:rPr>
          <w:rFonts w:ascii="inherit" w:eastAsia="Times New Roman" w:hAnsi="inherit" w:cs="Courier New"/>
          <w:color w:val="1F1F1F"/>
          <w:sz w:val="24"/>
          <w:szCs w:val="24"/>
          <w:lang w:eastAsia="fr-FR"/>
        </w:rPr>
        <w:t xml:space="preserve"> </w:t>
      </w:r>
      <w:r w:rsidR="009B51EB">
        <w:rPr>
          <w:rFonts w:ascii="inherit" w:eastAsia="Times New Roman" w:hAnsi="inherit" w:cs="Courier New"/>
          <w:color w:val="1F1F1F"/>
          <w:sz w:val="24"/>
          <w:szCs w:val="24"/>
          <w:lang w:eastAsia="fr-FR"/>
        </w:rPr>
        <w:t>Qnrb</w:t>
      </w:r>
      <w:r w:rsidR="009B51EB" w:rsidRPr="009B51EB">
        <w:rPr>
          <w:rFonts w:ascii="inherit" w:eastAsia="Times New Roman" w:hAnsi="inherit" w:cs="Courier New"/>
          <w:color w:val="1F1F1F"/>
          <w:sz w:val="24"/>
          <w:szCs w:val="24"/>
          <w:lang w:eastAsia="fr-FR"/>
        </w:rPr>
        <w:t xml:space="preserve"> gene migration image on agarose gel</w:t>
      </w:r>
    </w:p>
    <w:p w14:paraId="0F4C7A00" w14:textId="77777777" w:rsidR="00C65520" w:rsidRDefault="00C65520"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roofErr w:type="gramStart"/>
      <w:r w:rsidRPr="00C65520">
        <w:rPr>
          <w:rFonts w:ascii="inherit" w:eastAsia="Times New Roman" w:hAnsi="inherit" w:cs="Courier New"/>
          <w:color w:val="1F1F1F"/>
          <w:sz w:val="24"/>
          <w:szCs w:val="24"/>
          <w:lang w:eastAsia="fr-FR"/>
        </w:rPr>
        <w:t>nine</w:t>
      </w:r>
      <w:proofErr w:type="gramEnd"/>
      <w:r w:rsidRPr="00C65520">
        <w:rPr>
          <w:rFonts w:ascii="inherit" w:eastAsia="Times New Roman" w:hAnsi="inherit" w:cs="Courier New"/>
          <w:color w:val="1F1F1F"/>
          <w:sz w:val="24"/>
          <w:szCs w:val="24"/>
          <w:lang w:eastAsia="fr-FR"/>
        </w:rPr>
        <w:t xml:space="preserve"> (9) positive cases out of the 51 strains, i.e. 18% prevalence of the gene in the strains studied.</w:t>
      </w:r>
    </w:p>
    <w:p w14:paraId="0C8DE835" w14:textId="0CEF3FCF" w:rsidR="00C65520" w:rsidRDefault="009B51EB" w:rsidP="009B51E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1F1F1F"/>
          <w:sz w:val="24"/>
          <w:szCs w:val="24"/>
          <w:lang w:eastAsia="fr-FR"/>
        </w:rPr>
      </w:pPr>
      <w:r w:rsidRPr="009B51EB">
        <w:rPr>
          <w:rFonts w:ascii="inherit" w:eastAsia="Times New Roman" w:hAnsi="inherit" w:cs="Courier New"/>
          <w:noProof/>
          <w:color w:val="1F1F1F"/>
          <w:sz w:val="24"/>
          <w:szCs w:val="24"/>
          <w:lang w:eastAsia="fr-FR"/>
        </w:rPr>
        <w:lastRenderedPageBreak/>
        <w:drawing>
          <wp:inline distT="0" distB="0" distL="0" distR="0" wp14:anchorId="516F9EAC" wp14:editId="42270859">
            <wp:extent cx="4963218" cy="3019846"/>
            <wp:effectExtent l="0" t="0" r="889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3218" cy="3019846"/>
                    </a:xfrm>
                    <a:prstGeom prst="rect">
                      <a:avLst/>
                    </a:prstGeom>
                  </pic:spPr>
                </pic:pic>
              </a:graphicData>
            </a:graphic>
          </wp:inline>
        </w:drawing>
      </w:r>
    </w:p>
    <w:p w14:paraId="60D7C43A" w14:textId="4AE75421" w:rsidR="009B51EB" w:rsidRDefault="009B51EB" w:rsidP="009B51E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r>
        <w:rPr>
          <w:rFonts w:ascii="inherit" w:eastAsia="Times New Roman" w:hAnsi="inherit" w:cs="Courier New"/>
          <w:color w:val="1F1F1F"/>
          <w:sz w:val="24"/>
          <w:szCs w:val="24"/>
          <w:lang w:eastAsia="fr-FR"/>
        </w:rPr>
        <w:t>Figure 6 : SHV</w:t>
      </w:r>
      <w:r w:rsidRPr="009B51EB">
        <w:rPr>
          <w:rFonts w:ascii="inherit" w:eastAsia="Times New Roman" w:hAnsi="inherit" w:cs="Courier New"/>
          <w:color w:val="1F1F1F"/>
          <w:sz w:val="24"/>
          <w:szCs w:val="24"/>
          <w:lang w:eastAsia="fr-FR"/>
        </w:rPr>
        <w:t xml:space="preserve"> gene migration image on agarose gel</w:t>
      </w:r>
    </w:p>
    <w:p w14:paraId="01F730B6" w14:textId="27935DEA" w:rsidR="00C65520" w:rsidRPr="00C65520" w:rsidRDefault="009B51EB" w:rsidP="00C655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eastAsia="fr-FR"/>
        </w:rPr>
      </w:pPr>
      <w:proofErr w:type="gramStart"/>
      <w:r w:rsidRPr="009B51EB">
        <w:rPr>
          <w:rFonts w:ascii="inherit" w:eastAsia="Times New Roman" w:hAnsi="inherit" w:cs="Courier New"/>
          <w:color w:val="1F1F1F"/>
          <w:sz w:val="24"/>
          <w:szCs w:val="24"/>
          <w:lang w:eastAsia="fr-FR"/>
        </w:rPr>
        <w:t>eleven</w:t>
      </w:r>
      <w:proofErr w:type="gramEnd"/>
      <w:r w:rsidRPr="009B51EB">
        <w:rPr>
          <w:rFonts w:ascii="inherit" w:eastAsia="Times New Roman" w:hAnsi="inherit" w:cs="Courier New"/>
          <w:color w:val="1F1F1F"/>
          <w:sz w:val="24"/>
          <w:szCs w:val="24"/>
          <w:lang w:eastAsia="fr-FR"/>
        </w:rPr>
        <w:t xml:space="preserve"> (11) positive cases out of 51 strains, representing 21.5% of strains for the presence of the gene</w:t>
      </w:r>
      <w:r>
        <w:rPr>
          <w:rFonts w:ascii="inherit" w:eastAsia="Times New Roman" w:hAnsi="inherit" w:cs="Courier New"/>
          <w:color w:val="1F1F1F"/>
          <w:sz w:val="24"/>
          <w:szCs w:val="24"/>
          <w:lang w:eastAsia="fr-FR"/>
        </w:rPr>
        <w:t>.</w:t>
      </w:r>
    </w:p>
    <w:p w14:paraId="35EF42C6" w14:textId="77777777"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r>
        <w:rPr>
          <w:rFonts w:ascii="inherit" w:eastAsia="Times New Roman" w:hAnsi="inherit" w:cs="Courier New"/>
          <w:color w:val="1F1F1F"/>
          <w:sz w:val="24"/>
          <w:szCs w:val="24"/>
          <w:lang w:eastAsia="fr-FR"/>
        </w:rPr>
        <w:t xml:space="preserve">Table </w:t>
      </w:r>
      <w:proofErr w:type="gramStart"/>
      <w:r>
        <w:rPr>
          <w:rFonts w:ascii="inherit" w:eastAsia="Times New Roman" w:hAnsi="inherit" w:cs="Courier New"/>
          <w:color w:val="1F1F1F"/>
          <w:sz w:val="24"/>
          <w:szCs w:val="24"/>
          <w:lang w:eastAsia="fr-FR"/>
        </w:rPr>
        <w:t>4</w:t>
      </w:r>
      <w:r w:rsidR="00E372DE" w:rsidRPr="00E372DE">
        <w:rPr>
          <w:rFonts w:ascii="inherit" w:eastAsia="Times New Roman" w:hAnsi="inherit" w:cs="Courier New"/>
          <w:color w:val="1F1F1F"/>
          <w:sz w:val="24"/>
          <w:szCs w:val="24"/>
          <w:lang w:eastAsia="fr-FR"/>
        </w:rPr>
        <w:t>:</w:t>
      </w:r>
      <w:proofErr w:type="gramEnd"/>
      <w:r w:rsidR="00E372DE" w:rsidRPr="00E372DE">
        <w:rPr>
          <w:rFonts w:ascii="inherit" w:eastAsia="Times New Roman" w:hAnsi="inherit" w:cs="Courier New"/>
          <w:color w:val="1F1F1F"/>
          <w:sz w:val="24"/>
          <w:szCs w:val="24"/>
          <w:lang w:eastAsia="fr-FR"/>
        </w:rPr>
        <w:t xml:space="preserve"> Genomic resistance profile by isolated bacterial species</w:t>
      </w:r>
    </w:p>
    <w:tbl>
      <w:tblPr>
        <w:tblW w:w="95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40"/>
        <w:gridCol w:w="1316"/>
        <w:gridCol w:w="1316"/>
        <w:gridCol w:w="1316"/>
        <w:gridCol w:w="1316"/>
        <w:gridCol w:w="1316"/>
      </w:tblGrid>
      <w:tr w:rsidR="00E372DE" w:rsidRPr="00E372DE" w14:paraId="188462B4" w14:textId="77777777" w:rsidTr="00E372DE">
        <w:trPr>
          <w:trHeight w:val="315"/>
        </w:trPr>
        <w:tc>
          <w:tcPr>
            <w:tcW w:w="2940" w:type="dxa"/>
            <w:tcBorders>
              <w:top w:val="single" w:sz="4" w:space="0" w:color="auto"/>
              <w:bottom w:val="single" w:sz="4" w:space="0" w:color="auto"/>
            </w:tcBorders>
            <w:shd w:val="clear" w:color="auto" w:fill="BDD6EE"/>
            <w:noWrap/>
            <w:vAlign w:val="bottom"/>
            <w:hideMark/>
          </w:tcPr>
          <w:p w14:paraId="36E187A3" w14:textId="77777777" w:rsidR="00E372DE" w:rsidRPr="008154DE" w:rsidRDefault="00E372DE" w:rsidP="00644E3C">
            <w:pPr>
              <w:spacing w:after="0" w:line="240" w:lineRule="auto"/>
              <w:jc w:val="both"/>
              <w:rPr>
                <w:rFonts w:ascii="Times New Roman" w:eastAsia="Times New Roman" w:hAnsi="Times New Roman" w:cs="Times New Roman"/>
                <w:b/>
                <w:bCs/>
                <w:color w:val="000000"/>
                <w:lang w:val="en-US" w:eastAsia="fr-FR"/>
              </w:rPr>
            </w:pPr>
            <w:r w:rsidRPr="008154DE">
              <w:rPr>
                <w:rFonts w:ascii="Times New Roman" w:eastAsia="Times New Roman" w:hAnsi="Times New Roman" w:cs="Times New Roman"/>
                <w:b/>
                <w:bCs/>
                <w:color w:val="000000"/>
                <w:lang w:val="en-US" w:eastAsia="fr-FR"/>
              </w:rPr>
              <w:t> </w:t>
            </w:r>
          </w:p>
        </w:tc>
        <w:tc>
          <w:tcPr>
            <w:tcW w:w="1316" w:type="dxa"/>
            <w:tcBorders>
              <w:top w:val="single" w:sz="4" w:space="0" w:color="auto"/>
              <w:bottom w:val="single" w:sz="4" w:space="0" w:color="auto"/>
            </w:tcBorders>
            <w:shd w:val="clear" w:color="auto" w:fill="BDD6EE"/>
            <w:noWrap/>
            <w:vAlign w:val="bottom"/>
            <w:hideMark/>
          </w:tcPr>
          <w:p w14:paraId="051D4CAA"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TEM(</w:t>
            </w:r>
            <w:r w:rsidRPr="00E372DE">
              <w:rPr>
                <w:rFonts w:ascii="Calibri" w:eastAsia="Times New Roman" w:hAnsi="Calibri" w:cs="Calibri"/>
                <w:b/>
                <w:bCs/>
                <w:color w:val="000000"/>
                <w:sz w:val="24"/>
                <w:szCs w:val="24"/>
                <w:lang w:eastAsia="fr-FR"/>
              </w:rPr>
              <w:t>%)</w:t>
            </w:r>
          </w:p>
        </w:tc>
        <w:tc>
          <w:tcPr>
            <w:tcW w:w="1316" w:type="dxa"/>
            <w:tcBorders>
              <w:top w:val="single" w:sz="4" w:space="0" w:color="auto"/>
              <w:bottom w:val="single" w:sz="4" w:space="0" w:color="auto"/>
            </w:tcBorders>
            <w:shd w:val="clear" w:color="auto" w:fill="BDD6EE"/>
            <w:noWrap/>
            <w:vAlign w:val="bottom"/>
            <w:hideMark/>
          </w:tcPr>
          <w:p w14:paraId="5012BE12"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ctxM1(%)</w:t>
            </w:r>
          </w:p>
        </w:tc>
        <w:tc>
          <w:tcPr>
            <w:tcW w:w="1316" w:type="dxa"/>
            <w:tcBorders>
              <w:top w:val="single" w:sz="4" w:space="0" w:color="auto"/>
              <w:bottom w:val="single" w:sz="4" w:space="0" w:color="auto"/>
            </w:tcBorders>
            <w:shd w:val="clear" w:color="auto" w:fill="BDD6EE"/>
            <w:noWrap/>
            <w:vAlign w:val="bottom"/>
            <w:hideMark/>
          </w:tcPr>
          <w:p w14:paraId="7A1287BC"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ctxM2(%)</w:t>
            </w:r>
          </w:p>
        </w:tc>
        <w:tc>
          <w:tcPr>
            <w:tcW w:w="1316" w:type="dxa"/>
            <w:tcBorders>
              <w:top w:val="single" w:sz="4" w:space="0" w:color="auto"/>
              <w:bottom w:val="single" w:sz="4" w:space="0" w:color="auto"/>
            </w:tcBorders>
            <w:shd w:val="clear" w:color="auto" w:fill="BDD6EE"/>
            <w:noWrap/>
            <w:vAlign w:val="bottom"/>
            <w:hideMark/>
          </w:tcPr>
          <w:p w14:paraId="33EE3747"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qnr</w:t>
            </w:r>
            <w:r w:rsidR="003574F3">
              <w:rPr>
                <w:rFonts w:ascii="Times New Roman" w:eastAsia="Times New Roman" w:hAnsi="Times New Roman" w:cs="Times New Roman"/>
                <w:b/>
                <w:bCs/>
                <w:color w:val="000000"/>
                <w:sz w:val="24"/>
                <w:szCs w:val="24"/>
                <w:lang w:eastAsia="fr-FR"/>
              </w:rPr>
              <w:t>B</w:t>
            </w:r>
            <w:r w:rsidRPr="00E372DE">
              <w:rPr>
                <w:rFonts w:ascii="Times New Roman" w:eastAsia="Times New Roman" w:hAnsi="Times New Roman" w:cs="Times New Roman"/>
                <w:b/>
                <w:bCs/>
                <w:color w:val="000000"/>
                <w:sz w:val="24"/>
                <w:szCs w:val="24"/>
                <w:lang w:eastAsia="fr-FR"/>
              </w:rPr>
              <w:t>(%)</w:t>
            </w:r>
          </w:p>
        </w:tc>
        <w:tc>
          <w:tcPr>
            <w:tcW w:w="1316" w:type="dxa"/>
            <w:tcBorders>
              <w:top w:val="single" w:sz="4" w:space="0" w:color="auto"/>
              <w:bottom w:val="single" w:sz="4" w:space="0" w:color="auto"/>
            </w:tcBorders>
            <w:shd w:val="clear" w:color="auto" w:fill="BDD6EE"/>
            <w:noWrap/>
            <w:vAlign w:val="bottom"/>
            <w:hideMark/>
          </w:tcPr>
          <w:p w14:paraId="54CB5B8F"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SHV(%)</w:t>
            </w:r>
          </w:p>
        </w:tc>
      </w:tr>
      <w:tr w:rsidR="00E372DE" w:rsidRPr="00E372DE" w14:paraId="149C5908" w14:textId="77777777" w:rsidTr="009B523D">
        <w:trPr>
          <w:trHeight w:val="315"/>
        </w:trPr>
        <w:tc>
          <w:tcPr>
            <w:tcW w:w="2940" w:type="dxa"/>
            <w:tcBorders>
              <w:top w:val="single" w:sz="4" w:space="0" w:color="auto"/>
            </w:tcBorders>
            <w:noWrap/>
            <w:vAlign w:val="bottom"/>
            <w:hideMark/>
          </w:tcPr>
          <w:p w14:paraId="29CB607E"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freundii</w:t>
            </w:r>
          </w:p>
        </w:tc>
        <w:tc>
          <w:tcPr>
            <w:tcW w:w="1316" w:type="dxa"/>
            <w:tcBorders>
              <w:top w:val="single" w:sz="4" w:space="0" w:color="auto"/>
            </w:tcBorders>
            <w:noWrap/>
            <w:vAlign w:val="bottom"/>
            <w:hideMark/>
          </w:tcPr>
          <w:p w14:paraId="7A419816"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tcBorders>
              <w:top w:val="single" w:sz="4" w:space="0" w:color="auto"/>
            </w:tcBorders>
            <w:noWrap/>
            <w:vAlign w:val="bottom"/>
            <w:hideMark/>
          </w:tcPr>
          <w:p w14:paraId="41748DC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14:paraId="2F70335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tcBorders>
              <w:top w:val="single" w:sz="4" w:space="0" w:color="auto"/>
            </w:tcBorders>
            <w:noWrap/>
            <w:vAlign w:val="bottom"/>
            <w:hideMark/>
          </w:tcPr>
          <w:p w14:paraId="7E6F140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14:paraId="065F646D"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49220F6C" w14:textId="77777777" w:rsidTr="009B523D">
        <w:trPr>
          <w:trHeight w:val="315"/>
        </w:trPr>
        <w:tc>
          <w:tcPr>
            <w:tcW w:w="2940" w:type="dxa"/>
            <w:noWrap/>
            <w:vAlign w:val="bottom"/>
            <w:hideMark/>
          </w:tcPr>
          <w:p w14:paraId="4D103A8F"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Cloacae</w:t>
            </w:r>
          </w:p>
        </w:tc>
        <w:tc>
          <w:tcPr>
            <w:tcW w:w="1316" w:type="dxa"/>
            <w:noWrap/>
            <w:vAlign w:val="bottom"/>
            <w:hideMark/>
          </w:tcPr>
          <w:p w14:paraId="02A351B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4E81FA0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6B61824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6D00DA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noWrap/>
            <w:vAlign w:val="bottom"/>
            <w:hideMark/>
          </w:tcPr>
          <w:p w14:paraId="46A87F2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3C0F0659" w14:textId="77777777" w:rsidTr="009B523D">
        <w:trPr>
          <w:trHeight w:val="315"/>
        </w:trPr>
        <w:tc>
          <w:tcPr>
            <w:tcW w:w="2940" w:type="dxa"/>
            <w:noWrap/>
            <w:vAlign w:val="bottom"/>
            <w:hideMark/>
          </w:tcPr>
          <w:p w14:paraId="3AB6746E"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sakazakii</w:t>
            </w:r>
          </w:p>
        </w:tc>
        <w:tc>
          <w:tcPr>
            <w:tcW w:w="1316" w:type="dxa"/>
            <w:noWrap/>
            <w:vAlign w:val="bottom"/>
            <w:hideMark/>
          </w:tcPr>
          <w:p w14:paraId="049D83C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9D4CDF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14:paraId="63ED8B4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B056F9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c>
          <w:tcPr>
            <w:tcW w:w="1316" w:type="dxa"/>
            <w:noWrap/>
            <w:vAlign w:val="bottom"/>
            <w:hideMark/>
          </w:tcPr>
          <w:p w14:paraId="0A961E24"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6B172121" w14:textId="77777777" w:rsidTr="009B523D">
        <w:trPr>
          <w:trHeight w:val="315"/>
        </w:trPr>
        <w:tc>
          <w:tcPr>
            <w:tcW w:w="2940" w:type="dxa"/>
            <w:noWrap/>
            <w:vAlign w:val="bottom"/>
            <w:hideMark/>
          </w:tcPr>
          <w:p w14:paraId="277351CF"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Escherichia coli</w:t>
            </w:r>
          </w:p>
        </w:tc>
        <w:tc>
          <w:tcPr>
            <w:tcW w:w="1316" w:type="dxa"/>
            <w:noWrap/>
            <w:vAlign w:val="bottom"/>
            <w:hideMark/>
          </w:tcPr>
          <w:p w14:paraId="0E16450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80,0</w:t>
            </w:r>
          </w:p>
        </w:tc>
        <w:tc>
          <w:tcPr>
            <w:tcW w:w="1316" w:type="dxa"/>
            <w:noWrap/>
            <w:vAlign w:val="bottom"/>
            <w:hideMark/>
          </w:tcPr>
          <w:p w14:paraId="0761B97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B14C10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763D14B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051542E"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40,0</w:t>
            </w:r>
          </w:p>
        </w:tc>
      </w:tr>
      <w:tr w:rsidR="00E372DE" w:rsidRPr="00E372DE" w14:paraId="6D33B9A2" w14:textId="77777777" w:rsidTr="009B523D">
        <w:trPr>
          <w:trHeight w:val="315"/>
        </w:trPr>
        <w:tc>
          <w:tcPr>
            <w:tcW w:w="2940" w:type="dxa"/>
            <w:noWrap/>
            <w:vAlign w:val="bottom"/>
            <w:hideMark/>
          </w:tcPr>
          <w:p w14:paraId="715EE692"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ornithinolytica</w:t>
            </w:r>
          </w:p>
        </w:tc>
        <w:tc>
          <w:tcPr>
            <w:tcW w:w="1316" w:type="dxa"/>
            <w:noWrap/>
            <w:vAlign w:val="bottom"/>
            <w:hideMark/>
          </w:tcPr>
          <w:p w14:paraId="60C06B5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0E2F5F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E04081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6BB7F72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B91A35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r>
      <w:tr w:rsidR="00E372DE" w:rsidRPr="00E372DE" w14:paraId="25FC7B7F" w14:textId="77777777" w:rsidTr="009B523D">
        <w:trPr>
          <w:trHeight w:val="315"/>
        </w:trPr>
        <w:tc>
          <w:tcPr>
            <w:tcW w:w="2940" w:type="dxa"/>
            <w:noWrap/>
            <w:vAlign w:val="bottom"/>
            <w:hideMark/>
          </w:tcPr>
          <w:p w14:paraId="7465802C"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oxytoca</w:t>
            </w:r>
          </w:p>
        </w:tc>
        <w:tc>
          <w:tcPr>
            <w:tcW w:w="1316" w:type="dxa"/>
            <w:noWrap/>
            <w:vAlign w:val="bottom"/>
            <w:hideMark/>
          </w:tcPr>
          <w:p w14:paraId="74F30FCB"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BB1C9A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E9286C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648679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2BADEA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r>
      <w:tr w:rsidR="00E372DE" w:rsidRPr="00E372DE" w14:paraId="5E29085F" w14:textId="77777777" w:rsidTr="009B523D">
        <w:trPr>
          <w:trHeight w:val="315"/>
        </w:trPr>
        <w:tc>
          <w:tcPr>
            <w:tcW w:w="2940" w:type="dxa"/>
            <w:noWrap/>
            <w:vAlign w:val="bottom"/>
            <w:hideMark/>
          </w:tcPr>
          <w:p w14:paraId="621A6DE8"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pneumoniae</w:t>
            </w:r>
          </w:p>
        </w:tc>
        <w:tc>
          <w:tcPr>
            <w:tcW w:w="1316" w:type="dxa"/>
            <w:noWrap/>
            <w:vAlign w:val="bottom"/>
            <w:hideMark/>
          </w:tcPr>
          <w:p w14:paraId="2AF7550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6D855E5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080C19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568F881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5B65743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14:paraId="6C263D77" w14:textId="77777777" w:rsidTr="009B523D">
        <w:trPr>
          <w:trHeight w:val="315"/>
        </w:trPr>
        <w:tc>
          <w:tcPr>
            <w:tcW w:w="2940" w:type="dxa"/>
            <w:noWrap/>
            <w:vAlign w:val="bottom"/>
            <w:hideMark/>
          </w:tcPr>
          <w:p w14:paraId="673317E6"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sp</w:t>
            </w:r>
          </w:p>
        </w:tc>
        <w:tc>
          <w:tcPr>
            <w:tcW w:w="1316" w:type="dxa"/>
            <w:noWrap/>
            <w:vAlign w:val="bottom"/>
            <w:hideMark/>
          </w:tcPr>
          <w:p w14:paraId="2E28C84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83,3</w:t>
            </w:r>
          </w:p>
        </w:tc>
        <w:tc>
          <w:tcPr>
            <w:tcW w:w="1316" w:type="dxa"/>
            <w:noWrap/>
            <w:vAlign w:val="bottom"/>
            <w:hideMark/>
          </w:tcPr>
          <w:p w14:paraId="6D97C04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14:paraId="71B7588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1CB0D14"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5C1855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14:paraId="0B2718AF" w14:textId="77777777" w:rsidTr="009B523D">
        <w:trPr>
          <w:trHeight w:val="315"/>
        </w:trPr>
        <w:tc>
          <w:tcPr>
            <w:tcW w:w="2940" w:type="dxa"/>
            <w:noWrap/>
            <w:vAlign w:val="bottom"/>
            <w:hideMark/>
          </w:tcPr>
          <w:p w14:paraId="1210E1AA"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Protéus mirabilis</w:t>
            </w:r>
          </w:p>
        </w:tc>
        <w:tc>
          <w:tcPr>
            <w:tcW w:w="1316" w:type="dxa"/>
            <w:noWrap/>
            <w:vAlign w:val="bottom"/>
            <w:hideMark/>
          </w:tcPr>
          <w:p w14:paraId="2CADEBB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85,7</w:t>
            </w:r>
          </w:p>
        </w:tc>
        <w:tc>
          <w:tcPr>
            <w:tcW w:w="1316" w:type="dxa"/>
            <w:noWrap/>
            <w:vAlign w:val="bottom"/>
            <w:hideMark/>
          </w:tcPr>
          <w:p w14:paraId="27394EE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14:paraId="5C9407C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5FBF2D4"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14,2</w:t>
            </w:r>
          </w:p>
        </w:tc>
        <w:tc>
          <w:tcPr>
            <w:tcW w:w="1316" w:type="dxa"/>
            <w:noWrap/>
            <w:vAlign w:val="bottom"/>
            <w:hideMark/>
          </w:tcPr>
          <w:p w14:paraId="1D9F811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57,1</w:t>
            </w:r>
          </w:p>
        </w:tc>
      </w:tr>
      <w:tr w:rsidR="00E372DE" w:rsidRPr="00E372DE" w14:paraId="5E3E432E" w14:textId="77777777" w:rsidTr="009B523D">
        <w:trPr>
          <w:trHeight w:val="315"/>
        </w:trPr>
        <w:tc>
          <w:tcPr>
            <w:tcW w:w="2940" w:type="dxa"/>
            <w:noWrap/>
            <w:vAlign w:val="bottom"/>
            <w:hideMark/>
          </w:tcPr>
          <w:p w14:paraId="75EAAB31"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Pseudomonas aeruginosa</w:t>
            </w:r>
          </w:p>
        </w:tc>
        <w:tc>
          <w:tcPr>
            <w:tcW w:w="1316" w:type="dxa"/>
            <w:noWrap/>
            <w:vAlign w:val="bottom"/>
            <w:hideMark/>
          </w:tcPr>
          <w:p w14:paraId="46B66AC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F2BA81D"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8DD4D7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CF2459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563BC5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r>
      <w:tr w:rsidR="00E372DE" w:rsidRPr="00E372DE" w14:paraId="72EF04DA" w14:textId="77777777" w:rsidTr="009B523D">
        <w:trPr>
          <w:trHeight w:val="315"/>
        </w:trPr>
        <w:tc>
          <w:tcPr>
            <w:tcW w:w="2940" w:type="dxa"/>
            <w:noWrap/>
            <w:vAlign w:val="bottom"/>
            <w:hideMark/>
          </w:tcPr>
          <w:p w14:paraId="15A41E2B"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koseri</w:t>
            </w:r>
          </w:p>
        </w:tc>
        <w:tc>
          <w:tcPr>
            <w:tcW w:w="1316" w:type="dxa"/>
            <w:noWrap/>
            <w:vAlign w:val="bottom"/>
            <w:hideMark/>
          </w:tcPr>
          <w:p w14:paraId="5426250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5667230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4DB6D6A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7A56613E"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14:paraId="5EDD82C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bl>
    <w:p w14:paraId="569A0300" w14:textId="77777777" w:rsidR="00E372DE" w:rsidRPr="00F07886"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E372DE">
        <w:rPr>
          <w:rFonts w:ascii="Times New Roman" w:eastAsia="Times New Roman" w:hAnsi="Times New Roman" w:cs="Times New Roman"/>
          <w:color w:val="1F1F1F"/>
          <w:sz w:val="24"/>
          <w:szCs w:val="24"/>
          <w:lang w:eastAsia="fr-FR"/>
        </w:rPr>
        <w:t xml:space="preserve">The proportion of resistance genes per bacterial species is very high in strains: 100% for </w:t>
      </w:r>
      <w:r w:rsidRPr="00644E3C">
        <w:rPr>
          <w:rFonts w:ascii="Times New Roman" w:eastAsia="Times New Roman" w:hAnsi="Times New Roman" w:cs="Times New Roman"/>
          <w:i/>
          <w:color w:val="1F1F1F"/>
          <w:sz w:val="24"/>
          <w:szCs w:val="24"/>
          <w:lang w:eastAsia="fr-FR"/>
        </w:rPr>
        <w:t>Citrobactere freundi</w:t>
      </w:r>
      <w:r w:rsidRPr="00E372DE">
        <w:rPr>
          <w:rFonts w:ascii="Times New Roman" w:eastAsia="Times New Roman" w:hAnsi="Times New Roman" w:cs="Times New Roman"/>
          <w:color w:val="1F1F1F"/>
          <w:sz w:val="24"/>
          <w:szCs w:val="24"/>
          <w:lang w:eastAsia="fr-FR"/>
        </w:rPr>
        <w:t xml:space="preserve"> by TEM, 75% for ctxM1 and 100% for qnr in </w:t>
      </w:r>
      <w:r w:rsidRPr="00644E3C">
        <w:rPr>
          <w:rFonts w:ascii="Times New Roman" w:eastAsia="Times New Roman" w:hAnsi="Times New Roman" w:cs="Times New Roman"/>
          <w:i/>
          <w:color w:val="1F1F1F"/>
          <w:sz w:val="24"/>
          <w:szCs w:val="24"/>
          <w:lang w:eastAsia="fr-FR"/>
        </w:rPr>
        <w:t>Enterobactere cloacae</w:t>
      </w:r>
      <w:r w:rsidRPr="00E372DE">
        <w:rPr>
          <w:rFonts w:ascii="Times New Roman" w:eastAsia="Times New Roman" w:hAnsi="Times New Roman" w:cs="Times New Roman"/>
          <w:color w:val="1F1F1F"/>
          <w:sz w:val="24"/>
          <w:szCs w:val="24"/>
          <w:lang w:eastAsia="fr-FR"/>
        </w:rPr>
        <w:t xml:space="preserve">, and </w:t>
      </w:r>
      <w:r w:rsidRPr="00F07886">
        <w:rPr>
          <w:rFonts w:ascii="Times New Roman" w:eastAsia="Times New Roman" w:hAnsi="Times New Roman" w:cs="Times New Roman"/>
          <w:color w:val="1F1F1F"/>
          <w:sz w:val="24"/>
          <w:szCs w:val="24"/>
          <w:lang w:eastAsia="fr-FR"/>
        </w:rPr>
        <w:t xml:space="preserve">50% and 75% for the SHV gene in </w:t>
      </w:r>
      <w:r w:rsidRPr="00F07886">
        <w:rPr>
          <w:rFonts w:ascii="Times New Roman" w:eastAsia="Times New Roman" w:hAnsi="Times New Roman" w:cs="Times New Roman"/>
          <w:i/>
          <w:color w:val="1F1F1F"/>
          <w:sz w:val="24"/>
          <w:szCs w:val="24"/>
          <w:lang w:eastAsia="fr-FR"/>
        </w:rPr>
        <w:t>Klebsiella</w:t>
      </w:r>
      <w:r w:rsidRPr="00F07886">
        <w:rPr>
          <w:rFonts w:ascii="Times New Roman" w:eastAsia="Times New Roman" w:hAnsi="Times New Roman" w:cs="Times New Roman"/>
          <w:color w:val="1F1F1F"/>
          <w:sz w:val="24"/>
          <w:szCs w:val="24"/>
          <w:lang w:eastAsia="fr-FR"/>
        </w:rPr>
        <w:t xml:space="preserve"> strains.</w:t>
      </w:r>
    </w:p>
    <w:p w14:paraId="6D71EEBD" w14:textId="77777777" w:rsidR="003574F3" w:rsidRDefault="003574F3"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p>
    <w:p w14:paraId="46E0BD66" w14:textId="77777777"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F07886">
        <w:rPr>
          <w:rFonts w:ascii="Times New Roman" w:eastAsia="Times New Roman" w:hAnsi="Times New Roman" w:cs="Times New Roman"/>
          <w:b/>
          <w:color w:val="1F1F1F"/>
          <w:sz w:val="24"/>
          <w:szCs w:val="24"/>
          <w:lang w:eastAsia="fr-FR"/>
        </w:rPr>
        <w:t>Discussion</w:t>
      </w:r>
    </w:p>
    <w:p w14:paraId="36CECBE5" w14:textId="40FA8903" w:rsidR="009B523D" w:rsidRDefault="009B523D" w:rsidP="007C2FF5">
      <w:pPr>
        <w:pStyle w:val="HTMLPreformatted"/>
        <w:jc w:val="both"/>
        <w:rPr>
          <w:rFonts w:ascii="Times New Roman" w:eastAsia="Times New Roman" w:hAnsi="Times New Roman" w:cs="Times New Roman"/>
          <w:color w:val="1F1F1F"/>
          <w:sz w:val="24"/>
          <w:szCs w:val="24"/>
          <w:lang w:eastAsia="fr-FR"/>
        </w:rPr>
      </w:pPr>
      <w:r w:rsidRPr="009B523D">
        <w:rPr>
          <w:rFonts w:ascii="Times New Roman" w:eastAsia="Times New Roman" w:hAnsi="Times New Roman" w:cs="Times New Roman"/>
          <w:color w:val="1F1F1F"/>
          <w:sz w:val="24"/>
          <w:szCs w:val="24"/>
          <w:lang w:eastAsia="fr-FR"/>
        </w:rPr>
        <w:t xml:space="preserve"> </w:t>
      </w:r>
      <w:r w:rsidR="004B606E" w:rsidRPr="004B606E">
        <w:rPr>
          <w:rFonts w:ascii="Times New Roman" w:eastAsia="Times New Roman" w:hAnsi="Times New Roman" w:cs="Times New Roman"/>
          <w:color w:val="1F1F1F"/>
          <w:sz w:val="24"/>
          <w:szCs w:val="24"/>
          <w:lang w:eastAsia="fr-FR"/>
        </w:rPr>
        <w:t>The results of this study show varying proportions of contamination</w:t>
      </w:r>
      <w:r w:rsidR="004B606E">
        <w:rPr>
          <w:rFonts w:ascii="Times New Roman" w:eastAsia="Times New Roman" w:hAnsi="Times New Roman" w:cs="Times New Roman"/>
          <w:color w:val="1F1F1F"/>
          <w:sz w:val="24"/>
          <w:szCs w:val="24"/>
          <w:lang w:eastAsia="fr-FR"/>
        </w:rPr>
        <w:t xml:space="preserve"> with germs of medical interest</w:t>
      </w:r>
      <w:r w:rsidR="004B606E" w:rsidRPr="009B523D">
        <w:rPr>
          <w:rFonts w:ascii="Times New Roman" w:eastAsia="Times New Roman" w:hAnsi="Times New Roman" w:cs="Times New Roman"/>
          <w:color w:val="1F1F1F"/>
          <w:sz w:val="24"/>
          <w:szCs w:val="24"/>
          <w:lang w:eastAsia="fr-FR"/>
        </w:rPr>
        <w:t xml:space="preserve"> </w:t>
      </w:r>
      <w:r w:rsidRPr="009B523D">
        <w:rPr>
          <w:rFonts w:ascii="Times New Roman" w:eastAsia="Times New Roman" w:hAnsi="Times New Roman" w:cs="Times New Roman"/>
          <w:color w:val="1F1F1F"/>
          <w:sz w:val="24"/>
          <w:szCs w:val="24"/>
          <w:lang w:eastAsia="fr-FR"/>
        </w:rPr>
        <w:t>(Figure 2).</w:t>
      </w:r>
      <w:r w:rsidR="004B606E" w:rsidRPr="004B606E">
        <w:rPr>
          <w:rFonts w:ascii="Times New Roman" w:eastAsia="Times New Roman" w:hAnsi="Times New Roman" w:cs="Times New Roman"/>
          <w:color w:val="1F1F1F"/>
          <w:sz w:val="24"/>
          <w:szCs w:val="24"/>
          <w:lang w:eastAsia="fr-FR"/>
        </w:rPr>
        <w:t xml:space="preserve"> These results show a high proportion of contamination by Escherichia coli an</w:t>
      </w:r>
      <w:r w:rsidR="007C2FF5">
        <w:rPr>
          <w:rFonts w:ascii="Times New Roman" w:eastAsia="Times New Roman" w:hAnsi="Times New Roman" w:cs="Times New Roman"/>
          <w:color w:val="1F1F1F"/>
          <w:sz w:val="24"/>
          <w:szCs w:val="24"/>
          <w:lang w:eastAsia="fr-FR"/>
        </w:rPr>
        <w:t xml:space="preserve">d Enterobactere cloacae strains </w:t>
      </w:r>
      <w:r w:rsidRPr="009B523D">
        <w:rPr>
          <w:rFonts w:ascii="Times New Roman" w:eastAsia="Times New Roman" w:hAnsi="Times New Roman" w:cs="Times New Roman"/>
          <w:color w:val="1F1F1F"/>
          <w:sz w:val="24"/>
          <w:szCs w:val="24"/>
          <w:lang w:eastAsia="fr-FR"/>
        </w:rPr>
        <w:t xml:space="preserve">are similar to those of studies conducted by Mejrhit et </w:t>
      </w:r>
      <w:r w:rsidRPr="007C2FF5">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2021, Sidi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and Dejlil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in Morocco in 2013 on the evaluation of the hygienic quality of peanuts in the city of Fez, which also isolated similar proportions of germs of medical interest in peanut paste intended for human consumption, with a high proportion of Escherichia coli [17], [23], [24]. The results obtained could be explained by the fact that unsanitary sales locations and a lack of awareness of hygiene rules applicable to food products pose a risk to consumer health; these practices would influence the hygienic and organoleptic quality of food intended for human consumption [12].Antibiotic susceptibility </w:t>
      </w:r>
      <w:r w:rsidRPr="009B523D">
        <w:rPr>
          <w:rFonts w:ascii="Times New Roman" w:eastAsia="Times New Roman" w:hAnsi="Times New Roman" w:cs="Times New Roman"/>
          <w:color w:val="1F1F1F"/>
          <w:sz w:val="24"/>
          <w:szCs w:val="24"/>
          <w:lang w:eastAsia="fr-FR"/>
        </w:rPr>
        <w:lastRenderedPageBreak/>
        <w:t xml:space="preserve">testing determined phenotypic resistance in the strains (Table 4). Klebsiella oxytoca strains exhibited resistance of approximately 66% </w:t>
      </w:r>
      <w:r w:rsidR="000700C8">
        <w:rPr>
          <w:rFonts w:ascii="Times New Roman" w:eastAsia="Times New Roman" w:hAnsi="Times New Roman" w:cs="Times New Roman"/>
          <w:color w:val="1F1F1F"/>
          <w:sz w:val="24"/>
          <w:szCs w:val="24"/>
          <w:lang w:eastAsia="fr-FR"/>
        </w:rPr>
        <w:t xml:space="preserve">to </w:t>
      </w:r>
      <w:r w:rsidR="00F07886">
        <w:rPr>
          <w:rFonts w:ascii="Times New Roman" w:eastAsia="Times New Roman" w:hAnsi="Times New Roman" w:cs="Times New Roman"/>
          <w:color w:val="1F1F1F"/>
          <w:sz w:val="24"/>
          <w:szCs w:val="24"/>
          <w:lang w:eastAsia="fr-FR"/>
        </w:rPr>
        <w:t>Cefoxitin and 100% to Ticarcillin and A</w:t>
      </w:r>
      <w:r w:rsidRPr="009B523D">
        <w:rPr>
          <w:rFonts w:ascii="Times New Roman" w:eastAsia="Times New Roman" w:hAnsi="Times New Roman" w:cs="Times New Roman"/>
          <w:color w:val="1F1F1F"/>
          <w:sz w:val="24"/>
          <w:szCs w:val="24"/>
          <w:lang w:eastAsia="fr-FR"/>
        </w:rPr>
        <w:t>mpicillin. The resistance observed in this study was described by the French Society for Microbiology's Antibiogram Committee as natural resistance [</w:t>
      </w:r>
      <w:proofErr w:type="gramStart"/>
      <w:r w:rsidRPr="009B523D">
        <w:rPr>
          <w:rFonts w:ascii="Times New Roman" w:eastAsia="Times New Roman" w:hAnsi="Times New Roman" w:cs="Times New Roman"/>
          <w:color w:val="1F1F1F"/>
          <w:sz w:val="24"/>
          <w:szCs w:val="24"/>
          <w:lang w:eastAsia="fr-FR"/>
        </w:rPr>
        <w:t>19][</w:t>
      </w:r>
      <w:proofErr w:type="gramEnd"/>
      <w:r w:rsidRPr="009B523D">
        <w:rPr>
          <w:rFonts w:ascii="Times New Roman" w:eastAsia="Times New Roman" w:hAnsi="Times New Roman" w:cs="Times New Roman"/>
          <w:color w:val="1F1F1F"/>
          <w:sz w:val="24"/>
          <w:szCs w:val="24"/>
          <w:lang w:eastAsia="fr-FR"/>
        </w:rPr>
        <w:t xml:space="preserve">25]. Klebsiella spp. </w:t>
      </w:r>
      <w:proofErr w:type="gramStart"/>
      <w:r w:rsidRPr="009B523D">
        <w:rPr>
          <w:rFonts w:ascii="Times New Roman" w:eastAsia="Times New Roman" w:hAnsi="Times New Roman" w:cs="Times New Roman"/>
          <w:color w:val="1F1F1F"/>
          <w:sz w:val="24"/>
          <w:szCs w:val="24"/>
          <w:lang w:eastAsia="fr-FR"/>
        </w:rPr>
        <w:t>strains</w:t>
      </w:r>
      <w:proofErr w:type="gramEnd"/>
      <w:r w:rsidRPr="009B523D">
        <w:rPr>
          <w:rFonts w:ascii="Times New Roman" w:eastAsia="Times New Roman" w:hAnsi="Times New Roman" w:cs="Times New Roman"/>
          <w:color w:val="1F1F1F"/>
          <w:sz w:val="24"/>
          <w:szCs w:val="24"/>
          <w:lang w:eastAsia="fr-FR"/>
        </w:rPr>
        <w:t xml:space="preserve"> developed resistance of approximately 50% to 66% to</w:t>
      </w:r>
      <w:r w:rsidR="00F07886">
        <w:rPr>
          <w:rFonts w:ascii="Times New Roman" w:eastAsia="Times New Roman" w:hAnsi="Times New Roman" w:cs="Times New Roman"/>
          <w:color w:val="1F1F1F"/>
          <w:sz w:val="24"/>
          <w:szCs w:val="24"/>
          <w:lang w:eastAsia="fr-FR"/>
        </w:rPr>
        <w:t xml:space="preserve"> t</w:t>
      </w:r>
      <w:r w:rsidR="007C2FF5">
        <w:rPr>
          <w:rFonts w:ascii="Times New Roman" w:eastAsia="Times New Roman" w:hAnsi="Times New Roman" w:cs="Times New Roman"/>
          <w:color w:val="1F1F1F"/>
          <w:sz w:val="24"/>
          <w:szCs w:val="24"/>
          <w:lang w:eastAsia="fr-FR"/>
        </w:rPr>
        <w:t>icarcillin,</w:t>
      </w:r>
      <w:r w:rsidR="00F07886">
        <w:rPr>
          <w:rFonts w:ascii="Times New Roman" w:eastAsia="Times New Roman" w:hAnsi="Times New Roman" w:cs="Times New Roman"/>
          <w:color w:val="1F1F1F"/>
          <w:sz w:val="24"/>
          <w:szCs w:val="24"/>
          <w:lang w:eastAsia="fr-FR"/>
        </w:rPr>
        <w:t xml:space="preserve"> A</w:t>
      </w:r>
      <w:r w:rsidRPr="009B523D">
        <w:rPr>
          <w:rFonts w:ascii="Times New Roman" w:eastAsia="Times New Roman" w:hAnsi="Times New Roman" w:cs="Times New Roman"/>
          <w:color w:val="1F1F1F"/>
          <w:sz w:val="24"/>
          <w:szCs w:val="24"/>
          <w:lang w:eastAsia="fr-FR"/>
        </w:rPr>
        <w:t>mox</w:t>
      </w:r>
      <w:r w:rsidR="00F07886">
        <w:rPr>
          <w:rFonts w:ascii="Times New Roman" w:eastAsia="Times New Roman" w:hAnsi="Times New Roman" w:cs="Times New Roman"/>
          <w:color w:val="1F1F1F"/>
          <w:sz w:val="24"/>
          <w:szCs w:val="24"/>
          <w:lang w:eastAsia="fr-FR"/>
        </w:rPr>
        <w:t>icillin + clavulanic acid, and A</w:t>
      </w:r>
      <w:r w:rsidRPr="009B523D">
        <w:rPr>
          <w:rFonts w:ascii="Times New Roman" w:eastAsia="Times New Roman" w:hAnsi="Times New Roman" w:cs="Times New Roman"/>
          <w:color w:val="1F1F1F"/>
          <w:sz w:val="24"/>
          <w:szCs w:val="24"/>
          <w:lang w:eastAsia="fr-FR"/>
        </w:rPr>
        <w:t>mpicillin. Analyses also revealed acquired resistance of 33% to cefoxitin and</w:t>
      </w:r>
      <w:r w:rsidR="00F07886">
        <w:rPr>
          <w:rFonts w:ascii="Times New Roman" w:eastAsia="Times New Roman" w:hAnsi="Times New Roman" w:cs="Times New Roman"/>
          <w:color w:val="1F1F1F"/>
          <w:sz w:val="24"/>
          <w:szCs w:val="24"/>
          <w:lang w:eastAsia="fr-FR"/>
        </w:rPr>
        <w:t xml:space="preserve"> 17% to Cefoxotaxim, Ceftazidim, C</w:t>
      </w:r>
      <w:r w:rsidR="00644E3C">
        <w:rPr>
          <w:rFonts w:ascii="Times New Roman" w:eastAsia="Times New Roman" w:hAnsi="Times New Roman" w:cs="Times New Roman"/>
          <w:color w:val="1F1F1F"/>
          <w:sz w:val="24"/>
          <w:szCs w:val="24"/>
          <w:lang w:eastAsia="fr-FR"/>
        </w:rPr>
        <w:t>efepim</w:t>
      </w:r>
      <w:r w:rsidR="00F07886">
        <w:rPr>
          <w:rFonts w:ascii="Times New Roman" w:eastAsia="Times New Roman" w:hAnsi="Times New Roman" w:cs="Times New Roman"/>
          <w:color w:val="1F1F1F"/>
          <w:sz w:val="24"/>
          <w:szCs w:val="24"/>
          <w:lang w:eastAsia="fr-FR"/>
        </w:rPr>
        <w:t>, Ceftriaxone, N</w:t>
      </w:r>
      <w:r w:rsidRPr="009B523D">
        <w:rPr>
          <w:rFonts w:ascii="Times New Roman" w:eastAsia="Times New Roman" w:hAnsi="Times New Roman" w:cs="Times New Roman"/>
          <w:color w:val="1F1F1F"/>
          <w:sz w:val="24"/>
          <w:szCs w:val="24"/>
          <w:lang w:eastAsia="fr-FR"/>
        </w:rPr>
        <w:t xml:space="preserve">alixidic acid, and ciprofloxacin. These results obtained in this study are consistent with those of a study carried out in 2018 in Mali by Daffeet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on the surveillance of antibiotic resistance of Klebsiella strains which revealed resistance to beta-lactam families [2].Another study conducted by Sbiti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2017 in Morocco on the epidemiological profile of uropathogenic Enterobacteriaceae producing extended-spectrum beta-lactamases yielded results similar to those obtained in this study [26]. The Escherichia coli strains were 66.7% resistant to ampicillin and tic</w:t>
      </w:r>
      <w:r w:rsidR="00F07886">
        <w:rPr>
          <w:rFonts w:ascii="Times New Roman" w:eastAsia="Times New Roman" w:hAnsi="Times New Roman" w:cs="Times New Roman"/>
          <w:color w:val="1F1F1F"/>
          <w:sz w:val="24"/>
          <w:szCs w:val="24"/>
          <w:lang w:eastAsia="fr-FR"/>
        </w:rPr>
        <w:t>arcillin, and 33% resistant to Amoxicillin + c</w:t>
      </w:r>
      <w:r w:rsidR="007C2FF5">
        <w:rPr>
          <w:rFonts w:ascii="Times New Roman" w:eastAsia="Times New Roman" w:hAnsi="Times New Roman" w:cs="Times New Roman"/>
          <w:color w:val="1F1F1F"/>
          <w:sz w:val="24"/>
          <w:szCs w:val="24"/>
          <w:lang w:eastAsia="fr-FR"/>
        </w:rPr>
        <w:t>lavulanic acid, Cefoxitin</w:t>
      </w:r>
      <w:r w:rsidRPr="009B523D">
        <w:rPr>
          <w:rFonts w:ascii="Times New Roman" w:eastAsia="Times New Roman" w:hAnsi="Times New Roman" w:cs="Times New Roman"/>
          <w:color w:val="1F1F1F"/>
          <w:sz w:val="24"/>
          <w:szCs w:val="24"/>
          <w:lang w:eastAsia="fr-FR"/>
        </w:rPr>
        <w:t xml:space="preserve">. These results are inconsistent with those of a study conducted by Sbiti Mohamed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2017, which revealed a low percentage of antibiotic resistance in E. coli strains [26]</w:t>
      </w:r>
      <w:r w:rsidR="007C2FF5">
        <w:rPr>
          <w:rFonts w:ascii="Times New Roman" w:eastAsia="Times New Roman" w:hAnsi="Times New Roman" w:cs="Times New Roman"/>
          <w:color w:val="1F1F1F"/>
          <w:sz w:val="24"/>
          <w:szCs w:val="24"/>
          <w:lang w:eastAsia="fr-FR"/>
        </w:rPr>
        <w:t>[28]</w:t>
      </w:r>
      <w:r w:rsidRPr="009B523D">
        <w:rPr>
          <w:rFonts w:ascii="Times New Roman" w:eastAsia="Times New Roman" w:hAnsi="Times New Roman" w:cs="Times New Roman"/>
          <w:color w:val="1F1F1F"/>
          <w:sz w:val="24"/>
          <w:szCs w:val="24"/>
          <w:lang w:eastAsia="fr-FR"/>
        </w:rPr>
        <w:t xml:space="preserve">. Our results are consistent with those of a study conducted by Guerrin et </w:t>
      </w:r>
      <w:r w:rsidRPr="000700C8">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2021 on beta-lactam resistance in bovine Escherichia coli strains [10][12][5][27][28]. Enterobacteriaceae koserii strains have 100% resistance to antibiotics such as Ticarcillin, Cefoxitin, Cefixitin, Nalixidic Acid, and Ciprofloxacin, and EnterobacteriaceaeCitrobacteresakazakii showed 33% resistance to Nalixidic Acid and Ciprofloxacin. These results corroborate those of a study conducted by Ebongue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2025 in Cameroon on the evolution of resistance in Enterobacteriaceae strains in human samples, which showed approximately the same proportions of resistance to quinolone and beta-lactam antibiotics [8]. Citrobactere koserii strains exhibited 50–75% resistance to Ceftriaxone, Cefepime, and Cefotaxime, and 75% resistance to Ticarcillin, Amoxicillin + Clavulanic Acid, and Ampicillin. Citrobactere freundii strains showed 33% resistance to Amoxicillin + Clavulanic Acid, Cefoxitin, Ceftazidime, Cefotaxime, Cefriaxone, and Gentamicin. These results are similar to those obtained by Ebongué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in Douala, Cameroon on the evolution of antibiotic resistance of Enterobacteriaceae strains from 2005 to 2012 [8].</w:t>
      </w:r>
      <w:r w:rsidR="00F07886">
        <w:rPr>
          <w:rFonts w:ascii="inherit" w:eastAsia="Times New Roman" w:hAnsi="inherit" w:cs="Courier New"/>
          <w:color w:val="1F1F1F"/>
          <w:sz w:val="24"/>
          <w:szCs w:val="24"/>
          <w:lang w:eastAsia="fr-FR"/>
        </w:rPr>
        <w:t>Resistance to ampicillin, T</w:t>
      </w:r>
      <w:r w:rsidRPr="009B523D">
        <w:rPr>
          <w:rFonts w:ascii="inherit" w:eastAsia="Times New Roman" w:hAnsi="inherit" w:cs="Courier New"/>
          <w:color w:val="1F1F1F"/>
          <w:sz w:val="24"/>
          <w:szCs w:val="24"/>
          <w:lang w:eastAsia="fr-FR"/>
        </w:rPr>
        <w:t>ica</w:t>
      </w:r>
      <w:r w:rsidR="00F07886">
        <w:rPr>
          <w:rFonts w:ascii="inherit" w:eastAsia="Times New Roman" w:hAnsi="inherit" w:cs="Courier New"/>
          <w:color w:val="1F1F1F"/>
          <w:sz w:val="24"/>
          <w:szCs w:val="24"/>
          <w:lang w:eastAsia="fr-FR"/>
        </w:rPr>
        <w:t>rcillin, and C</w:t>
      </w:r>
      <w:r w:rsidRPr="009B523D">
        <w:rPr>
          <w:rFonts w:ascii="inherit" w:eastAsia="Times New Roman" w:hAnsi="inherit" w:cs="Courier New"/>
          <w:color w:val="1F1F1F"/>
          <w:sz w:val="24"/>
          <w:szCs w:val="24"/>
          <w:lang w:eastAsia="fr-FR"/>
        </w:rPr>
        <w:t xml:space="preserve">hloramphenicol in </w:t>
      </w:r>
      <w:r w:rsidRPr="00F07886">
        <w:rPr>
          <w:rFonts w:ascii="inherit" w:eastAsia="Times New Roman" w:hAnsi="inherit" w:cs="Courier New"/>
          <w:i/>
          <w:color w:val="1F1F1F"/>
          <w:sz w:val="24"/>
          <w:szCs w:val="24"/>
          <w:lang w:eastAsia="fr-FR"/>
        </w:rPr>
        <w:t>Serratialiquefascience</w:t>
      </w:r>
      <w:r w:rsidRPr="009B523D">
        <w:rPr>
          <w:rFonts w:ascii="inherit" w:eastAsia="Times New Roman" w:hAnsi="inherit" w:cs="Courier New"/>
          <w:color w:val="1F1F1F"/>
          <w:sz w:val="24"/>
          <w:szCs w:val="24"/>
          <w:lang w:eastAsia="fr-FR"/>
        </w:rPr>
        <w:t xml:space="preserve"> strains was 83%, in Proteus mirabilis strains it was 66% to 83%, and in Pseudomonas aeruginosa strains it was 8%. These results corroborate those of a 2022 study by Sardi et </w:t>
      </w:r>
      <w:r w:rsidRPr="00F07886">
        <w:rPr>
          <w:rFonts w:ascii="inherit" w:eastAsia="Times New Roman" w:hAnsi="inherit" w:cs="Courier New"/>
          <w:i/>
          <w:color w:val="1F1F1F"/>
          <w:sz w:val="24"/>
          <w:szCs w:val="24"/>
          <w:lang w:eastAsia="fr-FR"/>
        </w:rPr>
        <w:t>al</w:t>
      </w:r>
      <w:r w:rsidRPr="009B523D">
        <w:rPr>
          <w:rFonts w:ascii="inherit" w:eastAsia="Times New Roman" w:hAnsi="inherit" w:cs="Courier New"/>
          <w:color w:val="1F1F1F"/>
          <w:sz w:val="24"/>
          <w:szCs w:val="24"/>
          <w:lang w:eastAsia="fr-FR"/>
        </w:rPr>
        <w:t xml:space="preserve">. </w:t>
      </w:r>
      <w:proofErr w:type="gramStart"/>
      <w:r w:rsidRPr="009B523D">
        <w:rPr>
          <w:rFonts w:ascii="inherit" w:eastAsia="Times New Roman" w:hAnsi="inherit" w:cs="Courier New"/>
          <w:color w:val="1F1F1F"/>
          <w:sz w:val="24"/>
          <w:szCs w:val="24"/>
          <w:lang w:eastAsia="fr-FR"/>
        </w:rPr>
        <w:t>on</w:t>
      </w:r>
      <w:proofErr w:type="gramEnd"/>
      <w:r w:rsidRPr="009B523D">
        <w:rPr>
          <w:rFonts w:ascii="inherit" w:eastAsia="Times New Roman" w:hAnsi="inherit" w:cs="Courier New"/>
          <w:color w:val="1F1F1F"/>
          <w:sz w:val="24"/>
          <w:szCs w:val="24"/>
          <w:lang w:eastAsia="fr-FR"/>
        </w:rPr>
        <w:t xml:space="preserve"> beta-lactam resistance in Pseudomonas aeruginosa strains [29]. Molecular biology results confirmed the beta-lactam resistance genes TEM, ctxM1, and ctxM2, and the quinolone resistance genes qnrb and SHV yielded resistance rates of 69% and 27.6%, respectively. The ctxM2 gene was not detected in this study. These results are similar to those obtained by Guessennd, et </w:t>
      </w:r>
      <w:r w:rsidRPr="00F07886">
        <w:rPr>
          <w:rFonts w:ascii="inherit" w:eastAsia="Times New Roman" w:hAnsi="inherit" w:cs="Courier New"/>
          <w:i/>
          <w:color w:val="1F1F1F"/>
          <w:sz w:val="24"/>
          <w:szCs w:val="24"/>
          <w:lang w:eastAsia="fr-FR"/>
        </w:rPr>
        <w:t>al</w:t>
      </w:r>
      <w:r w:rsidRPr="009B523D">
        <w:rPr>
          <w:rFonts w:ascii="inherit" w:eastAsia="Times New Roman" w:hAnsi="inherit" w:cs="Courier New"/>
          <w:color w:val="1F1F1F"/>
          <w:sz w:val="24"/>
          <w:szCs w:val="24"/>
          <w:lang w:eastAsia="fr-FR"/>
        </w:rPr>
        <w:t xml:space="preserve"> who obtained which highlighted SHV, TEM, CTXM group 1, 2, 8, 9 and AmpC genes by PCR in proportions of around 27.2% (41/151) and rates of 9.9, 14.6, 2.7% [28].</w:t>
      </w:r>
      <w:r w:rsidRPr="009B523D">
        <w:rPr>
          <w:rFonts w:ascii="Times New Roman" w:eastAsia="Times New Roman" w:hAnsi="Times New Roman" w:cs="Times New Roman"/>
          <w:color w:val="1F1F1F"/>
          <w:sz w:val="24"/>
          <w:szCs w:val="24"/>
          <w:lang w:eastAsia="fr-FR"/>
        </w:rPr>
        <w:t xml:space="preserve">The quinolone resistance gene qnr was detected in the strains with a proportion of 17.6% for qnr and 21.5% for SHV. These results contradict those of previous studies conducted by Dupeyron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2006, on the rapid emergence of quinolone resistance in c</w:t>
      </w:r>
      <w:r w:rsidR="00F07886">
        <w:rPr>
          <w:rFonts w:ascii="Times New Roman" w:eastAsia="Times New Roman" w:hAnsi="Times New Roman" w:cs="Times New Roman"/>
          <w:color w:val="1F1F1F"/>
          <w:sz w:val="24"/>
          <w:szCs w:val="24"/>
          <w:lang w:eastAsia="fr-FR"/>
        </w:rPr>
        <w:t>irrhotic patients treated with N</w:t>
      </w:r>
      <w:r w:rsidRPr="009B523D">
        <w:rPr>
          <w:rFonts w:ascii="Times New Roman" w:eastAsia="Times New Roman" w:hAnsi="Times New Roman" w:cs="Times New Roman"/>
          <w:color w:val="1F1F1F"/>
          <w:sz w:val="24"/>
          <w:szCs w:val="24"/>
          <w:lang w:eastAsia="fr-FR"/>
        </w:rPr>
        <w:t xml:space="preserve">orfloxacin to prevent spontaneous bacterial peritonitis, and by Salah et </w:t>
      </w:r>
      <w:r w:rsidRPr="00F07886">
        <w:rPr>
          <w:rFonts w:ascii="Times New Roman" w:eastAsia="Times New Roman" w:hAnsi="Times New Roman" w:cs="Times New Roman"/>
          <w:i/>
          <w:color w:val="1F1F1F"/>
          <w:sz w:val="24"/>
          <w:szCs w:val="24"/>
          <w:lang w:eastAsia="fr-FR"/>
        </w:rPr>
        <w:t>al</w:t>
      </w:r>
      <w:r w:rsidRPr="009B523D">
        <w:rPr>
          <w:rFonts w:ascii="Times New Roman" w:eastAsia="Times New Roman" w:hAnsi="Times New Roman" w:cs="Times New Roman"/>
          <w:color w:val="1F1F1F"/>
          <w:sz w:val="24"/>
          <w:szCs w:val="24"/>
          <w:lang w:eastAsia="fr-FR"/>
        </w:rPr>
        <w:t xml:space="preserve">.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Lomé from 2010 to 2017, on the increasing antibiotic resistance of Enterobacteriaceae, which revealed a low proportion of quinolone resistance genes [30][31]. Similar to the study conducted by Guessennd et al. </w:t>
      </w:r>
      <w:proofErr w:type="gramStart"/>
      <w:r w:rsidRPr="009B523D">
        <w:rPr>
          <w:rFonts w:ascii="Times New Roman" w:eastAsia="Times New Roman" w:hAnsi="Times New Roman" w:cs="Times New Roman"/>
          <w:color w:val="1F1F1F"/>
          <w:sz w:val="24"/>
          <w:szCs w:val="24"/>
          <w:lang w:eastAsia="fr-FR"/>
        </w:rPr>
        <w:t>in</w:t>
      </w:r>
      <w:proofErr w:type="gramEnd"/>
      <w:r w:rsidRPr="009B523D">
        <w:rPr>
          <w:rFonts w:ascii="Times New Roman" w:eastAsia="Times New Roman" w:hAnsi="Times New Roman" w:cs="Times New Roman"/>
          <w:color w:val="1F1F1F"/>
          <w:sz w:val="24"/>
          <w:szCs w:val="24"/>
          <w:lang w:eastAsia="fr-FR"/>
        </w:rPr>
        <w:t xml:space="preserve"> 2008, which obtained results very close to those of our study [28].</w:t>
      </w:r>
    </w:p>
    <w:p w14:paraId="3670E1DD"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0619F0FF" w14:textId="77777777" w:rsidR="007C2FF5" w:rsidRPr="007C2FF5" w:rsidRDefault="007C2FF5" w:rsidP="007C2FF5">
      <w:pPr>
        <w:keepNext/>
        <w:keepLines/>
        <w:spacing w:after="101" w:line="240" w:lineRule="auto"/>
        <w:ind w:left="22" w:right="-15" w:hanging="10"/>
        <w:outlineLvl w:val="0"/>
        <w:rPr>
          <w:rFonts w:ascii="Cambria" w:eastAsia="Cambria" w:hAnsi="Cambria" w:cs="Cambria"/>
          <w:b/>
          <w:sz w:val="24"/>
          <w:lang w:eastAsia="fr-FR"/>
        </w:rPr>
      </w:pPr>
      <w:r w:rsidRPr="007C2FF5">
        <w:rPr>
          <w:rFonts w:ascii="Cambria" w:eastAsia="Cambria" w:hAnsi="Cambria" w:cs="Cambria"/>
          <w:b/>
          <w:sz w:val="24"/>
          <w:lang w:eastAsia="fr-FR"/>
        </w:rPr>
        <w:t xml:space="preserve">STUDY LIMIT </w:t>
      </w:r>
    </w:p>
    <w:p w14:paraId="7381449B" w14:textId="77777777" w:rsidR="007C2FF5" w:rsidRPr="007C2FF5" w:rsidRDefault="007C2FF5" w:rsidP="007C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r w:rsidRPr="007C2FF5">
        <w:rPr>
          <w:rFonts w:ascii="Times New Roman" w:eastAsia="Times New Roman" w:hAnsi="Times New Roman" w:cs="Times New Roman"/>
          <w:color w:val="1F1F1F"/>
          <w:sz w:val="24"/>
          <w:szCs w:val="24"/>
          <w:lang w:eastAsia="fr-FR"/>
        </w:rPr>
        <w:t xml:space="preserve">The study area and sample size were not representative of all markets in the Central African Republic. Difficulties in obtaining primers also posed a challenge for this study, limiting the </w:t>
      </w:r>
      <w:r w:rsidRPr="007C2FF5">
        <w:rPr>
          <w:rFonts w:ascii="Times New Roman" w:eastAsia="Times New Roman" w:hAnsi="Times New Roman" w:cs="Times New Roman"/>
          <w:color w:val="1F1F1F"/>
          <w:sz w:val="24"/>
          <w:szCs w:val="24"/>
          <w:lang w:eastAsia="fr-FR"/>
        </w:rPr>
        <w:lastRenderedPageBreak/>
        <w:t>choice to two classes of antibiotics. Few studies have been conducted in this area, making the interpretation of our results difficult.</w:t>
      </w:r>
    </w:p>
    <w:p w14:paraId="2395B4AD"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41411F13"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7A51E7A7" w14:textId="77777777" w:rsidR="009B523D" w:rsidRPr="00F9212B" w:rsidRDefault="009B523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eastAsia="fr-FR"/>
        </w:rPr>
      </w:pPr>
      <w:r w:rsidRPr="00F9212B">
        <w:rPr>
          <w:rFonts w:ascii="Times New Roman" w:eastAsia="Times New Roman" w:hAnsi="Times New Roman" w:cs="Times New Roman"/>
          <w:b/>
          <w:color w:val="1F1F1F"/>
          <w:sz w:val="24"/>
          <w:szCs w:val="24"/>
          <w:lang w:eastAsia="fr-FR"/>
        </w:rPr>
        <w:t>Conclusion</w:t>
      </w:r>
    </w:p>
    <w:p w14:paraId="510FF60A" w14:textId="77777777" w:rsidR="00F9212B" w:rsidRPr="00F9212B" w:rsidRDefault="00F9212B" w:rsidP="00F921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F9212B">
        <w:rPr>
          <w:rFonts w:ascii="Times New Roman" w:eastAsia="Times New Roman" w:hAnsi="Times New Roman" w:cs="Times New Roman"/>
          <w:color w:val="1F1F1F"/>
          <w:sz w:val="24"/>
          <w:szCs w:val="24"/>
          <w:lang w:val="en-US" w:eastAsia="fr-FR"/>
        </w:rPr>
        <w:t>According to the results of this study aimed at identifying genes that confer resistance to beta-lactams and quinolones, these genes were detected in most of the isolated strains, which could lead to public health problems for consumers, particularly the Central African population. Consequently, these antibiotic resistance genes also expose consumers to a risk of treatment failure in the event of antibiotic therapy. Monitoring antibiotic resistance in food products should therefore be an integral part of the laboratory's activities in the Central African Republic and involve all relevant stakeholders.</w:t>
      </w:r>
    </w:p>
    <w:p w14:paraId="75A801C1" w14:textId="77777777" w:rsid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p>
    <w:p w14:paraId="495851EF" w14:textId="77777777" w:rsidR="006C79BE" w:rsidRP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6C79BE">
        <w:rPr>
          <w:rFonts w:ascii="Times New Roman" w:eastAsia="Times New Roman" w:hAnsi="Times New Roman" w:cs="Times New Roman"/>
          <w:b/>
          <w:color w:val="1F1F1F"/>
          <w:sz w:val="24"/>
          <w:szCs w:val="24"/>
          <w:lang w:val="en-US" w:eastAsia="fr-FR"/>
        </w:rPr>
        <w:t>Conflicts of Interest</w:t>
      </w:r>
    </w:p>
    <w:p w14:paraId="5C4C0B60" w14:textId="77777777" w:rsid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6C79BE">
        <w:rPr>
          <w:rFonts w:ascii="Times New Roman" w:eastAsia="Times New Roman" w:hAnsi="Times New Roman" w:cs="Times New Roman"/>
          <w:color w:val="1F1F1F"/>
          <w:sz w:val="24"/>
          <w:szCs w:val="24"/>
          <w:lang w:val="en-US" w:eastAsia="fr-FR"/>
        </w:rPr>
        <w:t>The authors declare no conflicts of interest regarding the publication of this paper.</w:t>
      </w:r>
    </w:p>
    <w:p w14:paraId="6C5D3BA3" w14:textId="77777777" w:rsidR="009B523D" w:rsidRPr="008154DE" w:rsidRDefault="009B523D" w:rsidP="00644E3C">
      <w:pPr>
        <w:spacing w:line="360" w:lineRule="auto"/>
        <w:jc w:val="both"/>
        <w:rPr>
          <w:rFonts w:ascii="Times New Roman" w:eastAsia="Calibri" w:hAnsi="Times New Roman" w:cs="Times New Roman"/>
          <w:sz w:val="24"/>
          <w:szCs w:val="24"/>
          <w:lang w:val="en-US"/>
        </w:rPr>
      </w:pPr>
    </w:p>
    <w:p w14:paraId="4FC5CD48" w14:textId="77777777" w:rsidR="009B523D" w:rsidRPr="009B523D" w:rsidRDefault="009B523D" w:rsidP="003574F3">
      <w:pPr>
        <w:spacing w:after="0" w:line="360" w:lineRule="auto"/>
        <w:jc w:val="center"/>
        <w:rPr>
          <w:rFonts w:ascii="Times New Roman" w:eastAsia="Calibri" w:hAnsi="Times New Roman" w:cs="Times New Roman"/>
          <w:b/>
          <w:sz w:val="24"/>
          <w:szCs w:val="24"/>
        </w:rPr>
      </w:pPr>
      <w:r w:rsidRPr="009B523D">
        <w:rPr>
          <w:rFonts w:ascii="Times New Roman" w:eastAsia="Calibri" w:hAnsi="Times New Roman" w:cs="Times New Roman"/>
          <w:b/>
          <w:sz w:val="24"/>
          <w:szCs w:val="24"/>
        </w:rPr>
        <w:t>Références</w:t>
      </w:r>
    </w:p>
    <w:p w14:paraId="726120BD"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 E. Bourdonnais, “Study of clinically relevant antibiotic resistance genes within a marine food web. Erwan Bourdonnais. To cite this version: HAL Id: tel-03971592. Doctoral Thesis in Agronomic and Ecological Sc</w:t>
      </w:r>
      <w:r>
        <w:rPr>
          <w:rFonts w:ascii="Times New Roman" w:eastAsia="Calibri" w:hAnsi="Times New Roman" w:cs="Times New Roman"/>
          <w:sz w:val="24"/>
          <w:szCs w:val="24"/>
          <w:lang w:val="en-US"/>
        </w:rPr>
        <w:t>iences, University of L,” 2023.</w:t>
      </w:r>
    </w:p>
    <w:p w14:paraId="1331EDD8"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 F. M. DAFFE, “Surveillance of antimicrobial resistance in Klebsiella pneumoniae strains isolated at the Rodolphe Mérieux Laboratory from 2016 t</w:t>
      </w:r>
      <w:r>
        <w:rPr>
          <w:rFonts w:ascii="Times New Roman" w:eastAsia="Calibri" w:hAnsi="Times New Roman" w:cs="Times New Roman"/>
          <w:sz w:val="24"/>
          <w:szCs w:val="24"/>
          <w:lang w:val="en-US"/>
        </w:rPr>
        <w:t>o 2017. Pharmacy Thesis,” 2018.</w:t>
      </w:r>
      <w:hyperlink r:id="rId14" w:history="1">
        <w:r w:rsidR="00CE0B5A" w:rsidRPr="005F2760">
          <w:rPr>
            <w:rStyle w:val="Hyperlink"/>
            <w:rFonts w:ascii="Times New Roman" w:eastAsia="Calibri" w:hAnsi="Times New Roman" w:cs="Times New Roman"/>
            <w:sz w:val="24"/>
            <w:szCs w:val="24"/>
            <w:lang w:val="en-US"/>
          </w:rPr>
          <w:t>https://bibliosante.ml/handle/123456789/1007</w:t>
        </w:r>
      </w:hyperlink>
    </w:p>
    <w:p w14:paraId="7D7E429E"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 WHO, “Global Antimicrobial Resistance Surveillance System,” p. 56, 2016, [Online]. Available: https://apps.who.int/iris/bitstream/handle/10665/249548/9789242509762-fre.pdf</w:t>
      </w:r>
    </w:p>
    <w:p w14:paraId="6FCEAEB7"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[4] C. Bellini and N. Troillet, “Antibiotic resistance: Current situation in Europe and Switzerland and impact on practitioners,” Rev. Med. Suisse, vol. 12, no. 534, pp. 1699–1702, 2016, doi: 10</w:t>
      </w:r>
      <w:r>
        <w:rPr>
          <w:rFonts w:ascii="Times New Roman" w:eastAsia="Calibri" w:hAnsi="Times New Roman" w:cs="Times New Roman"/>
          <w:sz w:val="24"/>
          <w:szCs w:val="24"/>
          <w:lang w:val="en-US"/>
        </w:rPr>
        <w:t>.53738/revmed.2016.12.534.1699.</w:t>
      </w:r>
      <w:hyperlink r:id="rId15" w:history="1">
        <w:r w:rsidR="00CE0B5A" w:rsidRPr="005F2760">
          <w:rPr>
            <w:rStyle w:val="Hyperlink"/>
            <w:rFonts w:ascii="Times New Roman" w:eastAsia="Calibri" w:hAnsi="Times New Roman" w:cs="Times New Roman"/>
            <w:sz w:val="24"/>
            <w:szCs w:val="24"/>
            <w:lang w:val="en-US"/>
          </w:rPr>
          <w:t>https://doi.org/10.53738/REVMED.2016.12.534.1699</w:t>
        </w:r>
      </w:hyperlink>
    </w:p>
    <w:p w14:paraId="6711A47B"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[5] V. Guérin, “</w:t>
      </w:r>
      <w:r w:rsidRPr="008154DE">
        <w:rPr>
          <w:rFonts w:ascii="Times New Roman" w:eastAsia="Calibri" w:hAnsi="Times New Roman" w:cs="Times New Roman"/>
          <w:sz w:val="24"/>
          <w:szCs w:val="24"/>
        </w:rPr>
        <w:t>β</w:t>
      </w:r>
      <w:r w:rsidRPr="008154DE">
        <w:rPr>
          <w:rFonts w:ascii="Times New Roman" w:eastAsia="Calibri" w:hAnsi="Times New Roman" w:cs="Times New Roman"/>
          <w:sz w:val="24"/>
          <w:szCs w:val="24"/>
          <w:lang w:val="en-US"/>
        </w:rPr>
        <w:t>-lactam resistance in bovine Escherichia coli: phenotypic evol</w:t>
      </w:r>
      <w:r>
        <w:rPr>
          <w:rFonts w:ascii="Times New Roman" w:eastAsia="Calibri" w:hAnsi="Times New Roman" w:cs="Times New Roman"/>
          <w:sz w:val="24"/>
          <w:szCs w:val="24"/>
          <w:lang w:val="en-US"/>
        </w:rPr>
        <w:t>ution and genetic bases,” 2021.</w:t>
      </w:r>
    </w:p>
    <w:p w14:paraId="2ADFE238"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[6] M. Opatowski, “Bacterial resistance to antibiotics, contribution of the national health data system,” Marion Opatowski HAL Id: tel-03149679, no. November 2020, 2023.</w:t>
      </w:r>
      <w:hyperlink r:id="rId16" w:history="1">
        <w:r w:rsidR="00CE0B5A" w:rsidRPr="005F2760">
          <w:rPr>
            <w:rStyle w:val="Hyperlink"/>
            <w:rFonts w:ascii="Times New Roman" w:eastAsia="Calibri" w:hAnsi="Times New Roman" w:cs="Times New Roman"/>
            <w:sz w:val="24"/>
            <w:szCs w:val="24"/>
            <w:lang w:val="en-US"/>
          </w:rPr>
          <w:t>https://theses.hal.science/tel-03149679</w:t>
        </w:r>
      </w:hyperlink>
    </w:p>
    <w:p w14:paraId="69F64885"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[7] Maamar B, † Messadi, and Thabet L, “Molecular Profile and Antibiotic Resistance of Carbapenemase-Producing Enterobacteria in Burns Carbapenemase-Producing Enterobacteriaceae in Burns: Phenotypic and Molecular Study,” Ann. Burns Fire Disasters, </w:t>
      </w:r>
      <w:r w:rsidRPr="008154DE">
        <w:rPr>
          <w:rFonts w:ascii="Times New Roman" w:eastAsia="Calibri" w:hAnsi="Times New Roman" w:cs="Times New Roman"/>
          <w:sz w:val="24"/>
          <w:szCs w:val="24"/>
          <w:lang w:val="en-US"/>
        </w:rPr>
        <w:lastRenderedPageBreak/>
        <w:t>vol. XXXII, no. 3, pp. 203–209, 2019.</w:t>
      </w:r>
      <w:hyperlink r:id="rId17" w:history="1">
        <w:r w:rsidR="00CE0B5A" w:rsidRPr="005F2760">
          <w:rPr>
            <w:rStyle w:val="Hyperlink"/>
            <w:rFonts w:ascii="Times New Roman" w:eastAsia="Calibri" w:hAnsi="Times New Roman" w:cs="Times New Roman"/>
            <w:sz w:val="24"/>
            <w:szCs w:val="24"/>
            <w:lang w:val="en-US"/>
          </w:rPr>
          <w:t>https://www.ncbi.nlm.nih.gov/pmc/articles/PMC7155403/</w:t>
        </w:r>
      </w:hyperlink>
    </w:p>
    <w:p w14:paraId="28490FC7"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[8] C. O. Ebongue, M. D. Tsiazok, J. P. N. Mefo’o, G. P. Ngaba, G. Beyiha, and D. Adiogo, “Evolution of antibiotic resistance of Enterobacteriaceae isolated at the Douala General Hospital from 2005 to 2012,” Pan Afr. Med. J., vol. 20, p. 227, 2015, doi: 10.11604/pamj.2015.20.227.4770.</w:t>
      </w:r>
      <w:hyperlink r:id="rId18" w:history="1">
        <w:r w:rsidR="00CE0B5A" w:rsidRPr="005F2760">
          <w:rPr>
            <w:rStyle w:val="Hyperlink"/>
            <w:rFonts w:ascii="Times New Roman" w:eastAsia="Calibri" w:hAnsi="Times New Roman" w:cs="Times New Roman"/>
            <w:sz w:val="24"/>
            <w:szCs w:val="24"/>
            <w:lang w:val="en-US"/>
          </w:rPr>
          <w:t>https://doi.org/10.11604/pamj.2015.20.227.4770</w:t>
        </w:r>
      </w:hyperlink>
    </w:p>
    <w:p w14:paraId="15EF09A1"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p>
    <w:p w14:paraId="0E513225"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[9] F. Benhallam, “Food Microbiology and Mechanisms of Pathogenesis in Bacteria, Master's Thesis in Food Science and Bioproducts, Moulay Ismail University,” p. p10, 2020.</w:t>
      </w:r>
    </w:p>
    <w:p w14:paraId="5BFD61F3"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[10] K. R. Yao, “ESCHERICHIA COLI ISOLATED IN IVORY COAST: BIOLOGICAL IMPACT OF ANTIBIOTIC USE (To cite this version:),” 2019.</w:t>
      </w:r>
    </w:p>
    <w:p w14:paraId="22A37D13"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[11] H. Abba, M. K. Somda, B. B. Antipas, N. Barro, and A. S. Traore, “Prevalence and susceptibility to antibiotics of non-typhoid Salmonella spp. strains isolated from chicken meat in Chad,” vol. 11, no. 1, February, pp. 10–10. 107–117, 2017.</w:t>
      </w:r>
      <w:hyperlink r:id="rId19" w:history="1">
        <w:r w:rsidR="00CE0B5A" w:rsidRPr="005F2760">
          <w:rPr>
            <w:rStyle w:val="Hyperlink"/>
            <w:rFonts w:ascii="Times New Roman" w:eastAsia="Calibri" w:hAnsi="Times New Roman" w:cs="Times New Roman"/>
            <w:sz w:val="24"/>
            <w:szCs w:val="24"/>
            <w:lang w:val="en-US"/>
          </w:rPr>
          <w:t>https://doi.org/10.4314/ijbcs.v11i1.9</w:t>
        </w:r>
      </w:hyperlink>
    </w:p>
    <w:p w14:paraId="7501F48D"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[12] Aïssatou Fofana, “Study of antibiotic resistance of strains of salmonella spp and Escherichia Coli isolated from broiler meat in Senegal,” 2004.</w:t>
      </w:r>
      <w:hyperlink r:id="rId20" w:history="1">
        <w:r w:rsidR="00CE0B5A" w:rsidRPr="005F2760">
          <w:rPr>
            <w:rStyle w:val="Hyperlink"/>
            <w:rFonts w:ascii="Times New Roman" w:eastAsia="Calibri" w:hAnsi="Times New Roman" w:cs="Times New Roman"/>
            <w:sz w:val="24"/>
            <w:szCs w:val="24"/>
            <w:lang w:val="en-US"/>
          </w:rPr>
          <w:t>https://www.sid-eismv.org/pmb/index.php?lvl=notice_display&amp;id=224</w:t>
        </w:r>
      </w:hyperlink>
    </w:p>
    <w:p w14:paraId="670FBD55"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[13] R. L. Bondom, E. Lango-yaya, M. M. Denissio, C. D. Rafai, A. T. Moulo-oli, and Z. V. Dalenga, “Contribution to the Study of Fungal Strains Contaminating Peanut Pastes in Bangui (Central African Republic),” vo</w:t>
      </w:r>
      <w:r>
        <w:rPr>
          <w:rFonts w:ascii="Times New Roman" w:eastAsia="Calibri" w:hAnsi="Times New Roman" w:cs="Times New Roman"/>
          <w:sz w:val="24"/>
          <w:szCs w:val="24"/>
          <w:lang w:val="en-US"/>
        </w:rPr>
        <w:t>l. 17, no. 5, pp. 97–106, 2024.</w:t>
      </w:r>
      <w:hyperlink r:id="rId21" w:history="1">
        <w:r w:rsidR="00CE0B5A" w:rsidRPr="005F2760">
          <w:rPr>
            <w:rStyle w:val="Hyperlink"/>
            <w:rFonts w:ascii="Times New Roman" w:eastAsia="Calibri" w:hAnsi="Times New Roman" w:cs="Times New Roman"/>
            <w:sz w:val="24"/>
            <w:szCs w:val="24"/>
            <w:lang w:val="en-US"/>
          </w:rPr>
          <w:t>https://doi.org/10.4236/jbise.2024.175008</w:t>
        </w:r>
      </w:hyperlink>
    </w:p>
    <w:p w14:paraId="61DF464F"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[14] O. Article, “ISOLATION AND CHARACTERIZATION OF FUNGAL STRAINS FROM SMOKED/DRIED FISH FROM LAKE FIT</w:t>
      </w:r>
      <w:r>
        <w:rPr>
          <w:rFonts w:ascii="Times New Roman" w:eastAsia="Calibri" w:hAnsi="Times New Roman" w:cs="Times New Roman"/>
          <w:sz w:val="24"/>
          <w:szCs w:val="24"/>
          <w:lang w:val="en-US"/>
        </w:rPr>
        <w:t>RI IN CHAD,” pp. 155–160, 2019.</w:t>
      </w:r>
      <w:hyperlink r:id="rId22" w:history="1">
        <w:r w:rsidR="00CE0B5A" w:rsidRPr="005F2760">
          <w:rPr>
            <w:rStyle w:val="Hyperlink"/>
            <w:rFonts w:ascii="Times New Roman" w:eastAsia="Calibri" w:hAnsi="Times New Roman" w:cs="Times New Roman"/>
            <w:sz w:val="24"/>
            <w:szCs w:val="24"/>
            <w:lang w:val="en-US"/>
          </w:rPr>
          <w:t>http://www.american-jiras.com/archive/volume-8/issue-4/</w:t>
        </w:r>
      </w:hyperlink>
    </w:p>
    <w:p w14:paraId="4D993C22"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[15] </w:t>
      </w:r>
      <w:r>
        <w:rPr>
          <w:rFonts w:ascii="Times New Roman" w:eastAsia="Calibri" w:hAnsi="Times New Roman" w:cs="Times New Roman"/>
          <w:sz w:val="24"/>
          <w:szCs w:val="24"/>
          <w:lang w:val="en-US"/>
        </w:rPr>
        <w:t>R. A. La and M. Des, “Summary.”</w:t>
      </w:r>
    </w:p>
    <w:p w14:paraId="0AA4D2B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[16] N. S. Somda et al., “Safety of ready-to-eat chicken in Burkina Faso: Microbiological quality, antibiotic resistance, and virulence genes in Escherichia coli isolated from chicken samples of Ouagadougou,” Food Sci. Nutr., vol. 6, no. 4, pp. 1077–1084, </w:t>
      </w:r>
      <w:r>
        <w:rPr>
          <w:rFonts w:ascii="Times New Roman" w:eastAsia="Calibri" w:hAnsi="Times New Roman" w:cs="Times New Roman"/>
          <w:sz w:val="24"/>
          <w:szCs w:val="24"/>
          <w:lang w:val="en-US"/>
        </w:rPr>
        <w:t>2018, doi: 10.1002/fsn3.650.</w:t>
      </w:r>
      <w:r w:rsidR="00CE0B5A" w:rsidRPr="00CE0B5A">
        <w:rPr>
          <w:rFonts w:ascii="Times New Roman" w:eastAsia="Calibri" w:hAnsi="Times New Roman" w:cs="Times New Roman"/>
          <w:sz w:val="24"/>
          <w:szCs w:val="24"/>
          <w:lang w:val="en-US"/>
        </w:rPr>
        <w:t xml:space="preserve">Somda, N. S., Bonkoungou, O. J. I., Zongo, C., Kagambèga, A., Bassolé, I. H. N., Traoré, Y., Mahillon, J., Scippo, M.-L., Hounhouigan, J. D., &amp;Savadogo, A. (2018). Safety of ready-to-eat chicken in Burkina Faso: Microbiological quality, antibiotic resistance, and virulence genes in Escherichia coli isolated from chicken samples of Ouagadougou. Food Science &amp; Nutrition, 6(4), 1077–1084. </w:t>
      </w:r>
      <w:hyperlink r:id="rId23" w:history="1">
        <w:r w:rsidR="00CE0B5A" w:rsidRPr="005F2760">
          <w:rPr>
            <w:rStyle w:val="Hyperlink"/>
            <w:rFonts w:ascii="Times New Roman" w:eastAsia="Calibri" w:hAnsi="Times New Roman" w:cs="Times New Roman"/>
            <w:sz w:val="24"/>
            <w:szCs w:val="24"/>
            <w:lang w:val="en-US"/>
          </w:rPr>
          <w:t>https://doi.org/10.1002/fsn3.650</w:t>
        </w:r>
      </w:hyperlink>
    </w:p>
    <w:p w14:paraId="7034CC0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[17] N. Mejrhit, H. Taouda, and L. Aarab, “Evaluation of the hygienic quality of peanuts at the city of Fez - Morocco,” vol. 10, no. 1, pp. 268–277, 2015.</w:t>
      </w:r>
      <w:hyperlink r:id="rId24"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p>
    <w:p w14:paraId="34846464"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[18] J. Dejlil, A. Chibanil, M. Zouhdi, M. El Messouil, M. A. Alaoui, and M. El Yachiouil, “Antibiotic resistance of certain germs isolated from food in a hospital setting (Avicenne University Hospital, Rabat),” pp. 4–7, 2000.</w:t>
      </w:r>
      <w:hyperlink r:id="rId25" w:history="1">
        <w:r w:rsidR="00885BA4" w:rsidRPr="005F2760">
          <w:rPr>
            <w:rStyle w:val="Hyperlink"/>
            <w:rFonts w:ascii="Times New Roman" w:eastAsia="Calibri" w:hAnsi="Times New Roman" w:cs="Times New Roman"/>
            <w:sz w:val="24"/>
            <w:szCs w:val="24"/>
            <w:lang w:val="en-US"/>
          </w:rPr>
          <w:t>https://doi.org/10.1016/S0399-077X(00)80038-4</w:t>
        </w:r>
      </w:hyperlink>
    </w:p>
    <w:p w14:paraId="560C1230"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[19] EUCAST/CA-SFM, “Antibiogram Committee of the French Society for Microbiology Recommendations 2020,” Com. The Antibiogram The French Society for Microbiology, no. mm, p. 181, 2020.</w:t>
      </w:r>
      <w:r w:rsidR="00CE0B5A" w:rsidRPr="00CE0B5A">
        <w:rPr>
          <w:rFonts w:ascii="Times New Roman" w:eastAsia="Calibri" w:hAnsi="Times New Roman" w:cs="Times New Roman"/>
          <w:sz w:val="24"/>
          <w:szCs w:val="24"/>
          <w:lang w:val="en-US"/>
        </w:rPr>
        <w:t>https://www.sfm-microbiologie.org/wp-content/uploads/2020/04/CASFM2020_Avril2020_V1.1.pdf</w:t>
      </w:r>
    </w:p>
    <w:p w14:paraId="2822AEAE"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[20] E.I.D.E.S. Sciences and E.T.M. Veterinary, “AND TECHNIQUES FOR SURVEILLANCE OF ANTIBIOTIC RESISTANCE,” 2006.</w:t>
      </w:r>
    </w:p>
    <w:p w14:paraId="55940A9F"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[21] A. C. Garcia-Graells, F. Bricteux, I. Van Damme, and C. Boland, “Antimicrobial resistance in ESBL-producing and Commensal E. coli, Campylobacter spp., Salmonella spp., methicillin-resistant Staphylococcus aureus (MRSA), and Enterococcus faecalis and faecium isolated from animal populations,” 2021.</w:t>
      </w:r>
      <w:hyperlink r:id="rId26" w:history="1">
        <w:r w:rsidR="00CE0B5A" w:rsidRPr="005F2760">
          <w:rPr>
            <w:rStyle w:val="Hyperlink"/>
            <w:rFonts w:ascii="Times New Roman" w:eastAsia="Calibri" w:hAnsi="Times New Roman" w:cs="Times New Roman"/>
            <w:sz w:val="24"/>
            <w:szCs w:val="24"/>
            <w:lang w:val="en-US"/>
          </w:rPr>
          <w:t>https://www.sciensano.be/en/biblio/antimicrobial-resistance-esbl-and-indicator-ecoli-campylobacter-spp-salmonella-spp-methicillin-resistant-staphylococcus-aureus-mrsa-and-enterococcus-faecalis-and-faecium-isolated-food-and-food-producing-animals-primary-production-2022</w:t>
        </w:r>
      </w:hyperlink>
    </w:p>
    <w:p w14:paraId="2B68658E"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[22] C. Billy, “Genotypic detection of bacterial resistance: From phenotypy to genotypy, two complementary methods,” Reanimation, vol. 12, no. 3, pp. 192–197, 2003, doi: 10.1016/S1624-0693(03)00042-2.</w:t>
      </w:r>
      <w:hyperlink r:id="rId27" w:history="1">
        <w:r w:rsidR="00CE0B5A" w:rsidRPr="005F2760">
          <w:rPr>
            <w:rStyle w:val="Hyperlink"/>
            <w:rFonts w:ascii="Times New Roman" w:eastAsia="Calibri" w:hAnsi="Times New Roman" w:cs="Times New Roman"/>
            <w:sz w:val="24"/>
            <w:szCs w:val="24"/>
            <w:lang w:val="en-US"/>
          </w:rPr>
          <w:t>https://doi.org/10.1016/S1624-0693(03)00042-2</w:t>
        </w:r>
      </w:hyperlink>
    </w:p>
    <w:p w14:paraId="5F0CD2B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[23] U. Sidi, M. Ben, and M. D. E. F. I. N. D. Etudes, “Pour “Obtaining a Master’s Degree in Science and Technology, Evaluation of the Hygienic Quality of Peanuts in the Cit</w:t>
      </w:r>
      <w:r>
        <w:rPr>
          <w:rFonts w:ascii="Times New Roman" w:eastAsia="Calibri" w:hAnsi="Times New Roman" w:cs="Times New Roman"/>
          <w:sz w:val="24"/>
          <w:szCs w:val="24"/>
          <w:lang w:val="en-US"/>
        </w:rPr>
        <w:t>y of Fez,” pp. 2012–2013, 2013.</w:t>
      </w:r>
    </w:p>
    <w:p w14:paraId="09FCF0C1"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[24] N. Mejrhit and L. Aarab, “Evaluation of the Hygienic Quality of Peanuts in the City of Fez, Morocco [Evaluation of the hygienic quality of peanuts in the city of Fez, Morocco [E</w:t>
      </w:r>
      <w:r>
        <w:rPr>
          <w:rFonts w:ascii="Times New Roman" w:eastAsia="Calibri" w:hAnsi="Times New Roman" w:cs="Times New Roman"/>
          <w:sz w:val="24"/>
          <w:szCs w:val="24"/>
          <w:lang w:val="en-US"/>
        </w:rPr>
        <w:t>valua], no. January 2015, 2016.</w:t>
      </w:r>
      <w:hyperlink r:id="rId28"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p>
    <w:p w14:paraId="47ACE505" w14:textId="77777777" w:rsid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[25] V. Cattoir et al., “Antibiogram Committee of the French Society for Microbiolo</w:t>
      </w:r>
      <w:r>
        <w:rPr>
          <w:rFonts w:ascii="Times New Roman" w:eastAsia="Calibri" w:hAnsi="Times New Roman" w:cs="Times New Roman"/>
          <w:sz w:val="24"/>
          <w:szCs w:val="24"/>
          <w:lang w:val="en-US"/>
        </w:rPr>
        <w:t>gy Recommendations 2024,” 2024.</w:t>
      </w:r>
      <w:hyperlink r:id="rId29" w:history="1">
        <w:r w:rsidR="00CE0B5A" w:rsidRPr="005F2760">
          <w:rPr>
            <w:rStyle w:val="Hyperlink"/>
            <w:rFonts w:ascii="Times New Roman" w:eastAsia="Calibri" w:hAnsi="Times New Roman" w:cs="Times New Roman"/>
            <w:sz w:val="24"/>
            <w:szCs w:val="24"/>
            <w:lang w:val="en-US"/>
          </w:rPr>
          <w:t>https://www.sfm-microbiologie.org/wp-content/uploads/2024/06/CASFM2024_V1.0.pdf</w:t>
        </w:r>
      </w:hyperlink>
    </w:p>
    <w:p w14:paraId="4EDAC08A" w14:textId="77777777" w:rsidR="00CE0B5A" w:rsidRPr="008154DE" w:rsidRDefault="00CE0B5A" w:rsidP="008154DE">
      <w:pPr>
        <w:spacing w:after="0" w:line="360" w:lineRule="auto"/>
        <w:jc w:val="both"/>
        <w:rPr>
          <w:rFonts w:ascii="Times New Roman" w:eastAsia="Calibri" w:hAnsi="Times New Roman" w:cs="Times New Roman"/>
          <w:sz w:val="24"/>
          <w:szCs w:val="24"/>
          <w:lang w:val="en-US"/>
        </w:rPr>
      </w:pPr>
    </w:p>
    <w:p w14:paraId="3919522A"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[26] M. Sbiti, K. Lahmadi, and L. Louzi, “Epidemiological Profile of Uropathogenic Enterobacteriaceae Producing Expanded-spectrum beta-lactamases,” Pan Afr. Med. J., vol. 28, pp. 1–8, 2017, doi: 10.11604/pamj.2017.28.29.11402.</w:t>
      </w:r>
      <w:hyperlink r:id="rId30" w:history="1">
        <w:r w:rsidR="00CE0B5A" w:rsidRPr="005F2760">
          <w:rPr>
            <w:rStyle w:val="Hyperlink"/>
            <w:rFonts w:ascii="Times New Roman" w:eastAsia="Calibri" w:hAnsi="Times New Roman" w:cs="Times New Roman"/>
            <w:sz w:val="24"/>
            <w:szCs w:val="24"/>
            <w:lang w:val="en-US"/>
          </w:rPr>
          <w:t>https://doi.org/10.11604/pamj.2017.28.29.11402</w:t>
        </w:r>
      </w:hyperlink>
    </w:p>
    <w:p w14:paraId="1B71DB8B"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[27] Z. D. Rakotovao-Ravahatra, F. M. Randriatsarafara, S. Rasoanandrasana, L. Raverohanta, and A. L. Rakotovao, “Resistance phenotypes of Escherichia strains co-responsible for urinary infection in the laboratory of the university hospital center of befelatananaantananarivo,” Pan Afr. Med. J., vol. 26, pp. 1–10, 2017, doi: 10.11604/pamj.2017.26.166.11828.</w:t>
      </w:r>
      <w:hyperlink r:id="rId31" w:history="1">
        <w:r w:rsidR="00CE0B5A" w:rsidRPr="005F2760">
          <w:rPr>
            <w:rStyle w:val="Hyperlink"/>
            <w:rFonts w:ascii="Times New Roman" w:eastAsia="Calibri" w:hAnsi="Times New Roman" w:cs="Times New Roman"/>
            <w:sz w:val="24"/>
            <w:szCs w:val="24"/>
            <w:lang w:val="en-US"/>
          </w:rPr>
          <w:t>https://doi.org/10.11604/pamj.2017.26.166.11828</w:t>
        </w:r>
      </w:hyperlink>
    </w:p>
    <w:p w14:paraId="7A002581"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[28] N. Guessennd, E. Ekaza, and T. Lambert, “Qnr-type quinolone resistance in extended-spectrum beta-lactamase producing enterobacteria in Abidjan, Ivory Coast,” no. 1, November 2008, doi</w:t>
      </w:r>
      <w:r>
        <w:rPr>
          <w:rFonts w:ascii="Times New Roman" w:eastAsia="Calibri" w:hAnsi="Times New Roman" w:cs="Times New Roman"/>
          <w:sz w:val="24"/>
          <w:szCs w:val="24"/>
          <w:lang w:val="en-US"/>
        </w:rPr>
        <w:t>: 10.1016/j.patbio.2008.07.025.</w:t>
      </w:r>
      <w:hyperlink r:id="rId32" w:history="1">
        <w:r w:rsidR="00CE0B5A" w:rsidRPr="005F2760">
          <w:rPr>
            <w:rStyle w:val="Hyperlink"/>
            <w:rFonts w:ascii="Times New Roman" w:eastAsia="Calibri" w:hAnsi="Times New Roman" w:cs="Times New Roman"/>
            <w:sz w:val="24"/>
            <w:szCs w:val="24"/>
            <w:lang w:val="en-US"/>
          </w:rPr>
          <w:t>https://doi.org/10.1016/j.patbio.2008.07.025</w:t>
        </w:r>
      </w:hyperlink>
    </w:p>
    <w:p w14:paraId="72ABC709"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[29] F. S. Sardi, F. Sonia, and S. Résistance, “Beta-lactam resistance in Pseudomonas aeruginosa: epidemiology and molecular mechanisms. To cite this version: HAL Id: dumas-03551546 THESE D’E</w:t>
      </w:r>
      <w:r>
        <w:rPr>
          <w:rFonts w:ascii="Times New Roman" w:eastAsia="Calibri" w:hAnsi="Times New Roman" w:cs="Times New Roman"/>
          <w:sz w:val="24"/>
          <w:szCs w:val="24"/>
          <w:lang w:val="en-US"/>
        </w:rPr>
        <w:t>XERCISE / JUNIOR DOCTOR,” 2022.</w:t>
      </w:r>
    </w:p>
    <w:p w14:paraId="42FFAA2B"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[30] C. Dupeyron and al., “Rapid Emergence of Quinolone Resistance in Cirrhotic Patients Treated with Norfloxacin To Prevent Spontaneous Bacterial Peritonitis,” vol. 38, no. 2, pp. 340–344, 1994.</w:t>
      </w:r>
      <w:hyperlink r:id="rId33" w:history="1">
        <w:r w:rsidR="00CE0B5A" w:rsidRPr="005F2760">
          <w:rPr>
            <w:rStyle w:val="Hyperlink"/>
            <w:rFonts w:ascii="Times New Roman" w:eastAsia="Calibri" w:hAnsi="Times New Roman" w:cs="Times New Roman"/>
            <w:sz w:val="24"/>
            <w:szCs w:val="24"/>
            <w:lang w:val="en-US"/>
          </w:rPr>
          <w:t>https://doi.org/10.1128/AAC.38.2.340</w:t>
        </w:r>
      </w:hyperlink>
    </w:p>
    <w:p w14:paraId="652FFDE0" w14:textId="77777777" w:rsidR="009B523D"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[31] F. D. Salah et al., “Increase in antibiotic resistance of Enterobacteriaceae isolated at the National Institute of Hygiene of Lomé from 2010 to 2017,” 2021.</w:t>
      </w:r>
      <w:hyperlink r:id="rId34" w:history="1">
        <w:r w:rsidR="00CE0B5A" w:rsidRPr="005F2760">
          <w:rPr>
            <w:rStyle w:val="Hyperlink"/>
            <w:rFonts w:ascii="Times New Roman" w:eastAsia="Calibri" w:hAnsi="Times New Roman" w:cs="Times New Roman"/>
            <w:sz w:val="24"/>
            <w:szCs w:val="24"/>
            <w:lang w:val="en-US"/>
          </w:rPr>
          <w:t>https://doi.org/10.11604/JIEPH.supp.2021.4.3.1089</w:t>
        </w:r>
      </w:hyperlink>
    </w:p>
    <w:p w14:paraId="7D2B546F" w14:textId="77777777" w:rsidR="009B523D" w:rsidRPr="008154DE" w:rsidRDefault="009B523D" w:rsidP="00644E3C">
      <w:pPr>
        <w:spacing w:line="360" w:lineRule="auto"/>
        <w:jc w:val="both"/>
        <w:rPr>
          <w:rFonts w:ascii="Times New Roman" w:eastAsia="Calibri" w:hAnsi="Times New Roman" w:cs="Times New Roman"/>
          <w:sz w:val="24"/>
          <w:szCs w:val="24"/>
          <w:lang w:val="en-US"/>
        </w:rPr>
      </w:pPr>
    </w:p>
    <w:p w14:paraId="02533345" w14:textId="77777777" w:rsidR="00E372DE" w:rsidRPr="008154DE" w:rsidRDefault="00E372DE" w:rsidP="00644E3C">
      <w:pPr>
        <w:tabs>
          <w:tab w:val="left" w:pos="2309"/>
        </w:tabs>
        <w:spacing w:line="240" w:lineRule="auto"/>
        <w:jc w:val="both"/>
        <w:rPr>
          <w:sz w:val="24"/>
          <w:szCs w:val="24"/>
          <w:lang w:val="en-US"/>
        </w:rPr>
      </w:pPr>
    </w:p>
    <w:sectPr w:rsidR="00E372DE" w:rsidRPr="008154DE" w:rsidSect="00D32DBA">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7F2D3" w14:textId="77777777" w:rsidR="00844430" w:rsidRDefault="00844430" w:rsidP="009B589A">
      <w:pPr>
        <w:spacing w:after="0" w:line="240" w:lineRule="auto"/>
      </w:pPr>
      <w:r>
        <w:separator/>
      </w:r>
    </w:p>
  </w:endnote>
  <w:endnote w:type="continuationSeparator" w:id="0">
    <w:p w14:paraId="2E6577EC" w14:textId="77777777" w:rsidR="00844430" w:rsidRDefault="00844430" w:rsidP="009B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9D57" w14:textId="77777777" w:rsidR="00050D9B" w:rsidRDefault="0005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0AD9" w14:textId="77777777" w:rsidR="00050D9B" w:rsidRDefault="0005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8C53" w14:textId="77777777" w:rsidR="00050D9B" w:rsidRDefault="0005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5369E" w14:textId="77777777" w:rsidR="00844430" w:rsidRDefault="00844430" w:rsidP="009B589A">
      <w:pPr>
        <w:spacing w:after="0" w:line="240" w:lineRule="auto"/>
      </w:pPr>
      <w:r>
        <w:separator/>
      </w:r>
    </w:p>
  </w:footnote>
  <w:footnote w:type="continuationSeparator" w:id="0">
    <w:p w14:paraId="590C1808" w14:textId="77777777" w:rsidR="00844430" w:rsidRDefault="00844430" w:rsidP="009B5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DC0A" w14:textId="77777777" w:rsidR="00050D9B" w:rsidRDefault="00844430">
    <w:pPr>
      <w:pStyle w:val="Header"/>
    </w:pPr>
    <w:r>
      <w:rPr>
        <w:noProof/>
      </w:rPr>
      <w:pict w14:anchorId="3F95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05AA" w14:textId="77777777" w:rsidR="00050D9B" w:rsidRDefault="00844430">
    <w:pPr>
      <w:pStyle w:val="Header"/>
    </w:pPr>
    <w:r>
      <w:rPr>
        <w:noProof/>
      </w:rPr>
      <w:pict w14:anchorId="55A18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39D6" w14:textId="77777777" w:rsidR="00050D9B" w:rsidRDefault="00844430">
    <w:pPr>
      <w:pStyle w:val="Header"/>
    </w:pPr>
    <w:r>
      <w:rPr>
        <w:noProof/>
      </w:rPr>
      <w:pict w14:anchorId="30D8A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271C"/>
    <w:rsid w:val="0001038C"/>
    <w:rsid w:val="00013428"/>
    <w:rsid w:val="0002005E"/>
    <w:rsid w:val="0003567B"/>
    <w:rsid w:val="00050D9B"/>
    <w:rsid w:val="000700C8"/>
    <w:rsid w:val="00115401"/>
    <w:rsid w:val="00157677"/>
    <w:rsid w:val="00157EAA"/>
    <w:rsid w:val="00184909"/>
    <w:rsid w:val="002904F6"/>
    <w:rsid w:val="002B6DF9"/>
    <w:rsid w:val="00340F89"/>
    <w:rsid w:val="003574F3"/>
    <w:rsid w:val="003600A8"/>
    <w:rsid w:val="003D33AD"/>
    <w:rsid w:val="00473703"/>
    <w:rsid w:val="004B45C0"/>
    <w:rsid w:val="004B606E"/>
    <w:rsid w:val="00546E27"/>
    <w:rsid w:val="00556386"/>
    <w:rsid w:val="0057271C"/>
    <w:rsid w:val="005A02E4"/>
    <w:rsid w:val="005D13A4"/>
    <w:rsid w:val="005E298B"/>
    <w:rsid w:val="005E6BCA"/>
    <w:rsid w:val="005F65EA"/>
    <w:rsid w:val="00644E3C"/>
    <w:rsid w:val="00687165"/>
    <w:rsid w:val="006B2AFA"/>
    <w:rsid w:val="006C3DBA"/>
    <w:rsid w:val="006C79BE"/>
    <w:rsid w:val="0072220E"/>
    <w:rsid w:val="00752C04"/>
    <w:rsid w:val="00784644"/>
    <w:rsid w:val="007C2FF5"/>
    <w:rsid w:val="008014DA"/>
    <w:rsid w:val="008154DE"/>
    <w:rsid w:val="00844430"/>
    <w:rsid w:val="00877CCA"/>
    <w:rsid w:val="008816B7"/>
    <w:rsid w:val="00885BA4"/>
    <w:rsid w:val="008A163C"/>
    <w:rsid w:val="008C5C1D"/>
    <w:rsid w:val="008D3FE7"/>
    <w:rsid w:val="008E0D3C"/>
    <w:rsid w:val="00963EC2"/>
    <w:rsid w:val="009A5551"/>
    <w:rsid w:val="009B0DC1"/>
    <w:rsid w:val="009B51EB"/>
    <w:rsid w:val="009B523D"/>
    <w:rsid w:val="009B589A"/>
    <w:rsid w:val="009F0B71"/>
    <w:rsid w:val="00A715C2"/>
    <w:rsid w:val="00A77CB1"/>
    <w:rsid w:val="00AA79D9"/>
    <w:rsid w:val="00AF7AD6"/>
    <w:rsid w:val="00BC2A7F"/>
    <w:rsid w:val="00BE0D43"/>
    <w:rsid w:val="00BF6B6E"/>
    <w:rsid w:val="00C65520"/>
    <w:rsid w:val="00CE0B5A"/>
    <w:rsid w:val="00D32DBA"/>
    <w:rsid w:val="00D50771"/>
    <w:rsid w:val="00D8387D"/>
    <w:rsid w:val="00D928DD"/>
    <w:rsid w:val="00DA23B5"/>
    <w:rsid w:val="00DD0B4E"/>
    <w:rsid w:val="00DF35D2"/>
    <w:rsid w:val="00E00EE4"/>
    <w:rsid w:val="00E372DE"/>
    <w:rsid w:val="00E557D0"/>
    <w:rsid w:val="00E70BB7"/>
    <w:rsid w:val="00E74B5E"/>
    <w:rsid w:val="00F07886"/>
    <w:rsid w:val="00F9212B"/>
    <w:rsid w:val="00FA72E6"/>
    <w:rsid w:val="00FE4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B5E1"/>
  <w15:docId w15:val="{70717F17-EB4C-4AF9-9C84-8418EE1A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507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50771"/>
    <w:rPr>
      <w:rFonts w:ascii="Consolas" w:hAnsi="Consolas"/>
      <w:sz w:val="20"/>
      <w:szCs w:val="20"/>
    </w:rPr>
  </w:style>
  <w:style w:type="table" w:styleId="TableGrid">
    <w:name w:val="Table Grid"/>
    <w:basedOn w:val="TableNormal"/>
    <w:uiPriority w:val="39"/>
    <w:rsid w:val="009B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EC2"/>
    <w:rPr>
      <w:color w:val="0563C1" w:themeColor="hyperlink"/>
      <w:u w:val="single"/>
    </w:rPr>
  </w:style>
  <w:style w:type="character" w:customStyle="1" w:styleId="UnresolvedMention1">
    <w:name w:val="Unresolved Mention1"/>
    <w:basedOn w:val="DefaultParagraphFont"/>
    <w:uiPriority w:val="99"/>
    <w:semiHidden/>
    <w:unhideWhenUsed/>
    <w:rsid w:val="003600A8"/>
    <w:rPr>
      <w:color w:val="605E5C"/>
      <w:shd w:val="clear" w:color="auto" w:fill="E1DFDD"/>
    </w:r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style>
  <w:style w:type="paragraph" w:styleId="BalloonText">
    <w:name w:val="Balloon Text"/>
    <w:basedOn w:val="Normal"/>
    <w:link w:val="BalloonTextChar"/>
    <w:uiPriority w:val="99"/>
    <w:semiHidden/>
    <w:unhideWhenUsed/>
    <w:rsid w:val="00687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65"/>
    <w:rPr>
      <w:rFonts w:ascii="Tahoma" w:hAnsi="Tahoma" w:cs="Tahoma"/>
      <w:sz w:val="16"/>
      <w:szCs w:val="16"/>
    </w:rPr>
  </w:style>
  <w:style w:type="character" w:styleId="CommentReference">
    <w:name w:val="annotation reference"/>
    <w:basedOn w:val="DefaultParagraphFont"/>
    <w:uiPriority w:val="99"/>
    <w:semiHidden/>
    <w:unhideWhenUsed/>
    <w:rsid w:val="00687165"/>
    <w:rPr>
      <w:sz w:val="16"/>
      <w:szCs w:val="16"/>
    </w:rPr>
  </w:style>
  <w:style w:type="paragraph" w:styleId="CommentText">
    <w:name w:val="annotation text"/>
    <w:basedOn w:val="Normal"/>
    <w:link w:val="CommentTextChar"/>
    <w:uiPriority w:val="99"/>
    <w:semiHidden/>
    <w:unhideWhenUsed/>
    <w:rsid w:val="00687165"/>
    <w:pPr>
      <w:spacing w:line="240" w:lineRule="auto"/>
    </w:pPr>
    <w:rPr>
      <w:sz w:val="20"/>
      <w:szCs w:val="20"/>
    </w:rPr>
  </w:style>
  <w:style w:type="character" w:customStyle="1" w:styleId="CommentTextChar">
    <w:name w:val="Comment Text Char"/>
    <w:basedOn w:val="DefaultParagraphFont"/>
    <w:link w:val="CommentText"/>
    <w:uiPriority w:val="99"/>
    <w:semiHidden/>
    <w:rsid w:val="00687165"/>
    <w:rPr>
      <w:sz w:val="20"/>
      <w:szCs w:val="20"/>
    </w:rPr>
  </w:style>
  <w:style w:type="paragraph" w:styleId="CommentSubject">
    <w:name w:val="annotation subject"/>
    <w:basedOn w:val="CommentText"/>
    <w:next w:val="CommentText"/>
    <w:link w:val="CommentSubjectChar"/>
    <w:uiPriority w:val="99"/>
    <w:semiHidden/>
    <w:unhideWhenUsed/>
    <w:rsid w:val="00687165"/>
    <w:rPr>
      <w:b/>
      <w:bCs/>
    </w:rPr>
  </w:style>
  <w:style w:type="character" w:customStyle="1" w:styleId="CommentSubjectChar">
    <w:name w:val="Comment Subject Char"/>
    <w:basedOn w:val="CommentTextChar"/>
    <w:link w:val="CommentSubject"/>
    <w:uiPriority w:val="99"/>
    <w:semiHidden/>
    <w:rsid w:val="006871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7313">
      <w:bodyDiv w:val="1"/>
      <w:marLeft w:val="0"/>
      <w:marRight w:val="0"/>
      <w:marTop w:val="0"/>
      <w:marBottom w:val="0"/>
      <w:divBdr>
        <w:top w:val="none" w:sz="0" w:space="0" w:color="auto"/>
        <w:left w:val="none" w:sz="0" w:space="0" w:color="auto"/>
        <w:bottom w:val="none" w:sz="0" w:space="0" w:color="auto"/>
        <w:right w:val="none" w:sz="0" w:space="0" w:color="auto"/>
      </w:divBdr>
    </w:div>
    <w:div w:id="46103961">
      <w:bodyDiv w:val="1"/>
      <w:marLeft w:val="0"/>
      <w:marRight w:val="0"/>
      <w:marTop w:val="0"/>
      <w:marBottom w:val="0"/>
      <w:divBdr>
        <w:top w:val="none" w:sz="0" w:space="0" w:color="auto"/>
        <w:left w:val="none" w:sz="0" w:space="0" w:color="auto"/>
        <w:bottom w:val="none" w:sz="0" w:space="0" w:color="auto"/>
        <w:right w:val="none" w:sz="0" w:space="0" w:color="auto"/>
      </w:divBdr>
    </w:div>
    <w:div w:id="65034199">
      <w:bodyDiv w:val="1"/>
      <w:marLeft w:val="0"/>
      <w:marRight w:val="0"/>
      <w:marTop w:val="0"/>
      <w:marBottom w:val="0"/>
      <w:divBdr>
        <w:top w:val="none" w:sz="0" w:space="0" w:color="auto"/>
        <w:left w:val="none" w:sz="0" w:space="0" w:color="auto"/>
        <w:bottom w:val="none" w:sz="0" w:space="0" w:color="auto"/>
        <w:right w:val="none" w:sz="0" w:space="0" w:color="auto"/>
      </w:divBdr>
    </w:div>
    <w:div w:id="77482804">
      <w:bodyDiv w:val="1"/>
      <w:marLeft w:val="0"/>
      <w:marRight w:val="0"/>
      <w:marTop w:val="0"/>
      <w:marBottom w:val="0"/>
      <w:divBdr>
        <w:top w:val="none" w:sz="0" w:space="0" w:color="auto"/>
        <w:left w:val="none" w:sz="0" w:space="0" w:color="auto"/>
        <w:bottom w:val="none" w:sz="0" w:space="0" w:color="auto"/>
        <w:right w:val="none" w:sz="0" w:space="0" w:color="auto"/>
      </w:divBdr>
    </w:div>
    <w:div w:id="135345340">
      <w:bodyDiv w:val="1"/>
      <w:marLeft w:val="0"/>
      <w:marRight w:val="0"/>
      <w:marTop w:val="0"/>
      <w:marBottom w:val="0"/>
      <w:divBdr>
        <w:top w:val="none" w:sz="0" w:space="0" w:color="auto"/>
        <w:left w:val="none" w:sz="0" w:space="0" w:color="auto"/>
        <w:bottom w:val="none" w:sz="0" w:space="0" w:color="auto"/>
        <w:right w:val="none" w:sz="0" w:space="0" w:color="auto"/>
      </w:divBdr>
    </w:div>
    <w:div w:id="148519657">
      <w:bodyDiv w:val="1"/>
      <w:marLeft w:val="0"/>
      <w:marRight w:val="0"/>
      <w:marTop w:val="0"/>
      <w:marBottom w:val="0"/>
      <w:divBdr>
        <w:top w:val="none" w:sz="0" w:space="0" w:color="auto"/>
        <w:left w:val="none" w:sz="0" w:space="0" w:color="auto"/>
        <w:bottom w:val="none" w:sz="0" w:space="0" w:color="auto"/>
        <w:right w:val="none" w:sz="0" w:space="0" w:color="auto"/>
      </w:divBdr>
    </w:div>
    <w:div w:id="179395917">
      <w:bodyDiv w:val="1"/>
      <w:marLeft w:val="0"/>
      <w:marRight w:val="0"/>
      <w:marTop w:val="0"/>
      <w:marBottom w:val="0"/>
      <w:divBdr>
        <w:top w:val="none" w:sz="0" w:space="0" w:color="auto"/>
        <w:left w:val="none" w:sz="0" w:space="0" w:color="auto"/>
        <w:bottom w:val="none" w:sz="0" w:space="0" w:color="auto"/>
        <w:right w:val="none" w:sz="0" w:space="0" w:color="auto"/>
      </w:divBdr>
    </w:div>
    <w:div w:id="211381397">
      <w:bodyDiv w:val="1"/>
      <w:marLeft w:val="0"/>
      <w:marRight w:val="0"/>
      <w:marTop w:val="0"/>
      <w:marBottom w:val="0"/>
      <w:divBdr>
        <w:top w:val="none" w:sz="0" w:space="0" w:color="auto"/>
        <w:left w:val="none" w:sz="0" w:space="0" w:color="auto"/>
        <w:bottom w:val="none" w:sz="0" w:space="0" w:color="auto"/>
        <w:right w:val="none" w:sz="0" w:space="0" w:color="auto"/>
      </w:divBdr>
    </w:div>
    <w:div w:id="239407174">
      <w:bodyDiv w:val="1"/>
      <w:marLeft w:val="0"/>
      <w:marRight w:val="0"/>
      <w:marTop w:val="0"/>
      <w:marBottom w:val="0"/>
      <w:divBdr>
        <w:top w:val="none" w:sz="0" w:space="0" w:color="auto"/>
        <w:left w:val="none" w:sz="0" w:space="0" w:color="auto"/>
        <w:bottom w:val="none" w:sz="0" w:space="0" w:color="auto"/>
        <w:right w:val="none" w:sz="0" w:space="0" w:color="auto"/>
      </w:divBdr>
    </w:div>
    <w:div w:id="301232987">
      <w:bodyDiv w:val="1"/>
      <w:marLeft w:val="0"/>
      <w:marRight w:val="0"/>
      <w:marTop w:val="0"/>
      <w:marBottom w:val="0"/>
      <w:divBdr>
        <w:top w:val="none" w:sz="0" w:space="0" w:color="auto"/>
        <w:left w:val="none" w:sz="0" w:space="0" w:color="auto"/>
        <w:bottom w:val="none" w:sz="0" w:space="0" w:color="auto"/>
        <w:right w:val="none" w:sz="0" w:space="0" w:color="auto"/>
      </w:divBdr>
    </w:div>
    <w:div w:id="316346002">
      <w:bodyDiv w:val="1"/>
      <w:marLeft w:val="0"/>
      <w:marRight w:val="0"/>
      <w:marTop w:val="0"/>
      <w:marBottom w:val="0"/>
      <w:divBdr>
        <w:top w:val="none" w:sz="0" w:space="0" w:color="auto"/>
        <w:left w:val="none" w:sz="0" w:space="0" w:color="auto"/>
        <w:bottom w:val="none" w:sz="0" w:space="0" w:color="auto"/>
        <w:right w:val="none" w:sz="0" w:space="0" w:color="auto"/>
      </w:divBdr>
    </w:div>
    <w:div w:id="318271296">
      <w:bodyDiv w:val="1"/>
      <w:marLeft w:val="0"/>
      <w:marRight w:val="0"/>
      <w:marTop w:val="0"/>
      <w:marBottom w:val="0"/>
      <w:divBdr>
        <w:top w:val="none" w:sz="0" w:space="0" w:color="auto"/>
        <w:left w:val="none" w:sz="0" w:space="0" w:color="auto"/>
        <w:bottom w:val="none" w:sz="0" w:space="0" w:color="auto"/>
        <w:right w:val="none" w:sz="0" w:space="0" w:color="auto"/>
      </w:divBdr>
    </w:div>
    <w:div w:id="355542680">
      <w:bodyDiv w:val="1"/>
      <w:marLeft w:val="0"/>
      <w:marRight w:val="0"/>
      <w:marTop w:val="0"/>
      <w:marBottom w:val="0"/>
      <w:divBdr>
        <w:top w:val="none" w:sz="0" w:space="0" w:color="auto"/>
        <w:left w:val="none" w:sz="0" w:space="0" w:color="auto"/>
        <w:bottom w:val="none" w:sz="0" w:space="0" w:color="auto"/>
        <w:right w:val="none" w:sz="0" w:space="0" w:color="auto"/>
      </w:divBdr>
    </w:div>
    <w:div w:id="396782430">
      <w:bodyDiv w:val="1"/>
      <w:marLeft w:val="0"/>
      <w:marRight w:val="0"/>
      <w:marTop w:val="0"/>
      <w:marBottom w:val="0"/>
      <w:divBdr>
        <w:top w:val="none" w:sz="0" w:space="0" w:color="auto"/>
        <w:left w:val="none" w:sz="0" w:space="0" w:color="auto"/>
        <w:bottom w:val="none" w:sz="0" w:space="0" w:color="auto"/>
        <w:right w:val="none" w:sz="0" w:space="0" w:color="auto"/>
      </w:divBdr>
    </w:div>
    <w:div w:id="423844486">
      <w:bodyDiv w:val="1"/>
      <w:marLeft w:val="0"/>
      <w:marRight w:val="0"/>
      <w:marTop w:val="0"/>
      <w:marBottom w:val="0"/>
      <w:divBdr>
        <w:top w:val="none" w:sz="0" w:space="0" w:color="auto"/>
        <w:left w:val="none" w:sz="0" w:space="0" w:color="auto"/>
        <w:bottom w:val="none" w:sz="0" w:space="0" w:color="auto"/>
        <w:right w:val="none" w:sz="0" w:space="0" w:color="auto"/>
      </w:divBdr>
    </w:div>
    <w:div w:id="424041299">
      <w:bodyDiv w:val="1"/>
      <w:marLeft w:val="0"/>
      <w:marRight w:val="0"/>
      <w:marTop w:val="0"/>
      <w:marBottom w:val="0"/>
      <w:divBdr>
        <w:top w:val="none" w:sz="0" w:space="0" w:color="auto"/>
        <w:left w:val="none" w:sz="0" w:space="0" w:color="auto"/>
        <w:bottom w:val="none" w:sz="0" w:space="0" w:color="auto"/>
        <w:right w:val="none" w:sz="0" w:space="0" w:color="auto"/>
      </w:divBdr>
    </w:div>
    <w:div w:id="452021824">
      <w:bodyDiv w:val="1"/>
      <w:marLeft w:val="0"/>
      <w:marRight w:val="0"/>
      <w:marTop w:val="0"/>
      <w:marBottom w:val="0"/>
      <w:divBdr>
        <w:top w:val="none" w:sz="0" w:space="0" w:color="auto"/>
        <w:left w:val="none" w:sz="0" w:space="0" w:color="auto"/>
        <w:bottom w:val="none" w:sz="0" w:space="0" w:color="auto"/>
        <w:right w:val="none" w:sz="0" w:space="0" w:color="auto"/>
      </w:divBdr>
    </w:div>
    <w:div w:id="456219544">
      <w:bodyDiv w:val="1"/>
      <w:marLeft w:val="0"/>
      <w:marRight w:val="0"/>
      <w:marTop w:val="0"/>
      <w:marBottom w:val="0"/>
      <w:divBdr>
        <w:top w:val="none" w:sz="0" w:space="0" w:color="auto"/>
        <w:left w:val="none" w:sz="0" w:space="0" w:color="auto"/>
        <w:bottom w:val="none" w:sz="0" w:space="0" w:color="auto"/>
        <w:right w:val="none" w:sz="0" w:space="0" w:color="auto"/>
      </w:divBdr>
    </w:div>
    <w:div w:id="506478881">
      <w:bodyDiv w:val="1"/>
      <w:marLeft w:val="0"/>
      <w:marRight w:val="0"/>
      <w:marTop w:val="0"/>
      <w:marBottom w:val="0"/>
      <w:divBdr>
        <w:top w:val="none" w:sz="0" w:space="0" w:color="auto"/>
        <w:left w:val="none" w:sz="0" w:space="0" w:color="auto"/>
        <w:bottom w:val="none" w:sz="0" w:space="0" w:color="auto"/>
        <w:right w:val="none" w:sz="0" w:space="0" w:color="auto"/>
      </w:divBdr>
    </w:div>
    <w:div w:id="509300647">
      <w:bodyDiv w:val="1"/>
      <w:marLeft w:val="0"/>
      <w:marRight w:val="0"/>
      <w:marTop w:val="0"/>
      <w:marBottom w:val="0"/>
      <w:divBdr>
        <w:top w:val="none" w:sz="0" w:space="0" w:color="auto"/>
        <w:left w:val="none" w:sz="0" w:space="0" w:color="auto"/>
        <w:bottom w:val="none" w:sz="0" w:space="0" w:color="auto"/>
        <w:right w:val="none" w:sz="0" w:space="0" w:color="auto"/>
      </w:divBdr>
    </w:div>
    <w:div w:id="636451719">
      <w:bodyDiv w:val="1"/>
      <w:marLeft w:val="0"/>
      <w:marRight w:val="0"/>
      <w:marTop w:val="0"/>
      <w:marBottom w:val="0"/>
      <w:divBdr>
        <w:top w:val="none" w:sz="0" w:space="0" w:color="auto"/>
        <w:left w:val="none" w:sz="0" w:space="0" w:color="auto"/>
        <w:bottom w:val="none" w:sz="0" w:space="0" w:color="auto"/>
        <w:right w:val="none" w:sz="0" w:space="0" w:color="auto"/>
      </w:divBdr>
    </w:div>
    <w:div w:id="646713174">
      <w:bodyDiv w:val="1"/>
      <w:marLeft w:val="0"/>
      <w:marRight w:val="0"/>
      <w:marTop w:val="0"/>
      <w:marBottom w:val="0"/>
      <w:divBdr>
        <w:top w:val="none" w:sz="0" w:space="0" w:color="auto"/>
        <w:left w:val="none" w:sz="0" w:space="0" w:color="auto"/>
        <w:bottom w:val="none" w:sz="0" w:space="0" w:color="auto"/>
        <w:right w:val="none" w:sz="0" w:space="0" w:color="auto"/>
      </w:divBdr>
    </w:div>
    <w:div w:id="728697892">
      <w:bodyDiv w:val="1"/>
      <w:marLeft w:val="0"/>
      <w:marRight w:val="0"/>
      <w:marTop w:val="0"/>
      <w:marBottom w:val="0"/>
      <w:divBdr>
        <w:top w:val="none" w:sz="0" w:space="0" w:color="auto"/>
        <w:left w:val="none" w:sz="0" w:space="0" w:color="auto"/>
        <w:bottom w:val="none" w:sz="0" w:space="0" w:color="auto"/>
        <w:right w:val="none" w:sz="0" w:space="0" w:color="auto"/>
      </w:divBdr>
    </w:div>
    <w:div w:id="737674595">
      <w:bodyDiv w:val="1"/>
      <w:marLeft w:val="0"/>
      <w:marRight w:val="0"/>
      <w:marTop w:val="0"/>
      <w:marBottom w:val="0"/>
      <w:divBdr>
        <w:top w:val="none" w:sz="0" w:space="0" w:color="auto"/>
        <w:left w:val="none" w:sz="0" w:space="0" w:color="auto"/>
        <w:bottom w:val="none" w:sz="0" w:space="0" w:color="auto"/>
        <w:right w:val="none" w:sz="0" w:space="0" w:color="auto"/>
      </w:divBdr>
    </w:div>
    <w:div w:id="754280595">
      <w:bodyDiv w:val="1"/>
      <w:marLeft w:val="0"/>
      <w:marRight w:val="0"/>
      <w:marTop w:val="0"/>
      <w:marBottom w:val="0"/>
      <w:divBdr>
        <w:top w:val="none" w:sz="0" w:space="0" w:color="auto"/>
        <w:left w:val="none" w:sz="0" w:space="0" w:color="auto"/>
        <w:bottom w:val="none" w:sz="0" w:space="0" w:color="auto"/>
        <w:right w:val="none" w:sz="0" w:space="0" w:color="auto"/>
      </w:divBdr>
    </w:div>
    <w:div w:id="811602490">
      <w:bodyDiv w:val="1"/>
      <w:marLeft w:val="0"/>
      <w:marRight w:val="0"/>
      <w:marTop w:val="0"/>
      <w:marBottom w:val="0"/>
      <w:divBdr>
        <w:top w:val="none" w:sz="0" w:space="0" w:color="auto"/>
        <w:left w:val="none" w:sz="0" w:space="0" w:color="auto"/>
        <w:bottom w:val="none" w:sz="0" w:space="0" w:color="auto"/>
        <w:right w:val="none" w:sz="0" w:space="0" w:color="auto"/>
      </w:divBdr>
    </w:div>
    <w:div w:id="826366320">
      <w:bodyDiv w:val="1"/>
      <w:marLeft w:val="0"/>
      <w:marRight w:val="0"/>
      <w:marTop w:val="0"/>
      <w:marBottom w:val="0"/>
      <w:divBdr>
        <w:top w:val="none" w:sz="0" w:space="0" w:color="auto"/>
        <w:left w:val="none" w:sz="0" w:space="0" w:color="auto"/>
        <w:bottom w:val="none" w:sz="0" w:space="0" w:color="auto"/>
        <w:right w:val="none" w:sz="0" w:space="0" w:color="auto"/>
      </w:divBdr>
    </w:div>
    <w:div w:id="838541332">
      <w:bodyDiv w:val="1"/>
      <w:marLeft w:val="0"/>
      <w:marRight w:val="0"/>
      <w:marTop w:val="0"/>
      <w:marBottom w:val="0"/>
      <w:divBdr>
        <w:top w:val="none" w:sz="0" w:space="0" w:color="auto"/>
        <w:left w:val="none" w:sz="0" w:space="0" w:color="auto"/>
        <w:bottom w:val="none" w:sz="0" w:space="0" w:color="auto"/>
        <w:right w:val="none" w:sz="0" w:space="0" w:color="auto"/>
      </w:divBdr>
    </w:div>
    <w:div w:id="963510449">
      <w:bodyDiv w:val="1"/>
      <w:marLeft w:val="0"/>
      <w:marRight w:val="0"/>
      <w:marTop w:val="0"/>
      <w:marBottom w:val="0"/>
      <w:divBdr>
        <w:top w:val="none" w:sz="0" w:space="0" w:color="auto"/>
        <w:left w:val="none" w:sz="0" w:space="0" w:color="auto"/>
        <w:bottom w:val="none" w:sz="0" w:space="0" w:color="auto"/>
        <w:right w:val="none" w:sz="0" w:space="0" w:color="auto"/>
      </w:divBdr>
    </w:div>
    <w:div w:id="983051072">
      <w:bodyDiv w:val="1"/>
      <w:marLeft w:val="0"/>
      <w:marRight w:val="0"/>
      <w:marTop w:val="0"/>
      <w:marBottom w:val="0"/>
      <w:divBdr>
        <w:top w:val="none" w:sz="0" w:space="0" w:color="auto"/>
        <w:left w:val="none" w:sz="0" w:space="0" w:color="auto"/>
        <w:bottom w:val="none" w:sz="0" w:space="0" w:color="auto"/>
        <w:right w:val="none" w:sz="0" w:space="0" w:color="auto"/>
      </w:divBdr>
    </w:div>
    <w:div w:id="985091365">
      <w:bodyDiv w:val="1"/>
      <w:marLeft w:val="0"/>
      <w:marRight w:val="0"/>
      <w:marTop w:val="0"/>
      <w:marBottom w:val="0"/>
      <w:divBdr>
        <w:top w:val="none" w:sz="0" w:space="0" w:color="auto"/>
        <w:left w:val="none" w:sz="0" w:space="0" w:color="auto"/>
        <w:bottom w:val="none" w:sz="0" w:space="0" w:color="auto"/>
        <w:right w:val="none" w:sz="0" w:space="0" w:color="auto"/>
      </w:divBdr>
    </w:div>
    <w:div w:id="1044259728">
      <w:bodyDiv w:val="1"/>
      <w:marLeft w:val="0"/>
      <w:marRight w:val="0"/>
      <w:marTop w:val="0"/>
      <w:marBottom w:val="0"/>
      <w:divBdr>
        <w:top w:val="none" w:sz="0" w:space="0" w:color="auto"/>
        <w:left w:val="none" w:sz="0" w:space="0" w:color="auto"/>
        <w:bottom w:val="none" w:sz="0" w:space="0" w:color="auto"/>
        <w:right w:val="none" w:sz="0" w:space="0" w:color="auto"/>
      </w:divBdr>
    </w:div>
    <w:div w:id="1110320544">
      <w:bodyDiv w:val="1"/>
      <w:marLeft w:val="0"/>
      <w:marRight w:val="0"/>
      <w:marTop w:val="0"/>
      <w:marBottom w:val="0"/>
      <w:divBdr>
        <w:top w:val="none" w:sz="0" w:space="0" w:color="auto"/>
        <w:left w:val="none" w:sz="0" w:space="0" w:color="auto"/>
        <w:bottom w:val="none" w:sz="0" w:space="0" w:color="auto"/>
        <w:right w:val="none" w:sz="0" w:space="0" w:color="auto"/>
      </w:divBdr>
    </w:div>
    <w:div w:id="1124928371">
      <w:bodyDiv w:val="1"/>
      <w:marLeft w:val="0"/>
      <w:marRight w:val="0"/>
      <w:marTop w:val="0"/>
      <w:marBottom w:val="0"/>
      <w:divBdr>
        <w:top w:val="none" w:sz="0" w:space="0" w:color="auto"/>
        <w:left w:val="none" w:sz="0" w:space="0" w:color="auto"/>
        <w:bottom w:val="none" w:sz="0" w:space="0" w:color="auto"/>
        <w:right w:val="none" w:sz="0" w:space="0" w:color="auto"/>
      </w:divBdr>
    </w:div>
    <w:div w:id="1150436949">
      <w:bodyDiv w:val="1"/>
      <w:marLeft w:val="0"/>
      <w:marRight w:val="0"/>
      <w:marTop w:val="0"/>
      <w:marBottom w:val="0"/>
      <w:divBdr>
        <w:top w:val="none" w:sz="0" w:space="0" w:color="auto"/>
        <w:left w:val="none" w:sz="0" w:space="0" w:color="auto"/>
        <w:bottom w:val="none" w:sz="0" w:space="0" w:color="auto"/>
        <w:right w:val="none" w:sz="0" w:space="0" w:color="auto"/>
      </w:divBdr>
    </w:div>
    <w:div w:id="1269194862">
      <w:bodyDiv w:val="1"/>
      <w:marLeft w:val="0"/>
      <w:marRight w:val="0"/>
      <w:marTop w:val="0"/>
      <w:marBottom w:val="0"/>
      <w:divBdr>
        <w:top w:val="none" w:sz="0" w:space="0" w:color="auto"/>
        <w:left w:val="none" w:sz="0" w:space="0" w:color="auto"/>
        <w:bottom w:val="none" w:sz="0" w:space="0" w:color="auto"/>
        <w:right w:val="none" w:sz="0" w:space="0" w:color="auto"/>
      </w:divBdr>
    </w:div>
    <w:div w:id="1282414395">
      <w:bodyDiv w:val="1"/>
      <w:marLeft w:val="0"/>
      <w:marRight w:val="0"/>
      <w:marTop w:val="0"/>
      <w:marBottom w:val="0"/>
      <w:divBdr>
        <w:top w:val="none" w:sz="0" w:space="0" w:color="auto"/>
        <w:left w:val="none" w:sz="0" w:space="0" w:color="auto"/>
        <w:bottom w:val="none" w:sz="0" w:space="0" w:color="auto"/>
        <w:right w:val="none" w:sz="0" w:space="0" w:color="auto"/>
      </w:divBdr>
    </w:div>
    <w:div w:id="1349989407">
      <w:bodyDiv w:val="1"/>
      <w:marLeft w:val="0"/>
      <w:marRight w:val="0"/>
      <w:marTop w:val="0"/>
      <w:marBottom w:val="0"/>
      <w:divBdr>
        <w:top w:val="none" w:sz="0" w:space="0" w:color="auto"/>
        <w:left w:val="none" w:sz="0" w:space="0" w:color="auto"/>
        <w:bottom w:val="none" w:sz="0" w:space="0" w:color="auto"/>
        <w:right w:val="none" w:sz="0" w:space="0" w:color="auto"/>
      </w:divBdr>
    </w:div>
    <w:div w:id="1368339162">
      <w:bodyDiv w:val="1"/>
      <w:marLeft w:val="0"/>
      <w:marRight w:val="0"/>
      <w:marTop w:val="0"/>
      <w:marBottom w:val="0"/>
      <w:divBdr>
        <w:top w:val="none" w:sz="0" w:space="0" w:color="auto"/>
        <w:left w:val="none" w:sz="0" w:space="0" w:color="auto"/>
        <w:bottom w:val="none" w:sz="0" w:space="0" w:color="auto"/>
        <w:right w:val="none" w:sz="0" w:space="0" w:color="auto"/>
      </w:divBdr>
    </w:div>
    <w:div w:id="1389569904">
      <w:bodyDiv w:val="1"/>
      <w:marLeft w:val="0"/>
      <w:marRight w:val="0"/>
      <w:marTop w:val="0"/>
      <w:marBottom w:val="0"/>
      <w:divBdr>
        <w:top w:val="none" w:sz="0" w:space="0" w:color="auto"/>
        <w:left w:val="none" w:sz="0" w:space="0" w:color="auto"/>
        <w:bottom w:val="none" w:sz="0" w:space="0" w:color="auto"/>
        <w:right w:val="none" w:sz="0" w:space="0" w:color="auto"/>
      </w:divBdr>
    </w:div>
    <w:div w:id="1392389027">
      <w:bodyDiv w:val="1"/>
      <w:marLeft w:val="0"/>
      <w:marRight w:val="0"/>
      <w:marTop w:val="0"/>
      <w:marBottom w:val="0"/>
      <w:divBdr>
        <w:top w:val="none" w:sz="0" w:space="0" w:color="auto"/>
        <w:left w:val="none" w:sz="0" w:space="0" w:color="auto"/>
        <w:bottom w:val="none" w:sz="0" w:space="0" w:color="auto"/>
        <w:right w:val="none" w:sz="0" w:space="0" w:color="auto"/>
      </w:divBdr>
    </w:div>
    <w:div w:id="1425423285">
      <w:bodyDiv w:val="1"/>
      <w:marLeft w:val="0"/>
      <w:marRight w:val="0"/>
      <w:marTop w:val="0"/>
      <w:marBottom w:val="0"/>
      <w:divBdr>
        <w:top w:val="none" w:sz="0" w:space="0" w:color="auto"/>
        <w:left w:val="none" w:sz="0" w:space="0" w:color="auto"/>
        <w:bottom w:val="none" w:sz="0" w:space="0" w:color="auto"/>
        <w:right w:val="none" w:sz="0" w:space="0" w:color="auto"/>
      </w:divBdr>
    </w:div>
    <w:div w:id="1426069422">
      <w:bodyDiv w:val="1"/>
      <w:marLeft w:val="0"/>
      <w:marRight w:val="0"/>
      <w:marTop w:val="0"/>
      <w:marBottom w:val="0"/>
      <w:divBdr>
        <w:top w:val="none" w:sz="0" w:space="0" w:color="auto"/>
        <w:left w:val="none" w:sz="0" w:space="0" w:color="auto"/>
        <w:bottom w:val="none" w:sz="0" w:space="0" w:color="auto"/>
        <w:right w:val="none" w:sz="0" w:space="0" w:color="auto"/>
      </w:divBdr>
    </w:div>
    <w:div w:id="1432698683">
      <w:bodyDiv w:val="1"/>
      <w:marLeft w:val="0"/>
      <w:marRight w:val="0"/>
      <w:marTop w:val="0"/>
      <w:marBottom w:val="0"/>
      <w:divBdr>
        <w:top w:val="none" w:sz="0" w:space="0" w:color="auto"/>
        <w:left w:val="none" w:sz="0" w:space="0" w:color="auto"/>
        <w:bottom w:val="none" w:sz="0" w:space="0" w:color="auto"/>
        <w:right w:val="none" w:sz="0" w:space="0" w:color="auto"/>
      </w:divBdr>
    </w:div>
    <w:div w:id="1437558440">
      <w:bodyDiv w:val="1"/>
      <w:marLeft w:val="0"/>
      <w:marRight w:val="0"/>
      <w:marTop w:val="0"/>
      <w:marBottom w:val="0"/>
      <w:divBdr>
        <w:top w:val="none" w:sz="0" w:space="0" w:color="auto"/>
        <w:left w:val="none" w:sz="0" w:space="0" w:color="auto"/>
        <w:bottom w:val="none" w:sz="0" w:space="0" w:color="auto"/>
        <w:right w:val="none" w:sz="0" w:space="0" w:color="auto"/>
      </w:divBdr>
    </w:div>
    <w:div w:id="1474172275">
      <w:bodyDiv w:val="1"/>
      <w:marLeft w:val="0"/>
      <w:marRight w:val="0"/>
      <w:marTop w:val="0"/>
      <w:marBottom w:val="0"/>
      <w:divBdr>
        <w:top w:val="none" w:sz="0" w:space="0" w:color="auto"/>
        <w:left w:val="none" w:sz="0" w:space="0" w:color="auto"/>
        <w:bottom w:val="none" w:sz="0" w:space="0" w:color="auto"/>
        <w:right w:val="none" w:sz="0" w:space="0" w:color="auto"/>
      </w:divBdr>
    </w:div>
    <w:div w:id="1524905084">
      <w:bodyDiv w:val="1"/>
      <w:marLeft w:val="0"/>
      <w:marRight w:val="0"/>
      <w:marTop w:val="0"/>
      <w:marBottom w:val="0"/>
      <w:divBdr>
        <w:top w:val="none" w:sz="0" w:space="0" w:color="auto"/>
        <w:left w:val="none" w:sz="0" w:space="0" w:color="auto"/>
        <w:bottom w:val="none" w:sz="0" w:space="0" w:color="auto"/>
        <w:right w:val="none" w:sz="0" w:space="0" w:color="auto"/>
      </w:divBdr>
    </w:div>
    <w:div w:id="1533684176">
      <w:bodyDiv w:val="1"/>
      <w:marLeft w:val="0"/>
      <w:marRight w:val="0"/>
      <w:marTop w:val="0"/>
      <w:marBottom w:val="0"/>
      <w:divBdr>
        <w:top w:val="none" w:sz="0" w:space="0" w:color="auto"/>
        <w:left w:val="none" w:sz="0" w:space="0" w:color="auto"/>
        <w:bottom w:val="none" w:sz="0" w:space="0" w:color="auto"/>
        <w:right w:val="none" w:sz="0" w:space="0" w:color="auto"/>
      </w:divBdr>
    </w:div>
    <w:div w:id="1560245434">
      <w:bodyDiv w:val="1"/>
      <w:marLeft w:val="0"/>
      <w:marRight w:val="0"/>
      <w:marTop w:val="0"/>
      <w:marBottom w:val="0"/>
      <w:divBdr>
        <w:top w:val="none" w:sz="0" w:space="0" w:color="auto"/>
        <w:left w:val="none" w:sz="0" w:space="0" w:color="auto"/>
        <w:bottom w:val="none" w:sz="0" w:space="0" w:color="auto"/>
        <w:right w:val="none" w:sz="0" w:space="0" w:color="auto"/>
      </w:divBdr>
    </w:div>
    <w:div w:id="1576668777">
      <w:bodyDiv w:val="1"/>
      <w:marLeft w:val="0"/>
      <w:marRight w:val="0"/>
      <w:marTop w:val="0"/>
      <w:marBottom w:val="0"/>
      <w:divBdr>
        <w:top w:val="none" w:sz="0" w:space="0" w:color="auto"/>
        <w:left w:val="none" w:sz="0" w:space="0" w:color="auto"/>
        <w:bottom w:val="none" w:sz="0" w:space="0" w:color="auto"/>
        <w:right w:val="none" w:sz="0" w:space="0" w:color="auto"/>
      </w:divBdr>
    </w:div>
    <w:div w:id="1741365961">
      <w:bodyDiv w:val="1"/>
      <w:marLeft w:val="0"/>
      <w:marRight w:val="0"/>
      <w:marTop w:val="0"/>
      <w:marBottom w:val="0"/>
      <w:divBdr>
        <w:top w:val="none" w:sz="0" w:space="0" w:color="auto"/>
        <w:left w:val="none" w:sz="0" w:space="0" w:color="auto"/>
        <w:bottom w:val="none" w:sz="0" w:space="0" w:color="auto"/>
        <w:right w:val="none" w:sz="0" w:space="0" w:color="auto"/>
      </w:divBdr>
    </w:div>
    <w:div w:id="1839539333">
      <w:bodyDiv w:val="1"/>
      <w:marLeft w:val="0"/>
      <w:marRight w:val="0"/>
      <w:marTop w:val="0"/>
      <w:marBottom w:val="0"/>
      <w:divBdr>
        <w:top w:val="none" w:sz="0" w:space="0" w:color="auto"/>
        <w:left w:val="none" w:sz="0" w:space="0" w:color="auto"/>
        <w:bottom w:val="none" w:sz="0" w:space="0" w:color="auto"/>
        <w:right w:val="none" w:sz="0" w:space="0" w:color="auto"/>
      </w:divBdr>
    </w:div>
    <w:div w:id="1840658445">
      <w:bodyDiv w:val="1"/>
      <w:marLeft w:val="0"/>
      <w:marRight w:val="0"/>
      <w:marTop w:val="0"/>
      <w:marBottom w:val="0"/>
      <w:divBdr>
        <w:top w:val="none" w:sz="0" w:space="0" w:color="auto"/>
        <w:left w:val="none" w:sz="0" w:space="0" w:color="auto"/>
        <w:bottom w:val="none" w:sz="0" w:space="0" w:color="auto"/>
        <w:right w:val="none" w:sz="0" w:space="0" w:color="auto"/>
      </w:divBdr>
    </w:div>
    <w:div w:id="1842159626">
      <w:bodyDiv w:val="1"/>
      <w:marLeft w:val="0"/>
      <w:marRight w:val="0"/>
      <w:marTop w:val="0"/>
      <w:marBottom w:val="0"/>
      <w:divBdr>
        <w:top w:val="none" w:sz="0" w:space="0" w:color="auto"/>
        <w:left w:val="none" w:sz="0" w:space="0" w:color="auto"/>
        <w:bottom w:val="none" w:sz="0" w:space="0" w:color="auto"/>
        <w:right w:val="none" w:sz="0" w:space="0" w:color="auto"/>
      </w:divBdr>
    </w:div>
    <w:div w:id="1926961964">
      <w:bodyDiv w:val="1"/>
      <w:marLeft w:val="0"/>
      <w:marRight w:val="0"/>
      <w:marTop w:val="0"/>
      <w:marBottom w:val="0"/>
      <w:divBdr>
        <w:top w:val="none" w:sz="0" w:space="0" w:color="auto"/>
        <w:left w:val="none" w:sz="0" w:space="0" w:color="auto"/>
        <w:bottom w:val="none" w:sz="0" w:space="0" w:color="auto"/>
        <w:right w:val="none" w:sz="0" w:space="0" w:color="auto"/>
      </w:divBdr>
    </w:div>
    <w:div w:id="1953856051">
      <w:bodyDiv w:val="1"/>
      <w:marLeft w:val="0"/>
      <w:marRight w:val="0"/>
      <w:marTop w:val="0"/>
      <w:marBottom w:val="0"/>
      <w:divBdr>
        <w:top w:val="none" w:sz="0" w:space="0" w:color="auto"/>
        <w:left w:val="none" w:sz="0" w:space="0" w:color="auto"/>
        <w:bottom w:val="none" w:sz="0" w:space="0" w:color="auto"/>
        <w:right w:val="none" w:sz="0" w:space="0" w:color="auto"/>
      </w:divBdr>
    </w:div>
    <w:div w:id="1975287748">
      <w:bodyDiv w:val="1"/>
      <w:marLeft w:val="0"/>
      <w:marRight w:val="0"/>
      <w:marTop w:val="0"/>
      <w:marBottom w:val="0"/>
      <w:divBdr>
        <w:top w:val="none" w:sz="0" w:space="0" w:color="auto"/>
        <w:left w:val="none" w:sz="0" w:space="0" w:color="auto"/>
        <w:bottom w:val="none" w:sz="0" w:space="0" w:color="auto"/>
        <w:right w:val="none" w:sz="0" w:space="0" w:color="auto"/>
      </w:divBdr>
    </w:div>
    <w:div w:id="2009676354">
      <w:bodyDiv w:val="1"/>
      <w:marLeft w:val="0"/>
      <w:marRight w:val="0"/>
      <w:marTop w:val="0"/>
      <w:marBottom w:val="0"/>
      <w:divBdr>
        <w:top w:val="none" w:sz="0" w:space="0" w:color="auto"/>
        <w:left w:val="none" w:sz="0" w:space="0" w:color="auto"/>
        <w:bottom w:val="none" w:sz="0" w:space="0" w:color="auto"/>
        <w:right w:val="none" w:sz="0" w:space="0" w:color="auto"/>
      </w:divBdr>
    </w:div>
    <w:div w:id="2022589067">
      <w:bodyDiv w:val="1"/>
      <w:marLeft w:val="0"/>
      <w:marRight w:val="0"/>
      <w:marTop w:val="0"/>
      <w:marBottom w:val="0"/>
      <w:divBdr>
        <w:top w:val="none" w:sz="0" w:space="0" w:color="auto"/>
        <w:left w:val="none" w:sz="0" w:space="0" w:color="auto"/>
        <w:bottom w:val="none" w:sz="0" w:space="0" w:color="auto"/>
        <w:right w:val="none" w:sz="0" w:space="0" w:color="auto"/>
      </w:divBdr>
    </w:div>
    <w:div w:id="2037195051">
      <w:bodyDiv w:val="1"/>
      <w:marLeft w:val="0"/>
      <w:marRight w:val="0"/>
      <w:marTop w:val="0"/>
      <w:marBottom w:val="0"/>
      <w:divBdr>
        <w:top w:val="none" w:sz="0" w:space="0" w:color="auto"/>
        <w:left w:val="none" w:sz="0" w:space="0" w:color="auto"/>
        <w:bottom w:val="none" w:sz="0" w:space="0" w:color="auto"/>
        <w:right w:val="none" w:sz="0" w:space="0" w:color="auto"/>
      </w:divBdr>
    </w:div>
    <w:div w:id="2058625059">
      <w:bodyDiv w:val="1"/>
      <w:marLeft w:val="0"/>
      <w:marRight w:val="0"/>
      <w:marTop w:val="0"/>
      <w:marBottom w:val="0"/>
      <w:divBdr>
        <w:top w:val="none" w:sz="0" w:space="0" w:color="auto"/>
        <w:left w:val="none" w:sz="0" w:space="0" w:color="auto"/>
        <w:bottom w:val="none" w:sz="0" w:space="0" w:color="auto"/>
        <w:right w:val="none" w:sz="0" w:space="0" w:color="auto"/>
      </w:divBdr>
    </w:div>
    <w:div w:id="20656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604/pamj.2015.20.227.4770" TargetMode="External"/><Relationship Id="rId26" Type="http://schemas.openxmlformats.org/officeDocument/2006/relationships/hyperlink" Target="https://www.sciensano.be/en/biblio/antimicrobial-resistance-esbl-and-indicator-ecoli-campylobacter-spp-salmonella-spp-methicillin-resistant-staphylococcus-aureus-mrsa-and-enterococcus-faecalis-and-faecium-isolated-food-and-food-producing-animals-primary-production-2022" TargetMode="External"/><Relationship Id="rId39" Type="http://schemas.openxmlformats.org/officeDocument/2006/relationships/header" Target="header3.xml"/><Relationship Id="rId21" Type="http://schemas.openxmlformats.org/officeDocument/2006/relationships/hyperlink" Target="https://doi.org/10.4236/jbise.2024.175008" TargetMode="External"/><Relationship Id="rId34" Type="http://schemas.openxmlformats.org/officeDocument/2006/relationships/hyperlink" Target="https://doi.org/10.11604/JIEPH.supp.2021.4.3.1089"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theses.hal.science/tel-03149679" TargetMode="External"/><Relationship Id="rId20" Type="http://schemas.openxmlformats.org/officeDocument/2006/relationships/hyperlink" Target="https://www.sid-eismv.org/pmb/index.php?lvl=notice_display&amp;id=224" TargetMode="External"/><Relationship Id="rId29" Type="http://schemas.openxmlformats.org/officeDocument/2006/relationships/hyperlink" Target="https://www.sfm-microbiologie.org/wp-content/uploads/2024/06/CASFM2024_V1.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ijias.issr-journals.org/abstract.php?article=IJIAS-14-301-30" TargetMode="External"/><Relationship Id="rId32" Type="http://schemas.openxmlformats.org/officeDocument/2006/relationships/hyperlink" Target="https://doi.org/10.1016/j.patbio.2008.07.02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3738/REVMED.2016.12.534.1699" TargetMode="External"/><Relationship Id="rId23" Type="http://schemas.openxmlformats.org/officeDocument/2006/relationships/hyperlink" Target="https://doi.org/10.1002/fsn3.650" TargetMode="External"/><Relationship Id="rId28" Type="http://schemas.openxmlformats.org/officeDocument/2006/relationships/hyperlink" Target="http://www.ijias.issr-journals.org/abstract.php?article=IJIAS-14-301-30"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4314/ijbcs.v11i1.9" TargetMode="External"/><Relationship Id="rId31" Type="http://schemas.openxmlformats.org/officeDocument/2006/relationships/hyperlink" Target="https://doi.org/10.11604/pamj.2017.26.166.1182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bibliosante.ml/handle/123456789/1007" TargetMode="External"/><Relationship Id="rId22" Type="http://schemas.openxmlformats.org/officeDocument/2006/relationships/hyperlink" Target="http://www.american-jiras.com/archive/volume-8/issue-4/" TargetMode="External"/><Relationship Id="rId27" Type="http://schemas.openxmlformats.org/officeDocument/2006/relationships/hyperlink" Target="https://doi.org/10.1016/S1624-0693(03)00042-2" TargetMode="External"/><Relationship Id="rId30" Type="http://schemas.openxmlformats.org/officeDocument/2006/relationships/hyperlink" Target="https://doi.org/10.11604/pamj.2017.28.29.11402"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ncbi.nlm.nih.gov/pmc/articles/PMC7155403/" TargetMode="External"/><Relationship Id="rId25" Type="http://schemas.openxmlformats.org/officeDocument/2006/relationships/hyperlink" Target="https://doi.org/10.1016/S0399-077X(00)80038-4" TargetMode="External"/><Relationship Id="rId33" Type="http://schemas.openxmlformats.org/officeDocument/2006/relationships/hyperlink" Target="https://doi.org/10.1128/AAC.38.2.340"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2A-44D3-92AE-53BD309C1B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2A-44D3-92AE-53BD309C1B7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Feuil3!$H$9:$H$10</c:f>
              <c:strCache>
                <c:ptCount val="2"/>
                <c:pt idx="0">
                  <c:v>Contaminated</c:v>
                </c:pt>
                <c:pt idx="1">
                  <c:v>No contaminated</c:v>
                </c:pt>
              </c:strCache>
            </c:strRef>
          </c:cat>
          <c:val>
            <c:numRef>
              <c:f>Feuil3!$I$9:$I$10</c:f>
              <c:numCache>
                <c:formatCode>0%</c:formatCode>
                <c:ptCount val="2"/>
                <c:pt idx="0">
                  <c:v>0.54</c:v>
                </c:pt>
                <c:pt idx="1">
                  <c:v>0.46</c:v>
                </c:pt>
              </c:numCache>
            </c:numRef>
          </c:val>
          <c:extLst>
            <c:ext xmlns:c16="http://schemas.microsoft.com/office/drawing/2014/chart" uri="{C3380CC4-5D6E-409C-BE32-E72D297353CC}">
              <c16:uniqueId val="{00000004-3B2A-44D3-92AE-53BD309C1B7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 lastClr="FFFFFF"/>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Feuil1!$D$3</c:f>
              <c:strCache>
                <c:ptCount val="1"/>
                <c:pt idx="0">
                  <c:v>Proportion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Feuil1!$C$4:$C$20</c:f>
              <c:strCache>
                <c:ptCount val="17"/>
                <c:pt idx="0">
                  <c:v>Citrobacter freundii</c:v>
                </c:pt>
                <c:pt idx="1">
                  <c:v>Citrobacter koserii</c:v>
                </c:pt>
                <c:pt idx="2">
                  <c:v>Enterobacter cloacae</c:v>
                </c:pt>
                <c:pt idx="3">
                  <c:v>Enterobacter koserii</c:v>
                </c:pt>
                <c:pt idx="4">
                  <c:v>Enterobacter sakazakii</c:v>
                </c:pt>
                <c:pt idx="5">
                  <c:v>Escherichia coli</c:v>
                </c:pt>
                <c:pt idx="6">
                  <c:v>Flaviomonas Horzitiabita</c:v>
                </c:pt>
                <c:pt idx="7">
                  <c:v>Flaviomonas luteola</c:v>
                </c:pt>
                <c:pt idx="8">
                  <c:v>Klebsiella arizonnae</c:v>
                </c:pt>
                <c:pt idx="9">
                  <c:v>Klebsiella ornithinolytica</c:v>
                </c:pt>
                <c:pt idx="10">
                  <c:v>Klebsiella oxytoca</c:v>
                </c:pt>
                <c:pt idx="11">
                  <c:v>Klebsiella ozaenae</c:v>
                </c:pt>
                <c:pt idx="12">
                  <c:v>Klebsiella pneumoniae</c:v>
                </c:pt>
                <c:pt idx="13">
                  <c:v>Klebsiella spp</c:v>
                </c:pt>
                <c:pt idx="14">
                  <c:v>Proteus mirabilis</c:v>
                </c:pt>
                <c:pt idx="15">
                  <c:v>Pseudomonas aeruginosa</c:v>
                </c:pt>
                <c:pt idx="16">
                  <c:v>Serratia liquefaciens</c:v>
                </c:pt>
              </c:strCache>
            </c:strRef>
          </c:cat>
          <c:val>
            <c:numRef>
              <c:f>Feuil1!$D$4:$D$20</c:f>
              <c:numCache>
                <c:formatCode>0.00%</c:formatCode>
                <c:ptCount val="17"/>
                <c:pt idx="0">
                  <c:v>5.7000000000000016E-2</c:v>
                </c:pt>
                <c:pt idx="1">
                  <c:v>4.5999999999999999E-2</c:v>
                </c:pt>
                <c:pt idx="2">
                  <c:v>0.10299999999999998</c:v>
                </c:pt>
                <c:pt idx="3">
                  <c:v>1.0999999999999998E-2</c:v>
                </c:pt>
                <c:pt idx="4">
                  <c:v>4.5999999999999999E-2</c:v>
                </c:pt>
                <c:pt idx="5">
                  <c:v>0.29900000000000015</c:v>
                </c:pt>
                <c:pt idx="6">
                  <c:v>4.5999999999999999E-2</c:v>
                </c:pt>
                <c:pt idx="7">
                  <c:v>1.0999999999999998E-2</c:v>
                </c:pt>
                <c:pt idx="8">
                  <c:v>1.0999999999999998E-2</c:v>
                </c:pt>
                <c:pt idx="9">
                  <c:v>4.5999999999999999E-2</c:v>
                </c:pt>
                <c:pt idx="10">
                  <c:v>3.4000000000000002E-2</c:v>
                </c:pt>
                <c:pt idx="11">
                  <c:v>1.0999999999999998E-2</c:v>
                </c:pt>
                <c:pt idx="12">
                  <c:v>3.4000000000000002E-2</c:v>
                </c:pt>
                <c:pt idx="13">
                  <c:v>0.10299999999999998</c:v>
                </c:pt>
                <c:pt idx="14">
                  <c:v>8.0000000000000029E-2</c:v>
                </c:pt>
                <c:pt idx="15">
                  <c:v>4.5999999999999999E-2</c:v>
                </c:pt>
                <c:pt idx="16">
                  <c:v>1.0999999999999998E-2</c:v>
                </c:pt>
              </c:numCache>
            </c:numRef>
          </c:val>
          <c:extLst>
            <c:ext xmlns:c16="http://schemas.microsoft.com/office/drawing/2014/chart" uri="{C3380CC4-5D6E-409C-BE32-E72D297353CC}">
              <c16:uniqueId val="{00000000-FAF9-43AD-9FC8-F69388DCA937}"/>
            </c:ext>
          </c:extLst>
        </c:ser>
        <c:dLbls>
          <c:showLegendKey val="0"/>
          <c:showVal val="0"/>
          <c:showCatName val="0"/>
          <c:showSerName val="0"/>
          <c:showPercent val="0"/>
          <c:showBubbleSize val="0"/>
        </c:dLbls>
        <c:gapWidth val="219"/>
        <c:overlap val="-27"/>
        <c:axId val="430149592"/>
        <c:axId val="430149984"/>
      </c:barChart>
      <c:catAx>
        <c:axId val="430149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0149984"/>
        <c:crosses val="autoZero"/>
        <c:auto val="1"/>
        <c:lblAlgn val="ctr"/>
        <c:lblOffset val="100"/>
        <c:noMultiLvlLbl val="0"/>
      </c:catAx>
      <c:valAx>
        <c:axId val="430149984"/>
        <c:scaling>
          <c:orientation val="minMax"/>
        </c:scaling>
        <c:delete val="1"/>
        <c:axPos val="l"/>
        <c:numFmt formatCode="0.00%" sourceLinked="1"/>
        <c:majorTickMark val="none"/>
        <c:minorTickMark val="none"/>
        <c:tickLblPos val="nextTo"/>
        <c:crossAx val="430149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F831-5F7C-4B42-A548-73683067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13</Pages>
  <Words>4644</Words>
  <Characters>26477</Characters>
  <Application>Microsoft Office Word</Application>
  <DocSecurity>0</DocSecurity>
  <Lines>220</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Editor-11</cp:lastModifiedBy>
  <cp:revision>47</cp:revision>
  <dcterms:created xsi:type="dcterms:W3CDTF">2025-11-21T03:55:00Z</dcterms:created>
  <dcterms:modified xsi:type="dcterms:W3CDTF">2026-01-06T12:54:00Z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4d345228-9749-3d79-b727-62f79aa9b5b3</vt:lpwstr>
  </property>
</Properties>
</file>