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AA88D" w14:textId="75D1C7FC" w:rsidR="00235AF1" w:rsidRDefault="00182E67">
      <w:p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A comprehensive review on edible and medicinal mushrooms diversity and multifunctionality in global food systems for the circular bioeconomy</w:t>
      </w:r>
    </w:p>
    <w:p w14:paraId="13A0CE04" w14:textId="77777777" w:rsidR="00235AF1" w:rsidRDefault="00235AF1">
      <w:pPr>
        <w:spacing w:after="0" w:line="360" w:lineRule="auto"/>
        <w:jc w:val="both"/>
        <w:outlineLvl w:val="1"/>
        <w:rPr>
          <w:rFonts w:ascii="Times New Roman" w:eastAsia="Times New Roman" w:hAnsi="Times New Roman" w:cs="Times New Roman"/>
          <w:b/>
          <w:bCs/>
          <w:kern w:val="0"/>
          <w:lang w:eastAsia="en-IN"/>
        </w:rPr>
      </w:pPr>
    </w:p>
    <w:p w14:paraId="18A72D5C" w14:textId="77777777" w:rsidR="00235AF1" w:rsidRDefault="00235AF1">
      <w:pPr>
        <w:spacing w:after="0" w:line="360" w:lineRule="auto"/>
        <w:ind w:left="90" w:hanging="90"/>
        <w:rPr>
          <w:rFonts w:ascii="Times New Roman" w:eastAsia="Times New Roman" w:hAnsi="Times New Roman" w:cs="Times New Roman"/>
          <w:kern w:val="0"/>
          <w:lang w:eastAsia="en-IN"/>
        </w:rPr>
      </w:pPr>
    </w:p>
    <w:p w14:paraId="6083DC57"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 xml:space="preserve">Abstract </w:t>
      </w:r>
    </w:p>
    <w:p w14:paraId="3DA8DF1B"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Fungi contribute to one of the most diverse and ecologically important </w:t>
      </w:r>
      <w:proofErr w:type="gramStart"/>
      <w:r>
        <w:rPr>
          <w:rFonts w:ascii="Times New Roman" w:eastAsia="Times New Roman" w:hAnsi="Times New Roman" w:cs="Times New Roman"/>
          <w:kern w:val="0"/>
          <w:lang w:eastAsia="en-IN"/>
        </w:rPr>
        <w:t>kingdom</w:t>
      </w:r>
      <w:proofErr w:type="gramEnd"/>
      <w:r>
        <w:rPr>
          <w:rFonts w:ascii="Times New Roman" w:eastAsia="Times New Roman" w:hAnsi="Times New Roman" w:cs="Times New Roman"/>
          <w:kern w:val="0"/>
          <w:lang w:eastAsia="en-IN"/>
        </w:rPr>
        <w:t xml:space="preserve">, yet their actual diversity and functional roles remain substantially under-documented. The current global scenario suggests that approximately 2.2–3.8 million fungal species may exist, while fewer than 10 percent have been formally described to date. Within this kingdom,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(mushrooms) constitute a conspicuous but taxonomically complex group that underpins forest productivity, nutrient cycling, plant health and multiple bioeconomy sectors. This review synthesises the current state of knowledge on fungal diversity, with particular emphasis on mushrooms and their ecological, evolutionary and functional significance. It covers taxonomy and systematics, ecological guilds (including saprotrophic, mycorrhizal and parasitic), biogeographic patterns and ecosystem functions. It also examines edible and medicinal mushroom resources, global and Indian production trends, supply chain issues, and emerging applications in bioremediation and the circular bioeconomy. The review also examines macrofungal diversity in India, particularly within the Western Ghats and Himalayan biodiversity hotspots, where many taxa remain poorly documented despite the accelerating rate of habitat change.  Furthermore, the review concludes with key research gaps, methodological advances such as environmental DNA (eDNA) and high-throughput sequencing and priorities for conserving fungal habitats and underground mycorrhizal networks. This article highlights the pivotal role of mushrooms as integral components of global biodiversity, sustainable food systems and emerging climate resilience strategies.</w:t>
      </w:r>
    </w:p>
    <w:p w14:paraId="1283DF0F" w14:textId="77777777" w:rsidR="00235AF1" w:rsidRDefault="00235AF1">
      <w:pPr>
        <w:spacing w:after="0" w:line="360" w:lineRule="auto"/>
        <w:jc w:val="both"/>
        <w:rPr>
          <w:rFonts w:ascii="Times New Roman" w:eastAsia="Times New Roman" w:hAnsi="Times New Roman" w:cs="Times New Roman"/>
          <w:kern w:val="0"/>
          <w:lang w:eastAsia="en-IN"/>
        </w:rPr>
      </w:pPr>
    </w:p>
    <w:p w14:paraId="68110A87"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b/>
          <w:bCs/>
          <w:kern w:val="0"/>
          <w:lang w:eastAsia="en-IN"/>
        </w:rPr>
        <w:t xml:space="preserve">Keywords: </w:t>
      </w:r>
      <w:r>
        <w:rPr>
          <w:rFonts w:ascii="Times New Roman" w:eastAsia="Times New Roman" w:hAnsi="Times New Roman" w:cs="Times New Roman"/>
          <w:kern w:val="0"/>
          <w:lang w:eastAsia="en-IN"/>
        </w:rPr>
        <w:t>Fungal Diversity</w:t>
      </w:r>
      <w:r>
        <w:rPr>
          <w:rFonts w:ascii="Times New Roman" w:eastAsia="Times New Roman" w:hAnsi="Times New Roman" w:cs="Times New Roman"/>
          <w:b/>
          <w:bCs/>
          <w:kern w:val="0"/>
          <w:lang w:eastAsia="en-IN"/>
        </w:rPr>
        <w:t xml:space="preserve">;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Edible &amp; Medicinal Mushrooms, </w:t>
      </w:r>
      <w:proofErr w:type="spellStart"/>
      <w:r>
        <w:rPr>
          <w:rFonts w:ascii="Times New Roman" w:eastAsia="Times New Roman" w:hAnsi="Times New Roman" w:cs="Times New Roman"/>
          <w:kern w:val="0"/>
          <w:lang w:eastAsia="en-IN"/>
        </w:rPr>
        <w:t>Mycoremediation</w:t>
      </w:r>
      <w:proofErr w:type="spellEnd"/>
      <w:r>
        <w:rPr>
          <w:rFonts w:ascii="Times New Roman" w:eastAsia="Times New Roman" w:hAnsi="Times New Roman" w:cs="Times New Roman"/>
          <w:kern w:val="0"/>
          <w:lang w:eastAsia="en-IN"/>
        </w:rPr>
        <w:t>; Future Food; Sustainability</w:t>
      </w:r>
    </w:p>
    <w:p w14:paraId="70CDD334" w14:textId="77777777" w:rsidR="00235AF1" w:rsidRDefault="00235AF1">
      <w:pPr>
        <w:spacing w:after="0" w:line="360" w:lineRule="auto"/>
        <w:ind w:left="90" w:hanging="90"/>
        <w:jc w:val="both"/>
        <w:outlineLvl w:val="1"/>
        <w:rPr>
          <w:rFonts w:ascii="Times New Roman" w:eastAsia="Times New Roman" w:hAnsi="Times New Roman" w:cs="Times New Roman"/>
          <w:kern w:val="0"/>
          <w:lang w:eastAsia="en-IN"/>
        </w:rPr>
      </w:pPr>
    </w:p>
    <w:p w14:paraId="232C5CE4" w14:textId="77777777" w:rsidR="00235AF1" w:rsidRDefault="00182E67">
      <w:pPr>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br w:type="page"/>
      </w:r>
    </w:p>
    <w:p w14:paraId="77F458FD"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lastRenderedPageBreak/>
        <w:t>Introduction</w:t>
      </w:r>
    </w:p>
    <w:p w14:paraId="7406CAA8"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Fungal organisms inhabit nearly every terrestrial and many aquatic environments, forming an independent biological kingdom that is critical to ecosystem stability and the functioning of global nutrient cycles (1,3). Unlike plants and animals, fungi possess unique physiological strategies that enable them to decompose complex organic substrates, form mutualistic associations with plants, regulate soil processes, and produce a diverse array of biochemical compounds (2,4). Their diversity remains vastly underestimated. While early assessments placed global fungal richness at roughly 1.5 million species, improved molecular methods and large-scale ecological datasets now suggest that the actual number may exceed three million. Despite this magnitude, fewer than 150,000 species have been formally identified, illustrating the enormous extent of undocumented fungal life (5,11). Mushrooms represent one of the most observable components of the fungal kingdom. They produce conspicuous fruiting bodies, or sporocarps, that appear seasonally across forest floors, decomposing logs, grasslands, and agroecosystems. These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primarily belong to the Basidiomycota, with notable representatives in the Ascomycota, such as morels and truffles (6,12). Their roles extend far beyond visible reproduction. Many organisms are responsible for lignin and cellulose degradation, mycorrhizal nutrient exchange, pathogenic interactions with plants and insects, and maintaining soil structure. Their ecological functions have a direct influence on carbon dynamics, plant diversity, and forest resilience.</w:t>
      </w:r>
    </w:p>
    <w:p w14:paraId="43998CD6" w14:textId="77777777" w:rsidR="00235AF1" w:rsidRDefault="00235AF1">
      <w:pPr>
        <w:spacing w:after="0" w:line="360" w:lineRule="auto"/>
        <w:jc w:val="both"/>
        <w:rPr>
          <w:rFonts w:ascii="Times New Roman" w:eastAsia="Times New Roman" w:hAnsi="Times New Roman" w:cs="Times New Roman"/>
          <w:kern w:val="0"/>
          <w:lang w:eastAsia="en-IN"/>
        </w:rPr>
      </w:pPr>
    </w:p>
    <w:p w14:paraId="74BCC6AE"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India offers a vibrant landscape for examining fungal diversity (7,13). Its varied ecosystems, ranging from tropical rainforests and deciduous woodlands to alpine meadows and agroforestry systems, support large but insufficiently studied macrofungal communities. Surveys across the Western Ghats and the Eastern Himalaya have documented hundreds of mushroom species, often including new regional or global records. Many remote regions, particularly in Northeast India and central tribal landscapes, remain unexplored, suggesting that national fungal diversity may be significantly higher than current estimates (8,14). The importance of mushrooms extends beyond ecological roles. Globally, mushroom cultivation has evolved into a significant agricultural sector, providing high-nutrient food and substantial economic value (9,15). In India, mushroom farming contributes to rural income generation, women-led entrepreneurship, and sustainable management of agricultural residues. At the same time, medicinal mushrooms are gaining prominence in pharmaceutical and nutraceutical research due to their bioactive compounds (10,16). </w:t>
      </w:r>
      <w:r>
        <w:rPr>
          <w:rFonts w:ascii="Times New Roman" w:hAnsi="Times New Roman" w:cs="Times New Roman"/>
        </w:rPr>
        <w:t xml:space="preserve">Since the early 2000s, India has experienced a marked and sustained expansion in commercial mushroom production. The sector began exhibiting exponential </w:t>
      </w:r>
      <w:r>
        <w:rPr>
          <w:rFonts w:ascii="Times New Roman" w:hAnsi="Times New Roman" w:cs="Times New Roman"/>
        </w:rPr>
        <w:lastRenderedPageBreak/>
        <w:t xml:space="preserve">growth at the turn of the century, driven by improved cultivation technologies, greater market awareness and government-supported entrepreneurship. By 2010, national production had reached approximately 113,000 tonnes, reflecting a significant increase over the preceding decade. This upward trajectory continued, with output rising to about 129,000 tonnes by 2015 as adoption of scientific cultivation practices became more widespread (73). </w:t>
      </w:r>
      <w:r>
        <w:rPr>
          <w:rFonts w:ascii="Times New Roman" w:eastAsia="Times New Roman" w:hAnsi="Times New Roman" w:cs="Times New Roman"/>
          <w:kern w:val="0"/>
          <w:lang w:eastAsia="en-IN"/>
        </w:rPr>
        <w:t>The most pronounced acceleration occurred during the 2020s. Production increased from nearly 242,000 tonnes in 2020 to an estimated 348,000 tonnes in 2023 (</w:t>
      </w:r>
      <w:r>
        <w:rPr>
          <w:rFonts w:ascii="Times New Roman" w:eastAsia="Times New Roman" w:hAnsi="Times New Roman" w:cs="Times New Roman"/>
          <w:color w:val="0070C0"/>
          <w:kern w:val="0"/>
          <w:lang w:eastAsia="en-IN"/>
        </w:rPr>
        <w:t>Fig. 1</w:t>
      </w:r>
      <w:r>
        <w:rPr>
          <w:rFonts w:ascii="Times New Roman" w:eastAsia="Times New Roman" w:hAnsi="Times New Roman" w:cs="Times New Roman"/>
          <w:kern w:val="0"/>
          <w:lang w:eastAsia="en-IN"/>
        </w:rPr>
        <w:t>). This sharp rise highlights the growing demand for mushrooms as a nutritious food, the rapid expansion of small and medium-scale enterprises, and the widespread adoption of technologically advanced production systems (73).</w:t>
      </w:r>
    </w:p>
    <w:p w14:paraId="091EF25B" w14:textId="77777777" w:rsidR="00235AF1" w:rsidRDefault="00182E67">
      <w:pPr>
        <w:spacing w:after="0" w:line="360" w:lineRule="auto"/>
        <w:jc w:val="center"/>
        <w:rPr>
          <w:rFonts w:ascii="Times New Roman" w:eastAsia="Times New Roman" w:hAnsi="Times New Roman" w:cs="Times New Roman"/>
          <w:kern w:val="0"/>
          <w:lang w:eastAsia="en-IN"/>
        </w:rPr>
      </w:pPr>
      <w:r>
        <w:rPr>
          <w:rFonts w:ascii="Times New Roman" w:eastAsia="Times New Roman" w:hAnsi="Times New Roman" w:cs="Times New Roman"/>
          <w:noProof/>
          <w:kern w:val="0"/>
          <w:lang w:eastAsia="en-IN"/>
        </w:rPr>
        <w:drawing>
          <wp:inline distT="0" distB="0" distL="0" distR="0" wp14:anchorId="4CEBAA30" wp14:editId="07ECBE98">
            <wp:extent cx="4419686" cy="3600972"/>
            <wp:effectExtent l="19050" t="19050" r="19050" b="19050"/>
            <wp:docPr id="10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srcRect/>
                    <a:stretch/>
                  </pic:blipFill>
                  <pic:spPr>
                    <a:xfrm>
                      <a:off x="0" y="0"/>
                      <a:ext cx="4419686" cy="3600972"/>
                    </a:xfrm>
                    <a:prstGeom prst="rect">
                      <a:avLst/>
                    </a:prstGeom>
                    <a:ln w="9525" cap="flat" cmpd="sng">
                      <a:solidFill>
                        <a:srgbClr val="000000"/>
                      </a:solidFill>
                      <a:prstDash val="solid"/>
                      <a:round/>
                      <a:headEnd/>
                      <a:tailEnd/>
                    </a:ln>
                  </pic:spPr>
                </pic:pic>
              </a:graphicData>
            </a:graphic>
          </wp:inline>
        </w:drawing>
      </w:r>
    </w:p>
    <w:p w14:paraId="6C82586C" w14:textId="77777777" w:rsidR="00AB7E79" w:rsidRDefault="00182E67">
      <w:pPr>
        <w:spacing w:after="0" w:line="360" w:lineRule="auto"/>
        <w:jc w:val="both"/>
        <w:rPr>
          <w:rFonts w:ascii="Times New Roman" w:hAnsi="Times New Roman" w:cs="Times New Roman"/>
        </w:rPr>
      </w:pPr>
      <w:r>
        <w:rPr>
          <w:rFonts w:ascii="Times New Roman" w:hAnsi="Times New Roman" w:cs="Times New Roman"/>
          <w:b/>
          <w:bCs/>
        </w:rPr>
        <w:t xml:space="preserve">Figure 1. </w:t>
      </w:r>
      <w:r>
        <w:rPr>
          <w:rFonts w:ascii="Times New Roman" w:hAnsi="Times New Roman" w:cs="Times New Roman"/>
        </w:rPr>
        <w:t>Trend in mushroom production in India across different years (2000 – 2023, square-root–transformed values).</w:t>
      </w:r>
    </w:p>
    <w:p w14:paraId="03444B54" w14:textId="4BE6B388" w:rsidR="00235AF1" w:rsidRDefault="00182E67">
      <w:pPr>
        <w:spacing w:after="0" w:line="360" w:lineRule="auto"/>
        <w:jc w:val="both"/>
        <w:rPr>
          <w:rFonts w:ascii="Times New Roman" w:hAnsi="Times New Roman" w:cs="Times New Roman"/>
        </w:rPr>
      </w:pPr>
      <w:r>
        <w:rPr>
          <w:rFonts w:ascii="Times New Roman" w:hAnsi="Times New Roman" w:cs="Times New Roman"/>
        </w:rPr>
        <w:t xml:space="preserve"> Bar graph representing the temporal trend of mushroom production in India for the years 2000 (44000 tonnes), 2010 (113000 tonnes), 2020 (242000 tonnes), 2022 (315000 tonnes) and 2023 (348000 tonnes), source FAOSTAT (2024). The plotted values correspond to the square roots of the actual production data (in tonnes), shown with mean values and standard error bars. The dotted trend line indicates a consistent increase in production over time, reflecting the growth of the Indian mushroom cultivation sector.</w:t>
      </w:r>
    </w:p>
    <w:p w14:paraId="6E0A86D1" w14:textId="77777777" w:rsidR="00235AF1" w:rsidRDefault="00235AF1">
      <w:pPr>
        <w:spacing w:after="0" w:line="360" w:lineRule="auto"/>
        <w:jc w:val="both"/>
        <w:rPr>
          <w:rFonts w:ascii="Times New Roman" w:hAnsi="Times New Roman" w:cs="Times New Roman"/>
        </w:rPr>
      </w:pPr>
    </w:p>
    <w:p w14:paraId="24E2EDB3"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lastRenderedPageBreak/>
        <w:t>Despite their importance, fungi remain underrepresented in conservation policies and scientific priorities. Threats such as deforestation, climate-driven shifts in rainfall and temperature, soil pollution and uncontrolled wild harvesting increasingly endanger fungal habitats. Recognition of fungi within biodiversity strategies, ecological monitoring programs, and climate adaptation planning remains inadequate (11,17). This review examines fungal diversity, with a focus on mushrooms, and provides an integrated understanding of their taxonomy, ecology, distribution and applications. It also highlights the contributions of mushrooms to food systems, medicine, soil health and bioeconomic innovation, while identifying urgent research and conservation priorities, particularly in the Indian context (12,18).</w:t>
      </w:r>
    </w:p>
    <w:p w14:paraId="30C5BA7B" w14:textId="77777777" w:rsidR="00235AF1" w:rsidRDefault="00235AF1">
      <w:pPr>
        <w:spacing w:after="0" w:line="360" w:lineRule="auto"/>
        <w:jc w:val="both"/>
        <w:rPr>
          <w:rFonts w:ascii="Times New Roman" w:eastAsia="Times New Roman" w:hAnsi="Times New Roman" w:cs="Times New Roman"/>
          <w:kern w:val="0"/>
          <w:lang w:eastAsia="en-IN"/>
        </w:rPr>
      </w:pPr>
    </w:p>
    <w:p w14:paraId="2C8FBAFB" w14:textId="77777777" w:rsidR="00235AF1" w:rsidRDefault="00182E67">
      <w:pPr>
        <w:pStyle w:val="ListParagraph"/>
        <w:numPr>
          <w:ilvl w:val="0"/>
          <w:numId w:val="1"/>
        </w:num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b/>
          <w:bCs/>
          <w:kern w:val="36"/>
          <w:lang w:eastAsia="en-IN"/>
        </w:rPr>
        <w:t>Concept and measurement of fungal diversity</w:t>
      </w:r>
    </w:p>
    <w:p w14:paraId="2104EECD"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Fungal diversity refers to the total variety of fungal life within an ecosystem, encompassing taxonomic, genetic, and functional variation. Understanding this diversity is crucial because fungi regulate a range of essential processes, including decomposition, nutrient cycling, symbiosis and soil aggregation, which support plant and animal communities. Despite their importance, quantifying fungal diversity remains challenging due to the predominantly microscopic nature of many fungi, their sporadic or environment-specific fruiting, and their frequent occurrence within soil, wood, litter or host tissues. Consequently, the documented fraction of fungal richness represents only a small proportion of the actual global diversity (14,19). Early global estimates of fungal richness were based on ratios of plant species to fungal species, producing an approximate estimate of 1.5 million fungal species. Such estimates were limited because they assumed uniform host specificity and did not incorporate ecological variability or molecular evidence. With the advent of DNA-based tools, global estimates have undergone considerable revision. Modern analyses integrating high-throughput sequencing, host–fungus associations, and climate-linked modelling suggest a global fungal diversity of 2.2–3.8 million species. Environmental DNA datasets reveal an even wider range, showing that many fungi may never produce identifiable fruiting bodies and thus remain unknown without the use of molecular methods (16,20).</w:t>
      </w:r>
    </w:p>
    <w:p w14:paraId="5549EA1D" w14:textId="77777777" w:rsidR="00235AF1" w:rsidRDefault="00235AF1">
      <w:pPr>
        <w:spacing w:after="0" w:line="360" w:lineRule="auto"/>
        <w:jc w:val="both"/>
        <w:outlineLvl w:val="0"/>
        <w:rPr>
          <w:rFonts w:ascii="Times New Roman" w:hAnsi="Times New Roman" w:cs="Times New Roman"/>
        </w:rPr>
      </w:pPr>
    </w:p>
    <w:p w14:paraId="0FA74ADB"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 xml:space="preserve">The measurement of fungal diversity begins with classical field surveys, which remain essential for documenting macrofungal communities across forests, grasslands, plantations, and agroecosystems (21,22). These surveys provide the morphological material necessary for identification, including characters of the cap, gills, stipe, spores, hyphal structures and microanatomy (23,24). However, morphology alone is often insufficient, especially for </w:t>
      </w:r>
      <w:r>
        <w:rPr>
          <w:rFonts w:ascii="Times New Roman" w:hAnsi="Times New Roman" w:cs="Times New Roman"/>
        </w:rPr>
        <w:lastRenderedPageBreak/>
        <w:t>differentiating cryptic species or taxa exhibiting strong phenotypic plasticity. Culture-based methods offer an alternative perspective by isolating fungi on selective or nutrient-rich media (33). Pure cultures allow for controlled studies of growth rate, temperature tolerance, enzyme production, and secondary metabolite synthesis (34). However, many mushroom-forming fungi are difficult or impossible to culture, especially ectomycorrhizal species that depend on specific plant partners. Culture collections, although valuable, therefore represent only a limited fraction of actual fungal diversity (33,34).</w:t>
      </w:r>
    </w:p>
    <w:p w14:paraId="1FEF71C0" w14:textId="77777777" w:rsidR="00235AF1" w:rsidRDefault="00235AF1">
      <w:pPr>
        <w:spacing w:after="0" w:line="360" w:lineRule="auto"/>
        <w:jc w:val="both"/>
        <w:outlineLvl w:val="0"/>
        <w:rPr>
          <w:rFonts w:ascii="Times New Roman" w:hAnsi="Times New Roman" w:cs="Times New Roman"/>
        </w:rPr>
      </w:pPr>
    </w:p>
    <w:p w14:paraId="3FEBA373"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The most transformative advances in fungal assessment have come from the use of molecular tools (26,29). DNA barcoding using the internal transcribed spacer (ITS) region is now the standard for species identification. Supplementary loci, such as LSU, SSU, RPB1, RPB2 and TEF1-α, further strengthen phylogenetic resolution for deeper evolutionary analyses (23,28). Environmental DNA sequencing has expanded detection beyond visible sporocarps, revealing thousands of fungal taxa within a single gram of soil, roots, litter, or air samples. Metabarcoding approaches have revealed extensive networks of saprotrophic, mycorrhizal, endophytic, and parasitic fungi, uncovering large groups of ‘dark taxa’ known only from sequence data (29–32). Metagenomics and genome-resolved analyses extend beyond identification to functional characterisation. These approaches identify genes involved in lignin degradation, nitrogen cycling, pathogenesis, and secondary metabolite biosynthesis while also enabling reconstruction of microbial trophic interactions and ecosystem functions (33,35). Stable isotope analyses further elucidate fungal trophic strategies by distinguishing saprotrophic from mycorrhizal resource acquisition patterns (34,36).</w:t>
      </w:r>
    </w:p>
    <w:p w14:paraId="4DEA3E4E" w14:textId="77777777" w:rsidR="00235AF1" w:rsidRDefault="00235AF1">
      <w:pPr>
        <w:spacing w:after="0" w:line="360" w:lineRule="auto"/>
        <w:jc w:val="both"/>
        <w:outlineLvl w:val="0"/>
        <w:rPr>
          <w:rFonts w:ascii="Times New Roman" w:hAnsi="Times New Roman" w:cs="Times New Roman"/>
        </w:rPr>
      </w:pPr>
    </w:p>
    <w:p w14:paraId="2E6513C6"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 xml:space="preserve">In India, fungal diversity assessments still rely heavily on sporocarp-based field surveys across forested regions, tea estates, plantations, and sacred groves. Although DNA sequencing is increasingly being incorporated, molecular integration remains slower in regions with less advanced mycological infrastructure. Consequently, the gap between documented and actual fungal richness is substantial. Expanding molecular capacity, establishing curated national reference libraries, and fostering coordinated research networks are crucial steps for enhancing national-scale assessments of fungal diversity (36,38). Overall, fungal diversity assessment requires an integrated approach that combines morphological examination, molecular tools, ecological sampling, and functional genomics. As methodological capabilities expand, fungal research continues to reveal new dimensions of diversity and reinforces the understanding that </w:t>
      </w:r>
      <w:r>
        <w:rPr>
          <w:rFonts w:ascii="Times New Roman" w:hAnsi="Times New Roman" w:cs="Times New Roman"/>
        </w:rPr>
        <w:lastRenderedPageBreak/>
        <w:t>visible mushrooms represent only a small portion of an immense, largely unexplored kingdom (39,41).</w:t>
      </w:r>
    </w:p>
    <w:p w14:paraId="76B459CF" w14:textId="77777777" w:rsidR="00235AF1" w:rsidRDefault="00235AF1">
      <w:pPr>
        <w:spacing w:after="0" w:line="360" w:lineRule="auto"/>
        <w:jc w:val="both"/>
        <w:outlineLvl w:val="0"/>
        <w:rPr>
          <w:rFonts w:ascii="Times New Roman" w:eastAsia="Times New Roman" w:hAnsi="Times New Roman" w:cs="Times New Roman"/>
          <w:kern w:val="0"/>
          <w:lang w:eastAsia="en-IN"/>
        </w:rPr>
      </w:pPr>
    </w:p>
    <w:p w14:paraId="7FE653F4"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Taxonomy and systematics of mushrooms</w:t>
      </w:r>
    </w:p>
    <w:p w14:paraId="422FBE49" w14:textId="77777777" w:rsidR="00235AF1" w:rsidRDefault="00182E67">
      <w:p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kern w:val="0"/>
          <w:lang w:eastAsia="en-IN"/>
        </w:rPr>
        <w:t>Taxonomy and systematics provide the framework for classifying, naming, and understanding the diversity of fungi. Mushrooms, although visually familiar, occupy a phylogenetically complex space within the fungal kingdom. Their classification has undergone significant revisions in light of advances in microscopy, molecular phylogenetics, and genomic sequencing (43). These developments have reshaped the understanding of relationships among lineages, clarified species boundaries, and revealed substantial cryptic diversity (27,32).</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 xml:space="preserve">Most mushroom-forming fungi belong to the phylum Basidiomycota, which includes gilled mushrooms, boletes, </w:t>
      </w:r>
      <w:proofErr w:type="spellStart"/>
      <w:r>
        <w:rPr>
          <w:rFonts w:ascii="Times New Roman" w:eastAsia="Times New Roman" w:hAnsi="Times New Roman" w:cs="Times New Roman"/>
          <w:kern w:val="0"/>
          <w:lang w:eastAsia="en-IN"/>
        </w:rPr>
        <w:t>polypores</w:t>
      </w:r>
      <w:proofErr w:type="spellEnd"/>
      <w:r>
        <w:rPr>
          <w:rFonts w:ascii="Times New Roman" w:eastAsia="Times New Roman" w:hAnsi="Times New Roman" w:cs="Times New Roman"/>
          <w:kern w:val="0"/>
          <w:lang w:eastAsia="en-IN"/>
        </w:rPr>
        <w:t xml:space="preserve">, puffballs, chanterelles and jelly fungi. The Basidiomycota are characterized by the production of basidiospores on specialized structures known as basidia (33,35). Within this phylum, the order Agaricales is the most species-rich and contains many familiar genera, such as </w:t>
      </w:r>
      <w:proofErr w:type="spellStart"/>
      <w:r>
        <w:rPr>
          <w:rFonts w:ascii="Times New Roman" w:eastAsia="Times New Roman" w:hAnsi="Times New Roman" w:cs="Times New Roman"/>
          <w:i/>
          <w:iCs/>
          <w:kern w:val="0"/>
          <w:lang w:eastAsia="en-IN"/>
        </w:rPr>
        <w:t>Agaricus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Laccaria</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Pleurotus</w:t>
      </w:r>
      <w:proofErr w:type="spellEnd"/>
      <w:r>
        <w:rPr>
          <w:rFonts w:ascii="Times New Roman" w:eastAsia="Times New Roman" w:hAnsi="Times New Roman" w:cs="Times New Roman"/>
          <w:kern w:val="0"/>
          <w:lang w:eastAsia="en-IN"/>
        </w:rPr>
        <w:t xml:space="preserve"> (32,34). The Agaricales exhibit enormous morphological variability, making them both ecologically diverse and taxonomically challenging. Other significant orders include </w:t>
      </w:r>
      <w:proofErr w:type="spellStart"/>
      <w:r>
        <w:rPr>
          <w:rFonts w:ascii="Times New Roman" w:eastAsia="Times New Roman" w:hAnsi="Times New Roman" w:cs="Times New Roman"/>
          <w:kern w:val="0"/>
          <w:lang w:eastAsia="en-IN"/>
        </w:rPr>
        <w:t>Boletales</w:t>
      </w:r>
      <w:proofErr w:type="spellEnd"/>
      <w:r>
        <w:rPr>
          <w:rFonts w:ascii="Times New Roman" w:eastAsia="Times New Roman" w:hAnsi="Times New Roman" w:cs="Times New Roman"/>
          <w:kern w:val="0"/>
          <w:lang w:eastAsia="en-IN"/>
        </w:rPr>
        <w:t xml:space="preserve">, characterized by sponge-like pores instead of gills, </w:t>
      </w:r>
      <w:proofErr w:type="spellStart"/>
      <w:r>
        <w:rPr>
          <w:rFonts w:ascii="Times New Roman" w:eastAsia="Times New Roman" w:hAnsi="Times New Roman" w:cs="Times New Roman"/>
          <w:kern w:val="0"/>
          <w:lang w:eastAsia="en-IN"/>
        </w:rPr>
        <w:t>Russulales</w:t>
      </w:r>
      <w:proofErr w:type="spellEnd"/>
      <w:r>
        <w:rPr>
          <w:rFonts w:ascii="Times New Roman" w:eastAsia="Times New Roman" w:hAnsi="Times New Roman" w:cs="Times New Roman"/>
          <w:kern w:val="0"/>
          <w:lang w:eastAsia="en-IN"/>
        </w:rPr>
        <w:t xml:space="preserve">, which contain brittle-fleshed mushrooms with unique amyloid spores, </w:t>
      </w:r>
      <w:proofErr w:type="spellStart"/>
      <w:r>
        <w:rPr>
          <w:rFonts w:ascii="Times New Roman" w:eastAsia="Times New Roman" w:hAnsi="Times New Roman" w:cs="Times New Roman"/>
          <w:kern w:val="0"/>
          <w:lang w:eastAsia="en-IN"/>
        </w:rPr>
        <w:t>Polyporales</w:t>
      </w:r>
      <w:proofErr w:type="spellEnd"/>
      <w:r>
        <w:rPr>
          <w:rFonts w:ascii="Times New Roman" w:eastAsia="Times New Roman" w:hAnsi="Times New Roman" w:cs="Times New Roman"/>
          <w:kern w:val="0"/>
          <w:lang w:eastAsia="en-IN"/>
        </w:rPr>
        <w:t xml:space="preserve">, which dominate wood decay processes and </w:t>
      </w:r>
      <w:proofErr w:type="spellStart"/>
      <w:r>
        <w:rPr>
          <w:rFonts w:ascii="Times New Roman" w:eastAsia="Times New Roman" w:hAnsi="Times New Roman" w:cs="Times New Roman"/>
          <w:kern w:val="0"/>
          <w:lang w:eastAsia="en-IN"/>
        </w:rPr>
        <w:t>Cantharellales</w:t>
      </w:r>
      <w:proofErr w:type="spellEnd"/>
      <w:r>
        <w:rPr>
          <w:rFonts w:ascii="Times New Roman" w:eastAsia="Times New Roman" w:hAnsi="Times New Roman" w:cs="Times New Roman"/>
          <w:kern w:val="0"/>
          <w:lang w:eastAsia="en-IN"/>
        </w:rPr>
        <w:t>, which include chanterelles and specific mycorrhizal lineages (30,32).</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Mushroom species also exist within the Ascomycota, though these are fewer in number. The most notable are the morels (</w:t>
      </w:r>
      <w:r>
        <w:rPr>
          <w:rFonts w:ascii="Times New Roman" w:eastAsia="Times New Roman" w:hAnsi="Times New Roman" w:cs="Times New Roman"/>
          <w:i/>
          <w:iCs/>
          <w:kern w:val="0"/>
          <w:lang w:eastAsia="en-IN"/>
        </w:rPr>
        <w:t>Morchella</w:t>
      </w:r>
      <w:r>
        <w:rPr>
          <w:rFonts w:ascii="Times New Roman" w:eastAsia="Times New Roman" w:hAnsi="Times New Roman" w:cs="Times New Roman"/>
          <w:kern w:val="0"/>
          <w:lang w:eastAsia="en-IN"/>
        </w:rPr>
        <w:t>), actual truffles (</w:t>
      </w:r>
      <w:r>
        <w:rPr>
          <w:rFonts w:ascii="Times New Roman" w:eastAsia="Times New Roman" w:hAnsi="Times New Roman" w:cs="Times New Roman"/>
          <w:i/>
          <w:iCs/>
          <w:kern w:val="0"/>
          <w:lang w:eastAsia="en-IN"/>
        </w:rPr>
        <w:t>Tuber</w:t>
      </w:r>
      <w:r>
        <w:rPr>
          <w:rFonts w:ascii="Times New Roman" w:eastAsia="Times New Roman" w:hAnsi="Times New Roman" w:cs="Times New Roman"/>
          <w:kern w:val="0"/>
          <w:lang w:eastAsia="en-IN"/>
        </w:rPr>
        <w:t>), and cup fungi belonging to the order Pezizales (35,37). These ascomycetes play distinct ecological and economic roles and are essential components of forest ecosystems and global gourmet food markets (38,39).</w:t>
      </w:r>
    </w:p>
    <w:p w14:paraId="3CA3E018"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75D8CFEF" w14:textId="77777777" w:rsidR="00235AF1" w:rsidRDefault="00182E67">
      <w:p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kern w:val="0"/>
          <w:lang w:eastAsia="en-IN"/>
        </w:rPr>
        <w:t>Historically, fungal taxonomy relied primarily on external morphological traits such as cap shape, gill attachment, spore colour, stipe characteristics, and texture (40,42). Microscopic examination of spores, cystidia, basidia, and hyphal systems provided further assistance in identification. However, morphology alone often obscures authentic evolutionary relationships because many characters have evolved multiple times independently (43,44). As a result, species that appeared similar were usually placed in unrelated lineages, while species that looked different were occasionally found to be close relatives (45,46).</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 xml:space="preserve">The adoption of molecular phylogenetics has resolved many of these inconsistencies. Sequencing of ribosomal DNA regions, particularly the ITS, LSU and SSU, along with protein-coding genes, has </w:t>
      </w:r>
      <w:r>
        <w:rPr>
          <w:rFonts w:ascii="Times New Roman" w:eastAsia="Times New Roman" w:hAnsi="Times New Roman" w:cs="Times New Roman"/>
          <w:kern w:val="0"/>
          <w:lang w:eastAsia="en-IN"/>
        </w:rPr>
        <w:lastRenderedPageBreak/>
        <w:t xml:space="preserve">enabled a more accurate reconstruction of evolutionary relationships (47,48). These analyses have demonstrated that several morphologically defined genera were polyphyletic, leading to the reclassification and restructuring of families and orders (49,50). For example, traditional concepts of </w:t>
      </w:r>
      <w:proofErr w:type="spellStart"/>
      <w:r>
        <w:rPr>
          <w:rFonts w:ascii="Times New Roman" w:eastAsia="Times New Roman" w:hAnsi="Times New Roman" w:cs="Times New Roman"/>
          <w:i/>
          <w:iCs/>
          <w:kern w:val="0"/>
          <w:lang w:eastAsia="en-IN"/>
        </w:rPr>
        <w:t>Agaricus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Inocybe</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Cortinarius</w:t>
      </w:r>
      <w:proofErr w:type="spellEnd"/>
      <w:r>
        <w:rPr>
          <w:rFonts w:ascii="Times New Roman" w:eastAsia="Times New Roman" w:hAnsi="Times New Roman" w:cs="Times New Roman"/>
          <w:kern w:val="0"/>
          <w:lang w:eastAsia="en-IN"/>
        </w:rPr>
        <w:t xml:space="preserve"> have undergone refinement, while previously overlooked lineages have been elevated to independent genera.</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 xml:space="preserve">Phylogenetic analysis has also revealed extensive cryptic species complexes in which multiple genetically distinct species share similar morphological features. This is particularly common in genera such as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In India, molecular studies have identified several previously unrecognised species of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a genus of edible mushrooms associated with termite colonies. Similarly, investigations into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 a crucial medicinal polypore, have shown that many Indian collections previously identified as </w:t>
      </w:r>
      <w:r>
        <w:rPr>
          <w:rFonts w:ascii="Times New Roman" w:eastAsia="Times New Roman" w:hAnsi="Times New Roman" w:cs="Times New Roman"/>
          <w:i/>
          <w:iCs/>
          <w:kern w:val="0"/>
          <w:lang w:eastAsia="en-IN"/>
        </w:rPr>
        <w:t>Ganoderma lucidum</w:t>
      </w:r>
      <w:r>
        <w:rPr>
          <w:rFonts w:ascii="Times New Roman" w:eastAsia="Times New Roman" w:hAnsi="Times New Roman" w:cs="Times New Roman"/>
          <w:kern w:val="0"/>
          <w:lang w:eastAsia="en-IN"/>
        </w:rPr>
        <w:t xml:space="preserve"> actually belong to distinct species (51,52).</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Systematics has also increasingly emphasised the integration of morphological, ecological and molecular data. Ecological traits, such as host specificity, substrate preference, fruiting phenology and enzymatic capacity, contribute valuable information for species delimitation. Advances in genome sequencing, particularly whole-genome and comparative genomics, have begun to uncover deeper evolutionary patterns within major macrofungal lineages. Genomic insights have clarified the transitions between saprotrophic and mycorrhizal lifestyles, identified genes responsible for lignin degradation, and illuminated the mechanisms underlying the production of secondary metabolites (54,55).</w:t>
      </w:r>
    </w:p>
    <w:p w14:paraId="19ADEE26"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4095F80E" w14:textId="77777777" w:rsidR="00235AF1" w:rsidRDefault="00182E67">
      <w:pPr>
        <w:spacing w:after="0" w:line="360" w:lineRule="auto"/>
        <w:jc w:val="both"/>
        <w:outlineLvl w:val="0"/>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In the Indian context, taxonomic research remains uneven. Certain groups, such as </w:t>
      </w:r>
      <w:proofErr w:type="spellStart"/>
      <w:r>
        <w:rPr>
          <w:rFonts w:ascii="Times New Roman" w:eastAsia="Times New Roman" w:hAnsi="Times New Roman" w:cs="Times New Roman"/>
          <w:kern w:val="0"/>
          <w:lang w:eastAsia="en-IN"/>
        </w:rPr>
        <w:t>polypores</w:t>
      </w:r>
      <w:proofErr w:type="spellEnd"/>
      <w:r>
        <w:rPr>
          <w:rFonts w:ascii="Times New Roman" w:eastAsia="Times New Roman" w:hAnsi="Times New Roman" w:cs="Times New Roman"/>
          <w:kern w:val="0"/>
          <w:lang w:eastAsia="en-IN"/>
        </w:rPr>
        <w:t xml:space="preserve"> and agarics of the Western Ghats, have received sustained attention, while others remain poorly documented due to limited expertise and infrastructure. Regional monographs are emerging, but comprehensive national-level treatments are still lacking. Many newly collected specimens remain unidentified or await molecular confirmation due to gaps in sequencing resources and reference databases (56,57).</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Systematics is crucial for comprehending ecological interactions, biogeographic patterns, and the potential economic applications of mushrooms. Accurate taxonomic knowledge supports the development of sustainable harvesting guidelines, conservation strategies and cultivation practices. As molecular tools become more accessible and collaborative networks expand, the taxonomy of mushroom-forming fungi will continue to refine understanding of one of the planet’s most complex and ecologically significant groups (58,59).</w:t>
      </w:r>
    </w:p>
    <w:p w14:paraId="5459F92B" w14:textId="77777777" w:rsidR="00235AF1" w:rsidRDefault="00235AF1">
      <w:pPr>
        <w:spacing w:after="0" w:line="360" w:lineRule="auto"/>
        <w:jc w:val="both"/>
        <w:outlineLvl w:val="0"/>
        <w:rPr>
          <w:rFonts w:ascii="Times New Roman" w:eastAsia="Times New Roman" w:hAnsi="Times New Roman" w:cs="Times New Roman"/>
          <w:kern w:val="0"/>
          <w:lang w:eastAsia="en-IN"/>
        </w:rPr>
      </w:pPr>
    </w:p>
    <w:p w14:paraId="1AB8B66C" w14:textId="77777777" w:rsidR="00235AF1" w:rsidRDefault="00182E67">
      <w:pPr>
        <w:pStyle w:val="ListParagraph"/>
        <w:numPr>
          <w:ilvl w:val="0"/>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Global mushroom production</w:t>
      </w:r>
    </w:p>
    <w:p w14:paraId="3B3B11DF"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lastRenderedPageBreak/>
        <w:t>Global mushroom production has experienced sustained growth over the past several decades. Asia dominates the global market, accounting for the majority of production, consumption, and export activity (</w:t>
      </w:r>
      <w:r>
        <w:rPr>
          <w:rFonts w:ascii="Times New Roman" w:eastAsia="Times New Roman" w:hAnsi="Times New Roman" w:cs="Times New Roman"/>
          <w:color w:val="0070C0"/>
          <w:kern w:val="0"/>
          <w:lang w:eastAsia="en-IN"/>
        </w:rPr>
        <w:t>Fig. 2</w:t>
      </w:r>
      <w:r>
        <w:rPr>
          <w:rFonts w:ascii="Times New Roman" w:eastAsia="Times New Roman" w:hAnsi="Times New Roman" w:cs="Times New Roman"/>
          <w:kern w:val="0"/>
          <w:lang w:eastAsia="en-IN"/>
        </w:rPr>
        <w:t xml:space="preserve">). China leads overwhelmingly, producing millions of tonnes annually and cultivating a wide variety of edible mushrooms. This dominance stems from a robust research infrastructure, extensive commercial facilities and longstanding culinary traditions that incorporate mushrooms as staple ingredients (58,59). Different species require distinct production methods. </w:t>
      </w:r>
      <w:r>
        <w:rPr>
          <w:rFonts w:ascii="Times New Roman" w:eastAsia="Times New Roman" w:hAnsi="Times New Roman" w:cs="Times New Roman"/>
          <w:i/>
          <w:iCs/>
          <w:kern w:val="0"/>
          <w:lang w:eastAsia="en-IN"/>
        </w:rPr>
        <w:t>Agaricus bisporus</w:t>
      </w:r>
      <w:r>
        <w:rPr>
          <w:rFonts w:ascii="Times New Roman" w:eastAsia="Times New Roman" w:hAnsi="Times New Roman" w:cs="Times New Roman"/>
          <w:kern w:val="0"/>
          <w:lang w:eastAsia="en-IN"/>
        </w:rPr>
        <w:t xml:space="preserve"> (button mushroom) is cultivated primarily in environmentally controlled facilities using composted substrates. These systems manage temperature, humidity, carbon dioxide levels and aeration to ensure consistent yields. Oyster mushrooms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spp.) represent a more accessible cultivation model. They require minimal infrastructure, grow rapidly on sterilized agricultural residues, and tolerate a broad range of climatic conditions. This adaptability has made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the preferred species for small and medium-scale farmers globally (50,52). Specialty mushrooms, such as shiitake (</w:t>
      </w:r>
      <w:r>
        <w:rPr>
          <w:rFonts w:ascii="Times New Roman" w:eastAsia="Times New Roman" w:hAnsi="Times New Roman" w:cs="Times New Roman"/>
          <w:i/>
          <w:iCs/>
          <w:kern w:val="0"/>
          <w:lang w:eastAsia="en-IN"/>
        </w:rPr>
        <w:t xml:space="preserve">Lentinula </w:t>
      </w:r>
      <w:proofErr w:type="spellStart"/>
      <w:r>
        <w:rPr>
          <w:rFonts w:ascii="Times New Roman" w:eastAsia="Times New Roman" w:hAnsi="Times New Roman" w:cs="Times New Roman"/>
          <w:i/>
          <w:iCs/>
          <w:kern w:val="0"/>
          <w:lang w:eastAsia="en-IN"/>
        </w:rPr>
        <w:t>edodes</w:t>
      </w:r>
      <w:proofErr w:type="spellEnd"/>
      <w:r>
        <w:rPr>
          <w:rFonts w:ascii="Times New Roman" w:eastAsia="Times New Roman" w:hAnsi="Times New Roman" w:cs="Times New Roman"/>
          <w:kern w:val="0"/>
          <w:lang w:eastAsia="en-IN"/>
        </w:rPr>
        <w:t>), enoki (</w:t>
      </w:r>
      <w:proofErr w:type="spellStart"/>
      <w:r>
        <w:rPr>
          <w:rFonts w:ascii="Times New Roman" w:eastAsia="Times New Roman" w:hAnsi="Times New Roman" w:cs="Times New Roman"/>
          <w:i/>
          <w:iCs/>
          <w:kern w:val="0"/>
          <w:lang w:eastAsia="en-IN"/>
        </w:rPr>
        <w:t>Flammulina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filiformis</w:t>
      </w:r>
      <w:proofErr w:type="spellEnd"/>
      <w:r>
        <w:rPr>
          <w:rFonts w:ascii="Times New Roman" w:eastAsia="Times New Roman" w:hAnsi="Times New Roman" w:cs="Times New Roman"/>
          <w:kern w:val="0"/>
          <w:lang w:eastAsia="en-IN"/>
        </w:rPr>
        <w:t>) and king oyster (</w:t>
      </w:r>
      <w:proofErr w:type="spellStart"/>
      <w:r>
        <w:rPr>
          <w:rFonts w:ascii="Times New Roman" w:eastAsia="Times New Roman" w:hAnsi="Times New Roman" w:cs="Times New Roman"/>
          <w:i/>
          <w:iCs/>
          <w:kern w:val="0"/>
          <w:lang w:eastAsia="en-IN"/>
        </w:rPr>
        <w:t>Pleurotus</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eryngii</w:t>
      </w:r>
      <w:proofErr w:type="spellEnd"/>
      <w:r>
        <w:rPr>
          <w:rFonts w:ascii="Times New Roman" w:eastAsia="Times New Roman" w:hAnsi="Times New Roman" w:cs="Times New Roman"/>
          <w:kern w:val="0"/>
          <w:lang w:eastAsia="en-IN"/>
        </w:rPr>
        <w:t>), command premium prices in international markets. Their production systems are increasingly automated, incorporating climate-controlled rooms, substrate inoculation machinery, and advanced post-harvest handling technologies to maintain quality (58,59).</w:t>
      </w:r>
    </w:p>
    <w:p w14:paraId="64295A2C" w14:textId="77777777" w:rsidR="00235AF1" w:rsidRDefault="00182E67">
      <w:pPr>
        <w:spacing w:after="0" w:line="360" w:lineRule="auto"/>
        <w:jc w:val="center"/>
        <w:rPr>
          <w:rFonts w:ascii="Times New Roman" w:eastAsia="Times New Roman" w:hAnsi="Times New Roman" w:cs="Times New Roman"/>
          <w:kern w:val="0"/>
          <w:lang w:eastAsia="en-IN"/>
        </w:rPr>
      </w:pPr>
      <w:r>
        <w:rPr>
          <w:rFonts w:ascii="Times New Roman" w:eastAsia="Times New Roman" w:hAnsi="Times New Roman" w:cs="Times New Roman"/>
          <w:noProof/>
          <w:kern w:val="0"/>
          <w:lang w:eastAsia="en-IN"/>
        </w:rPr>
        <w:drawing>
          <wp:inline distT="0" distB="0" distL="0" distR="0" wp14:anchorId="205887D1" wp14:editId="7F5F120C">
            <wp:extent cx="3943350" cy="3540102"/>
            <wp:effectExtent l="19050" t="19050" r="19050" b="2286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8" cstate="print"/>
                    <a:srcRect/>
                    <a:stretch/>
                  </pic:blipFill>
                  <pic:spPr>
                    <a:xfrm>
                      <a:off x="0" y="0"/>
                      <a:ext cx="3943350" cy="3540102"/>
                    </a:xfrm>
                    <a:prstGeom prst="rect">
                      <a:avLst/>
                    </a:prstGeom>
                    <a:ln w="9525" cap="flat" cmpd="sng">
                      <a:solidFill>
                        <a:srgbClr val="000000"/>
                      </a:solidFill>
                      <a:prstDash val="solid"/>
                      <a:round/>
                      <a:headEnd/>
                      <a:tailEnd/>
                    </a:ln>
                  </pic:spPr>
                </pic:pic>
              </a:graphicData>
            </a:graphic>
          </wp:inline>
        </w:drawing>
      </w:r>
    </w:p>
    <w:p w14:paraId="5C6E8320" w14:textId="77777777" w:rsidR="00AB7E79"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b/>
          <w:bCs/>
          <w:kern w:val="0"/>
          <w:lang w:eastAsia="en-IN"/>
        </w:rPr>
        <w:t xml:space="preserve">Figure 2. </w:t>
      </w:r>
      <w:r>
        <w:rPr>
          <w:rFonts w:ascii="Times New Roman" w:eastAsia="Times New Roman" w:hAnsi="Times New Roman" w:cs="Times New Roman"/>
          <w:kern w:val="0"/>
          <w:lang w:eastAsia="en-IN"/>
        </w:rPr>
        <w:t xml:space="preserve">Global distribution of mushroom production across different continents. </w:t>
      </w:r>
    </w:p>
    <w:p w14:paraId="217532BC" w14:textId="5F87164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A donut chart illustrating the proportional contribution of major world regions to global mushroom production, </w:t>
      </w:r>
      <w:r>
        <w:rPr>
          <w:rFonts w:ascii="Times New Roman" w:hAnsi="Times New Roman" w:cs="Times New Roman"/>
        </w:rPr>
        <w:t>source FAOSTAT (2024)</w:t>
      </w:r>
      <w:r>
        <w:rPr>
          <w:rFonts w:ascii="Times New Roman" w:eastAsia="Times New Roman" w:hAnsi="Times New Roman" w:cs="Times New Roman"/>
          <w:kern w:val="0"/>
          <w:lang w:eastAsia="en-IN"/>
        </w:rPr>
        <w:t xml:space="preserve">. </w:t>
      </w:r>
    </w:p>
    <w:p w14:paraId="28282D97" w14:textId="77777777" w:rsidR="00235AF1" w:rsidRDefault="00235AF1">
      <w:pPr>
        <w:spacing w:after="0" w:line="360" w:lineRule="auto"/>
        <w:jc w:val="both"/>
        <w:rPr>
          <w:rFonts w:ascii="Times New Roman" w:eastAsia="Times New Roman" w:hAnsi="Times New Roman" w:cs="Times New Roman"/>
          <w:kern w:val="0"/>
          <w:lang w:eastAsia="en-IN"/>
        </w:rPr>
      </w:pPr>
    </w:p>
    <w:p w14:paraId="2869C4C9"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According to FAOSTAT (74), global mushroom production increased markedly from 12.65 million tonnes in 2003 to 50.01 million tonnes in 2023, reflecting a compound annual growth rate (CAGR) of 6.98 percent over the decade 2013–2023. China remains the dominant global producer, expanding its output from 10.40 million tonnes in 2003 to 47.15 million tonnes in 2023, with a CAGR of 7.64 percent. Japan exhibited relatively modest growth, increasing from 0.43 to 0.46 million tonnes during the same period, with a compound annual growth rate (CAGR) of 0.50 percent. India exhibited one of the fastest growth rates globally, rising from 0.04 million tonnes in 2003 to 0.35 million tonnes in 2023, corresponding to a CAGR of 12.17 percent. In contrast, production in the United States declined from 0.39 to 0.30 million tonnes (CAGR: 0.41%), while France showed a more pronounced decline with a CAGR of 2.88 percent. Several European countries demonstrated moderate positive growth. Poland increased production from 0.14 to 0.24 million tonnes (CAGR: 3.50%), the Netherlands from 0.26 to 0.21 million tonnes (CAGR: 0.10%), and Spain from 0.13 to 0.16 million tonnes (CAGR: 1.49%). Canada also expanded production from 0.09 to 0.14 million tonnes, with a compound annual growth rate (CAGR) of 2.59 percent. Russia recorded the highest CAGR among the listed countries at 17.98 percent, with production rising from 0.01 to 0.09 million tonnes between 2003 and 2023. This data highlights significant global expansion in mushroom production, with particularly strong growth in Asia and emerging increases in several other regions.</w:t>
      </w:r>
    </w:p>
    <w:p w14:paraId="7CAF1F12" w14:textId="77777777" w:rsidR="00235AF1" w:rsidRDefault="00235AF1">
      <w:pPr>
        <w:spacing w:after="0" w:line="360" w:lineRule="auto"/>
        <w:jc w:val="both"/>
        <w:rPr>
          <w:rFonts w:ascii="Times New Roman" w:eastAsia="Times New Roman" w:hAnsi="Times New Roman" w:cs="Times New Roman"/>
          <w:kern w:val="0"/>
          <w:lang w:eastAsia="en-IN"/>
        </w:rPr>
      </w:pPr>
    </w:p>
    <w:p w14:paraId="6547DD63"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The global market for edible mushrooms reflects shifting consumer preferences. Mushrooms are valued not only for their culinary properties but also for their nutritional and medicinal attributes. Functional mushroom products, including powders, extracts, and supplements, have expanded market demand. This diversification has pushed producers to adopt standardized quality protocols, invest in cold-chain logistics, and comply with international safety and certification requirements (51,52). Despite impressive growth, the mushroom industry faces several challenges. Substrate availability, energy costs for climate control, perishability, and labour-intensive harvesting practices affect production efficiency. Furthermore, contamination by competing fungi or bacteria remains a persistent risk, requiring stringent hygiene practices. Even so, the upward trend in global production suggests that mushrooms will continue to gain prominence in sustainable food systems (41,42).</w:t>
      </w:r>
    </w:p>
    <w:p w14:paraId="110515E1" w14:textId="77777777" w:rsidR="00235AF1" w:rsidRDefault="00235AF1">
      <w:pPr>
        <w:spacing w:after="0" w:line="360" w:lineRule="auto"/>
        <w:jc w:val="both"/>
        <w:rPr>
          <w:rFonts w:ascii="Times New Roman" w:eastAsia="Times New Roman" w:hAnsi="Times New Roman" w:cs="Times New Roman"/>
          <w:kern w:val="0"/>
          <w:lang w:eastAsia="en-IN"/>
        </w:rPr>
      </w:pPr>
    </w:p>
    <w:p w14:paraId="0B251655" w14:textId="77777777" w:rsidR="00235AF1" w:rsidRDefault="00182E67">
      <w:pPr>
        <w:pStyle w:val="ListParagraph"/>
        <w:numPr>
          <w:ilvl w:val="0"/>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Indian mushroom sector</w:t>
      </w:r>
    </w:p>
    <w:p w14:paraId="28D67A32"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lastRenderedPageBreak/>
        <w:t>India’s mushroom industry has grown considerably over the last two decades, but it remains underdeveloped relative to its agricultural capacity and population size. The diversity of agroclimatic zones supports the cultivation of both temperate and tropical mushroom species. However, production is uneven across regions due to variability in infrastructure, training, and market access (42,43). Button mushroom production is concentrated in temperate and subtropical regions such as Himachal Pradesh, Uttarakhand, Haryana and Punjab. These states possess the climatic advantage and infrastructure required to maintain controlled growing environments. Compost preparation, pasteurization, spawning, and casing practices in these regions increasingly follow standardized methodologies that ensure predictable yields (44,45). Tropical mushrooms such as oyster mushrooms and milky mushrooms have gained widespread popularity because they can be cultivated with minimal investment. These species thrive in warm and humid climates common across many Indian states, allowing farmers to grow them year-round using inexpensive materials such as paddy straw, wheat straw, and sawdust. Milky mushroom (</w:t>
      </w:r>
      <w:proofErr w:type="spellStart"/>
      <w:r>
        <w:rPr>
          <w:rFonts w:ascii="Times New Roman" w:eastAsia="Times New Roman" w:hAnsi="Times New Roman" w:cs="Times New Roman"/>
          <w:i/>
          <w:iCs/>
          <w:kern w:val="0"/>
          <w:lang w:eastAsia="en-IN"/>
        </w:rPr>
        <w:t>Calocybe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indica</w:t>
      </w:r>
      <w:proofErr w:type="spellEnd"/>
      <w:r>
        <w:rPr>
          <w:rFonts w:ascii="Times New Roman" w:eastAsia="Times New Roman" w:hAnsi="Times New Roman" w:cs="Times New Roman"/>
          <w:kern w:val="0"/>
          <w:lang w:eastAsia="en-IN"/>
        </w:rPr>
        <w:t>) is especially valuable due to its ability to tolerate high temperatures and its firm texture, which appeals to consumers (45,46).</w:t>
      </w:r>
    </w:p>
    <w:p w14:paraId="471A964C" w14:textId="77777777" w:rsidR="00235AF1" w:rsidRDefault="00235AF1">
      <w:pPr>
        <w:spacing w:after="0" w:line="360" w:lineRule="auto"/>
        <w:jc w:val="both"/>
        <w:rPr>
          <w:rFonts w:ascii="Times New Roman" w:eastAsia="Times New Roman" w:hAnsi="Times New Roman" w:cs="Times New Roman"/>
          <w:kern w:val="0"/>
          <w:lang w:eastAsia="en-IN"/>
        </w:rPr>
      </w:pPr>
    </w:p>
    <w:p w14:paraId="6204BC0C"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In India, the edible mushroom sector has expanded significantly over the past two decades. Despite this progress, per capita mushroom consumption remains lower than in East Asia or Europe, indicating substantial scope for growth. Indian mushroom production is concentrated in states with favourable temperatures or access to controlled-environment facilities, including Himachal Pradesh, Haryana, Punjab, Uttar Pradesh, Tamil Nadu and Odisha. </w:t>
      </w:r>
      <w:r>
        <w:rPr>
          <w:rFonts w:ascii="Times New Roman" w:hAnsi="Times New Roman" w:cs="Times New Roman"/>
        </w:rPr>
        <w:t>In India, commercial mushroom cultivation is dominated by five mushroom species (</w:t>
      </w:r>
      <w:r>
        <w:rPr>
          <w:rFonts w:ascii="Times New Roman" w:hAnsi="Times New Roman" w:cs="Times New Roman"/>
          <w:color w:val="0070C0"/>
        </w:rPr>
        <w:t>Fig. 3</w:t>
      </w:r>
      <w:r>
        <w:rPr>
          <w:rFonts w:ascii="Times New Roman" w:hAnsi="Times New Roman" w:cs="Times New Roman"/>
        </w:rPr>
        <w:t xml:space="preserve">), each adapted to specific </w:t>
      </w:r>
      <w:proofErr w:type="spellStart"/>
      <w:r>
        <w:rPr>
          <w:rFonts w:ascii="Times New Roman" w:hAnsi="Times New Roman" w:cs="Times New Roman"/>
        </w:rPr>
        <w:t>agro</w:t>
      </w:r>
      <w:proofErr w:type="spellEnd"/>
      <w:r>
        <w:rPr>
          <w:rFonts w:ascii="Times New Roman" w:hAnsi="Times New Roman" w:cs="Times New Roman"/>
        </w:rPr>
        <w:t>-climatic conditions and production systems. The button mushroom (</w:t>
      </w:r>
      <w:r>
        <w:rPr>
          <w:rFonts w:ascii="Times New Roman" w:hAnsi="Times New Roman" w:cs="Times New Roman"/>
          <w:i/>
          <w:iCs/>
        </w:rPr>
        <w:t>Agaricus bisporus</w:t>
      </w:r>
      <w:r>
        <w:rPr>
          <w:rFonts w:ascii="Times New Roman" w:hAnsi="Times New Roman" w:cs="Times New Roman"/>
        </w:rPr>
        <w:t>) remains the most widely cultivated species due to its high consumer demand and well-established controlled-environment production technology. Oyster mushrooms (</w:t>
      </w:r>
      <w:r>
        <w:rPr>
          <w:rFonts w:ascii="Times New Roman" w:hAnsi="Times New Roman" w:cs="Times New Roman"/>
          <w:i/>
          <w:iCs/>
        </w:rPr>
        <w:t>Pleurotus</w:t>
      </w:r>
      <w:r>
        <w:rPr>
          <w:rFonts w:ascii="Times New Roman" w:hAnsi="Times New Roman" w:cs="Times New Roman"/>
        </w:rPr>
        <w:t xml:space="preserve"> spp.) represent the second major group, valued for their broad substrate adaptability, low production cost and suitability for small- and medium-scale enterprises (75). Tropical mushrooms, particularly the paddy straw mushroom (</w:t>
      </w:r>
      <w:proofErr w:type="spellStart"/>
      <w:r>
        <w:rPr>
          <w:rFonts w:ascii="Times New Roman" w:hAnsi="Times New Roman" w:cs="Times New Roman"/>
          <w:i/>
          <w:iCs/>
        </w:rPr>
        <w:t>Volvariella</w:t>
      </w:r>
      <w:proofErr w:type="spellEnd"/>
      <w:r>
        <w:rPr>
          <w:rFonts w:ascii="Times New Roman" w:hAnsi="Times New Roman" w:cs="Times New Roman"/>
          <w:i/>
          <w:iCs/>
        </w:rPr>
        <w:t xml:space="preserve"> </w:t>
      </w:r>
      <w:proofErr w:type="spellStart"/>
      <w:r>
        <w:rPr>
          <w:rFonts w:ascii="Times New Roman" w:hAnsi="Times New Roman" w:cs="Times New Roman"/>
          <w:i/>
          <w:iCs/>
        </w:rPr>
        <w:t>volvacea</w:t>
      </w:r>
      <w:proofErr w:type="spellEnd"/>
      <w:r>
        <w:rPr>
          <w:rFonts w:ascii="Times New Roman" w:hAnsi="Times New Roman" w:cs="Times New Roman"/>
        </w:rPr>
        <w:t xml:space="preserve">), are cultivated extensively in warm and humid regions and are known for their rapid growth cycle and compatibility with low-input farming systems. </w:t>
      </w:r>
      <w:r>
        <w:rPr>
          <w:rFonts w:ascii="Times New Roman" w:eastAsia="Times New Roman" w:hAnsi="Times New Roman" w:cs="Times New Roman"/>
          <w:kern w:val="0"/>
          <w:lang w:eastAsia="en-IN"/>
        </w:rPr>
        <w:t>The milky mushroom (</w:t>
      </w:r>
      <w:proofErr w:type="spellStart"/>
      <w:r>
        <w:rPr>
          <w:rFonts w:ascii="Times New Roman" w:eastAsia="Times New Roman" w:hAnsi="Times New Roman" w:cs="Times New Roman"/>
          <w:i/>
          <w:iCs/>
          <w:kern w:val="0"/>
          <w:lang w:eastAsia="en-IN"/>
        </w:rPr>
        <w:t>Calocybe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indica</w:t>
      </w:r>
      <w:proofErr w:type="spellEnd"/>
      <w:r>
        <w:rPr>
          <w:rFonts w:ascii="Times New Roman" w:eastAsia="Times New Roman" w:hAnsi="Times New Roman" w:cs="Times New Roman"/>
          <w:kern w:val="0"/>
          <w:lang w:eastAsia="en-IN"/>
        </w:rPr>
        <w:t>), an indigenous tropical species, has emerged as a commercially significant mushroom due to its robust shelf life, heat tolerance and suitability for year-round cultivation under tropical conditions. The Shiitake mushroom (</w:t>
      </w:r>
      <w:r>
        <w:rPr>
          <w:rFonts w:ascii="Times New Roman" w:eastAsia="Times New Roman" w:hAnsi="Times New Roman" w:cs="Times New Roman"/>
          <w:i/>
          <w:iCs/>
          <w:kern w:val="0"/>
          <w:lang w:eastAsia="en-IN"/>
        </w:rPr>
        <w:t>Lentinula edodes</w:t>
      </w:r>
      <w:r>
        <w:rPr>
          <w:rFonts w:ascii="Times New Roman" w:eastAsia="Times New Roman" w:hAnsi="Times New Roman" w:cs="Times New Roman"/>
          <w:kern w:val="0"/>
          <w:lang w:eastAsia="en-IN"/>
        </w:rPr>
        <w:t xml:space="preserve">), although comparatively new to the Indian market, is gaining prominence as consumers increasingly recognize its culinary and </w:t>
      </w:r>
      <w:r>
        <w:rPr>
          <w:rFonts w:ascii="Times New Roman" w:eastAsia="Times New Roman" w:hAnsi="Times New Roman" w:cs="Times New Roman"/>
          <w:kern w:val="0"/>
          <w:lang w:eastAsia="en-IN"/>
        </w:rPr>
        <w:lastRenderedPageBreak/>
        <w:t xml:space="preserve">medicinal value. Together, these species contribute to a diversified and expanding mushroom industry that leverages India’s varied climate, abundant </w:t>
      </w:r>
      <w:proofErr w:type="spellStart"/>
      <w:r>
        <w:rPr>
          <w:rFonts w:ascii="Times New Roman" w:eastAsia="Times New Roman" w:hAnsi="Times New Roman" w:cs="Times New Roman"/>
          <w:kern w:val="0"/>
          <w:lang w:eastAsia="en-IN"/>
        </w:rPr>
        <w:t>agro</w:t>
      </w:r>
      <w:proofErr w:type="spellEnd"/>
      <w:r>
        <w:rPr>
          <w:rFonts w:ascii="Times New Roman" w:eastAsia="Times New Roman" w:hAnsi="Times New Roman" w:cs="Times New Roman"/>
          <w:kern w:val="0"/>
          <w:lang w:eastAsia="en-IN"/>
        </w:rPr>
        <w:t>-waste resources and a strengthening technological base.</w:t>
      </w:r>
    </w:p>
    <w:p w14:paraId="6AAEFB6A" w14:textId="77777777" w:rsidR="00235AF1" w:rsidRDefault="00182E67">
      <w:pPr>
        <w:spacing w:after="0" w:line="360" w:lineRule="auto"/>
        <w:jc w:val="center"/>
        <w:rPr>
          <w:rFonts w:ascii="Times New Roman" w:eastAsia="Times New Roman" w:hAnsi="Times New Roman" w:cs="Times New Roman"/>
          <w:kern w:val="0"/>
          <w:lang w:eastAsia="en-IN"/>
        </w:rPr>
      </w:pPr>
      <w:r>
        <w:rPr>
          <w:rFonts w:ascii="Times New Roman" w:eastAsia="Times New Roman" w:hAnsi="Times New Roman" w:cs="Times New Roman"/>
          <w:noProof/>
          <w:kern w:val="0"/>
          <w:lang w:eastAsia="en-IN"/>
        </w:rPr>
        <w:drawing>
          <wp:inline distT="0" distB="0" distL="0" distR="0" wp14:anchorId="7D444E3E" wp14:editId="407A9257">
            <wp:extent cx="4815997" cy="2505108"/>
            <wp:effectExtent l="19050" t="19050" r="22860" b="9525"/>
            <wp:docPr id="10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9" cstate="print"/>
                    <a:srcRect/>
                    <a:stretch/>
                  </pic:blipFill>
                  <pic:spPr>
                    <a:xfrm>
                      <a:off x="0" y="0"/>
                      <a:ext cx="4815997" cy="2505108"/>
                    </a:xfrm>
                    <a:prstGeom prst="rect">
                      <a:avLst/>
                    </a:prstGeom>
                    <a:ln w="9525" cap="flat" cmpd="sng">
                      <a:solidFill>
                        <a:srgbClr val="000000"/>
                      </a:solidFill>
                      <a:prstDash val="solid"/>
                      <a:round/>
                      <a:headEnd/>
                      <a:tailEnd/>
                    </a:ln>
                  </pic:spPr>
                </pic:pic>
              </a:graphicData>
            </a:graphic>
          </wp:inline>
        </w:drawing>
      </w:r>
    </w:p>
    <w:p w14:paraId="55EFF04B" w14:textId="712CE0B4" w:rsidR="00235AF1" w:rsidRDefault="00182E67">
      <w:pPr>
        <w:spacing w:after="0" w:line="360" w:lineRule="auto"/>
        <w:jc w:val="both"/>
        <w:rPr>
          <w:rFonts w:ascii="Times New Roman" w:hAnsi="Times New Roman" w:cs="Times New Roman"/>
          <w:b/>
          <w:bCs/>
        </w:rPr>
      </w:pPr>
      <w:r>
        <w:rPr>
          <w:rFonts w:ascii="Times New Roman" w:eastAsia="Times New Roman" w:hAnsi="Times New Roman" w:cs="Times New Roman"/>
          <w:b/>
          <w:bCs/>
          <w:kern w:val="0"/>
          <w:lang w:eastAsia="en-IN"/>
        </w:rPr>
        <w:t xml:space="preserve">Figure 3. </w:t>
      </w:r>
      <w:r>
        <w:rPr>
          <w:rFonts w:ascii="Times New Roman" w:eastAsia="Times New Roman" w:hAnsi="Times New Roman" w:cs="Times New Roman"/>
          <w:kern w:val="0"/>
          <w:lang w:eastAsia="en-IN"/>
        </w:rPr>
        <w:t>Commonly</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cultivated edible mushroom species in India, </w:t>
      </w:r>
      <w:proofErr w:type="spellStart"/>
      <w:r>
        <w:rPr>
          <w:rFonts w:ascii="Times New Roman" w:eastAsia="Times New Roman" w:hAnsi="Times New Roman" w:cs="Times New Roman"/>
          <w:b/>
          <w:bCs/>
          <w:kern w:val="0"/>
          <w:lang w:eastAsia="en-IN"/>
        </w:rPr>
        <w:t>i</w:t>
      </w:r>
      <w:proofErr w:type="spellEnd"/>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Button mushroom (</w:t>
      </w:r>
      <w:r>
        <w:rPr>
          <w:rFonts w:ascii="Times New Roman" w:eastAsia="Times New Roman" w:hAnsi="Times New Roman" w:cs="Times New Roman"/>
          <w:i/>
          <w:iCs/>
          <w:kern w:val="0"/>
          <w:lang w:eastAsia="en-IN"/>
        </w:rPr>
        <w:t>Agaricus bisporus</w:t>
      </w:r>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ii).</w:t>
      </w:r>
      <w:r>
        <w:rPr>
          <w:rFonts w:ascii="Times New Roman" w:eastAsia="Times New Roman" w:hAnsi="Times New Roman" w:cs="Times New Roman"/>
          <w:kern w:val="0"/>
          <w:lang w:eastAsia="en-IN"/>
        </w:rPr>
        <w:t xml:space="preserve"> Oyster mushroom species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spp.), </w:t>
      </w:r>
      <w:r>
        <w:rPr>
          <w:rFonts w:ascii="Times New Roman" w:eastAsia="Times New Roman" w:hAnsi="Times New Roman" w:cs="Times New Roman"/>
          <w:b/>
          <w:bCs/>
          <w:kern w:val="0"/>
          <w:lang w:eastAsia="en-IN"/>
        </w:rPr>
        <w:t>a).</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P. ostreatus</w:t>
      </w:r>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b).</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florida</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c).</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eryngii</w:t>
      </w:r>
      <w:proofErr w:type="spellEnd"/>
      <w:r>
        <w:rPr>
          <w:rFonts w:ascii="Times New Roman" w:eastAsia="Times New Roman" w:hAnsi="Times New Roman" w:cs="Times New Roman"/>
          <w:kern w:val="0"/>
          <w:lang w:eastAsia="en-IN"/>
        </w:rPr>
        <w:t>,</w:t>
      </w:r>
      <w:r>
        <w:rPr>
          <w:rFonts w:ascii="Times New Roman" w:eastAsia="Times New Roman" w:hAnsi="Times New Roman" w:cs="Times New Roman"/>
          <w:b/>
          <w:bCs/>
          <w:kern w:val="0"/>
          <w:lang w:eastAsia="en-IN"/>
        </w:rPr>
        <w:t xml:space="preserve"> d).</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citrinopileatus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e).</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sajor-caju</w:t>
      </w:r>
      <w:proofErr w:type="spellEnd"/>
      <w:r>
        <w:rPr>
          <w:rFonts w:ascii="Times New Roman" w:eastAsia="Times New Roman" w:hAnsi="Times New Roman" w:cs="Times New Roman"/>
          <w:kern w:val="0"/>
          <w:lang w:eastAsia="en-IN"/>
        </w:rPr>
        <w:t xml:space="preserve"> and </w:t>
      </w:r>
      <w:r>
        <w:rPr>
          <w:rFonts w:ascii="Times New Roman" w:eastAsia="Times New Roman" w:hAnsi="Times New Roman" w:cs="Times New Roman"/>
          <w:b/>
          <w:bCs/>
          <w:kern w:val="0"/>
          <w:lang w:eastAsia="en-IN"/>
        </w:rPr>
        <w:t>f).</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djamor</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kern w:val="0"/>
          <w:lang w:eastAsia="en-IN"/>
        </w:rPr>
        <w:br/>
      </w:r>
      <w:r>
        <w:rPr>
          <w:rFonts w:ascii="Times New Roman" w:eastAsia="Times New Roman" w:hAnsi="Times New Roman" w:cs="Times New Roman"/>
          <w:b/>
          <w:bCs/>
          <w:kern w:val="0"/>
          <w:lang w:eastAsia="en-IN"/>
        </w:rPr>
        <w:t>iii).</w:t>
      </w:r>
      <w:r>
        <w:rPr>
          <w:rFonts w:ascii="Times New Roman" w:eastAsia="Times New Roman" w:hAnsi="Times New Roman" w:cs="Times New Roman"/>
          <w:kern w:val="0"/>
          <w:lang w:eastAsia="en-IN"/>
        </w:rPr>
        <w:t xml:space="preserve"> Milky mushroom (</w:t>
      </w:r>
      <w:proofErr w:type="spellStart"/>
      <w:r>
        <w:rPr>
          <w:rFonts w:ascii="Times New Roman" w:eastAsia="Times New Roman" w:hAnsi="Times New Roman" w:cs="Times New Roman"/>
          <w:i/>
          <w:iCs/>
          <w:kern w:val="0"/>
          <w:lang w:eastAsia="en-IN"/>
        </w:rPr>
        <w:t>Calocybe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indica</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iv).</w:t>
      </w:r>
      <w:r>
        <w:rPr>
          <w:rFonts w:ascii="Times New Roman" w:eastAsia="Times New Roman" w:hAnsi="Times New Roman" w:cs="Times New Roman"/>
          <w:kern w:val="0"/>
          <w:lang w:eastAsia="en-IN"/>
        </w:rPr>
        <w:t xml:space="preserve"> Paddy straw mushroom (</w:t>
      </w:r>
      <w:proofErr w:type="spellStart"/>
      <w:r>
        <w:rPr>
          <w:rFonts w:ascii="Times New Roman" w:eastAsia="Times New Roman" w:hAnsi="Times New Roman" w:cs="Times New Roman"/>
          <w:i/>
          <w:iCs/>
          <w:kern w:val="0"/>
          <w:lang w:eastAsia="en-IN"/>
        </w:rPr>
        <w:t>Volvariella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volvacea</w:t>
      </w:r>
      <w:proofErr w:type="spellEnd"/>
      <w:r>
        <w:rPr>
          <w:rFonts w:ascii="Times New Roman" w:eastAsia="Times New Roman" w:hAnsi="Times New Roman" w:cs="Times New Roman"/>
          <w:kern w:val="0"/>
          <w:lang w:eastAsia="en-IN"/>
        </w:rPr>
        <w:t xml:space="preserve">) and </w:t>
      </w:r>
      <w:r>
        <w:rPr>
          <w:rFonts w:ascii="Times New Roman" w:eastAsia="Times New Roman" w:hAnsi="Times New Roman" w:cs="Times New Roman"/>
          <w:b/>
          <w:bCs/>
          <w:kern w:val="0"/>
          <w:lang w:eastAsia="en-IN"/>
        </w:rPr>
        <w:t>v).</w:t>
      </w:r>
      <w:r>
        <w:rPr>
          <w:rFonts w:ascii="Times New Roman" w:eastAsia="Times New Roman" w:hAnsi="Times New Roman" w:cs="Times New Roman"/>
          <w:kern w:val="0"/>
          <w:lang w:eastAsia="en-IN"/>
        </w:rPr>
        <w:t xml:space="preserve"> Shiitake mushroom (</w:t>
      </w:r>
      <w:r>
        <w:rPr>
          <w:rFonts w:ascii="Times New Roman" w:eastAsia="Times New Roman" w:hAnsi="Times New Roman" w:cs="Times New Roman"/>
          <w:i/>
          <w:iCs/>
          <w:kern w:val="0"/>
          <w:lang w:eastAsia="en-IN"/>
        </w:rPr>
        <w:t>Lentinula edodes</w:t>
      </w:r>
      <w:r>
        <w:rPr>
          <w:rFonts w:ascii="Times New Roman" w:eastAsia="Times New Roman" w:hAnsi="Times New Roman" w:cs="Times New Roman"/>
          <w:kern w:val="0"/>
          <w:lang w:eastAsia="en-IN"/>
        </w:rPr>
        <w:t xml:space="preserve">); Source </w:t>
      </w:r>
      <w:hyperlink r:id="rId10" w:history="1">
        <w:r w:rsidR="008E56E8" w:rsidRPr="00215816">
          <w:rPr>
            <w:rStyle w:val="Hyperlink"/>
            <w:rFonts w:ascii="Times New Roman" w:eastAsia="Times New Roman" w:hAnsi="Times New Roman" w:cs="Times New Roman"/>
            <w:kern w:val="0"/>
            <w:lang w:eastAsia="en-IN"/>
          </w:rPr>
          <w:t>www.dkart.in</w:t>
        </w:r>
      </w:hyperlink>
      <w:r>
        <w:rPr>
          <w:rFonts w:ascii="Times New Roman" w:eastAsia="Times New Roman" w:hAnsi="Times New Roman" w:cs="Times New Roman"/>
          <w:kern w:val="0"/>
          <w:lang w:eastAsia="en-IN"/>
        </w:rPr>
        <w:t>.</w:t>
      </w:r>
    </w:p>
    <w:p w14:paraId="70E23E77" w14:textId="77777777" w:rsidR="00235AF1" w:rsidRDefault="00235AF1">
      <w:pPr>
        <w:spacing w:after="0" w:line="360" w:lineRule="auto"/>
        <w:jc w:val="both"/>
        <w:rPr>
          <w:rFonts w:ascii="Times New Roman" w:hAnsi="Times New Roman" w:cs="Times New Roman"/>
          <w:b/>
          <w:bCs/>
        </w:rPr>
      </w:pPr>
    </w:p>
    <w:p w14:paraId="3283578A"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The role of women’s self-help groups in India’s mushroom sector is noteworthy. In several states, community-based models have enabled women to cultivate mushrooms as an additional source of income (28). These initiatives often operate on small landholdings or within households, using simple techniques for substrate preparation and cultivation. Government agencies, agricultural universities, and non-governmental organizations have contributed to training and extension services, although coverage remains inconsistent across regions (46,47). India mushroom supply chain is still in development. Button mushrooms, being highly perishable, require cold storage and rapid transportation to prevent spoilage. Oyster and milky mushrooms also deteriorate quickly but tolerate slightly longer shelf life. Limited cold-chain infrastructure restricts market reach, particularly in rural and semi-urban areas. Consequently, a substantial proportion of mushroom production is consumed locally, with minimal value addition (48,49). Value-added mushroom products, including powders, pickles, snacks, ready-to-cook mixes, and dehydrated mushrooms, offer opportunities for market diversification. However, the scale of processing remains small and standardized processing facilities are </w:t>
      </w:r>
      <w:r>
        <w:rPr>
          <w:rFonts w:ascii="Times New Roman" w:eastAsia="Times New Roman" w:hAnsi="Times New Roman" w:cs="Times New Roman"/>
          <w:kern w:val="0"/>
          <w:lang w:eastAsia="en-IN"/>
        </w:rPr>
        <w:lastRenderedPageBreak/>
        <w:t>limited. Developing these capabilities could expand profitability and reduce post-harvest losses (41,45).</w:t>
      </w:r>
    </w:p>
    <w:p w14:paraId="73C209CB" w14:textId="77777777" w:rsidR="00235AF1" w:rsidRDefault="00235AF1">
      <w:pPr>
        <w:spacing w:after="0" w:line="360" w:lineRule="auto"/>
        <w:jc w:val="both"/>
        <w:rPr>
          <w:rFonts w:ascii="Times New Roman" w:eastAsia="Times New Roman" w:hAnsi="Times New Roman" w:cs="Times New Roman"/>
          <w:kern w:val="0"/>
          <w:lang w:eastAsia="en-IN"/>
        </w:rPr>
      </w:pPr>
    </w:p>
    <w:p w14:paraId="75FEA794"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Wild mushrooms contribute significantly to seasonal markets in tribal and forest-rich regions of India. Species of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Astraeus</w:t>
      </w:r>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are commonly sold in local markets. However, the trade is largely informal, with minimal regulation and little quality control. Consumers rely heavily on local knowledge for identification, which increases the risk of accidental poisoning (45,47). Strengthening wild mushroom management through formal identification systems, training programs, and sustainable harvesting guidelines would safeguard both ecological integrity and community livelihoods (41,42). Overall, India possesses vast potential to expand its mushroom sector. Access to training, improved supply chains, decentralized value addition, and increased public awareness could propel mushrooms into a more prominent position within India’s food economy. With rising interest in healthy and sustainable foods, mushrooms are poised to become a more significant component of national agricultural diversification strategies (42, 44).</w:t>
      </w:r>
    </w:p>
    <w:p w14:paraId="456FDC44"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6F61EE26"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Ecological and functional roles of mushrooms</w:t>
      </w:r>
    </w:p>
    <w:p w14:paraId="1AFA12A8" w14:textId="77777777" w:rsidR="00235AF1" w:rsidRDefault="00182E67">
      <w:pPr>
        <w:spacing w:after="0" w:line="360" w:lineRule="auto"/>
        <w:jc w:val="both"/>
        <w:outlineLvl w:val="0"/>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Mushrooms occupy a wide range of ecological niches and their functional significance stems mainly from their roles in forest dynamics, soil systems, plant health, and nutrient cycles (60,62). Their ecological guilds are commonly categorised as saprotrophic, mycorrhizal, or parasitic. Although these groups differ in nutritional strategies, all contribute directly or indirectly to ecosystem stability. Understanding these roles is essential for interpreting fungal diversity not as a static inventory of species, but as an active, dynamic force shaping terrestrial environments (61,64).</w:t>
      </w:r>
    </w:p>
    <w:p w14:paraId="06AA6B69"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52E74D58" w14:textId="77777777" w:rsidR="00235AF1" w:rsidRDefault="00182E67">
      <w:pPr>
        <w:pStyle w:val="ListParagraph"/>
        <w:numPr>
          <w:ilvl w:val="1"/>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Saprotrophic mushrooms</w:t>
      </w:r>
    </w:p>
    <w:p w14:paraId="0E8F1DA3" w14:textId="77777777" w:rsidR="00235AF1" w:rsidRDefault="00182E67">
      <w:pPr>
        <w:spacing w:after="0" w:line="360" w:lineRule="auto"/>
        <w:jc w:val="both"/>
        <w:outlineLvl w:val="1"/>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Saprotrophic fungi obtain nutrients by decomposing dead organic matter. They are among the most effective organisms on Earth at breaking down complex plant polymers, such as cellulose, hemicellulose, and lignin (65,66). This decomposition process regulates the rate at which nutrients are returned to the soil, influences soil carbon storage, and supports plant productivity (67,68).</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White-rot fungi degrade lignin through oxidative enzyme systems, making them crucial to the turnover of woody material in forests. Genera such as </w:t>
      </w:r>
      <w:proofErr w:type="spellStart"/>
      <w:r>
        <w:rPr>
          <w:rFonts w:ascii="Times New Roman" w:eastAsia="Times New Roman" w:hAnsi="Times New Roman" w:cs="Times New Roman"/>
          <w:i/>
          <w:iCs/>
          <w:kern w:val="0"/>
          <w:lang w:eastAsia="en-IN"/>
        </w:rPr>
        <w:t>Trametes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Phanerochaete</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Pleurotus</w:t>
      </w:r>
      <w:proofErr w:type="spellEnd"/>
      <w:r>
        <w:rPr>
          <w:rFonts w:ascii="Times New Roman" w:eastAsia="Times New Roman" w:hAnsi="Times New Roman" w:cs="Times New Roman"/>
          <w:kern w:val="0"/>
          <w:lang w:eastAsia="en-IN"/>
        </w:rPr>
        <w:t xml:space="preserve"> are known for these capabilities. Brown-rot fungi, by contrast, primarily decompose cellulose and leave modified lignin residues that contribute to long-term soil carbon </w:t>
      </w:r>
      <w:r>
        <w:rPr>
          <w:rFonts w:ascii="Times New Roman" w:eastAsia="Times New Roman" w:hAnsi="Times New Roman" w:cs="Times New Roman"/>
          <w:kern w:val="0"/>
          <w:lang w:eastAsia="en-IN"/>
        </w:rPr>
        <w:lastRenderedPageBreak/>
        <w:t>pools (69).</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In tropical forests, such as those in the Western Ghats of India, saprotrophic mushrooms appear in large numbers during the monsoon season. Species of </w:t>
      </w:r>
      <w:proofErr w:type="spellStart"/>
      <w:r>
        <w:rPr>
          <w:rFonts w:ascii="Times New Roman" w:eastAsia="Times New Roman" w:hAnsi="Times New Roman" w:cs="Times New Roman"/>
          <w:i/>
          <w:iCs/>
          <w:kern w:val="0"/>
          <w:lang w:eastAsia="en-IN"/>
        </w:rPr>
        <w:t>Marasmius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Mycena</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Gymnopus</w:t>
      </w:r>
      <w:proofErr w:type="spellEnd"/>
      <w:r>
        <w:rPr>
          <w:rFonts w:ascii="Times New Roman" w:eastAsia="Times New Roman" w:hAnsi="Times New Roman" w:cs="Times New Roman"/>
          <w:kern w:val="0"/>
          <w:lang w:eastAsia="en-IN"/>
        </w:rPr>
        <w:t xml:space="preserve"> blanket forest floors, decomposing leaf litter and maintain soil organic matter. Studies from these regions have shown that saprotroph richness correlates strongly with canopy cover, rainfall intensity, and litter depth, illustrating how fungi respond to microhabitat complexity (69,).</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In agroecosystems, saprotrophic mushrooms play a crucial role in decomposing crop residues. Experiments in northern India have demonstrated that incorporating Pleurotus species into rice–wheat rotation systems accelerates straw decomposition, enhances soil microbial activity, and suppresses specific soil-borne pathogens. These findings suggest that saprotrophic fungi can contribute to sustainable agriculture, residue management, and the reduction of stubble burning—a widespread environmental concern (34,56).</w:t>
      </w:r>
    </w:p>
    <w:p w14:paraId="2370A293" w14:textId="77777777" w:rsidR="00235AF1" w:rsidRDefault="00235AF1">
      <w:pPr>
        <w:spacing w:after="0" w:line="360" w:lineRule="auto"/>
        <w:jc w:val="both"/>
        <w:outlineLvl w:val="1"/>
        <w:rPr>
          <w:rFonts w:ascii="Times New Roman" w:eastAsia="Times New Roman" w:hAnsi="Times New Roman" w:cs="Times New Roman"/>
          <w:b/>
          <w:bCs/>
          <w:kern w:val="0"/>
          <w:lang w:eastAsia="en-IN"/>
        </w:rPr>
      </w:pPr>
    </w:p>
    <w:p w14:paraId="3319A942" w14:textId="77777777" w:rsidR="00235AF1" w:rsidRDefault="00182E67">
      <w:pPr>
        <w:pStyle w:val="ListParagraph"/>
        <w:numPr>
          <w:ilvl w:val="1"/>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Mycorrhizal mushrooms</w:t>
      </w:r>
    </w:p>
    <w:p w14:paraId="7A7F2A3B" w14:textId="77777777" w:rsidR="00235AF1" w:rsidRDefault="00182E67">
      <w:p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kern w:val="0"/>
          <w:lang w:eastAsia="en-IN"/>
        </w:rPr>
        <w:t>Mycorrhizal fungi form mutualistic symbioses with plant roots. Through this association, fungi supply plants with nutrients such as phosphorus and nitrogen, while receiving carbohydrates produced through photosynthesis. Nearly 90 percent of terrestrial plants form some form of mycorrhizal relationship, underscoring the foundational ecological importance of this guild (31,34).</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Ectomycorrhizal (ECM) fungi encompass many prominent mushroom-forming taxa, including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Boletus</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Cantharellus</w:t>
      </w:r>
      <w:proofErr w:type="spellEnd"/>
      <w:r>
        <w:rPr>
          <w:rFonts w:ascii="Times New Roman" w:eastAsia="Times New Roman" w:hAnsi="Times New Roman" w:cs="Times New Roman"/>
          <w:kern w:val="0"/>
          <w:lang w:eastAsia="en-IN"/>
        </w:rPr>
        <w:t>. These fungi create extensive underground networks that connect multiple plants, facilitating the sharing of nutrients, enhancing seedling establishment, and improving drought resistance. Research in temperate and boreal regions has shown that ECM networks regulate forest composition and productivity by mediating competitive interactions among tree species (35, 39).</w:t>
      </w:r>
    </w:p>
    <w:p w14:paraId="7B8410CB" w14:textId="77777777" w:rsidR="00235AF1" w:rsidRDefault="00235AF1">
      <w:pPr>
        <w:spacing w:after="0" w:line="360" w:lineRule="auto"/>
        <w:jc w:val="both"/>
        <w:outlineLvl w:val="1"/>
        <w:rPr>
          <w:rFonts w:ascii="Times New Roman" w:eastAsia="Times New Roman" w:hAnsi="Times New Roman" w:cs="Times New Roman"/>
          <w:b/>
          <w:bCs/>
          <w:kern w:val="0"/>
          <w:lang w:eastAsia="en-IN"/>
        </w:rPr>
      </w:pPr>
    </w:p>
    <w:p w14:paraId="1485233A" w14:textId="77777777" w:rsidR="00235AF1" w:rsidRDefault="00182E67">
      <w:pPr>
        <w:spacing w:after="0" w:line="360" w:lineRule="auto"/>
        <w:jc w:val="both"/>
        <w:outlineLvl w:val="1"/>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In India, ECM fungi are associated with important forest and plantation trees, including </w:t>
      </w:r>
      <w:proofErr w:type="spellStart"/>
      <w:r>
        <w:rPr>
          <w:rFonts w:ascii="Times New Roman" w:eastAsia="Times New Roman" w:hAnsi="Times New Roman" w:cs="Times New Roman"/>
          <w:i/>
          <w:iCs/>
          <w:kern w:val="0"/>
          <w:lang w:eastAsia="en-IN"/>
        </w:rPr>
        <w:t>Shorea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robusta</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Pinus </w:t>
      </w:r>
      <w:proofErr w:type="spellStart"/>
      <w:r>
        <w:rPr>
          <w:rFonts w:ascii="Times New Roman" w:eastAsia="Times New Roman" w:hAnsi="Times New Roman" w:cs="Times New Roman"/>
          <w:i/>
          <w:iCs/>
          <w:kern w:val="0"/>
          <w:lang w:eastAsia="en-IN"/>
        </w:rPr>
        <w:t>roxburghii</w:t>
      </w:r>
      <w:proofErr w:type="spellEnd"/>
      <w:r>
        <w:rPr>
          <w:rFonts w:ascii="Times New Roman" w:eastAsia="Times New Roman" w:hAnsi="Times New Roman" w:cs="Times New Roman"/>
          <w:kern w:val="0"/>
          <w:lang w:eastAsia="en-IN"/>
        </w:rPr>
        <w:t xml:space="preserve"> and several </w:t>
      </w:r>
      <w:r>
        <w:rPr>
          <w:rFonts w:ascii="Times New Roman" w:eastAsia="Times New Roman" w:hAnsi="Times New Roman" w:cs="Times New Roman"/>
          <w:i/>
          <w:iCs/>
          <w:kern w:val="0"/>
          <w:lang w:eastAsia="en-IN"/>
        </w:rPr>
        <w:t>Eucalyptus</w:t>
      </w:r>
      <w:r>
        <w:rPr>
          <w:rFonts w:ascii="Times New Roman" w:eastAsia="Times New Roman" w:hAnsi="Times New Roman" w:cs="Times New Roman"/>
          <w:kern w:val="0"/>
          <w:lang w:eastAsia="en-IN"/>
        </w:rPr>
        <w:t xml:space="preserve"> species. Studies in the Himalayan foothills have revealed diverse ECM communities that shift in response to elevation, soil chemistry, and forest type. These fungi play a central role in natural regeneration processes. Seedlings inoculated with native ECM species often exhibit higher survival and better nutrient acquisition, especially in degraded or nutrient-poor soils (36,39).</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Mycorrhizal fungi also influence global biogeochemical cycles. Their hyphal matrices stabilise soil aggregates, increase water infiltration, and contribute significantly to soil carbon sequestration. Estimates suggest that mycorrhizal networks transfer billions of tonnes of carbon into soils each year—</w:t>
      </w:r>
      <w:r>
        <w:rPr>
          <w:rFonts w:ascii="Times New Roman" w:eastAsia="Times New Roman" w:hAnsi="Times New Roman" w:cs="Times New Roman"/>
          <w:kern w:val="0"/>
          <w:lang w:eastAsia="en-IN"/>
        </w:rPr>
        <w:lastRenderedPageBreak/>
        <w:t>this positions ECM fungi as crucial agents in climate regulation, forest resilience, and carbon management strategies (39,67).</w:t>
      </w:r>
    </w:p>
    <w:p w14:paraId="52A515B3" w14:textId="77777777" w:rsidR="00235AF1" w:rsidRDefault="00235AF1">
      <w:pPr>
        <w:spacing w:after="0" w:line="360" w:lineRule="auto"/>
        <w:jc w:val="both"/>
        <w:outlineLvl w:val="1"/>
        <w:rPr>
          <w:rFonts w:ascii="Times New Roman" w:eastAsia="Times New Roman" w:hAnsi="Times New Roman" w:cs="Times New Roman"/>
          <w:b/>
          <w:bCs/>
          <w:kern w:val="0"/>
          <w:lang w:eastAsia="en-IN"/>
        </w:rPr>
      </w:pPr>
    </w:p>
    <w:p w14:paraId="223E659F" w14:textId="77777777" w:rsidR="00235AF1" w:rsidRDefault="00182E67">
      <w:pPr>
        <w:pStyle w:val="ListParagraph"/>
        <w:numPr>
          <w:ilvl w:val="1"/>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Parasitic and pathogenic mushrooms</w:t>
      </w:r>
    </w:p>
    <w:p w14:paraId="4ECD4653" w14:textId="77777777" w:rsidR="00235AF1" w:rsidRDefault="00182E67">
      <w:p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kern w:val="0"/>
          <w:lang w:eastAsia="en-IN"/>
        </w:rPr>
        <w:t>Parasitic fungi obtain nutrients by infecting living hosts, including plants, insects and other fungi. Although often viewed negatively, parasitic fungi contribute to natural ecological regulation by controlling host populations, influencing species turnover, and cycling nutrients after host death.</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Plant-pathogenic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include species of </w:t>
      </w:r>
      <w:r>
        <w:rPr>
          <w:rFonts w:ascii="Times New Roman" w:eastAsia="Times New Roman" w:hAnsi="Times New Roman" w:cs="Times New Roman"/>
          <w:i/>
          <w:iCs/>
          <w:kern w:val="0"/>
          <w:lang w:eastAsia="en-IN"/>
        </w:rPr>
        <w:t>Armillaria</w:t>
      </w:r>
      <w:r>
        <w:rPr>
          <w:rFonts w:ascii="Times New Roman" w:eastAsia="Times New Roman" w:hAnsi="Times New Roman" w:cs="Times New Roman"/>
          <w:kern w:val="0"/>
          <w:lang w:eastAsia="en-IN"/>
        </w:rPr>
        <w:t xml:space="preserve">, which cause root rot in forests, orchards, and plantations. In India, </w:t>
      </w:r>
      <w:r>
        <w:rPr>
          <w:rFonts w:ascii="Times New Roman" w:eastAsia="Times New Roman" w:hAnsi="Times New Roman" w:cs="Times New Roman"/>
          <w:i/>
          <w:iCs/>
          <w:kern w:val="0"/>
          <w:lang w:eastAsia="en-IN"/>
        </w:rPr>
        <w:t xml:space="preserve">Armillaria </w:t>
      </w:r>
      <w:proofErr w:type="spellStart"/>
      <w:r>
        <w:rPr>
          <w:rFonts w:ascii="Times New Roman" w:eastAsia="Times New Roman" w:hAnsi="Times New Roman" w:cs="Times New Roman"/>
          <w:i/>
          <w:iCs/>
          <w:kern w:val="0"/>
          <w:lang w:eastAsia="en-IN"/>
        </w:rPr>
        <w:t>mellea</w:t>
      </w:r>
      <w:proofErr w:type="spellEnd"/>
      <w:r>
        <w:rPr>
          <w:rFonts w:ascii="Times New Roman" w:eastAsia="Times New Roman" w:hAnsi="Times New Roman" w:cs="Times New Roman"/>
          <w:kern w:val="0"/>
          <w:lang w:eastAsia="en-IN"/>
        </w:rPr>
        <w:t xml:space="preserve"> and related species have affected apple orchards in the Himalayan region and forest plantations in several states. These pathogens can persist in soil and woody substrates for decades, creating long-term ecological impacts.</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Insect-pathogenic fungi, such as Ophiocordyceps militaris, infect insects and eventually produce fruiting bodies within their hosts. This group is ecologically vital for controlling natural insect populations and holds pharmaceutical interest due to the production of bioactive compounds, such as cordycepin. India possesses a considerable diversity of Cordyceps species in the Himalayan region, although many remain under-documented due to restricted accessibility and limited taxonomic expertise (31,32).</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Parasitic mushrooms also include mycoparasites, which attack other fungi. These interactions contribute to competitive balance in soil microbial communities and may have applications in biological control (11,12).</w:t>
      </w:r>
    </w:p>
    <w:p w14:paraId="340FB585" w14:textId="77777777" w:rsidR="00235AF1" w:rsidRDefault="00182E67">
      <w:pPr>
        <w:spacing w:after="0" w:line="360" w:lineRule="auto"/>
        <w:ind w:left="90" w:hanging="90"/>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While pathogenic mushrooms can cause substantial economic losses in forestry and agriculture, their ecological functions are complex and multifaceted. They regulate host abundance, open niches for successional species, and facilitate the return of nutrients to the soil. Understanding their diversity and host interactions is essential not only for disease management but also for interpreting long-term ecosystem dynamics (41,42).</w:t>
      </w:r>
    </w:p>
    <w:p w14:paraId="59B38136" w14:textId="77777777" w:rsidR="00235AF1" w:rsidRDefault="00235AF1">
      <w:pPr>
        <w:spacing w:after="0" w:line="360" w:lineRule="auto"/>
        <w:ind w:left="90" w:hanging="90"/>
        <w:jc w:val="both"/>
        <w:rPr>
          <w:rFonts w:ascii="Times New Roman" w:eastAsia="Times New Roman" w:hAnsi="Times New Roman" w:cs="Times New Roman"/>
          <w:kern w:val="0"/>
          <w:lang w:eastAsia="en-IN"/>
        </w:rPr>
      </w:pPr>
    </w:p>
    <w:p w14:paraId="5670E2E9"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Biogeography and hotspots of macrofungal diversity</w:t>
      </w:r>
    </w:p>
    <w:p w14:paraId="43BDECDF" w14:textId="77777777" w:rsidR="00235AF1" w:rsidRDefault="00182E67">
      <w:pPr>
        <w:spacing w:after="0" w:line="360" w:lineRule="auto"/>
        <w:jc w:val="both"/>
        <w:outlineLvl w:val="0"/>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Biogeography examines how mushroom-forming fungi are distributed across the planet and how environmental, evolutionary, and ecological factors shape these patterns. Unlike plants and animals, whose distributions are often influenced by dispersal limitations or physical barriers, fungi disperse microscopic spores that can travel long distances through air currents, water, and biological carriers. Despite this dispersal capacity, macrofungal communities exhibit strong geographic structuring. Climate, vegetation type, soil chemistry and historical biogeographical events all determine where different fungal lineages thrive. Understanding these patterns is essential for identifying global and regional hotspots of fungal richness, </w:t>
      </w:r>
      <w:r>
        <w:rPr>
          <w:rFonts w:ascii="Times New Roman" w:eastAsia="Times New Roman" w:hAnsi="Times New Roman" w:cs="Times New Roman"/>
          <w:kern w:val="0"/>
          <w:lang w:eastAsia="en-IN"/>
        </w:rPr>
        <w:lastRenderedPageBreak/>
        <w:t>anticipating responses to climate change, and designing effective conservation strategies (43,44).</w:t>
      </w:r>
    </w:p>
    <w:p w14:paraId="6834F3E3"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527D333D"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7.1 Global patterns</w:t>
      </w:r>
    </w:p>
    <w:p w14:paraId="28239AF4"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Global assessments indicate that macrofungal diversity is highest in temperate and tropical forests, characterized by high plant diversity and structural complexity. Regions such as the Pacific Northwest of the United States, central Europe, the Russian Far East, the Yunnan–Sichuan region of China, the Amazon Basin and parts of Southeast Asia consistently rank among the most species-rich. Moisture availability, seasonal variation and the presence of diverse tree hosts strongly influence these patterns. Because many mushroom-forming fungi form mycorrhizal associations with specific plant species, areas with high tree diversity often exhibit high fungal diversity as well (45,46). Environmental DNA surveys have revealed that the composition of soil fungi varies considerably between biomes. Temperate mixed forests frequently support distinct communities of ectomycorrhizal mushrooms, including species of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Boletus</w:t>
      </w:r>
      <w:r>
        <w:rPr>
          <w:rFonts w:ascii="Times New Roman" w:eastAsia="Times New Roman" w:hAnsi="Times New Roman" w:cs="Times New Roman"/>
          <w:kern w:val="0"/>
          <w:lang w:eastAsia="en-IN"/>
        </w:rPr>
        <w:t xml:space="preserve">. In contrast, tropical rainforests </w:t>
      </w:r>
      <w:proofErr w:type="spellStart"/>
      <w:r>
        <w:rPr>
          <w:rFonts w:ascii="Times New Roman" w:eastAsia="Times New Roman" w:hAnsi="Times New Roman" w:cs="Times New Roman"/>
          <w:kern w:val="0"/>
          <w:lang w:eastAsia="en-IN"/>
        </w:rPr>
        <w:t>harbor</w:t>
      </w:r>
      <w:proofErr w:type="spellEnd"/>
      <w:r>
        <w:rPr>
          <w:rFonts w:ascii="Times New Roman" w:eastAsia="Times New Roman" w:hAnsi="Times New Roman" w:cs="Times New Roman"/>
          <w:kern w:val="0"/>
          <w:lang w:eastAsia="en-IN"/>
        </w:rPr>
        <w:t xml:space="preserve"> large assemblages of saprotrophic fungi that specialize in the rapid decomposition of leaf litter and woody debris (47,48). Tropical systems also contain a surprising diversity of ectomycorrhizal fungi associated with dipterocarps and legumes, contradicting earlier assumptions that ECM fungi were primarily restricted to temperate regions (49,50).</w:t>
      </w:r>
    </w:p>
    <w:p w14:paraId="78FC5CC7" w14:textId="77777777" w:rsidR="00235AF1" w:rsidRDefault="00235AF1">
      <w:pPr>
        <w:spacing w:after="0" w:line="360" w:lineRule="auto"/>
        <w:jc w:val="both"/>
        <w:rPr>
          <w:rFonts w:ascii="Times New Roman" w:eastAsia="Times New Roman" w:hAnsi="Times New Roman" w:cs="Times New Roman"/>
          <w:kern w:val="0"/>
          <w:lang w:eastAsia="en-IN"/>
        </w:rPr>
      </w:pPr>
    </w:p>
    <w:p w14:paraId="04802BD8"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Climate strongly influences fruiting phenology. In monsoonal climates,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emerge predominantly during wet months when moisture and temperature conditions favour sporocarp formation. In temperate zones, autumn is typically the peak season for fruiting. Climate change has already shifted fruiting times in Europe and North America, with long-term datasets showing earlier autumn flushes and extended fruiting periods in some regions. Such changes alter species interactions, decomposition rates, and nutrient dynamics (51,52). Mycorrhizal fungi display distinct biogeographic patterns due to their dependence on specific host plants. For example, </w:t>
      </w:r>
      <w:r>
        <w:rPr>
          <w:rFonts w:ascii="Times New Roman" w:eastAsia="Times New Roman" w:hAnsi="Times New Roman" w:cs="Times New Roman"/>
          <w:i/>
          <w:iCs/>
          <w:kern w:val="0"/>
          <w:lang w:eastAsia="en-IN"/>
        </w:rPr>
        <w:t>Cantharellus</w:t>
      </w:r>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species common in boreal and temperate forests have restricted ranges tied to coniferous hosts (53). In contrast, tropical ECM fungi associated with dipterocarps and </w:t>
      </w:r>
      <w:r>
        <w:rPr>
          <w:rFonts w:ascii="Times New Roman" w:eastAsia="Times New Roman" w:hAnsi="Times New Roman" w:cs="Times New Roman"/>
          <w:i/>
          <w:iCs/>
          <w:kern w:val="0"/>
          <w:lang w:eastAsia="en-IN"/>
        </w:rPr>
        <w:t>Eucalyptus</w:t>
      </w:r>
      <w:r>
        <w:rPr>
          <w:rFonts w:ascii="Times New Roman" w:eastAsia="Times New Roman" w:hAnsi="Times New Roman" w:cs="Times New Roman"/>
          <w:kern w:val="0"/>
          <w:lang w:eastAsia="en-IN"/>
        </w:rPr>
        <w:t xml:space="preserve"> plantations show broader distributions but are vulnerable to deforestation and land-use change. Global mapping efforts have demonstrated that many ECM hotspots fall outside protected areas, underscoring the need for targeted conservation of fungi (54,55).</w:t>
      </w:r>
    </w:p>
    <w:p w14:paraId="441EA029" w14:textId="77777777" w:rsidR="00235AF1" w:rsidRDefault="00235AF1">
      <w:pPr>
        <w:spacing w:after="0" w:line="360" w:lineRule="auto"/>
        <w:jc w:val="both"/>
        <w:rPr>
          <w:rFonts w:ascii="Times New Roman" w:eastAsia="Times New Roman" w:hAnsi="Times New Roman" w:cs="Times New Roman"/>
          <w:kern w:val="0"/>
          <w:lang w:eastAsia="en-IN"/>
        </w:rPr>
      </w:pPr>
    </w:p>
    <w:p w14:paraId="65F3228E"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lastRenderedPageBreak/>
        <w:t>7.2 Fungal diversity in India</w:t>
      </w:r>
    </w:p>
    <w:p w14:paraId="3B817D60"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India is recognized as a megadiverse country, yet its fungal biota remains among the least documented biological groups. The Indian landmass spans a vast range of climates and landscapes, including alpine zones, subtropical forests, savannas, coastal belts, rainforests, dry deciduous forests, and agricultural plains. This ecological heterogeneity supports high fungal richness, especially in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but systematic documentation is limited by uneven sampling and underdeveloped mycological infrastructure (55,56). The Western Ghats, a UNESCO World Heritage Site, represent one of India’s most important fungal hotspots. Surveys in evergreen and semi-evergreen forests reveal hundreds of mushroom species, many of which appear during the southwest monsoon. Genera such as </w:t>
      </w:r>
      <w:proofErr w:type="spellStart"/>
      <w:r>
        <w:rPr>
          <w:rFonts w:ascii="Times New Roman" w:eastAsia="Times New Roman" w:hAnsi="Times New Roman" w:cs="Times New Roman"/>
          <w:i/>
          <w:iCs/>
          <w:kern w:val="0"/>
          <w:lang w:eastAsia="en-IN"/>
        </w:rPr>
        <w:t>Gymnopus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Mycena</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Marasmius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exhibit significant diversity across various microhabitats. Sacred groves preserved by local communities often contain old-growth characteristics that support rare and habitat-specific fungal assemblages. Because these forests host a rich diversity of ECM-associated trees, they also support a diverse array of ECM fungi, whose ecological roles remain poorly studied (57,58). The Eastern and Central Himalaya constitute another major centre of fungal richness. Elevational gradients from subtropical foothills to alpine meadows create distinct fungal communities. In the Himalayan foothills, broadleaf forests dominated by </w:t>
      </w:r>
      <w:r>
        <w:rPr>
          <w:rFonts w:ascii="Times New Roman" w:eastAsia="Times New Roman" w:hAnsi="Times New Roman" w:cs="Times New Roman"/>
          <w:i/>
          <w:iCs/>
          <w:kern w:val="0"/>
          <w:lang w:eastAsia="en-IN"/>
        </w:rPr>
        <w:t>Quercus</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Castanopsis</w:t>
      </w:r>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Rhododendron</w:t>
      </w:r>
      <w:r>
        <w:rPr>
          <w:rFonts w:ascii="Times New Roman" w:eastAsia="Times New Roman" w:hAnsi="Times New Roman" w:cs="Times New Roman"/>
          <w:kern w:val="0"/>
          <w:lang w:eastAsia="en-IN"/>
        </w:rPr>
        <w:t xml:space="preserve"> host abundant populations of ECM mushrooms such as </w:t>
      </w:r>
      <w:r>
        <w:rPr>
          <w:rFonts w:ascii="Times New Roman" w:eastAsia="Times New Roman" w:hAnsi="Times New Roman" w:cs="Times New Roman"/>
          <w:i/>
          <w:iCs/>
          <w:kern w:val="0"/>
          <w:lang w:eastAsia="en-IN"/>
        </w:rPr>
        <w:t>Boletus</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Cantharellus</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Higher elevations support species of </w:t>
      </w:r>
      <w:r>
        <w:rPr>
          <w:rFonts w:ascii="Times New Roman" w:eastAsia="Times New Roman" w:hAnsi="Times New Roman" w:cs="Times New Roman"/>
          <w:i/>
          <w:iCs/>
          <w:kern w:val="0"/>
          <w:lang w:eastAsia="en-IN"/>
        </w:rPr>
        <w:t>Morchella</w:t>
      </w:r>
      <w:r>
        <w:rPr>
          <w:rFonts w:ascii="Times New Roman" w:eastAsia="Times New Roman" w:hAnsi="Times New Roman" w:cs="Times New Roman"/>
          <w:kern w:val="0"/>
          <w:lang w:eastAsia="en-IN"/>
        </w:rPr>
        <w:t xml:space="preserve"> (morels), prized by local communities for their high market value. The Himalayas are also globally recognized for the </w:t>
      </w:r>
      <w:r>
        <w:rPr>
          <w:rFonts w:ascii="Times New Roman" w:eastAsia="Times New Roman" w:hAnsi="Times New Roman" w:cs="Times New Roman"/>
          <w:i/>
          <w:iCs/>
          <w:kern w:val="0"/>
          <w:lang w:eastAsia="en-IN"/>
        </w:rPr>
        <w:t>Ophiocordyceps</w:t>
      </w:r>
      <w:r>
        <w:rPr>
          <w:rFonts w:ascii="Times New Roman" w:eastAsia="Times New Roman" w:hAnsi="Times New Roman" w:cs="Times New Roman"/>
          <w:kern w:val="0"/>
          <w:lang w:eastAsia="en-IN"/>
        </w:rPr>
        <w:t xml:space="preserve"> species, several of which are used in traditional medicine (59,61).</w:t>
      </w:r>
    </w:p>
    <w:p w14:paraId="71B392E8" w14:textId="77777777" w:rsidR="00235AF1" w:rsidRDefault="00235AF1">
      <w:pPr>
        <w:spacing w:after="0" w:line="360" w:lineRule="auto"/>
        <w:jc w:val="both"/>
        <w:rPr>
          <w:rFonts w:ascii="Times New Roman" w:eastAsia="Times New Roman" w:hAnsi="Times New Roman" w:cs="Times New Roman"/>
          <w:kern w:val="0"/>
          <w:lang w:eastAsia="en-IN"/>
        </w:rPr>
      </w:pPr>
    </w:p>
    <w:p w14:paraId="1117AF9E"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North East India, comprising states such as Arunachal Pradesh, Meghalaya, Manipur and Nagaland, remains underexplored but holds enormous potential due to its high rainfall, extensive forest cover, and rich ethnomycological traditions. Local communities have extensive knowledge of wild edible mushrooms, particularly species of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Astraeus</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Cantharellus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Many of these species are harvested seasonally and sold in local markets. Preliminary surveys suggest that the region may be one of India’s richest repositories of macrofungal diversity (63,64). Central India, including Madhya Pradesh and Chhattisgarh, also supports significant macrofungal diversity, particularly in </w:t>
      </w:r>
      <w:proofErr w:type="spellStart"/>
      <w:r>
        <w:rPr>
          <w:rFonts w:ascii="Times New Roman" w:eastAsia="Times New Roman" w:hAnsi="Times New Roman" w:cs="Times New Roman"/>
          <w:kern w:val="0"/>
          <w:lang w:eastAsia="en-IN"/>
        </w:rPr>
        <w:t>sal</w:t>
      </w:r>
      <w:proofErr w:type="spellEnd"/>
      <w:r>
        <w:rPr>
          <w:rFonts w:ascii="Times New Roman" w:eastAsia="Times New Roman" w:hAnsi="Times New Roman" w:cs="Times New Roman"/>
          <w:kern w:val="0"/>
          <w:lang w:eastAsia="en-IN"/>
        </w:rPr>
        <w:t xml:space="preserve">-dominated forests. Species of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Lactifluus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and several </w:t>
      </w:r>
      <w:proofErr w:type="spellStart"/>
      <w:r>
        <w:rPr>
          <w:rFonts w:ascii="Times New Roman" w:eastAsia="Times New Roman" w:hAnsi="Times New Roman" w:cs="Times New Roman"/>
          <w:kern w:val="0"/>
          <w:lang w:eastAsia="en-IN"/>
        </w:rPr>
        <w:t>polypores</w:t>
      </w:r>
      <w:proofErr w:type="spellEnd"/>
      <w:r>
        <w:rPr>
          <w:rFonts w:ascii="Times New Roman" w:eastAsia="Times New Roman" w:hAnsi="Times New Roman" w:cs="Times New Roman"/>
          <w:kern w:val="0"/>
          <w:lang w:eastAsia="en-IN"/>
        </w:rPr>
        <w:t xml:space="preserve"> are commonly recorded. However, systematic studies remain scarce, and the full extent of diversity is unknown (31,32). India’s dryland ecosystems, including those in Rajasthan and the semi-arid regions of Gujarat </w:t>
      </w:r>
      <w:r>
        <w:rPr>
          <w:rFonts w:ascii="Times New Roman" w:eastAsia="Times New Roman" w:hAnsi="Times New Roman" w:cs="Times New Roman"/>
          <w:kern w:val="0"/>
          <w:lang w:eastAsia="en-IN"/>
        </w:rPr>
        <w:lastRenderedPageBreak/>
        <w:t xml:space="preserve">and Telangana, support specialized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that are adapted to low moisture and extreme temperatures. These include puffballs, desert truffles, and soil-crust fungi that contribute to nutrient retention and soil stabilization (35,38).</w:t>
      </w:r>
    </w:p>
    <w:p w14:paraId="54B8F213" w14:textId="77777777" w:rsidR="00235AF1" w:rsidRDefault="00235AF1">
      <w:pPr>
        <w:spacing w:after="0" w:line="360" w:lineRule="auto"/>
        <w:jc w:val="both"/>
        <w:rPr>
          <w:rFonts w:ascii="Times New Roman" w:eastAsia="Times New Roman" w:hAnsi="Times New Roman" w:cs="Times New Roman"/>
          <w:kern w:val="0"/>
          <w:lang w:eastAsia="en-IN"/>
        </w:rPr>
      </w:pPr>
    </w:p>
    <w:p w14:paraId="562BAD26"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Agricultural and plantation systems in India also contain distinctive fungal communities. Tea gardens in Assam and Darjeeling, eucalyptus plantations in the Nilgiris, and pine forests in Himachal Pradesh host both beneficial and pathogenic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Some of these fungi participate in nutrient cycling or form mycorrhizal associations, while others cause root diseases that affect crop and timber productivity (12,32). Despite the evident richness, India lacks comprehensive fungal inventories, long-term monitoring programs, and nationwide databases that integrate molecular identification. Large portions of the country remain unstudied, and many collected specimens are either misidentified or left unnamed due to a lack of expertise in the field. Strengthening mycological research in India is crucial for understanding biodiversity, promoting the sustainable use of wild mushrooms, and informing effective conservation strategies (61,62).</w:t>
      </w:r>
    </w:p>
    <w:p w14:paraId="649E7A5F" w14:textId="77777777" w:rsidR="00235AF1" w:rsidRDefault="00235AF1">
      <w:pPr>
        <w:spacing w:after="0" w:line="360" w:lineRule="auto"/>
        <w:jc w:val="both"/>
        <w:rPr>
          <w:rFonts w:ascii="Times New Roman" w:eastAsia="Times New Roman" w:hAnsi="Times New Roman" w:cs="Times New Roman"/>
          <w:kern w:val="0"/>
          <w:lang w:eastAsia="en-IN"/>
        </w:rPr>
      </w:pPr>
    </w:p>
    <w:p w14:paraId="2EC97A1C"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Edible, culinary and nutritional mushrooms</w:t>
      </w:r>
    </w:p>
    <w:p w14:paraId="025E57B9"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Edible mushrooms, which belong to the Basidiomycetes and Ascomycetes, thrive in diverse environmental conditions, producing a wide range of bioactive compounds. With over 14,000 identified species, 7,000 of which are edible, and 2,000 being high-value edibles, the potential for nutritional and medicinal applications is vast (76). The most commonly cultivated mushrooms worldwide, including </w:t>
      </w:r>
      <w:r>
        <w:rPr>
          <w:rFonts w:ascii="Times New Roman" w:eastAsia="Times New Roman" w:hAnsi="Times New Roman" w:cs="Times New Roman"/>
          <w:i/>
          <w:iCs/>
          <w:kern w:val="0"/>
          <w:lang w:eastAsia="en-IN"/>
        </w:rPr>
        <w:t xml:space="preserve">Agaricus </w:t>
      </w:r>
      <w:proofErr w:type="spellStart"/>
      <w:r>
        <w:rPr>
          <w:rFonts w:ascii="Times New Roman" w:eastAsia="Times New Roman" w:hAnsi="Times New Roman" w:cs="Times New Roman"/>
          <w:i/>
          <w:iCs/>
          <w:kern w:val="0"/>
          <w:lang w:eastAsia="en-IN"/>
        </w:rPr>
        <w:t>bisporus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Lentinus</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edodes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Flammulina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velutipes</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Pleurotus</w:t>
      </w:r>
      <w:proofErr w:type="spellEnd"/>
      <w:r>
        <w:rPr>
          <w:rFonts w:ascii="Times New Roman" w:eastAsia="Times New Roman" w:hAnsi="Times New Roman" w:cs="Times New Roman"/>
          <w:kern w:val="0"/>
          <w:lang w:eastAsia="en-IN"/>
        </w:rPr>
        <w:t xml:space="preserve"> spp., are rich in proteins, </w:t>
      </w:r>
      <w:proofErr w:type="spellStart"/>
      <w:r>
        <w:rPr>
          <w:rFonts w:ascii="Times New Roman" w:eastAsia="Times New Roman" w:hAnsi="Times New Roman" w:cs="Times New Roman"/>
          <w:kern w:val="0"/>
          <w:lang w:eastAsia="en-IN"/>
        </w:rPr>
        <w:t>fibers</w:t>
      </w:r>
      <w:proofErr w:type="spellEnd"/>
      <w:r>
        <w:rPr>
          <w:rFonts w:ascii="Times New Roman" w:eastAsia="Times New Roman" w:hAnsi="Times New Roman" w:cs="Times New Roman"/>
          <w:kern w:val="0"/>
          <w:lang w:eastAsia="en-IN"/>
        </w:rPr>
        <w:t xml:space="preserve">, vitamins (B1, B2, B12, A, D, E) and minerals (iron, copper, manganese, potassium) (77,78). These mushrooms contain bioactive compounds, including polysaccharides (β-glucan), phenolics, flavonoids and terpenoids, which exhibit antioxidant, anti-inflammatory, and immunomodulatory activities (79). Beta-glucan, a predominant polysaccharide in mushroom cell walls, has been shown to possess anti-cancer, anti-oxidant, and immunomodulatory properties (80). Lectin and protein from </w:t>
      </w:r>
      <w:r>
        <w:rPr>
          <w:rFonts w:ascii="Times New Roman" w:eastAsia="Times New Roman" w:hAnsi="Times New Roman" w:cs="Times New Roman"/>
          <w:i/>
          <w:iCs/>
          <w:kern w:val="0"/>
          <w:lang w:eastAsia="en-IN"/>
        </w:rPr>
        <w:t>A. bisporus</w:t>
      </w:r>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spp. have been found to have immune-stimulating properties. These mushrooms can aid in the treatment of serious diseases, such as diabetes and obesity, making them an ideal ingredient for functional foods, nutraceuticals, and pharmaceuticals (81,82).</w:t>
      </w:r>
    </w:p>
    <w:p w14:paraId="7857F59F" w14:textId="77777777" w:rsidR="00235AF1" w:rsidRDefault="00235AF1">
      <w:pPr>
        <w:spacing w:after="0" w:line="360" w:lineRule="auto"/>
        <w:jc w:val="both"/>
        <w:rPr>
          <w:rFonts w:ascii="Times New Roman" w:eastAsia="Times New Roman" w:hAnsi="Times New Roman" w:cs="Times New Roman"/>
          <w:kern w:val="0"/>
          <w:lang w:eastAsia="en-IN"/>
        </w:rPr>
      </w:pPr>
    </w:p>
    <w:p w14:paraId="6176D56A"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Edible mushrooms occupy an important intersection between ecology, nutrition, culture and economics. They provide high-quality nutrients, offer culinary value, and support livelihoods </w:t>
      </w:r>
      <w:r>
        <w:rPr>
          <w:rFonts w:ascii="Times New Roman" w:eastAsia="Times New Roman" w:hAnsi="Times New Roman" w:cs="Times New Roman"/>
          <w:kern w:val="0"/>
          <w:lang w:eastAsia="en-IN"/>
        </w:rPr>
        <w:lastRenderedPageBreak/>
        <w:t xml:space="preserve">through cultivation and wild harvesting. Their biological characteristics also make them well-suited to sustainable food systems, as they can be cultivated on agricultural residues and require relatively low inputs. Understanding their nutritional profile, diversity, and production trends is essential for appreciating their growing role in the global and Indian food landscapes (35). Edible mushrooms are widely recognized for their dense nutrient composition. They contain substantial amounts of protein with a balanced amino acid profile, making them a valuable complement to plant-based diets. Their cell walls contain beta-glucans and other polysaccharides, which are known for their immunomodulatory properties. Mushrooms also provide dietary </w:t>
      </w:r>
      <w:proofErr w:type="spellStart"/>
      <w:r>
        <w:rPr>
          <w:rFonts w:ascii="Times New Roman" w:eastAsia="Times New Roman" w:hAnsi="Times New Roman" w:cs="Times New Roman"/>
          <w:kern w:val="0"/>
          <w:lang w:eastAsia="en-IN"/>
        </w:rPr>
        <w:t>fiber</w:t>
      </w:r>
      <w:proofErr w:type="spellEnd"/>
      <w:r>
        <w:rPr>
          <w:rFonts w:ascii="Times New Roman" w:eastAsia="Times New Roman" w:hAnsi="Times New Roman" w:cs="Times New Roman"/>
          <w:kern w:val="0"/>
          <w:lang w:eastAsia="en-IN"/>
        </w:rPr>
        <w:t>, essential minerals such as selenium, potassium, phosphorus and iron, as well as vitamins including the B-complex group and ergosterol-derived vitamin D (39), as well as lovastatin (70). Unlike many plant foods, mushrooms can synthesize vitamin D when exposed to ultraviolet light, a property that has attracted interest in addressing nutritional deficiencies (45,57).</w:t>
      </w:r>
    </w:p>
    <w:p w14:paraId="26E62FA2" w14:textId="77777777" w:rsidR="00235AF1" w:rsidRDefault="00235AF1">
      <w:pPr>
        <w:spacing w:after="0" w:line="360" w:lineRule="auto"/>
        <w:jc w:val="both"/>
        <w:rPr>
          <w:rFonts w:ascii="Times New Roman" w:eastAsia="Times New Roman" w:hAnsi="Times New Roman" w:cs="Times New Roman"/>
          <w:kern w:val="0"/>
          <w:lang w:eastAsia="en-IN"/>
        </w:rPr>
      </w:pPr>
    </w:p>
    <w:p w14:paraId="67BE1172"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Globally, mushroom cultivation has expanded into a multibillion-dollar sector. Production has risen steadily, driven largely by Asia’s dominance in both traditional and industrial mushroom farming. </w:t>
      </w:r>
      <w:r>
        <w:rPr>
          <w:rFonts w:ascii="Times New Roman" w:eastAsia="Times New Roman" w:hAnsi="Times New Roman" w:cs="Times New Roman"/>
          <w:i/>
          <w:iCs/>
          <w:kern w:val="0"/>
          <w:lang w:eastAsia="en-IN"/>
        </w:rPr>
        <w:t>Agaricus bisporus</w:t>
      </w:r>
      <w:r>
        <w:rPr>
          <w:rFonts w:ascii="Times New Roman" w:eastAsia="Times New Roman" w:hAnsi="Times New Roman" w:cs="Times New Roman"/>
          <w:kern w:val="0"/>
          <w:lang w:eastAsia="en-IN"/>
        </w:rPr>
        <w:t xml:space="preserve"> (white button mushroom) remains the most widely cultivated species, followed by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(oyster mushrooms), </w:t>
      </w:r>
      <w:r>
        <w:rPr>
          <w:rFonts w:ascii="Times New Roman" w:eastAsia="Times New Roman" w:hAnsi="Times New Roman" w:cs="Times New Roman"/>
          <w:i/>
          <w:iCs/>
          <w:kern w:val="0"/>
          <w:lang w:eastAsia="en-IN"/>
        </w:rPr>
        <w:t xml:space="preserve">Lentinula </w:t>
      </w:r>
      <w:proofErr w:type="spellStart"/>
      <w:r>
        <w:rPr>
          <w:rFonts w:ascii="Times New Roman" w:eastAsia="Times New Roman" w:hAnsi="Times New Roman" w:cs="Times New Roman"/>
          <w:i/>
          <w:iCs/>
          <w:kern w:val="0"/>
          <w:lang w:eastAsia="en-IN"/>
        </w:rPr>
        <w:t>edodes</w:t>
      </w:r>
      <w:proofErr w:type="spellEnd"/>
      <w:r>
        <w:rPr>
          <w:rFonts w:ascii="Times New Roman" w:eastAsia="Times New Roman" w:hAnsi="Times New Roman" w:cs="Times New Roman"/>
          <w:kern w:val="0"/>
          <w:lang w:eastAsia="en-IN"/>
        </w:rPr>
        <w:t xml:space="preserve"> (shiitake), </w:t>
      </w:r>
      <w:proofErr w:type="spellStart"/>
      <w:r>
        <w:rPr>
          <w:rFonts w:ascii="Times New Roman" w:eastAsia="Times New Roman" w:hAnsi="Times New Roman" w:cs="Times New Roman"/>
          <w:i/>
          <w:iCs/>
          <w:kern w:val="0"/>
          <w:lang w:eastAsia="en-IN"/>
        </w:rPr>
        <w:t>Flammulina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filiformis</w:t>
      </w:r>
      <w:proofErr w:type="spellEnd"/>
      <w:r>
        <w:rPr>
          <w:rFonts w:ascii="Times New Roman" w:eastAsia="Times New Roman" w:hAnsi="Times New Roman" w:cs="Times New Roman"/>
          <w:kern w:val="0"/>
          <w:lang w:eastAsia="en-IN"/>
        </w:rPr>
        <w:t xml:space="preserve"> (enoki), and </w:t>
      </w:r>
      <w:r>
        <w:rPr>
          <w:rFonts w:ascii="Times New Roman" w:eastAsia="Times New Roman" w:hAnsi="Times New Roman" w:cs="Times New Roman"/>
          <w:i/>
          <w:iCs/>
          <w:kern w:val="0"/>
          <w:lang w:eastAsia="en-IN"/>
        </w:rPr>
        <w:t>Auricularia</w:t>
      </w:r>
      <w:r>
        <w:rPr>
          <w:rFonts w:ascii="Times New Roman" w:eastAsia="Times New Roman" w:hAnsi="Times New Roman" w:cs="Times New Roman"/>
          <w:kern w:val="0"/>
          <w:lang w:eastAsia="en-IN"/>
        </w:rPr>
        <w:t xml:space="preserve"> (wood ear). These species exhibit diverse substrate preferences and climate tolerances, making them adaptable to a range of production systems. Button mushrooms require controlled environments and compost-based substrates, whereas oyster mushrooms thrive on agricultural waste materials, such as paddy straw, wheat straw, and sawdust, allowing for low-cost and decentralized production (31,37). The growth of the global edible mushroom market reflects increasing consumer preference for functional foods and plant-based proteins. Mushrooms contain umami-rich compounds, such as glutamates and nucleotides, that enhance flavour without the need for added salt, making them attractive to health-conscious consumers (34,36). They are also gaining visibility in the culinary world for their versatility. From gourmet truffles and morels to common cultivated varieties, mushrooms are an integral part of cuisines across continents.</w:t>
      </w:r>
    </w:p>
    <w:p w14:paraId="01B03A14"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 </w:t>
      </w:r>
    </w:p>
    <w:p w14:paraId="60B0C7D0"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Button mushrooms dominate the industrial segment due to market familiarity and established supply chains. Oyster mushrooms are popular among small-scale producers because of their simplicity of cultivation and suitability for tropical climates. </w:t>
      </w:r>
      <w:proofErr w:type="spellStart"/>
      <w:r>
        <w:rPr>
          <w:rFonts w:ascii="Times New Roman" w:eastAsia="Times New Roman" w:hAnsi="Times New Roman" w:cs="Times New Roman"/>
          <w:i/>
          <w:iCs/>
          <w:kern w:val="0"/>
          <w:lang w:eastAsia="en-IN"/>
        </w:rPr>
        <w:t>Calocybe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indica</w:t>
      </w:r>
      <w:proofErr w:type="spellEnd"/>
      <w:r>
        <w:rPr>
          <w:rFonts w:ascii="Times New Roman" w:eastAsia="Times New Roman" w:hAnsi="Times New Roman" w:cs="Times New Roman"/>
          <w:kern w:val="0"/>
          <w:lang w:eastAsia="en-IN"/>
        </w:rPr>
        <w:t xml:space="preserve">, commonly known as the milky mushroom, is uniquely adapted to high temperatures and is one of the few </w:t>
      </w:r>
      <w:r>
        <w:rPr>
          <w:rFonts w:ascii="Times New Roman" w:eastAsia="Times New Roman" w:hAnsi="Times New Roman" w:cs="Times New Roman"/>
          <w:kern w:val="0"/>
          <w:lang w:eastAsia="en-IN"/>
        </w:rPr>
        <w:lastRenderedPageBreak/>
        <w:t xml:space="preserve">tropical species cultivated on a large scale in India (21,32). Mushrooms contribute significantly to rural livelihoods. Women’s self-help groups and farmer cooperatives in several Indian states cultivate oyster and milky mushrooms to supplement household incomes (28). These decentralized models rely on low-cost inputs, minimal land requirements, and the ability to use </w:t>
      </w:r>
      <w:proofErr w:type="spellStart"/>
      <w:r>
        <w:rPr>
          <w:rFonts w:ascii="Times New Roman" w:eastAsia="Times New Roman" w:hAnsi="Times New Roman" w:cs="Times New Roman"/>
          <w:kern w:val="0"/>
          <w:lang w:eastAsia="en-IN"/>
        </w:rPr>
        <w:t>agro</w:t>
      </w:r>
      <w:proofErr w:type="spellEnd"/>
      <w:r>
        <w:rPr>
          <w:rFonts w:ascii="Times New Roman" w:eastAsia="Times New Roman" w:hAnsi="Times New Roman" w:cs="Times New Roman"/>
          <w:kern w:val="0"/>
          <w:lang w:eastAsia="en-IN"/>
        </w:rPr>
        <w:t xml:space="preserve">-residues that would otherwise be burned or disposed of. Mushroom cultivation thus aligns with circular agricultural practices and provides a sustainable alternative to residue burning, a growing environmental concern in northern India (24,27). India is also rich in wild edible mushrooms that are harvested seasonally, particularly during the monsoon. Species of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Astraeus</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Cantharellus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are consumed widely in tribal and rural communities.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mushrooms, associated with termite mounds, are especially valued for their flavour and nutritional content. In states such as Odisha, Jharkhand, Chhattisgarh, and parts of the Northeast, wild mushrooms form a significant component of seasonal diets and local markets. Their sale provides supplemental income to forest-dependent communities. However, the absence of formal identification systems or safety regulations poses a risk, as misidentification can lead to poisoning.</w:t>
      </w:r>
    </w:p>
    <w:p w14:paraId="78EE5964" w14:textId="77777777" w:rsidR="00235AF1" w:rsidRDefault="00235AF1">
      <w:pPr>
        <w:spacing w:after="0" w:line="360" w:lineRule="auto"/>
        <w:jc w:val="both"/>
        <w:rPr>
          <w:rFonts w:ascii="Times New Roman" w:eastAsia="Times New Roman" w:hAnsi="Times New Roman" w:cs="Times New Roman"/>
          <w:kern w:val="0"/>
          <w:lang w:eastAsia="en-IN"/>
        </w:rPr>
      </w:pPr>
    </w:p>
    <w:p w14:paraId="6AE85892"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Nutritional studies on Indian wild mushrooms indicate that many species possess protein levels comparable to legumes and contain substantial amounts of micronutrients. Their bioactive compounds show potential for nutraceutical development. Yet, research remains limited, and a systematic evaluation is needed to integrate wild mushrooms into broader nutritional interventions (31,32). Culinary diversity further enriches the cultural relevance of mushrooms. Morels from the Himalayas, known locally as ‘</w:t>
      </w:r>
      <w:proofErr w:type="spellStart"/>
      <w:r>
        <w:rPr>
          <w:rFonts w:ascii="Times New Roman" w:eastAsia="Times New Roman" w:hAnsi="Times New Roman" w:cs="Times New Roman"/>
          <w:kern w:val="0"/>
          <w:lang w:eastAsia="en-IN"/>
        </w:rPr>
        <w:t>guchhi</w:t>
      </w:r>
      <w:proofErr w:type="spellEnd"/>
      <w:r>
        <w:rPr>
          <w:rFonts w:ascii="Times New Roman" w:eastAsia="Times New Roman" w:hAnsi="Times New Roman" w:cs="Times New Roman"/>
          <w:kern w:val="0"/>
          <w:lang w:eastAsia="en-IN"/>
        </w:rPr>
        <w:t xml:space="preserve">’, are among the most prized edible fungi in India and command high prices in domestic and international markets. Their economic significance has led to increased harvesting pressure, yet large-scale cultivation remains challenging due to their specialized ecological requirements. Indigenous communities possess detailed ecological knowledge regarding fruiting conditions, habitats, and safe collection practices, underscoring the importance of ethnomycological studies in documenting traditional expertise. (35,37). Overall, edible mushrooms represent a unique combination of ecological sustainability, nutritional value and economic potential. As interest in functional foods continues to rise, mushrooms are positioned to play an increasingly important role in both global and Indian food systems. Their cultivation aligns with sustainable agriculture, while their wild harvesting reflects deep cultural and ecological ties that merit preservation and scientific support (31,32). Further research is needed to explore the full potential of edible </w:t>
      </w:r>
      <w:r>
        <w:rPr>
          <w:rFonts w:ascii="Times New Roman" w:eastAsia="Times New Roman" w:hAnsi="Times New Roman" w:cs="Times New Roman"/>
          <w:kern w:val="0"/>
          <w:lang w:eastAsia="en-IN"/>
        </w:rPr>
        <w:lastRenderedPageBreak/>
        <w:t>mushrooms and their bioactive compounds, as well as to develop novel therapeutic agents and sustainable alternatives to traditional medicine.</w:t>
      </w:r>
    </w:p>
    <w:p w14:paraId="6E9AD3FE" w14:textId="77777777" w:rsidR="00235AF1" w:rsidRDefault="00235AF1">
      <w:pPr>
        <w:spacing w:after="0" w:line="360" w:lineRule="auto"/>
        <w:jc w:val="both"/>
        <w:rPr>
          <w:rFonts w:ascii="Times New Roman" w:eastAsia="Times New Roman" w:hAnsi="Times New Roman" w:cs="Times New Roman"/>
          <w:kern w:val="0"/>
          <w:lang w:eastAsia="en-IN"/>
        </w:rPr>
      </w:pPr>
    </w:p>
    <w:p w14:paraId="44C3BA53"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Medicinal and bioactive mushrooms</w:t>
      </w:r>
    </w:p>
    <w:p w14:paraId="23CFD028"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Mushrooms have long been recognized in traditional medical systems for their therapeutic properties. However, modern scientific research has significantly expanded the understanding of their bioactive compounds and pharmacological potential. Medicinal mushrooms contain a diverse array of secondary metabolites, including polysaccharides, triterpenes, phenolic compounds, sterols, and peptides, which exhibit immunomodulatory, antioxidant, anti-inflammatory, antitumor, antiviral, hypolipidemic and neuroprotective effects. These properties place them at the interface of natural product chemistry, functional foods, and biomedical innovation (</w:t>
      </w:r>
      <w:r>
        <w:rPr>
          <w:rFonts w:ascii="Times New Roman" w:eastAsia="Times New Roman" w:hAnsi="Times New Roman" w:cs="Times New Roman"/>
          <w:color w:val="0070C0"/>
          <w:kern w:val="0"/>
          <w:lang w:eastAsia="en-IN"/>
        </w:rPr>
        <w:t>Fig. 4</w:t>
      </w:r>
      <w:r>
        <w:rPr>
          <w:rFonts w:ascii="Times New Roman" w:eastAsia="Times New Roman" w:hAnsi="Times New Roman" w:cs="Times New Roman"/>
          <w:kern w:val="0"/>
          <w:lang w:eastAsia="en-IN"/>
        </w:rPr>
        <w:t xml:space="preserve">). Among the most widely studied medicinal mushrooms is </w:t>
      </w:r>
      <w:r>
        <w:rPr>
          <w:rFonts w:ascii="Times New Roman" w:eastAsia="Times New Roman" w:hAnsi="Times New Roman" w:cs="Times New Roman"/>
          <w:i/>
          <w:iCs/>
          <w:kern w:val="0"/>
          <w:lang w:eastAsia="en-IN"/>
        </w:rPr>
        <w:t>Ganoderma lucidum</w:t>
      </w:r>
      <w:r>
        <w:rPr>
          <w:rFonts w:ascii="Times New Roman" w:eastAsia="Times New Roman" w:hAnsi="Times New Roman" w:cs="Times New Roman"/>
          <w:kern w:val="0"/>
          <w:lang w:eastAsia="en-IN"/>
        </w:rPr>
        <w:t>, commonly known as ‘</w:t>
      </w:r>
      <w:proofErr w:type="spellStart"/>
      <w:r>
        <w:rPr>
          <w:rFonts w:ascii="Times New Roman" w:eastAsia="Times New Roman" w:hAnsi="Times New Roman" w:cs="Times New Roman"/>
          <w:kern w:val="0"/>
          <w:lang w:eastAsia="en-IN"/>
        </w:rPr>
        <w:t>reishi</w:t>
      </w:r>
      <w:proofErr w:type="spellEnd"/>
      <w:r>
        <w:rPr>
          <w:rFonts w:ascii="Times New Roman" w:eastAsia="Times New Roman" w:hAnsi="Times New Roman" w:cs="Times New Roman"/>
          <w:kern w:val="0"/>
          <w:lang w:eastAsia="en-IN"/>
        </w:rPr>
        <w:t>’ or ‘</w:t>
      </w:r>
      <w:proofErr w:type="spellStart"/>
      <w:r>
        <w:rPr>
          <w:rFonts w:ascii="Times New Roman" w:eastAsia="Times New Roman" w:hAnsi="Times New Roman" w:cs="Times New Roman"/>
          <w:kern w:val="0"/>
          <w:lang w:eastAsia="en-IN"/>
        </w:rPr>
        <w:t>lingzhi</w:t>
      </w:r>
      <w:proofErr w:type="spellEnd"/>
      <w:r>
        <w:rPr>
          <w:rFonts w:ascii="Times New Roman" w:eastAsia="Times New Roman" w:hAnsi="Times New Roman" w:cs="Times New Roman"/>
          <w:kern w:val="0"/>
          <w:lang w:eastAsia="en-IN"/>
        </w:rPr>
        <w:t xml:space="preserve">’. Its pharmacological relevance stems from triterpenoids and beta-glucans that modulate immune function, inflammatory pathways, and antioxidant defences. Experimental studies suggest that extracts of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 can enhance natural killer cell activity, modulate cytokine production, and inhibit tumour growth </w:t>
      </w:r>
      <w:r>
        <w:rPr>
          <w:rFonts w:ascii="Times New Roman" w:eastAsia="Times New Roman" w:hAnsi="Times New Roman" w:cs="Times New Roman"/>
          <w:i/>
          <w:iCs/>
          <w:kern w:val="0"/>
          <w:lang w:eastAsia="en-IN"/>
        </w:rPr>
        <w:t>in vitro</w:t>
      </w:r>
      <w:r>
        <w:rPr>
          <w:rFonts w:ascii="Times New Roman" w:eastAsia="Times New Roman" w:hAnsi="Times New Roman" w:cs="Times New Roman"/>
          <w:kern w:val="0"/>
          <w:lang w:eastAsia="en-IN"/>
        </w:rPr>
        <w:t xml:space="preserve">. Although clinical evidence is still evolving,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-based nutraceuticals have gained significant popularity across Asia. In India, several species within the genus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 occur naturally. However, taxonomic studies have shown that many specimens previously considered as </w:t>
      </w:r>
      <w:r>
        <w:rPr>
          <w:rFonts w:ascii="Times New Roman" w:eastAsia="Times New Roman" w:hAnsi="Times New Roman" w:cs="Times New Roman"/>
          <w:i/>
          <w:iCs/>
          <w:kern w:val="0"/>
          <w:lang w:eastAsia="en-IN"/>
        </w:rPr>
        <w:t>G. lucidum</w:t>
      </w:r>
      <w:r>
        <w:rPr>
          <w:rFonts w:ascii="Times New Roman" w:eastAsia="Times New Roman" w:hAnsi="Times New Roman" w:cs="Times New Roman"/>
          <w:kern w:val="0"/>
          <w:lang w:eastAsia="en-IN"/>
        </w:rPr>
        <w:t xml:space="preserve"> actually represent distinct species. Accurate species identification is essential because chemical profiles vary significantly between taxa.</w:t>
      </w:r>
    </w:p>
    <w:p w14:paraId="76714560" w14:textId="77777777" w:rsidR="00235AF1" w:rsidRDefault="00182E67">
      <w:pPr>
        <w:spacing w:after="0" w:line="360" w:lineRule="auto"/>
        <w:jc w:val="center"/>
        <w:rPr>
          <w:rFonts w:ascii="Times New Roman" w:eastAsia="Times New Roman" w:hAnsi="Times New Roman" w:cs="Times New Roman"/>
          <w:i/>
          <w:iCs/>
          <w:kern w:val="0"/>
          <w:lang w:eastAsia="en-IN"/>
        </w:rPr>
      </w:pPr>
      <w:r>
        <w:rPr>
          <w:noProof/>
        </w:rPr>
        <w:drawing>
          <wp:inline distT="0" distB="0" distL="0" distR="0" wp14:anchorId="394CEA26" wp14:editId="56BF85C6">
            <wp:extent cx="4638554" cy="2485270"/>
            <wp:effectExtent l="19050" t="19050" r="10160" b="10795"/>
            <wp:docPr id="102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1" cstate="print"/>
                    <a:srcRect/>
                    <a:stretch/>
                  </pic:blipFill>
                  <pic:spPr>
                    <a:xfrm>
                      <a:off x="0" y="0"/>
                      <a:ext cx="4638554" cy="2485270"/>
                    </a:xfrm>
                    <a:prstGeom prst="rect">
                      <a:avLst/>
                    </a:prstGeom>
                    <a:ln w="9525" cap="flat" cmpd="sng">
                      <a:solidFill>
                        <a:srgbClr val="000000"/>
                      </a:solidFill>
                      <a:prstDash val="solid"/>
                      <a:round/>
                      <a:headEnd/>
                      <a:tailEnd/>
                    </a:ln>
                  </pic:spPr>
                </pic:pic>
              </a:graphicData>
            </a:graphic>
          </wp:inline>
        </w:drawing>
      </w:r>
    </w:p>
    <w:p w14:paraId="727F7293" w14:textId="77777777" w:rsidR="00235AF1" w:rsidRDefault="00182E67">
      <w:pPr>
        <w:spacing w:after="0" w:line="360" w:lineRule="auto"/>
        <w:jc w:val="both"/>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 xml:space="preserve">Figure 4. </w:t>
      </w:r>
      <w:r>
        <w:rPr>
          <w:rFonts w:ascii="Times New Roman" w:eastAsia="Times New Roman" w:hAnsi="Times New Roman" w:cs="Times New Roman"/>
          <w:kern w:val="0"/>
          <w:lang w:eastAsia="en-IN"/>
        </w:rPr>
        <w:t>Bioactive compounds from medicinal mushrooms and their applications across pharmaceutical, nutraceutical, nutricosmetic, food and environmental sectors, along with their key health-promoting activities.</w:t>
      </w:r>
    </w:p>
    <w:p w14:paraId="1E5B779A" w14:textId="77777777" w:rsidR="00235AF1" w:rsidRDefault="00235AF1">
      <w:pPr>
        <w:spacing w:after="0" w:line="360" w:lineRule="auto"/>
        <w:jc w:val="both"/>
        <w:rPr>
          <w:rFonts w:ascii="Times New Roman" w:eastAsia="Times New Roman" w:hAnsi="Times New Roman" w:cs="Times New Roman"/>
          <w:kern w:val="0"/>
          <w:lang w:eastAsia="en-IN"/>
        </w:rPr>
      </w:pPr>
    </w:p>
    <w:p w14:paraId="36080EB6"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i/>
          <w:iCs/>
          <w:kern w:val="0"/>
          <w:lang w:eastAsia="en-IN"/>
        </w:rPr>
        <w:t>Lentinula edodes,</w:t>
      </w:r>
      <w:r>
        <w:rPr>
          <w:rFonts w:ascii="Times New Roman" w:eastAsia="Times New Roman" w:hAnsi="Times New Roman" w:cs="Times New Roman"/>
          <w:kern w:val="0"/>
          <w:lang w:eastAsia="en-IN"/>
        </w:rPr>
        <w:t xml:space="preserve"> commonly known as shiitake, contains a well-characterized beta-glucan known as lentinan. Lentinan has been used as an adjuvant in cancer therapy in some countries, particularly for gastric and colorectal cancers. Its mechanism of action involves activation of immune responses rather than direct cytotoxicity, illustrating the role of medicinal mushrooms as biological response modifiers. Shiitake mushrooms also contain </w:t>
      </w:r>
      <w:proofErr w:type="spellStart"/>
      <w:r>
        <w:rPr>
          <w:rFonts w:ascii="Times New Roman" w:eastAsia="Times New Roman" w:hAnsi="Times New Roman" w:cs="Times New Roman"/>
          <w:kern w:val="0"/>
          <w:lang w:eastAsia="en-IN"/>
        </w:rPr>
        <w:t>eritadenine</w:t>
      </w:r>
      <w:proofErr w:type="spellEnd"/>
      <w:r>
        <w:rPr>
          <w:rFonts w:ascii="Times New Roman" w:eastAsia="Times New Roman" w:hAnsi="Times New Roman" w:cs="Times New Roman"/>
          <w:kern w:val="0"/>
          <w:lang w:eastAsia="en-IN"/>
        </w:rPr>
        <w:t xml:space="preserve">, a compound that has been studied for its cholesterol-lowering effects. </w:t>
      </w:r>
      <w:proofErr w:type="spellStart"/>
      <w:r>
        <w:rPr>
          <w:rFonts w:ascii="Times New Roman" w:eastAsia="Times New Roman" w:hAnsi="Times New Roman" w:cs="Times New Roman"/>
          <w:i/>
          <w:iCs/>
          <w:kern w:val="0"/>
          <w:lang w:eastAsia="en-IN"/>
        </w:rPr>
        <w:t>Hericium</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erinaceus</w:t>
      </w:r>
      <w:proofErr w:type="spellEnd"/>
      <w:r>
        <w:rPr>
          <w:rFonts w:ascii="Times New Roman" w:eastAsia="Times New Roman" w:hAnsi="Times New Roman" w:cs="Times New Roman"/>
          <w:kern w:val="0"/>
          <w:lang w:eastAsia="en-IN"/>
        </w:rPr>
        <w:t xml:space="preserve">, commonly known as lion’s mane, has gained attention for its neuroprotective properties. Its unique diterpenoids, known as hericenones and erinacines, stimulate the synthesis of nerve growth factor and may support neuronal regeneration. Preliminary studies suggest potential benefits for cognitive function, mild cognitive impairment, and neurological disorders. As neurodegenerative diseases become increasingly prevalent, interest in </w:t>
      </w:r>
      <w:r>
        <w:rPr>
          <w:rFonts w:ascii="Times New Roman" w:eastAsia="Times New Roman" w:hAnsi="Times New Roman" w:cs="Times New Roman"/>
          <w:i/>
          <w:iCs/>
          <w:kern w:val="0"/>
          <w:lang w:eastAsia="en-IN"/>
        </w:rPr>
        <w:t>Hericium</w:t>
      </w:r>
      <w:r>
        <w:rPr>
          <w:rFonts w:ascii="Times New Roman" w:eastAsia="Times New Roman" w:hAnsi="Times New Roman" w:cs="Times New Roman"/>
          <w:kern w:val="0"/>
          <w:lang w:eastAsia="en-IN"/>
        </w:rPr>
        <w:t>-based supplements continues to grow globally, including within India’s emerging nutraceutical sector.</w:t>
      </w:r>
    </w:p>
    <w:p w14:paraId="6E2925B2" w14:textId="77777777" w:rsidR="00235AF1" w:rsidRDefault="00235AF1">
      <w:pPr>
        <w:spacing w:after="0" w:line="360" w:lineRule="auto"/>
        <w:jc w:val="both"/>
        <w:rPr>
          <w:rFonts w:ascii="Times New Roman" w:eastAsia="Times New Roman" w:hAnsi="Times New Roman" w:cs="Times New Roman"/>
          <w:kern w:val="0"/>
          <w:lang w:eastAsia="en-IN"/>
        </w:rPr>
      </w:pPr>
    </w:p>
    <w:p w14:paraId="3B9805BD"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Species of </w:t>
      </w:r>
      <w:r>
        <w:rPr>
          <w:rFonts w:ascii="Times New Roman" w:eastAsia="Times New Roman" w:hAnsi="Times New Roman" w:cs="Times New Roman"/>
          <w:i/>
          <w:iCs/>
          <w:kern w:val="0"/>
          <w:lang w:eastAsia="en-IN"/>
        </w:rPr>
        <w:t>Cordyceps</w:t>
      </w:r>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Ophiocordyceps</w:t>
      </w:r>
      <w:r>
        <w:rPr>
          <w:rFonts w:ascii="Times New Roman" w:eastAsia="Times New Roman" w:hAnsi="Times New Roman" w:cs="Times New Roman"/>
          <w:kern w:val="0"/>
          <w:lang w:eastAsia="en-IN"/>
        </w:rPr>
        <w:t xml:space="preserve"> genus represent another notable group. These fungi parasitize insects but have been used for a long time in traditional Tibetan and Chinese medicine. </w:t>
      </w:r>
      <w:r>
        <w:rPr>
          <w:rFonts w:ascii="Times New Roman" w:eastAsia="Times New Roman" w:hAnsi="Times New Roman" w:cs="Times New Roman"/>
          <w:i/>
          <w:iCs/>
          <w:kern w:val="0"/>
          <w:lang w:eastAsia="en-IN"/>
        </w:rPr>
        <w:t>Ophiocordyceps sinensis</w:t>
      </w:r>
      <w:r>
        <w:rPr>
          <w:rFonts w:ascii="Times New Roman" w:eastAsia="Times New Roman" w:hAnsi="Times New Roman" w:cs="Times New Roman"/>
          <w:kern w:val="0"/>
          <w:lang w:eastAsia="en-IN"/>
        </w:rPr>
        <w:t xml:space="preserve">, valued for its immunomodulatory and energy-enhancing properties, commands high prices in Himalayan markets. However, its availability has sharply declined due to overharvesting, climate change, and habitat degradation. As a result, </w:t>
      </w:r>
      <w:r>
        <w:rPr>
          <w:rFonts w:ascii="Times New Roman" w:eastAsia="Times New Roman" w:hAnsi="Times New Roman" w:cs="Times New Roman"/>
          <w:i/>
          <w:iCs/>
          <w:kern w:val="0"/>
          <w:lang w:eastAsia="en-IN"/>
        </w:rPr>
        <w:t>Cordyceps militaris</w:t>
      </w:r>
      <w:r>
        <w:rPr>
          <w:rFonts w:ascii="Times New Roman" w:eastAsia="Times New Roman" w:hAnsi="Times New Roman" w:cs="Times New Roman"/>
          <w:kern w:val="0"/>
          <w:lang w:eastAsia="en-IN"/>
        </w:rPr>
        <w:t xml:space="preserve">, which can be cultivated artificially, has become an alternative source of bioactive compounds, including cordycepin and adenosine. India possesses considerable diversity of </w:t>
      </w:r>
      <w:r>
        <w:rPr>
          <w:rFonts w:ascii="Times New Roman" w:eastAsia="Times New Roman" w:hAnsi="Times New Roman" w:cs="Times New Roman"/>
          <w:i/>
          <w:iCs/>
          <w:kern w:val="0"/>
          <w:lang w:eastAsia="en-IN"/>
        </w:rPr>
        <w:t>Cordyceps</w:t>
      </w:r>
      <w:r>
        <w:rPr>
          <w:rFonts w:ascii="Times New Roman" w:eastAsia="Times New Roman" w:hAnsi="Times New Roman" w:cs="Times New Roman"/>
          <w:kern w:val="0"/>
          <w:lang w:eastAsia="en-IN"/>
        </w:rPr>
        <w:t xml:space="preserve"> in the Himalayan region, though research remains limited. Systematic studies would help understand their biochemical potential and ecological roles. Another important medicinal mushroom is </w:t>
      </w:r>
      <w:r>
        <w:rPr>
          <w:rFonts w:ascii="Times New Roman" w:eastAsia="Times New Roman" w:hAnsi="Times New Roman" w:cs="Times New Roman"/>
          <w:i/>
          <w:iCs/>
          <w:kern w:val="0"/>
          <w:lang w:eastAsia="en-IN"/>
        </w:rPr>
        <w:t>Trametes versicolor</w:t>
      </w:r>
      <w:r>
        <w:rPr>
          <w:rFonts w:ascii="Times New Roman" w:eastAsia="Times New Roman" w:hAnsi="Times New Roman" w:cs="Times New Roman"/>
          <w:kern w:val="0"/>
          <w:lang w:eastAsia="en-IN"/>
        </w:rPr>
        <w:t xml:space="preserve">, known for producing </w:t>
      </w:r>
      <w:proofErr w:type="spellStart"/>
      <w:r>
        <w:rPr>
          <w:rFonts w:ascii="Times New Roman" w:eastAsia="Times New Roman" w:hAnsi="Times New Roman" w:cs="Times New Roman"/>
          <w:kern w:val="0"/>
          <w:lang w:eastAsia="en-IN"/>
        </w:rPr>
        <w:t>polysaccharopeptides</w:t>
      </w:r>
      <w:proofErr w:type="spellEnd"/>
      <w:r>
        <w:rPr>
          <w:rFonts w:ascii="Times New Roman" w:eastAsia="Times New Roman" w:hAnsi="Times New Roman" w:cs="Times New Roman"/>
          <w:kern w:val="0"/>
          <w:lang w:eastAsia="en-IN"/>
        </w:rPr>
        <w:t xml:space="preserve"> such as PSK and PSP. These molecules exhibit immunomodulatory and anticancer properties and have been incorporated into complementary cancer therapies in certain countries. Interest in </w:t>
      </w:r>
      <w:r>
        <w:rPr>
          <w:rFonts w:ascii="Times New Roman" w:eastAsia="Times New Roman" w:hAnsi="Times New Roman" w:cs="Times New Roman"/>
          <w:i/>
          <w:iCs/>
          <w:kern w:val="0"/>
          <w:lang w:eastAsia="en-IN"/>
        </w:rPr>
        <w:t>Trametes</w:t>
      </w:r>
      <w:r>
        <w:rPr>
          <w:rFonts w:ascii="Times New Roman" w:eastAsia="Times New Roman" w:hAnsi="Times New Roman" w:cs="Times New Roman"/>
          <w:kern w:val="0"/>
          <w:lang w:eastAsia="en-IN"/>
        </w:rPr>
        <w:t xml:space="preserve"> is increasing due to its accessibility, wide distribution, and ability to grow on a diverse range of substrates.</w:t>
      </w:r>
    </w:p>
    <w:p w14:paraId="5221090A" w14:textId="77777777" w:rsidR="00235AF1" w:rsidRDefault="00235AF1">
      <w:pPr>
        <w:spacing w:after="0" w:line="360" w:lineRule="auto"/>
        <w:jc w:val="both"/>
        <w:rPr>
          <w:rFonts w:ascii="Times New Roman" w:eastAsia="Times New Roman" w:hAnsi="Times New Roman" w:cs="Times New Roman"/>
          <w:kern w:val="0"/>
          <w:lang w:eastAsia="en-IN"/>
        </w:rPr>
      </w:pPr>
    </w:p>
    <w:p w14:paraId="58649541"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Several Indian wild mushrooms remain understudied but hold potential pharmaceutical value. For example, species of </w:t>
      </w:r>
      <w:r>
        <w:rPr>
          <w:rFonts w:ascii="Times New Roman" w:eastAsia="Times New Roman" w:hAnsi="Times New Roman" w:cs="Times New Roman"/>
          <w:i/>
          <w:iCs/>
          <w:kern w:val="0"/>
          <w:lang w:eastAsia="en-IN"/>
        </w:rPr>
        <w:t>Astraeus</w:t>
      </w:r>
      <w:r>
        <w:rPr>
          <w:rFonts w:ascii="Times New Roman" w:eastAsia="Times New Roman" w:hAnsi="Times New Roman" w:cs="Times New Roman"/>
          <w:kern w:val="0"/>
          <w:lang w:eastAsia="en-IN"/>
        </w:rPr>
        <w:t xml:space="preserve">, traditionally consumed in central and eastern India, contain antioxidant and antimicrobial properties. Indigenous communities have long used certain mushrooms to treat gastrointestinal disorders, fevers, and wound infections. These </w:t>
      </w:r>
      <w:r>
        <w:rPr>
          <w:rFonts w:ascii="Times New Roman" w:eastAsia="Times New Roman" w:hAnsi="Times New Roman" w:cs="Times New Roman"/>
          <w:kern w:val="0"/>
          <w:lang w:eastAsia="en-IN"/>
        </w:rPr>
        <w:lastRenderedPageBreak/>
        <w:t>ethnomycological insights can guide scientific exploration, especially when combined with molecular and chemical analyses (61,62). Despite growing interest, challenges remain in the medicinal mushroom sector. Variability in cultivation conditions, strain selection, and extraction methods affects the consistency of bioactive compounds. Standardization is essential for producing reliable medicinal products. Regulatory frameworks, particularly in India, are still evolving, and many mushroom-based supplements enter markets without rigorous clinical validation. Strengthening regulations, establishing quality control laboratories, and promoting collaborative research between mycologists, pharmacologists, and clinicians would help ensure scientific credibility and consumer safety (62,63). Medicinal mushrooms offer opportunities for innovation in the management of chronic diseases, immune health and metabolic disorders. Their bioactive compounds represent a promising frontier in natural therapeutics. Continued research, involving genomic analysis, metabolomics and controlled clinical studies, will deepen our understanding of their mechanisms and support the development of reliable medicinal applications. Integrating indigenous knowledge with modern science will further enhance the discovery of novel compounds, positioning mushrooms as valuable contributors to future healthcare and biotechnology sectors (63,64).</w:t>
      </w:r>
    </w:p>
    <w:p w14:paraId="25BEC98A" w14:textId="77777777" w:rsidR="00235AF1" w:rsidRDefault="00235AF1">
      <w:pPr>
        <w:spacing w:after="0" w:line="360" w:lineRule="auto"/>
        <w:jc w:val="both"/>
        <w:rPr>
          <w:rFonts w:ascii="Times New Roman" w:eastAsia="Times New Roman" w:hAnsi="Times New Roman" w:cs="Times New Roman"/>
          <w:kern w:val="0"/>
          <w:lang w:eastAsia="en-IN"/>
        </w:rPr>
      </w:pPr>
    </w:p>
    <w:p w14:paraId="23466E54"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Mushrooms in ecosystem services and the bioeconomy</w:t>
      </w:r>
    </w:p>
    <w:p w14:paraId="60035306"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Mushrooms also play critical roles in terrestrial ecosystems, contributing to processes that sustain soil health, promote plant productivity, facilitate nutrient turnover, and support carbon storage. Their ecological functions extend beyond their immediate substrates, influencing landscape-level processes and contributing to the stability of both natural and managed ecosystems. At the same time, their metabolic capabilities have positioned them at the forefront of innovations in bioremediation, waste valorisation and the development of bio-based materials. Understanding these roles is essential for integrating fungal knowledge into environmental management and the emerging circular bioeconomy (65).</w:t>
      </w:r>
    </w:p>
    <w:p w14:paraId="7A94E418" w14:textId="77777777" w:rsidR="00235AF1" w:rsidRDefault="00235AF1">
      <w:pPr>
        <w:spacing w:after="0" w:line="360" w:lineRule="auto"/>
        <w:jc w:val="both"/>
        <w:rPr>
          <w:rFonts w:ascii="Times New Roman" w:eastAsia="Times New Roman" w:hAnsi="Times New Roman" w:cs="Times New Roman"/>
          <w:kern w:val="0"/>
          <w:lang w:eastAsia="en-IN"/>
        </w:rPr>
      </w:pPr>
    </w:p>
    <w:p w14:paraId="3CFF6188"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10.1 Soil health, nutrient cycling and carbon dynamics</w:t>
      </w:r>
    </w:p>
    <w:p w14:paraId="2C4D7F24"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Mushrooms, particularly saprotrophic and mycorrhizal species, play a major role in driving soil processes. Saprotrophs decompose organic matter, breaking down plant residues and wood into simpler compounds that enrich the soil organic matter and release essential nutrients, such as nitrogen, phosphorus, and potassium. Their enzymatic systems, particularly ligninolytic enzymes in white-rot fungi, enable the decomposition of complex aromatic molecules that few other organisms can break down. This decomposition regulates the carbon balance of forest </w:t>
      </w:r>
      <w:r>
        <w:rPr>
          <w:rFonts w:ascii="Times New Roman" w:eastAsia="Times New Roman" w:hAnsi="Times New Roman" w:cs="Times New Roman"/>
          <w:kern w:val="0"/>
          <w:lang w:eastAsia="en-IN"/>
        </w:rPr>
        <w:lastRenderedPageBreak/>
        <w:t>floors and influences the long-term storage of carbon in soils (66,67). Mycorrhizal fungi play an equally important but functionally distinct role. Through extensive hyphal networks, they increase the absorptive surface area of plant roots, facilitating uptake of phosphorus, nitrogen, and trace minerals. These fungi form stable soil aggregates by binding particles with hyphae and glomalin-like proteins, improving soil structure and water infiltration. Research has shown that mycorrhizal associations contribute significantly to soil carbon sequestration, as fungal residues and hyphal biomass often persist longer in soil than plant-derived organic matter. In forest ecosystems, mycorrhizal networks form subterranean communication pathways that transfer nutrients among plants, enhance resilience under drought, and mediate plant–plant interactions (68). In India, where soil degradation affects large agricultural regions, mycorrhizal fungi represent an underutilized resource in restoration and sustainable farming. Studies from the Himalayas and central India have demonstrated that inoculating seedlings with native ectomycorrhizal fungi improves survival rates in afforestation programs and enhances the nutrient content in degraded soils. Integrating mycorrhizal management into agroforestry, horticulture, and reforestation could substantially strengthen soil rehabilitation efforts (65,66).</w:t>
      </w:r>
    </w:p>
    <w:p w14:paraId="34134EA9" w14:textId="77777777" w:rsidR="00235AF1" w:rsidRDefault="00235AF1">
      <w:pPr>
        <w:spacing w:after="0" w:line="360" w:lineRule="auto"/>
        <w:jc w:val="both"/>
        <w:rPr>
          <w:rFonts w:ascii="Times New Roman" w:eastAsia="Times New Roman" w:hAnsi="Times New Roman" w:cs="Times New Roman"/>
          <w:kern w:val="0"/>
          <w:lang w:eastAsia="en-IN"/>
        </w:rPr>
      </w:pPr>
    </w:p>
    <w:p w14:paraId="63BD8747"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 xml:space="preserve">10.2 Bioremediation and waste </w:t>
      </w:r>
      <w:proofErr w:type="spellStart"/>
      <w:r>
        <w:rPr>
          <w:rFonts w:ascii="Times New Roman" w:eastAsia="Times New Roman" w:hAnsi="Times New Roman" w:cs="Times New Roman"/>
          <w:b/>
          <w:bCs/>
          <w:kern w:val="0"/>
          <w:lang w:eastAsia="en-IN"/>
        </w:rPr>
        <w:t>valorization</w:t>
      </w:r>
      <w:proofErr w:type="spellEnd"/>
    </w:p>
    <w:p w14:paraId="78FB9F7B"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The metabolic diversity of fungi enables them to break down pollutants that resist conventional degradation pathways. Many mushroom-forming fungi produce extracellular enzymes, including laccases, peroxidases, and oxidases, that can degrade synthetic dyes, pesticides, hydrocarbons, phenols, and industrial effluents. White-rot fungi, such as </w:t>
      </w:r>
      <w:proofErr w:type="spellStart"/>
      <w:r>
        <w:rPr>
          <w:rFonts w:ascii="Times New Roman" w:eastAsia="Times New Roman" w:hAnsi="Times New Roman" w:cs="Times New Roman"/>
          <w:kern w:val="0"/>
          <w:lang w:eastAsia="en-IN"/>
        </w:rPr>
        <w:t>Trametes</w:t>
      </w:r>
      <w:proofErr w:type="spellEnd"/>
      <w:r>
        <w:rPr>
          <w:rFonts w:ascii="Times New Roman" w:eastAsia="Times New Roman" w:hAnsi="Times New Roman" w:cs="Times New Roman"/>
          <w:kern w:val="0"/>
          <w:lang w:eastAsia="en-IN"/>
        </w:rPr>
        <w:t xml:space="preserve"> versicolor and </w:t>
      </w:r>
      <w:proofErr w:type="spellStart"/>
      <w:r>
        <w:rPr>
          <w:rFonts w:ascii="Times New Roman" w:eastAsia="Times New Roman" w:hAnsi="Times New Roman" w:cs="Times New Roman"/>
          <w:i/>
          <w:iCs/>
          <w:kern w:val="0"/>
          <w:lang w:eastAsia="en-IN"/>
        </w:rPr>
        <w:t>Phanerochaete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chrysosporium</w:t>
      </w:r>
      <w:proofErr w:type="spellEnd"/>
      <w:r>
        <w:rPr>
          <w:rFonts w:ascii="Times New Roman" w:eastAsia="Times New Roman" w:hAnsi="Times New Roman" w:cs="Times New Roman"/>
          <w:kern w:val="0"/>
          <w:lang w:eastAsia="en-IN"/>
        </w:rPr>
        <w:t>, are frequently studied for their ability to degrade recalcitrant pollutants and detoxify waste streams (61,62). Bioremediation using mushrooms has shown promising results in treating textile wastewater, which poses a significant environmental challenge in India. Experiments with fungal bioreactors have demonstrated substantial reductions in dye concentration, chemical oxygen demand, and toxicity. Similarly, fungi have been used to degrade pesticide residues in agricultural soils, offering a biological alternative to costly chemical remediation strategies.</w:t>
      </w:r>
    </w:p>
    <w:p w14:paraId="68223914" w14:textId="77777777" w:rsidR="00235AF1" w:rsidRDefault="00235AF1">
      <w:pPr>
        <w:spacing w:after="0" w:line="360" w:lineRule="auto"/>
        <w:jc w:val="both"/>
        <w:rPr>
          <w:rFonts w:ascii="Times New Roman" w:eastAsia="Times New Roman" w:hAnsi="Times New Roman" w:cs="Times New Roman"/>
          <w:kern w:val="0"/>
          <w:lang w:eastAsia="en-IN"/>
        </w:rPr>
      </w:pPr>
    </w:p>
    <w:p w14:paraId="03F496CD"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Waste </w:t>
      </w:r>
      <w:proofErr w:type="spellStart"/>
      <w:r>
        <w:rPr>
          <w:rFonts w:ascii="Times New Roman" w:eastAsia="Times New Roman" w:hAnsi="Times New Roman" w:cs="Times New Roman"/>
          <w:kern w:val="0"/>
          <w:lang w:eastAsia="en-IN"/>
        </w:rPr>
        <w:t>valorization</w:t>
      </w:r>
      <w:proofErr w:type="spellEnd"/>
      <w:r>
        <w:rPr>
          <w:rFonts w:ascii="Times New Roman" w:eastAsia="Times New Roman" w:hAnsi="Times New Roman" w:cs="Times New Roman"/>
          <w:kern w:val="0"/>
          <w:lang w:eastAsia="en-IN"/>
        </w:rPr>
        <w:t xml:space="preserve"> is another emerging area where mushrooms play a central role. Agricultural residues, such as straw, husks, bagasse and sawdust, can be utilized as substrates for mushroom cultivation, converting low-value waste into edible biomass. After harvesting, the spent mushroom substrate retains a significant amount of nutrient content and can be used as an </w:t>
      </w:r>
      <w:r>
        <w:rPr>
          <w:rFonts w:ascii="Times New Roman" w:eastAsia="Times New Roman" w:hAnsi="Times New Roman" w:cs="Times New Roman"/>
          <w:kern w:val="0"/>
          <w:lang w:eastAsia="en-IN"/>
        </w:rPr>
        <w:lastRenderedPageBreak/>
        <w:t>organic fertilizer or soil conditioner. This circular process contributes to waste reduction, soil enrichment, and the development of sustainable rural economies (61,65). Innovative applications extend to solid waste management. Studies have explored fungal degradation of plastics, including bioplastics and certain synthetic polymers. Research groups have demonstrated that specific fungi can metabolize components of composite materials, suggesting potential pathways for reducing plastic accumulation in landfills. Although these applications remain experimental, they highlight the versatility of fungal metabolism and its potential for addressing global waste challenges. (61).</w:t>
      </w:r>
    </w:p>
    <w:p w14:paraId="5949E47A" w14:textId="77777777" w:rsidR="00235AF1" w:rsidRDefault="00235AF1">
      <w:pPr>
        <w:spacing w:after="0" w:line="360" w:lineRule="auto"/>
        <w:jc w:val="both"/>
        <w:rPr>
          <w:rFonts w:ascii="Times New Roman" w:eastAsia="Times New Roman" w:hAnsi="Times New Roman" w:cs="Times New Roman"/>
          <w:kern w:val="0"/>
          <w:lang w:eastAsia="en-IN"/>
        </w:rPr>
      </w:pPr>
    </w:p>
    <w:p w14:paraId="02CF0A65"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10.3 Mycelium-based materials and circular bioeconomy innovations</w:t>
      </w:r>
    </w:p>
    <w:p w14:paraId="5BCE71A6"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Mycelium, the vegetative network of fungi, has unique structural and biochemical properties that make it suitable for the fabrication of novel bio-based materials (</w:t>
      </w:r>
      <w:r>
        <w:rPr>
          <w:rFonts w:ascii="Times New Roman" w:eastAsia="Times New Roman" w:hAnsi="Times New Roman" w:cs="Times New Roman"/>
          <w:color w:val="0070C0"/>
          <w:kern w:val="0"/>
          <w:lang w:eastAsia="en-IN"/>
        </w:rPr>
        <w:t>Fig. 5</w:t>
      </w:r>
      <w:r>
        <w:rPr>
          <w:rFonts w:ascii="Times New Roman" w:eastAsia="Times New Roman" w:hAnsi="Times New Roman" w:cs="Times New Roman"/>
          <w:kern w:val="0"/>
          <w:lang w:eastAsia="en-IN"/>
        </w:rPr>
        <w:t>). When grown on agricultural by-products, mycelium binds substrate particles into lightweight, durable composites that can be moulded into packaging materials, insulation boards, bricks, and acoustic panels. These materials are biodegradable, energy-efficient to produce, and free from the toxic emissions associated with synthetic foams and plastics (71). The global rise of mycelium-based innovations has attracted interest from both academic and industrial sectors. Start-ups and design firms have developed packaging materials to replace polystyrene, structural panels for interior construction, and even mycelium-based leather alternatives for the fashion industry. These developments align with principles of the circular economy, using renewable resources and minimizing environmental impact (72).</w:t>
      </w:r>
    </w:p>
    <w:p w14:paraId="19EAC68D" w14:textId="77777777" w:rsidR="00235AF1" w:rsidRDefault="00182E67">
      <w:pPr>
        <w:spacing w:after="0" w:line="360" w:lineRule="auto"/>
        <w:jc w:val="center"/>
        <w:rPr>
          <w:rFonts w:ascii="Times New Roman" w:eastAsia="Times New Roman" w:hAnsi="Times New Roman" w:cs="Times New Roman"/>
          <w:kern w:val="0"/>
          <w:lang w:eastAsia="en-IN"/>
        </w:rPr>
      </w:pPr>
      <w:r>
        <w:rPr>
          <w:rFonts w:ascii="Times New Roman" w:eastAsia="Times New Roman" w:hAnsi="Times New Roman" w:cs="Times New Roman"/>
          <w:noProof/>
          <w:kern w:val="0"/>
          <w:lang w:eastAsia="en-IN"/>
        </w:rPr>
        <w:drawing>
          <wp:inline distT="0" distB="0" distL="0" distR="0" wp14:anchorId="0C7BF232" wp14:editId="0A0725E9">
            <wp:extent cx="3569917" cy="2189571"/>
            <wp:effectExtent l="0" t="0" r="0" b="127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2" cstate="print"/>
                    <a:srcRect/>
                    <a:stretch/>
                  </pic:blipFill>
                  <pic:spPr>
                    <a:xfrm>
                      <a:off x="0" y="0"/>
                      <a:ext cx="3569917" cy="2189571"/>
                    </a:xfrm>
                    <a:prstGeom prst="rect">
                      <a:avLst/>
                    </a:prstGeom>
                    <a:ln>
                      <a:noFill/>
                    </a:ln>
                  </pic:spPr>
                </pic:pic>
              </a:graphicData>
            </a:graphic>
          </wp:inline>
        </w:drawing>
      </w:r>
    </w:p>
    <w:p w14:paraId="5ECFC026" w14:textId="77777777" w:rsidR="00235AF1" w:rsidRDefault="00182E67">
      <w:pPr>
        <w:spacing w:after="0" w:line="360" w:lineRule="auto"/>
        <w:jc w:val="both"/>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 xml:space="preserve">Figure 5. </w:t>
      </w:r>
      <w:r>
        <w:rPr>
          <w:rFonts w:ascii="Times New Roman" w:hAnsi="Times New Roman" w:cs="Times New Roman"/>
        </w:rPr>
        <w:t>Sustainable materials and bioproducts from mushrooms,</w:t>
      </w:r>
      <w:r>
        <w:rPr>
          <w:rFonts w:ascii="Times New Roman" w:hAnsi="Times New Roman" w:cs="Times New Roman"/>
          <w:b/>
          <w:bCs/>
        </w:rPr>
        <w:t xml:space="preserve"> a).</w:t>
      </w:r>
      <w:r>
        <w:rPr>
          <w:rFonts w:ascii="Times New Roman" w:hAnsi="Times New Roman" w:cs="Times New Roman"/>
        </w:rPr>
        <w:t xml:space="preserve"> Mycelium-based packaging material, </w:t>
      </w:r>
      <w:r>
        <w:rPr>
          <w:rFonts w:ascii="Times New Roman" w:hAnsi="Times New Roman" w:cs="Times New Roman"/>
          <w:b/>
          <w:bCs/>
        </w:rPr>
        <w:t>b).</w:t>
      </w:r>
      <w:r>
        <w:rPr>
          <w:rFonts w:ascii="Times New Roman" w:hAnsi="Times New Roman" w:cs="Times New Roman"/>
        </w:rPr>
        <w:t xml:space="preserve"> Mycelium composites for construction, </w:t>
      </w:r>
      <w:r>
        <w:rPr>
          <w:rFonts w:ascii="Times New Roman" w:hAnsi="Times New Roman" w:cs="Times New Roman"/>
          <w:b/>
          <w:bCs/>
        </w:rPr>
        <w:t>c).</w:t>
      </w:r>
      <w:r>
        <w:rPr>
          <w:rFonts w:ascii="Times New Roman" w:hAnsi="Times New Roman" w:cs="Times New Roman"/>
        </w:rPr>
        <w:t xml:space="preserve"> Mycelium-based vegan leather for textile industries,</w:t>
      </w:r>
      <w:r>
        <w:rPr>
          <w:rFonts w:ascii="Times New Roman" w:hAnsi="Times New Roman" w:cs="Times New Roman"/>
          <w:b/>
          <w:bCs/>
        </w:rPr>
        <w:t xml:space="preserve"> d). </w:t>
      </w:r>
      <w:r>
        <w:rPr>
          <w:rFonts w:ascii="Times New Roman" w:hAnsi="Times New Roman" w:cs="Times New Roman"/>
        </w:rPr>
        <w:t xml:space="preserve">Fungal mycelium for medical uses, </w:t>
      </w:r>
      <w:r>
        <w:rPr>
          <w:rFonts w:ascii="Times New Roman" w:hAnsi="Times New Roman" w:cs="Times New Roman"/>
          <w:b/>
          <w:bCs/>
        </w:rPr>
        <w:t>e).</w:t>
      </w:r>
      <w:r>
        <w:rPr>
          <w:rFonts w:ascii="Times New Roman" w:hAnsi="Times New Roman" w:cs="Times New Roman"/>
        </w:rPr>
        <w:t xml:space="preserve"> Mycelium </w:t>
      </w:r>
      <w:r>
        <w:rPr>
          <w:rFonts w:ascii="Times New Roman" w:hAnsi="Times New Roman" w:cs="Times New Roman"/>
        </w:rPr>
        <w:lastRenderedPageBreak/>
        <w:t xml:space="preserve">biodegradable wooden scaffold, </w:t>
      </w:r>
      <w:r>
        <w:rPr>
          <w:rFonts w:ascii="Times New Roman" w:hAnsi="Times New Roman" w:cs="Times New Roman"/>
          <w:b/>
          <w:bCs/>
        </w:rPr>
        <w:t>f).</w:t>
      </w:r>
      <w:r>
        <w:rPr>
          <w:rFonts w:ascii="Times New Roman" w:hAnsi="Times New Roman" w:cs="Times New Roman"/>
        </w:rPr>
        <w:t xml:space="preserve"> Mycelium-based products in the pharmaceutical industries and </w:t>
      </w:r>
      <w:r>
        <w:rPr>
          <w:rFonts w:ascii="Times New Roman" w:hAnsi="Times New Roman" w:cs="Times New Roman"/>
          <w:b/>
          <w:bCs/>
        </w:rPr>
        <w:t>g).</w:t>
      </w:r>
      <w:r>
        <w:rPr>
          <w:rFonts w:ascii="Times New Roman" w:hAnsi="Times New Roman" w:cs="Times New Roman"/>
        </w:rPr>
        <w:t xml:space="preserve"> Use of edible fungal mycelium in functional foods. </w:t>
      </w:r>
    </w:p>
    <w:p w14:paraId="630B6318" w14:textId="77777777" w:rsidR="00235AF1" w:rsidRDefault="00235AF1">
      <w:pPr>
        <w:spacing w:after="0" w:line="360" w:lineRule="auto"/>
        <w:jc w:val="both"/>
        <w:rPr>
          <w:rFonts w:ascii="Times New Roman" w:eastAsia="Times New Roman" w:hAnsi="Times New Roman" w:cs="Times New Roman"/>
          <w:b/>
          <w:bCs/>
          <w:kern w:val="0"/>
          <w:lang w:eastAsia="en-IN"/>
        </w:rPr>
      </w:pPr>
    </w:p>
    <w:p w14:paraId="46E58222"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India possesses considerable potential for developing mycelium materials due to the abundance of agricultural residues, including rice straw, wheat straw, coconut coir, and sugarcane bagasse. Integrating mushroom cultivation with material production could support rural entrepreneurship, reduce waste and generate eco-friendly industrial products. This dual-use model enables communities to produce both edible mushrooms and biodegradable materials from the same substrate, thereby maximizing value and minimizing their environmental footprint (50,51). Mycelium technology also intersects with ecological restoration. Experimental studies have explored the use of mycelial mats to stabilize soils, filter pollutants, and promote vegetation growth in degraded landscapes. These ecological applications are particularly relevant for India’s efforts to reclaim mined lands, riverbanks, and urban green spaces (53,54). Mushrooms thus contribute not only to ecological balance but also to technological innovation. Their integration into bioremediation, waste </w:t>
      </w:r>
      <w:proofErr w:type="spellStart"/>
      <w:r>
        <w:rPr>
          <w:rFonts w:ascii="Times New Roman" w:eastAsia="Times New Roman" w:hAnsi="Times New Roman" w:cs="Times New Roman"/>
          <w:kern w:val="0"/>
          <w:lang w:eastAsia="en-IN"/>
        </w:rPr>
        <w:t>valorization</w:t>
      </w:r>
      <w:proofErr w:type="spellEnd"/>
      <w:r>
        <w:rPr>
          <w:rFonts w:ascii="Times New Roman" w:eastAsia="Times New Roman" w:hAnsi="Times New Roman" w:cs="Times New Roman"/>
          <w:kern w:val="0"/>
          <w:lang w:eastAsia="en-IN"/>
        </w:rPr>
        <w:t xml:space="preserve"> and material science demonstrates the versatility of fungi and their potential to support sustainable development goals. As research advances, mushroom-based technologies may become central to low-carbon manufacturing and regenerative environmental management (55,56).</w:t>
      </w:r>
    </w:p>
    <w:p w14:paraId="6DBE3A33" w14:textId="77777777" w:rsidR="00235AF1" w:rsidRDefault="00235AF1">
      <w:pPr>
        <w:spacing w:after="0" w:line="360" w:lineRule="auto"/>
        <w:jc w:val="both"/>
        <w:outlineLvl w:val="0"/>
        <w:rPr>
          <w:rFonts w:ascii="Times New Roman" w:eastAsia="Times New Roman" w:hAnsi="Times New Roman" w:cs="Times New Roman"/>
          <w:kern w:val="0"/>
          <w:lang w:eastAsia="en-IN"/>
        </w:rPr>
      </w:pPr>
    </w:p>
    <w:p w14:paraId="35CBAD4A" w14:textId="77777777" w:rsidR="00235AF1" w:rsidRDefault="00182E67">
      <w:pPr>
        <w:pStyle w:val="ListParagraph"/>
        <w:numPr>
          <w:ilvl w:val="1"/>
          <w:numId w:val="10"/>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 xml:space="preserve"> Production systems, markets and value chains</w:t>
      </w:r>
    </w:p>
    <w:p w14:paraId="61C3C5F9"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The global mushroom industry has evolved from a relatively small-scale agricultural activity into a significant sector of the food, nutraceutical, and biotechnology industries. This rapid expansion is driven by rising consumer demand for nutrient-dense and functional foods, increasing adoption of plant-based dietary patterns and heightened awareness of mushrooms as environmentally sustainable commodities. Mushrooms require comparatively low land, water and energy inputs, and their ability to utilise lignocellulosic agricultural residues positions them as a key component of circular bioeconomy frameworks. Globally, production systems range from highly mechanised, climate-controlled facilities to semi-intensive and smallholder-based units that rely on regionally available substrates and traditional cultivation practices. These systems differ in their technological sophistication and economic scale but are unified by the biological efficiency of fungi to convert agricultural waste into high-value edible biomass through rapid mycelial colonisation and fruiting.</w:t>
      </w:r>
    </w:p>
    <w:p w14:paraId="2E8ED659" w14:textId="77777777" w:rsidR="00235AF1" w:rsidRDefault="00235AF1">
      <w:pPr>
        <w:spacing w:after="0" w:line="360" w:lineRule="auto"/>
        <w:jc w:val="both"/>
        <w:outlineLvl w:val="0"/>
        <w:rPr>
          <w:rFonts w:ascii="Times New Roman" w:hAnsi="Times New Roman" w:cs="Times New Roman"/>
        </w:rPr>
      </w:pPr>
    </w:p>
    <w:p w14:paraId="38C1D598"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lastRenderedPageBreak/>
        <w:t>In addition to food production, the industry increasingly intersects with biotechnology, where mushrooms and their mycelia serve as sources of bioactive compounds, enzymes, polysaccharides, immunomodulatory molecules, and sustainable biomaterials. The diversification of mushroom value chains—encompassing fresh produce, minimally processed goods, dried products, fortified foods, functional ingredients and medicinal extracts has further supported global market growth. Understanding these production systems and associated value chains is essential for interpreting global trends, assessing competitiveness and identifying opportunities for technological advancement. Such insights are particularly important for analysing the rapidly evolving mushroom sector in India, where expanding production capacity, improved substrate utilisation, and growing interest in value-added products are shaping the industry's future trajectory (56,57).</w:t>
      </w:r>
    </w:p>
    <w:p w14:paraId="63D9C6A9" w14:textId="77777777" w:rsidR="003B4A50" w:rsidRDefault="003B4A50">
      <w:pPr>
        <w:spacing w:after="0" w:line="360" w:lineRule="auto"/>
        <w:jc w:val="both"/>
        <w:outlineLvl w:val="0"/>
        <w:rPr>
          <w:rFonts w:ascii="Times New Roman" w:hAnsi="Times New Roman" w:cs="Times New Roman"/>
        </w:rPr>
      </w:pPr>
    </w:p>
    <w:p w14:paraId="4ECEA125" w14:textId="77777777" w:rsidR="003B4A50" w:rsidRPr="003B4A50" w:rsidRDefault="003B4A50" w:rsidP="003B4A50">
      <w:pPr>
        <w:pStyle w:val="ListParagraph"/>
        <w:numPr>
          <w:ilvl w:val="0"/>
          <w:numId w:val="10"/>
        </w:numPr>
        <w:jc w:val="both"/>
        <w:rPr>
          <w:rFonts w:asciiTheme="majorBidi" w:hAnsiTheme="majorBidi" w:cstheme="majorBidi"/>
          <w:b/>
          <w:bCs/>
          <w:highlight w:val="yellow"/>
        </w:rPr>
      </w:pPr>
      <w:r w:rsidRPr="003B4A50">
        <w:rPr>
          <w:rFonts w:asciiTheme="majorBidi" w:hAnsiTheme="majorBidi" w:cstheme="majorBidi"/>
          <w:b/>
          <w:bCs/>
          <w:highlight w:val="yellow"/>
        </w:rPr>
        <w:t>Toxicological risks of mushrooms</w:t>
      </w:r>
    </w:p>
    <w:p w14:paraId="24B3EBE2" w14:textId="596223CF" w:rsidR="003B4A50" w:rsidRDefault="003B4A50" w:rsidP="003B4A50">
      <w:pPr>
        <w:spacing w:line="360" w:lineRule="auto"/>
        <w:jc w:val="both"/>
        <w:rPr>
          <w:rFonts w:asciiTheme="majorBidi" w:hAnsiTheme="majorBidi" w:cstheme="majorBidi"/>
        </w:rPr>
      </w:pPr>
      <w:r w:rsidRPr="003B4A50">
        <w:rPr>
          <w:rFonts w:asciiTheme="majorBidi" w:hAnsiTheme="majorBidi" w:cstheme="majorBidi"/>
        </w:rPr>
        <w:t>Edible mushrooms have long been valued not only for their culinary appeal but also for their significant nutritional and medicinal properties (</w:t>
      </w:r>
      <w:r w:rsidRPr="003B4A50">
        <w:rPr>
          <w:rFonts w:asciiTheme="majorBidi" w:hAnsiTheme="majorBidi" w:cstheme="majorBidi"/>
          <w:color w:val="00B0F0"/>
        </w:rPr>
        <w:t>99</w:t>
      </w:r>
      <w:r w:rsidRPr="003B4A50">
        <w:rPr>
          <w:rFonts w:asciiTheme="majorBidi" w:hAnsiTheme="majorBidi" w:cstheme="majorBidi"/>
        </w:rPr>
        <w:t xml:space="preserve">). However, some mushrooms pose serious toxicological risks, primarily due to the presence of naturally occurring toxins in certain species and the frequent misidentification of wild mushrooms. These risks range from mild gastrointestinal distress to total organ failure, highlighting the importance of awareness for safe foraging and consumption. Poisonous genera such as </w:t>
      </w:r>
      <w:r w:rsidRPr="003B4A50">
        <w:rPr>
          <w:rFonts w:asciiTheme="majorBidi" w:hAnsiTheme="majorBidi" w:cstheme="majorBidi"/>
          <w:i/>
          <w:iCs/>
        </w:rPr>
        <w:t>Amanita</w:t>
      </w:r>
      <w:r w:rsidRPr="003B4A50">
        <w:rPr>
          <w:rFonts w:asciiTheme="majorBidi" w:hAnsiTheme="majorBidi" w:cstheme="majorBidi"/>
        </w:rPr>
        <w:t xml:space="preserve">, </w:t>
      </w:r>
      <w:proofErr w:type="spellStart"/>
      <w:r w:rsidRPr="003B4A50">
        <w:rPr>
          <w:rFonts w:asciiTheme="majorBidi" w:hAnsiTheme="majorBidi" w:cstheme="majorBidi"/>
          <w:i/>
          <w:iCs/>
        </w:rPr>
        <w:t>Cortinarius</w:t>
      </w:r>
      <w:proofErr w:type="spellEnd"/>
      <w:r w:rsidRPr="003B4A50">
        <w:rPr>
          <w:rFonts w:asciiTheme="majorBidi" w:hAnsiTheme="majorBidi" w:cstheme="majorBidi"/>
        </w:rPr>
        <w:t xml:space="preserve">, </w:t>
      </w:r>
      <w:r w:rsidRPr="003B4A50">
        <w:rPr>
          <w:rFonts w:asciiTheme="majorBidi" w:hAnsiTheme="majorBidi" w:cstheme="majorBidi"/>
          <w:i/>
          <w:iCs/>
        </w:rPr>
        <w:t>Gyromitra</w:t>
      </w:r>
      <w:r w:rsidRPr="003B4A50">
        <w:rPr>
          <w:rFonts w:asciiTheme="majorBidi" w:hAnsiTheme="majorBidi" w:cstheme="majorBidi"/>
        </w:rPr>
        <w:t xml:space="preserve">, </w:t>
      </w:r>
      <w:proofErr w:type="spellStart"/>
      <w:r w:rsidRPr="003B4A50">
        <w:rPr>
          <w:rFonts w:asciiTheme="majorBidi" w:hAnsiTheme="majorBidi" w:cstheme="majorBidi"/>
          <w:i/>
          <w:iCs/>
        </w:rPr>
        <w:t>Inocybe</w:t>
      </w:r>
      <w:proofErr w:type="spellEnd"/>
      <w:r w:rsidRPr="003B4A50">
        <w:rPr>
          <w:rFonts w:asciiTheme="majorBidi" w:hAnsiTheme="majorBidi" w:cstheme="majorBidi"/>
        </w:rPr>
        <w:t xml:space="preserve"> and </w:t>
      </w:r>
      <w:proofErr w:type="spellStart"/>
      <w:r w:rsidRPr="003B4A50">
        <w:rPr>
          <w:rFonts w:asciiTheme="majorBidi" w:hAnsiTheme="majorBidi" w:cstheme="majorBidi"/>
          <w:i/>
          <w:iCs/>
        </w:rPr>
        <w:t>Clitocybe</w:t>
      </w:r>
      <w:proofErr w:type="spellEnd"/>
      <w:r w:rsidRPr="003B4A50">
        <w:rPr>
          <w:rFonts w:asciiTheme="majorBidi" w:hAnsiTheme="majorBidi" w:cstheme="majorBidi"/>
        </w:rPr>
        <w:t xml:space="preserve"> are responsible for most severe and fatal cases of mushroom poisoning (</w:t>
      </w:r>
      <w:r w:rsidRPr="003B4A50">
        <w:rPr>
          <w:rFonts w:asciiTheme="majorBidi" w:hAnsiTheme="majorBidi" w:cstheme="majorBidi"/>
          <w:color w:val="00B0F0"/>
        </w:rPr>
        <w:t>100,101,102,103</w:t>
      </w:r>
      <w:r w:rsidRPr="003B4A50">
        <w:rPr>
          <w:rFonts w:asciiTheme="majorBidi" w:hAnsiTheme="majorBidi" w:cstheme="majorBidi"/>
        </w:rPr>
        <w:t>).</w:t>
      </w:r>
    </w:p>
    <w:p w14:paraId="3E8F11B0" w14:textId="77777777" w:rsidR="003B4A50" w:rsidRPr="003B4A50" w:rsidRDefault="003B4A50" w:rsidP="003B4A50">
      <w:pPr>
        <w:pStyle w:val="NoSpacing"/>
      </w:pPr>
    </w:p>
    <w:p w14:paraId="04CA4803" w14:textId="77777777" w:rsidR="003B4A50" w:rsidRDefault="003B4A50" w:rsidP="003B4A50">
      <w:pPr>
        <w:spacing w:line="360" w:lineRule="auto"/>
        <w:jc w:val="both"/>
        <w:rPr>
          <w:rFonts w:asciiTheme="majorBidi" w:hAnsiTheme="majorBidi" w:cstheme="majorBidi"/>
          <w:b/>
          <w:bCs/>
        </w:rPr>
      </w:pPr>
      <w:r w:rsidRPr="003B4A50">
        <w:rPr>
          <w:rFonts w:asciiTheme="majorBidi" w:hAnsiTheme="majorBidi" w:cstheme="majorBidi"/>
        </w:rPr>
        <w:t xml:space="preserve">Among these, amatoxin-containing mushrooms, particularly </w:t>
      </w:r>
      <w:r w:rsidRPr="003B4A50">
        <w:rPr>
          <w:rFonts w:asciiTheme="majorBidi" w:hAnsiTheme="majorBidi" w:cstheme="majorBidi"/>
          <w:i/>
          <w:iCs/>
        </w:rPr>
        <w:t>Amanita phalloides</w:t>
      </w:r>
      <w:r w:rsidRPr="003B4A50">
        <w:rPr>
          <w:rFonts w:asciiTheme="majorBidi" w:hAnsiTheme="majorBidi" w:cstheme="majorBidi"/>
        </w:rPr>
        <w:t xml:space="preserve">, are of greatest concern due to their potent inhibition of RNA polymerase II, leading to acute liver failure with high mortality if treatment is delayed. Other toxins, such as </w:t>
      </w:r>
      <w:proofErr w:type="spellStart"/>
      <w:r w:rsidRPr="003B4A50">
        <w:rPr>
          <w:rFonts w:asciiTheme="majorBidi" w:hAnsiTheme="majorBidi" w:cstheme="majorBidi"/>
        </w:rPr>
        <w:t>orellanine</w:t>
      </w:r>
      <w:proofErr w:type="spellEnd"/>
      <w:r w:rsidRPr="003B4A50">
        <w:rPr>
          <w:rFonts w:asciiTheme="majorBidi" w:hAnsiTheme="majorBidi" w:cstheme="majorBidi"/>
        </w:rPr>
        <w:t>, gyromitrin and muscarine, cause renal, neurological, and autonomic dysfunction, respectively. Importantly, many of these toxins are heat-stable and remain intact after cooking or drying, thereby increasing the risk of poisoning through traditional food preparation practices (</w:t>
      </w:r>
      <w:r w:rsidRPr="003B4A50">
        <w:rPr>
          <w:rFonts w:asciiTheme="majorBidi" w:hAnsiTheme="majorBidi" w:cstheme="majorBidi"/>
          <w:color w:val="00B0F0"/>
        </w:rPr>
        <w:t>104</w:t>
      </w:r>
      <w:r w:rsidRPr="003B4A50">
        <w:rPr>
          <w:rFonts w:asciiTheme="majorBidi" w:hAnsiTheme="majorBidi" w:cstheme="majorBidi"/>
        </w:rPr>
        <w:t>). Mushroom toxins are broadly categorized according to their primary target organs and latency periods, which complicates diagnosis and treatment. These include hepatotoxic toxins (amatoxins), nephrotoxic toxins (</w:t>
      </w:r>
      <w:proofErr w:type="spellStart"/>
      <w:r w:rsidRPr="003B4A50">
        <w:rPr>
          <w:rFonts w:asciiTheme="majorBidi" w:hAnsiTheme="majorBidi" w:cstheme="majorBidi"/>
        </w:rPr>
        <w:t>orellanine</w:t>
      </w:r>
      <w:proofErr w:type="spellEnd"/>
      <w:r w:rsidRPr="003B4A50">
        <w:rPr>
          <w:rFonts w:asciiTheme="majorBidi" w:hAnsiTheme="majorBidi" w:cstheme="majorBidi"/>
        </w:rPr>
        <w:t xml:space="preserve"> &amp; </w:t>
      </w:r>
      <w:proofErr w:type="spellStart"/>
      <w:r w:rsidRPr="003B4A50">
        <w:rPr>
          <w:rFonts w:asciiTheme="majorBidi" w:hAnsiTheme="majorBidi" w:cstheme="majorBidi"/>
        </w:rPr>
        <w:t>orelline</w:t>
      </w:r>
      <w:proofErr w:type="spellEnd"/>
      <w:r w:rsidRPr="003B4A50">
        <w:rPr>
          <w:rFonts w:asciiTheme="majorBidi" w:hAnsiTheme="majorBidi" w:cstheme="majorBidi"/>
        </w:rPr>
        <w:t>), gastrointestinal toxins (</w:t>
      </w:r>
      <w:proofErr w:type="spellStart"/>
      <w:r w:rsidRPr="003B4A50">
        <w:rPr>
          <w:rFonts w:asciiTheme="majorBidi" w:hAnsiTheme="majorBidi" w:cstheme="majorBidi"/>
        </w:rPr>
        <w:t>ibotenic</w:t>
      </w:r>
      <w:proofErr w:type="spellEnd"/>
      <w:r w:rsidRPr="003B4A50">
        <w:rPr>
          <w:rFonts w:asciiTheme="majorBidi" w:hAnsiTheme="majorBidi" w:cstheme="majorBidi"/>
        </w:rPr>
        <w:t xml:space="preserve"> acid), neurotoxic toxins (</w:t>
      </w:r>
      <w:proofErr w:type="spellStart"/>
      <w:r w:rsidRPr="003B4A50">
        <w:rPr>
          <w:rFonts w:asciiTheme="majorBidi" w:hAnsiTheme="majorBidi" w:cstheme="majorBidi"/>
        </w:rPr>
        <w:t>muscimol</w:t>
      </w:r>
      <w:proofErr w:type="spellEnd"/>
      <w:r w:rsidRPr="003B4A50">
        <w:rPr>
          <w:rFonts w:asciiTheme="majorBidi" w:hAnsiTheme="majorBidi" w:cstheme="majorBidi"/>
        </w:rPr>
        <w:t xml:space="preserve"> and </w:t>
      </w:r>
      <w:proofErr w:type="spellStart"/>
      <w:r w:rsidRPr="003B4A50">
        <w:rPr>
          <w:rFonts w:asciiTheme="majorBidi" w:hAnsiTheme="majorBidi" w:cstheme="majorBidi"/>
        </w:rPr>
        <w:t>ibotenic</w:t>
      </w:r>
      <w:proofErr w:type="spellEnd"/>
      <w:r w:rsidRPr="003B4A50">
        <w:rPr>
          <w:rFonts w:asciiTheme="majorBidi" w:hAnsiTheme="majorBidi" w:cstheme="majorBidi"/>
        </w:rPr>
        <w:t xml:space="preserve"> acid) and other toxins such as gyromitrin. Mushrooms containing cyclopeptide amatoxins are responsible for more than 90 percent of </w:t>
      </w:r>
      <w:r w:rsidRPr="003B4A50">
        <w:rPr>
          <w:rFonts w:asciiTheme="majorBidi" w:hAnsiTheme="majorBidi" w:cstheme="majorBidi"/>
        </w:rPr>
        <w:lastRenderedPageBreak/>
        <w:t xml:space="preserve">deaths due to mushroom poisoning, with </w:t>
      </w:r>
      <w:r w:rsidRPr="003B4A50">
        <w:rPr>
          <w:rFonts w:asciiTheme="majorBidi" w:hAnsiTheme="majorBidi" w:cstheme="majorBidi"/>
          <w:i/>
          <w:iCs/>
        </w:rPr>
        <w:t>Amanita phalloides</w:t>
      </w:r>
      <w:r w:rsidRPr="003B4A50">
        <w:rPr>
          <w:rFonts w:asciiTheme="majorBidi" w:hAnsiTheme="majorBidi" w:cstheme="majorBidi"/>
        </w:rPr>
        <w:t xml:space="preserve"> accounting for a large proportion of fatal cases because of its extreme toxicity. In addition to intrinsic toxins, environmental contamination represents an increasingly important toxicological risk. Mushrooms are efficient bio-accumulators of heavy metals such as cadmium, lead, mercury and arsenic from soil and cultivation substrates (</w:t>
      </w:r>
      <w:r w:rsidRPr="003B4A50">
        <w:rPr>
          <w:rFonts w:asciiTheme="majorBidi" w:hAnsiTheme="majorBidi" w:cstheme="majorBidi"/>
          <w:color w:val="00B0F0"/>
        </w:rPr>
        <w:t>105</w:t>
      </w:r>
      <w:r w:rsidRPr="003B4A50">
        <w:rPr>
          <w:rFonts w:asciiTheme="majorBidi" w:hAnsiTheme="majorBidi" w:cstheme="majorBidi"/>
        </w:rPr>
        <w:t>). Chronic consumption of contaminated mushrooms may result in cumulative toxicity affecting neurological, renal, and cardiovascular systems (</w:t>
      </w:r>
      <w:r w:rsidRPr="003B4A50">
        <w:rPr>
          <w:rFonts w:asciiTheme="majorBidi" w:hAnsiTheme="majorBidi" w:cstheme="majorBidi"/>
          <w:color w:val="00B0F0"/>
        </w:rPr>
        <w:t>106</w:t>
      </w:r>
      <w:r w:rsidRPr="003B4A50">
        <w:rPr>
          <w:rFonts w:asciiTheme="majorBidi" w:hAnsiTheme="majorBidi" w:cstheme="majorBidi"/>
        </w:rPr>
        <w:t>). Recent studies further highlight the presence of emerging contaminants and elevated metal levels in both wild and cultivated mushrooms, particularly those grown near industrial or polluted areas, emphasizing the need for continuous monitoring and risk assessment (</w:t>
      </w:r>
      <w:r w:rsidRPr="003B4A50">
        <w:rPr>
          <w:rFonts w:asciiTheme="majorBidi" w:hAnsiTheme="majorBidi" w:cstheme="majorBidi"/>
          <w:color w:val="00B0F0"/>
        </w:rPr>
        <w:t>105</w:t>
      </w:r>
      <w:r w:rsidRPr="003B4A50">
        <w:rPr>
          <w:rFonts w:asciiTheme="majorBidi" w:hAnsiTheme="majorBidi" w:cstheme="majorBidi"/>
        </w:rPr>
        <w:t>).</w:t>
      </w:r>
    </w:p>
    <w:p w14:paraId="357F173A" w14:textId="77777777" w:rsidR="003B4A50" w:rsidRDefault="003B4A50" w:rsidP="003B4A50">
      <w:pPr>
        <w:pStyle w:val="NoSpacing"/>
      </w:pPr>
    </w:p>
    <w:p w14:paraId="66C06583" w14:textId="77777777" w:rsidR="003B4A50" w:rsidRDefault="003B4A50" w:rsidP="003B4A50">
      <w:pPr>
        <w:spacing w:line="360" w:lineRule="auto"/>
        <w:jc w:val="both"/>
        <w:rPr>
          <w:rFonts w:asciiTheme="majorBidi" w:hAnsiTheme="majorBidi" w:cstheme="majorBidi"/>
          <w:b/>
          <w:bCs/>
        </w:rPr>
      </w:pPr>
      <w:r w:rsidRPr="003B4A50">
        <w:rPr>
          <w:rFonts w:asciiTheme="majorBidi" w:hAnsiTheme="majorBidi" w:cstheme="majorBidi"/>
        </w:rPr>
        <w:t>Recent studies have confirmed that cadmium and arsenic levels in edible mushroom species can exceed safety limits, indicating potential long-term health risks associated with the regular consumption of heavily contaminated mushrooms (</w:t>
      </w:r>
      <w:r w:rsidRPr="003B4A50">
        <w:rPr>
          <w:rFonts w:asciiTheme="majorBidi" w:hAnsiTheme="majorBidi" w:cstheme="majorBidi"/>
          <w:color w:val="00B0F0"/>
        </w:rPr>
        <w:t>101</w:t>
      </w:r>
      <w:r w:rsidRPr="003B4A50">
        <w:rPr>
          <w:rFonts w:asciiTheme="majorBidi" w:hAnsiTheme="majorBidi" w:cstheme="majorBidi"/>
        </w:rPr>
        <w:t xml:space="preserve">). Additionally, </w:t>
      </w:r>
      <w:proofErr w:type="spellStart"/>
      <w:r w:rsidRPr="003B4A50">
        <w:rPr>
          <w:rFonts w:asciiTheme="majorBidi" w:hAnsiTheme="majorBidi" w:cstheme="majorBidi"/>
          <w:color w:val="00B0F0"/>
        </w:rPr>
        <w:t>Chawngthu</w:t>
      </w:r>
      <w:proofErr w:type="spellEnd"/>
      <w:r w:rsidRPr="003B4A50">
        <w:rPr>
          <w:rFonts w:asciiTheme="majorBidi" w:hAnsiTheme="majorBidi" w:cstheme="majorBidi"/>
          <w:color w:val="00B0F0"/>
        </w:rPr>
        <w:t xml:space="preserve"> et al. (107)</w:t>
      </w:r>
      <w:r w:rsidRPr="003B4A50">
        <w:rPr>
          <w:rFonts w:asciiTheme="majorBidi" w:hAnsiTheme="majorBidi" w:cstheme="majorBidi"/>
        </w:rPr>
        <w:t xml:space="preserve"> demonstrated that wild mushrooms can accumulate hazardous levels of cadmium, suggesting carcinogenic risks for local consumers. Earlier meta-analyses reinforce these findings, showing that various edible species effectively accumulate metals such as lead, cadmium, and chromium, which may contribute to non-carcinogenic health risks for consumers (</w:t>
      </w:r>
      <w:r w:rsidRPr="003B4A50">
        <w:rPr>
          <w:rFonts w:asciiTheme="majorBidi" w:hAnsiTheme="majorBidi" w:cstheme="majorBidi"/>
          <w:color w:val="00B0F0"/>
        </w:rPr>
        <w:t>108</w:t>
      </w:r>
      <w:r w:rsidRPr="003B4A50">
        <w:rPr>
          <w:rFonts w:asciiTheme="majorBidi" w:hAnsiTheme="majorBidi" w:cstheme="majorBidi"/>
        </w:rPr>
        <w:t xml:space="preserve">). </w:t>
      </w:r>
      <w:proofErr w:type="spellStart"/>
      <w:r w:rsidRPr="003B4A50">
        <w:rPr>
          <w:rFonts w:asciiTheme="majorBidi" w:hAnsiTheme="majorBidi" w:cstheme="majorBidi"/>
          <w:color w:val="00B0F0"/>
        </w:rPr>
        <w:t>Parasar</w:t>
      </w:r>
      <w:proofErr w:type="spellEnd"/>
      <w:r w:rsidRPr="003B4A50">
        <w:rPr>
          <w:rFonts w:asciiTheme="majorBidi" w:hAnsiTheme="majorBidi" w:cstheme="majorBidi"/>
          <w:color w:val="00B0F0"/>
        </w:rPr>
        <w:t xml:space="preserve"> et al. (109) </w:t>
      </w:r>
      <w:r w:rsidRPr="003B4A50">
        <w:rPr>
          <w:rFonts w:asciiTheme="majorBidi" w:hAnsiTheme="majorBidi" w:cstheme="majorBidi"/>
        </w:rPr>
        <w:t xml:space="preserve">recently reported that several wild mushroom species, including </w:t>
      </w:r>
      <w:proofErr w:type="spellStart"/>
      <w:r w:rsidRPr="003B4A50">
        <w:rPr>
          <w:rFonts w:asciiTheme="majorBidi" w:hAnsiTheme="majorBidi" w:cstheme="majorBidi"/>
          <w:i/>
          <w:iCs/>
        </w:rPr>
        <w:t>Agaricus</w:t>
      </w:r>
      <w:proofErr w:type="spellEnd"/>
      <w:r w:rsidRPr="003B4A50">
        <w:rPr>
          <w:rFonts w:asciiTheme="majorBidi" w:hAnsiTheme="majorBidi" w:cstheme="majorBidi"/>
          <w:i/>
          <w:iCs/>
        </w:rPr>
        <w:t xml:space="preserve"> </w:t>
      </w:r>
      <w:proofErr w:type="spellStart"/>
      <w:r w:rsidRPr="003B4A50">
        <w:rPr>
          <w:rFonts w:asciiTheme="majorBidi" w:hAnsiTheme="majorBidi" w:cstheme="majorBidi"/>
          <w:i/>
          <w:iCs/>
        </w:rPr>
        <w:t>xanthodermus</w:t>
      </w:r>
      <w:proofErr w:type="spellEnd"/>
      <w:r w:rsidRPr="003B4A50">
        <w:rPr>
          <w:rFonts w:asciiTheme="majorBidi" w:hAnsiTheme="majorBidi" w:cstheme="majorBidi"/>
        </w:rPr>
        <w:t xml:space="preserve">, </w:t>
      </w:r>
      <w:r w:rsidRPr="003B4A50">
        <w:rPr>
          <w:rFonts w:asciiTheme="majorBidi" w:hAnsiTheme="majorBidi" w:cstheme="majorBidi"/>
          <w:i/>
          <w:iCs/>
        </w:rPr>
        <w:t>Amanita phalloides</w:t>
      </w:r>
      <w:r w:rsidRPr="003B4A50">
        <w:rPr>
          <w:rFonts w:asciiTheme="majorBidi" w:hAnsiTheme="majorBidi" w:cstheme="majorBidi"/>
        </w:rPr>
        <w:t xml:space="preserve">, </w:t>
      </w:r>
      <w:r w:rsidRPr="003B4A50">
        <w:rPr>
          <w:rFonts w:asciiTheme="majorBidi" w:hAnsiTheme="majorBidi" w:cstheme="majorBidi"/>
          <w:i/>
          <w:iCs/>
        </w:rPr>
        <w:t xml:space="preserve">A. </w:t>
      </w:r>
      <w:proofErr w:type="spellStart"/>
      <w:r w:rsidRPr="003B4A50">
        <w:rPr>
          <w:rFonts w:asciiTheme="majorBidi" w:hAnsiTheme="majorBidi" w:cstheme="majorBidi"/>
          <w:i/>
          <w:iCs/>
        </w:rPr>
        <w:t>virosa</w:t>
      </w:r>
      <w:proofErr w:type="spellEnd"/>
      <w:r w:rsidRPr="003B4A50">
        <w:rPr>
          <w:rFonts w:asciiTheme="majorBidi" w:hAnsiTheme="majorBidi" w:cstheme="majorBidi"/>
        </w:rPr>
        <w:t xml:space="preserve">, </w:t>
      </w:r>
      <w:proofErr w:type="spellStart"/>
      <w:r w:rsidRPr="003B4A50">
        <w:rPr>
          <w:rFonts w:asciiTheme="majorBidi" w:hAnsiTheme="majorBidi" w:cstheme="majorBidi"/>
          <w:i/>
          <w:iCs/>
        </w:rPr>
        <w:t>Chlorophyllum</w:t>
      </w:r>
      <w:proofErr w:type="spellEnd"/>
      <w:r w:rsidRPr="003B4A50">
        <w:rPr>
          <w:rFonts w:asciiTheme="majorBidi" w:hAnsiTheme="majorBidi" w:cstheme="majorBidi"/>
          <w:i/>
          <w:iCs/>
        </w:rPr>
        <w:t xml:space="preserve"> </w:t>
      </w:r>
      <w:proofErr w:type="spellStart"/>
      <w:r w:rsidRPr="003B4A50">
        <w:rPr>
          <w:rFonts w:asciiTheme="majorBidi" w:hAnsiTheme="majorBidi" w:cstheme="majorBidi"/>
          <w:i/>
          <w:iCs/>
        </w:rPr>
        <w:t>molybdites</w:t>
      </w:r>
      <w:proofErr w:type="spellEnd"/>
      <w:r w:rsidRPr="003B4A50">
        <w:rPr>
          <w:rFonts w:asciiTheme="majorBidi" w:hAnsiTheme="majorBidi" w:cstheme="majorBidi"/>
        </w:rPr>
        <w:t xml:space="preserve">, </w:t>
      </w:r>
      <w:r w:rsidRPr="003B4A50">
        <w:rPr>
          <w:rFonts w:asciiTheme="majorBidi" w:hAnsiTheme="majorBidi" w:cstheme="majorBidi"/>
          <w:i/>
          <w:iCs/>
        </w:rPr>
        <w:t>Gyromitra infula</w:t>
      </w:r>
      <w:r w:rsidRPr="003B4A50">
        <w:rPr>
          <w:rFonts w:asciiTheme="majorBidi" w:hAnsiTheme="majorBidi" w:cstheme="majorBidi"/>
        </w:rPr>
        <w:t xml:space="preserve">, </w:t>
      </w:r>
      <w:proofErr w:type="spellStart"/>
      <w:r w:rsidRPr="003B4A50">
        <w:rPr>
          <w:rFonts w:asciiTheme="majorBidi" w:hAnsiTheme="majorBidi" w:cstheme="majorBidi"/>
          <w:i/>
          <w:iCs/>
        </w:rPr>
        <w:t>Inocybe</w:t>
      </w:r>
      <w:proofErr w:type="spellEnd"/>
      <w:r w:rsidRPr="003B4A50">
        <w:rPr>
          <w:rFonts w:asciiTheme="majorBidi" w:hAnsiTheme="majorBidi" w:cstheme="majorBidi"/>
          <w:i/>
          <w:iCs/>
        </w:rPr>
        <w:t xml:space="preserve"> </w:t>
      </w:r>
      <w:proofErr w:type="spellStart"/>
      <w:r w:rsidRPr="003B4A50">
        <w:rPr>
          <w:rFonts w:asciiTheme="majorBidi" w:hAnsiTheme="majorBidi" w:cstheme="majorBidi"/>
          <w:i/>
          <w:iCs/>
        </w:rPr>
        <w:t>geophylla</w:t>
      </w:r>
      <w:proofErr w:type="spellEnd"/>
      <w:r w:rsidRPr="003B4A50">
        <w:rPr>
          <w:rFonts w:asciiTheme="majorBidi" w:hAnsiTheme="majorBidi" w:cstheme="majorBidi"/>
        </w:rPr>
        <w:t xml:space="preserve"> and </w:t>
      </w:r>
      <w:proofErr w:type="spellStart"/>
      <w:r w:rsidRPr="003B4A50">
        <w:rPr>
          <w:rFonts w:asciiTheme="majorBidi" w:hAnsiTheme="majorBidi" w:cstheme="majorBidi"/>
          <w:i/>
          <w:iCs/>
        </w:rPr>
        <w:t>Russula</w:t>
      </w:r>
      <w:proofErr w:type="spellEnd"/>
      <w:r w:rsidRPr="003B4A50">
        <w:rPr>
          <w:rFonts w:asciiTheme="majorBidi" w:hAnsiTheme="majorBidi" w:cstheme="majorBidi"/>
          <w:i/>
          <w:iCs/>
        </w:rPr>
        <w:t xml:space="preserve"> nobilis</w:t>
      </w:r>
      <w:r w:rsidRPr="003B4A50">
        <w:rPr>
          <w:rFonts w:asciiTheme="majorBidi" w:hAnsiTheme="majorBidi" w:cstheme="majorBidi"/>
        </w:rPr>
        <w:t xml:space="preserve">, have been recorded from the Northeast region of India and are poisonous for human consumption. Misidentification during foraging heightens the risk, as many toxic species closely resemble edible mushrooms. Factors such as quantity consumed, individual sensitivity, and alcohol interaction further exacerbate outcomes. Even edible mushrooms, such as </w:t>
      </w:r>
      <w:proofErr w:type="spellStart"/>
      <w:r w:rsidRPr="003B4A50">
        <w:rPr>
          <w:rFonts w:asciiTheme="majorBidi" w:hAnsiTheme="majorBidi" w:cstheme="majorBidi"/>
          <w:i/>
          <w:iCs/>
        </w:rPr>
        <w:t>Tricholoma</w:t>
      </w:r>
      <w:proofErr w:type="spellEnd"/>
      <w:r w:rsidRPr="003B4A50">
        <w:rPr>
          <w:rFonts w:asciiTheme="majorBidi" w:hAnsiTheme="majorBidi" w:cstheme="majorBidi"/>
          <w:i/>
          <w:iCs/>
        </w:rPr>
        <w:t xml:space="preserve"> </w:t>
      </w:r>
      <w:proofErr w:type="spellStart"/>
      <w:r w:rsidRPr="003B4A50">
        <w:rPr>
          <w:rFonts w:asciiTheme="majorBidi" w:hAnsiTheme="majorBidi" w:cstheme="majorBidi"/>
          <w:i/>
          <w:iCs/>
        </w:rPr>
        <w:t>equestre</w:t>
      </w:r>
      <w:proofErr w:type="spellEnd"/>
      <w:r w:rsidRPr="003B4A50">
        <w:rPr>
          <w:rFonts w:asciiTheme="majorBidi" w:hAnsiTheme="majorBidi" w:cstheme="majorBidi"/>
        </w:rPr>
        <w:t xml:space="preserve">, may cause rhabdomyolysis if consumed in large amounts. Similarly, wild </w:t>
      </w:r>
      <w:r w:rsidRPr="003B4A50">
        <w:rPr>
          <w:rFonts w:asciiTheme="majorBidi" w:hAnsiTheme="majorBidi" w:cstheme="majorBidi"/>
          <w:i/>
          <w:iCs/>
        </w:rPr>
        <w:t>Lentinula edodes</w:t>
      </w:r>
      <w:r w:rsidRPr="003B4A50">
        <w:rPr>
          <w:rFonts w:asciiTheme="majorBidi" w:hAnsiTheme="majorBidi" w:cstheme="majorBidi"/>
        </w:rPr>
        <w:t xml:space="preserve"> may become toxic when consumed excessively due to the accumulation of cumulative mycotoxins or heavy metals, such as mercury (</w:t>
      </w:r>
      <w:r w:rsidRPr="003B4A50">
        <w:rPr>
          <w:rFonts w:asciiTheme="majorBidi" w:hAnsiTheme="majorBidi" w:cstheme="majorBidi"/>
          <w:color w:val="00B0F0"/>
        </w:rPr>
        <w:t>105</w:t>
      </w:r>
      <w:r w:rsidRPr="003B4A50">
        <w:rPr>
          <w:rFonts w:asciiTheme="majorBidi" w:hAnsiTheme="majorBidi" w:cstheme="majorBidi"/>
        </w:rPr>
        <w:t xml:space="preserve">). These observations emphasize the need for expert identification, appropriate cooking precautions for species such as </w:t>
      </w:r>
      <w:r w:rsidRPr="003B4A50">
        <w:rPr>
          <w:rFonts w:asciiTheme="majorBidi" w:hAnsiTheme="majorBidi" w:cstheme="majorBidi"/>
          <w:i/>
          <w:iCs/>
        </w:rPr>
        <w:t>Gyromitra infula</w:t>
      </w:r>
      <w:r w:rsidRPr="003B4A50">
        <w:rPr>
          <w:rFonts w:asciiTheme="majorBidi" w:hAnsiTheme="majorBidi" w:cstheme="majorBidi"/>
        </w:rPr>
        <w:t>, and avoidance of raw consumption to mitigate health hazards. To prevent intoxication and associated health problems, accurate identification of mushrooms intended for medicinal or culinary use is essential.</w:t>
      </w:r>
    </w:p>
    <w:p w14:paraId="5DEB65AE" w14:textId="77777777" w:rsidR="003B4A50" w:rsidRDefault="003B4A50" w:rsidP="003B4A50">
      <w:pPr>
        <w:pStyle w:val="NoSpacing"/>
      </w:pPr>
    </w:p>
    <w:p w14:paraId="733F64BC" w14:textId="7E034141" w:rsidR="003B4A50" w:rsidRPr="003B4A50" w:rsidRDefault="003B4A50" w:rsidP="003B4A50">
      <w:pPr>
        <w:spacing w:line="360" w:lineRule="auto"/>
        <w:jc w:val="both"/>
        <w:rPr>
          <w:rFonts w:asciiTheme="majorBidi" w:hAnsiTheme="majorBidi" w:cstheme="majorBidi"/>
          <w:b/>
          <w:bCs/>
        </w:rPr>
      </w:pPr>
      <w:r w:rsidRPr="003B4A50">
        <w:rPr>
          <w:rFonts w:asciiTheme="majorBidi" w:hAnsiTheme="majorBidi" w:cstheme="majorBidi"/>
        </w:rPr>
        <w:t xml:space="preserve">The consumption of medicinal mushrooms and nutraceutical products introduces additional toxicological concerns. Concentrated extracts and supplements may deliver bioactive </w:t>
      </w:r>
      <w:r w:rsidRPr="003B4A50">
        <w:rPr>
          <w:rFonts w:asciiTheme="majorBidi" w:hAnsiTheme="majorBidi" w:cstheme="majorBidi"/>
        </w:rPr>
        <w:lastRenderedPageBreak/>
        <w:t>compounds at doses far exceeding those obtained through conventional dietary intake, increasing the potential for adverse effects, hepatotoxicity, and interactions with pharmaceutical drugs (</w:t>
      </w:r>
      <w:r w:rsidRPr="003B4A50">
        <w:rPr>
          <w:rFonts w:asciiTheme="majorBidi" w:hAnsiTheme="majorBidi" w:cstheme="majorBidi"/>
          <w:color w:val="00B0F0"/>
        </w:rPr>
        <w:t>89,101</w:t>
      </w:r>
      <w:r w:rsidRPr="003B4A50">
        <w:rPr>
          <w:rFonts w:asciiTheme="majorBidi" w:hAnsiTheme="majorBidi" w:cstheme="majorBidi"/>
        </w:rPr>
        <w:t>). Variability in product quality, lack of standardization, and insufficient regulatory oversight further exacerbate these risks. Overall, the toxicological risks associated with mushrooms underscore the importance of accurate species identification, environmental quality control, proper processing and rigorous safety evaluation to ensure consumer protection while harnessing the nutritional benefits of mushrooms (</w:t>
      </w:r>
      <w:r w:rsidRPr="003B4A50">
        <w:rPr>
          <w:rFonts w:asciiTheme="majorBidi" w:hAnsiTheme="majorBidi" w:cstheme="majorBidi"/>
          <w:color w:val="00B0F0"/>
        </w:rPr>
        <w:t>99,110</w:t>
      </w:r>
      <w:r w:rsidRPr="003B4A50">
        <w:rPr>
          <w:rFonts w:asciiTheme="majorBidi" w:hAnsiTheme="majorBidi" w:cstheme="majorBidi"/>
        </w:rPr>
        <w:t>).</w:t>
      </w:r>
    </w:p>
    <w:p w14:paraId="447478DD" w14:textId="77777777" w:rsidR="003B4A50" w:rsidRPr="003B4A50" w:rsidRDefault="003B4A50" w:rsidP="003B4A50">
      <w:pPr>
        <w:pStyle w:val="ListParagraph"/>
        <w:numPr>
          <w:ilvl w:val="0"/>
          <w:numId w:val="10"/>
        </w:numPr>
        <w:spacing w:after="0" w:line="360" w:lineRule="auto"/>
        <w:jc w:val="both"/>
        <w:outlineLvl w:val="0"/>
        <w:rPr>
          <w:rFonts w:ascii="Times New Roman" w:hAnsi="Times New Roman" w:cs="Times New Roman"/>
          <w:highlight w:val="yellow"/>
        </w:rPr>
      </w:pPr>
      <w:r w:rsidRPr="009E6B10">
        <w:rPr>
          <w:rFonts w:asciiTheme="majorBidi" w:hAnsiTheme="majorBidi" w:cstheme="majorBidi"/>
          <w:b/>
          <w:bCs/>
          <w:highlight w:val="yellow"/>
        </w:rPr>
        <w:t>Future directions in the historical evolution of mushroom cultivation</w:t>
      </w:r>
    </w:p>
    <w:p w14:paraId="051A8550" w14:textId="77777777" w:rsidR="003B4A50" w:rsidRDefault="003B4A50" w:rsidP="003B4A50">
      <w:pPr>
        <w:spacing w:after="0" w:line="360" w:lineRule="auto"/>
        <w:jc w:val="both"/>
        <w:outlineLvl w:val="0"/>
        <w:rPr>
          <w:rFonts w:ascii="Times New Roman" w:hAnsi="Times New Roman" w:cs="Times New Roman"/>
        </w:rPr>
      </w:pPr>
      <w:r w:rsidRPr="003B4A50">
        <w:rPr>
          <w:rFonts w:asciiTheme="majorBidi" w:hAnsiTheme="majorBidi" w:cstheme="majorBidi"/>
        </w:rPr>
        <w:t>The history of mushroom cultivation has demonstrated a progressive shift from traditional, empirical practices to scientifically optimized production systems (</w:t>
      </w:r>
      <w:r w:rsidRPr="003B4A50">
        <w:rPr>
          <w:rFonts w:asciiTheme="majorBidi" w:hAnsiTheme="majorBidi" w:cstheme="majorBidi"/>
          <w:color w:val="00B0F0"/>
        </w:rPr>
        <w:t>83</w:t>
      </w:r>
      <w:r w:rsidRPr="003B4A50">
        <w:rPr>
          <w:rFonts w:asciiTheme="majorBidi" w:hAnsiTheme="majorBidi" w:cstheme="majorBidi"/>
        </w:rPr>
        <w:t xml:space="preserve">). Early documentation from China indicates that mushrooms such as </w:t>
      </w:r>
      <w:r w:rsidRPr="003B4A50">
        <w:rPr>
          <w:rFonts w:asciiTheme="majorBidi" w:hAnsiTheme="majorBidi" w:cstheme="majorBidi"/>
          <w:i/>
          <w:iCs/>
        </w:rPr>
        <w:t>Lentinula edodes</w:t>
      </w:r>
      <w:r w:rsidRPr="003B4A50">
        <w:rPr>
          <w:rFonts w:asciiTheme="majorBidi" w:hAnsiTheme="majorBidi" w:cstheme="majorBidi"/>
        </w:rPr>
        <w:t xml:space="preserve"> and </w:t>
      </w:r>
      <w:r w:rsidRPr="003B4A50">
        <w:rPr>
          <w:rFonts w:asciiTheme="majorBidi" w:hAnsiTheme="majorBidi" w:cstheme="majorBidi"/>
          <w:i/>
          <w:iCs/>
        </w:rPr>
        <w:t>Auricularia</w:t>
      </w:r>
      <w:r w:rsidRPr="003B4A50">
        <w:rPr>
          <w:rFonts w:asciiTheme="majorBidi" w:hAnsiTheme="majorBidi" w:cstheme="majorBidi"/>
        </w:rPr>
        <w:t xml:space="preserve"> spp. were cultivated on natural logs as early as the first millennium, primarily for food and medicinal purposes (</w:t>
      </w:r>
      <w:r w:rsidRPr="003B4A50">
        <w:rPr>
          <w:rFonts w:asciiTheme="majorBidi" w:hAnsiTheme="majorBidi" w:cstheme="majorBidi"/>
          <w:color w:val="00B0F0"/>
        </w:rPr>
        <w:t>84</w:t>
      </w:r>
      <w:r w:rsidRPr="003B4A50">
        <w:rPr>
          <w:rFonts w:asciiTheme="majorBidi" w:hAnsiTheme="majorBidi" w:cstheme="majorBidi"/>
        </w:rPr>
        <w:t xml:space="preserve">). In Europe, the organized cultivation of </w:t>
      </w:r>
      <w:r w:rsidRPr="003B4A50">
        <w:rPr>
          <w:rFonts w:asciiTheme="majorBidi" w:hAnsiTheme="majorBidi" w:cstheme="majorBidi"/>
          <w:i/>
          <w:iCs/>
        </w:rPr>
        <w:t>A. bisporus</w:t>
      </w:r>
      <w:r w:rsidRPr="003B4A50">
        <w:rPr>
          <w:rFonts w:asciiTheme="majorBidi" w:hAnsiTheme="majorBidi" w:cstheme="majorBidi"/>
        </w:rPr>
        <w:t xml:space="preserve"> during the 17</w:t>
      </w:r>
      <w:r w:rsidRPr="003B4A50">
        <w:rPr>
          <w:rFonts w:asciiTheme="majorBidi" w:hAnsiTheme="majorBidi" w:cstheme="majorBidi"/>
          <w:vertAlign w:val="superscript"/>
        </w:rPr>
        <w:t>th</w:t>
      </w:r>
      <w:r w:rsidRPr="003B4A50">
        <w:rPr>
          <w:rFonts w:asciiTheme="majorBidi" w:hAnsiTheme="majorBidi" w:cstheme="majorBidi"/>
        </w:rPr>
        <w:t xml:space="preserve"> and 18</w:t>
      </w:r>
      <w:r w:rsidRPr="003B4A50">
        <w:rPr>
          <w:rFonts w:asciiTheme="majorBidi" w:hAnsiTheme="majorBidi" w:cstheme="majorBidi"/>
          <w:vertAlign w:val="superscript"/>
        </w:rPr>
        <w:t>th</w:t>
      </w:r>
      <w:r w:rsidRPr="003B4A50">
        <w:rPr>
          <w:rFonts w:asciiTheme="majorBidi" w:hAnsiTheme="majorBidi" w:cstheme="majorBidi"/>
        </w:rPr>
        <w:t xml:space="preserve"> centuries marked a major milestone, introducing controlled environments, compost-based substrates, and systematic spawn use, which laid the groundwork for commercial-scale mushroom production (</w:t>
      </w:r>
      <w:r w:rsidRPr="003B4A50">
        <w:rPr>
          <w:rFonts w:asciiTheme="majorBidi" w:hAnsiTheme="majorBidi" w:cstheme="majorBidi"/>
          <w:color w:val="00B0F0"/>
        </w:rPr>
        <w:t>85</w:t>
      </w:r>
      <w:r w:rsidRPr="003B4A50">
        <w:rPr>
          <w:rFonts w:asciiTheme="majorBidi" w:hAnsiTheme="majorBidi" w:cstheme="majorBidi"/>
        </w:rPr>
        <w:t>). The 20</w:t>
      </w:r>
      <w:r w:rsidRPr="003B4A50">
        <w:rPr>
          <w:rFonts w:asciiTheme="majorBidi" w:hAnsiTheme="majorBidi" w:cstheme="majorBidi"/>
          <w:vertAlign w:val="superscript"/>
        </w:rPr>
        <w:t>th</w:t>
      </w:r>
      <w:r w:rsidRPr="003B4A50">
        <w:rPr>
          <w:rFonts w:asciiTheme="majorBidi" w:hAnsiTheme="majorBidi" w:cstheme="majorBidi"/>
        </w:rPr>
        <w:t xml:space="preserve"> century marked a period of significant industrial expansion in mushroom cultivation, driven by advancements in microbiology, sterilization techniques and environmental control. Furthermore, optimizing substrate supplementation and developing standardized grain spawn, along with phase-wise composting, improved yield stability and productivity, transforming mushroom farming into a more predictable agro-industrial enterprise (</w:t>
      </w:r>
      <w:r w:rsidRPr="003B4A50">
        <w:rPr>
          <w:rFonts w:asciiTheme="majorBidi" w:hAnsiTheme="majorBidi" w:cstheme="majorBidi"/>
          <w:color w:val="00B0F0"/>
        </w:rPr>
        <w:t>2,86,87</w:t>
      </w:r>
      <w:r w:rsidRPr="003B4A50">
        <w:rPr>
          <w:rFonts w:asciiTheme="majorBidi" w:hAnsiTheme="majorBidi" w:cstheme="majorBidi"/>
        </w:rPr>
        <w:t>). These historical advancements provide the foundation upon which future research and technological innovations are being developed.</w:t>
      </w:r>
    </w:p>
    <w:p w14:paraId="6F1D12B7" w14:textId="77777777" w:rsidR="003B4A50" w:rsidRDefault="003B4A50" w:rsidP="003B4A50">
      <w:pPr>
        <w:pStyle w:val="NoSpacing"/>
      </w:pPr>
    </w:p>
    <w:p w14:paraId="5FFEFECB" w14:textId="65790761" w:rsidR="003B4A50" w:rsidRDefault="003B4A50" w:rsidP="003B4A50">
      <w:pPr>
        <w:spacing w:after="0" w:line="360" w:lineRule="auto"/>
        <w:jc w:val="both"/>
        <w:outlineLvl w:val="0"/>
        <w:rPr>
          <w:rFonts w:ascii="Times New Roman" w:hAnsi="Times New Roman" w:cs="Times New Roman"/>
        </w:rPr>
      </w:pPr>
      <w:r w:rsidRPr="003B4A50">
        <w:rPr>
          <w:rFonts w:asciiTheme="majorBidi" w:hAnsiTheme="majorBidi" w:cstheme="majorBidi"/>
        </w:rPr>
        <w:t>One of the most important future directions emerging from this historical continuum is precision cultivation, reflecting a shift from quantity-oriented production to quality-driven outcomes. Traditional experiential knowledge is being increasingly complemented by automation, sensor-based climate control, and data-driven decision-making systems. The integration of digital technologies allows precise regulation of temperature, humidity and gaseous exchange, thereby enhancing biological efficiency and product consistency (</w:t>
      </w:r>
      <w:r w:rsidRPr="003B4A50">
        <w:rPr>
          <w:rFonts w:asciiTheme="majorBidi" w:hAnsiTheme="majorBidi" w:cstheme="majorBidi"/>
          <w:color w:val="00B0F0"/>
        </w:rPr>
        <w:t>88</w:t>
      </w:r>
      <w:r w:rsidRPr="003B4A50">
        <w:rPr>
          <w:rFonts w:asciiTheme="majorBidi" w:hAnsiTheme="majorBidi" w:cstheme="majorBidi"/>
        </w:rPr>
        <w:t xml:space="preserve">). Such developments represent a logical progression from earlier indoor and controlled-environment systems. Another significant research direction involves sustainability and suitable innovation. Historically, mushroom cultivation has relied on locally available lignocellulosic materials, including straw, sawdust and animal waste. Contemporary research revisits these practices within circular bioeconomy frameworks, emphasizing the utilization of agro-industrial residues </w:t>
      </w:r>
      <w:r w:rsidRPr="003B4A50">
        <w:rPr>
          <w:rFonts w:asciiTheme="majorBidi" w:hAnsiTheme="majorBidi" w:cstheme="majorBidi"/>
        </w:rPr>
        <w:lastRenderedPageBreak/>
        <w:t>and waste biomass to reduce environmental impact and production costs. This approach aligns traditional substrate usage with modern sustainability goals while enabling enhancement of the nutritional and functional properties of mushrooms (</w:t>
      </w:r>
      <w:r w:rsidRPr="003B4A50">
        <w:rPr>
          <w:rFonts w:asciiTheme="majorBidi" w:hAnsiTheme="majorBidi" w:cstheme="majorBidi"/>
          <w:color w:val="00B0F0"/>
        </w:rPr>
        <w:t>87</w:t>
      </w:r>
      <w:r w:rsidRPr="003B4A50">
        <w:rPr>
          <w:rFonts w:asciiTheme="majorBidi" w:hAnsiTheme="majorBidi" w:cstheme="majorBidi"/>
        </w:rPr>
        <w:t>).</w:t>
      </w:r>
    </w:p>
    <w:p w14:paraId="0A27FBE8" w14:textId="77777777" w:rsidR="003B4A50" w:rsidRDefault="003B4A50" w:rsidP="003B4A50">
      <w:pPr>
        <w:pStyle w:val="NoSpacing"/>
      </w:pPr>
    </w:p>
    <w:p w14:paraId="1A7C2425" w14:textId="77777777" w:rsidR="003B4A50" w:rsidRDefault="003B4A50" w:rsidP="003B4A50">
      <w:pPr>
        <w:spacing w:after="0" w:line="360" w:lineRule="auto"/>
        <w:jc w:val="both"/>
        <w:outlineLvl w:val="0"/>
        <w:rPr>
          <w:rFonts w:ascii="Times New Roman" w:hAnsi="Times New Roman" w:cs="Times New Roman"/>
        </w:rPr>
      </w:pPr>
      <w:r w:rsidRPr="003B4A50">
        <w:rPr>
          <w:rFonts w:asciiTheme="majorBidi" w:hAnsiTheme="majorBidi" w:cstheme="majorBidi"/>
        </w:rPr>
        <w:t>The future of mushroom cultivation is also closely tied to the increasing recognition of mushrooms as functional foods and nutraceuticals. While early cultivation primarily focused on dietary value, modern research emphasizes bioactive compounds, including polysaccharides, phenolics and antioxidants, with immunomodulatory and health-promoting effects (</w:t>
      </w:r>
      <w:r w:rsidRPr="003B4A50">
        <w:rPr>
          <w:rFonts w:asciiTheme="majorBidi" w:hAnsiTheme="majorBidi" w:cstheme="majorBidi"/>
          <w:color w:val="00B0F0"/>
        </w:rPr>
        <w:t>89,90,91,92</w:t>
      </w:r>
      <w:r w:rsidRPr="003B4A50">
        <w:rPr>
          <w:rFonts w:asciiTheme="majorBidi" w:hAnsiTheme="majorBidi" w:cstheme="majorBidi"/>
        </w:rPr>
        <w:t>). This shift necessitates interdisciplinary research integrating food science, biochemistry and mycology to improve both yield and bio-functional quality. Mushroom technology and biotechnology offer immense potential to convert bio-waste into highly nutritious food with medicinal benefits, while generating employment opportunities for large sections of society (</w:t>
      </w:r>
      <w:r w:rsidRPr="003B4A50">
        <w:rPr>
          <w:rFonts w:asciiTheme="majorBidi" w:hAnsiTheme="majorBidi" w:cstheme="majorBidi"/>
          <w:color w:val="00B0F0"/>
        </w:rPr>
        <w:t>88,93</w:t>
      </w:r>
      <w:r w:rsidRPr="003B4A50">
        <w:rPr>
          <w:rFonts w:asciiTheme="majorBidi" w:hAnsiTheme="majorBidi" w:cstheme="majorBidi"/>
        </w:rPr>
        <w:t>). Beyond food, mushroom mycelium robust structural properties enable sustainable applications in construction, insulation and fashion, offering renewable, low-energy alternatives to conventional materials (</w:t>
      </w:r>
      <w:r w:rsidRPr="003B4A50">
        <w:rPr>
          <w:rFonts w:asciiTheme="majorBidi" w:hAnsiTheme="majorBidi" w:cstheme="majorBidi"/>
          <w:color w:val="00B0F0"/>
        </w:rPr>
        <w:t>94,95</w:t>
      </w:r>
      <w:r w:rsidRPr="003B4A50">
        <w:rPr>
          <w:rFonts w:asciiTheme="majorBidi" w:hAnsiTheme="majorBidi" w:cstheme="majorBidi"/>
        </w:rPr>
        <w:t xml:space="preserve">). The emerging field of </w:t>
      </w:r>
      <w:proofErr w:type="spellStart"/>
      <w:r w:rsidRPr="003B4A50">
        <w:rPr>
          <w:rFonts w:asciiTheme="majorBidi" w:hAnsiTheme="majorBidi" w:cstheme="majorBidi"/>
        </w:rPr>
        <w:t>fungineering</w:t>
      </w:r>
      <w:proofErr w:type="spellEnd"/>
      <w:r w:rsidRPr="003B4A50">
        <w:rPr>
          <w:rFonts w:asciiTheme="majorBidi" w:hAnsiTheme="majorBidi" w:cstheme="majorBidi"/>
        </w:rPr>
        <w:t xml:space="preserve"> aims to develop materials for the circular bioeconomy. Composite and pure mycelium-based materials are now used industrially as sustainable alternatives to polystyrene packaging and other agricultural by-products (</w:t>
      </w:r>
      <w:r w:rsidRPr="003B4A50">
        <w:rPr>
          <w:rFonts w:asciiTheme="majorBidi" w:hAnsiTheme="majorBidi" w:cstheme="majorBidi"/>
          <w:color w:val="00B0F0"/>
        </w:rPr>
        <w:t>96,97</w:t>
      </w:r>
      <w:r w:rsidRPr="003B4A50">
        <w:rPr>
          <w:rFonts w:asciiTheme="majorBidi" w:hAnsiTheme="majorBidi" w:cstheme="majorBidi"/>
        </w:rPr>
        <w:t>). With their versatility, mushrooms play a key role in sustainable food production and materials science, contributing to global environmental solutions.</w:t>
      </w:r>
    </w:p>
    <w:p w14:paraId="741692C8" w14:textId="77777777" w:rsidR="003B4A50" w:rsidRDefault="003B4A50" w:rsidP="003B4A50">
      <w:pPr>
        <w:pStyle w:val="NoSpacing"/>
      </w:pPr>
    </w:p>
    <w:p w14:paraId="38F5CEC0" w14:textId="24615153" w:rsidR="003B4A50" w:rsidRPr="003B4A50" w:rsidRDefault="003B4A50" w:rsidP="003B4A50">
      <w:pPr>
        <w:spacing w:after="0" w:line="360" w:lineRule="auto"/>
        <w:jc w:val="both"/>
        <w:outlineLvl w:val="0"/>
        <w:rPr>
          <w:rFonts w:ascii="Times New Roman" w:hAnsi="Times New Roman" w:cs="Times New Roman"/>
        </w:rPr>
      </w:pPr>
      <w:r w:rsidRPr="003B4A50">
        <w:rPr>
          <w:rFonts w:asciiTheme="majorBidi" w:hAnsiTheme="majorBidi" w:cstheme="majorBidi"/>
        </w:rPr>
        <w:t>Mushroom cultivation has thus evolved from traditional methods to high-technology approaches incorporating nanotechnology, systems biology, and synthetic biology (</w:t>
      </w:r>
      <w:r w:rsidRPr="003B4A50">
        <w:rPr>
          <w:rFonts w:asciiTheme="majorBidi" w:hAnsiTheme="majorBidi" w:cstheme="majorBidi"/>
          <w:color w:val="00B0F0"/>
        </w:rPr>
        <w:t>91,98</w:t>
      </w:r>
      <w:r w:rsidRPr="003B4A50">
        <w:rPr>
          <w:rFonts w:asciiTheme="majorBidi" w:hAnsiTheme="majorBidi" w:cstheme="majorBidi"/>
        </w:rPr>
        <w:t>). Conclusively, future directions in mushroom cultivation are deeply rooted in historical developments. Advances in automation, sustainability-oriented substrate management, functional food research and urban farming represent evolutionary refinements rather than radical departures from traditional knowledge. Furthermore, cutting-edge techniques such as high-pressure processing, freeze-drying, nuclear magnetic resonance, and advanced spectroscopic methods are enhancing post-harvest processing in mushroom production by improving efficiency and scalability. A clear understanding of the historical progression of mushroom cultivation is therefore crucial for guiding future innovations that ensure sustainability, nutritional security and economic viability.</w:t>
      </w:r>
    </w:p>
    <w:p w14:paraId="7F2C0A12" w14:textId="77777777" w:rsidR="00235AF1" w:rsidRDefault="00235AF1" w:rsidP="003B4A50">
      <w:pPr>
        <w:pStyle w:val="NoSpacing"/>
      </w:pPr>
    </w:p>
    <w:p w14:paraId="578B5D48" w14:textId="77777777" w:rsidR="00235AF1" w:rsidRDefault="00182E67">
      <w:pPr>
        <w:pStyle w:val="ListParagraph"/>
        <w:numPr>
          <w:ilvl w:val="0"/>
          <w:numId w:val="10"/>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Future perspectives</w:t>
      </w:r>
    </w:p>
    <w:p w14:paraId="18868008" w14:textId="77777777" w:rsidR="00235AF1" w:rsidRDefault="00182E67">
      <w:pPr>
        <w:spacing w:after="0" w:line="360" w:lineRule="auto"/>
        <w:jc w:val="both"/>
        <w:outlineLvl w:val="0"/>
        <w:rPr>
          <w:rFonts w:ascii="Times New Roman" w:eastAsia="Times New Roman" w:hAnsi="Times New Roman" w:cs="Times New Roman"/>
          <w:kern w:val="36"/>
          <w:lang w:eastAsia="en-IN"/>
        </w:rPr>
      </w:pPr>
      <w:r>
        <w:rPr>
          <w:rFonts w:ascii="Times New Roman" w:eastAsia="Times New Roman" w:hAnsi="Times New Roman" w:cs="Times New Roman"/>
          <w:kern w:val="36"/>
          <w:lang w:eastAsia="en-IN"/>
        </w:rPr>
        <w:lastRenderedPageBreak/>
        <w:t>Future perspectives in fungal and mushroom research point toward an era of rapid discovery, technological integration and expanded societal relevance. Advancements in high-throughput sequencing, metagenomics, metabolomics and AI-assisted taxonomic tools will accelerate the identification of cryptic and currently undescribed fungal lineages, helping close long-standing gaps in global biodiversity assessments. Integrating molecular datasets with ecological monitoring will enable more accurate predictions of how climate change, land-use alteration and pollution reshape fungal communities and their functional roles. In the applied domain, mushrooms are poised to play an increasingly prominent role in sustainable food systems, bioremediation, biomaterial development and the circular bioeconomy, driven by innovations in substrate optimization, strain improvement, controlled-environment cultivation, and value-added product development. Strengthening fungal conservation initiatives, particularly in biodiversity hotspots such as the Western Ghats, Northeast India and the Himalayas, will be essential for safeguarding threatened macrofungal resources and their associated mycorrhizal networks. Collaborative, interdisciplinary research that links taxonomy, ecology, biotechnology and policy will shape the next generation of fungal science, ensuring that the ecological, nutritional and industrial potential of mushrooms is fully realised.</w:t>
      </w:r>
    </w:p>
    <w:p w14:paraId="7AEA6375"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0CF67452" w14:textId="77777777" w:rsidR="00235AF1" w:rsidRDefault="00182E67">
      <w:pPr>
        <w:pStyle w:val="ListParagraph"/>
        <w:numPr>
          <w:ilvl w:val="0"/>
          <w:numId w:val="10"/>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Conclusion</w:t>
      </w:r>
    </w:p>
    <w:p w14:paraId="65D92828"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 xml:space="preserve">Fungal diversity constitutes an immense yet largely unexplored component of global biodiversity and mushrooms offer a visible and scientifically tractable window into this hidden richness. As key agents of decomposition, nutrient cycling, soil enrichment and plant symbiosis, mushrooms play indispensable roles in sustaining the productivity and resilience of terrestrial ecosystems. Beyond their ecological significance, mushrooms make substantial contributions to human nutrition, health and the bioeconomy. In countries such as India, rural livelihoods are supported through small-scale cultivation, seasonal wild harvesting and the growing demand for functional foods and nutraceuticals. Recent advances in molecular systematics, environmental DNA sequencing and phylogenomic tools have transformed the understanding of fungal diversity. These approaches have uncovered previously unknown lineages, clarified taxonomic relationships and highlighted the vast extent of undocumented fungal richness. Nevertheless, significant gaps persist, particularly in regions such as the Western Ghats, Northeast India and the Himalayan belt, where systematic surveys remain limited. Concurrently, accelerating environmental pressures, including deforestation, climate change, pollution and unsustainable harvesting, pose increasing threats to fungal habitats and the ecological networks they support. The findings of this review highlight the urgent need to </w:t>
      </w:r>
      <w:r>
        <w:rPr>
          <w:rFonts w:ascii="Times New Roman" w:hAnsi="Times New Roman" w:cs="Times New Roman"/>
        </w:rPr>
        <w:lastRenderedPageBreak/>
        <w:t>strengthen mycological research, expand taxonomic and molecular capacity and integrate fungi into national and global biodiversity conservation frameworks. Prioritising the protection of macrofungal habitats and underground mycorrhizal networks is essential for maintaining ecosystem stability and carbon dynamics. As the global community advances toward more sustainable food systems and circular bioeconomy pathways, recognizing the ecological and societal value of mushrooms will be critical. By aligning scientific studies, policy and resource management, the full potential of fungal diversity can be harnessed for environmental sustainability and human well-being.</w:t>
      </w:r>
    </w:p>
    <w:p w14:paraId="75BBDE17" w14:textId="77777777" w:rsidR="003B4A50" w:rsidRDefault="003B4A50" w:rsidP="00675CBC">
      <w:pPr>
        <w:rPr>
          <w:rFonts w:cs="Times New Roman"/>
          <w:highlight w:val="yellow"/>
          <w:lang w:val="en-US"/>
        </w:rPr>
      </w:pPr>
      <w:bookmarkStart w:id="0" w:name="_Hlk197682619"/>
      <w:bookmarkStart w:id="1" w:name="_Hlk180402183"/>
      <w:bookmarkStart w:id="2" w:name="_Hlk183680988"/>
      <w:bookmarkStart w:id="3" w:name="_Hlk197351200"/>
      <w:bookmarkStart w:id="4" w:name="_Hlk213410455"/>
    </w:p>
    <w:p w14:paraId="2BAE96B7" w14:textId="7A9FBDEF" w:rsidR="00675CBC" w:rsidRPr="003B4A50" w:rsidRDefault="00675CBC" w:rsidP="00675CBC">
      <w:pPr>
        <w:rPr>
          <w:rFonts w:asciiTheme="majorBidi" w:hAnsiTheme="majorBidi" w:cstheme="majorBidi"/>
          <w:b/>
          <w:bCs/>
          <w:highlight w:val="yellow"/>
          <w:lang w:val="en-US"/>
        </w:rPr>
      </w:pPr>
      <w:r w:rsidRPr="003B4A50">
        <w:rPr>
          <w:rFonts w:asciiTheme="majorBidi" w:hAnsiTheme="majorBidi" w:cstheme="majorBidi"/>
          <w:b/>
          <w:bCs/>
          <w:highlight w:val="yellow"/>
          <w:lang w:val="en-US"/>
        </w:rPr>
        <w:t>Disclaimer (Artificial intelligence)</w:t>
      </w:r>
    </w:p>
    <w:p w14:paraId="0A331A88" w14:textId="3F2A75CB" w:rsidR="00675CBC" w:rsidRDefault="00675CBC" w:rsidP="003B4A50">
      <w:pPr>
        <w:jc w:val="both"/>
        <w:rPr>
          <w:rFonts w:asciiTheme="majorBidi" w:hAnsiTheme="majorBidi" w:cstheme="majorBidi"/>
          <w:lang w:val="en-US"/>
        </w:rPr>
      </w:pPr>
      <w:r w:rsidRPr="003B4A50">
        <w:rPr>
          <w:rFonts w:asciiTheme="majorBidi" w:hAnsiTheme="majorBidi" w:cstheme="majorBidi"/>
          <w:lang w:val="en-US"/>
        </w:rPr>
        <w:t xml:space="preserve">Authors hereby declare that NO generative AI technologies such as Large Language Models (ChatGPT, COPILOT, etc.) and text-to-image generators have been used during the writing or editing of this manuscript. </w:t>
      </w:r>
    </w:p>
    <w:p w14:paraId="636E2BE2" w14:textId="5110E469" w:rsidR="003B4A50" w:rsidRDefault="003B4A50" w:rsidP="003B4A50">
      <w:pPr>
        <w:jc w:val="both"/>
        <w:rPr>
          <w:rFonts w:asciiTheme="majorBidi" w:hAnsiTheme="majorBidi" w:cstheme="majorBidi"/>
        </w:rPr>
      </w:pPr>
      <w:r w:rsidRPr="003B4A50">
        <w:rPr>
          <w:rFonts w:asciiTheme="majorBidi" w:hAnsiTheme="majorBidi" w:cstheme="majorBidi"/>
          <w:b/>
          <w:bCs/>
          <w:highlight w:val="yellow"/>
        </w:rPr>
        <w:t>Acknowledgments</w:t>
      </w:r>
      <w:r w:rsidRPr="003B4A50">
        <w:rPr>
          <w:rFonts w:asciiTheme="majorBidi" w:hAnsiTheme="majorBidi" w:cstheme="majorBidi"/>
        </w:rPr>
        <w:t xml:space="preserve"> </w:t>
      </w:r>
    </w:p>
    <w:p w14:paraId="013C4F80" w14:textId="4FC16AF4" w:rsidR="003B4A50" w:rsidRPr="003B4A50" w:rsidRDefault="003B4A50" w:rsidP="003B4A50">
      <w:pPr>
        <w:jc w:val="both"/>
        <w:rPr>
          <w:rFonts w:asciiTheme="majorBidi" w:hAnsiTheme="majorBidi" w:cstheme="majorBidi"/>
          <w:lang w:val="en-US"/>
        </w:rPr>
      </w:pPr>
      <w:r>
        <w:rPr>
          <w:rFonts w:asciiTheme="majorBidi" w:hAnsiTheme="majorBidi" w:cstheme="majorBidi"/>
        </w:rPr>
        <w:t>We</w:t>
      </w:r>
      <w:r w:rsidRPr="003B4A50">
        <w:rPr>
          <w:rFonts w:asciiTheme="majorBidi" w:hAnsiTheme="majorBidi" w:cstheme="majorBidi"/>
        </w:rPr>
        <w:t xml:space="preserve"> sincerely acknowledge </w:t>
      </w:r>
      <w:r w:rsidRPr="003B4A50">
        <w:rPr>
          <w:rFonts w:asciiTheme="majorBidi" w:hAnsiTheme="majorBidi" w:cstheme="majorBidi"/>
          <w:b/>
          <w:bCs/>
        </w:rPr>
        <w:t>Prof</w:t>
      </w:r>
      <w:r>
        <w:rPr>
          <w:rFonts w:asciiTheme="majorBidi" w:hAnsiTheme="majorBidi" w:cstheme="majorBidi"/>
        </w:rPr>
        <w:t>. (</w:t>
      </w:r>
      <w:r w:rsidRPr="003B4A50">
        <w:rPr>
          <w:rFonts w:asciiTheme="majorBidi" w:hAnsiTheme="majorBidi" w:cstheme="majorBidi"/>
          <w:b/>
          <w:bCs/>
        </w:rPr>
        <w:t>Dr.</w:t>
      </w:r>
      <w:r>
        <w:rPr>
          <w:rFonts w:asciiTheme="majorBidi" w:hAnsiTheme="majorBidi" w:cstheme="majorBidi"/>
          <w:b/>
          <w:bCs/>
        </w:rPr>
        <w:t>)</w:t>
      </w:r>
      <w:r w:rsidRPr="003B4A50">
        <w:rPr>
          <w:rFonts w:asciiTheme="majorBidi" w:hAnsiTheme="majorBidi" w:cstheme="majorBidi"/>
          <w:b/>
          <w:bCs/>
        </w:rPr>
        <w:t xml:space="preserve"> J.N. Bhatia</w:t>
      </w:r>
      <w:r w:rsidRPr="003B4A50">
        <w:rPr>
          <w:rFonts w:asciiTheme="majorBidi" w:hAnsiTheme="majorBidi" w:cstheme="majorBidi"/>
        </w:rPr>
        <w:t>, Retired Professor</w:t>
      </w:r>
      <w:r w:rsidR="00A4744F">
        <w:rPr>
          <w:rFonts w:asciiTheme="majorBidi" w:hAnsiTheme="majorBidi" w:cstheme="majorBidi"/>
        </w:rPr>
        <w:t xml:space="preserve"> (Plant Pathology)</w:t>
      </w:r>
      <w:r w:rsidRPr="003B4A50">
        <w:rPr>
          <w:rFonts w:asciiTheme="majorBidi" w:hAnsiTheme="majorBidi" w:cstheme="majorBidi"/>
        </w:rPr>
        <w:t>, CCS HAU</w:t>
      </w:r>
      <w:r>
        <w:rPr>
          <w:rFonts w:asciiTheme="majorBidi" w:hAnsiTheme="majorBidi" w:cstheme="majorBidi"/>
        </w:rPr>
        <w:t>, Hisar, Haryana</w:t>
      </w:r>
      <w:r w:rsidRPr="003B4A50">
        <w:rPr>
          <w:rFonts w:asciiTheme="majorBidi" w:hAnsiTheme="majorBidi" w:cstheme="majorBidi"/>
        </w:rPr>
        <w:t xml:space="preserve"> and Emeritus and Visiting Professor, Sri Guru Granth Sahib World University, </w:t>
      </w:r>
      <w:proofErr w:type="spellStart"/>
      <w:r w:rsidRPr="003B4A50">
        <w:rPr>
          <w:rFonts w:asciiTheme="majorBidi" w:hAnsiTheme="majorBidi" w:cstheme="majorBidi"/>
        </w:rPr>
        <w:t>Fatehgarh</w:t>
      </w:r>
      <w:proofErr w:type="spellEnd"/>
      <w:r w:rsidRPr="003B4A50">
        <w:rPr>
          <w:rFonts w:asciiTheme="majorBidi" w:hAnsiTheme="majorBidi" w:cstheme="majorBidi"/>
        </w:rPr>
        <w:t xml:space="preserve"> Sahib, Punjab, for his expert insights, scholarly guidance and valuable suggestions during the preparation of this </w:t>
      </w:r>
      <w:r>
        <w:rPr>
          <w:rFonts w:asciiTheme="majorBidi" w:hAnsiTheme="majorBidi" w:cstheme="majorBidi"/>
        </w:rPr>
        <w:t xml:space="preserve">review </w:t>
      </w:r>
      <w:r w:rsidRPr="003B4A50">
        <w:rPr>
          <w:rFonts w:asciiTheme="majorBidi" w:hAnsiTheme="majorBidi" w:cstheme="majorBidi"/>
        </w:rPr>
        <w:t>article.</w:t>
      </w:r>
    </w:p>
    <w:bookmarkEnd w:id="0"/>
    <w:bookmarkEnd w:id="1"/>
    <w:bookmarkEnd w:id="2"/>
    <w:bookmarkEnd w:id="3"/>
    <w:p w14:paraId="517DEC53" w14:textId="77777777" w:rsidR="00675CBC" w:rsidRDefault="00675CBC" w:rsidP="00675CBC"/>
    <w:bookmarkEnd w:id="4"/>
    <w:p w14:paraId="56E6737A" w14:textId="77777777" w:rsidR="00235AF1" w:rsidRDefault="00182E67">
      <w:pPr>
        <w:rPr>
          <w:rFonts w:ascii="Times New Roman" w:hAnsi="Times New Roman" w:cs="Times New Roman"/>
        </w:rPr>
      </w:pPr>
      <w:r>
        <w:rPr>
          <w:rFonts w:ascii="Times New Roman" w:hAnsi="Times New Roman" w:cs="Times New Roman"/>
        </w:rPr>
        <w:br w:type="page"/>
      </w:r>
    </w:p>
    <w:p w14:paraId="61E8ED34" w14:textId="77777777" w:rsidR="00235AF1" w:rsidRDefault="00182E67">
      <w:p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lastRenderedPageBreak/>
        <w:t>References</w:t>
      </w:r>
    </w:p>
    <w:p w14:paraId="3FE0D495" w14:textId="37BA3104"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color w:val="222222"/>
          <w:sz w:val="22"/>
          <w:szCs w:val="22"/>
          <w:shd w:val="clear" w:color="auto" w:fill="FFFFFF"/>
        </w:rPr>
        <w:t xml:space="preserve">Sharma, R. (2017). Ectomycorrhizal mushrooms: Their diversity, ecology and practical applications. </w:t>
      </w:r>
      <w:r w:rsidRPr="007E341B">
        <w:rPr>
          <w:rFonts w:asciiTheme="majorBidi" w:hAnsiTheme="majorBidi" w:cstheme="majorBidi"/>
          <w:b/>
          <w:bCs/>
          <w:color w:val="222222"/>
          <w:sz w:val="22"/>
          <w:szCs w:val="22"/>
          <w:shd w:val="clear" w:color="auto" w:fill="FFFFFF"/>
        </w:rPr>
        <w:t>In:</w:t>
      </w:r>
      <w:r w:rsidRPr="007E341B">
        <w:rPr>
          <w:rFonts w:asciiTheme="majorBidi" w:hAnsiTheme="majorBidi" w:cstheme="majorBidi"/>
          <w:color w:val="222222"/>
          <w:sz w:val="22"/>
          <w:szCs w:val="22"/>
          <w:shd w:val="clear" w:color="auto" w:fill="FFFFFF"/>
        </w:rPr>
        <w:t xml:space="preserve"> Varma, A., Prasad, R., Tuteja, N. (Eds.) Mycorrhiza - Function, Diversity, State of the Art. Springer, Cham.</w:t>
      </w:r>
      <w:r w:rsidR="00235EF3" w:rsidRPr="007E341B">
        <w:rPr>
          <w:rFonts w:asciiTheme="majorBidi" w:eastAsia="Times New Roman" w:hAnsiTheme="majorBidi" w:cstheme="majorBidi"/>
          <w:sz w:val="22"/>
          <w:szCs w:val="22"/>
        </w:rPr>
        <w:t xml:space="preserve"> </w:t>
      </w:r>
      <w:hyperlink r:id="rId13" w:history="1">
        <w:r w:rsidR="007E341B" w:rsidRPr="00A80C40">
          <w:rPr>
            <w:rStyle w:val="Hyperlink"/>
            <w:rFonts w:asciiTheme="majorBidi" w:eastAsia="Times New Roman" w:hAnsiTheme="majorBidi" w:cstheme="majorBidi"/>
            <w:sz w:val="22"/>
            <w:szCs w:val="22"/>
          </w:rPr>
          <w:t>https://doi.org/10.1007/978-3-319-53064-2_7</w:t>
        </w:r>
      </w:hyperlink>
      <w:r w:rsidR="007E341B">
        <w:rPr>
          <w:rFonts w:asciiTheme="majorBidi" w:eastAsia="Times New Roman" w:hAnsiTheme="majorBidi" w:cstheme="majorBidi"/>
          <w:sz w:val="22"/>
          <w:szCs w:val="22"/>
        </w:rPr>
        <w:t xml:space="preserve"> </w:t>
      </w:r>
      <w:r w:rsidR="00235EF3" w:rsidRPr="007E341B">
        <w:rPr>
          <w:rFonts w:asciiTheme="majorBidi" w:eastAsia="Times New Roman" w:hAnsiTheme="majorBidi" w:cstheme="majorBidi"/>
          <w:kern w:val="0"/>
          <w:sz w:val="22"/>
          <w:szCs w:val="22"/>
          <w:lang w:eastAsia="en-IN"/>
        </w:rPr>
        <w:t xml:space="preserve"> </w:t>
      </w:r>
    </w:p>
    <w:p w14:paraId="2F48392A" w14:textId="5DB1E9CF"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 xml:space="preserve">Aditya., Neeraj.,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xml:space="preserve">, R.S.,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xml:space="preserve">, K, Bhatia, J.N. (2024). Comprehensive review on oyster mushroom species (Agaricomycetes): Morphology, nutrition, cultivation and future aspects. </w:t>
      </w:r>
      <w:proofErr w:type="spellStart"/>
      <w:r w:rsidRPr="007E341B">
        <w:rPr>
          <w:rFonts w:asciiTheme="majorBidi" w:hAnsiTheme="majorBidi" w:cstheme="majorBidi"/>
          <w:sz w:val="22"/>
          <w:szCs w:val="22"/>
        </w:rPr>
        <w:t>Heliyon</w:t>
      </w:r>
      <w:proofErr w:type="spellEnd"/>
      <w:r w:rsidRPr="007E341B">
        <w:rPr>
          <w:rFonts w:asciiTheme="majorBidi" w:hAnsiTheme="majorBidi" w:cstheme="majorBidi"/>
          <w:sz w:val="22"/>
          <w:szCs w:val="22"/>
        </w:rPr>
        <w:t xml:space="preserve">, 10(5), e26539. </w:t>
      </w:r>
      <w:hyperlink r:id="rId14" w:history="1">
        <w:r w:rsidR="007E341B" w:rsidRPr="00A80C40">
          <w:rPr>
            <w:rStyle w:val="Hyperlink"/>
            <w:rFonts w:asciiTheme="majorBidi" w:eastAsia="Times New Roman" w:hAnsiTheme="majorBidi" w:cstheme="majorBidi"/>
            <w:sz w:val="22"/>
            <w:szCs w:val="22"/>
          </w:rPr>
          <w:t>https://doi.org/10.1016/j.heliyon.2024.e26539</w:t>
        </w:r>
      </w:hyperlink>
      <w:r w:rsidR="007E341B">
        <w:rPr>
          <w:rFonts w:asciiTheme="majorBidi" w:eastAsia="Times New Roman" w:hAnsiTheme="majorBidi" w:cstheme="majorBidi"/>
          <w:sz w:val="22"/>
          <w:szCs w:val="22"/>
        </w:rPr>
        <w:t xml:space="preserve"> </w:t>
      </w:r>
    </w:p>
    <w:p w14:paraId="00C5BC5B" w14:textId="1F0E96A6"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lang w:bidi="hi-IN"/>
        </w:rPr>
        <w:t xml:space="preserve">Aditya., Kumar, D., Kashyap, S., Gupta, S. (2024).  Mushrooms as functional foods: Trends and innovations. </w:t>
      </w:r>
      <w:r w:rsidRPr="007E341B">
        <w:rPr>
          <w:rFonts w:asciiTheme="majorBidi" w:hAnsiTheme="majorBidi" w:cstheme="majorBidi"/>
          <w:b/>
          <w:bCs/>
          <w:sz w:val="22"/>
          <w:szCs w:val="22"/>
          <w:lang w:bidi="hi-IN"/>
        </w:rPr>
        <w:t>In:</w:t>
      </w:r>
      <w:r w:rsidRPr="007E341B">
        <w:rPr>
          <w:rFonts w:asciiTheme="majorBidi" w:hAnsiTheme="majorBidi" w:cstheme="majorBidi"/>
          <w:sz w:val="22"/>
          <w:szCs w:val="22"/>
          <w:lang w:bidi="hi-IN"/>
        </w:rPr>
        <w:t xml:space="preserve"> Mushroom Magic. CRC Press, London. pp. 307-322. </w:t>
      </w:r>
      <w:hyperlink r:id="rId15" w:history="1">
        <w:r w:rsidR="0058784B" w:rsidRPr="00A80C40">
          <w:rPr>
            <w:rStyle w:val="Hyperlink"/>
            <w:rFonts w:asciiTheme="majorBidi" w:eastAsia="Times New Roman" w:hAnsiTheme="majorBidi" w:cstheme="majorBidi"/>
            <w:sz w:val="22"/>
            <w:szCs w:val="22"/>
          </w:rPr>
          <w:t>http://dx.doi.org/10.1201/9781003570257-19</w:t>
        </w:r>
      </w:hyperlink>
      <w:r w:rsidR="0058784B">
        <w:rPr>
          <w:rFonts w:asciiTheme="majorBidi" w:eastAsia="Times New Roman" w:hAnsiTheme="majorBidi" w:cstheme="majorBidi"/>
          <w:sz w:val="22"/>
          <w:szCs w:val="22"/>
        </w:rPr>
        <w:t xml:space="preserve"> </w:t>
      </w:r>
    </w:p>
    <w:p w14:paraId="3CD79619" w14:textId="3AC08929"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color w:val="222222"/>
          <w:sz w:val="22"/>
          <w:szCs w:val="22"/>
          <w:shd w:val="clear" w:color="auto" w:fill="FFFFFF"/>
          <w:lang w:val="nn-NO"/>
        </w:rPr>
        <w:t xml:space="preserve">Oro, V., Pisinov, B., Tabaković, M., Sekulić, Z., &amp; Trkulja, N. (2023). </w:t>
      </w:r>
      <w:proofErr w:type="spellStart"/>
      <w:r w:rsidRPr="007E341B">
        <w:rPr>
          <w:rFonts w:asciiTheme="majorBidi" w:hAnsiTheme="majorBidi" w:cstheme="majorBidi"/>
          <w:i/>
          <w:iCs/>
          <w:color w:val="222222"/>
          <w:sz w:val="22"/>
          <w:szCs w:val="22"/>
          <w:shd w:val="clear" w:color="auto" w:fill="FFFFFF"/>
        </w:rPr>
        <w:t>Tolypocladium</w:t>
      </w:r>
      <w:proofErr w:type="spellEnd"/>
      <w:r w:rsidRPr="007E341B">
        <w:rPr>
          <w:rFonts w:asciiTheme="majorBidi" w:hAnsiTheme="majorBidi" w:cstheme="majorBidi"/>
          <w:i/>
          <w:iCs/>
          <w:color w:val="222222"/>
          <w:sz w:val="22"/>
          <w:szCs w:val="22"/>
          <w:shd w:val="clear" w:color="auto" w:fill="FFFFFF"/>
        </w:rPr>
        <w:t xml:space="preserve"> </w:t>
      </w:r>
      <w:proofErr w:type="spellStart"/>
      <w:r w:rsidRPr="007E341B">
        <w:rPr>
          <w:rFonts w:asciiTheme="majorBidi" w:hAnsiTheme="majorBidi" w:cstheme="majorBidi"/>
          <w:i/>
          <w:iCs/>
          <w:color w:val="222222"/>
          <w:sz w:val="22"/>
          <w:szCs w:val="22"/>
          <w:shd w:val="clear" w:color="auto" w:fill="FFFFFF"/>
        </w:rPr>
        <w:t>parasiticum</w:t>
      </w:r>
      <w:proofErr w:type="spellEnd"/>
      <w:r w:rsidRPr="007E341B">
        <w:rPr>
          <w:rFonts w:asciiTheme="majorBidi" w:hAnsiTheme="majorBidi" w:cstheme="majorBidi"/>
          <w:color w:val="222222"/>
          <w:sz w:val="22"/>
          <w:szCs w:val="22"/>
          <w:shd w:val="clear" w:color="auto" w:fill="FFFFFF"/>
        </w:rPr>
        <w:t xml:space="preserve"> Barron: A polyextremophilic fungus. </w:t>
      </w:r>
      <w:r w:rsidRPr="007E341B">
        <w:rPr>
          <w:rFonts w:asciiTheme="majorBidi" w:hAnsiTheme="majorBidi" w:cstheme="majorBidi"/>
          <w:b/>
          <w:bCs/>
          <w:color w:val="222222"/>
          <w:sz w:val="22"/>
          <w:szCs w:val="22"/>
          <w:shd w:val="clear" w:color="auto" w:fill="FFFFFF"/>
        </w:rPr>
        <w:t>In:</w:t>
      </w:r>
      <w:r w:rsidRPr="007E341B">
        <w:rPr>
          <w:rFonts w:asciiTheme="majorBidi" w:hAnsiTheme="majorBidi" w:cstheme="majorBidi"/>
          <w:color w:val="222222"/>
          <w:sz w:val="22"/>
          <w:szCs w:val="22"/>
          <w:shd w:val="clear" w:color="auto" w:fill="FFFFFF"/>
        </w:rPr>
        <w:t> </w:t>
      </w:r>
      <w:r w:rsidRPr="007E341B">
        <w:rPr>
          <w:rFonts w:asciiTheme="majorBidi" w:hAnsiTheme="majorBidi" w:cstheme="majorBidi"/>
          <w:i/>
          <w:iCs/>
          <w:color w:val="222222"/>
          <w:sz w:val="22"/>
          <w:szCs w:val="22"/>
          <w:shd w:val="clear" w:color="auto" w:fill="FFFFFF"/>
        </w:rPr>
        <w:t>Proceedings of the XIX Congress of European Mycologists, Perugia, September 4th-8th, 2023</w:t>
      </w:r>
      <w:r w:rsidRPr="007E341B">
        <w:rPr>
          <w:rFonts w:asciiTheme="majorBidi" w:hAnsiTheme="majorBidi" w:cstheme="majorBidi"/>
          <w:color w:val="222222"/>
          <w:sz w:val="22"/>
          <w:szCs w:val="22"/>
          <w:shd w:val="clear" w:color="auto" w:fill="FFFFFF"/>
        </w:rPr>
        <w:t xml:space="preserve">. </w:t>
      </w:r>
      <w:proofErr w:type="spellStart"/>
      <w:r w:rsidRPr="007E341B">
        <w:rPr>
          <w:rFonts w:asciiTheme="majorBidi" w:hAnsiTheme="majorBidi" w:cstheme="majorBidi"/>
          <w:color w:val="222222"/>
          <w:sz w:val="22"/>
          <w:szCs w:val="22"/>
          <w:shd w:val="clear" w:color="auto" w:fill="FFFFFF"/>
        </w:rPr>
        <w:t>Società</w:t>
      </w:r>
      <w:proofErr w:type="spellEnd"/>
      <w:r w:rsidRPr="007E341B">
        <w:rPr>
          <w:rFonts w:asciiTheme="majorBidi" w:hAnsiTheme="majorBidi" w:cstheme="majorBidi"/>
          <w:color w:val="222222"/>
          <w:sz w:val="22"/>
          <w:szCs w:val="22"/>
          <w:shd w:val="clear" w:color="auto" w:fill="FFFFFF"/>
        </w:rPr>
        <w:t xml:space="preserve"> Botanica </w:t>
      </w:r>
      <w:proofErr w:type="spellStart"/>
      <w:r w:rsidRPr="007E341B">
        <w:rPr>
          <w:rFonts w:asciiTheme="majorBidi" w:hAnsiTheme="majorBidi" w:cstheme="majorBidi"/>
          <w:color w:val="222222"/>
          <w:sz w:val="22"/>
          <w:szCs w:val="22"/>
          <w:shd w:val="clear" w:color="auto" w:fill="FFFFFF"/>
        </w:rPr>
        <w:t>Italiana</w:t>
      </w:r>
      <w:proofErr w:type="spellEnd"/>
      <w:r w:rsidRPr="007E341B">
        <w:rPr>
          <w:rFonts w:asciiTheme="majorBidi" w:hAnsiTheme="majorBidi" w:cstheme="majorBidi"/>
          <w:color w:val="222222"/>
          <w:sz w:val="22"/>
          <w:szCs w:val="22"/>
          <w:shd w:val="clear" w:color="auto" w:fill="FFFFFF"/>
        </w:rPr>
        <w:t xml:space="preserve"> Firenze (Italia). pp. 109.</w:t>
      </w:r>
      <w:r w:rsidR="00235EF3" w:rsidRPr="007E341B">
        <w:rPr>
          <w:rFonts w:asciiTheme="majorBidi" w:eastAsia="Times New Roman" w:hAnsiTheme="majorBidi" w:cstheme="majorBidi"/>
          <w:sz w:val="22"/>
          <w:szCs w:val="22"/>
        </w:rPr>
        <w:t xml:space="preserve"> </w:t>
      </w:r>
      <w:hyperlink r:id="rId16" w:history="1">
        <w:r w:rsidR="0058784B" w:rsidRPr="00A80C40">
          <w:rPr>
            <w:rStyle w:val="Hyperlink"/>
            <w:rFonts w:asciiTheme="majorBidi" w:eastAsia="Times New Roman" w:hAnsiTheme="majorBidi" w:cstheme="majorBidi"/>
            <w:sz w:val="22"/>
            <w:szCs w:val="22"/>
          </w:rPr>
          <w:t>https://hdl.handle.net/21.15107/rcub_plantarum_1259</w:t>
        </w:r>
      </w:hyperlink>
      <w:r w:rsidR="0058784B">
        <w:rPr>
          <w:rFonts w:asciiTheme="majorBidi" w:eastAsia="Times New Roman" w:hAnsiTheme="majorBidi" w:cstheme="majorBidi"/>
          <w:sz w:val="22"/>
          <w:szCs w:val="22"/>
        </w:rPr>
        <w:t xml:space="preserve"> </w:t>
      </w:r>
    </w:p>
    <w:p w14:paraId="35A608E9" w14:textId="7B2CEA63"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 xml:space="preserve">Anderson, M.K., &amp; Lake, F. K. (2013). California Indian ethnomycology and associated forest management. Journal of Ethnobiology, 33, 33– 85. </w:t>
      </w:r>
      <w:hyperlink r:id="rId17" w:history="1">
        <w:r w:rsidR="0058784B" w:rsidRPr="00A80C40">
          <w:rPr>
            <w:rStyle w:val="Hyperlink"/>
            <w:rFonts w:asciiTheme="majorBidi" w:eastAsia="Times New Roman" w:hAnsiTheme="majorBidi" w:cstheme="majorBidi"/>
            <w:sz w:val="22"/>
            <w:szCs w:val="22"/>
          </w:rPr>
          <w:t>https://doi.org/10.2993/0278-0771-33.1.33</w:t>
        </w:r>
      </w:hyperlink>
      <w:r w:rsidR="0058784B">
        <w:rPr>
          <w:rFonts w:asciiTheme="majorBidi" w:eastAsia="Times New Roman" w:hAnsiTheme="majorBidi" w:cstheme="majorBidi"/>
          <w:sz w:val="22"/>
          <w:szCs w:val="22"/>
        </w:rPr>
        <w:t xml:space="preserve"> </w:t>
      </w:r>
    </w:p>
    <w:p w14:paraId="3DB0B10E" w14:textId="100F6D6E"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proofErr w:type="spellStart"/>
      <w:r w:rsidRPr="007E341B">
        <w:rPr>
          <w:rFonts w:asciiTheme="majorBidi" w:hAnsiTheme="majorBidi" w:cstheme="majorBidi"/>
          <w:sz w:val="22"/>
          <w:szCs w:val="22"/>
        </w:rPr>
        <w:t>Barroetavena</w:t>
      </w:r>
      <w:proofErr w:type="spellEnd"/>
      <w:r w:rsidRPr="007E341B">
        <w:rPr>
          <w:rFonts w:asciiTheme="majorBidi" w:hAnsiTheme="majorBidi" w:cstheme="majorBidi"/>
          <w:sz w:val="22"/>
          <w:szCs w:val="22"/>
        </w:rPr>
        <w:t xml:space="preserve">, C., &amp; Toledo, C.V. (2020). Diversity and ecology of edible mushrooms from Patagonia native forests, Argentina. </w:t>
      </w:r>
      <w:r w:rsidRPr="007E341B">
        <w:rPr>
          <w:rFonts w:asciiTheme="majorBidi" w:hAnsiTheme="majorBidi" w:cstheme="majorBidi"/>
          <w:b/>
          <w:bCs/>
          <w:sz w:val="22"/>
          <w:szCs w:val="22"/>
        </w:rPr>
        <w:t>In:</w:t>
      </w:r>
      <w:r w:rsidRPr="007E341B">
        <w:rPr>
          <w:rFonts w:asciiTheme="majorBidi" w:hAnsiTheme="majorBidi" w:cstheme="majorBidi"/>
          <w:sz w:val="22"/>
          <w:szCs w:val="22"/>
        </w:rPr>
        <w:t xml:space="preserve"> J. PerezMoreno, A. Guerin-</w:t>
      </w:r>
      <w:proofErr w:type="spellStart"/>
      <w:r w:rsidRPr="007E341B">
        <w:rPr>
          <w:rFonts w:asciiTheme="majorBidi" w:hAnsiTheme="majorBidi" w:cstheme="majorBidi"/>
          <w:sz w:val="22"/>
          <w:szCs w:val="22"/>
        </w:rPr>
        <w:t>Laguette</w:t>
      </w:r>
      <w:proofErr w:type="spellEnd"/>
      <w:r w:rsidRPr="007E341B">
        <w:rPr>
          <w:rFonts w:asciiTheme="majorBidi" w:hAnsiTheme="majorBidi" w:cstheme="majorBidi"/>
          <w:sz w:val="22"/>
          <w:szCs w:val="22"/>
        </w:rPr>
        <w:t>, R. Flores-</w:t>
      </w:r>
      <w:proofErr w:type="spellStart"/>
      <w:r w:rsidRPr="007E341B">
        <w:rPr>
          <w:rFonts w:asciiTheme="majorBidi" w:hAnsiTheme="majorBidi" w:cstheme="majorBidi"/>
          <w:sz w:val="22"/>
          <w:szCs w:val="22"/>
        </w:rPr>
        <w:t>Arzú</w:t>
      </w:r>
      <w:proofErr w:type="spellEnd"/>
      <w:r w:rsidRPr="007E341B">
        <w:rPr>
          <w:rFonts w:asciiTheme="majorBidi" w:hAnsiTheme="majorBidi" w:cstheme="majorBidi"/>
          <w:sz w:val="22"/>
          <w:szCs w:val="22"/>
        </w:rPr>
        <w:t>, &amp; Y. Fu-Qiang (Eds.), Mushrooms, Humans and Nature in a Changing World: Perspectives from Ecological, Agricultural and Social Sciences. Springer Nature Switzerland AG. pp. 297–318.</w:t>
      </w:r>
      <w:r w:rsidR="00235EF3" w:rsidRPr="007E341B">
        <w:rPr>
          <w:rFonts w:asciiTheme="majorBidi" w:eastAsia="Times New Roman" w:hAnsiTheme="majorBidi" w:cstheme="majorBidi"/>
          <w:sz w:val="22"/>
          <w:szCs w:val="22"/>
        </w:rPr>
        <w:t xml:space="preserve"> </w:t>
      </w:r>
      <w:hyperlink r:id="rId18" w:history="1">
        <w:r w:rsidR="0058784B" w:rsidRPr="00A80C40">
          <w:rPr>
            <w:rStyle w:val="Hyperlink"/>
            <w:rFonts w:asciiTheme="majorBidi" w:eastAsia="Times New Roman" w:hAnsiTheme="majorBidi" w:cstheme="majorBidi"/>
            <w:sz w:val="22"/>
            <w:szCs w:val="22"/>
          </w:rPr>
          <w:t>https://doi.org/10.1007/978-3-030-37378-8_11</w:t>
        </w:r>
      </w:hyperlink>
      <w:r w:rsidR="0058784B">
        <w:rPr>
          <w:rFonts w:asciiTheme="majorBidi" w:eastAsia="Times New Roman" w:hAnsiTheme="majorBidi" w:cstheme="majorBidi"/>
          <w:sz w:val="22"/>
          <w:szCs w:val="22"/>
        </w:rPr>
        <w:t xml:space="preserve"> </w:t>
      </w:r>
      <w:r w:rsidR="00235EF3" w:rsidRPr="007E341B">
        <w:rPr>
          <w:rFonts w:asciiTheme="majorBidi" w:eastAsia="Times New Roman" w:hAnsiTheme="majorBidi" w:cstheme="majorBidi"/>
          <w:kern w:val="0"/>
          <w:sz w:val="22"/>
          <w:szCs w:val="22"/>
          <w:lang w:eastAsia="en-IN"/>
        </w:rPr>
        <w:t xml:space="preserve"> </w:t>
      </w:r>
    </w:p>
    <w:p w14:paraId="3E853AD5" w14:textId="5953F447"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lang w:val="nn-NO"/>
        </w:rPr>
        <w:t xml:space="preserve">Beimforde, C., Schäfer, N., Dörfelt, H., Nascimbene, P.C., Singh, H., Heinrichs, J., Reitner, J., Rana, R.S., &amp; Schmidt, A.R. (2011). </w:t>
      </w:r>
      <w:r w:rsidRPr="007E341B">
        <w:rPr>
          <w:rFonts w:asciiTheme="majorBidi" w:hAnsiTheme="majorBidi" w:cstheme="majorBidi"/>
          <w:sz w:val="22"/>
          <w:szCs w:val="22"/>
        </w:rPr>
        <w:t xml:space="preserve">Ectomycorrhizas from a lower Eocene angiosperm forest. New Phytologist, 192, 988–996. </w:t>
      </w:r>
      <w:hyperlink r:id="rId19" w:history="1">
        <w:r w:rsidR="0058784B" w:rsidRPr="00A80C40">
          <w:rPr>
            <w:rStyle w:val="Hyperlink"/>
            <w:rFonts w:asciiTheme="majorBidi" w:eastAsia="Times New Roman" w:hAnsiTheme="majorBidi" w:cstheme="majorBidi"/>
            <w:sz w:val="22"/>
            <w:szCs w:val="22"/>
          </w:rPr>
          <w:t>https://doi.org/10.1111/j.1469-8137.2011.03868.x</w:t>
        </w:r>
      </w:hyperlink>
      <w:r w:rsidR="0058784B">
        <w:rPr>
          <w:rFonts w:asciiTheme="majorBidi" w:eastAsia="Times New Roman" w:hAnsiTheme="majorBidi" w:cstheme="majorBidi"/>
          <w:sz w:val="22"/>
          <w:szCs w:val="22"/>
        </w:rPr>
        <w:t xml:space="preserve"> </w:t>
      </w:r>
    </w:p>
    <w:p w14:paraId="182EC191" w14:textId="383AFC7A"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 xml:space="preserve">Aditya., Neeraj., Bhatia, J.N., Yadav, A.N. (2025). A comprehensive review on multifunctional bioactive properties of elm oyster mushroom </w:t>
      </w:r>
      <w:r w:rsidRPr="007E341B">
        <w:rPr>
          <w:rFonts w:asciiTheme="majorBidi" w:hAnsiTheme="majorBidi" w:cstheme="majorBidi"/>
          <w:i/>
          <w:iCs/>
          <w:sz w:val="22"/>
          <w:szCs w:val="22"/>
        </w:rPr>
        <w:t>Hypsizygus ulmarius</w:t>
      </w:r>
      <w:r w:rsidRPr="007E341B">
        <w:rPr>
          <w:rFonts w:asciiTheme="majorBidi" w:hAnsiTheme="majorBidi" w:cstheme="majorBidi"/>
          <w:sz w:val="22"/>
          <w:szCs w:val="22"/>
        </w:rPr>
        <w:t xml:space="preserve"> (Bull.) Redhead (Agaricomycetes): Current research, challenges and future trends. </w:t>
      </w:r>
      <w:proofErr w:type="spellStart"/>
      <w:r w:rsidRPr="007E341B">
        <w:rPr>
          <w:rFonts w:asciiTheme="majorBidi" w:hAnsiTheme="majorBidi" w:cstheme="majorBidi"/>
          <w:sz w:val="22"/>
          <w:szCs w:val="22"/>
        </w:rPr>
        <w:t>Heliyon</w:t>
      </w:r>
      <w:proofErr w:type="spellEnd"/>
      <w:r w:rsidRPr="007E341B">
        <w:rPr>
          <w:rFonts w:asciiTheme="majorBidi" w:hAnsiTheme="majorBidi" w:cstheme="majorBidi"/>
          <w:sz w:val="22"/>
          <w:szCs w:val="22"/>
        </w:rPr>
        <w:t xml:space="preserve">, 11(2), e41418. </w:t>
      </w:r>
      <w:hyperlink r:id="rId20" w:history="1">
        <w:r w:rsidR="0058784B" w:rsidRPr="00A80C40">
          <w:rPr>
            <w:rStyle w:val="Hyperlink"/>
            <w:rFonts w:asciiTheme="majorBidi" w:eastAsia="Times New Roman" w:hAnsiTheme="majorBidi" w:cstheme="majorBidi"/>
            <w:sz w:val="22"/>
            <w:szCs w:val="22"/>
          </w:rPr>
          <w:t>https://doi.org/10.1016/j.heliyon.2024.e41418</w:t>
        </w:r>
      </w:hyperlink>
      <w:r w:rsidR="0058784B">
        <w:rPr>
          <w:rFonts w:asciiTheme="majorBidi" w:eastAsia="Times New Roman" w:hAnsiTheme="majorBidi" w:cstheme="majorBidi"/>
          <w:sz w:val="22"/>
          <w:szCs w:val="22"/>
        </w:rPr>
        <w:t xml:space="preserve"> </w:t>
      </w:r>
    </w:p>
    <w:p w14:paraId="54C49664" w14:textId="665E2841"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lang w:val="nn-NO"/>
        </w:rPr>
        <w:t xml:space="preserve">Yoshitake, S., Uchida, M., Koizumi, H., Kanda, H., &amp; Nakatsubo, T. (2010). </w:t>
      </w:r>
      <w:r w:rsidRPr="007E341B">
        <w:rPr>
          <w:rFonts w:asciiTheme="majorBidi" w:hAnsiTheme="majorBidi" w:cstheme="majorBidi"/>
          <w:sz w:val="22"/>
          <w:szCs w:val="22"/>
        </w:rPr>
        <w:t xml:space="preserve">Production of biological soil crusts in the early stage of primary succession on a High Arctic glacier foreland. New Phytologist, 186(2), 451–460. </w:t>
      </w:r>
      <w:hyperlink r:id="rId21" w:history="1">
        <w:r w:rsidR="0058784B" w:rsidRPr="00A80C40">
          <w:rPr>
            <w:rStyle w:val="Hyperlink"/>
            <w:rFonts w:asciiTheme="majorBidi" w:eastAsia="Times New Roman" w:hAnsiTheme="majorBidi" w:cstheme="majorBidi"/>
            <w:sz w:val="22"/>
            <w:szCs w:val="22"/>
          </w:rPr>
          <w:t>https://doi.org/10.1111/j.1469-8137.2010.03180.x</w:t>
        </w:r>
      </w:hyperlink>
      <w:r w:rsidR="0058784B">
        <w:rPr>
          <w:rFonts w:asciiTheme="majorBidi" w:eastAsia="Times New Roman" w:hAnsiTheme="majorBidi" w:cstheme="majorBidi"/>
          <w:sz w:val="22"/>
          <w:szCs w:val="22"/>
        </w:rPr>
        <w:t xml:space="preserve"> </w:t>
      </w:r>
    </w:p>
    <w:p w14:paraId="14CA5572" w14:textId="61502AF9"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Zhang, T., Wei, X.-L., Zhang, Y.-Q., Liu, H.-Y., &amp; Yu, L.-Y. (2015). Diversity and distribution of lichen-associated fungi in the Ny-</w:t>
      </w:r>
      <w:proofErr w:type="spellStart"/>
      <w:r w:rsidRPr="007E341B">
        <w:rPr>
          <w:rFonts w:asciiTheme="majorBidi" w:hAnsiTheme="majorBidi" w:cstheme="majorBidi"/>
          <w:sz w:val="22"/>
          <w:szCs w:val="22"/>
        </w:rPr>
        <w:t>Ålesund</w:t>
      </w:r>
      <w:proofErr w:type="spellEnd"/>
      <w:r w:rsidRPr="007E341B">
        <w:rPr>
          <w:rFonts w:asciiTheme="majorBidi" w:hAnsiTheme="majorBidi" w:cstheme="majorBidi"/>
          <w:sz w:val="22"/>
          <w:szCs w:val="22"/>
        </w:rPr>
        <w:t xml:space="preserve"> Region (Svalbard, High Arctic) as revealed by 454 pyrosequencing. Scientific Reports, 5(1), 14850. </w:t>
      </w:r>
      <w:hyperlink r:id="rId22" w:history="1">
        <w:r w:rsidR="0058784B" w:rsidRPr="00A80C40">
          <w:rPr>
            <w:rStyle w:val="Hyperlink"/>
            <w:rFonts w:asciiTheme="majorBidi" w:eastAsia="Times New Roman" w:hAnsiTheme="majorBidi" w:cstheme="majorBidi"/>
            <w:sz w:val="22"/>
            <w:szCs w:val="22"/>
          </w:rPr>
          <w:t>https://doi.org/10.1038/srep14850</w:t>
        </w:r>
      </w:hyperlink>
      <w:r w:rsidR="0058784B">
        <w:rPr>
          <w:rFonts w:asciiTheme="majorBidi" w:eastAsia="Times New Roman" w:hAnsiTheme="majorBidi" w:cstheme="majorBidi"/>
          <w:sz w:val="22"/>
          <w:szCs w:val="22"/>
        </w:rPr>
        <w:t xml:space="preserve"> </w:t>
      </w:r>
    </w:p>
    <w:p w14:paraId="313CA518" w14:textId="3BD7FA08"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 xml:space="preserve">Zhang, T., Wei, X.-L., Wei, Y.-Z., Liu, H.-Y., &amp; Yu, L.-Y. (2016). Diversity and distribution of cultured </w:t>
      </w:r>
      <w:proofErr w:type="spellStart"/>
      <w:r w:rsidRPr="007E341B">
        <w:rPr>
          <w:rFonts w:asciiTheme="majorBidi" w:hAnsiTheme="majorBidi" w:cstheme="majorBidi"/>
          <w:sz w:val="22"/>
          <w:szCs w:val="22"/>
        </w:rPr>
        <w:t>endolichenic</w:t>
      </w:r>
      <w:proofErr w:type="spellEnd"/>
      <w:r w:rsidRPr="007E341B">
        <w:rPr>
          <w:rFonts w:asciiTheme="majorBidi" w:hAnsiTheme="majorBidi" w:cstheme="majorBidi"/>
          <w:sz w:val="22"/>
          <w:szCs w:val="22"/>
        </w:rPr>
        <w:t xml:space="preserve"> fungi in the Ny-</w:t>
      </w:r>
      <w:proofErr w:type="spellStart"/>
      <w:r w:rsidRPr="007E341B">
        <w:rPr>
          <w:rFonts w:asciiTheme="majorBidi" w:hAnsiTheme="majorBidi" w:cstheme="majorBidi"/>
          <w:sz w:val="22"/>
          <w:szCs w:val="22"/>
        </w:rPr>
        <w:t>Ålesund</w:t>
      </w:r>
      <w:proofErr w:type="spellEnd"/>
      <w:r w:rsidRPr="007E341B">
        <w:rPr>
          <w:rFonts w:asciiTheme="majorBidi" w:hAnsiTheme="majorBidi" w:cstheme="majorBidi"/>
          <w:sz w:val="22"/>
          <w:szCs w:val="22"/>
        </w:rPr>
        <w:t xml:space="preserve"> Region, Svalbard (High Arctic). Extremophiles, 20(4), 461–470.</w:t>
      </w:r>
      <w:r w:rsidR="00235EF3" w:rsidRPr="007E341B">
        <w:rPr>
          <w:rFonts w:asciiTheme="majorBidi" w:eastAsia="Times New Roman" w:hAnsiTheme="majorBidi" w:cstheme="majorBidi"/>
          <w:sz w:val="22"/>
          <w:szCs w:val="22"/>
        </w:rPr>
        <w:t xml:space="preserve"> </w:t>
      </w:r>
      <w:hyperlink r:id="rId23" w:history="1">
        <w:r w:rsidR="0058784B" w:rsidRPr="00A80C40">
          <w:rPr>
            <w:rStyle w:val="Hyperlink"/>
            <w:rFonts w:asciiTheme="majorBidi" w:eastAsia="Times New Roman" w:hAnsiTheme="majorBidi" w:cstheme="majorBidi"/>
            <w:sz w:val="22"/>
            <w:szCs w:val="22"/>
          </w:rPr>
          <w:t>https://doi.org/10.1007/s00792-016-0836-8</w:t>
        </w:r>
      </w:hyperlink>
      <w:r w:rsidR="0058784B">
        <w:rPr>
          <w:rFonts w:asciiTheme="majorBidi" w:eastAsia="Times New Roman" w:hAnsiTheme="majorBidi" w:cstheme="majorBidi"/>
          <w:sz w:val="22"/>
          <w:szCs w:val="22"/>
        </w:rPr>
        <w:t xml:space="preserve"> </w:t>
      </w:r>
      <w:r w:rsidR="00235EF3" w:rsidRPr="007E341B">
        <w:rPr>
          <w:rFonts w:asciiTheme="majorBidi" w:eastAsia="Times New Roman" w:hAnsiTheme="majorBidi" w:cstheme="majorBidi"/>
          <w:kern w:val="0"/>
          <w:sz w:val="22"/>
          <w:szCs w:val="22"/>
          <w:lang w:eastAsia="en-IN"/>
        </w:rPr>
        <w:t xml:space="preserve"> </w:t>
      </w:r>
    </w:p>
    <w:p w14:paraId="7E9669C6" w14:textId="57B2A0EA"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 xml:space="preserve">Luo, Y., Zhang, M., Yu, Q., Mujumdar, A.S., &amp; Rui, L. (2025). Intelligent control for improving the quality of fresh meat products with rich lipid in cold chain logistics: Research status, challenge, and potential applications. Critical Reviews in Food Science and Nutrition, 1-28. </w:t>
      </w:r>
      <w:hyperlink r:id="rId24" w:history="1">
        <w:r w:rsidR="0058784B" w:rsidRPr="00A80C40">
          <w:rPr>
            <w:rStyle w:val="Hyperlink"/>
            <w:rFonts w:asciiTheme="majorBidi" w:eastAsia="Times New Roman" w:hAnsiTheme="majorBidi" w:cstheme="majorBidi"/>
            <w:sz w:val="22"/>
            <w:szCs w:val="22"/>
          </w:rPr>
          <w:t>https://doi.org/10.1080/10408398.2025.2512221</w:t>
        </w:r>
      </w:hyperlink>
      <w:r w:rsidR="0058784B">
        <w:rPr>
          <w:rFonts w:asciiTheme="majorBidi" w:eastAsia="Times New Roman" w:hAnsiTheme="majorBidi" w:cstheme="majorBidi"/>
          <w:sz w:val="22"/>
          <w:szCs w:val="22"/>
        </w:rPr>
        <w:t xml:space="preserve"> </w:t>
      </w:r>
    </w:p>
    <w:p w14:paraId="6B64CBE2" w14:textId="5E1D8C0D"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 xml:space="preserve">Mounika, K., Reddy, P. P., Singh, R.P., Pandey, A., </w:t>
      </w:r>
      <w:proofErr w:type="spellStart"/>
      <w:r w:rsidRPr="007E341B">
        <w:rPr>
          <w:rFonts w:asciiTheme="majorBidi" w:hAnsiTheme="majorBidi" w:cstheme="majorBidi"/>
          <w:sz w:val="22"/>
          <w:szCs w:val="22"/>
        </w:rPr>
        <w:t>Bharty</w:t>
      </w:r>
      <w:proofErr w:type="spellEnd"/>
      <w:r w:rsidRPr="007E341B">
        <w:rPr>
          <w:rFonts w:asciiTheme="majorBidi" w:hAnsiTheme="majorBidi" w:cstheme="majorBidi"/>
          <w:sz w:val="22"/>
          <w:szCs w:val="22"/>
        </w:rPr>
        <w:t>, S. K., Kumar, A., &amp; Jain, S. (2025). Post-harvest technologies and cold chain management: A review. Plant Archives, 25(1), 3275-3283.</w:t>
      </w:r>
      <w:r w:rsidR="00235EF3" w:rsidRPr="007E341B">
        <w:rPr>
          <w:rFonts w:asciiTheme="majorBidi" w:eastAsia="Times New Roman" w:hAnsiTheme="majorBidi" w:cstheme="majorBidi"/>
          <w:sz w:val="22"/>
          <w:szCs w:val="22"/>
        </w:rPr>
        <w:t xml:space="preserve"> </w:t>
      </w:r>
      <w:hyperlink r:id="rId25" w:history="1">
        <w:r w:rsidR="0058784B" w:rsidRPr="00A80C40">
          <w:rPr>
            <w:rStyle w:val="Hyperlink"/>
            <w:rFonts w:asciiTheme="majorBidi" w:eastAsia="Times New Roman" w:hAnsiTheme="majorBidi" w:cstheme="majorBidi"/>
            <w:sz w:val="22"/>
            <w:szCs w:val="22"/>
          </w:rPr>
          <w:t>https://doi.org/10.51470/PLANTARCHIVES.2025.v25.supplement-1.447</w:t>
        </w:r>
      </w:hyperlink>
      <w:r w:rsidR="0058784B">
        <w:rPr>
          <w:rFonts w:asciiTheme="majorBidi" w:eastAsia="Times New Roman" w:hAnsiTheme="majorBidi" w:cstheme="majorBidi"/>
          <w:sz w:val="22"/>
          <w:szCs w:val="22"/>
        </w:rPr>
        <w:t xml:space="preserve"> </w:t>
      </w:r>
    </w:p>
    <w:p w14:paraId="14EEA027" w14:textId="5C8DBC7B" w:rsidR="00235AF1" w:rsidRPr="007E341B" w:rsidRDefault="00CA72DC" w:rsidP="00CA72DC">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CA72DC">
        <w:rPr>
          <w:rFonts w:asciiTheme="majorBidi" w:hAnsiTheme="majorBidi" w:cstheme="majorBidi"/>
          <w:sz w:val="22"/>
          <w:szCs w:val="22"/>
        </w:rPr>
        <w:t>Hawksworth, D.L., &amp; Lücking, R. (2017). Fungal diversity revisited: 2.2 to 3.8 million species. Microbiology spectrum, 5(4), 10-1128.</w:t>
      </w:r>
      <w:r w:rsidR="00E107F0">
        <w:rPr>
          <w:rFonts w:asciiTheme="majorBidi" w:hAnsiTheme="majorBidi" w:cstheme="majorBidi"/>
          <w:sz w:val="22"/>
          <w:szCs w:val="22"/>
        </w:rPr>
        <w:t xml:space="preserve"> </w:t>
      </w:r>
      <w:hyperlink r:id="rId26" w:history="1">
        <w:r w:rsidR="00E107F0" w:rsidRPr="00215816">
          <w:rPr>
            <w:rStyle w:val="Hyperlink"/>
            <w:rFonts w:asciiTheme="majorBidi" w:hAnsiTheme="majorBidi" w:cstheme="majorBidi"/>
            <w:sz w:val="22"/>
            <w:szCs w:val="22"/>
          </w:rPr>
          <w:t>https://doi.org/10.1128/microbiolspec.funk-0052-2016</w:t>
        </w:r>
      </w:hyperlink>
      <w:r w:rsidR="00E107F0">
        <w:rPr>
          <w:rFonts w:asciiTheme="majorBidi" w:hAnsiTheme="majorBidi" w:cstheme="majorBidi"/>
          <w:sz w:val="22"/>
          <w:szCs w:val="22"/>
        </w:rPr>
        <w:t xml:space="preserve"> </w:t>
      </w:r>
      <w:r w:rsidR="00235EF3" w:rsidRPr="007E341B">
        <w:rPr>
          <w:rFonts w:asciiTheme="majorBidi" w:eastAsia="Times New Roman" w:hAnsiTheme="majorBidi" w:cstheme="majorBidi"/>
          <w:sz w:val="22"/>
          <w:szCs w:val="22"/>
        </w:rPr>
        <w:t xml:space="preserve"> </w:t>
      </w:r>
      <w:r w:rsidR="0058784B">
        <w:rPr>
          <w:rFonts w:asciiTheme="majorBidi" w:eastAsia="Times New Roman" w:hAnsiTheme="majorBidi" w:cstheme="majorBidi"/>
          <w:sz w:val="22"/>
          <w:szCs w:val="22"/>
        </w:rPr>
        <w:t xml:space="preserve"> </w:t>
      </w:r>
    </w:p>
    <w:p w14:paraId="2182C62C" w14:textId="76693483"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 xml:space="preserve">Wu, J. (2024). Life cycle thinking in managing smart sensors for reducing food loss and waste toward food system transformation. Web reference: </w:t>
      </w:r>
      <w:hyperlink r:id="rId27" w:history="1">
        <w:r w:rsidR="0058784B" w:rsidRPr="00A80C40">
          <w:rPr>
            <w:rStyle w:val="Hyperlink"/>
            <w:rFonts w:asciiTheme="majorBidi" w:eastAsia="Times New Roman" w:hAnsiTheme="majorBidi" w:cstheme="majorBidi"/>
            <w:sz w:val="22"/>
            <w:szCs w:val="22"/>
          </w:rPr>
          <w:t>https://www.research.unipd.it/handle/11577/3510443</w:t>
        </w:r>
      </w:hyperlink>
      <w:r w:rsidR="0058784B">
        <w:rPr>
          <w:rFonts w:asciiTheme="majorBidi" w:eastAsia="Times New Roman" w:hAnsiTheme="majorBidi" w:cstheme="majorBidi"/>
          <w:sz w:val="22"/>
          <w:szCs w:val="22"/>
        </w:rPr>
        <w:t xml:space="preserve"> </w:t>
      </w:r>
    </w:p>
    <w:p w14:paraId="30F93CD5" w14:textId="50EC86F6"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Dam, D.S., &amp; Yamao, M. (2007). Product diversification, Will it assure future market for South Asian seafood industry? A case study of South Asia. Journal of Regional Fisheries, 47(2-3), 125-142.</w:t>
      </w:r>
      <w:r w:rsidR="0058784B">
        <w:rPr>
          <w:rFonts w:asciiTheme="majorBidi" w:hAnsiTheme="majorBidi" w:cstheme="majorBidi"/>
          <w:sz w:val="22"/>
          <w:szCs w:val="22"/>
        </w:rPr>
        <w:t xml:space="preserve"> Web reference: </w:t>
      </w:r>
      <w:hyperlink r:id="rId28" w:history="1">
        <w:r w:rsidR="0058784B" w:rsidRPr="00A80C40">
          <w:rPr>
            <w:rStyle w:val="Hyperlink"/>
            <w:rFonts w:asciiTheme="majorBidi" w:hAnsiTheme="majorBidi" w:cstheme="majorBidi"/>
            <w:sz w:val="22"/>
            <w:szCs w:val="22"/>
          </w:rPr>
          <w:t>www.jstage.jst.go.jp/article/jrfs/47/2-3/47_125/_pdf</w:t>
        </w:r>
      </w:hyperlink>
      <w:r w:rsidR="0058784B">
        <w:rPr>
          <w:rFonts w:asciiTheme="majorBidi" w:hAnsiTheme="majorBidi" w:cstheme="majorBidi"/>
          <w:sz w:val="22"/>
          <w:szCs w:val="22"/>
        </w:rPr>
        <w:t xml:space="preserve"> </w:t>
      </w:r>
      <w:r w:rsidRPr="007E341B">
        <w:rPr>
          <w:rFonts w:asciiTheme="majorBidi" w:hAnsiTheme="majorBidi" w:cstheme="majorBidi"/>
          <w:sz w:val="22"/>
          <w:szCs w:val="22"/>
        </w:rPr>
        <w:t xml:space="preserve"> </w:t>
      </w:r>
    </w:p>
    <w:p w14:paraId="649F8FB8" w14:textId="47BC4A80"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lastRenderedPageBreak/>
        <w:t xml:space="preserve">Talib, A., &amp; </w:t>
      </w:r>
      <w:proofErr w:type="spellStart"/>
      <w:r w:rsidRPr="007E341B">
        <w:rPr>
          <w:rFonts w:asciiTheme="majorBidi" w:hAnsiTheme="majorBidi" w:cstheme="majorBidi"/>
          <w:sz w:val="22"/>
          <w:szCs w:val="22"/>
        </w:rPr>
        <w:t>Tangke</w:t>
      </w:r>
      <w:proofErr w:type="spellEnd"/>
      <w:r w:rsidRPr="007E341B">
        <w:rPr>
          <w:rFonts w:asciiTheme="majorBidi" w:hAnsiTheme="majorBidi" w:cstheme="majorBidi"/>
          <w:sz w:val="22"/>
          <w:szCs w:val="22"/>
        </w:rPr>
        <w:t xml:space="preserve">, U. (2023). Diversification of surimi-based processed products (fish meatballs) with the addition of </w:t>
      </w:r>
      <w:proofErr w:type="spellStart"/>
      <w:r w:rsidRPr="007E341B">
        <w:rPr>
          <w:rFonts w:asciiTheme="majorBidi" w:hAnsiTheme="majorBidi" w:cstheme="majorBidi"/>
          <w:sz w:val="22"/>
          <w:szCs w:val="22"/>
        </w:rPr>
        <w:t>Madidihang</w:t>
      </w:r>
      <w:proofErr w:type="spellEnd"/>
      <w:r w:rsidRPr="007E341B">
        <w:rPr>
          <w:rFonts w:asciiTheme="majorBidi" w:hAnsiTheme="majorBidi" w:cstheme="majorBidi"/>
          <w:sz w:val="22"/>
          <w:szCs w:val="22"/>
        </w:rPr>
        <w:t xml:space="preserve"> fish bone meal. Asian Food Science Journal, 22, 56-63.</w:t>
      </w:r>
      <w:r w:rsidR="00235EF3" w:rsidRPr="007E341B">
        <w:rPr>
          <w:rFonts w:asciiTheme="majorBidi" w:eastAsia="Times New Roman" w:hAnsiTheme="majorBidi" w:cstheme="majorBidi"/>
          <w:sz w:val="22"/>
          <w:szCs w:val="22"/>
        </w:rPr>
        <w:t xml:space="preserve"> </w:t>
      </w:r>
      <w:hyperlink r:id="rId29" w:history="1">
        <w:r w:rsidR="0058784B" w:rsidRPr="00A80C40">
          <w:rPr>
            <w:rStyle w:val="Hyperlink"/>
            <w:rFonts w:asciiTheme="majorBidi" w:eastAsia="Times New Roman" w:hAnsiTheme="majorBidi" w:cstheme="majorBidi"/>
            <w:sz w:val="22"/>
            <w:szCs w:val="22"/>
          </w:rPr>
          <w:t>https://doi.org/</w:t>
        </w:r>
        <w:bookmarkStart w:id="5" w:name="_GoBack"/>
        <w:r w:rsidR="0058784B" w:rsidRPr="00A80C40">
          <w:rPr>
            <w:rStyle w:val="Hyperlink"/>
            <w:rFonts w:asciiTheme="majorBidi" w:eastAsia="Times New Roman" w:hAnsiTheme="majorBidi" w:cstheme="majorBidi"/>
            <w:sz w:val="22"/>
            <w:szCs w:val="22"/>
          </w:rPr>
          <w:t>10.97</w:t>
        </w:r>
        <w:bookmarkEnd w:id="5"/>
        <w:r w:rsidR="0058784B" w:rsidRPr="00A80C40">
          <w:rPr>
            <w:rStyle w:val="Hyperlink"/>
            <w:rFonts w:asciiTheme="majorBidi" w:eastAsia="Times New Roman" w:hAnsiTheme="majorBidi" w:cstheme="majorBidi"/>
            <w:sz w:val="22"/>
            <w:szCs w:val="22"/>
          </w:rPr>
          <w:t>34/AFSJ/2023/v22i9657</w:t>
        </w:r>
      </w:hyperlink>
      <w:r w:rsidR="0058784B">
        <w:rPr>
          <w:rFonts w:asciiTheme="majorBidi" w:eastAsia="Times New Roman" w:hAnsiTheme="majorBidi" w:cstheme="majorBidi"/>
          <w:sz w:val="22"/>
          <w:szCs w:val="22"/>
        </w:rPr>
        <w:t xml:space="preserve"> </w:t>
      </w:r>
    </w:p>
    <w:p w14:paraId="5859659A" w14:textId="42E5CF69"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proofErr w:type="spellStart"/>
      <w:r w:rsidRPr="007E341B">
        <w:rPr>
          <w:rFonts w:asciiTheme="majorBidi" w:hAnsiTheme="majorBidi" w:cstheme="majorBidi"/>
          <w:sz w:val="22"/>
          <w:szCs w:val="22"/>
        </w:rPr>
        <w:t>Chiripanhura</w:t>
      </w:r>
      <w:proofErr w:type="spellEnd"/>
      <w:r w:rsidRPr="007E341B">
        <w:rPr>
          <w:rFonts w:asciiTheme="majorBidi" w:hAnsiTheme="majorBidi" w:cstheme="majorBidi"/>
          <w:sz w:val="22"/>
          <w:szCs w:val="22"/>
        </w:rPr>
        <w:t xml:space="preserve">, B., &amp; </w:t>
      </w:r>
      <w:proofErr w:type="spellStart"/>
      <w:r w:rsidRPr="007E341B">
        <w:rPr>
          <w:rFonts w:asciiTheme="majorBidi" w:hAnsiTheme="majorBidi" w:cstheme="majorBidi"/>
          <w:sz w:val="22"/>
          <w:szCs w:val="22"/>
        </w:rPr>
        <w:t>Teweldemedhin</w:t>
      </w:r>
      <w:proofErr w:type="spellEnd"/>
      <w:r w:rsidRPr="007E341B">
        <w:rPr>
          <w:rFonts w:asciiTheme="majorBidi" w:hAnsiTheme="majorBidi" w:cstheme="majorBidi"/>
          <w:sz w:val="22"/>
          <w:szCs w:val="22"/>
        </w:rPr>
        <w:t>, M. (2016). An analysis of the fishing industry in Namibia: The structure, performance, challenges, and prospects for growth and diversification. Web reference:</w:t>
      </w:r>
      <w:r w:rsidR="00235EF3" w:rsidRPr="007E341B">
        <w:rPr>
          <w:rFonts w:asciiTheme="majorBidi" w:eastAsia="Times New Roman" w:hAnsiTheme="majorBidi" w:cstheme="majorBidi"/>
          <w:sz w:val="22"/>
          <w:szCs w:val="22"/>
        </w:rPr>
        <w:t xml:space="preserve"> </w:t>
      </w:r>
      <w:hyperlink r:id="rId30" w:history="1">
        <w:r w:rsidR="0058784B" w:rsidRPr="00A80C40">
          <w:rPr>
            <w:rStyle w:val="Hyperlink"/>
            <w:rFonts w:asciiTheme="majorBidi" w:eastAsia="Times New Roman" w:hAnsiTheme="majorBidi" w:cstheme="majorBidi"/>
            <w:sz w:val="22"/>
            <w:szCs w:val="22"/>
          </w:rPr>
          <w:t>https://hdl.handle.net/10568/146325</w:t>
        </w:r>
      </w:hyperlink>
      <w:r w:rsidR="0058784B">
        <w:rPr>
          <w:rFonts w:asciiTheme="majorBidi" w:eastAsia="Times New Roman" w:hAnsiTheme="majorBidi" w:cstheme="majorBidi"/>
          <w:sz w:val="22"/>
          <w:szCs w:val="22"/>
        </w:rPr>
        <w:t xml:space="preserve"> </w:t>
      </w:r>
      <w:r w:rsidR="00235EF3" w:rsidRPr="007E341B">
        <w:rPr>
          <w:rFonts w:asciiTheme="majorBidi" w:eastAsia="Times New Roman" w:hAnsiTheme="majorBidi" w:cstheme="majorBidi"/>
          <w:kern w:val="0"/>
          <w:sz w:val="22"/>
          <w:szCs w:val="22"/>
          <w:lang w:eastAsia="en-IN"/>
        </w:rPr>
        <w:t xml:space="preserve"> </w:t>
      </w:r>
    </w:p>
    <w:p w14:paraId="789BA407" w14:textId="76944D09"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proofErr w:type="spellStart"/>
      <w:r w:rsidRPr="007E341B">
        <w:rPr>
          <w:rFonts w:asciiTheme="majorBidi" w:hAnsiTheme="majorBidi" w:cstheme="majorBidi"/>
          <w:sz w:val="22"/>
          <w:szCs w:val="22"/>
        </w:rPr>
        <w:t>Ababouch</w:t>
      </w:r>
      <w:proofErr w:type="spellEnd"/>
      <w:r w:rsidRPr="007E341B">
        <w:rPr>
          <w:rFonts w:asciiTheme="majorBidi" w:hAnsiTheme="majorBidi" w:cstheme="majorBidi"/>
          <w:sz w:val="22"/>
          <w:szCs w:val="22"/>
        </w:rPr>
        <w:t>, L., Nguyen, K A.T., Castro de Souza, M., &amp; Fernandez‐Polanco, J. (2023). Value chains and market access for aquaculture products. Journal of the World Aquaculture Society, 54(2), 527-553.</w:t>
      </w:r>
      <w:r w:rsidR="00235EF3" w:rsidRPr="007E341B">
        <w:rPr>
          <w:rFonts w:asciiTheme="majorBidi" w:eastAsia="Times New Roman" w:hAnsiTheme="majorBidi" w:cstheme="majorBidi"/>
          <w:sz w:val="22"/>
          <w:szCs w:val="22"/>
        </w:rPr>
        <w:t xml:space="preserve"> </w:t>
      </w:r>
      <w:hyperlink r:id="rId31" w:history="1">
        <w:r w:rsidR="0058784B" w:rsidRPr="00A80C40">
          <w:rPr>
            <w:rStyle w:val="Hyperlink"/>
            <w:rFonts w:asciiTheme="majorBidi" w:eastAsia="Times New Roman" w:hAnsiTheme="majorBidi" w:cstheme="majorBidi"/>
            <w:sz w:val="22"/>
            <w:szCs w:val="22"/>
          </w:rPr>
          <w:t>https://doi.org/10.1111/jwas.12964</w:t>
        </w:r>
      </w:hyperlink>
      <w:r w:rsidR="0058784B">
        <w:rPr>
          <w:rFonts w:asciiTheme="majorBidi" w:eastAsia="Times New Roman" w:hAnsiTheme="majorBidi" w:cstheme="majorBidi"/>
          <w:sz w:val="22"/>
          <w:szCs w:val="22"/>
        </w:rPr>
        <w:t xml:space="preserve"> </w:t>
      </w:r>
    </w:p>
    <w:p w14:paraId="05F08DA4" w14:textId="581FD880"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eastAsia="Times New Roman" w:hAnsiTheme="majorBidi" w:cstheme="majorBidi"/>
          <w:sz w:val="22"/>
          <w:szCs w:val="22"/>
          <w:lang w:val="nn-NO"/>
        </w:rPr>
        <w:t xml:space="preserve">Arumugam, D., Li, S., Rao, M., Peng, R., Liu, H., Huo, B., </w:t>
      </w:r>
      <w:r w:rsidRPr="007E341B">
        <w:rPr>
          <w:rFonts w:asciiTheme="majorBidi" w:eastAsia="Times New Roman" w:hAnsiTheme="majorBidi" w:cstheme="majorBidi"/>
          <w:sz w:val="22"/>
          <w:szCs w:val="22"/>
        </w:rPr>
        <w:t>&amp; Wang, J. (2025). Non-thermal technologies for seafood preservation and shelf-life extension: A detailed review. Food Quality and Safety, 46, 1-10.</w:t>
      </w:r>
      <w:r w:rsidR="00235EF3" w:rsidRPr="007E341B">
        <w:rPr>
          <w:rFonts w:asciiTheme="majorBidi" w:eastAsia="Times New Roman" w:hAnsiTheme="majorBidi" w:cstheme="majorBidi"/>
          <w:sz w:val="22"/>
          <w:szCs w:val="22"/>
        </w:rPr>
        <w:t xml:space="preserve"> </w:t>
      </w:r>
      <w:hyperlink r:id="rId32" w:history="1">
        <w:r w:rsidR="0058784B" w:rsidRPr="00A80C40">
          <w:rPr>
            <w:rStyle w:val="Hyperlink"/>
            <w:rFonts w:asciiTheme="majorBidi" w:eastAsia="Times New Roman" w:hAnsiTheme="majorBidi" w:cstheme="majorBidi"/>
            <w:sz w:val="22"/>
            <w:szCs w:val="22"/>
          </w:rPr>
          <w:t>https://doi.org/10.1093/fqsafe/fyaf046</w:t>
        </w:r>
      </w:hyperlink>
      <w:r w:rsidR="0058784B">
        <w:rPr>
          <w:rFonts w:asciiTheme="majorBidi" w:eastAsia="Times New Roman" w:hAnsiTheme="majorBidi" w:cstheme="majorBidi"/>
          <w:sz w:val="22"/>
          <w:szCs w:val="22"/>
        </w:rPr>
        <w:t xml:space="preserve"> </w:t>
      </w:r>
      <w:r w:rsidR="00235EF3" w:rsidRPr="007E341B">
        <w:rPr>
          <w:rFonts w:asciiTheme="majorBidi" w:eastAsia="Times New Roman" w:hAnsiTheme="majorBidi" w:cstheme="majorBidi"/>
          <w:kern w:val="0"/>
          <w:sz w:val="22"/>
          <w:szCs w:val="22"/>
          <w:lang w:eastAsia="en-IN"/>
        </w:rPr>
        <w:t xml:space="preserve"> </w:t>
      </w:r>
    </w:p>
    <w:p w14:paraId="78769209" w14:textId="66F2B565"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eastAsia="Times New Roman" w:hAnsiTheme="majorBidi" w:cstheme="majorBidi"/>
          <w:sz w:val="22"/>
          <w:szCs w:val="22"/>
        </w:rPr>
        <w:t>Adnan, M., Islam, W., Gang, L., &amp; Chen, H.Y. (2022). Advanced research tools for fungal diversity and its impact on forest ecosystem. Environmental Science and Pollution Research, 29(30), 45044-45062.</w:t>
      </w:r>
      <w:r w:rsidR="00235EF3" w:rsidRPr="007E341B">
        <w:rPr>
          <w:rFonts w:asciiTheme="majorBidi" w:eastAsia="Times New Roman" w:hAnsiTheme="majorBidi" w:cstheme="majorBidi"/>
          <w:sz w:val="22"/>
          <w:szCs w:val="22"/>
        </w:rPr>
        <w:t xml:space="preserve"> </w:t>
      </w:r>
      <w:hyperlink r:id="rId33" w:history="1">
        <w:r w:rsidR="0058784B" w:rsidRPr="00A80C40">
          <w:rPr>
            <w:rStyle w:val="Hyperlink"/>
            <w:rFonts w:asciiTheme="majorBidi" w:eastAsia="Times New Roman" w:hAnsiTheme="majorBidi" w:cstheme="majorBidi"/>
            <w:sz w:val="22"/>
            <w:szCs w:val="22"/>
          </w:rPr>
          <w:t>https://doi.org/10.1007/s11356-022-20317-8</w:t>
        </w:r>
      </w:hyperlink>
      <w:r w:rsidR="0058784B">
        <w:rPr>
          <w:rFonts w:asciiTheme="majorBidi" w:eastAsia="Times New Roman" w:hAnsiTheme="majorBidi" w:cstheme="majorBidi"/>
          <w:sz w:val="22"/>
          <w:szCs w:val="22"/>
        </w:rPr>
        <w:t xml:space="preserve"> </w:t>
      </w:r>
    </w:p>
    <w:p w14:paraId="77CD4BB7" w14:textId="6DCE9873"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eastAsia="Times New Roman" w:hAnsiTheme="majorBidi" w:cstheme="majorBidi"/>
          <w:sz w:val="22"/>
          <w:szCs w:val="22"/>
          <w:lang w:val="nn-NO"/>
        </w:rPr>
        <w:t xml:space="preserve">Bai, L., Liu, M., &amp; Sun, Y. (2023). </w:t>
      </w:r>
      <w:r w:rsidRPr="007E341B">
        <w:rPr>
          <w:rFonts w:asciiTheme="majorBidi" w:eastAsia="Times New Roman" w:hAnsiTheme="majorBidi" w:cstheme="majorBidi"/>
          <w:sz w:val="22"/>
          <w:szCs w:val="22"/>
        </w:rPr>
        <w:t>Overview of food preservation and traceability technology in the smart cold chain system. Foods</w:t>
      </w:r>
      <w:r w:rsidRPr="007E341B">
        <w:rPr>
          <w:rFonts w:asciiTheme="majorBidi" w:eastAsia="Times New Roman" w:hAnsiTheme="majorBidi" w:cstheme="majorBidi"/>
          <w:i/>
          <w:iCs/>
          <w:sz w:val="22"/>
          <w:szCs w:val="22"/>
        </w:rPr>
        <w:t xml:space="preserve">, </w:t>
      </w:r>
      <w:r w:rsidRPr="007E341B">
        <w:rPr>
          <w:rFonts w:asciiTheme="majorBidi" w:eastAsia="Times New Roman" w:hAnsiTheme="majorBidi" w:cstheme="majorBidi"/>
          <w:sz w:val="22"/>
          <w:szCs w:val="22"/>
        </w:rPr>
        <w:t>12(15), 2881.</w:t>
      </w:r>
      <w:r w:rsidR="00235EF3" w:rsidRPr="007E341B">
        <w:rPr>
          <w:rFonts w:asciiTheme="majorBidi" w:eastAsia="Times New Roman" w:hAnsiTheme="majorBidi" w:cstheme="majorBidi"/>
          <w:sz w:val="22"/>
          <w:szCs w:val="22"/>
        </w:rPr>
        <w:t xml:space="preserve"> </w:t>
      </w:r>
      <w:hyperlink r:id="rId34" w:history="1">
        <w:r w:rsidR="0058784B" w:rsidRPr="00A80C40">
          <w:rPr>
            <w:rStyle w:val="Hyperlink"/>
            <w:rFonts w:asciiTheme="majorBidi" w:eastAsia="Times New Roman" w:hAnsiTheme="majorBidi" w:cstheme="majorBidi"/>
            <w:sz w:val="22"/>
            <w:szCs w:val="22"/>
          </w:rPr>
          <w:t>https://doi.org/10.3390/foods12152881</w:t>
        </w:r>
      </w:hyperlink>
      <w:r w:rsidR="0058784B">
        <w:rPr>
          <w:rFonts w:asciiTheme="majorBidi" w:eastAsia="Times New Roman" w:hAnsiTheme="majorBidi" w:cstheme="majorBidi"/>
          <w:sz w:val="22"/>
          <w:szCs w:val="22"/>
        </w:rPr>
        <w:t xml:space="preserve"> </w:t>
      </w:r>
    </w:p>
    <w:p w14:paraId="19DEB3C7" w14:textId="7DBC82DE"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 xml:space="preserve">Aditya.,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xml:space="preserve">, R.S. (2023). Utilization of agro-industrial wastes and organic supplements for cultivation of blue oyster mushroom. Bangladesh Journal of Botany, 52(1), 179-185. </w:t>
      </w:r>
      <w:hyperlink r:id="rId35" w:history="1">
        <w:r w:rsidR="0058784B" w:rsidRPr="00A80C40">
          <w:rPr>
            <w:rStyle w:val="Hyperlink"/>
            <w:rFonts w:asciiTheme="majorBidi" w:eastAsia="Times New Roman" w:hAnsiTheme="majorBidi" w:cstheme="majorBidi"/>
            <w:sz w:val="22"/>
            <w:szCs w:val="22"/>
          </w:rPr>
          <w:t>https://doi.org/10.3329/bjb.v52i1.65249</w:t>
        </w:r>
      </w:hyperlink>
      <w:r w:rsidR="0058784B">
        <w:rPr>
          <w:rFonts w:asciiTheme="majorBidi" w:eastAsia="Times New Roman" w:hAnsiTheme="majorBidi" w:cstheme="majorBidi"/>
          <w:sz w:val="22"/>
          <w:szCs w:val="22"/>
        </w:rPr>
        <w:t xml:space="preserve"> </w:t>
      </w:r>
    </w:p>
    <w:p w14:paraId="0FA39C5B" w14:textId="2094A821" w:rsidR="00235AF1" w:rsidRPr="007E341B" w:rsidRDefault="00182E67">
      <w:pPr>
        <w:pStyle w:val="ListParagraph"/>
        <w:numPr>
          <w:ilvl w:val="0"/>
          <w:numId w:val="3"/>
        </w:numPr>
        <w:spacing w:after="0" w:line="240" w:lineRule="auto"/>
        <w:jc w:val="both"/>
        <w:outlineLvl w:val="1"/>
        <w:rPr>
          <w:rFonts w:asciiTheme="majorBidi" w:eastAsia="Times New Roman" w:hAnsiTheme="majorBidi" w:cstheme="majorBidi"/>
          <w:kern w:val="0"/>
          <w:sz w:val="22"/>
          <w:szCs w:val="22"/>
          <w:lang w:eastAsia="en-IN"/>
        </w:rPr>
      </w:pPr>
      <w:r w:rsidRPr="007E341B">
        <w:rPr>
          <w:rFonts w:asciiTheme="majorBidi" w:hAnsiTheme="majorBidi" w:cstheme="majorBidi"/>
          <w:sz w:val="22"/>
          <w:szCs w:val="22"/>
        </w:rPr>
        <w:t xml:space="preserve">Aditya.,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xml:space="preserve">, R.S., Bhatia, J.N. (2023). Performance of various agroforestry wastes for the cultivation of elm oyster mushroom </w:t>
      </w:r>
      <w:r w:rsidRPr="007E341B">
        <w:rPr>
          <w:rFonts w:asciiTheme="majorBidi" w:hAnsiTheme="majorBidi" w:cstheme="majorBidi"/>
          <w:i/>
          <w:iCs/>
          <w:sz w:val="22"/>
          <w:szCs w:val="22"/>
        </w:rPr>
        <w:t>Hypsizygus ulmarius</w:t>
      </w:r>
      <w:r w:rsidRPr="007E341B">
        <w:rPr>
          <w:rFonts w:asciiTheme="majorBidi" w:hAnsiTheme="majorBidi" w:cstheme="majorBidi"/>
          <w:sz w:val="22"/>
          <w:szCs w:val="22"/>
        </w:rPr>
        <w:t xml:space="preserve"> (Agaricomycetes) in India and its biochemical constituents. International Journal of Medicinal Mushrooms, 25(8), 55-62. </w:t>
      </w:r>
      <w:hyperlink r:id="rId36" w:history="1">
        <w:r w:rsidR="0058784B" w:rsidRPr="00A80C40">
          <w:rPr>
            <w:rStyle w:val="Hyperlink"/>
            <w:rFonts w:asciiTheme="majorBidi" w:eastAsia="Times New Roman" w:hAnsiTheme="majorBidi" w:cstheme="majorBidi"/>
            <w:sz w:val="22"/>
            <w:szCs w:val="22"/>
          </w:rPr>
          <w:t>https://doi.org/10.1615/IntJMedMushrooms.2023049037</w:t>
        </w:r>
      </w:hyperlink>
      <w:r w:rsidR="0058784B">
        <w:rPr>
          <w:rFonts w:asciiTheme="majorBidi" w:eastAsia="Times New Roman" w:hAnsiTheme="majorBidi" w:cstheme="majorBidi"/>
          <w:sz w:val="22"/>
          <w:szCs w:val="22"/>
        </w:rPr>
        <w:t xml:space="preserve"> </w:t>
      </w:r>
    </w:p>
    <w:p w14:paraId="12B21857" w14:textId="445E7286"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Gobi, G., Iswarya, K., &amp; Sundar, S. Cold Chain Management for Seafood Logistics and Storage. </w:t>
      </w:r>
      <w:r w:rsidRPr="007E341B">
        <w:rPr>
          <w:rFonts w:asciiTheme="majorBidi" w:eastAsia="Times New Roman" w:hAnsiTheme="majorBidi" w:cstheme="majorBidi"/>
          <w:b/>
          <w:bCs/>
          <w:sz w:val="22"/>
          <w:szCs w:val="22"/>
        </w:rPr>
        <w:t>In:</w:t>
      </w:r>
      <w:r w:rsidRPr="007E341B">
        <w:rPr>
          <w:rFonts w:asciiTheme="majorBidi" w:eastAsia="Times New Roman" w:hAnsiTheme="majorBidi" w:cstheme="majorBidi"/>
          <w:sz w:val="22"/>
          <w:szCs w:val="22"/>
        </w:rPr>
        <w:t xml:space="preserve"> Advanced Fish Processing Technology Safety and Quality Control, Elite Publishing House, New Delhi. pp. 221-234</w:t>
      </w:r>
      <w:r w:rsidR="0058784B">
        <w:rPr>
          <w:rFonts w:asciiTheme="majorBidi" w:eastAsia="Times New Roman" w:hAnsiTheme="majorBidi" w:cstheme="majorBidi"/>
          <w:sz w:val="22"/>
          <w:szCs w:val="22"/>
        </w:rPr>
        <w:t xml:space="preserve">. </w:t>
      </w:r>
      <w:r w:rsidR="0058784B">
        <w:rPr>
          <w:rFonts w:asciiTheme="majorBidi" w:hAnsiTheme="majorBidi" w:cstheme="majorBidi"/>
          <w:sz w:val="22"/>
          <w:szCs w:val="22"/>
        </w:rPr>
        <w:t xml:space="preserve">Web reference: </w:t>
      </w:r>
      <w:hyperlink r:id="rId37" w:history="1">
        <w:r w:rsidR="0058784B" w:rsidRPr="00A80C40">
          <w:rPr>
            <w:rStyle w:val="Hyperlink"/>
            <w:rFonts w:asciiTheme="majorBidi" w:eastAsia="Times New Roman" w:hAnsiTheme="majorBidi" w:cstheme="majorBidi"/>
            <w:sz w:val="22"/>
            <w:szCs w:val="22"/>
          </w:rPr>
          <w:t>https://www.researchgate.net/publication/396369960</w:t>
        </w:r>
      </w:hyperlink>
      <w:r w:rsidR="0058784B">
        <w:rPr>
          <w:rFonts w:asciiTheme="majorBidi" w:eastAsia="Times New Roman" w:hAnsiTheme="majorBidi" w:cstheme="majorBidi"/>
          <w:sz w:val="22"/>
          <w:szCs w:val="22"/>
        </w:rPr>
        <w:t xml:space="preserve"> </w:t>
      </w:r>
    </w:p>
    <w:p w14:paraId="555C8DCE" w14:textId="16BC3F15"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Kaur, R., &amp; Watson, J.A. (2024). A scoping review of postharvest losses, supply chain management, and technology: Implications for produce quality in developing countries. Journal of the ASABE, 67(5), 1103-1131.</w:t>
      </w:r>
      <w:r w:rsidR="00235EF3" w:rsidRPr="007E341B">
        <w:rPr>
          <w:rFonts w:asciiTheme="majorBidi" w:eastAsia="Times New Roman" w:hAnsiTheme="majorBidi" w:cstheme="majorBidi"/>
          <w:sz w:val="22"/>
          <w:szCs w:val="22"/>
        </w:rPr>
        <w:t xml:space="preserve"> </w:t>
      </w:r>
      <w:hyperlink r:id="rId38" w:history="1">
        <w:r w:rsidR="0058784B" w:rsidRPr="00A80C40">
          <w:rPr>
            <w:rStyle w:val="Hyperlink"/>
            <w:rFonts w:asciiTheme="majorBidi" w:eastAsia="Times New Roman" w:hAnsiTheme="majorBidi" w:cstheme="majorBidi"/>
            <w:sz w:val="22"/>
            <w:szCs w:val="22"/>
          </w:rPr>
          <w:t>https://doi.org/10.13031/ja.15660</w:t>
        </w:r>
      </w:hyperlink>
      <w:r w:rsidR="0058784B">
        <w:rPr>
          <w:rFonts w:asciiTheme="majorBidi" w:eastAsia="Times New Roman" w:hAnsiTheme="majorBidi" w:cstheme="majorBidi"/>
          <w:sz w:val="22"/>
          <w:szCs w:val="22"/>
        </w:rPr>
        <w:t xml:space="preserve"> </w:t>
      </w:r>
    </w:p>
    <w:p w14:paraId="5AB90D9F" w14:textId="796274AF"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Kumar, A., Prajapati, C.S., Chand, K., Abrol, P., Singh, G., Gangwar, S., &amp; Fredericks, R. (2025). Sustainable post-harvest and value addition practices in agriculture: A review. Journal of Experimental Agriculture International, 47(6), 172-193. </w:t>
      </w:r>
      <w:hyperlink r:id="rId39" w:history="1">
        <w:r w:rsidR="0058784B" w:rsidRPr="00A80C40">
          <w:rPr>
            <w:rStyle w:val="Hyperlink"/>
            <w:rFonts w:asciiTheme="majorBidi" w:eastAsia="Times New Roman" w:hAnsiTheme="majorBidi" w:cstheme="majorBidi"/>
            <w:sz w:val="22"/>
            <w:szCs w:val="22"/>
          </w:rPr>
          <w:t>https://doi.org/10.9734/jeai/2025/v47i63480</w:t>
        </w:r>
      </w:hyperlink>
      <w:r w:rsidR="0058784B">
        <w:rPr>
          <w:rFonts w:asciiTheme="majorBidi" w:eastAsia="Times New Roman" w:hAnsiTheme="majorBidi" w:cstheme="majorBidi"/>
          <w:sz w:val="22"/>
          <w:szCs w:val="22"/>
        </w:rPr>
        <w:t xml:space="preserve"> </w:t>
      </w:r>
    </w:p>
    <w:p w14:paraId="084C7B49" w14:textId="15B0BA26"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rPr>
        <w:t xml:space="preserve">Aditya., Bhatia, J.N. (2020). Economic empowerment of rural women through mushroom farming. International Journal of Current Microbiology and Applied Sciences, 9(6), 1081-1089. </w:t>
      </w:r>
      <w:hyperlink r:id="rId40" w:history="1">
        <w:r w:rsidR="0058784B" w:rsidRPr="00A80C40">
          <w:rPr>
            <w:rStyle w:val="Hyperlink"/>
            <w:rFonts w:asciiTheme="majorBidi" w:eastAsia="Times New Roman" w:hAnsiTheme="majorBidi" w:cstheme="majorBidi"/>
            <w:sz w:val="22"/>
            <w:szCs w:val="22"/>
          </w:rPr>
          <w:t>https://doi.org/10.20546/ijcmas.2020.906.134</w:t>
        </w:r>
      </w:hyperlink>
      <w:r w:rsidR="0058784B">
        <w:rPr>
          <w:rFonts w:asciiTheme="majorBidi" w:eastAsia="Times New Roman" w:hAnsiTheme="majorBidi" w:cstheme="majorBidi"/>
          <w:sz w:val="22"/>
          <w:szCs w:val="22"/>
        </w:rPr>
        <w:t xml:space="preserve"> </w:t>
      </w:r>
    </w:p>
    <w:p w14:paraId="79224FEC" w14:textId="75B73908"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Mounika, K., Reddy, P.P., Singh, R.P., Pandey, A., </w:t>
      </w:r>
      <w:proofErr w:type="spellStart"/>
      <w:r w:rsidRPr="007E341B">
        <w:rPr>
          <w:rFonts w:asciiTheme="majorBidi" w:eastAsia="Times New Roman" w:hAnsiTheme="majorBidi" w:cstheme="majorBidi"/>
          <w:sz w:val="22"/>
          <w:szCs w:val="22"/>
        </w:rPr>
        <w:t>Bharty</w:t>
      </w:r>
      <w:proofErr w:type="spellEnd"/>
      <w:r w:rsidRPr="007E341B">
        <w:rPr>
          <w:rFonts w:asciiTheme="majorBidi" w:eastAsia="Times New Roman" w:hAnsiTheme="majorBidi" w:cstheme="majorBidi"/>
          <w:sz w:val="22"/>
          <w:szCs w:val="22"/>
        </w:rPr>
        <w:t>, S.K., Kumar, A., &amp; Jain, S. (2025). Post-harvest technologies and cold chain management: A review. Plant Archives, 25(1), 3275-3283.</w:t>
      </w:r>
      <w:r w:rsidR="00235EF3" w:rsidRPr="007E341B">
        <w:rPr>
          <w:rFonts w:asciiTheme="majorBidi" w:eastAsia="Times New Roman" w:hAnsiTheme="majorBidi" w:cstheme="majorBidi"/>
          <w:sz w:val="22"/>
          <w:szCs w:val="22"/>
        </w:rPr>
        <w:t xml:space="preserve"> </w:t>
      </w:r>
      <w:hyperlink r:id="rId41" w:history="1">
        <w:r w:rsidR="0058784B" w:rsidRPr="00A80C40">
          <w:rPr>
            <w:rStyle w:val="Hyperlink"/>
            <w:rFonts w:asciiTheme="majorBidi" w:eastAsia="Times New Roman" w:hAnsiTheme="majorBidi" w:cstheme="majorBidi"/>
            <w:sz w:val="22"/>
            <w:szCs w:val="22"/>
          </w:rPr>
          <w:t>https://doi.org/10.51470/PLANTARCHIVES.2025.v25.supplement-1.447</w:t>
        </w:r>
      </w:hyperlink>
      <w:r w:rsidR="0058784B">
        <w:rPr>
          <w:rFonts w:asciiTheme="majorBidi" w:eastAsia="Times New Roman" w:hAnsiTheme="majorBidi" w:cstheme="majorBidi"/>
          <w:sz w:val="22"/>
          <w:szCs w:val="22"/>
        </w:rPr>
        <w:t xml:space="preserve"> </w:t>
      </w:r>
    </w:p>
    <w:p w14:paraId="3460F79D" w14:textId="1EE900BD"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proofErr w:type="spellStart"/>
      <w:r w:rsidRPr="007E341B">
        <w:rPr>
          <w:rFonts w:asciiTheme="majorBidi" w:eastAsia="Times New Roman" w:hAnsiTheme="majorBidi" w:cstheme="majorBidi"/>
          <w:sz w:val="22"/>
          <w:szCs w:val="22"/>
        </w:rPr>
        <w:t>Onwude</w:t>
      </w:r>
      <w:proofErr w:type="spellEnd"/>
      <w:r w:rsidRPr="007E341B">
        <w:rPr>
          <w:rFonts w:asciiTheme="majorBidi" w:eastAsia="Times New Roman" w:hAnsiTheme="majorBidi" w:cstheme="majorBidi"/>
          <w:sz w:val="22"/>
          <w:szCs w:val="22"/>
        </w:rPr>
        <w:t>, D.I., Chen, G., Eke-</w:t>
      </w:r>
      <w:proofErr w:type="spellStart"/>
      <w:r w:rsidRPr="007E341B">
        <w:rPr>
          <w:rFonts w:asciiTheme="majorBidi" w:eastAsia="Times New Roman" w:hAnsiTheme="majorBidi" w:cstheme="majorBidi"/>
          <w:sz w:val="22"/>
          <w:szCs w:val="22"/>
        </w:rPr>
        <w:t>Emezie</w:t>
      </w:r>
      <w:proofErr w:type="spellEnd"/>
      <w:r w:rsidRPr="007E341B">
        <w:rPr>
          <w:rFonts w:asciiTheme="majorBidi" w:eastAsia="Times New Roman" w:hAnsiTheme="majorBidi" w:cstheme="majorBidi"/>
          <w:sz w:val="22"/>
          <w:szCs w:val="22"/>
        </w:rPr>
        <w:t xml:space="preserve">, N., </w:t>
      </w:r>
      <w:proofErr w:type="spellStart"/>
      <w:r w:rsidRPr="007E341B">
        <w:rPr>
          <w:rFonts w:asciiTheme="majorBidi" w:eastAsia="Times New Roman" w:hAnsiTheme="majorBidi" w:cstheme="majorBidi"/>
          <w:sz w:val="22"/>
          <w:szCs w:val="22"/>
        </w:rPr>
        <w:t>Kabutey</w:t>
      </w:r>
      <w:proofErr w:type="spellEnd"/>
      <w:r w:rsidRPr="007E341B">
        <w:rPr>
          <w:rFonts w:asciiTheme="majorBidi" w:eastAsia="Times New Roman" w:hAnsiTheme="majorBidi" w:cstheme="majorBidi"/>
          <w:sz w:val="22"/>
          <w:szCs w:val="22"/>
        </w:rPr>
        <w:t xml:space="preserve">, A., Khaled, A.Y., &amp; Sturm, B. (2020). Recent advances in reducing food losses in the supply chain of fresh agricultural produce. Processes, 8(11), 1431. </w:t>
      </w:r>
      <w:hyperlink r:id="rId42" w:history="1">
        <w:r w:rsidR="0058784B" w:rsidRPr="00A80C40">
          <w:rPr>
            <w:rStyle w:val="Hyperlink"/>
            <w:rFonts w:asciiTheme="majorBidi" w:eastAsia="Times New Roman" w:hAnsiTheme="majorBidi" w:cstheme="majorBidi"/>
            <w:sz w:val="22"/>
            <w:szCs w:val="22"/>
          </w:rPr>
          <w:t>https://doi.org/10.3390/pr8111431</w:t>
        </w:r>
      </w:hyperlink>
      <w:r w:rsidR="0058784B">
        <w:rPr>
          <w:rFonts w:asciiTheme="majorBidi" w:eastAsia="Times New Roman" w:hAnsiTheme="majorBidi" w:cstheme="majorBidi"/>
          <w:sz w:val="22"/>
          <w:szCs w:val="22"/>
        </w:rPr>
        <w:t xml:space="preserve"> </w:t>
      </w:r>
    </w:p>
    <w:p w14:paraId="070804A6" w14:textId="00DA0285"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Pavankumar, M., Megha, M., Hegde, S.S., &amp; Emmi, S.R. Innovations in post-harvest techniques and food storage. </w:t>
      </w:r>
      <w:r w:rsidRPr="007E341B">
        <w:rPr>
          <w:rFonts w:asciiTheme="majorBidi" w:eastAsia="Times New Roman" w:hAnsiTheme="majorBidi" w:cstheme="majorBidi"/>
          <w:b/>
          <w:bCs/>
          <w:sz w:val="22"/>
          <w:szCs w:val="22"/>
        </w:rPr>
        <w:t>In:</w:t>
      </w:r>
      <w:r w:rsidRPr="007E341B">
        <w:rPr>
          <w:rFonts w:asciiTheme="majorBidi" w:eastAsia="Times New Roman" w:hAnsiTheme="majorBidi" w:cstheme="majorBidi"/>
          <w:sz w:val="22"/>
          <w:szCs w:val="22"/>
        </w:rPr>
        <w:t xml:space="preserve"> Recent Research Innovations in Agriculture, Shine Book Publishing, New Delhi. pp. 137-153.</w:t>
      </w:r>
      <w:r w:rsidR="0058784B">
        <w:rPr>
          <w:rFonts w:asciiTheme="majorBidi" w:eastAsia="Times New Roman" w:hAnsiTheme="majorBidi" w:cstheme="majorBidi"/>
          <w:sz w:val="22"/>
          <w:szCs w:val="22"/>
        </w:rPr>
        <w:t xml:space="preserve"> Web reference: </w:t>
      </w:r>
      <w:hyperlink r:id="rId43" w:history="1">
        <w:r w:rsidR="0058784B" w:rsidRPr="00A80C40">
          <w:rPr>
            <w:rStyle w:val="Hyperlink"/>
            <w:rFonts w:asciiTheme="majorBidi" w:eastAsia="Times New Roman" w:hAnsiTheme="majorBidi" w:cstheme="majorBidi"/>
            <w:sz w:val="22"/>
            <w:szCs w:val="22"/>
          </w:rPr>
          <w:t>https://www.researchgate.net/publication/382265784</w:t>
        </w:r>
      </w:hyperlink>
      <w:r w:rsidR="0058784B">
        <w:rPr>
          <w:rFonts w:asciiTheme="majorBidi" w:eastAsia="Times New Roman" w:hAnsiTheme="majorBidi" w:cstheme="majorBidi"/>
          <w:sz w:val="22"/>
          <w:szCs w:val="22"/>
        </w:rPr>
        <w:t xml:space="preserve"> </w:t>
      </w:r>
    </w:p>
    <w:p w14:paraId="59A71A23" w14:textId="1DC4227B"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lang w:bidi="hi-IN"/>
        </w:rPr>
        <w:t xml:space="preserve">Aditya., Kumar, D., Kashyap, S., Gupta, S. (2024). β-Glucans in mushrooms: Immunomodulatory and anticancer effects. </w:t>
      </w:r>
      <w:r w:rsidRPr="007E341B">
        <w:rPr>
          <w:rFonts w:asciiTheme="majorBidi" w:hAnsiTheme="majorBidi" w:cstheme="majorBidi"/>
          <w:b/>
          <w:bCs/>
          <w:sz w:val="22"/>
          <w:szCs w:val="22"/>
          <w:lang w:bidi="hi-IN"/>
        </w:rPr>
        <w:t>In:</w:t>
      </w:r>
      <w:r w:rsidRPr="007E341B">
        <w:rPr>
          <w:rFonts w:asciiTheme="majorBidi" w:hAnsiTheme="majorBidi" w:cstheme="majorBidi"/>
          <w:sz w:val="22"/>
          <w:szCs w:val="22"/>
          <w:lang w:bidi="hi-IN"/>
        </w:rPr>
        <w:t xml:space="preserve"> Mushroom Magic, CRC Press, London. pp. 105-122</w:t>
      </w:r>
      <w:r w:rsidR="0058784B">
        <w:rPr>
          <w:rFonts w:asciiTheme="majorBidi" w:eastAsia="Times New Roman" w:hAnsiTheme="majorBidi" w:cstheme="majorBidi"/>
          <w:sz w:val="22"/>
          <w:szCs w:val="22"/>
        </w:rPr>
        <w:t xml:space="preserve">. </w:t>
      </w:r>
      <w:hyperlink r:id="rId44" w:history="1">
        <w:r w:rsidR="0058784B" w:rsidRPr="00A80C40">
          <w:rPr>
            <w:rStyle w:val="Hyperlink"/>
            <w:rFonts w:asciiTheme="majorBidi" w:eastAsia="Times New Roman" w:hAnsiTheme="majorBidi" w:cstheme="majorBidi"/>
            <w:sz w:val="22"/>
            <w:szCs w:val="22"/>
          </w:rPr>
          <w:t>http://dx.doi.org/10.1201/9781003570257-7</w:t>
        </w:r>
      </w:hyperlink>
      <w:r w:rsidR="0058784B">
        <w:rPr>
          <w:rFonts w:asciiTheme="majorBidi" w:eastAsia="Times New Roman" w:hAnsiTheme="majorBidi" w:cstheme="majorBidi"/>
          <w:sz w:val="22"/>
          <w:szCs w:val="22"/>
        </w:rPr>
        <w:t xml:space="preserve"> </w:t>
      </w:r>
      <w:r w:rsidR="00235EF3" w:rsidRPr="007E341B">
        <w:rPr>
          <w:rFonts w:asciiTheme="majorBidi" w:eastAsia="Times New Roman" w:hAnsiTheme="majorBidi" w:cstheme="majorBidi"/>
          <w:sz w:val="22"/>
          <w:szCs w:val="22"/>
        </w:rPr>
        <w:t xml:space="preserve"> </w:t>
      </w:r>
      <w:r w:rsidRPr="007E341B">
        <w:rPr>
          <w:rFonts w:asciiTheme="majorBidi" w:hAnsiTheme="majorBidi" w:cstheme="majorBidi"/>
          <w:color w:val="0070C0"/>
          <w:sz w:val="22"/>
          <w:szCs w:val="22"/>
          <w:u w:val="single"/>
          <w:lang w:bidi="hi-IN"/>
        </w:rPr>
        <w:t xml:space="preserve"> </w:t>
      </w:r>
    </w:p>
    <w:p w14:paraId="7AA295A4" w14:textId="443D1558"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rPr>
        <w:lastRenderedPageBreak/>
        <w:t xml:space="preserve">Aditya.,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xml:space="preserve">, R.S.,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K. (2022). Laboratory screening of different nutrient media for mycelial growth and cultural characteristics of blue oyster mushroom [</w:t>
      </w:r>
      <w:r w:rsidRPr="007E341B">
        <w:rPr>
          <w:rFonts w:asciiTheme="majorBidi" w:hAnsiTheme="majorBidi" w:cstheme="majorBidi"/>
          <w:i/>
          <w:iCs/>
          <w:sz w:val="22"/>
          <w:szCs w:val="22"/>
        </w:rPr>
        <w:t>Hypsizygus ulmarius</w:t>
      </w:r>
      <w:r w:rsidRPr="007E341B">
        <w:rPr>
          <w:rFonts w:asciiTheme="majorBidi" w:hAnsiTheme="majorBidi" w:cstheme="majorBidi"/>
          <w:sz w:val="22"/>
          <w:szCs w:val="22"/>
        </w:rPr>
        <w:t xml:space="preserve"> (Bull.: Fr.) Redhead]. Indian Journal of Ecology, 49(3), 826-830. </w:t>
      </w:r>
      <w:hyperlink r:id="rId45" w:history="1">
        <w:r w:rsidR="0058784B" w:rsidRPr="00A80C40">
          <w:rPr>
            <w:rStyle w:val="Hyperlink"/>
            <w:rFonts w:asciiTheme="majorBidi" w:eastAsia="Times New Roman" w:hAnsiTheme="majorBidi" w:cstheme="majorBidi"/>
            <w:sz w:val="22"/>
            <w:szCs w:val="22"/>
          </w:rPr>
          <w:t>https://doi.org/10.55362/IJE/2022/3602</w:t>
        </w:r>
      </w:hyperlink>
      <w:r w:rsidR="0058784B">
        <w:rPr>
          <w:rFonts w:asciiTheme="majorBidi" w:eastAsia="Times New Roman" w:hAnsiTheme="majorBidi" w:cstheme="majorBidi"/>
          <w:sz w:val="22"/>
          <w:szCs w:val="22"/>
        </w:rPr>
        <w:t xml:space="preserve"> </w:t>
      </w:r>
    </w:p>
    <w:p w14:paraId="4A53A81E" w14:textId="4A956EBC"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rPr>
        <w:t xml:space="preserve">Aditya.,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xml:space="preserve">, R.S.,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K. (2023). Influence of physiological parameters on mycelial growth and cultural characteristics of blue oyster mushroom [</w:t>
      </w:r>
      <w:r w:rsidRPr="007E341B">
        <w:rPr>
          <w:rFonts w:asciiTheme="majorBidi" w:hAnsiTheme="majorBidi" w:cstheme="majorBidi"/>
          <w:i/>
          <w:iCs/>
          <w:sz w:val="22"/>
          <w:szCs w:val="22"/>
        </w:rPr>
        <w:t>Hypsizygus ulmarius</w:t>
      </w:r>
      <w:r w:rsidRPr="007E341B">
        <w:rPr>
          <w:rFonts w:asciiTheme="majorBidi" w:hAnsiTheme="majorBidi" w:cstheme="majorBidi"/>
          <w:sz w:val="22"/>
          <w:szCs w:val="22"/>
        </w:rPr>
        <w:t xml:space="preserve"> (Bull.: Fr.) Redhead]. Indian Journal of Ecology, 50(1), 151-156.</w:t>
      </w:r>
      <w:r w:rsidR="00235EF3" w:rsidRPr="007E341B">
        <w:rPr>
          <w:rFonts w:asciiTheme="majorBidi" w:eastAsia="Times New Roman" w:hAnsiTheme="majorBidi" w:cstheme="majorBidi"/>
          <w:sz w:val="22"/>
          <w:szCs w:val="22"/>
        </w:rPr>
        <w:t xml:space="preserve"> </w:t>
      </w:r>
      <w:hyperlink r:id="rId46" w:history="1">
        <w:r w:rsidR="0058784B" w:rsidRPr="00A80C40">
          <w:rPr>
            <w:rStyle w:val="Hyperlink"/>
            <w:rFonts w:asciiTheme="majorBidi" w:eastAsia="Times New Roman" w:hAnsiTheme="majorBidi" w:cstheme="majorBidi"/>
            <w:sz w:val="22"/>
            <w:szCs w:val="22"/>
          </w:rPr>
          <w:t>https://doi.org/10.55362/IJE/2023/3869</w:t>
        </w:r>
      </w:hyperlink>
      <w:r w:rsidR="0058784B">
        <w:rPr>
          <w:rFonts w:asciiTheme="majorBidi" w:eastAsia="Times New Roman" w:hAnsiTheme="majorBidi" w:cstheme="majorBidi"/>
          <w:sz w:val="22"/>
          <w:szCs w:val="22"/>
        </w:rPr>
        <w:t xml:space="preserve"> </w:t>
      </w:r>
      <w:r w:rsidR="00235EF3" w:rsidRPr="007E341B">
        <w:rPr>
          <w:rFonts w:asciiTheme="majorBidi" w:eastAsia="Times New Roman" w:hAnsiTheme="majorBidi" w:cstheme="majorBidi"/>
          <w:sz w:val="22"/>
          <w:szCs w:val="22"/>
        </w:rPr>
        <w:t xml:space="preserve"> </w:t>
      </w:r>
    </w:p>
    <w:p w14:paraId="06656456" w14:textId="439107FB"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rPr>
        <w:t xml:space="preserve">Mims, S.A., &amp; Mims, F.M. (2004). Fungal spores are transported long distances in smoke from biomass fires. Atmospheric Environment, 38(5), 651–655. </w:t>
      </w:r>
      <w:hyperlink r:id="rId47" w:history="1">
        <w:r w:rsidR="0058784B" w:rsidRPr="00A80C40">
          <w:rPr>
            <w:rStyle w:val="Hyperlink"/>
            <w:rFonts w:asciiTheme="majorBidi" w:eastAsia="Times New Roman" w:hAnsiTheme="majorBidi" w:cstheme="majorBidi"/>
            <w:sz w:val="22"/>
            <w:szCs w:val="22"/>
          </w:rPr>
          <w:t>https://doi.org/10.1016/j.atmosenv.2003.10.043</w:t>
        </w:r>
      </w:hyperlink>
      <w:r w:rsidR="0058784B">
        <w:rPr>
          <w:rFonts w:asciiTheme="majorBidi" w:eastAsia="Times New Roman" w:hAnsiTheme="majorBidi" w:cstheme="majorBidi"/>
          <w:sz w:val="22"/>
          <w:szCs w:val="22"/>
        </w:rPr>
        <w:t xml:space="preserve"> </w:t>
      </w:r>
    </w:p>
    <w:p w14:paraId="7AC6FE1F" w14:textId="2E9A30BC"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rPr>
        <w:t xml:space="preserve"> Mnkandla, S.M., Otomo, P.V. (2021) Effectiveness of </w:t>
      </w:r>
      <w:proofErr w:type="spellStart"/>
      <w:r w:rsidRPr="007E341B">
        <w:rPr>
          <w:rFonts w:asciiTheme="majorBidi" w:hAnsiTheme="majorBidi" w:cstheme="majorBidi"/>
          <w:sz w:val="22"/>
          <w:szCs w:val="22"/>
        </w:rPr>
        <w:t>mycofiltration</w:t>
      </w:r>
      <w:proofErr w:type="spellEnd"/>
      <w:r w:rsidRPr="007E341B">
        <w:rPr>
          <w:rFonts w:asciiTheme="majorBidi" w:hAnsiTheme="majorBidi" w:cstheme="majorBidi"/>
          <w:sz w:val="22"/>
          <w:szCs w:val="22"/>
        </w:rPr>
        <w:t xml:space="preserve"> for removal of contaminants from water: A systematic review protocol. Environmental Evidence, 10, 17, 1-13. </w:t>
      </w:r>
      <w:bookmarkStart w:id="6" w:name="_Hlk215166297"/>
      <w:r w:rsidR="0058784B">
        <w:rPr>
          <w:rFonts w:asciiTheme="majorBidi" w:eastAsia="Times New Roman" w:hAnsiTheme="majorBidi" w:cstheme="majorBidi"/>
          <w:sz w:val="22"/>
          <w:szCs w:val="22"/>
        </w:rPr>
        <w:fldChar w:fldCharType="begin"/>
      </w:r>
      <w:r w:rsidR="0058784B">
        <w:rPr>
          <w:rFonts w:asciiTheme="majorBidi" w:eastAsia="Times New Roman" w:hAnsiTheme="majorBidi" w:cstheme="majorBidi"/>
          <w:sz w:val="22"/>
          <w:szCs w:val="22"/>
        </w:rPr>
        <w:instrText>HYPERLINK "</w:instrText>
      </w:r>
      <w:r w:rsidR="0058784B" w:rsidRPr="007E341B">
        <w:rPr>
          <w:rFonts w:asciiTheme="majorBidi" w:eastAsia="Times New Roman" w:hAnsiTheme="majorBidi" w:cstheme="majorBidi"/>
          <w:sz w:val="22"/>
          <w:szCs w:val="22"/>
        </w:rPr>
        <w:instrText>https://doi.org/10.1186/s13750-021-00232-0</w:instrText>
      </w:r>
      <w:r w:rsidR="0058784B">
        <w:rPr>
          <w:rFonts w:asciiTheme="majorBidi" w:eastAsia="Times New Roman" w:hAnsiTheme="majorBidi" w:cstheme="majorBidi"/>
          <w:sz w:val="22"/>
          <w:szCs w:val="22"/>
        </w:rPr>
        <w:instrText>"</w:instrText>
      </w:r>
      <w:r w:rsidR="0058784B">
        <w:rPr>
          <w:rFonts w:asciiTheme="majorBidi" w:eastAsia="Times New Roman" w:hAnsiTheme="majorBidi" w:cstheme="majorBidi"/>
          <w:sz w:val="22"/>
          <w:szCs w:val="22"/>
        </w:rPr>
        <w:fldChar w:fldCharType="separate"/>
      </w:r>
      <w:r w:rsidR="0058784B" w:rsidRPr="00A80C40">
        <w:rPr>
          <w:rStyle w:val="Hyperlink"/>
          <w:rFonts w:asciiTheme="majorBidi" w:eastAsia="Times New Roman" w:hAnsiTheme="majorBidi" w:cstheme="majorBidi"/>
          <w:sz w:val="22"/>
          <w:szCs w:val="22"/>
        </w:rPr>
        <w:t>https://doi.org/10.1186/s13750-021-00232-0</w:t>
      </w:r>
      <w:r w:rsidR="0058784B">
        <w:rPr>
          <w:rFonts w:asciiTheme="majorBidi" w:eastAsia="Times New Roman" w:hAnsiTheme="majorBidi" w:cstheme="majorBidi"/>
          <w:sz w:val="22"/>
          <w:szCs w:val="22"/>
        </w:rPr>
        <w:fldChar w:fldCharType="end"/>
      </w:r>
      <w:r w:rsidR="0058784B">
        <w:rPr>
          <w:rFonts w:asciiTheme="majorBidi" w:eastAsia="Times New Roman" w:hAnsiTheme="majorBidi" w:cstheme="majorBidi"/>
          <w:sz w:val="22"/>
          <w:szCs w:val="22"/>
        </w:rPr>
        <w:t xml:space="preserve"> </w:t>
      </w:r>
    </w:p>
    <w:p w14:paraId="3F0FE505" w14:textId="77777777"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proofErr w:type="spellStart"/>
      <w:r w:rsidRPr="007E341B">
        <w:rPr>
          <w:rFonts w:asciiTheme="majorBidi" w:hAnsiTheme="majorBidi" w:cstheme="majorBidi"/>
          <w:sz w:val="22"/>
          <w:szCs w:val="22"/>
        </w:rPr>
        <w:t>Amarhetti</w:t>
      </w:r>
      <w:proofErr w:type="spellEnd"/>
      <w:r w:rsidRPr="007E341B">
        <w:rPr>
          <w:rFonts w:asciiTheme="majorBidi" w:hAnsiTheme="majorBidi" w:cstheme="majorBidi"/>
          <w:sz w:val="22"/>
          <w:szCs w:val="22"/>
        </w:rPr>
        <w:t xml:space="preserve">, K. (2025). Data-driven harvesting: The role of IoT and precision agriculture in modern farming. </w:t>
      </w:r>
      <w:proofErr w:type="spellStart"/>
      <w:r w:rsidRPr="007E341B">
        <w:rPr>
          <w:rFonts w:asciiTheme="majorBidi" w:hAnsiTheme="majorBidi" w:cstheme="majorBidi"/>
          <w:sz w:val="22"/>
          <w:szCs w:val="22"/>
        </w:rPr>
        <w:t>Agrifrontline</w:t>
      </w:r>
      <w:proofErr w:type="spellEnd"/>
      <w:r w:rsidRPr="007E341B">
        <w:rPr>
          <w:rFonts w:asciiTheme="majorBidi" w:hAnsiTheme="majorBidi" w:cstheme="majorBidi"/>
          <w:sz w:val="22"/>
          <w:szCs w:val="22"/>
        </w:rPr>
        <w:t>, 1(3), 15–18.</w:t>
      </w:r>
      <w:bookmarkEnd w:id="6"/>
    </w:p>
    <w:p w14:paraId="5FD1D119" w14:textId="77777777"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rPr>
        <w:t xml:space="preserve">Bhamini, K. (2025). Post-harvest management solutions: Reducing waste and enhancing profitability. </w:t>
      </w:r>
      <w:proofErr w:type="spellStart"/>
      <w:r w:rsidRPr="007E341B">
        <w:rPr>
          <w:rFonts w:asciiTheme="majorBidi" w:hAnsiTheme="majorBidi" w:cstheme="majorBidi"/>
          <w:sz w:val="22"/>
          <w:szCs w:val="22"/>
        </w:rPr>
        <w:t>Agrifrontline</w:t>
      </w:r>
      <w:proofErr w:type="spellEnd"/>
      <w:r w:rsidRPr="007E341B">
        <w:rPr>
          <w:rFonts w:asciiTheme="majorBidi" w:hAnsiTheme="majorBidi" w:cstheme="majorBidi"/>
          <w:sz w:val="22"/>
          <w:szCs w:val="22"/>
        </w:rPr>
        <w:t>, 1(3), 19–23.</w:t>
      </w:r>
      <w:bookmarkStart w:id="7" w:name="_Hlk215162910"/>
    </w:p>
    <w:p w14:paraId="0F4F9596" w14:textId="5BD04D7E"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rPr>
        <w:t>Aditya., Neeraj., Bhatia, J.N. (2024). Escalating vitamin D</w:t>
      </w:r>
      <w:r w:rsidRPr="007E341B">
        <w:rPr>
          <w:rFonts w:asciiTheme="majorBidi" w:hAnsiTheme="majorBidi" w:cstheme="majorBidi"/>
          <w:sz w:val="22"/>
          <w:szCs w:val="22"/>
          <w:vertAlign w:val="subscript"/>
        </w:rPr>
        <w:t>2</w:t>
      </w:r>
      <w:r w:rsidRPr="007E341B">
        <w:rPr>
          <w:rFonts w:asciiTheme="majorBidi" w:hAnsiTheme="majorBidi" w:cstheme="majorBidi"/>
          <w:sz w:val="22"/>
          <w:szCs w:val="22"/>
        </w:rPr>
        <w:t xml:space="preserve"> content in fresh sporocarps of elm oyster mushroom </w:t>
      </w:r>
      <w:r w:rsidRPr="007E341B">
        <w:rPr>
          <w:rFonts w:asciiTheme="majorBidi" w:hAnsiTheme="majorBidi" w:cstheme="majorBidi"/>
          <w:i/>
          <w:iCs/>
          <w:sz w:val="22"/>
          <w:szCs w:val="22"/>
        </w:rPr>
        <w:t>Hypsizygus ulmarius</w:t>
      </w:r>
      <w:r w:rsidRPr="007E341B">
        <w:rPr>
          <w:rFonts w:asciiTheme="majorBidi" w:hAnsiTheme="majorBidi" w:cstheme="majorBidi"/>
          <w:sz w:val="22"/>
          <w:szCs w:val="22"/>
        </w:rPr>
        <w:t xml:space="preserve"> (Bull.) Redhead (Agaricomycetes) using ultraviolet irradiation and assessment of its stability, antioxidant capacity, </w:t>
      </w:r>
      <w:proofErr w:type="spellStart"/>
      <w:r w:rsidRPr="007E341B">
        <w:rPr>
          <w:rFonts w:asciiTheme="majorBidi" w:hAnsiTheme="majorBidi" w:cstheme="majorBidi"/>
          <w:sz w:val="22"/>
          <w:szCs w:val="22"/>
        </w:rPr>
        <w:t>color</w:t>
      </w:r>
      <w:proofErr w:type="spellEnd"/>
      <w:r w:rsidRPr="007E341B">
        <w:rPr>
          <w:rFonts w:asciiTheme="majorBidi" w:hAnsiTheme="majorBidi" w:cstheme="majorBidi"/>
          <w:sz w:val="22"/>
          <w:szCs w:val="22"/>
        </w:rPr>
        <w:t xml:space="preserve">, and textural properties. ACS Food Science &amp; Technology, 4(11), 2739-2751. </w:t>
      </w:r>
      <w:hyperlink r:id="rId48" w:history="1">
        <w:r w:rsidR="0058784B" w:rsidRPr="00A80C40">
          <w:rPr>
            <w:rStyle w:val="Hyperlink"/>
            <w:rFonts w:asciiTheme="majorBidi" w:eastAsia="Times New Roman" w:hAnsiTheme="majorBidi" w:cstheme="majorBidi"/>
            <w:sz w:val="22"/>
            <w:szCs w:val="22"/>
          </w:rPr>
          <w:t>https://doi.org/10.1021/acsfoodscitech.4c00701</w:t>
        </w:r>
      </w:hyperlink>
      <w:r w:rsidR="0058784B">
        <w:rPr>
          <w:rFonts w:asciiTheme="majorBidi" w:eastAsia="Times New Roman" w:hAnsiTheme="majorBidi" w:cstheme="majorBidi"/>
          <w:sz w:val="22"/>
          <w:szCs w:val="22"/>
        </w:rPr>
        <w:t xml:space="preserve"> </w:t>
      </w:r>
    </w:p>
    <w:p w14:paraId="7B2A4560" w14:textId="7036D90C"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rPr>
        <w:t xml:space="preserve">Naranjo‐Ortiz, M. A., &amp; </w:t>
      </w:r>
      <w:proofErr w:type="spellStart"/>
      <w:r w:rsidRPr="007E341B">
        <w:rPr>
          <w:rFonts w:asciiTheme="majorBidi" w:hAnsiTheme="majorBidi" w:cstheme="majorBidi"/>
          <w:sz w:val="22"/>
          <w:szCs w:val="22"/>
        </w:rPr>
        <w:t>Gabaldón</w:t>
      </w:r>
      <w:proofErr w:type="spellEnd"/>
      <w:r w:rsidRPr="007E341B">
        <w:rPr>
          <w:rFonts w:asciiTheme="majorBidi" w:hAnsiTheme="majorBidi" w:cstheme="majorBidi"/>
          <w:sz w:val="22"/>
          <w:szCs w:val="22"/>
        </w:rPr>
        <w:t xml:space="preserve">, T. (2019). Fungal evolution: diversity, taxonomy and phylogeny of the Fungi. Biological Reviews, 94(6), 2101-2137. </w:t>
      </w:r>
      <w:bookmarkEnd w:id="7"/>
      <w:r w:rsidR="0058784B">
        <w:rPr>
          <w:rFonts w:asciiTheme="majorBidi" w:eastAsia="Times New Roman" w:hAnsiTheme="majorBidi" w:cstheme="majorBidi"/>
          <w:sz w:val="22"/>
          <w:szCs w:val="22"/>
        </w:rPr>
        <w:fldChar w:fldCharType="begin"/>
      </w:r>
      <w:r w:rsidR="0058784B">
        <w:rPr>
          <w:rFonts w:asciiTheme="majorBidi" w:eastAsia="Times New Roman" w:hAnsiTheme="majorBidi" w:cstheme="majorBidi"/>
          <w:sz w:val="22"/>
          <w:szCs w:val="22"/>
        </w:rPr>
        <w:instrText>HYPERLINK "</w:instrText>
      </w:r>
      <w:r w:rsidR="0058784B" w:rsidRPr="007E341B">
        <w:rPr>
          <w:rFonts w:asciiTheme="majorBidi" w:eastAsia="Times New Roman" w:hAnsiTheme="majorBidi" w:cstheme="majorBidi"/>
          <w:sz w:val="22"/>
          <w:szCs w:val="22"/>
        </w:rPr>
        <w:instrText>https://doi.org/10.1111/brv.12550</w:instrText>
      </w:r>
      <w:r w:rsidR="0058784B">
        <w:rPr>
          <w:rFonts w:asciiTheme="majorBidi" w:eastAsia="Times New Roman" w:hAnsiTheme="majorBidi" w:cstheme="majorBidi"/>
          <w:sz w:val="22"/>
          <w:szCs w:val="22"/>
        </w:rPr>
        <w:instrText>"</w:instrText>
      </w:r>
      <w:r w:rsidR="0058784B">
        <w:rPr>
          <w:rFonts w:asciiTheme="majorBidi" w:eastAsia="Times New Roman" w:hAnsiTheme="majorBidi" w:cstheme="majorBidi"/>
          <w:sz w:val="22"/>
          <w:szCs w:val="22"/>
        </w:rPr>
        <w:fldChar w:fldCharType="separate"/>
      </w:r>
      <w:r w:rsidR="0058784B" w:rsidRPr="00A80C40">
        <w:rPr>
          <w:rStyle w:val="Hyperlink"/>
          <w:rFonts w:asciiTheme="majorBidi" w:eastAsia="Times New Roman" w:hAnsiTheme="majorBidi" w:cstheme="majorBidi"/>
          <w:sz w:val="22"/>
          <w:szCs w:val="22"/>
        </w:rPr>
        <w:t>https://doi.org/10.1111/brv.12550</w:t>
      </w:r>
      <w:r w:rsidR="0058784B">
        <w:rPr>
          <w:rFonts w:asciiTheme="majorBidi" w:eastAsia="Times New Roman" w:hAnsiTheme="majorBidi" w:cstheme="majorBidi"/>
          <w:sz w:val="22"/>
          <w:szCs w:val="22"/>
        </w:rPr>
        <w:fldChar w:fldCharType="end"/>
      </w:r>
      <w:r w:rsidR="0058784B">
        <w:rPr>
          <w:rFonts w:asciiTheme="majorBidi" w:eastAsia="Times New Roman" w:hAnsiTheme="majorBidi" w:cstheme="majorBidi"/>
          <w:sz w:val="22"/>
          <w:szCs w:val="22"/>
        </w:rPr>
        <w:t xml:space="preserve"> </w:t>
      </w:r>
    </w:p>
    <w:p w14:paraId="1FB46252" w14:textId="007BB7EA"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color w:val="222222"/>
          <w:sz w:val="22"/>
          <w:szCs w:val="22"/>
          <w:shd w:val="clear" w:color="auto" w:fill="FFFFFF"/>
          <w:lang w:val="nn-NO"/>
        </w:rPr>
        <w:t xml:space="preserve">Elliott, T.F., Truong, C., Jackson, S. M., Zúñiga, C.L., Trappe, J.M., &amp; Vernes, K. (2022). </w:t>
      </w:r>
      <w:r w:rsidRPr="007E341B">
        <w:rPr>
          <w:rFonts w:asciiTheme="majorBidi" w:hAnsiTheme="majorBidi" w:cstheme="majorBidi"/>
          <w:color w:val="222222"/>
          <w:sz w:val="22"/>
          <w:szCs w:val="22"/>
          <w:shd w:val="clear" w:color="auto" w:fill="FFFFFF"/>
        </w:rPr>
        <w:t>Mammalian mycophagy: A global review of ecosystem interactions between mammals and fungi. Fungal Systematics and Evolution, 9(1), 99-159.</w:t>
      </w:r>
      <w:r w:rsidR="00235EF3" w:rsidRPr="007E341B">
        <w:rPr>
          <w:rFonts w:asciiTheme="majorBidi" w:eastAsia="Times New Roman" w:hAnsiTheme="majorBidi" w:cstheme="majorBidi"/>
          <w:sz w:val="22"/>
          <w:szCs w:val="22"/>
        </w:rPr>
        <w:t xml:space="preserve"> </w:t>
      </w:r>
      <w:hyperlink r:id="rId49" w:history="1">
        <w:r w:rsidR="0058784B" w:rsidRPr="00A80C40">
          <w:rPr>
            <w:rStyle w:val="Hyperlink"/>
            <w:rFonts w:asciiTheme="majorBidi" w:eastAsia="Times New Roman" w:hAnsiTheme="majorBidi" w:cstheme="majorBidi"/>
            <w:sz w:val="22"/>
            <w:szCs w:val="22"/>
          </w:rPr>
          <w:t>https://doi.org/10.3114/fuse.2022.09.07</w:t>
        </w:r>
      </w:hyperlink>
      <w:r w:rsidR="0058784B">
        <w:rPr>
          <w:rFonts w:asciiTheme="majorBidi" w:eastAsia="Times New Roman" w:hAnsiTheme="majorBidi" w:cstheme="majorBidi"/>
          <w:sz w:val="22"/>
          <w:szCs w:val="22"/>
        </w:rPr>
        <w:t xml:space="preserve"> </w:t>
      </w:r>
    </w:p>
    <w:p w14:paraId="662CB3BC" w14:textId="6C8168B1"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proofErr w:type="spellStart"/>
      <w:r w:rsidRPr="007E341B">
        <w:rPr>
          <w:rFonts w:asciiTheme="majorBidi" w:hAnsiTheme="majorBidi" w:cstheme="majorBidi"/>
          <w:color w:val="222222"/>
          <w:sz w:val="22"/>
          <w:szCs w:val="22"/>
          <w:shd w:val="clear" w:color="auto" w:fill="FFFFFF"/>
        </w:rPr>
        <w:t>Guarro</w:t>
      </w:r>
      <w:proofErr w:type="spellEnd"/>
      <w:r w:rsidRPr="007E341B">
        <w:rPr>
          <w:rFonts w:asciiTheme="majorBidi" w:hAnsiTheme="majorBidi" w:cstheme="majorBidi"/>
          <w:color w:val="222222"/>
          <w:sz w:val="22"/>
          <w:szCs w:val="22"/>
          <w:shd w:val="clear" w:color="auto" w:fill="FFFFFF"/>
        </w:rPr>
        <w:t xml:space="preserve">, J., Gene, J., &amp; </w:t>
      </w:r>
      <w:proofErr w:type="spellStart"/>
      <w:r w:rsidRPr="007E341B">
        <w:rPr>
          <w:rFonts w:asciiTheme="majorBidi" w:hAnsiTheme="majorBidi" w:cstheme="majorBidi"/>
          <w:color w:val="222222"/>
          <w:sz w:val="22"/>
          <w:szCs w:val="22"/>
          <w:shd w:val="clear" w:color="auto" w:fill="FFFFFF"/>
        </w:rPr>
        <w:t>Stchigel</w:t>
      </w:r>
      <w:proofErr w:type="spellEnd"/>
      <w:r w:rsidRPr="007E341B">
        <w:rPr>
          <w:rFonts w:asciiTheme="majorBidi" w:hAnsiTheme="majorBidi" w:cstheme="majorBidi"/>
          <w:color w:val="222222"/>
          <w:sz w:val="22"/>
          <w:szCs w:val="22"/>
          <w:shd w:val="clear" w:color="auto" w:fill="FFFFFF"/>
        </w:rPr>
        <w:t>, A.M. (1999). Developments in fungal taxonomy. Clinical microbiology reviews, 12(3), 454-500.</w:t>
      </w:r>
      <w:r w:rsidR="00235EF3" w:rsidRPr="007E341B">
        <w:rPr>
          <w:rFonts w:asciiTheme="majorBidi" w:eastAsia="Times New Roman" w:hAnsiTheme="majorBidi" w:cstheme="majorBidi"/>
          <w:sz w:val="22"/>
          <w:szCs w:val="22"/>
        </w:rPr>
        <w:t xml:space="preserve"> </w:t>
      </w:r>
      <w:hyperlink r:id="rId50" w:history="1">
        <w:r w:rsidR="0058784B" w:rsidRPr="00A80C40">
          <w:rPr>
            <w:rStyle w:val="Hyperlink"/>
            <w:rFonts w:asciiTheme="majorBidi" w:eastAsia="Times New Roman" w:hAnsiTheme="majorBidi" w:cstheme="majorBidi"/>
            <w:sz w:val="22"/>
            <w:szCs w:val="22"/>
          </w:rPr>
          <w:t>https://doi.org/10.1128/CMR.12.3.454</w:t>
        </w:r>
      </w:hyperlink>
      <w:r w:rsidR="0058784B">
        <w:rPr>
          <w:rFonts w:asciiTheme="majorBidi" w:eastAsia="Times New Roman" w:hAnsiTheme="majorBidi" w:cstheme="majorBidi"/>
          <w:sz w:val="22"/>
          <w:szCs w:val="22"/>
        </w:rPr>
        <w:t xml:space="preserve"> </w:t>
      </w:r>
      <w:r w:rsidRPr="007E341B">
        <w:rPr>
          <w:rFonts w:asciiTheme="majorBidi" w:hAnsiTheme="majorBidi" w:cstheme="majorBidi"/>
          <w:color w:val="222222"/>
          <w:sz w:val="22"/>
          <w:szCs w:val="22"/>
          <w:shd w:val="clear" w:color="auto" w:fill="FFFFFF"/>
        </w:rPr>
        <w:t xml:space="preserve">  </w:t>
      </w:r>
    </w:p>
    <w:p w14:paraId="5BF82C3B" w14:textId="2225FA76"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color w:val="222222"/>
          <w:sz w:val="22"/>
          <w:szCs w:val="22"/>
          <w:shd w:val="clear" w:color="auto" w:fill="FFFFFF"/>
          <w:lang w:val="nn-NO"/>
        </w:rPr>
        <w:t xml:space="preserve">Boudagga, S., Hamdi, C., &amp; Mahmoudi, H. (2025). </w:t>
      </w:r>
      <w:r w:rsidRPr="007E341B">
        <w:rPr>
          <w:rFonts w:asciiTheme="majorBidi" w:hAnsiTheme="majorBidi" w:cstheme="majorBidi"/>
          <w:color w:val="222222"/>
          <w:sz w:val="22"/>
          <w:szCs w:val="22"/>
          <w:shd w:val="clear" w:color="auto" w:fill="FFFFFF"/>
        </w:rPr>
        <w:t xml:space="preserve">Metabolic fingerprinting of </w:t>
      </w:r>
      <w:proofErr w:type="spellStart"/>
      <w:r w:rsidRPr="007E341B">
        <w:rPr>
          <w:rFonts w:asciiTheme="majorBidi" w:hAnsiTheme="majorBidi" w:cstheme="majorBidi"/>
          <w:i/>
          <w:iCs/>
          <w:color w:val="222222"/>
          <w:sz w:val="22"/>
          <w:szCs w:val="22"/>
          <w:shd w:val="clear" w:color="auto" w:fill="FFFFFF"/>
        </w:rPr>
        <w:t>Hericium</w:t>
      </w:r>
      <w:proofErr w:type="spellEnd"/>
      <w:r w:rsidRPr="007E341B">
        <w:rPr>
          <w:rFonts w:asciiTheme="majorBidi" w:hAnsiTheme="majorBidi" w:cstheme="majorBidi"/>
          <w:i/>
          <w:iCs/>
          <w:color w:val="222222"/>
          <w:sz w:val="22"/>
          <w:szCs w:val="22"/>
          <w:shd w:val="clear" w:color="auto" w:fill="FFFFFF"/>
        </w:rPr>
        <w:t xml:space="preserve"> </w:t>
      </w:r>
      <w:proofErr w:type="spellStart"/>
      <w:r w:rsidRPr="007E341B">
        <w:rPr>
          <w:rFonts w:asciiTheme="majorBidi" w:hAnsiTheme="majorBidi" w:cstheme="majorBidi"/>
          <w:i/>
          <w:iCs/>
          <w:color w:val="222222"/>
          <w:sz w:val="22"/>
          <w:szCs w:val="22"/>
          <w:shd w:val="clear" w:color="auto" w:fill="FFFFFF"/>
        </w:rPr>
        <w:t>erinaceus</w:t>
      </w:r>
      <w:proofErr w:type="spellEnd"/>
      <w:r w:rsidRPr="007E341B">
        <w:rPr>
          <w:rFonts w:asciiTheme="majorBidi" w:hAnsiTheme="majorBidi" w:cstheme="majorBidi"/>
          <w:color w:val="222222"/>
          <w:sz w:val="22"/>
          <w:szCs w:val="22"/>
          <w:shd w:val="clear" w:color="auto" w:fill="FFFFFF"/>
        </w:rPr>
        <w:t xml:space="preserve"> (Lion’s Mane) mycelia using high-throughput </w:t>
      </w:r>
      <w:proofErr w:type="spellStart"/>
      <w:r w:rsidRPr="007E341B">
        <w:rPr>
          <w:rFonts w:asciiTheme="majorBidi" w:hAnsiTheme="majorBidi" w:cstheme="majorBidi"/>
          <w:color w:val="222222"/>
          <w:sz w:val="22"/>
          <w:szCs w:val="22"/>
          <w:shd w:val="clear" w:color="auto" w:fill="FFFFFF"/>
        </w:rPr>
        <w:t>Biolog</w:t>
      </w:r>
      <w:proofErr w:type="spellEnd"/>
      <w:r w:rsidRPr="007E341B">
        <w:rPr>
          <w:rFonts w:asciiTheme="majorBidi" w:hAnsiTheme="majorBidi" w:cstheme="majorBidi"/>
          <w:color w:val="222222"/>
          <w:sz w:val="22"/>
          <w:szCs w:val="22"/>
          <w:shd w:val="clear" w:color="auto" w:fill="FFFFFF"/>
        </w:rPr>
        <w:t xml:space="preserve"> analysis. </w:t>
      </w:r>
      <w:proofErr w:type="spellStart"/>
      <w:r w:rsidRPr="007E341B">
        <w:rPr>
          <w:rFonts w:asciiTheme="majorBidi" w:hAnsiTheme="majorBidi" w:cstheme="majorBidi"/>
          <w:color w:val="222222"/>
          <w:sz w:val="22"/>
          <w:szCs w:val="22"/>
          <w:shd w:val="clear" w:color="auto" w:fill="FFFFFF"/>
        </w:rPr>
        <w:t>Biologia</w:t>
      </w:r>
      <w:proofErr w:type="spellEnd"/>
      <w:r w:rsidRPr="007E341B">
        <w:rPr>
          <w:rFonts w:asciiTheme="majorBidi" w:hAnsiTheme="majorBidi" w:cstheme="majorBidi"/>
          <w:color w:val="222222"/>
          <w:sz w:val="22"/>
          <w:szCs w:val="22"/>
          <w:shd w:val="clear" w:color="auto" w:fill="FFFFFF"/>
        </w:rPr>
        <w:t>, 1-19.</w:t>
      </w:r>
      <w:r w:rsidR="00235EF3" w:rsidRPr="007E341B">
        <w:rPr>
          <w:rFonts w:asciiTheme="majorBidi" w:eastAsia="Times New Roman" w:hAnsiTheme="majorBidi" w:cstheme="majorBidi"/>
          <w:sz w:val="22"/>
          <w:szCs w:val="22"/>
        </w:rPr>
        <w:t xml:space="preserve"> </w:t>
      </w:r>
      <w:hyperlink r:id="rId51" w:history="1">
        <w:r w:rsidR="0058784B" w:rsidRPr="00A80C40">
          <w:rPr>
            <w:rStyle w:val="Hyperlink"/>
            <w:rFonts w:asciiTheme="majorBidi" w:eastAsia="Times New Roman" w:hAnsiTheme="majorBidi" w:cstheme="majorBidi"/>
            <w:sz w:val="22"/>
            <w:szCs w:val="22"/>
          </w:rPr>
          <w:t>https://doi.org/10.1007/s11756-025-02011-5</w:t>
        </w:r>
      </w:hyperlink>
      <w:r w:rsidR="0058784B">
        <w:rPr>
          <w:rFonts w:asciiTheme="majorBidi" w:eastAsia="Times New Roman" w:hAnsiTheme="majorBidi" w:cstheme="majorBidi"/>
          <w:sz w:val="22"/>
          <w:szCs w:val="22"/>
        </w:rPr>
        <w:t xml:space="preserve"> </w:t>
      </w:r>
      <w:r w:rsidRPr="007E341B">
        <w:rPr>
          <w:rFonts w:asciiTheme="majorBidi" w:hAnsiTheme="majorBidi" w:cstheme="majorBidi"/>
          <w:color w:val="222222"/>
          <w:sz w:val="22"/>
          <w:szCs w:val="22"/>
          <w:shd w:val="clear" w:color="auto" w:fill="FFFFFF"/>
        </w:rPr>
        <w:t xml:space="preserve"> </w:t>
      </w:r>
    </w:p>
    <w:p w14:paraId="5AC5B3B7" w14:textId="6F3F4754"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color w:val="222222"/>
          <w:sz w:val="22"/>
          <w:szCs w:val="22"/>
          <w:shd w:val="clear" w:color="auto" w:fill="FFFFFF"/>
          <w:lang w:val="nn-NO"/>
        </w:rPr>
        <w:t xml:space="preserve">Wu, F., Zhou, L.W., Yang, Z.L., Bau, T., Li, T.H., &amp; Dai, Y.C. (2019). </w:t>
      </w:r>
      <w:r w:rsidRPr="007E341B">
        <w:rPr>
          <w:rFonts w:asciiTheme="majorBidi" w:hAnsiTheme="majorBidi" w:cstheme="majorBidi"/>
          <w:color w:val="222222"/>
          <w:sz w:val="22"/>
          <w:szCs w:val="22"/>
          <w:shd w:val="clear" w:color="auto" w:fill="FFFFFF"/>
        </w:rPr>
        <w:t xml:space="preserve">Resource diversity of Chinese </w:t>
      </w:r>
      <w:proofErr w:type="spellStart"/>
      <w:r w:rsidRPr="007E341B">
        <w:rPr>
          <w:rFonts w:asciiTheme="majorBidi" w:hAnsiTheme="majorBidi" w:cstheme="majorBidi"/>
          <w:color w:val="222222"/>
          <w:sz w:val="22"/>
          <w:szCs w:val="22"/>
          <w:shd w:val="clear" w:color="auto" w:fill="FFFFFF"/>
        </w:rPr>
        <w:t>macrofungi</w:t>
      </w:r>
      <w:proofErr w:type="spellEnd"/>
      <w:r w:rsidRPr="007E341B">
        <w:rPr>
          <w:rFonts w:asciiTheme="majorBidi" w:hAnsiTheme="majorBidi" w:cstheme="majorBidi"/>
          <w:color w:val="222222"/>
          <w:sz w:val="22"/>
          <w:szCs w:val="22"/>
          <w:shd w:val="clear" w:color="auto" w:fill="FFFFFF"/>
        </w:rPr>
        <w:t xml:space="preserve">: Edible, medicinal and poisonous species. Fungal Diversity, 98(1), 1-76. </w:t>
      </w:r>
      <w:hyperlink r:id="rId52" w:history="1">
        <w:r w:rsidR="0058784B" w:rsidRPr="00A80C40">
          <w:rPr>
            <w:rStyle w:val="Hyperlink"/>
            <w:rFonts w:asciiTheme="majorBidi" w:eastAsia="Times New Roman" w:hAnsiTheme="majorBidi" w:cstheme="majorBidi"/>
            <w:sz w:val="22"/>
            <w:szCs w:val="22"/>
          </w:rPr>
          <w:t>https://doi.org/10.1007/s13225-019-00432-7</w:t>
        </w:r>
      </w:hyperlink>
      <w:r w:rsidR="0058784B">
        <w:rPr>
          <w:rFonts w:asciiTheme="majorBidi" w:eastAsia="Times New Roman" w:hAnsiTheme="majorBidi" w:cstheme="majorBidi"/>
          <w:sz w:val="22"/>
          <w:szCs w:val="22"/>
        </w:rPr>
        <w:t xml:space="preserve"> </w:t>
      </w:r>
    </w:p>
    <w:p w14:paraId="6D8C5CFA" w14:textId="5E6BCE1B"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Money, N.P. (2016). Fungal diversity. </w:t>
      </w:r>
      <w:r w:rsidRPr="007E341B">
        <w:rPr>
          <w:rFonts w:asciiTheme="majorBidi" w:eastAsia="Times New Roman" w:hAnsiTheme="majorBidi" w:cstheme="majorBidi"/>
          <w:b/>
          <w:bCs/>
          <w:sz w:val="22"/>
          <w:szCs w:val="22"/>
        </w:rPr>
        <w:t>In:</w:t>
      </w:r>
      <w:r w:rsidRPr="007E341B">
        <w:rPr>
          <w:rFonts w:asciiTheme="majorBidi" w:eastAsia="Times New Roman" w:hAnsiTheme="majorBidi" w:cstheme="majorBidi"/>
          <w:sz w:val="22"/>
          <w:szCs w:val="22"/>
        </w:rPr>
        <w:t> The fungi, Academic Press. Pp. 1-36.</w:t>
      </w:r>
      <w:r w:rsidR="00235EF3" w:rsidRPr="007E341B">
        <w:rPr>
          <w:rFonts w:asciiTheme="majorBidi" w:eastAsia="Times New Roman" w:hAnsiTheme="majorBidi" w:cstheme="majorBidi"/>
          <w:sz w:val="22"/>
          <w:szCs w:val="22"/>
        </w:rPr>
        <w:t xml:space="preserve"> </w:t>
      </w:r>
      <w:r w:rsidR="0058784B">
        <w:rPr>
          <w:rFonts w:asciiTheme="majorBidi" w:eastAsia="Times New Roman" w:hAnsiTheme="majorBidi" w:cstheme="majorBidi"/>
          <w:sz w:val="22"/>
          <w:szCs w:val="22"/>
        </w:rPr>
        <w:t xml:space="preserve">Web reference: </w:t>
      </w:r>
      <w:hyperlink r:id="rId53" w:history="1">
        <w:r w:rsidR="0058784B" w:rsidRPr="00A80C40">
          <w:rPr>
            <w:rStyle w:val="Hyperlink"/>
            <w:rFonts w:asciiTheme="majorBidi" w:eastAsia="Times New Roman" w:hAnsiTheme="majorBidi" w:cstheme="majorBidi"/>
            <w:sz w:val="22"/>
            <w:szCs w:val="22"/>
          </w:rPr>
          <w:t>www.fungi/watkinson/978-0-12-382034-1</w:t>
        </w:r>
      </w:hyperlink>
      <w:r w:rsidR="0058784B">
        <w:rPr>
          <w:rFonts w:asciiTheme="majorBidi" w:eastAsia="Times New Roman" w:hAnsiTheme="majorBidi" w:cstheme="majorBidi"/>
          <w:sz w:val="22"/>
          <w:szCs w:val="22"/>
        </w:rPr>
        <w:t xml:space="preserve">  </w:t>
      </w:r>
    </w:p>
    <w:p w14:paraId="3CD7D96F" w14:textId="1AF42538"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color w:val="222222"/>
          <w:sz w:val="22"/>
          <w:szCs w:val="22"/>
          <w:shd w:val="clear" w:color="auto" w:fill="FFFFFF"/>
        </w:rPr>
        <w:t xml:space="preserve">Tripathi, N.N., Singh, P., &amp; Vishwakarma, P. (2017). Biodiversity of </w:t>
      </w:r>
      <w:proofErr w:type="spellStart"/>
      <w:r w:rsidRPr="007E341B">
        <w:rPr>
          <w:rFonts w:asciiTheme="majorBidi" w:hAnsiTheme="majorBidi" w:cstheme="majorBidi"/>
          <w:color w:val="222222"/>
          <w:sz w:val="22"/>
          <w:szCs w:val="22"/>
          <w:shd w:val="clear" w:color="auto" w:fill="FFFFFF"/>
        </w:rPr>
        <w:t>macrofungi</w:t>
      </w:r>
      <w:proofErr w:type="spellEnd"/>
      <w:r w:rsidRPr="007E341B">
        <w:rPr>
          <w:rFonts w:asciiTheme="majorBidi" w:hAnsiTheme="majorBidi" w:cstheme="majorBidi"/>
          <w:color w:val="222222"/>
          <w:sz w:val="22"/>
          <w:szCs w:val="22"/>
          <w:shd w:val="clear" w:color="auto" w:fill="FFFFFF"/>
        </w:rPr>
        <w:t xml:space="preserve"> with special reference to edible forms: A review.  The Journal of Indian Botanical Society, (3&amp;4), 144-187.</w:t>
      </w:r>
      <w:r w:rsidR="0058784B">
        <w:rPr>
          <w:rFonts w:asciiTheme="majorBidi" w:hAnsiTheme="majorBidi" w:cstheme="majorBidi"/>
          <w:color w:val="222222"/>
          <w:sz w:val="22"/>
          <w:szCs w:val="22"/>
          <w:shd w:val="clear" w:color="auto" w:fill="FFFFFF"/>
        </w:rPr>
        <w:t xml:space="preserve"> </w:t>
      </w:r>
      <w:r w:rsidR="0058784B">
        <w:rPr>
          <w:rFonts w:asciiTheme="majorBidi" w:eastAsia="Times New Roman" w:hAnsiTheme="majorBidi" w:cstheme="majorBidi"/>
          <w:sz w:val="22"/>
          <w:szCs w:val="22"/>
        </w:rPr>
        <w:t>Web reference:</w:t>
      </w:r>
      <w:r w:rsidR="00235EF3" w:rsidRPr="007E341B">
        <w:rPr>
          <w:rFonts w:asciiTheme="majorBidi" w:eastAsia="Times New Roman" w:hAnsiTheme="majorBidi" w:cstheme="majorBidi"/>
          <w:sz w:val="22"/>
          <w:szCs w:val="22"/>
        </w:rPr>
        <w:t xml:space="preserve"> </w:t>
      </w:r>
      <w:hyperlink r:id="rId54" w:history="1">
        <w:r w:rsidR="0058784B" w:rsidRPr="00A80C40">
          <w:rPr>
            <w:rStyle w:val="Hyperlink"/>
            <w:rFonts w:asciiTheme="majorBidi" w:eastAsia="Times New Roman" w:hAnsiTheme="majorBidi" w:cstheme="majorBidi"/>
            <w:sz w:val="22"/>
            <w:szCs w:val="22"/>
          </w:rPr>
          <w:t>https://indianbotsoc.org</w:t>
        </w:r>
      </w:hyperlink>
    </w:p>
    <w:p w14:paraId="3FBD3F7B" w14:textId="508D8294"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proofErr w:type="spellStart"/>
      <w:r w:rsidRPr="007E341B">
        <w:rPr>
          <w:rFonts w:asciiTheme="majorBidi" w:eastAsia="Times New Roman" w:hAnsiTheme="majorBidi" w:cstheme="majorBidi"/>
          <w:sz w:val="22"/>
          <w:szCs w:val="22"/>
        </w:rPr>
        <w:t>Tekpinar</w:t>
      </w:r>
      <w:proofErr w:type="spellEnd"/>
      <w:r w:rsidRPr="007E341B">
        <w:rPr>
          <w:rFonts w:asciiTheme="majorBidi" w:eastAsia="Times New Roman" w:hAnsiTheme="majorBidi" w:cstheme="majorBidi"/>
          <w:sz w:val="22"/>
          <w:szCs w:val="22"/>
        </w:rPr>
        <w:t xml:space="preserve">, A.D., &amp; </w:t>
      </w:r>
      <w:proofErr w:type="spellStart"/>
      <w:r w:rsidRPr="007E341B">
        <w:rPr>
          <w:rFonts w:asciiTheme="majorBidi" w:eastAsia="Times New Roman" w:hAnsiTheme="majorBidi" w:cstheme="majorBidi"/>
          <w:sz w:val="22"/>
          <w:szCs w:val="22"/>
        </w:rPr>
        <w:t>Kalmer</w:t>
      </w:r>
      <w:proofErr w:type="spellEnd"/>
      <w:r w:rsidRPr="007E341B">
        <w:rPr>
          <w:rFonts w:asciiTheme="majorBidi" w:eastAsia="Times New Roman" w:hAnsiTheme="majorBidi" w:cstheme="majorBidi"/>
          <w:sz w:val="22"/>
          <w:szCs w:val="22"/>
        </w:rPr>
        <w:t xml:space="preserve">, A. (2019). Utility of various molecular markers in fungal identification and phylogeny. Nova </w:t>
      </w:r>
      <w:proofErr w:type="spellStart"/>
      <w:r w:rsidRPr="007E341B">
        <w:rPr>
          <w:rFonts w:asciiTheme="majorBidi" w:eastAsia="Times New Roman" w:hAnsiTheme="majorBidi" w:cstheme="majorBidi"/>
          <w:sz w:val="22"/>
          <w:szCs w:val="22"/>
        </w:rPr>
        <w:t>Hedwigia</w:t>
      </w:r>
      <w:proofErr w:type="spellEnd"/>
      <w:r w:rsidRPr="007E341B">
        <w:rPr>
          <w:rFonts w:asciiTheme="majorBidi" w:eastAsia="Times New Roman" w:hAnsiTheme="majorBidi" w:cstheme="majorBidi"/>
          <w:sz w:val="22"/>
          <w:szCs w:val="22"/>
        </w:rPr>
        <w:t>, 109(1-2), 187-224.</w:t>
      </w:r>
      <w:r w:rsidR="00235EF3" w:rsidRPr="007E341B">
        <w:rPr>
          <w:rFonts w:asciiTheme="majorBidi" w:eastAsia="Times New Roman" w:hAnsiTheme="majorBidi" w:cstheme="majorBidi"/>
          <w:sz w:val="22"/>
          <w:szCs w:val="22"/>
        </w:rPr>
        <w:t xml:space="preserve"> </w:t>
      </w:r>
      <w:hyperlink r:id="rId55" w:history="1">
        <w:r w:rsidR="0058784B" w:rsidRPr="00A80C40">
          <w:rPr>
            <w:rStyle w:val="Hyperlink"/>
            <w:rFonts w:asciiTheme="majorBidi" w:eastAsia="Times New Roman" w:hAnsiTheme="majorBidi" w:cstheme="majorBidi"/>
            <w:sz w:val="22"/>
            <w:szCs w:val="22"/>
          </w:rPr>
          <w:t>https://doi.org/10.1127/nova_hedwigia/2019/0528</w:t>
        </w:r>
      </w:hyperlink>
      <w:r w:rsidR="0058784B">
        <w:rPr>
          <w:rFonts w:asciiTheme="majorBidi" w:eastAsia="Times New Roman" w:hAnsiTheme="majorBidi" w:cstheme="majorBidi"/>
          <w:sz w:val="22"/>
          <w:szCs w:val="22"/>
        </w:rPr>
        <w:t xml:space="preserve"> </w:t>
      </w:r>
    </w:p>
    <w:p w14:paraId="5A392873" w14:textId="4AAE74F6"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Tang, A.M., Jeewon, R., &amp; Hyde, K.D. (2007). Phylogenetic utility of protein (RPB2, β-tubulin) and ribosomal (LSU, SSU) gene sequences in the systematics of </w:t>
      </w:r>
      <w:proofErr w:type="spellStart"/>
      <w:r w:rsidRPr="007E341B">
        <w:rPr>
          <w:rFonts w:asciiTheme="majorBidi" w:eastAsia="Times New Roman" w:hAnsiTheme="majorBidi" w:cstheme="majorBidi"/>
          <w:sz w:val="22"/>
          <w:szCs w:val="22"/>
        </w:rPr>
        <w:t>Sordariomycetes</w:t>
      </w:r>
      <w:proofErr w:type="spellEnd"/>
      <w:r w:rsidRPr="007E341B">
        <w:rPr>
          <w:rFonts w:asciiTheme="majorBidi" w:eastAsia="Times New Roman" w:hAnsiTheme="majorBidi" w:cstheme="majorBidi"/>
          <w:sz w:val="22"/>
          <w:szCs w:val="22"/>
        </w:rPr>
        <w:t xml:space="preserve"> </w:t>
      </w:r>
      <w:r w:rsidRPr="007E341B">
        <w:rPr>
          <w:rFonts w:asciiTheme="majorBidi" w:eastAsia="Times New Roman" w:hAnsiTheme="majorBidi" w:cstheme="majorBidi"/>
          <w:sz w:val="22"/>
          <w:szCs w:val="22"/>
        </w:rPr>
        <w:lastRenderedPageBreak/>
        <w:t>(Ascomycota, Fungi). </w:t>
      </w:r>
      <w:proofErr w:type="spellStart"/>
      <w:r w:rsidRPr="007E341B">
        <w:rPr>
          <w:rFonts w:asciiTheme="majorBidi" w:eastAsia="Times New Roman" w:hAnsiTheme="majorBidi" w:cstheme="majorBidi"/>
          <w:sz w:val="22"/>
          <w:szCs w:val="22"/>
        </w:rPr>
        <w:t>Antonie</w:t>
      </w:r>
      <w:proofErr w:type="spellEnd"/>
      <w:r w:rsidRPr="007E341B">
        <w:rPr>
          <w:rFonts w:asciiTheme="majorBidi" w:eastAsia="Times New Roman" w:hAnsiTheme="majorBidi" w:cstheme="majorBidi"/>
          <w:sz w:val="22"/>
          <w:szCs w:val="22"/>
        </w:rPr>
        <w:t xml:space="preserve"> van Leeuwenhoek, 91(4), 327-349.</w:t>
      </w:r>
      <w:r w:rsidR="00235EF3" w:rsidRPr="007E341B">
        <w:rPr>
          <w:rFonts w:asciiTheme="majorBidi" w:eastAsia="Times New Roman" w:hAnsiTheme="majorBidi" w:cstheme="majorBidi"/>
          <w:sz w:val="22"/>
          <w:szCs w:val="22"/>
        </w:rPr>
        <w:t xml:space="preserve"> </w:t>
      </w:r>
      <w:hyperlink r:id="rId56" w:history="1">
        <w:r w:rsidR="0058784B" w:rsidRPr="00A80C40">
          <w:rPr>
            <w:rStyle w:val="Hyperlink"/>
            <w:rFonts w:asciiTheme="majorBidi" w:eastAsia="Times New Roman" w:hAnsiTheme="majorBidi" w:cstheme="majorBidi"/>
            <w:sz w:val="22"/>
            <w:szCs w:val="22"/>
          </w:rPr>
          <w:t>https://doi.org/10.1007/s10482-006-9120-8</w:t>
        </w:r>
      </w:hyperlink>
      <w:r w:rsidR="0058784B">
        <w:rPr>
          <w:rFonts w:asciiTheme="majorBidi" w:eastAsia="Times New Roman" w:hAnsiTheme="majorBidi" w:cstheme="majorBidi"/>
          <w:sz w:val="22"/>
          <w:szCs w:val="22"/>
        </w:rPr>
        <w:t xml:space="preserve"> </w:t>
      </w:r>
    </w:p>
    <w:p w14:paraId="5DD1AAA7" w14:textId="094F3BDE"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Patwardhan, A., Ray, S., &amp; Roy, A. (2014). Molecular markers in phylogenetic studies-A review. Journal of Phylogenetics &amp; Evolutionary Biology, 2(2), 131.</w:t>
      </w:r>
      <w:r w:rsidR="00235EF3" w:rsidRPr="007E341B">
        <w:rPr>
          <w:rFonts w:asciiTheme="majorBidi" w:eastAsia="Times New Roman" w:hAnsiTheme="majorBidi" w:cstheme="majorBidi"/>
          <w:sz w:val="22"/>
          <w:szCs w:val="22"/>
        </w:rPr>
        <w:t xml:space="preserve"> </w:t>
      </w:r>
      <w:hyperlink r:id="rId57" w:history="1">
        <w:r w:rsidR="0058784B" w:rsidRPr="00A80C40">
          <w:rPr>
            <w:rStyle w:val="Hyperlink"/>
            <w:rFonts w:asciiTheme="majorBidi" w:eastAsia="Times New Roman" w:hAnsiTheme="majorBidi" w:cstheme="majorBidi"/>
            <w:sz w:val="22"/>
            <w:szCs w:val="22"/>
          </w:rPr>
          <w:t>https://doi.org/10.4172/2329-9002.1000131</w:t>
        </w:r>
      </w:hyperlink>
      <w:r w:rsidR="0058784B">
        <w:rPr>
          <w:rFonts w:asciiTheme="majorBidi" w:eastAsia="Times New Roman" w:hAnsiTheme="majorBidi" w:cstheme="majorBidi"/>
          <w:sz w:val="22"/>
          <w:szCs w:val="22"/>
        </w:rPr>
        <w:t xml:space="preserve"> </w:t>
      </w:r>
    </w:p>
    <w:p w14:paraId="4F8CB191" w14:textId="4C9566D4"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Schoch, C.L., Seifert, K. A., </w:t>
      </w:r>
      <w:proofErr w:type="spellStart"/>
      <w:r w:rsidRPr="007E341B">
        <w:rPr>
          <w:rFonts w:asciiTheme="majorBidi" w:eastAsia="Times New Roman" w:hAnsiTheme="majorBidi" w:cstheme="majorBidi"/>
          <w:sz w:val="22"/>
          <w:szCs w:val="22"/>
        </w:rPr>
        <w:t>Huhndorf</w:t>
      </w:r>
      <w:proofErr w:type="spellEnd"/>
      <w:r w:rsidRPr="007E341B">
        <w:rPr>
          <w:rFonts w:asciiTheme="majorBidi" w:eastAsia="Times New Roman" w:hAnsiTheme="majorBidi" w:cstheme="majorBidi"/>
          <w:sz w:val="22"/>
          <w:szCs w:val="22"/>
        </w:rPr>
        <w:t>, S., Robert, V., Spouge, J.L., Levesque, C.A., &amp; White, M.M. (2012). Nuclear ribosomal internal transcribed spacer (ITS) region as a universal DNA barcode marker for Fungi. Proceedings of the National Academy of Sciences, 109(16), 6241-6246.</w:t>
      </w:r>
      <w:r w:rsidR="00235EF3" w:rsidRPr="007E341B">
        <w:rPr>
          <w:rFonts w:asciiTheme="majorBidi" w:eastAsia="Times New Roman" w:hAnsiTheme="majorBidi" w:cstheme="majorBidi"/>
          <w:sz w:val="22"/>
          <w:szCs w:val="22"/>
        </w:rPr>
        <w:t xml:space="preserve"> </w:t>
      </w:r>
      <w:hyperlink r:id="rId58" w:history="1">
        <w:r w:rsidR="0058784B" w:rsidRPr="00A80C40">
          <w:rPr>
            <w:rStyle w:val="Hyperlink"/>
            <w:rFonts w:asciiTheme="majorBidi" w:eastAsia="Times New Roman" w:hAnsiTheme="majorBidi" w:cstheme="majorBidi"/>
            <w:sz w:val="22"/>
            <w:szCs w:val="22"/>
          </w:rPr>
          <w:t>https://doi.org/10.1073/pnas.1117018109</w:t>
        </w:r>
      </w:hyperlink>
      <w:r w:rsidR="0058784B">
        <w:rPr>
          <w:rFonts w:asciiTheme="majorBidi" w:eastAsia="Times New Roman" w:hAnsiTheme="majorBidi" w:cstheme="majorBidi"/>
          <w:sz w:val="22"/>
          <w:szCs w:val="22"/>
        </w:rPr>
        <w:t xml:space="preserve"> </w:t>
      </w:r>
    </w:p>
    <w:p w14:paraId="6384ECE7" w14:textId="07B297E0"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Thakur, P., Khanal, S., </w:t>
      </w:r>
      <w:proofErr w:type="spellStart"/>
      <w:r w:rsidRPr="007E341B">
        <w:rPr>
          <w:rFonts w:asciiTheme="majorBidi" w:eastAsia="Times New Roman" w:hAnsiTheme="majorBidi" w:cstheme="majorBidi"/>
          <w:sz w:val="22"/>
          <w:szCs w:val="22"/>
        </w:rPr>
        <w:t>Tapwal</w:t>
      </w:r>
      <w:proofErr w:type="spellEnd"/>
      <w:r w:rsidRPr="007E341B">
        <w:rPr>
          <w:rFonts w:asciiTheme="majorBidi" w:eastAsia="Times New Roman" w:hAnsiTheme="majorBidi" w:cstheme="majorBidi"/>
          <w:sz w:val="22"/>
          <w:szCs w:val="22"/>
        </w:rPr>
        <w:t xml:space="preserve">, A., Kumar, D., Verma, R., Chauhan, P., &amp; Sharma, N. (2024). Exploring </w:t>
      </w:r>
      <w:r w:rsidRPr="007E341B">
        <w:rPr>
          <w:rFonts w:asciiTheme="majorBidi" w:eastAsia="Times New Roman" w:hAnsiTheme="majorBidi" w:cstheme="majorBidi"/>
          <w:i/>
          <w:iCs/>
          <w:sz w:val="22"/>
          <w:szCs w:val="22"/>
        </w:rPr>
        <w:t>Ganoderma lucidum</w:t>
      </w:r>
      <w:r w:rsidRPr="007E341B">
        <w:rPr>
          <w:rFonts w:asciiTheme="majorBidi" w:eastAsia="Times New Roman" w:hAnsiTheme="majorBidi" w:cstheme="majorBidi"/>
          <w:sz w:val="22"/>
          <w:szCs w:val="22"/>
        </w:rPr>
        <w:t>: morphology, cultivation and market potential. World Journal of Microbiology and Biotechnology, 40(11), 369.</w:t>
      </w:r>
      <w:r w:rsidR="00235EF3" w:rsidRPr="007E341B">
        <w:rPr>
          <w:rFonts w:asciiTheme="majorBidi" w:eastAsia="Times New Roman" w:hAnsiTheme="majorBidi" w:cstheme="majorBidi"/>
          <w:sz w:val="22"/>
          <w:szCs w:val="22"/>
        </w:rPr>
        <w:t xml:space="preserve"> </w:t>
      </w:r>
      <w:hyperlink r:id="rId59" w:history="1">
        <w:r w:rsidR="0058784B" w:rsidRPr="00A80C40">
          <w:rPr>
            <w:rStyle w:val="Hyperlink"/>
            <w:rFonts w:asciiTheme="majorBidi" w:eastAsia="Times New Roman" w:hAnsiTheme="majorBidi" w:cstheme="majorBidi"/>
            <w:sz w:val="22"/>
            <w:szCs w:val="22"/>
          </w:rPr>
          <w:t>https://doi.org/10.1007/s11274-024-04180-y</w:t>
        </w:r>
      </w:hyperlink>
      <w:r w:rsidR="0058784B">
        <w:rPr>
          <w:rFonts w:asciiTheme="majorBidi" w:eastAsia="Times New Roman" w:hAnsiTheme="majorBidi" w:cstheme="majorBidi"/>
          <w:sz w:val="22"/>
          <w:szCs w:val="22"/>
        </w:rPr>
        <w:t xml:space="preserve"> </w:t>
      </w:r>
    </w:p>
    <w:p w14:paraId="7D8142F7" w14:textId="7F612B63"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Kumari, A., </w:t>
      </w:r>
      <w:proofErr w:type="spellStart"/>
      <w:r w:rsidRPr="007E341B">
        <w:rPr>
          <w:rFonts w:asciiTheme="majorBidi" w:eastAsia="Times New Roman" w:hAnsiTheme="majorBidi" w:cstheme="majorBidi"/>
          <w:sz w:val="22"/>
          <w:szCs w:val="22"/>
        </w:rPr>
        <w:t>Tapwal</w:t>
      </w:r>
      <w:proofErr w:type="spellEnd"/>
      <w:r w:rsidRPr="007E341B">
        <w:rPr>
          <w:rFonts w:asciiTheme="majorBidi" w:eastAsia="Times New Roman" w:hAnsiTheme="majorBidi" w:cstheme="majorBidi"/>
          <w:sz w:val="22"/>
          <w:szCs w:val="22"/>
        </w:rPr>
        <w:t xml:space="preserve">, A., &amp; Thakur, N. (2024). </w:t>
      </w:r>
      <w:r w:rsidRPr="007E341B">
        <w:rPr>
          <w:rFonts w:asciiTheme="majorBidi" w:eastAsia="Times New Roman" w:hAnsiTheme="majorBidi" w:cstheme="majorBidi"/>
          <w:i/>
          <w:iCs/>
          <w:sz w:val="22"/>
          <w:szCs w:val="22"/>
        </w:rPr>
        <w:t>Ganoderma lucidum</w:t>
      </w:r>
      <w:r w:rsidRPr="007E341B">
        <w:rPr>
          <w:rFonts w:asciiTheme="majorBidi" w:eastAsia="Times New Roman" w:hAnsiTheme="majorBidi" w:cstheme="majorBidi"/>
          <w:sz w:val="22"/>
          <w:szCs w:val="22"/>
        </w:rPr>
        <w:t>: Insights on host range, diagnosis, and management strategies. Journal of Basic Microbiology, 64(7), e2300769.</w:t>
      </w:r>
      <w:r w:rsidR="00235EF3" w:rsidRPr="007E341B">
        <w:rPr>
          <w:rFonts w:asciiTheme="majorBidi" w:eastAsia="Times New Roman" w:hAnsiTheme="majorBidi" w:cstheme="majorBidi"/>
          <w:sz w:val="22"/>
          <w:szCs w:val="22"/>
        </w:rPr>
        <w:t xml:space="preserve"> </w:t>
      </w:r>
      <w:hyperlink r:id="rId60" w:history="1">
        <w:r w:rsidR="0058784B" w:rsidRPr="00A80C40">
          <w:rPr>
            <w:rStyle w:val="Hyperlink"/>
            <w:rFonts w:asciiTheme="majorBidi" w:eastAsia="Times New Roman" w:hAnsiTheme="majorBidi" w:cstheme="majorBidi"/>
            <w:sz w:val="22"/>
            <w:szCs w:val="22"/>
          </w:rPr>
          <w:t>https://doi.org/10.1002/jobm.202300769</w:t>
        </w:r>
      </w:hyperlink>
      <w:r w:rsidR="0058784B">
        <w:rPr>
          <w:rFonts w:asciiTheme="majorBidi" w:eastAsia="Times New Roman" w:hAnsiTheme="majorBidi" w:cstheme="majorBidi"/>
          <w:sz w:val="22"/>
          <w:szCs w:val="22"/>
        </w:rPr>
        <w:t xml:space="preserve"> </w:t>
      </w:r>
    </w:p>
    <w:p w14:paraId="62F2F0E5" w14:textId="031DA510"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Pinna, S., </w:t>
      </w:r>
      <w:proofErr w:type="spellStart"/>
      <w:r w:rsidRPr="007E341B">
        <w:rPr>
          <w:rFonts w:asciiTheme="majorBidi" w:eastAsia="Times New Roman" w:hAnsiTheme="majorBidi" w:cstheme="majorBidi"/>
          <w:sz w:val="22"/>
          <w:szCs w:val="22"/>
        </w:rPr>
        <w:t>Gévry</w:t>
      </w:r>
      <w:proofErr w:type="spellEnd"/>
      <w:r w:rsidRPr="007E341B">
        <w:rPr>
          <w:rFonts w:asciiTheme="majorBidi" w:eastAsia="Times New Roman" w:hAnsiTheme="majorBidi" w:cstheme="majorBidi"/>
          <w:sz w:val="22"/>
          <w:szCs w:val="22"/>
        </w:rPr>
        <w:t>, M. F., Côté, M., &amp; Sirois, L. (2010). Factors influencing fructification phenology of edible mushrooms in a boreal mixed forest of Eastern Canada. Forest Ecology and Management, 260(3), 294-301.</w:t>
      </w:r>
      <w:r w:rsidR="00235EF3" w:rsidRPr="007E341B">
        <w:rPr>
          <w:rFonts w:asciiTheme="majorBidi" w:eastAsia="Times New Roman" w:hAnsiTheme="majorBidi" w:cstheme="majorBidi"/>
          <w:sz w:val="22"/>
          <w:szCs w:val="22"/>
        </w:rPr>
        <w:t xml:space="preserve"> </w:t>
      </w:r>
      <w:hyperlink r:id="rId61" w:history="1">
        <w:r w:rsidR="0058784B" w:rsidRPr="00A80C40">
          <w:rPr>
            <w:rStyle w:val="Hyperlink"/>
            <w:rFonts w:asciiTheme="majorBidi" w:eastAsia="Times New Roman" w:hAnsiTheme="majorBidi" w:cstheme="majorBidi"/>
            <w:sz w:val="22"/>
            <w:szCs w:val="22"/>
          </w:rPr>
          <w:t>https://doi.org/10.1016/j.foreco.2010.04.024</w:t>
        </w:r>
      </w:hyperlink>
      <w:r w:rsidR="0058784B">
        <w:rPr>
          <w:rFonts w:asciiTheme="majorBidi" w:eastAsia="Times New Roman" w:hAnsiTheme="majorBidi" w:cstheme="majorBidi"/>
          <w:sz w:val="22"/>
          <w:szCs w:val="22"/>
        </w:rPr>
        <w:t xml:space="preserve"> </w:t>
      </w:r>
    </w:p>
    <w:p w14:paraId="1D106213" w14:textId="4948B932"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hAnsiTheme="majorBidi" w:cstheme="majorBidi"/>
          <w:sz w:val="22"/>
          <w:szCs w:val="22"/>
        </w:rPr>
        <w:t xml:space="preserve">Aditya., Kumar, R., Neeraj. (2025). Emerging role of artificial intelligence and big data in driving sustainable growth in the global food industry. </w:t>
      </w:r>
      <w:r w:rsidRPr="007E341B">
        <w:rPr>
          <w:rFonts w:asciiTheme="majorBidi" w:hAnsiTheme="majorBidi" w:cstheme="majorBidi"/>
          <w:color w:val="000000"/>
          <w:sz w:val="22"/>
          <w:szCs w:val="22"/>
        </w:rPr>
        <w:t xml:space="preserve">Food and Feed Research, Online First. </w:t>
      </w:r>
      <w:hyperlink r:id="rId62" w:history="1">
        <w:r w:rsidR="0058784B" w:rsidRPr="00A80C40">
          <w:rPr>
            <w:rStyle w:val="Hyperlink"/>
            <w:rFonts w:asciiTheme="majorBidi" w:eastAsia="Times New Roman" w:hAnsiTheme="majorBidi" w:cstheme="majorBidi"/>
            <w:sz w:val="22"/>
            <w:szCs w:val="22"/>
          </w:rPr>
          <w:t>https://doi.org/10.5937/ffr0-58161</w:t>
        </w:r>
      </w:hyperlink>
      <w:r w:rsidR="0058784B">
        <w:rPr>
          <w:rFonts w:asciiTheme="majorBidi" w:eastAsia="Times New Roman" w:hAnsiTheme="majorBidi" w:cstheme="majorBidi"/>
          <w:sz w:val="22"/>
          <w:szCs w:val="22"/>
        </w:rPr>
        <w:t xml:space="preserve"> </w:t>
      </w:r>
    </w:p>
    <w:p w14:paraId="188F476D" w14:textId="0B4E7460" w:rsidR="00235AF1" w:rsidRPr="007E341B" w:rsidRDefault="00182E67">
      <w:pPr>
        <w:pStyle w:val="ListParagraph"/>
        <w:numPr>
          <w:ilvl w:val="0"/>
          <w:numId w:val="3"/>
        </w:numPr>
        <w:spacing w:after="0"/>
        <w:jc w:val="both"/>
        <w:outlineLvl w:val="1"/>
        <w:rPr>
          <w:rFonts w:asciiTheme="majorBidi" w:eastAsia="Times New Roman" w:hAnsiTheme="majorBidi" w:cstheme="majorBidi"/>
          <w:sz w:val="22"/>
          <w:szCs w:val="22"/>
        </w:rPr>
      </w:pPr>
      <w:r w:rsidRPr="007E341B">
        <w:rPr>
          <w:rFonts w:asciiTheme="majorBidi" w:eastAsia="Times New Roman" w:hAnsiTheme="majorBidi" w:cstheme="majorBidi"/>
          <w:sz w:val="22"/>
          <w:szCs w:val="22"/>
        </w:rPr>
        <w:t xml:space="preserve">Fung, E., Imbach, P., Corrales, L., Vilchez, S., Zamora, N., </w:t>
      </w:r>
      <w:proofErr w:type="spellStart"/>
      <w:r w:rsidRPr="007E341B">
        <w:rPr>
          <w:rFonts w:asciiTheme="majorBidi" w:eastAsia="Times New Roman" w:hAnsiTheme="majorBidi" w:cstheme="majorBidi"/>
          <w:sz w:val="22"/>
          <w:szCs w:val="22"/>
        </w:rPr>
        <w:t>Argotty</w:t>
      </w:r>
      <w:proofErr w:type="spellEnd"/>
      <w:r w:rsidRPr="007E341B">
        <w:rPr>
          <w:rFonts w:asciiTheme="majorBidi" w:eastAsia="Times New Roman" w:hAnsiTheme="majorBidi" w:cstheme="majorBidi"/>
          <w:sz w:val="22"/>
          <w:szCs w:val="22"/>
        </w:rPr>
        <w:t>, F., &amp; Ramos, Z. (2017). Mapping conservation priorities and connectivity pathways under climate change for tropical ecosystems. Climatic Change, 141(1), 77-92.</w:t>
      </w:r>
      <w:r w:rsidR="00235EF3" w:rsidRPr="007E341B">
        <w:rPr>
          <w:rFonts w:asciiTheme="majorBidi" w:eastAsia="Times New Roman" w:hAnsiTheme="majorBidi" w:cstheme="majorBidi"/>
          <w:sz w:val="22"/>
          <w:szCs w:val="22"/>
        </w:rPr>
        <w:t xml:space="preserve"> </w:t>
      </w:r>
      <w:hyperlink r:id="rId63" w:history="1">
        <w:r w:rsidR="0058784B" w:rsidRPr="00A80C40">
          <w:rPr>
            <w:rStyle w:val="Hyperlink"/>
            <w:rFonts w:asciiTheme="majorBidi" w:eastAsia="Times New Roman" w:hAnsiTheme="majorBidi" w:cstheme="majorBidi"/>
            <w:sz w:val="22"/>
            <w:szCs w:val="22"/>
          </w:rPr>
          <w:t>https://doi.org/10.1007/s10584-016-1789-8</w:t>
        </w:r>
      </w:hyperlink>
      <w:r w:rsidR="0058784B">
        <w:rPr>
          <w:rFonts w:asciiTheme="majorBidi" w:eastAsia="Times New Roman" w:hAnsiTheme="majorBidi" w:cstheme="majorBidi"/>
          <w:sz w:val="22"/>
          <w:szCs w:val="22"/>
        </w:rPr>
        <w:t xml:space="preserve"> </w:t>
      </w:r>
    </w:p>
    <w:p w14:paraId="4BB3CFE1" w14:textId="0356BFD5"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color w:val="222222"/>
          <w:sz w:val="22"/>
          <w:szCs w:val="22"/>
          <w:shd w:val="clear" w:color="auto" w:fill="FFFFFF"/>
          <w:lang w:val="nn-NO"/>
        </w:rPr>
        <w:t xml:space="preserve">Khatiwada, H., Adhikari, H.S., &amp; Neupane, A. (2025). </w:t>
      </w:r>
      <w:r w:rsidRPr="007E341B">
        <w:rPr>
          <w:rFonts w:asciiTheme="majorBidi" w:hAnsiTheme="majorBidi" w:cstheme="majorBidi"/>
          <w:color w:val="222222"/>
          <w:sz w:val="22"/>
          <w:szCs w:val="22"/>
          <w:shd w:val="clear" w:color="auto" w:fill="FFFFFF"/>
        </w:rPr>
        <w:t xml:space="preserve">Exploring overlooked farm forest treasures: Unveiling macrofungal diversity of eastern Nepal. Mushroom Research, 33(2), 103-118. </w:t>
      </w:r>
      <w:hyperlink r:id="rId64" w:history="1">
        <w:r w:rsidR="0058784B" w:rsidRPr="00A80C40">
          <w:rPr>
            <w:rStyle w:val="Hyperlink"/>
            <w:rFonts w:asciiTheme="majorBidi" w:eastAsia="Times New Roman" w:hAnsiTheme="majorBidi" w:cstheme="majorBidi"/>
            <w:sz w:val="22"/>
            <w:szCs w:val="22"/>
          </w:rPr>
          <w:t>https://doi.org/10.36036/MR.33.2.2024.161570</w:t>
        </w:r>
      </w:hyperlink>
      <w:r w:rsidR="0058784B">
        <w:rPr>
          <w:rFonts w:asciiTheme="majorBidi" w:eastAsia="Times New Roman" w:hAnsiTheme="majorBidi" w:cstheme="majorBidi"/>
          <w:sz w:val="22"/>
          <w:szCs w:val="22"/>
        </w:rPr>
        <w:t xml:space="preserve"> </w:t>
      </w:r>
    </w:p>
    <w:p w14:paraId="4C3AB5D1" w14:textId="2062A0CA"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color w:val="222222"/>
          <w:sz w:val="22"/>
          <w:szCs w:val="22"/>
          <w:shd w:val="clear" w:color="auto" w:fill="FFFFFF"/>
        </w:rPr>
        <w:t xml:space="preserve">Sileshi, G. W., </w:t>
      </w:r>
      <w:proofErr w:type="spellStart"/>
      <w:r w:rsidRPr="007E341B">
        <w:rPr>
          <w:rFonts w:asciiTheme="majorBidi" w:hAnsiTheme="majorBidi" w:cstheme="majorBidi"/>
          <w:color w:val="222222"/>
          <w:sz w:val="22"/>
          <w:szCs w:val="22"/>
          <w:shd w:val="clear" w:color="auto" w:fill="FFFFFF"/>
        </w:rPr>
        <w:t>Tibuhwa</w:t>
      </w:r>
      <w:proofErr w:type="spellEnd"/>
      <w:r w:rsidRPr="007E341B">
        <w:rPr>
          <w:rFonts w:asciiTheme="majorBidi" w:hAnsiTheme="majorBidi" w:cstheme="majorBidi"/>
          <w:color w:val="222222"/>
          <w:sz w:val="22"/>
          <w:szCs w:val="22"/>
          <w:shd w:val="clear" w:color="auto" w:fill="FFFFFF"/>
        </w:rPr>
        <w:t>, D.D., &amp; Mlambo, A. (2023). Underutilized wild edible fungi and their undervalued ecosystem services in Africa. CABI Agriculture and Bioscience, 4(1), 1-20.</w:t>
      </w:r>
      <w:r w:rsidR="00235EF3" w:rsidRPr="007E341B">
        <w:rPr>
          <w:rFonts w:asciiTheme="majorBidi" w:eastAsia="Times New Roman" w:hAnsiTheme="majorBidi" w:cstheme="majorBidi"/>
          <w:sz w:val="22"/>
          <w:szCs w:val="22"/>
        </w:rPr>
        <w:t xml:space="preserve"> </w:t>
      </w:r>
      <w:hyperlink r:id="rId65" w:history="1">
        <w:r w:rsidR="0058784B" w:rsidRPr="00A80C40">
          <w:rPr>
            <w:rStyle w:val="Hyperlink"/>
            <w:rFonts w:asciiTheme="majorBidi" w:eastAsia="Times New Roman" w:hAnsiTheme="majorBidi" w:cstheme="majorBidi"/>
            <w:sz w:val="22"/>
            <w:szCs w:val="22"/>
          </w:rPr>
          <w:t>https://doi.org/10.1186/s43170-023-00145-7</w:t>
        </w:r>
      </w:hyperlink>
      <w:r w:rsidR="0058784B">
        <w:rPr>
          <w:rFonts w:asciiTheme="majorBidi" w:eastAsia="Times New Roman" w:hAnsiTheme="majorBidi" w:cstheme="majorBidi"/>
          <w:sz w:val="22"/>
          <w:szCs w:val="22"/>
        </w:rPr>
        <w:t xml:space="preserve"> </w:t>
      </w:r>
    </w:p>
    <w:p w14:paraId="035DECEB" w14:textId="7B3AF519"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proofErr w:type="spellStart"/>
      <w:r w:rsidRPr="007E341B">
        <w:rPr>
          <w:rFonts w:asciiTheme="majorBidi" w:eastAsia="Times New Roman" w:hAnsiTheme="majorBidi" w:cstheme="majorBidi"/>
          <w:sz w:val="22"/>
          <w:szCs w:val="22"/>
          <w:lang w:eastAsia="en-IN"/>
        </w:rPr>
        <w:t>Ablegue</w:t>
      </w:r>
      <w:proofErr w:type="spellEnd"/>
      <w:r w:rsidRPr="007E341B">
        <w:rPr>
          <w:rFonts w:asciiTheme="majorBidi" w:eastAsia="Times New Roman" w:hAnsiTheme="majorBidi" w:cstheme="majorBidi"/>
          <w:sz w:val="22"/>
          <w:szCs w:val="22"/>
          <w:lang w:eastAsia="en-IN"/>
        </w:rPr>
        <w:t xml:space="preserve">, A.G.M.D., Zhang, M., Guo, Q., &amp; Rui, L. (2025). Monitoring and shelf-life extension of food products based on machine learning and deep learning: Progress and potential applications. Food Reviews International, 2025, 1-26. </w:t>
      </w:r>
      <w:hyperlink r:id="rId66" w:history="1">
        <w:r w:rsidR="0058784B" w:rsidRPr="00A80C40">
          <w:rPr>
            <w:rStyle w:val="Hyperlink"/>
            <w:rFonts w:asciiTheme="majorBidi" w:eastAsia="Times New Roman" w:hAnsiTheme="majorBidi" w:cstheme="majorBidi"/>
            <w:sz w:val="22"/>
            <w:szCs w:val="22"/>
          </w:rPr>
          <w:t>https://doi.org/10.1080/87559129.2025.2541856</w:t>
        </w:r>
      </w:hyperlink>
      <w:r w:rsidR="0058784B">
        <w:rPr>
          <w:rFonts w:asciiTheme="majorBidi" w:eastAsia="Times New Roman" w:hAnsiTheme="majorBidi" w:cstheme="majorBidi"/>
          <w:sz w:val="22"/>
          <w:szCs w:val="22"/>
        </w:rPr>
        <w:t xml:space="preserve"> </w:t>
      </w:r>
    </w:p>
    <w:p w14:paraId="4556AC9E" w14:textId="0112A081"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Li, C., &amp; Xu, S. (2022). Edible mushroom industry: Current state and perspectives. Applied microbiology and biotechnology, 106(11), 3949-3955.</w:t>
      </w:r>
      <w:r w:rsidR="00235EF3" w:rsidRPr="007E341B">
        <w:rPr>
          <w:rFonts w:asciiTheme="majorBidi" w:eastAsia="Times New Roman" w:hAnsiTheme="majorBidi" w:cstheme="majorBidi"/>
          <w:sz w:val="22"/>
          <w:szCs w:val="22"/>
        </w:rPr>
        <w:t xml:space="preserve"> </w:t>
      </w:r>
      <w:hyperlink r:id="rId67" w:history="1">
        <w:r w:rsidR="0058784B" w:rsidRPr="00A80C40">
          <w:rPr>
            <w:rStyle w:val="Hyperlink"/>
            <w:rFonts w:asciiTheme="majorBidi" w:eastAsia="Times New Roman" w:hAnsiTheme="majorBidi" w:cstheme="majorBidi"/>
            <w:sz w:val="22"/>
            <w:szCs w:val="22"/>
          </w:rPr>
          <w:t>https://doi.org/10.1007/s00253-022-11985-0</w:t>
        </w:r>
      </w:hyperlink>
      <w:r w:rsidR="0058784B">
        <w:rPr>
          <w:rFonts w:asciiTheme="majorBidi" w:eastAsia="Times New Roman" w:hAnsiTheme="majorBidi" w:cstheme="majorBidi"/>
          <w:sz w:val="22"/>
          <w:szCs w:val="22"/>
        </w:rPr>
        <w:t xml:space="preserve"> </w:t>
      </w:r>
    </w:p>
    <w:p w14:paraId="2928FA8C" w14:textId="5A8B89A7"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color w:val="222222"/>
          <w:sz w:val="22"/>
          <w:szCs w:val="22"/>
          <w:shd w:val="clear" w:color="auto" w:fill="FFFFFF"/>
        </w:rPr>
        <w:t xml:space="preserve">Mlambo, A., &amp; Maphosa, M. (2022). Mycorrhizal and non-mycorrhizal mushroom cultivation-constraints and opportunities for Sub-Saharan Africa. Cogent Food &amp; Agriculture, 8(1), 2147486. </w:t>
      </w:r>
      <w:hyperlink r:id="rId68" w:history="1">
        <w:r w:rsidR="0058784B" w:rsidRPr="00A80C40">
          <w:rPr>
            <w:rStyle w:val="Hyperlink"/>
            <w:rFonts w:asciiTheme="majorBidi" w:eastAsia="Times New Roman" w:hAnsiTheme="majorBidi" w:cstheme="majorBidi"/>
            <w:sz w:val="22"/>
            <w:szCs w:val="22"/>
          </w:rPr>
          <w:t>https://doi.org/10.1080/23311932.2022.2147486</w:t>
        </w:r>
      </w:hyperlink>
      <w:r w:rsidR="0058784B">
        <w:rPr>
          <w:rFonts w:asciiTheme="majorBidi" w:eastAsia="Times New Roman" w:hAnsiTheme="majorBidi" w:cstheme="majorBidi"/>
          <w:sz w:val="22"/>
          <w:szCs w:val="22"/>
        </w:rPr>
        <w:t xml:space="preserve"> </w:t>
      </w:r>
    </w:p>
    <w:p w14:paraId="24209BD6" w14:textId="0E436723"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color w:val="222222"/>
          <w:sz w:val="22"/>
          <w:szCs w:val="22"/>
          <w:shd w:val="clear" w:color="auto" w:fill="FFFFFF"/>
          <w:lang w:val="nn-NO"/>
        </w:rPr>
        <w:t xml:space="preserve">Pérez-Moreno, J., Mortimer, P. E., Xu, J., Karunarathna, S.C., &amp; Li, H. (2021). </w:t>
      </w:r>
      <w:r w:rsidRPr="007E341B">
        <w:rPr>
          <w:rFonts w:asciiTheme="majorBidi" w:hAnsiTheme="majorBidi" w:cstheme="majorBidi"/>
          <w:color w:val="222222"/>
          <w:sz w:val="22"/>
          <w:szCs w:val="22"/>
          <w:shd w:val="clear" w:color="auto" w:fill="FFFFFF"/>
        </w:rPr>
        <w:t>Global perspectives on the ecological, cultural and socioeconomic relevance of wild edible fungi. Studies in Fungi, 6(1), 408-424.</w:t>
      </w:r>
      <w:r w:rsidR="00235EF3" w:rsidRPr="007E341B">
        <w:rPr>
          <w:rFonts w:asciiTheme="majorBidi" w:eastAsia="Times New Roman" w:hAnsiTheme="majorBidi" w:cstheme="majorBidi"/>
          <w:sz w:val="22"/>
          <w:szCs w:val="22"/>
        </w:rPr>
        <w:t xml:space="preserve"> </w:t>
      </w:r>
      <w:hyperlink r:id="rId69" w:history="1">
        <w:r w:rsidR="0058784B" w:rsidRPr="00A80C40">
          <w:rPr>
            <w:rStyle w:val="Hyperlink"/>
            <w:rFonts w:asciiTheme="majorBidi" w:eastAsia="Times New Roman" w:hAnsiTheme="majorBidi" w:cstheme="majorBidi"/>
            <w:sz w:val="22"/>
            <w:szCs w:val="22"/>
          </w:rPr>
          <w:t>https://doi.org/10.5943/sif/6/1/31</w:t>
        </w:r>
      </w:hyperlink>
      <w:r w:rsidR="0058784B">
        <w:rPr>
          <w:rFonts w:asciiTheme="majorBidi" w:eastAsia="Times New Roman" w:hAnsiTheme="majorBidi" w:cstheme="majorBidi"/>
          <w:sz w:val="22"/>
          <w:szCs w:val="22"/>
        </w:rPr>
        <w:t xml:space="preserve"> </w:t>
      </w:r>
    </w:p>
    <w:p w14:paraId="12072574" w14:textId="1E311887"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color w:val="222222"/>
          <w:sz w:val="22"/>
          <w:szCs w:val="22"/>
          <w:shd w:val="clear" w:color="auto" w:fill="FFFFFF"/>
        </w:rPr>
        <w:t>El-</w:t>
      </w:r>
      <w:proofErr w:type="spellStart"/>
      <w:r w:rsidRPr="007E341B">
        <w:rPr>
          <w:rFonts w:asciiTheme="majorBidi" w:hAnsiTheme="majorBidi" w:cstheme="majorBidi"/>
          <w:color w:val="222222"/>
          <w:sz w:val="22"/>
          <w:szCs w:val="22"/>
          <w:shd w:val="clear" w:color="auto" w:fill="FFFFFF"/>
        </w:rPr>
        <w:t>Ramady</w:t>
      </w:r>
      <w:proofErr w:type="spellEnd"/>
      <w:r w:rsidRPr="007E341B">
        <w:rPr>
          <w:rFonts w:asciiTheme="majorBidi" w:hAnsiTheme="majorBidi" w:cstheme="majorBidi"/>
          <w:color w:val="222222"/>
          <w:sz w:val="22"/>
          <w:szCs w:val="22"/>
          <w:shd w:val="clear" w:color="auto" w:fill="FFFFFF"/>
        </w:rPr>
        <w:t xml:space="preserve">, H., </w:t>
      </w:r>
      <w:proofErr w:type="spellStart"/>
      <w:r w:rsidRPr="007E341B">
        <w:rPr>
          <w:rFonts w:asciiTheme="majorBidi" w:hAnsiTheme="majorBidi" w:cstheme="majorBidi"/>
          <w:color w:val="222222"/>
          <w:sz w:val="22"/>
          <w:szCs w:val="22"/>
          <w:shd w:val="clear" w:color="auto" w:fill="FFFFFF"/>
        </w:rPr>
        <w:t>Törős</w:t>
      </w:r>
      <w:proofErr w:type="spellEnd"/>
      <w:r w:rsidRPr="007E341B">
        <w:rPr>
          <w:rFonts w:asciiTheme="majorBidi" w:hAnsiTheme="majorBidi" w:cstheme="majorBidi"/>
          <w:color w:val="222222"/>
          <w:sz w:val="22"/>
          <w:szCs w:val="22"/>
          <w:shd w:val="clear" w:color="auto" w:fill="FFFFFF"/>
        </w:rPr>
        <w:t>, G., Badgar, K., Llanaj, X., Hajdú, P., El-Mahrouk, M. E., &amp; Prokisch, J. (2022). A comparative photographic review on higher plants and macro-fungi: A soil restoration for sustainable production of food and energy. Sustainability, 14(12), 7104.</w:t>
      </w:r>
      <w:r w:rsidR="00235EF3" w:rsidRPr="007E341B">
        <w:rPr>
          <w:rFonts w:asciiTheme="majorBidi" w:eastAsia="Times New Roman" w:hAnsiTheme="majorBidi" w:cstheme="majorBidi"/>
          <w:sz w:val="22"/>
          <w:szCs w:val="22"/>
        </w:rPr>
        <w:t xml:space="preserve"> </w:t>
      </w:r>
      <w:hyperlink r:id="rId70" w:history="1">
        <w:r w:rsidR="0058784B" w:rsidRPr="00A80C40">
          <w:rPr>
            <w:rStyle w:val="Hyperlink"/>
            <w:rFonts w:asciiTheme="majorBidi" w:eastAsia="Times New Roman" w:hAnsiTheme="majorBidi" w:cstheme="majorBidi"/>
            <w:sz w:val="22"/>
            <w:szCs w:val="22"/>
          </w:rPr>
          <w:t>https://doi.org/10.3390/su14127104</w:t>
        </w:r>
      </w:hyperlink>
      <w:r w:rsidR="0058784B">
        <w:rPr>
          <w:rFonts w:asciiTheme="majorBidi" w:eastAsia="Times New Roman" w:hAnsiTheme="majorBidi" w:cstheme="majorBidi"/>
          <w:sz w:val="22"/>
          <w:szCs w:val="22"/>
        </w:rPr>
        <w:t xml:space="preserve"> </w:t>
      </w:r>
    </w:p>
    <w:p w14:paraId="37349C46" w14:textId="27D6924A"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proofErr w:type="spellStart"/>
      <w:r w:rsidRPr="007E341B">
        <w:rPr>
          <w:rFonts w:asciiTheme="majorBidi" w:hAnsiTheme="majorBidi" w:cstheme="majorBidi"/>
          <w:sz w:val="22"/>
          <w:szCs w:val="22"/>
        </w:rPr>
        <w:t>Manoharachary</w:t>
      </w:r>
      <w:proofErr w:type="spellEnd"/>
      <w:r w:rsidRPr="007E341B">
        <w:rPr>
          <w:rFonts w:asciiTheme="majorBidi" w:hAnsiTheme="majorBidi" w:cstheme="majorBidi"/>
          <w:sz w:val="22"/>
          <w:szCs w:val="22"/>
        </w:rPr>
        <w:t xml:space="preserve">, C., Sridhar, K., Singh, R., </w:t>
      </w:r>
      <w:proofErr w:type="spellStart"/>
      <w:r w:rsidRPr="007E341B">
        <w:rPr>
          <w:rFonts w:asciiTheme="majorBidi" w:hAnsiTheme="majorBidi" w:cstheme="majorBidi"/>
          <w:sz w:val="22"/>
          <w:szCs w:val="22"/>
        </w:rPr>
        <w:t>Adholeya</w:t>
      </w:r>
      <w:proofErr w:type="spellEnd"/>
      <w:r w:rsidRPr="007E341B">
        <w:rPr>
          <w:rFonts w:asciiTheme="majorBidi" w:hAnsiTheme="majorBidi" w:cstheme="majorBidi"/>
          <w:sz w:val="22"/>
          <w:szCs w:val="22"/>
        </w:rPr>
        <w:t>, A., Suryanarayanan, T.S., Rawat, S., &amp; Johri, B.N. (2005). Fungal biodiversity: distribution, conservation and prospecting of fungi from India. Current Science, 2, 58-71.</w:t>
      </w:r>
      <w:r w:rsidR="00235EF3" w:rsidRPr="007E341B">
        <w:rPr>
          <w:rFonts w:asciiTheme="majorBidi" w:eastAsia="Times New Roman" w:hAnsiTheme="majorBidi" w:cstheme="majorBidi"/>
          <w:sz w:val="22"/>
          <w:szCs w:val="22"/>
        </w:rPr>
        <w:t xml:space="preserve"> </w:t>
      </w:r>
      <w:r w:rsidR="0058784B">
        <w:rPr>
          <w:rFonts w:asciiTheme="majorBidi" w:eastAsia="Times New Roman" w:hAnsiTheme="majorBidi" w:cstheme="majorBidi"/>
          <w:sz w:val="22"/>
          <w:szCs w:val="22"/>
        </w:rPr>
        <w:t xml:space="preserve">Web reference: </w:t>
      </w:r>
      <w:hyperlink r:id="rId71" w:history="1">
        <w:r w:rsidR="0058784B" w:rsidRPr="00A80C40">
          <w:rPr>
            <w:rStyle w:val="Hyperlink"/>
            <w:rFonts w:asciiTheme="majorBidi" w:eastAsia="Times New Roman" w:hAnsiTheme="majorBidi" w:cstheme="majorBidi"/>
            <w:sz w:val="22"/>
            <w:szCs w:val="22"/>
          </w:rPr>
          <w:t>https://www.currentscience.ac.in/</w:t>
        </w:r>
      </w:hyperlink>
      <w:r w:rsidR="0058784B">
        <w:rPr>
          <w:rFonts w:asciiTheme="majorBidi" w:eastAsia="Times New Roman" w:hAnsiTheme="majorBidi" w:cstheme="majorBidi"/>
          <w:sz w:val="22"/>
          <w:szCs w:val="22"/>
        </w:rPr>
        <w:t xml:space="preserve"> </w:t>
      </w:r>
    </w:p>
    <w:p w14:paraId="785BE7B1" w14:textId="5CD07B84"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lastRenderedPageBreak/>
        <w:t xml:space="preserve">Debnath, S., Upadhyay, R.C., Saha, R., Majumdar, K., Das, P., &amp; Saha, A. K. (2020). A checklist of </w:t>
      </w:r>
      <w:proofErr w:type="spellStart"/>
      <w:r w:rsidRPr="007E341B">
        <w:rPr>
          <w:rFonts w:asciiTheme="majorBidi" w:hAnsiTheme="majorBidi" w:cstheme="majorBidi"/>
          <w:sz w:val="22"/>
          <w:szCs w:val="22"/>
        </w:rPr>
        <w:t>macrofungi</w:t>
      </w:r>
      <w:proofErr w:type="spellEnd"/>
      <w:r w:rsidRPr="007E341B">
        <w:rPr>
          <w:rFonts w:asciiTheme="majorBidi" w:hAnsiTheme="majorBidi" w:cstheme="majorBidi"/>
          <w:sz w:val="22"/>
          <w:szCs w:val="22"/>
        </w:rPr>
        <w:t xml:space="preserve"> (mushroom) diversity and distribution in the forests of Tripura, India. Journal of Threatened Taxa, 12(10), 16314-16346.</w:t>
      </w:r>
      <w:r w:rsidR="00235EF3" w:rsidRPr="007E341B">
        <w:rPr>
          <w:rFonts w:asciiTheme="majorBidi" w:eastAsia="Times New Roman" w:hAnsiTheme="majorBidi" w:cstheme="majorBidi"/>
          <w:sz w:val="22"/>
          <w:szCs w:val="22"/>
        </w:rPr>
        <w:t xml:space="preserve"> </w:t>
      </w:r>
      <w:hyperlink r:id="rId72" w:history="1">
        <w:r w:rsidR="0058784B" w:rsidRPr="00A80C40">
          <w:rPr>
            <w:rStyle w:val="Hyperlink"/>
            <w:rFonts w:asciiTheme="majorBidi" w:eastAsia="Times New Roman" w:hAnsiTheme="majorBidi" w:cstheme="majorBidi"/>
            <w:sz w:val="22"/>
            <w:szCs w:val="22"/>
          </w:rPr>
          <w:t>https://doi.org/10.11609/jott.5730.12.10.16314-16346</w:t>
        </w:r>
      </w:hyperlink>
      <w:r w:rsidR="0058784B">
        <w:rPr>
          <w:rFonts w:asciiTheme="majorBidi" w:eastAsia="Times New Roman" w:hAnsiTheme="majorBidi" w:cstheme="majorBidi"/>
          <w:sz w:val="22"/>
          <w:szCs w:val="22"/>
        </w:rPr>
        <w:t xml:space="preserve"> </w:t>
      </w:r>
    </w:p>
    <w:p w14:paraId="78D46F54" w14:textId="11796A4D"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Lange, L., Bech, L., Busk, P.K., Grell, M.N., Huang, Y., Lange, M., &amp; Tong, X. (2012). The importance of fungi and of mycology for a global development of the bioeconomy. IMA Fungus, 3(1), 87-92.</w:t>
      </w:r>
      <w:r w:rsidR="00235EF3" w:rsidRPr="007E341B">
        <w:rPr>
          <w:rFonts w:asciiTheme="majorBidi" w:eastAsia="Times New Roman" w:hAnsiTheme="majorBidi" w:cstheme="majorBidi"/>
          <w:sz w:val="22"/>
          <w:szCs w:val="22"/>
        </w:rPr>
        <w:t xml:space="preserve"> </w:t>
      </w:r>
      <w:hyperlink r:id="rId73" w:history="1">
        <w:r w:rsidR="0058784B" w:rsidRPr="00A80C40">
          <w:rPr>
            <w:rStyle w:val="Hyperlink"/>
            <w:rFonts w:asciiTheme="majorBidi" w:eastAsia="Times New Roman" w:hAnsiTheme="majorBidi" w:cstheme="majorBidi"/>
            <w:sz w:val="22"/>
            <w:szCs w:val="22"/>
          </w:rPr>
          <w:t>https://doi.org/10.5598/imafungus.2012.03.01.09</w:t>
        </w:r>
      </w:hyperlink>
      <w:r w:rsidR="0058784B">
        <w:rPr>
          <w:rFonts w:asciiTheme="majorBidi" w:eastAsia="Times New Roman" w:hAnsiTheme="majorBidi" w:cstheme="majorBidi"/>
          <w:sz w:val="22"/>
          <w:szCs w:val="22"/>
        </w:rPr>
        <w:t xml:space="preserve"> </w:t>
      </w:r>
    </w:p>
    <w:p w14:paraId="08BFD770" w14:textId="07F640C6"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 xml:space="preserve">Jandl, R., Lindner, M., Vesterdal, L., Bauwens, B., </w:t>
      </w:r>
      <w:proofErr w:type="spellStart"/>
      <w:r w:rsidRPr="007E341B">
        <w:rPr>
          <w:rFonts w:asciiTheme="majorBidi" w:hAnsiTheme="majorBidi" w:cstheme="majorBidi"/>
          <w:sz w:val="22"/>
          <w:szCs w:val="22"/>
        </w:rPr>
        <w:t>Baritz</w:t>
      </w:r>
      <w:proofErr w:type="spellEnd"/>
      <w:r w:rsidRPr="007E341B">
        <w:rPr>
          <w:rFonts w:asciiTheme="majorBidi" w:hAnsiTheme="majorBidi" w:cstheme="majorBidi"/>
          <w:sz w:val="22"/>
          <w:szCs w:val="22"/>
        </w:rPr>
        <w:t>, R., Hagedorn, F., &amp; Byrne, K.A. (2007). How strongly can forest management influence soil carbon sequestration? </w:t>
      </w:r>
      <w:proofErr w:type="spellStart"/>
      <w:r w:rsidRPr="007E341B">
        <w:rPr>
          <w:rFonts w:asciiTheme="majorBidi" w:hAnsiTheme="majorBidi" w:cstheme="majorBidi"/>
          <w:sz w:val="22"/>
          <w:szCs w:val="22"/>
        </w:rPr>
        <w:t>Geoderma</w:t>
      </w:r>
      <w:proofErr w:type="spellEnd"/>
      <w:r w:rsidRPr="007E341B">
        <w:rPr>
          <w:rFonts w:asciiTheme="majorBidi" w:hAnsiTheme="majorBidi" w:cstheme="majorBidi"/>
          <w:sz w:val="22"/>
          <w:szCs w:val="22"/>
        </w:rPr>
        <w:t>, 137(3-4), 253-268.</w:t>
      </w:r>
      <w:r w:rsidR="00235EF3" w:rsidRPr="007E341B">
        <w:rPr>
          <w:rFonts w:asciiTheme="majorBidi" w:eastAsia="Times New Roman" w:hAnsiTheme="majorBidi" w:cstheme="majorBidi"/>
          <w:sz w:val="22"/>
          <w:szCs w:val="22"/>
        </w:rPr>
        <w:t xml:space="preserve"> </w:t>
      </w:r>
      <w:hyperlink r:id="rId74" w:history="1">
        <w:r w:rsidR="0058784B" w:rsidRPr="00A80C40">
          <w:rPr>
            <w:rStyle w:val="Hyperlink"/>
            <w:rFonts w:asciiTheme="majorBidi" w:eastAsia="Times New Roman" w:hAnsiTheme="majorBidi" w:cstheme="majorBidi"/>
            <w:sz w:val="22"/>
            <w:szCs w:val="22"/>
          </w:rPr>
          <w:t>https://doi.org/10.1016/j.geoderma.2006.09.003</w:t>
        </w:r>
      </w:hyperlink>
      <w:r w:rsidR="0058784B">
        <w:rPr>
          <w:rFonts w:asciiTheme="majorBidi" w:eastAsia="Times New Roman" w:hAnsiTheme="majorBidi" w:cstheme="majorBidi"/>
          <w:sz w:val="22"/>
          <w:szCs w:val="22"/>
        </w:rPr>
        <w:t xml:space="preserve"> </w:t>
      </w:r>
    </w:p>
    <w:p w14:paraId="42B8A925" w14:textId="7F8D6C02"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Yanai, R.D., Currie, W.S., &amp; Goodale, C.L. (2003). Soil carbon dynamics after forest harvest: An ecosystem paradigm reconsidered. Ecosystems, 1, 197-212.</w:t>
      </w:r>
      <w:r w:rsidR="00235EF3" w:rsidRPr="007E341B">
        <w:rPr>
          <w:rFonts w:asciiTheme="majorBidi" w:eastAsia="Times New Roman" w:hAnsiTheme="majorBidi" w:cstheme="majorBidi"/>
          <w:sz w:val="22"/>
          <w:szCs w:val="22"/>
        </w:rPr>
        <w:t xml:space="preserve"> </w:t>
      </w:r>
      <w:hyperlink r:id="rId75" w:history="1">
        <w:r w:rsidR="0058784B" w:rsidRPr="00A80C40">
          <w:rPr>
            <w:rStyle w:val="Hyperlink"/>
            <w:rFonts w:asciiTheme="majorBidi" w:eastAsia="Times New Roman" w:hAnsiTheme="majorBidi" w:cstheme="majorBidi"/>
            <w:sz w:val="22"/>
            <w:szCs w:val="22"/>
          </w:rPr>
          <w:t>https://doi.org/10.1007/s10021-002-0206-5</w:t>
        </w:r>
      </w:hyperlink>
      <w:r w:rsidR="0058784B">
        <w:rPr>
          <w:rFonts w:asciiTheme="majorBidi" w:eastAsia="Times New Roman" w:hAnsiTheme="majorBidi" w:cstheme="majorBidi"/>
          <w:sz w:val="22"/>
          <w:szCs w:val="22"/>
        </w:rPr>
        <w:t xml:space="preserve"> </w:t>
      </w:r>
    </w:p>
    <w:p w14:paraId="413DD8E4" w14:textId="5502C6DA"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Zhao, R., He, M., Yue, P., Huang, L., &amp; Liu, F. (2022). Linking soil organic carbon stock to microbial stoichiometry, carbon sequestration and microenvironment under long-term forest conversion. Journal of Environmental Management, 301, 113940.</w:t>
      </w:r>
      <w:r w:rsidR="00235EF3" w:rsidRPr="007E341B">
        <w:rPr>
          <w:rFonts w:asciiTheme="majorBidi" w:eastAsia="Times New Roman" w:hAnsiTheme="majorBidi" w:cstheme="majorBidi"/>
          <w:sz w:val="22"/>
          <w:szCs w:val="22"/>
        </w:rPr>
        <w:t xml:space="preserve"> </w:t>
      </w:r>
      <w:hyperlink r:id="rId76" w:history="1">
        <w:r w:rsidR="0058784B" w:rsidRPr="00A80C40">
          <w:rPr>
            <w:rStyle w:val="Hyperlink"/>
            <w:rFonts w:asciiTheme="majorBidi" w:eastAsia="Times New Roman" w:hAnsiTheme="majorBidi" w:cstheme="majorBidi"/>
            <w:sz w:val="22"/>
            <w:szCs w:val="22"/>
          </w:rPr>
          <w:t>https://doi.org/10.1016/j.jenvman.2021.113940</w:t>
        </w:r>
      </w:hyperlink>
      <w:r w:rsidR="0058784B">
        <w:rPr>
          <w:rFonts w:asciiTheme="majorBidi" w:eastAsia="Times New Roman" w:hAnsiTheme="majorBidi" w:cstheme="majorBidi"/>
          <w:sz w:val="22"/>
          <w:szCs w:val="22"/>
        </w:rPr>
        <w:t xml:space="preserve"> </w:t>
      </w:r>
    </w:p>
    <w:p w14:paraId="7CB6849B" w14:textId="0E71D8B4"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Bai, Z., Ma, Q., Dai, Y., Yuan, H., Ye, J., &amp; Yu, W. (2017). Spatial heterogeneity of SOM concentrations associated with white-rot versus brown-rot wood decay. Scientific Reports, 7(1), 13758.</w:t>
      </w:r>
      <w:r w:rsidR="00235EF3" w:rsidRPr="007E341B">
        <w:rPr>
          <w:rFonts w:asciiTheme="majorBidi" w:eastAsia="Times New Roman" w:hAnsiTheme="majorBidi" w:cstheme="majorBidi"/>
          <w:sz w:val="22"/>
          <w:szCs w:val="22"/>
        </w:rPr>
        <w:t xml:space="preserve"> </w:t>
      </w:r>
      <w:hyperlink r:id="rId77" w:history="1">
        <w:r w:rsidR="0058784B" w:rsidRPr="00A80C40">
          <w:rPr>
            <w:rStyle w:val="Hyperlink"/>
            <w:rFonts w:asciiTheme="majorBidi" w:eastAsia="Times New Roman" w:hAnsiTheme="majorBidi" w:cstheme="majorBidi"/>
            <w:sz w:val="22"/>
            <w:szCs w:val="22"/>
          </w:rPr>
          <w:t>https://doi.org/10.1038/s41598-017-14181-7</w:t>
        </w:r>
      </w:hyperlink>
      <w:r w:rsidR="0058784B">
        <w:rPr>
          <w:rFonts w:asciiTheme="majorBidi" w:eastAsia="Times New Roman" w:hAnsiTheme="majorBidi" w:cstheme="majorBidi"/>
          <w:sz w:val="22"/>
          <w:szCs w:val="22"/>
        </w:rPr>
        <w:t xml:space="preserve"> </w:t>
      </w:r>
    </w:p>
    <w:p w14:paraId="010A3017" w14:textId="13DA85E6"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 xml:space="preserve">Aditya., Neeraj., Bhatia, J.N. (2025). Amplification and quantification of lovastatin from elm oyster mushroom </w:t>
      </w:r>
      <w:r w:rsidRPr="007E341B">
        <w:rPr>
          <w:rFonts w:asciiTheme="majorBidi" w:hAnsiTheme="majorBidi" w:cstheme="majorBidi"/>
          <w:i/>
          <w:iCs/>
          <w:sz w:val="22"/>
          <w:szCs w:val="22"/>
        </w:rPr>
        <w:t>Hypsizygus ulmarius</w:t>
      </w:r>
      <w:r w:rsidRPr="007E341B">
        <w:rPr>
          <w:rFonts w:asciiTheme="majorBidi" w:hAnsiTheme="majorBidi" w:cstheme="majorBidi"/>
          <w:sz w:val="22"/>
          <w:szCs w:val="22"/>
        </w:rPr>
        <w:t xml:space="preserve"> (Bull.) Redhead (Agaricomycetes) through HPLC analysis and determination of its mycochemical constituents. ACS Food Science &amp; Technology, 5(1), 368-377. </w:t>
      </w:r>
      <w:hyperlink r:id="rId78" w:history="1">
        <w:r w:rsidR="0058784B" w:rsidRPr="00A80C40">
          <w:rPr>
            <w:rStyle w:val="Hyperlink"/>
            <w:rFonts w:asciiTheme="majorBidi" w:eastAsia="Times New Roman" w:hAnsiTheme="majorBidi" w:cstheme="majorBidi"/>
            <w:sz w:val="22"/>
            <w:szCs w:val="22"/>
          </w:rPr>
          <w:t>http://dx.doi.org/10.1021/acsfoodscitech.4c00876</w:t>
        </w:r>
      </w:hyperlink>
      <w:r w:rsidR="0058784B">
        <w:rPr>
          <w:rFonts w:asciiTheme="majorBidi" w:eastAsia="Times New Roman" w:hAnsiTheme="majorBidi" w:cstheme="majorBidi"/>
          <w:sz w:val="22"/>
          <w:szCs w:val="22"/>
        </w:rPr>
        <w:t xml:space="preserve"> </w:t>
      </w:r>
    </w:p>
    <w:p w14:paraId="7EE3868B" w14:textId="231AC801"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proofErr w:type="spellStart"/>
      <w:r w:rsidRPr="007E341B">
        <w:rPr>
          <w:rFonts w:asciiTheme="majorBidi" w:hAnsiTheme="majorBidi" w:cstheme="majorBidi"/>
          <w:sz w:val="22"/>
          <w:szCs w:val="22"/>
        </w:rPr>
        <w:t>Butu</w:t>
      </w:r>
      <w:proofErr w:type="spellEnd"/>
      <w:r w:rsidRPr="007E341B">
        <w:rPr>
          <w:rFonts w:asciiTheme="majorBidi" w:hAnsiTheme="majorBidi" w:cstheme="majorBidi"/>
          <w:sz w:val="22"/>
          <w:szCs w:val="22"/>
        </w:rPr>
        <w:t xml:space="preserve">, A., Rodino, S., Miu, B., &amp; </w:t>
      </w:r>
      <w:proofErr w:type="spellStart"/>
      <w:r w:rsidRPr="007E341B">
        <w:rPr>
          <w:rFonts w:asciiTheme="majorBidi" w:hAnsiTheme="majorBidi" w:cstheme="majorBidi"/>
          <w:sz w:val="22"/>
          <w:szCs w:val="22"/>
        </w:rPr>
        <w:t>Butu</w:t>
      </w:r>
      <w:proofErr w:type="spellEnd"/>
      <w:r w:rsidRPr="007E341B">
        <w:rPr>
          <w:rFonts w:asciiTheme="majorBidi" w:hAnsiTheme="majorBidi" w:cstheme="majorBidi"/>
          <w:sz w:val="22"/>
          <w:szCs w:val="22"/>
        </w:rPr>
        <w:t xml:space="preserve">, M. (2020). Mycelium-based materials for the </w:t>
      </w:r>
      <w:proofErr w:type="spellStart"/>
      <w:r w:rsidRPr="007E341B">
        <w:rPr>
          <w:rFonts w:asciiTheme="majorBidi" w:hAnsiTheme="majorBidi" w:cstheme="majorBidi"/>
          <w:sz w:val="22"/>
          <w:szCs w:val="22"/>
        </w:rPr>
        <w:t>ecodesign</w:t>
      </w:r>
      <w:proofErr w:type="spellEnd"/>
      <w:r w:rsidRPr="007E341B">
        <w:rPr>
          <w:rFonts w:asciiTheme="majorBidi" w:hAnsiTheme="majorBidi" w:cstheme="majorBidi"/>
          <w:sz w:val="22"/>
          <w:szCs w:val="22"/>
        </w:rPr>
        <w:t xml:space="preserve"> of </w:t>
      </w:r>
      <w:proofErr w:type="spellStart"/>
      <w:r w:rsidRPr="007E341B">
        <w:rPr>
          <w:rFonts w:asciiTheme="majorBidi" w:hAnsiTheme="majorBidi" w:cstheme="majorBidi"/>
          <w:sz w:val="22"/>
          <w:szCs w:val="22"/>
        </w:rPr>
        <w:t>bioeconomy</w:t>
      </w:r>
      <w:proofErr w:type="spellEnd"/>
      <w:r w:rsidRPr="007E341B">
        <w:rPr>
          <w:rFonts w:asciiTheme="majorBidi" w:hAnsiTheme="majorBidi" w:cstheme="majorBidi"/>
          <w:sz w:val="22"/>
          <w:szCs w:val="22"/>
        </w:rPr>
        <w:t>. Digest Journal of Nanomaterials and Biostructures, 15(4), 1129-1140.</w:t>
      </w:r>
      <w:r w:rsidR="00235EF3" w:rsidRPr="007E341B">
        <w:rPr>
          <w:rFonts w:asciiTheme="majorBidi" w:eastAsia="Times New Roman" w:hAnsiTheme="majorBidi" w:cstheme="majorBidi"/>
          <w:sz w:val="22"/>
          <w:szCs w:val="22"/>
        </w:rPr>
        <w:t xml:space="preserve"> </w:t>
      </w:r>
      <w:hyperlink r:id="rId79" w:history="1">
        <w:r w:rsidR="0058784B" w:rsidRPr="00A80C40">
          <w:rPr>
            <w:rStyle w:val="Hyperlink"/>
            <w:rFonts w:asciiTheme="majorBidi" w:eastAsia="Times New Roman" w:hAnsiTheme="majorBidi" w:cstheme="majorBidi"/>
            <w:sz w:val="22"/>
            <w:szCs w:val="22"/>
          </w:rPr>
          <w:t>https://doi.org/10.15251/DJNB.2020.154.1129</w:t>
        </w:r>
      </w:hyperlink>
      <w:r w:rsidR="0058784B">
        <w:rPr>
          <w:rFonts w:asciiTheme="majorBidi" w:eastAsia="Times New Roman" w:hAnsiTheme="majorBidi" w:cstheme="majorBidi"/>
          <w:sz w:val="22"/>
          <w:szCs w:val="22"/>
        </w:rPr>
        <w:t xml:space="preserve"> </w:t>
      </w:r>
    </w:p>
    <w:p w14:paraId="79AD786E" w14:textId="23EA636F"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Khan, R. (2025). Mycelium-based bioproducts: A novel material for a sustainable economy-A comprehensive review. The Microbe, 100439.</w:t>
      </w:r>
      <w:r w:rsidR="00235EF3" w:rsidRPr="007E341B">
        <w:rPr>
          <w:rFonts w:asciiTheme="majorBidi" w:eastAsia="Times New Roman" w:hAnsiTheme="majorBidi" w:cstheme="majorBidi"/>
          <w:sz w:val="22"/>
          <w:szCs w:val="22"/>
        </w:rPr>
        <w:t xml:space="preserve"> </w:t>
      </w:r>
      <w:hyperlink r:id="rId80" w:history="1">
        <w:r w:rsidR="0058784B" w:rsidRPr="00A80C40">
          <w:rPr>
            <w:rStyle w:val="Hyperlink"/>
            <w:rFonts w:asciiTheme="majorBidi" w:eastAsia="Times New Roman" w:hAnsiTheme="majorBidi" w:cstheme="majorBidi"/>
            <w:sz w:val="22"/>
            <w:szCs w:val="22"/>
          </w:rPr>
          <w:t>https://doi.org/10.1016/j.microb.2025.100439</w:t>
        </w:r>
      </w:hyperlink>
      <w:r w:rsidR="0058784B">
        <w:rPr>
          <w:rFonts w:asciiTheme="majorBidi" w:eastAsia="Times New Roman" w:hAnsiTheme="majorBidi" w:cstheme="majorBidi"/>
          <w:sz w:val="22"/>
          <w:szCs w:val="22"/>
        </w:rPr>
        <w:t xml:space="preserve"> </w:t>
      </w:r>
    </w:p>
    <w:p w14:paraId="0EF21BF6" w14:textId="5A28B784" w:rsidR="00235AF1" w:rsidRPr="007E341B" w:rsidRDefault="00182E67">
      <w:pPr>
        <w:pStyle w:val="NoSpacing"/>
        <w:numPr>
          <w:ilvl w:val="0"/>
          <w:numId w:val="3"/>
        </w:numPr>
        <w:jc w:val="both"/>
        <w:rPr>
          <w:rFonts w:asciiTheme="majorBidi" w:hAnsiTheme="majorBidi" w:cstheme="majorBidi"/>
        </w:rPr>
      </w:pPr>
      <w:r w:rsidRPr="007E341B">
        <w:rPr>
          <w:rFonts w:asciiTheme="majorBidi" w:hAnsiTheme="majorBidi" w:cstheme="majorBidi"/>
          <w:lang w:val="en-IN"/>
        </w:rPr>
        <w:t xml:space="preserve">Sharma, V.P., &amp; </w:t>
      </w:r>
      <w:proofErr w:type="spellStart"/>
      <w:r w:rsidRPr="007E341B">
        <w:rPr>
          <w:rFonts w:asciiTheme="majorBidi" w:hAnsiTheme="majorBidi" w:cstheme="majorBidi"/>
          <w:lang w:val="en-IN"/>
        </w:rPr>
        <w:t>Bijla</w:t>
      </w:r>
      <w:proofErr w:type="spellEnd"/>
      <w:r w:rsidRPr="007E341B">
        <w:rPr>
          <w:rFonts w:asciiTheme="majorBidi" w:hAnsiTheme="majorBidi" w:cstheme="majorBidi"/>
          <w:lang w:val="en-IN"/>
        </w:rPr>
        <w:t>, S. (2025). Mapping the status of mushroom cultivation: Global vis-à-vis India: Global and Indian status of mushroom production. Mushroom Research, 33(2), 91-101.</w:t>
      </w:r>
      <w:r w:rsidR="00235EF3" w:rsidRPr="007E341B">
        <w:rPr>
          <w:rFonts w:asciiTheme="majorBidi" w:eastAsia="Times New Roman" w:hAnsiTheme="majorBidi" w:cstheme="majorBidi"/>
        </w:rPr>
        <w:t xml:space="preserve"> </w:t>
      </w:r>
      <w:hyperlink r:id="rId81" w:history="1">
        <w:r w:rsidR="0058784B" w:rsidRPr="00A80C40">
          <w:rPr>
            <w:rStyle w:val="Hyperlink"/>
            <w:rFonts w:asciiTheme="majorBidi" w:eastAsia="Times New Roman" w:hAnsiTheme="majorBidi" w:cstheme="majorBidi"/>
          </w:rPr>
          <w:t>https://epubs.icar.org.in/index.php/MR/article/view/163501</w:t>
        </w:r>
      </w:hyperlink>
      <w:r w:rsidR="0058784B">
        <w:rPr>
          <w:rFonts w:asciiTheme="majorBidi" w:eastAsia="Times New Roman" w:hAnsiTheme="majorBidi" w:cstheme="majorBidi"/>
        </w:rPr>
        <w:t xml:space="preserve"> </w:t>
      </w:r>
    </w:p>
    <w:p w14:paraId="7927538D" w14:textId="4232C66A"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FAOSTAT. (2024). Food and Agriculture Organization, Statistics database. United Nations.</w:t>
      </w:r>
      <w:r w:rsidR="00D44E91">
        <w:rPr>
          <w:rFonts w:asciiTheme="majorBidi" w:hAnsiTheme="majorBidi" w:cstheme="majorBidi"/>
          <w:sz w:val="22"/>
          <w:szCs w:val="22"/>
        </w:rPr>
        <w:t xml:space="preserve"> </w:t>
      </w:r>
      <w:r w:rsidR="00D44E91">
        <w:rPr>
          <w:rFonts w:asciiTheme="majorBidi" w:eastAsia="Times New Roman" w:hAnsiTheme="majorBidi" w:cstheme="majorBidi"/>
          <w:sz w:val="22"/>
          <w:szCs w:val="22"/>
        </w:rPr>
        <w:t xml:space="preserve">Web reference: </w:t>
      </w:r>
      <w:hyperlink r:id="rId82" w:anchor="data" w:history="1">
        <w:r w:rsidR="00D44E91" w:rsidRPr="00A80C40">
          <w:rPr>
            <w:rStyle w:val="Hyperlink"/>
            <w:rFonts w:asciiTheme="majorBidi" w:eastAsia="Times New Roman" w:hAnsiTheme="majorBidi" w:cstheme="majorBidi"/>
            <w:sz w:val="22"/>
            <w:szCs w:val="22"/>
          </w:rPr>
          <w:t>https://www.fao.org</w:t>
        </w:r>
      </w:hyperlink>
      <w:r w:rsidR="00D44E91">
        <w:rPr>
          <w:rFonts w:asciiTheme="majorBidi" w:eastAsia="Times New Roman" w:hAnsiTheme="majorBidi" w:cstheme="majorBidi"/>
          <w:sz w:val="22"/>
          <w:szCs w:val="22"/>
        </w:rPr>
        <w:t xml:space="preserve">  </w:t>
      </w:r>
    </w:p>
    <w:p w14:paraId="74BD4859" w14:textId="0C6BBB63"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 xml:space="preserve">Aditya., Neeraj., Bhatia, J.N.,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xml:space="preserve">, R.S., </w:t>
      </w:r>
      <w:proofErr w:type="spellStart"/>
      <w:r w:rsidRPr="007E341B">
        <w:rPr>
          <w:rFonts w:asciiTheme="majorBidi" w:hAnsiTheme="majorBidi" w:cstheme="majorBidi"/>
          <w:sz w:val="22"/>
          <w:szCs w:val="22"/>
        </w:rPr>
        <w:t>Jarial</w:t>
      </w:r>
      <w:proofErr w:type="spellEnd"/>
      <w:r w:rsidRPr="007E341B">
        <w:rPr>
          <w:rFonts w:asciiTheme="majorBidi" w:hAnsiTheme="majorBidi" w:cstheme="majorBidi"/>
          <w:sz w:val="22"/>
          <w:szCs w:val="22"/>
        </w:rPr>
        <w:t xml:space="preserve">, K. (2025). Cultivation technology optimization and identification of secondary metabolites from elm oyster mushroom </w:t>
      </w:r>
      <w:r w:rsidRPr="007E341B">
        <w:rPr>
          <w:rFonts w:asciiTheme="majorBidi" w:hAnsiTheme="majorBidi" w:cstheme="majorBidi"/>
          <w:i/>
          <w:iCs/>
          <w:sz w:val="22"/>
          <w:szCs w:val="22"/>
        </w:rPr>
        <w:t>Hypsizygus ulmarius</w:t>
      </w:r>
      <w:r w:rsidRPr="007E341B">
        <w:rPr>
          <w:rFonts w:asciiTheme="majorBidi" w:hAnsiTheme="majorBidi" w:cstheme="majorBidi"/>
          <w:sz w:val="22"/>
          <w:szCs w:val="22"/>
        </w:rPr>
        <w:t xml:space="preserve"> (Bull.) Redhead (Agaricomycetes) through GC-MS metabolomic profiling from India. </w:t>
      </w:r>
      <w:proofErr w:type="spellStart"/>
      <w:r w:rsidRPr="007E341B">
        <w:rPr>
          <w:rFonts w:asciiTheme="majorBidi" w:hAnsiTheme="majorBidi" w:cstheme="majorBidi"/>
          <w:sz w:val="22"/>
          <w:szCs w:val="22"/>
        </w:rPr>
        <w:t>Mycologia</w:t>
      </w:r>
      <w:proofErr w:type="spellEnd"/>
      <w:r w:rsidRPr="007E341B">
        <w:rPr>
          <w:rFonts w:asciiTheme="majorBidi" w:hAnsiTheme="majorBidi" w:cstheme="majorBidi"/>
          <w:sz w:val="22"/>
          <w:szCs w:val="22"/>
        </w:rPr>
        <w:t>, 117(2), 1-27.</w:t>
      </w:r>
      <w:r w:rsidR="00D44E91">
        <w:rPr>
          <w:rFonts w:asciiTheme="majorBidi" w:hAnsiTheme="majorBidi" w:cstheme="majorBidi"/>
          <w:sz w:val="22"/>
          <w:szCs w:val="22"/>
        </w:rPr>
        <w:t xml:space="preserve"> </w:t>
      </w:r>
      <w:hyperlink r:id="rId83" w:history="1">
        <w:r w:rsidR="00D44E91" w:rsidRPr="00A80C40">
          <w:rPr>
            <w:rStyle w:val="Hyperlink"/>
            <w:rFonts w:asciiTheme="majorBidi" w:hAnsiTheme="majorBidi" w:cstheme="majorBidi"/>
            <w:sz w:val="22"/>
            <w:szCs w:val="22"/>
          </w:rPr>
          <w:t>https://doi.org/10.1080/00275514.2025.2452307</w:t>
        </w:r>
      </w:hyperlink>
      <w:r w:rsidR="00D44E91">
        <w:rPr>
          <w:rFonts w:asciiTheme="majorBidi" w:hAnsiTheme="majorBidi" w:cstheme="majorBidi"/>
          <w:sz w:val="22"/>
          <w:szCs w:val="22"/>
        </w:rPr>
        <w:t xml:space="preserve"> </w:t>
      </w:r>
    </w:p>
    <w:p w14:paraId="1C8D6F8D" w14:textId="53D57B00"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 xml:space="preserve">Venturella, G., Ferraro, V., </w:t>
      </w:r>
      <w:proofErr w:type="spellStart"/>
      <w:r w:rsidRPr="007E341B">
        <w:rPr>
          <w:rFonts w:asciiTheme="majorBidi" w:hAnsiTheme="majorBidi" w:cstheme="majorBidi"/>
          <w:sz w:val="22"/>
          <w:szCs w:val="22"/>
        </w:rPr>
        <w:t>Cirlincione</w:t>
      </w:r>
      <w:proofErr w:type="spellEnd"/>
      <w:r w:rsidRPr="007E341B">
        <w:rPr>
          <w:rFonts w:asciiTheme="majorBidi" w:hAnsiTheme="majorBidi" w:cstheme="majorBidi"/>
          <w:sz w:val="22"/>
          <w:szCs w:val="22"/>
        </w:rPr>
        <w:t>, F., &amp; Gargano, M.L. (2021). Medicinal mushrooms: Bioactive compounds, use and clinical trials. International Journal of Molecular Sciences, 22(2), 634.</w:t>
      </w:r>
      <w:r w:rsidR="00300339" w:rsidRPr="007E341B">
        <w:rPr>
          <w:rFonts w:asciiTheme="majorBidi" w:eastAsia="Times New Roman" w:hAnsiTheme="majorBidi" w:cstheme="majorBidi"/>
          <w:sz w:val="22"/>
          <w:szCs w:val="22"/>
        </w:rPr>
        <w:t xml:space="preserve"> </w:t>
      </w:r>
      <w:hyperlink r:id="rId84" w:history="1">
        <w:r w:rsidR="00D44E91" w:rsidRPr="00A80C40">
          <w:rPr>
            <w:rStyle w:val="Hyperlink"/>
            <w:rFonts w:asciiTheme="majorBidi" w:eastAsia="Times New Roman" w:hAnsiTheme="majorBidi" w:cstheme="majorBidi"/>
            <w:sz w:val="22"/>
            <w:szCs w:val="22"/>
          </w:rPr>
          <w:t>https://doi.org/10.3390/ijms22020634</w:t>
        </w:r>
      </w:hyperlink>
      <w:r w:rsidR="00D44E91">
        <w:rPr>
          <w:rFonts w:asciiTheme="majorBidi" w:eastAsia="Times New Roman" w:hAnsiTheme="majorBidi" w:cstheme="majorBidi"/>
          <w:sz w:val="22"/>
          <w:szCs w:val="22"/>
        </w:rPr>
        <w:t xml:space="preserve"> </w:t>
      </w:r>
    </w:p>
    <w:p w14:paraId="78FD3961" w14:textId="56240F49"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Singh, A., Saini, R.K., Kumar, A., Chawla, P., &amp; Kaushik, R. (2025). Mushrooms as nutritional powerhouses: A review of their bioactive compounds, health benefits, and value-added products. Foods, 14(5), 741.</w:t>
      </w:r>
      <w:r w:rsidR="00300339" w:rsidRPr="007E341B">
        <w:rPr>
          <w:rFonts w:asciiTheme="majorBidi" w:eastAsia="Times New Roman" w:hAnsiTheme="majorBidi" w:cstheme="majorBidi"/>
          <w:sz w:val="22"/>
          <w:szCs w:val="22"/>
        </w:rPr>
        <w:t xml:space="preserve"> </w:t>
      </w:r>
      <w:hyperlink r:id="rId85" w:history="1">
        <w:r w:rsidR="00D44E91" w:rsidRPr="00A80C40">
          <w:rPr>
            <w:rStyle w:val="Hyperlink"/>
            <w:rFonts w:asciiTheme="majorBidi" w:eastAsia="Times New Roman" w:hAnsiTheme="majorBidi" w:cstheme="majorBidi"/>
            <w:sz w:val="22"/>
            <w:szCs w:val="22"/>
          </w:rPr>
          <w:t>https://doi.org/10.3390/foods14050741</w:t>
        </w:r>
      </w:hyperlink>
      <w:r w:rsidR="00D44E91">
        <w:rPr>
          <w:rFonts w:asciiTheme="majorBidi" w:eastAsia="Times New Roman" w:hAnsiTheme="majorBidi" w:cstheme="majorBidi"/>
          <w:sz w:val="22"/>
          <w:szCs w:val="22"/>
        </w:rPr>
        <w:t xml:space="preserve"> </w:t>
      </w:r>
    </w:p>
    <w:p w14:paraId="258F312E" w14:textId="26DE21DF"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 xml:space="preserve">Dimopoulou, M., </w:t>
      </w:r>
      <w:proofErr w:type="spellStart"/>
      <w:r w:rsidRPr="007E341B">
        <w:rPr>
          <w:rFonts w:asciiTheme="majorBidi" w:hAnsiTheme="majorBidi" w:cstheme="majorBidi"/>
          <w:sz w:val="22"/>
          <w:szCs w:val="22"/>
        </w:rPr>
        <w:t>Kolonas</w:t>
      </w:r>
      <w:proofErr w:type="spellEnd"/>
      <w:r w:rsidRPr="007E341B">
        <w:rPr>
          <w:rFonts w:asciiTheme="majorBidi" w:hAnsiTheme="majorBidi" w:cstheme="majorBidi"/>
          <w:sz w:val="22"/>
          <w:szCs w:val="22"/>
        </w:rPr>
        <w:t xml:space="preserve">, A., </w:t>
      </w:r>
      <w:proofErr w:type="spellStart"/>
      <w:r w:rsidRPr="007E341B">
        <w:rPr>
          <w:rFonts w:asciiTheme="majorBidi" w:hAnsiTheme="majorBidi" w:cstheme="majorBidi"/>
          <w:sz w:val="22"/>
          <w:szCs w:val="22"/>
        </w:rPr>
        <w:t>Mourtakos</w:t>
      </w:r>
      <w:proofErr w:type="spellEnd"/>
      <w:r w:rsidRPr="007E341B">
        <w:rPr>
          <w:rFonts w:asciiTheme="majorBidi" w:hAnsiTheme="majorBidi" w:cstheme="majorBidi"/>
          <w:sz w:val="22"/>
          <w:szCs w:val="22"/>
        </w:rPr>
        <w:t xml:space="preserve">, S., </w:t>
      </w:r>
      <w:proofErr w:type="spellStart"/>
      <w:r w:rsidRPr="007E341B">
        <w:rPr>
          <w:rFonts w:asciiTheme="majorBidi" w:hAnsiTheme="majorBidi" w:cstheme="majorBidi"/>
          <w:sz w:val="22"/>
          <w:szCs w:val="22"/>
        </w:rPr>
        <w:t>Androutsos</w:t>
      </w:r>
      <w:proofErr w:type="spellEnd"/>
      <w:r w:rsidRPr="007E341B">
        <w:rPr>
          <w:rFonts w:asciiTheme="majorBidi" w:hAnsiTheme="majorBidi" w:cstheme="majorBidi"/>
          <w:sz w:val="22"/>
          <w:szCs w:val="22"/>
        </w:rPr>
        <w:t xml:space="preserve">, O., &amp; </w:t>
      </w:r>
      <w:proofErr w:type="spellStart"/>
      <w:r w:rsidRPr="007E341B">
        <w:rPr>
          <w:rFonts w:asciiTheme="majorBidi" w:hAnsiTheme="majorBidi" w:cstheme="majorBidi"/>
          <w:sz w:val="22"/>
          <w:szCs w:val="22"/>
        </w:rPr>
        <w:t>Gortzi</w:t>
      </w:r>
      <w:proofErr w:type="spellEnd"/>
      <w:r w:rsidRPr="007E341B">
        <w:rPr>
          <w:rFonts w:asciiTheme="majorBidi" w:hAnsiTheme="majorBidi" w:cstheme="majorBidi"/>
          <w:sz w:val="22"/>
          <w:szCs w:val="22"/>
        </w:rPr>
        <w:t>, O. (2022). Nutritional composition and biological properties of sixteen edible mushroom species. Applied Sciences, 12(16), 8074.</w:t>
      </w:r>
      <w:r w:rsidR="00300339" w:rsidRPr="007E341B">
        <w:rPr>
          <w:rFonts w:asciiTheme="majorBidi" w:eastAsia="Times New Roman" w:hAnsiTheme="majorBidi" w:cstheme="majorBidi"/>
          <w:sz w:val="22"/>
          <w:szCs w:val="22"/>
        </w:rPr>
        <w:t xml:space="preserve"> </w:t>
      </w:r>
      <w:hyperlink r:id="rId86" w:history="1">
        <w:r w:rsidR="00D44E91" w:rsidRPr="00A80C40">
          <w:rPr>
            <w:rStyle w:val="Hyperlink"/>
            <w:rFonts w:asciiTheme="majorBidi" w:eastAsia="Times New Roman" w:hAnsiTheme="majorBidi" w:cstheme="majorBidi"/>
            <w:sz w:val="22"/>
            <w:szCs w:val="22"/>
          </w:rPr>
          <w:t>https://doi.org/10.3390/app12168074</w:t>
        </w:r>
      </w:hyperlink>
      <w:r w:rsidR="00D44E91">
        <w:rPr>
          <w:rFonts w:asciiTheme="majorBidi" w:eastAsia="Times New Roman" w:hAnsiTheme="majorBidi" w:cstheme="majorBidi"/>
          <w:sz w:val="22"/>
          <w:szCs w:val="22"/>
        </w:rPr>
        <w:t xml:space="preserve"> </w:t>
      </w:r>
    </w:p>
    <w:p w14:paraId="015E7DC4" w14:textId="5F09D355"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Al-</w:t>
      </w:r>
      <w:proofErr w:type="spellStart"/>
      <w:r w:rsidRPr="007E341B">
        <w:rPr>
          <w:rFonts w:asciiTheme="majorBidi" w:hAnsiTheme="majorBidi" w:cstheme="majorBidi"/>
          <w:sz w:val="22"/>
          <w:szCs w:val="22"/>
        </w:rPr>
        <w:t>Qutaibi</w:t>
      </w:r>
      <w:proofErr w:type="spellEnd"/>
      <w:r w:rsidRPr="007E341B">
        <w:rPr>
          <w:rFonts w:asciiTheme="majorBidi" w:hAnsiTheme="majorBidi" w:cstheme="majorBidi"/>
          <w:sz w:val="22"/>
          <w:szCs w:val="22"/>
        </w:rPr>
        <w:t xml:space="preserve">, M., &amp; </w:t>
      </w:r>
      <w:proofErr w:type="spellStart"/>
      <w:r w:rsidRPr="007E341B">
        <w:rPr>
          <w:rFonts w:asciiTheme="majorBidi" w:hAnsiTheme="majorBidi" w:cstheme="majorBidi"/>
          <w:sz w:val="22"/>
          <w:szCs w:val="22"/>
        </w:rPr>
        <w:t>Kagne</w:t>
      </w:r>
      <w:proofErr w:type="spellEnd"/>
      <w:r w:rsidRPr="007E341B">
        <w:rPr>
          <w:rFonts w:asciiTheme="majorBidi" w:hAnsiTheme="majorBidi" w:cstheme="majorBidi"/>
          <w:sz w:val="22"/>
          <w:szCs w:val="22"/>
        </w:rPr>
        <w:t>, S.R. (2024). Exploring the phytochemical compositions, antioxidant activity, and nutritional potentials of edible and medicinal mushrooms. International Journal of Microbiology, 2024(1), 6660423.</w:t>
      </w:r>
      <w:r w:rsidR="00300339" w:rsidRPr="007E341B">
        <w:rPr>
          <w:rFonts w:asciiTheme="majorBidi" w:eastAsia="Times New Roman" w:hAnsiTheme="majorBidi" w:cstheme="majorBidi"/>
          <w:sz w:val="22"/>
          <w:szCs w:val="22"/>
        </w:rPr>
        <w:t xml:space="preserve"> </w:t>
      </w:r>
      <w:hyperlink r:id="rId87" w:history="1">
        <w:r w:rsidR="00D44E91" w:rsidRPr="00A80C40">
          <w:rPr>
            <w:rStyle w:val="Hyperlink"/>
            <w:rFonts w:asciiTheme="majorBidi" w:eastAsia="Times New Roman" w:hAnsiTheme="majorBidi" w:cstheme="majorBidi"/>
            <w:sz w:val="22"/>
            <w:szCs w:val="22"/>
          </w:rPr>
          <w:t>https://doi.org/10.1155/2024/6660423</w:t>
        </w:r>
      </w:hyperlink>
      <w:r w:rsidR="00D44E91">
        <w:rPr>
          <w:rFonts w:asciiTheme="majorBidi" w:eastAsia="Times New Roman" w:hAnsiTheme="majorBidi" w:cstheme="majorBidi"/>
          <w:sz w:val="22"/>
          <w:szCs w:val="22"/>
        </w:rPr>
        <w:t xml:space="preserve"> </w:t>
      </w:r>
    </w:p>
    <w:p w14:paraId="210B89B1" w14:textId="52F2DC18"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t>Zhang, S., Lin, L.I., &amp; Yun, Z.U. (2022). Roles of mushroom polysaccharides in chronic disease management. Journal of Integrative Agriculture, 21(7), 1839-1866.</w:t>
      </w:r>
      <w:r w:rsidR="00300339" w:rsidRPr="007E341B">
        <w:rPr>
          <w:rFonts w:asciiTheme="majorBidi" w:eastAsia="Times New Roman" w:hAnsiTheme="majorBidi" w:cstheme="majorBidi"/>
          <w:sz w:val="22"/>
          <w:szCs w:val="22"/>
        </w:rPr>
        <w:t xml:space="preserve"> </w:t>
      </w:r>
      <w:hyperlink r:id="rId88" w:history="1">
        <w:r w:rsidR="00D44E91" w:rsidRPr="00A80C40">
          <w:rPr>
            <w:rStyle w:val="Hyperlink"/>
            <w:rFonts w:asciiTheme="majorBidi" w:eastAsia="Times New Roman" w:hAnsiTheme="majorBidi" w:cstheme="majorBidi"/>
            <w:sz w:val="22"/>
            <w:szCs w:val="22"/>
          </w:rPr>
          <w:t>https://doi.org/10.1016/S2095-3119(21)63871-6</w:t>
        </w:r>
      </w:hyperlink>
      <w:r w:rsidR="00D44E91">
        <w:rPr>
          <w:rFonts w:asciiTheme="majorBidi" w:eastAsia="Times New Roman" w:hAnsiTheme="majorBidi" w:cstheme="majorBidi"/>
          <w:sz w:val="22"/>
          <w:szCs w:val="22"/>
        </w:rPr>
        <w:t xml:space="preserve"> </w:t>
      </w:r>
    </w:p>
    <w:p w14:paraId="52AE1BB3" w14:textId="6C27FD10" w:rsidR="00235AF1" w:rsidRPr="007E341B" w:rsidRDefault="00182E67">
      <w:pPr>
        <w:pStyle w:val="ListParagraph"/>
        <w:numPr>
          <w:ilvl w:val="0"/>
          <w:numId w:val="3"/>
        </w:numPr>
        <w:spacing w:after="0" w:line="240" w:lineRule="auto"/>
        <w:jc w:val="both"/>
        <w:rPr>
          <w:rFonts w:asciiTheme="majorBidi" w:hAnsiTheme="majorBidi" w:cstheme="majorBidi"/>
          <w:sz w:val="22"/>
          <w:szCs w:val="22"/>
        </w:rPr>
      </w:pPr>
      <w:r w:rsidRPr="007E341B">
        <w:rPr>
          <w:rFonts w:asciiTheme="majorBidi" w:hAnsiTheme="majorBidi" w:cstheme="majorBidi"/>
          <w:sz w:val="22"/>
          <w:szCs w:val="22"/>
        </w:rPr>
        <w:lastRenderedPageBreak/>
        <w:t>Das, A., Chen, C.M., Mu, S.C., Yang, S.H., Ju, Y.M., &amp; Li, S.C. (2022). Medicinal components in edible mushrooms on diabetes mellitus treatment. Pharmaceutics, 14(2), 436.</w:t>
      </w:r>
      <w:r w:rsidR="00300339" w:rsidRPr="007E341B">
        <w:rPr>
          <w:rFonts w:asciiTheme="majorBidi" w:eastAsia="Times New Roman" w:hAnsiTheme="majorBidi" w:cstheme="majorBidi"/>
          <w:sz w:val="22"/>
          <w:szCs w:val="22"/>
        </w:rPr>
        <w:t xml:space="preserve"> </w:t>
      </w:r>
      <w:hyperlink r:id="rId89" w:history="1">
        <w:r w:rsidR="00D44E91" w:rsidRPr="00A80C40">
          <w:rPr>
            <w:rStyle w:val="Hyperlink"/>
            <w:rFonts w:asciiTheme="majorBidi" w:eastAsia="Times New Roman" w:hAnsiTheme="majorBidi" w:cstheme="majorBidi"/>
            <w:sz w:val="22"/>
            <w:szCs w:val="22"/>
          </w:rPr>
          <w:t>https://doi.org/10.3390/pharmaceutics14020436</w:t>
        </w:r>
      </w:hyperlink>
      <w:r w:rsidR="00D44E91">
        <w:rPr>
          <w:rFonts w:asciiTheme="majorBidi" w:eastAsia="Times New Roman" w:hAnsiTheme="majorBidi" w:cstheme="majorBidi"/>
          <w:sz w:val="22"/>
          <w:szCs w:val="22"/>
        </w:rPr>
        <w:t xml:space="preserve"> </w:t>
      </w:r>
    </w:p>
    <w:p w14:paraId="7C69838B" w14:textId="7692830B" w:rsidR="00235AF1" w:rsidRPr="00D44E91" w:rsidRDefault="00182E67">
      <w:pPr>
        <w:pStyle w:val="ListParagraph"/>
        <w:numPr>
          <w:ilvl w:val="0"/>
          <w:numId w:val="3"/>
        </w:numPr>
        <w:spacing w:after="0" w:line="240" w:lineRule="auto"/>
        <w:jc w:val="both"/>
        <w:rPr>
          <w:rFonts w:asciiTheme="majorBidi" w:hAnsiTheme="majorBidi" w:cstheme="majorBidi"/>
          <w:sz w:val="22"/>
          <w:szCs w:val="22"/>
        </w:rPr>
      </w:pPr>
      <w:proofErr w:type="spellStart"/>
      <w:r w:rsidRPr="007E341B">
        <w:rPr>
          <w:rFonts w:asciiTheme="majorBidi" w:hAnsiTheme="majorBidi" w:cstheme="majorBidi"/>
          <w:sz w:val="22"/>
          <w:szCs w:val="22"/>
        </w:rPr>
        <w:t>Lysakowska</w:t>
      </w:r>
      <w:proofErr w:type="spellEnd"/>
      <w:r w:rsidRPr="007E341B">
        <w:rPr>
          <w:rFonts w:asciiTheme="majorBidi" w:hAnsiTheme="majorBidi" w:cstheme="majorBidi"/>
          <w:sz w:val="22"/>
          <w:szCs w:val="22"/>
        </w:rPr>
        <w:t xml:space="preserve">, P., Sobota, A., &amp; </w:t>
      </w:r>
      <w:proofErr w:type="spellStart"/>
      <w:r w:rsidRPr="007E341B">
        <w:rPr>
          <w:rFonts w:asciiTheme="majorBidi" w:hAnsiTheme="majorBidi" w:cstheme="majorBidi"/>
          <w:sz w:val="22"/>
          <w:szCs w:val="22"/>
        </w:rPr>
        <w:t>Wirkijowska</w:t>
      </w:r>
      <w:proofErr w:type="spellEnd"/>
      <w:r w:rsidRPr="007E341B">
        <w:rPr>
          <w:rFonts w:asciiTheme="majorBidi" w:hAnsiTheme="majorBidi" w:cstheme="majorBidi"/>
          <w:sz w:val="22"/>
          <w:szCs w:val="22"/>
        </w:rPr>
        <w:t>, A. (2023). Medicinal mushrooms: Their bioactive components, nutritional value and application in functional food production—A review. Molecules, 28(14), 5393.</w:t>
      </w:r>
      <w:r w:rsidR="00300339" w:rsidRPr="007E341B">
        <w:rPr>
          <w:rFonts w:asciiTheme="majorBidi" w:eastAsia="Times New Roman" w:hAnsiTheme="majorBidi" w:cstheme="majorBidi"/>
          <w:sz w:val="22"/>
          <w:szCs w:val="22"/>
        </w:rPr>
        <w:t xml:space="preserve"> </w:t>
      </w:r>
      <w:hyperlink r:id="rId90" w:history="1">
        <w:r w:rsidR="00D44E91" w:rsidRPr="00A80C40">
          <w:rPr>
            <w:rStyle w:val="Hyperlink"/>
            <w:rFonts w:asciiTheme="majorBidi" w:eastAsia="Times New Roman" w:hAnsiTheme="majorBidi" w:cstheme="majorBidi"/>
            <w:sz w:val="22"/>
            <w:szCs w:val="22"/>
          </w:rPr>
          <w:t>https://doi.org/10.3390/molecules28145393</w:t>
        </w:r>
      </w:hyperlink>
      <w:r w:rsidR="00D44E91">
        <w:rPr>
          <w:rFonts w:asciiTheme="majorBidi" w:eastAsia="Times New Roman" w:hAnsiTheme="majorBidi" w:cstheme="majorBidi"/>
          <w:sz w:val="22"/>
          <w:szCs w:val="22"/>
        </w:rPr>
        <w:t xml:space="preserve"> </w:t>
      </w:r>
    </w:p>
    <w:p w14:paraId="68A95CB1" w14:textId="083F3101" w:rsidR="00D44E91" w:rsidRPr="00D44E91" w:rsidRDefault="00D44E91" w:rsidP="00D44E91">
      <w:pPr>
        <w:pStyle w:val="ListParagraph"/>
        <w:numPr>
          <w:ilvl w:val="0"/>
          <w:numId w:val="3"/>
        </w:numPr>
        <w:jc w:val="both"/>
        <w:rPr>
          <w:rFonts w:asciiTheme="majorBidi" w:hAnsiTheme="majorBidi" w:cstheme="majorBidi"/>
          <w:sz w:val="22"/>
          <w:szCs w:val="22"/>
        </w:rPr>
      </w:pPr>
      <w:r w:rsidRPr="00D44E91">
        <w:rPr>
          <w:rFonts w:asciiTheme="majorBidi" w:hAnsiTheme="majorBidi" w:cstheme="majorBidi"/>
          <w:sz w:val="22"/>
          <w:szCs w:val="22"/>
        </w:rPr>
        <w:t>Badoni, P., &amp; Siddiqui, S.A. (2025). Metamorphosis of mushroom production from tradition to automation. Discover Applied Sciences, 7(9), 974.</w:t>
      </w:r>
      <w:r>
        <w:rPr>
          <w:rFonts w:asciiTheme="majorBidi" w:hAnsiTheme="majorBidi" w:cstheme="majorBidi"/>
          <w:sz w:val="22"/>
          <w:szCs w:val="22"/>
        </w:rPr>
        <w:t xml:space="preserve"> </w:t>
      </w:r>
      <w:hyperlink r:id="rId91" w:history="1">
        <w:r w:rsidRPr="00A80C40">
          <w:rPr>
            <w:rStyle w:val="Hyperlink"/>
            <w:rFonts w:asciiTheme="majorBidi" w:hAnsiTheme="majorBidi" w:cstheme="majorBidi"/>
            <w:sz w:val="22"/>
            <w:szCs w:val="22"/>
          </w:rPr>
          <w:t>https://doi.org/10.1007/s42452-025-07517-w</w:t>
        </w:r>
      </w:hyperlink>
      <w:r>
        <w:rPr>
          <w:rFonts w:asciiTheme="majorBidi" w:hAnsiTheme="majorBidi" w:cstheme="majorBidi"/>
          <w:sz w:val="22"/>
          <w:szCs w:val="22"/>
        </w:rPr>
        <w:t xml:space="preserve"> </w:t>
      </w:r>
    </w:p>
    <w:p w14:paraId="090D8980" w14:textId="047F92CF" w:rsidR="00D44E91" w:rsidRDefault="00D44E91" w:rsidP="00D44E91">
      <w:pPr>
        <w:pStyle w:val="ListParagraph"/>
        <w:numPr>
          <w:ilvl w:val="0"/>
          <w:numId w:val="3"/>
        </w:numPr>
        <w:spacing w:after="0" w:line="240" w:lineRule="auto"/>
        <w:jc w:val="both"/>
        <w:rPr>
          <w:rFonts w:asciiTheme="majorBidi" w:hAnsiTheme="majorBidi" w:cstheme="majorBidi"/>
          <w:sz w:val="22"/>
          <w:szCs w:val="22"/>
        </w:rPr>
      </w:pPr>
      <w:r w:rsidRPr="00D44E91">
        <w:rPr>
          <w:rFonts w:asciiTheme="majorBidi" w:hAnsiTheme="majorBidi" w:cstheme="majorBidi"/>
          <w:sz w:val="22"/>
          <w:szCs w:val="22"/>
        </w:rPr>
        <w:t xml:space="preserve">Miles, P.G., &amp; Chang, S.T. (2004). Mushrooms: cultivation, nutritional value, medicinal effect, and environmental impact. CRC </w:t>
      </w:r>
      <w:r>
        <w:rPr>
          <w:rFonts w:asciiTheme="majorBidi" w:hAnsiTheme="majorBidi" w:cstheme="majorBidi"/>
          <w:sz w:val="22"/>
          <w:szCs w:val="22"/>
        </w:rPr>
        <w:t xml:space="preserve">Press, </w:t>
      </w:r>
      <w:r w:rsidRPr="00D44E91">
        <w:rPr>
          <w:rFonts w:asciiTheme="majorBidi" w:hAnsiTheme="majorBidi" w:cstheme="majorBidi"/>
          <w:sz w:val="22"/>
          <w:szCs w:val="22"/>
        </w:rPr>
        <w:t>Boca</w:t>
      </w:r>
      <w:r>
        <w:rPr>
          <w:rFonts w:asciiTheme="majorBidi" w:hAnsiTheme="majorBidi" w:cstheme="majorBidi"/>
          <w:sz w:val="22"/>
          <w:szCs w:val="22"/>
        </w:rPr>
        <w:t xml:space="preserve"> Raton</w:t>
      </w:r>
      <w:r w:rsidRPr="00D44E91">
        <w:rPr>
          <w:rFonts w:asciiTheme="majorBidi" w:hAnsiTheme="majorBidi" w:cstheme="majorBidi"/>
          <w:sz w:val="22"/>
          <w:szCs w:val="22"/>
        </w:rPr>
        <w:t>, USA.</w:t>
      </w:r>
      <w:r>
        <w:rPr>
          <w:rFonts w:asciiTheme="majorBidi" w:hAnsiTheme="majorBidi" w:cstheme="majorBidi"/>
          <w:sz w:val="22"/>
          <w:szCs w:val="22"/>
        </w:rPr>
        <w:t xml:space="preserve"> </w:t>
      </w:r>
      <w:hyperlink r:id="rId92" w:history="1">
        <w:r w:rsidRPr="00A80C40">
          <w:rPr>
            <w:rStyle w:val="Hyperlink"/>
            <w:rFonts w:asciiTheme="majorBidi" w:hAnsiTheme="majorBidi" w:cstheme="majorBidi"/>
            <w:sz w:val="22"/>
            <w:szCs w:val="22"/>
          </w:rPr>
          <w:t>https://doi.org/10.1201/9780203492086</w:t>
        </w:r>
      </w:hyperlink>
      <w:r>
        <w:rPr>
          <w:rFonts w:asciiTheme="majorBidi" w:hAnsiTheme="majorBidi" w:cstheme="majorBidi"/>
          <w:sz w:val="22"/>
          <w:szCs w:val="22"/>
        </w:rPr>
        <w:t xml:space="preserve"> </w:t>
      </w:r>
    </w:p>
    <w:p w14:paraId="3DBC54A1" w14:textId="2D2FD39C" w:rsidR="00D44E91" w:rsidRDefault="00D44E91" w:rsidP="00D44E91">
      <w:pPr>
        <w:pStyle w:val="ListParagraph"/>
        <w:numPr>
          <w:ilvl w:val="0"/>
          <w:numId w:val="3"/>
        </w:numPr>
        <w:spacing w:after="0" w:line="240" w:lineRule="auto"/>
        <w:jc w:val="both"/>
        <w:rPr>
          <w:rFonts w:asciiTheme="majorBidi" w:hAnsiTheme="majorBidi" w:cstheme="majorBidi"/>
          <w:sz w:val="22"/>
          <w:szCs w:val="22"/>
        </w:rPr>
      </w:pPr>
      <w:r w:rsidRPr="00D44E91">
        <w:rPr>
          <w:rFonts w:asciiTheme="majorBidi" w:hAnsiTheme="majorBidi" w:cstheme="majorBidi"/>
          <w:sz w:val="22"/>
          <w:szCs w:val="22"/>
        </w:rPr>
        <w:t>Royse, D.J., Baars, J., &amp; Tan, Q. (2017). Current overview of mushroom production in the world.</w:t>
      </w:r>
      <w:r>
        <w:rPr>
          <w:rFonts w:asciiTheme="majorBidi" w:hAnsiTheme="majorBidi" w:cstheme="majorBidi"/>
          <w:sz w:val="22"/>
          <w:szCs w:val="22"/>
        </w:rPr>
        <w:t xml:space="preserve"> </w:t>
      </w:r>
      <w:r w:rsidRPr="00D44E91">
        <w:rPr>
          <w:rFonts w:asciiTheme="majorBidi" w:hAnsiTheme="majorBidi" w:cstheme="majorBidi"/>
          <w:b/>
          <w:bCs/>
          <w:sz w:val="22"/>
          <w:szCs w:val="22"/>
        </w:rPr>
        <w:t>In:</w:t>
      </w:r>
      <w:r w:rsidRPr="00D44E91">
        <w:rPr>
          <w:rFonts w:asciiTheme="majorBidi" w:hAnsiTheme="majorBidi" w:cstheme="majorBidi"/>
          <w:sz w:val="22"/>
          <w:szCs w:val="22"/>
        </w:rPr>
        <w:t> Edible and medicinal mushrooms: technology and applications,</w:t>
      </w:r>
      <w:r w:rsidR="006C7154">
        <w:rPr>
          <w:rFonts w:asciiTheme="majorBidi" w:hAnsiTheme="majorBidi" w:cstheme="majorBidi"/>
          <w:sz w:val="22"/>
          <w:szCs w:val="22"/>
        </w:rPr>
        <w:t xml:space="preserve"> </w:t>
      </w:r>
      <w:r w:rsidR="006C7154" w:rsidRPr="006C7154">
        <w:rPr>
          <w:rFonts w:asciiTheme="majorBidi" w:hAnsiTheme="majorBidi" w:cstheme="majorBidi"/>
          <w:sz w:val="22"/>
          <w:szCs w:val="22"/>
        </w:rPr>
        <w:t>John Wiley and Sons</w:t>
      </w:r>
      <w:r w:rsidR="006C7154">
        <w:rPr>
          <w:rFonts w:asciiTheme="majorBidi" w:hAnsiTheme="majorBidi" w:cstheme="majorBidi"/>
          <w:sz w:val="22"/>
          <w:szCs w:val="22"/>
        </w:rPr>
        <w:t xml:space="preserve">, USA. pp. </w:t>
      </w:r>
      <w:r w:rsidRPr="00D44E91">
        <w:rPr>
          <w:rFonts w:asciiTheme="majorBidi" w:hAnsiTheme="majorBidi" w:cstheme="majorBidi"/>
          <w:sz w:val="22"/>
          <w:szCs w:val="22"/>
        </w:rPr>
        <w:t>5-13.</w:t>
      </w:r>
      <w:r w:rsidR="006C7154">
        <w:rPr>
          <w:rFonts w:asciiTheme="majorBidi" w:hAnsiTheme="majorBidi" w:cstheme="majorBidi"/>
          <w:sz w:val="22"/>
          <w:szCs w:val="22"/>
        </w:rPr>
        <w:t xml:space="preserve"> </w:t>
      </w:r>
      <w:hyperlink r:id="rId93" w:history="1">
        <w:r w:rsidR="006C7154" w:rsidRPr="00A80C40">
          <w:rPr>
            <w:rStyle w:val="Hyperlink"/>
            <w:rFonts w:asciiTheme="majorBidi" w:hAnsiTheme="majorBidi" w:cstheme="majorBidi"/>
            <w:sz w:val="22"/>
            <w:szCs w:val="22"/>
          </w:rPr>
          <w:t>https://doi.org/10.1002/9781119149446.ch2</w:t>
        </w:r>
      </w:hyperlink>
      <w:r w:rsidR="006C7154">
        <w:rPr>
          <w:rFonts w:asciiTheme="majorBidi" w:hAnsiTheme="majorBidi" w:cstheme="majorBidi"/>
          <w:sz w:val="22"/>
          <w:szCs w:val="22"/>
        </w:rPr>
        <w:t xml:space="preserve"> </w:t>
      </w:r>
    </w:p>
    <w:p w14:paraId="52C9F94E" w14:textId="1E2C6BCE" w:rsidR="006C7154" w:rsidRDefault="006C7154" w:rsidP="006C7154">
      <w:pPr>
        <w:pStyle w:val="ListParagraph"/>
        <w:numPr>
          <w:ilvl w:val="0"/>
          <w:numId w:val="3"/>
        </w:numPr>
        <w:spacing w:after="0" w:line="240" w:lineRule="auto"/>
        <w:jc w:val="both"/>
        <w:rPr>
          <w:rFonts w:asciiTheme="majorBidi" w:hAnsiTheme="majorBidi" w:cstheme="majorBidi"/>
          <w:sz w:val="22"/>
          <w:szCs w:val="22"/>
        </w:rPr>
      </w:pPr>
      <w:r w:rsidRPr="006C7154">
        <w:rPr>
          <w:rFonts w:asciiTheme="majorBidi" w:hAnsiTheme="majorBidi" w:cstheme="majorBidi"/>
          <w:sz w:val="22"/>
          <w:szCs w:val="22"/>
        </w:rPr>
        <w:t xml:space="preserve">Mkhize, S.S., Cedric Simelane, M.B., </w:t>
      </w:r>
      <w:proofErr w:type="spellStart"/>
      <w:r w:rsidRPr="006C7154">
        <w:rPr>
          <w:rFonts w:asciiTheme="majorBidi" w:hAnsiTheme="majorBidi" w:cstheme="majorBidi"/>
          <w:sz w:val="22"/>
          <w:szCs w:val="22"/>
        </w:rPr>
        <w:t>Mongalo</w:t>
      </w:r>
      <w:proofErr w:type="spellEnd"/>
      <w:r w:rsidRPr="006C7154">
        <w:rPr>
          <w:rFonts w:asciiTheme="majorBidi" w:hAnsiTheme="majorBidi" w:cstheme="majorBidi"/>
          <w:sz w:val="22"/>
          <w:szCs w:val="22"/>
        </w:rPr>
        <w:t xml:space="preserve">, I.N., &amp; </w:t>
      </w:r>
      <w:proofErr w:type="spellStart"/>
      <w:r w:rsidRPr="006C7154">
        <w:rPr>
          <w:rFonts w:asciiTheme="majorBidi" w:hAnsiTheme="majorBidi" w:cstheme="majorBidi"/>
          <w:sz w:val="22"/>
          <w:szCs w:val="22"/>
        </w:rPr>
        <w:t>Pooe</w:t>
      </w:r>
      <w:proofErr w:type="spellEnd"/>
      <w:r w:rsidRPr="006C7154">
        <w:rPr>
          <w:rFonts w:asciiTheme="majorBidi" w:hAnsiTheme="majorBidi" w:cstheme="majorBidi"/>
          <w:sz w:val="22"/>
          <w:szCs w:val="22"/>
        </w:rPr>
        <w:t>, O.J. (2022). The effect of supplementing mushroom growing substrates on the bioactive compounds, antimicrobial activity, and antioxidant activity of Pleurotus ostreatus. </w:t>
      </w:r>
      <w:r w:rsidRPr="006C7154">
        <w:rPr>
          <w:rFonts w:asciiTheme="majorBidi" w:hAnsiTheme="majorBidi" w:cstheme="majorBidi"/>
          <w:i/>
          <w:iCs/>
          <w:sz w:val="22"/>
          <w:szCs w:val="22"/>
        </w:rPr>
        <w:t xml:space="preserve">Biochemistry </w:t>
      </w:r>
      <w:r w:rsidRPr="006C7154">
        <w:rPr>
          <w:rFonts w:asciiTheme="majorBidi" w:hAnsiTheme="majorBidi" w:cstheme="majorBidi"/>
          <w:sz w:val="22"/>
          <w:szCs w:val="22"/>
        </w:rPr>
        <w:t>Research International, 2022(1), 9436614.</w:t>
      </w:r>
      <w:r>
        <w:rPr>
          <w:rFonts w:asciiTheme="majorBidi" w:hAnsiTheme="majorBidi" w:cstheme="majorBidi"/>
          <w:sz w:val="22"/>
          <w:szCs w:val="22"/>
        </w:rPr>
        <w:t xml:space="preserve"> </w:t>
      </w:r>
      <w:hyperlink r:id="rId94" w:history="1">
        <w:r w:rsidRPr="00A80C40">
          <w:rPr>
            <w:rStyle w:val="Hyperlink"/>
            <w:rFonts w:asciiTheme="majorBidi" w:hAnsiTheme="majorBidi" w:cstheme="majorBidi"/>
            <w:sz w:val="22"/>
            <w:szCs w:val="22"/>
          </w:rPr>
          <w:t>https://doi.org/10.1155/2022/9436614</w:t>
        </w:r>
      </w:hyperlink>
      <w:r>
        <w:rPr>
          <w:rFonts w:asciiTheme="majorBidi" w:hAnsiTheme="majorBidi" w:cstheme="majorBidi"/>
          <w:sz w:val="22"/>
          <w:szCs w:val="22"/>
        </w:rPr>
        <w:t xml:space="preserve"> </w:t>
      </w:r>
    </w:p>
    <w:p w14:paraId="2AF9B236" w14:textId="2467DB2F" w:rsidR="006C7154" w:rsidRDefault="006C7154" w:rsidP="006C7154">
      <w:pPr>
        <w:pStyle w:val="ListParagraph"/>
        <w:numPr>
          <w:ilvl w:val="0"/>
          <w:numId w:val="3"/>
        </w:numPr>
        <w:spacing w:after="0" w:line="240" w:lineRule="auto"/>
        <w:jc w:val="both"/>
        <w:rPr>
          <w:rFonts w:asciiTheme="majorBidi" w:hAnsiTheme="majorBidi" w:cstheme="majorBidi"/>
          <w:sz w:val="22"/>
          <w:szCs w:val="22"/>
        </w:rPr>
      </w:pPr>
      <w:proofErr w:type="spellStart"/>
      <w:r w:rsidRPr="006C7154">
        <w:rPr>
          <w:rFonts w:asciiTheme="majorBidi" w:hAnsiTheme="majorBidi" w:cstheme="majorBidi"/>
          <w:sz w:val="22"/>
          <w:szCs w:val="22"/>
        </w:rPr>
        <w:t>Atíla</w:t>
      </w:r>
      <w:proofErr w:type="spellEnd"/>
      <w:r w:rsidRPr="006C7154">
        <w:rPr>
          <w:rFonts w:asciiTheme="majorBidi" w:hAnsiTheme="majorBidi" w:cstheme="majorBidi"/>
          <w:sz w:val="22"/>
          <w:szCs w:val="22"/>
        </w:rPr>
        <w:t xml:space="preserve">, F. (2022). Using phenol-rich </w:t>
      </w:r>
      <w:proofErr w:type="spellStart"/>
      <w:r w:rsidRPr="006C7154">
        <w:rPr>
          <w:rFonts w:asciiTheme="majorBidi" w:hAnsiTheme="majorBidi" w:cstheme="majorBidi"/>
          <w:sz w:val="22"/>
          <w:szCs w:val="22"/>
        </w:rPr>
        <w:t>agro</w:t>
      </w:r>
      <w:proofErr w:type="spellEnd"/>
      <w:r w:rsidRPr="006C7154">
        <w:rPr>
          <w:rFonts w:asciiTheme="majorBidi" w:hAnsiTheme="majorBidi" w:cstheme="majorBidi"/>
          <w:sz w:val="22"/>
          <w:szCs w:val="22"/>
        </w:rPr>
        <w:t>-wastes as substrates for the cultivation of Hypsizygus ulmarius mushroom with enhanced functional and nutritional potential. </w:t>
      </w:r>
      <w:r w:rsidRPr="006C7154">
        <w:rPr>
          <w:rFonts w:asciiTheme="majorBidi" w:hAnsiTheme="majorBidi" w:cstheme="majorBidi"/>
          <w:i/>
          <w:iCs/>
          <w:sz w:val="22"/>
          <w:szCs w:val="22"/>
        </w:rPr>
        <w:t>Brazilian Archives of Biology and Technology</w:t>
      </w:r>
      <w:r w:rsidRPr="006C7154">
        <w:rPr>
          <w:rFonts w:asciiTheme="majorBidi" w:hAnsiTheme="majorBidi" w:cstheme="majorBidi"/>
          <w:sz w:val="22"/>
          <w:szCs w:val="22"/>
        </w:rPr>
        <w:t>, </w:t>
      </w:r>
      <w:r w:rsidRPr="006C7154">
        <w:rPr>
          <w:rFonts w:asciiTheme="majorBidi" w:hAnsiTheme="majorBidi" w:cstheme="majorBidi"/>
          <w:i/>
          <w:iCs/>
          <w:sz w:val="22"/>
          <w:szCs w:val="22"/>
        </w:rPr>
        <w:t>65</w:t>
      </w:r>
      <w:r w:rsidRPr="006C7154">
        <w:rPr>
          <w:rFonts w:asciiTheme="majorBidi" w:hAnsiTheme="majorBidi" w:cstheme="majorBidi"/>
          <w:sz w:val="22"/>
          <w:szCs w:val="22"/>
        </w:rPr>
        <w:t>, e22210669.</w:t>
      </w:r>
      <w:r>
        <w:rPr>
          <w:rFonts w:asciiTheme="majorBidi" w:hAnsiTheme="majorBidi" w:cstheme="majorBidi"/>
          <w:sz w:val="22"/>
          <w:szCs w:val="22"/>
        </w:rPr>
        <w:t xml:space="preserve"> </w:t>
      </w:r>
      <w:hyperlink r:id="rId95" w:history="1">
        <w:r w:rsidRPr="00A80C40">
          <w:rPr>
            <w:rStyle w:val="Hyperlink"/>
            <w:rFonts w:asciiTheme="majorBidi" w:hAnsiTheme="majorBidi" w:cstheme="majorBidi"/>
            <w:sz w:val="22"/>
            <w:szCs w:val="22"/>
          </w:rPr>
          <w:t>https://doi.org/10.1590/1678-4324-2022210669</w:t>
        </w:r>
      </w:hyperlink>
      <w:r>
        <w:rPr>
          <w:rFonts w:asciiTheme="majorBidi" w:hAnsiTheme="majorBidi" w:cstheme="majorBidi"/>
          <w:sz w:val="22"/>
          <w:szCs w:val="22"/>
        </w:rPr>
        <w:t xml:space="preserve"> </w:t>
      </w:r>
    </w:p>
    <w:p w14:paraId="060164EA" w14:textId="3F4C2106" w:rsidR="006C7154" w:rsidRDefault="006C7154" w:rsidP="006C7154">
      <w:pPr>
        <w:pStyle w:val="ListParagraph"/>
        <w:numPr>
          <w:ilvl w:val="0"/>
          <w:numId w:val="3"/>
        </w:numPr>
        <w:spacing w:after="0" w:line="240" w:lineRule="auto"/>
        <w:jc w:val="both"/>
        <w:rPr>
          <w:rFonts w:asciiTheme="majorBidi" w:hAnsiTheme="majorBidi" w:cstheme="majorBidi"/>
          <w:sz w:val="22"/>
          <w:szCs w:val="22"/>
        </w:rPr>
      </w:pPr>
      <w:r w:rsidRPr="006C7154">
        <w:rPr>
          <w:rFonts w:asciiTheme="majorBidi" w:hAnsiTheme="majorBidi" w:cstheme="majorBidi"/>
          <w:sz w:val="22"/>
          <w:szCs w:val="22"/>
        </w:rPr>
        <w:t>Thakur, M</w:t>
      </w:r>
      <w:r>
        <w:rPr>
          <w:rFonts w:asciiTheme="majorBidi" w:hAnsiTheme="majorBidi" w:cstheme="majorBidi"/>
          <w:sz w:val="22"/>
          <w:szCs w:val="22"/>
        </w:rPr>
        <w:t>.</w:t>
      </w:r>
      <w:r w:rsidRPr="006C7154">
        <w:rPr>
          <w:rFonts w:asciiTheme="majorBidi" w:hAnsiTheme="majorBidi" w:cstheme="majorBidi"/>
          <w:sz w:val="22"/>
          <w:szCs w:val="22"/>
        </w:rPr>
        <w:t>P., Singh, H.K., &amp; Shukla, C.S. (2025). Current status and future prospects of mushroom cultivation and research in India: A review. CABI Agriculture and Bioscience, 6(1), 0056.</w:t>
      </w:r>
      <w:r>
        <w:rPr>
          <w:rFonts w:asciiTheme="majorBidi" w:hAnsiTheme="majorBidi" w:cstheme="majorBidi"/>
          <w:sz w:val="22"/>
          <w:szCs w:val="22"/>
        </w:rPr>
        <w:t xml:space="preserve"> </w:t>
      </w:r>
      <w:hyperlink r:id="rId96" w:history="1">
        <w:r w:rsidRPr="00A80C40">
          <w:rPr>
            <w:rStyle w:val="Hyperlink"/>
            <w:rFonts w:asciiTheme="majorBidi" w:hAnsiTheme="majorBidi" w:cstheme="majorBidi"/>
            <w:sz w:val="22"/>
            <w:szCs w:val="22"/>
          </w:rPr>
          <w:t>https://doi.org/10.1079/ab.2025.0056</w:t>
        </w:r>
      </w:hyperlink>
      <w:r>
        <w:rPr>
          <w:rFonts w:asciiTheme="majorBidi" w:hAnsiTheme="majorBidi" w:cstheme="majorBidi"/>
          <w:sz w:val="22"/>
          <w:szCs w:val="22"/>
        </w:rPr>
        <w:t xml:space="preserve"> </w:t>
      </w:r>
    </w:p>
    <w:p w14:paraId="390BA7AB" w14:textId="5DE2A3EA" w:rsidR="006C7154" w:rsidRDefault="006C7154" w:rsidP="006C7154">
      <w:pPr>
        <w:pStyle w:val="ListParagraph"/>
        <w:numPr>
          <w:ilvl w:val="0"/>
          <w:numId w:val="3"/>
        </w:numPr>
        <w:spacing w:after="0" w:line="240" w:lineRule="auto"/>
        <w:jc w:val="both"/>
        <w:rPr>
          <w:rFonts w:asciiTheme="majorBidi" w:hAnsiTheme="majorBidi" w:cstheme="majorBidi"/>
          <w:sz w:val="22"/>
          <w:szCs w:val="22"/>
        </w:rPr>
      </w:pPr>
      <w:r w:rsidRPr="006C7154">
        <w:rPr>
          <w:rFonts w:asciiTheme="majorBidi" w:hAnsiTheme="majorBidi" w:cstheme="majorBidi"/>
          <w:sz w:val="22"/>
          <w:szCs w:val="22"/>
        </w:rPr>
        <w:t>Wasser, S.P. (2011). Current findings, future trends, and unsolved problems in studies of medicinal mushrooms. Applied microbiology and biotechnology, 89(5), 1323-1332.</w:t>
      </w:r>
      <w:r>
        <w:rPr>
          <w:rFonts w:asciiTheme="majorBidi" w:hAnsiTheme="majorBidi" w:cstheme="majorBidi"/>
          <w:sz w:val="22"/>
          <w:szCs w:val="22"/>
        </w:rPr>
        <w:t xml:space="preserve"> </w:t>
      </w:r>
      <w:hyperlink r:id="rId97" w:history="1">
        <w:r w:rsidRPr="00A80C40">
          <w:rPr>
            <w:rStyle w:val="Hyperlink"/>
            <w:rFonts w:asciiTheme="majorBidi" w:hAnsiTheme="majorBidi" w:cstheme="majorBidi"/>
            <w:sz w:val="22"/>
            <w:szCs w:val="22"/>
          </w:rPr>
          <w:t>https://doi.org/10.1007/s00253-010-3067-4</w:t>
        </w:r>
      </w:hyperlink>
      <w:r>
        <w:rPr>
          <w:rFonts w:asciiTheme="majorBidi" w:hAnsiTheme="majorBidi" w:cstheme="majorBidi"/>
          <w:sz w:val="22"/>
          <w:szCs w:val="22"/>
        </w:rPr>
        <w:t xml:space="preserve"> </w:t>
      </w:r>
    </w:p>
    <w:p w14:paraId="65390D59" w14:textId="65A04B79" w:rsidR="006C7154" w:rsidRDefault="006C7154" w:rsidP="006C7154">
      <w:pPr>
        <w:pStyle w:val="ListParagraph"/>
        <w:numPr>
          <w:ilvl w:val="0"/>
          <w:numId w:val="3"/>
        </w:numPr>
        <w:spacing w:after="0" w:line="240" w:lineRule="auto"/>
        <w:jc w:val="both"/>
        <w:rPr>
          <w:rFonts w:asciiTheme="majorBidi" w:hAnsiTheme="majorBidi" w:cstheme="majorBidi"/>
          <w:sz w:val="22"/>
          <w:szCs w:val="22"/>
        </w:rPr>
      </w:pPr>
      <w:r w:rsidRPr="006C7154">
        <w:rPr>
          <w:rFonts w:asciiTheme="majorBidi" w:hAnsiTheme="majorBidi" w:cstheme="majorBidi"/>
          <w:sz w:val="22"/>
          <w:szCs w:val="22"/>
        </w:rPr>
        <w:t xml:space="preserve">Sharma, D., </w:t>
      </w:r>
      <w:proofErr w:type="spellStart"/>
      <w:r w:rsidRPr="006C7154">
        <w:rPr>
          <w:rFonts w:asciiTheme="majorBidi" w:hAnsiTheme="majorBidi" w:cstheme="majorBidi"/>
          <w:sz w:val="22"/>
          <w:szCs w:val="22"/>
        </w:rPr>
        <w:t>Ramniwas</w:t>
      </w:r>
      <w:proofErr w:type="spellEnd"/>
      <w:r w:rsidRPr="006C7154">
        <w:rPr>
          <w:rFonts w:asciiTheme="majorBidi" w:hAnsiTheme="majorBidi" w:cstheme="majorBidi"/>
          <w:sz w:val="22"/>
          <w:szCs w:val="22"/>
        </w:rPr>
        <w:t xml:space="preserve">, S., Mugabi, R., Uddin, J., &amp; </w:t>
      </w:r>
      <w:proofErr w:type="spellStart"/>
      <w:r w:rsidRPr="006C7154">
        <w:rPr>
          <w:rFonts w:asciiTheme="majorBidi" w:hAnsiTheme="majorBidi" w:cstheme="majorBidi"/>
          <w:sz w:val="22"/>
          <w:szCs w:val="22"/>
        </w:rPr>
        <w:t>Nayik</w:t>
      </w:r>
      <w:proofErr w:type="spellEnd"/>
      <w:r w:rsidRPr="006C7154">
        <w:rPr>
          <w:rFonts w:asciiTheme="majorBidi" w:hAnsiTheme="majorBidi" w:cstheme="majorBidi"/>
          <w:sz w:val="22"/>
          <w:szCs w:val="22"/>
        </w:rPr>
        <w:t>, G.A. (2024). Revolutionizing Mushroom processing: Innovative techniques and technologies. Food Chemistry: X, </w:t>
      </w:r>
      <w:r w:rsidRPr="006C7154">
        <w:rPr>
          <w:rFonts w:asciiTheme="majorBidi" w:hAnsiTheme="majorBidi" w:cstheme="majorBidi"/>
          <w:i/>
          <w:iCs/>
          <w:sz w:val="22"/>
          <w:szCs w:val="22"/>
        </w:rPr>
        <w:t>23</w:t>
      </w:r>
      <w:r w:rsidRPr="006C7154">
        <w:rPr>
          <w:rFonts w:asciiTheme="majorBidi" w:hAnsiTheme="majorBidi" w:cstheme="majorBidi"/>
          <w:sz w:val="22"/>
          <w:szCs w:val="22"/>
        </w:rPr>
        <w:t>, 101774.</w:t>
      </w:r>
      <w:r>
        <w:rPr>
          <w:rFonts w:asciiTheme="majorBidi" w:hAnsiTheme="majorBidi" w:cstheme="majorBidi"/>
          <w:sz w:val="22"/>
          <w:szCs w:val="22"/>
        </w:rPr>
        <w:t xml:space="preserve"> </w:t>
      </w:r>
      <w:hyperlink r:id="rId98" w:history="1">
        <w:r w:rsidRPr="00A80C40">
          <w:rPr>
            <w:rStyle w:val="Hyperlink"/>
            <w:rFonts w:asciiTheme="majorBidi" w:hAnsiTheme="majorBidi" w:cstheme="majorBidi"/>
            <w:sz w:val="22"/>
            <w:szCs w:val="22"/>
          </w:rPr>
          <w:t>https://doi.org/10.1016/j.fochx.2024.101774</w:t>
        </w:r>
      </w:hyperlink>
      <w:r>
        <w:rPr>
          <w:rFonts w:asciiTheme="majorBidi" w:hAnsiTheme="majorBidi" w:cstheme="majorBidi"/>
          <w:sz w:val="22"/>
          <w:szCs w:val="22"/>
        </w:rPr>
        <w:t xml:space="preserve"> </w:t>
      </w:r>
    </w:p>
    <w:p w14:paraId="6A49A5E7" w14:textId="70ECFF5D" w:rsidR="006C7154" w:rsidRDefault="00F61D7E" w:rsidP="00F61D7E">
      <w:pPr>
        <w:pStyle w:val="ListParagraph"/>
        <w:numPr>
          <w:ilvl w:val="0"/>
          <w:numId w:val="3"/>
        </w:numPr>
        <w:spacing w:after="0" w:line="240" w:lineRule="auto"/>
        <w:jc w:val="both"/>
        <w:rPr>
          <w:rFonts w:asciiTheme="majorBidi" w:hAnsiTheme="majorBidi" w:cstheme="majorBidi"/>
          <w:sz w:val="22"/>
          <w:szCs w:val="22"/>
        </w:rPr>
      </w:pPr>
      <w:r w:rsidRPr="00F61D7E">
        <w:rPr>
          <w:rFonts w:asciiTheme="majorBidi" w:hAnsiTheme="majorBidi" w:cstheme="majorBidi"/>
          <w:sz w:val="22"/>
          <w:szCs w:val="22"/>
        </w:rPr>
        <w:t xml:space="preserve">Malakar, S., </w:t>
      </w:r>
      <w:proofErr w:type="spellStart"/>
      <w:r w:rsidRPr="00F61D7E">
        <w:rPr>
          <w:rFonts w:asciiTheme="majorBidi" w:hAnsiTheme="majorBidi" w:cstheme="majorBidi"/>
          <w:sz w:val="22"/>
          <w:szCs w:val="22"/>
        </w:rPr>
        <w:t>Sutaoney</w:t>
      </w:r>
      <w:proofErr w:type="spellEnd"/>
      <w:r w:rsidRPr="00F61D7E">
        <w:rPr>
          <w:rFonts w:asciiTheme="majorBidi" w:hAnsiTheme="majorBidi" w:cstheme="majorBidi"/>
          <w:sz w:val="22"/>
          <w:szCs w:val="22"/>
        </w:rPr>
        <w:t xml:space="preserve">, P., Singh, P., Shah, K., &amp; Chauhan, N.S. (2025). Systems biology for mushroom cultivation promoting quality </w:t>
      </w:r>
      <w:r>
        <w:rPr>
          <w:rFonts w:asciiTheme="majorBidi" w:hAnsiTheme="majorBidi" w:cstheme="majorBidi"/>
          <w:sz w:val="22"/>
          <w:szCs w:val="22"/>
        </w:rPr>
        <w:t xml:space="preserve">of </w:t>
      </w:r>
      <w:r w:rsidRPr="00F61D7E">
        <w:rPr>
          <w:rFonts w:asciiTheme="majorBidi" w:hAnsiTheme="majorBidi" w:cstheme="majorBidi"/>
          <w:sz w:val="22"/>
          <w:szCs w:val="22"/>
        </w:rPr>
        <w:t>life. Circular Agricultural Systems, 5(1).</w:t>
      </w:r>
      <w:r>
        <w:rPr>
          <w:rFonts w:asciiTheme="majorBidi" w:hAnsiTheme="majorBidi" w:cstheme="majorBidi"/>
          <w:sz w:val="22"/>
          <w:szCs w:val="22"/>
        </w:rPr>
        <w:t xml:space="preserve"> </w:t>
      </w:r>
      <w:hyperlink r:id="rId99" w:history="1">
        <w:r w:rsidRPr="00A80C40">
          <w:rPr>
            <w:rStyle w:val="Hyperlink"/>
            <w:rFonts w:asciiTheme="majorBidi" w:hAnsiTheme="majorBidi" w:cstheme="majorBidi"/>
            <w:sz w:val="22"/>
            <w:szCs w:val="22"/>
          </w:rPr>
          <w:t>https://doi.org/10.48130/cas-0025-0007</w:t>
        </w:r>
      </w:hyperlink>
      <w:r>
        <w:rPr>
          <w:rFonts w:asciiTheme="majorBidi" w:hAnsiTheme="majorBidi" w:cstheme="majorBidi"/>
          <w:sz w:val="22"/>
          <w:szCs w:val="22"/>
        </w:rPr>
        <w:t xml:space="preserve"> </w:t>
      </w:r>
    </w:p>
    <w:p w14:paraId="4D81551D" w14:textId="25941343" w:rsidR="00F61D7E" w:rsidRDefault="00F61D7E" w:rsidP="00F61D7E">
      <w:pPr>
        <w:pStyle w:val="ListParagraph"/>
        <w:numPr>
          <w:ilvl w:val="0"/>
          <w:numId w:val="3"/>
        </w:numPr>
        <w:spacing w:after="0" w:line="240" w:lineRule="auto"/>
        <w:jc w:val="both"/>
        <w:rPr>
          <w:rFonts w:asciiTheme="majorBidi" w:hAnsiTheme="majorBidi" w:cstheme="majorBidi"/>
          <w:sz w:val="22"/>
          <w:szCs w:val="22"/>
        </w:rPr>
      </w:pPr>
      <w:r w:rsidRPr="00F61D7E">
        <w:rPr>
          <w:rFonts w:asciiTheme="majorBidi" w:hAnsiTheme="majorBidi" w:cstheme="majorBidi"/>
          <w:sz w:val="22"/>
          <w:szCs w:val="22"/>
        </w:rPr>
        <w:t xml:space="preserve">Aditya., Neeraj., Bhatia J.N., Yadav A.N. (2024). Characterization and yield performance of spawn prepared from </w:t>
      </w:r>
      <w:r w:rsidRPr="00F61D7E">
        <w:rPr>
          <w:rFonts w:asciiTheme="majorBidi" w:hAnsiTheme="majorBidi" w:cstheme="majorBidi"/>
          <w:i/>
          <w:iCs/>
          <w:sz w:val="22"/>
          <w:szCs w:val="22"/>
        </w:rPr>
        <w:t xml:space="preserve">Hypsizygus ulmarius </w:t>
      </w:r>
      <w:r w:rsidRPr="00F61D7E">
        <w:rPr>
          <w:rFonts w:asciiTheme="majorBidi" w:hAnsiTheme="majorBidi" w:cstheme="majorBidi"/>
          <w:sz w:val="22"/>
          <w:szCs w:val="22"/>
        </w:rPr>
        <w:t xml:space="preserve">(Bull.) Redhead and some Pleurotus species (Agaricomycetes). Biocatalysis and Agricultural Biotechnology, 56, 103047. </w:t>
      </w:r>
      <w:hyperlink r:id="rId100" w:history="1">
        <w:r w:rsidRPr="00F61D7E">
          <w:rPr>
            <w:rStyle w:val="Hyperlink"/>
            <w:rFonts w:asciiTheme="majorBidi" w:hAnsiTheme="majorBidi" w:cstheme="majorBidi"/>
            <w:sz w:val="22"/>
            <w:szCs w:val="22"/>
          </w:rPr>
          <w:t>https://doi.org/10.1016/j.bcab.2024.103047</w:t>
        </w:r>
      </w:hyperlink>
      <w:r w:rsidRPr="00F61D7E">
        <w:rPr>
          <w:rFonts w:asciiTheme="majorBidi" w:hAnsiTheme="majorBidi" w:cstheme="majorBidi"/>
          <w:sz w:val="22"/>
          <w:szCs w:val="22"/>
        </w:rPr>
        <w:t xml:space="preserve"> </w:t>
      </w:r>
    </w:p>
    <w:p w14:paraId="20EDFF66" w14:textId="4115159E" w:rsidR="00F61D7E" w:rsidRPr="00F61D7E" w:rsidRDefault="00F61D7E" w:rsidP="00F61D7E">
      <w:pPr>
        <w:pStyle w:val="ListParagraph"/>
        <w:numPr>
          <w:ilvl w:val="0"/>
          <w:numId w:val="3"/>
        </w:numPr>
        <w:spacing w:after="0" w:line="240" w:lineRule="auto"/>
        <w:jc w:val="both"/>
        <w:rPr>
          <w:rFonts w:asciiTheme="majorBidi" w:hAnsiTheme="majorBidi" w:cstheme="majorBidi"/>
          <w:sz w:val="22"/>
          <w:szCs w:val="22"/>
        </w:rPr>
      </w:pPr>
      <w:r w:rsidRPr="00F61D7E">
        <w:rPr>
          <w:rFonts w:asciiTheme="majorBidi" w:hAnsiTheme="majorBidi" w:cstheme="majorBidi"/>
          <w:sz w:val="22"/>
          <w:szCs w:val="22"/>
        </w:rPr>
        <w:t xml:space="preserve">Aditya., </w:t>
      </w:r>
      <w:proofErr w:type="spellStart"/>
      <w:r w:rsidRPr="00F61D7E">
        <w:rPr>
          <w:rFonts w:asciiTheme="majorBidi" w:hAnsiTheme="majorBidi" w:cstheme="majorBidi"/>
          <w:sz w:val="22"/>
          <w:szCs w:val="22"/>
        </w:rPr>
        <w:t>Jarial</w:t>
      </w:r>
      <w:proofErr w:type="spellEnd"/>
      <w:r w:rsidRPr="00F61D7E">
        <w:rPr>
          <w:rFonts w:asciiTheme="majorBidi" w:hAnsiTheme="majorBidi" w:cstheme="majorBidi"/>
          <w:sz w:val="22"/>
          <w:szCs w:val="22"/>
        </w:rPr>
        <w:t xml:space="preserve"> R.S., </w:t>
      </w:r>
      <w:proofErr w:type="spellStart"/>
      <w:r w:rsidRPr="00F61D7E">
        <w:rPr>
          <w:rFonts w:asciiTheme="majorBidi" w:hAnsiTheme="majorBidi" w:cstheme="majorBidi"/>
          <w:sz w:val="22"/>
          <w:szCs w:val="22"/>
        </w:rPr>
        <w:t>Jarial</w:t>
      </w:r>
      <w:proofErr w:type="spellEnd"/>
      <w:r w:rsidRPr="00F61D7E">
        <w:rPr>
          <w:rFonts w:asciiTheme="majorBidi" w:hAnsiTheme="majorBidi" w:cstheme="majorBidi"/>
          <w:sz w:val="22"/>
          <w:szCs w:val="22"/>
        </w:rPr>
        <w:t xml:space="preserve"> K. </w:t>
      </w:r>
      <w:r>
        <w:rPr>
          <w:rFonts w:asciiTheme="majorBidi" w:hAnsiTheme="majorBidi" w:cstheme="majorBidi"/>
          <w:sz w:val="22"/>
          <w:szCs w:val="22"/>
        </w:rPr>
        <w:t>(</w:t>
      </w:r>
      <w:r w:rsidRPr="00F61D7E">
        <w:rPr>
          <w:rFonts w:asciiTheme="majorBidi" w:hAnsiTheme="majorBidi" w:cstheme="majorBidi"/>
          <w:sz w:val="22"/>
          <w:szCs w:val="22"/>
        </w:rPr>
        <w:t>2022</w:t>
      </w:r>
      <w:r>
        <w:rPr>
          <w:rFonts w:asciiTheme="majorBidi" w:hAnsiTheme="majorBidi" w:cstheme="majorBidi"/>
          <w:sz w:val="22"/>
          <w:szCs w:val="22"/>
        </w:rPr>
        <w:t>)</w:t>
      </w:r>
      <w:r w:rsidRPr="00F61D7E">
        <w:rPr>
          <w:rFonts w:asciiTheme="majorBidi" w:hAnsiTheme="majorBidi" w:cstheme="majorBidi"/>
          <w:sz w:val="22"/>
          <w:szCs w:val="22"/>
        </w:rPr>
        <w:t xml:space="preserve">. Commercial cultivation of the elm oyster mushroom </w:t>
      </w:r>
      <w:proofErr w:type="spellStart"/>
      <w:r w:rsidRPr="00F61D7E">
        <w:rPr>
          <w:rFonts w:asciiTheme="majorBidi" w:hAnsiTheme="majorBidi" w:cstheme="majorBidi"/>
          <w:i/>
          <w:iCs/>
          <w:sz w:val="22"/>
          <w:szCs w:val="22"/>
        </w:rPr>
        <w:t>Hypsizygus</w:t>
      </w:r>
      <w:proofErr w:type="spellEnd"/>
      <w:r w:rsidRPr="00F61D7E">
        <w:rPr>
          <w:rFonts w:asciiTheme="majorBidi" w:hAnsiTheme="majorBidi" w:cstheme="majorBidi"/>
          <w:i/>
          <w:iCs/>
          <w:sz w:val="22"/>
          <w:szCs w:val="22"/>
        </w:rPr>
        <w:t xml:space="preserve"> </w:t>
      </w:r>
      <w:proofErr w:type="spellStart"/>
      <w:r w:rsidRPr="00F61D7E">
        <w:rPr>
          <w:rFonts w:asciiTheme="majorBidi" w:hAnsiTheme="majorBidi" w:cstheme="majorBidi"/>
          <w:i/>
          <w:iCs/>
          <w:sz w:val="22"/>
          <w:szCs w:val="22"/>
        </w:rPr>
        <w:t>ulmarius</w:t>
      </w:r>
      <w:proofErr w:type="spellEnd"/>
      <w:r w:rsidRPr="00F61D7E">
        <w:rPr>
          <w:rFonts w:asciiTheme="majorBidi" w:hAnsiTheme="majorBidi" w:cstheme="majorBidi"/>
          <w:sz w:val="22"/>
          <w:szCs w:val="22"/>
        </w:rPr>
        <w:t xml:space="preserve"> (</w:t>
      </w:r>
      <w:proofErr w:type="spellStart"/>
      <w:r w:rsidRPr="00F61D7E">
        <w:rPr>
          <w:rFonts w:asciiTheme="majorBidi" w:hAnsiTheme="majorBidi" w:cstheme="majorBidi"/>
          <w:sz w:val="22"/>
          <w:szCs w:val="22"/>
        </w:rPr>
        <w:t>Agricomycetes</w:t>
      </w:r>
      <w:proofErr w:type="spellEnd"/>
      <w:r w:rsidRPr="00F61D7E">
        <w:rPr>
          <w:rFonts w:asciiTheme="majorBidi" w:hAnsiTheme="majorBidi" w:cstheme="majorBidi"/>
          <w:sz w:val="22"/>
          <w:szCs w:val="22"/>
        </w:rPr>
        <w:t xml:space="preserve">) on different substrates and its medicinal benefits. International Journal of Medicinal Mushrooms, 24(12), 87-93. </w:t>
      </w:r>
      <w:hyperlink r:id="rId101" w:history="1">
        <w:r w:rsidRPr="00F61D7E">
          <w:rPr>
            <w:rStyle w:val="Hyperlink"/>
            <w:rFonts w:asciiTheme="majorBidi" w:hAnsiTheme="majorBidi" w:cstheme="majorBidi"/>
            <w:sz w:val="22"/>
            <w:szCs w:val="22"/>
          </w:rPr>
          <w:t>https://doi.org/10.1615/IntJMedMushrooms.2022045380</w:t>
        </w:r>
      </w:hyperlink>
      <w:r w:rsidRPr="00F61D7E">
        <w:rPr>
          <w:rFonts w:asciiTheme="majorBidi" w:hAnsiTheme="majorBidi" w:cstheme="majorBidi"/>
          <w:sz w:val="22"/>
          <w:szCs w:val="22"/>
        </w:rPr>
        <w:t xml:space="preserve"> </w:t>
      </w:r>
    </w:p>
    <w:p w14:paraId="33E46F80" w14:textId="031DABCE" w:rsidR="00F61D7E" w:rsidRDefault="00F61D7E" w:rsidP="00F61D7E">
      <w:pPr>
        <w:pStyle w:val="ListParagraph"/>
        <w:numPr>
          <w:ilvl w:val="0"/>
          <w:numId w:val="3"/>
        </w:numPr>
        <w:spacing w:after="0" w:line="240" w:lineRule="auto"/>
        <w:jc w:val="both"/>
        <w:rPr>
          <w:rFonts w:asciiTheme="majorBidi" w:hAnsiTheme="majorBidi" w:cstheme="majorBidi"/>
          <w:sz w:val="22"/>
          <w:szCs w:val="22"/>
        </w:rPr>
      </w:pPr>
      <w:proofErr w:type="spellStart"/>
      <w:r w:rsidRPr="00F61D7E">
        <w:rPr>
          <w:rFonts w:asciiTheme="majorBidi" w:hAnsiTheme="majorBidi" w:cstheme="majorBidi"/>
          <w:sz w:val="22"/>
          <w:szCs w:val="22"/>
        </w:rPr>
        <w:t>Livne</w:t>
      </w:r>
      <w:proofErr w:type="spellEnd"/>
      <w:r w:rsidRPr="00F61D7E">
        <w:rPr>
          <w:rFonts w:asciiTheme="majorBidi" w:hAnsiTheme="majorBidi" w:cstheme="majorBidi"/>
          <w:sz w:val="22"/>
          <w:szCs w:val="22"/>
        </w:rPr>
        <w:t xml:space="preserve">, A., </w:t>
      </w:r>
      <w:proofErr w:type="spellStart"/>
      <w:r w:rsidRPr="00F61D7E">
        <w:rPr>
          <w:rFonts w:asciiTheme="majorBidi" w:hAnsiTheme="majorBidi" w:cstheme="majorBidi"/>
          <w:sz w:val="22"/>
          <w:szCs w:val="22"/>
        </w:rPr>
        <w:t>Wösten</w:t>
      </w:r>
      <w:proofErr w:type="spellEnd"/>
      <w:r w:rsidRPr="00F61D7E">
        <w:rPr>
          <w:rFonts w:asciiTheme="majorBidi" w:hAnsiTheme="majorBidi" w:cstheme="majorBidi"/>
          <w:sz w:val="22"/>
          <w:szCs w:val="22"/>
        </w:rPr>
        <w:t xml:space="preserve">, H.A., </w:t>
      </w:r>
      <w:proofErr w:type="spellStart"/>
      <w:r w:rsidRPr="00F61D7E">
        <w:rPr>
          <w:rFonts w:asciiTheme="majorBidi" w:hAnsiTheme="majorBidi" w:cstheme="majorBidi"/>
          <w:sz w:val="22"/>
          <w:szCs w:val="22"/>
        </w:rPr>
        <w:t>Pearlmutter</w:t>
      </w:r>
      <w:proofErr w:type="spellEnd"/>
      <w:r w:rsidRPr="00F61D7E">
        <w:rPr>
          <w:rFonts w:asciiTheme="majorBidi" w:hAnsiTheme="majorBidi" w:cstheme="majorBidi"/>
          <w:sz w:val="22"/>
          <w:szCs w:val="22"/>
        </w:rPr>
        <w:t>, D., &amp; Gal, E. (2022). Fungal mycelium bio-composite acts as a CO2-sink building material with low embodied energy. ACS Sustainable Chemistry &amp; Engineering, 10(37), 12099-12106.</w:t>
      </w:r>
      <w:r>
        <w:rPr>
          <w:rFonts w:asciiTheme="majorBidi" w:hAnsiTheme="majorBidi" w:cstheme="majorBidi"/>
          <w:sz w:val="22"/>
          <w:szCs w:val="22"/>
        </w:rPr>
        <w:t xml:space="preserve"> </w:t>
      </w:r>
      <w:hyperlink r:id="rId102" w:history="1">
        <w:r w:rsidRPr="00A80C40">
          <w:rPr>
            <w:rStyle w:val="Hyperlink"/>
            <w:rFonts w:asciiTheme="majorBidi" w:hAnsiTheme="majorBidi" w:cstheme="majorBidi"/>
            <w:sz w:val="22"/>
            <w:szCs w:val="22"/>
          </w:rPr>
          <w:t>https://doi.org/10.1021/acssuschemeng.2c01314</w:t>
        </w:r>
      </w:hyperlink>
      <w:r>
        <w:rPr>
          <w:rFonts w:asciiTheme="majorBidi" w:hAnsiTheme="majorBidi" w:cstheme="majorBidi"/>
          <w:sz w:val="22"/>
          <w:szCs w:val="22"/>
        </w:rPr>
        <w:t xml:space="preserve"> </w:t>
      </w:r>
    </w:p>
    <w:p w14:paraId="5F3D2615" w14:textId="3565CE7F" w:rsidR="00F61D7E" w:rsidRDefault="00F61D7E" w:rsidP="00F61D7E">
      <w:pPr>
        <w:pStyle w:val="ListParagraph"/>
        <w:numPr>
          <w:ilvl w:val="0"/>
          <w:numId w:val="3"/>
        </w:numPr>
        <w:spacing w:after="0" w:line="240" w:lineRule="auto"/>
        <w:jc w:val="both"/>
        <w:rPr>
          <w:rFonts w:asciiTheme="majorBidi" w:hAnsiTheme="majorBidi" w:cstheme="majorBidi"/>
          <w:sz w:val="22"/>
          <w:szCs w:val="22"/>
        </w:rPr>
      </w:pPr>
      <w:r w:rsidRPr="00F61D7E">
        <w:rPr>
          <w:rFonts w:asciiTheme="majorBidi" w:hAnsiTheme="majorBidi" w:cstheme="majorBidi"/>
          <w:sz w:val="22"/>
          <w:szCs w:val="22"/>
        </w:rPr>
        <w:t xml:space="preserve">Gopal, J., Sivanesan, I., Muthu, M., &amp; Oh, J.W. (2022). Scrutinizing the nutritional aspects of </w:t>
      </w:r>
      <w:proofErr w:type="spellStart"/>
      <w:r w:rsidRPr="00F61D7E">
        <w:rPr>
          <w:rFonts w:asciiTheme="majorBidi" w:hAnsiTheme="majorBidi" w:cstheme="majorBidi"/>
          <w:sz w:val="22"/>
          <w:szCs w:val="22"/>
        </w:rPr>
        <w:t>asian</w:t>
      </w:r>
      <w:proofErr w:type="spellEnd"/>
      <w:r w:rsidRPr="00F61D7E">
        <w:rPr>
          <w:rFonts w:asciiTheme="majorBidi" w:hAnsiTheme="majorBidi" w:cstheme="majorBidi"/>
          <w:sz w:val="22"/>
          <w:szCs w:val="22"/>
        </w:rPr>
        <w:t xml:space="preserve"> mushrooms, its commercialization and scope for value-added products. Nutrients, 14(18), 3700.</w:t>
      </w:r>
      <w:r>
        <w:rPr>
          <w:rFonts w:asciiTheme="majorBidi" w:hAnsiTheme="majorBidi" w:cstheme="majorBidi"/>
          <w:sz w:val="22"/>
          <w:szCs w:val="22"/>
        </w:rPr>
        <w:t xml:space="preserve"> </w:t>
      </w:r>
      <w:hyperlink r:id="rId103" w:history="1">
        <w:r w:rsidRPr="00A80C40">
          <w:rPr>
            <w:rStyle w:val="Hyperlink"/>
            <w:rFonts w:asciiTheme="majorBidi" w:hAnsiTheme="majorBidi" w:cstheme="majorBidi"/>
            <w:sz w:val="22"/>
            <w:szCs w:val="22"/>
          </w:rPr>
          <w:t>https://doi.org/10.3390/nu14183700</w:t>
        </w:r>
      </w:hyperlink>
      <w:r>
        <w:rPr>
          <w:rFonts w:asciiTheme="majorBidi" w:hAnsiTheme="majorBidi" w:cstheme="majorBidi"/>
          <w:sz w:val="22"/>
          <w:szCs w:val="22"/>
        </w:rPr>
        <w:t xml:space="preserve"> </w:t>
      </w:r>
    </w:p>
    <w:p w14:paraId="71BA1139" w14:textId="7C6C5051" w:rsidR="00B21525" w:rsidRDefault="00B21525" w:rsidP="00B21525">
      <w:pPr>
        <w:pStyle w:val="ListParagraph"/>
        <w:numPr>
          <w:ilvl w:val="0"/>
          <w:numId w:val="3"/>
        </w:numPr>
        <w:spacing w:after="0" w:line="240" w:lineRule="auto"/>
        <w:jc w:val="both"/>
        <w:rPr>
          <w:rFonts w:asciiTheme="majorBidi" w:hAnsiTheme="majorBidi" w:cstheme="majorBidi"/>
          <w:sz w:val="22"/>
          <w:szCs w:val="22"/>
        </w:rPr>
      </w:pPr>
      <w:r w:rsidRPr="00B21525">
        <w:rPr>
          <w:rFonts w:asciiTheme="majorBidi" w:hAnsiTheme="majorBidi" w:cstheme="majorBidi"/>
          <w:sz w:val="22"/>
          <w:szCs w:val="22"/>
        </w:rPr>
        <w:t>Whabi, V., Yu, B., &amp; Xu, J. (2024). From nature to design: Tailoring pure mycelial materials for the needs of tomorrow. Journal of Fungi, 10(3), 183.</w:t>
      </w:r>
      <w:r>
        <w:rPr>
          <w:rFonts w:asciiTheme="majorBidi" w:hAnsiTheme="majorBidi" w:cstheme="majorBidi"/>
          <w:sz w:val="22"/>
          <w:szCs w:val="22"/>
        </w:rPr>
        <w:t xml:space="preserve"> </w:t>
      </w:r>
      <w:hyperlink r:id="rId104" w:history="1">
        <w:r w:rsidRPr="00A80C40">
          <w:rPr>
            <w:rStyle w:val="Hyperlink"/>
            <w:rFonts w:asciiTheme="majorBidi" w:hAnsiTheme="majorBidi" w:cstheme="majorBidi"/>
            <w:sz w:val="22"/>
            <w:szCs w:val="22"/>
          </w:rPr>
          <w:t>https://doi.org/10.3390/jof10030183</w:t>
        </w:r>
      </w:hyperlink>
      <w:r>
        <w:rPr>
          <w:rFonts w:asciiTheme="majorBidi" w:hAnsiTheme="majorBidi" w:cstheme="majorBidi"/>
          <w:sz w:val="22"/>
          <w:szCs w:val="22"/>
        </w:rPr>
        <w:t xml:space="preserve"> </w:t>
      </w:r>
    </w:p>
    <w:p w14:paraId="208DE125" w14:textId="63EC4B4D" w:rsidR="00B21525" w:rsidRPr="00B21525" w:rsidRDefault="00B21525" w:rsidP="00B21525">
      <w:pPr>
        <w:pStyle w:val="ListParagraph"/>
        <w:numPr>
          <w:ilvl w:val="0"/>
          <w:numId w:val="3"/>
        </w:numPr>
        <w:spacing w:after="0" w:line="240" w:lineRule="auto"/>
        <w:jc w:val="both"/>
        <w:rPr>
          <w:rFonts w:asciiTheme="majorBidi" w:hAnsiTheme="majorBidi" w:cstheme="majorBidi"/>
          <w:sz w:val="22"/>
          <w:szCs w:val="22"/>
        </w:rPr>
      </w:pPr>
      <w:r w:rsidRPr="00B21525">
        <w:rPr>
          <w:rFonts w:asciiTheme="majorBidi" w:hAnsiTheme="majorBidi" w:cstheme="majorBidi"/>
          <w:sz w:val="22"/>
          <w:szCs w:val="22"/>
        </w:rPr>
        <w:t xml:space="preserve">Aditya., </w:t>
      </w:r>
      <w:proofErr w:type="spellStart"/>
      <w:r w:rsidRPr="00B21525">
        <w:rPr>
          <w:rFonts w:asciiTheme="majorBidi" w:hAnsiTheme="majorBidi" w:cstheme="majorBidi"/>
          <w:sz w:val="22"/>
          <w:szCs w:val="22"/>
        </w:rPr>
        <w:t>Jarial</w:t>
      </w:r>
      <w:proofErr w:type="spellEnd"/>
      <w:r w:rsidRPr="00B21525">
        <w:rPr>
          <w:rFonts w:asciiTheme="majorBidi" w:hAnsiTheme="majorBidi" w:cstheme="majorBidi"/>
          <w:sz w:val="22"/>
          <w:szCs w:val="22"/>
        </w:rPr>
        <w:t xml:space="preserve"> R.S., </w:t>
      </w:r>
      <w:proofErr w:type="spellStart"/>
      <w:r w:rsidRPr="00B21525">
        <w:rPr>
          <w:rFonts w:asciiTheme="majorBidi" w:hAnsiTheme="majorBidi" w:cstheme="majorBidi"/>
          <w:sz w:val="22"/>
          <w:szCs w:val="22"/>
        </w:rPr>
        <w:t>Jarial</w:t>
      </w:r>
      <w:proofErr w:type="spellEnd"/>
      <w:r w:rsidRPr="00B21525">
        <w:rPr>
          <w:rFonts w:asciiTheme="majorBidi" w:hAnsiTheme="majorBidi" w:cstheme="majorBidi"/>
          <w:sz w:val="22"/>
          <w:szCs w:val="22"/>
        </w:rPr>
        <w:t xml:space="preserve"> K. </w:t>
      </w:r>
      <w:r>
        <w:rPr>
          <w:rFonts w:asciiTheme="majorBidi" w:hAnsiTheme="majorBidi" w:cstheme="majorBidi"/>
          <w:sz w:val="22"/>
          <w:szCs w:val="22"/>
        </w:rPr>
        <w:t>(</w:t>
      </w:r>
      <w:r w:rsidRPr="00B21525">
        <w:rPr>
          <w:rFonts w:asciiTheme="majorBidi" w:hAnsiTheme="majorBidi" w:cstheme="majorBidi"/>
          <w:sz w:val="22"/>
          <w:szCs w:val="22"/>
        </w:rPr>
        <w:t>2023</w:t>
      </w:r>
      <w:r>
        <w:rPr>
          <w:rFonts w:asciiTheme="majorBidi" w:hAnsiTheme="majorBidi" w:cstheme="majorBidi"/>
          <w:sz w:val="22"/>
          <w:szCs w:val="22"/>
        </w:rPr>
        <w:t>)</w:t>
      </w:r>
      <w:r w:rsidRPr="00B21525">
        <w:rPr>
          <w:rFonts w:asciiTheme="majorBidi" w:hAnsiTheme="majorBidi" w:cstheme="majorBidi"/>
          <w:sz w:val="22"/>
          <w:szCs w:val="22"/>
        </w:rPr>
        <w:t>. Evaluation of different grain substrates for spawn production and yield performance of blue oyster mushroom [</w:t>
      </w:r>
      <w:r w:rsidRPr="00B21525">
        <w:rPr>
          <w:rFonts w:asciiTheme="majorBidi" w:hAnsiTheme="majorBidi" w:cstheme="majorBidi"/>
          <w:i/>
          <w:iCs/>
          <w:sz w:val="22"/>
          <w:szCs w:val="22"/>
        </w:rPr>
        <w:t>Hypsizygus ulmarius</w:t>
      </w:r>
      <w:r w:rsidRPr="00B21525">
        <w:rPr>
          <w:rFonts w:asciiTheme="majorBidi" w:hAnsiTheme="majorBidi" w:cstheme="majorBidi"/>
          <w:sz w:val="22"/>
          <w:szCs w:val="22"/>
        </w:rPr>
        <w:t xml:space="preserve"> (Bull.: Fr.) Redhead] through bio-conversion of </w:t>
      </w:r>
      <w:proofErr w:type="spellStart"/>
      <w:r w:rsidRPr="00B21525">
        <w:rPr>
          <w:rFonts w:asciiTheme="majorBidi" w:hAnsiTheme="majorBidi" w:cstheme="majorBidi"/>
          <w:sz w:val="22"/>
          <w:szCs w:val="22"/>
        </w:rPr>
        <w:t>agri</w:t>
      </w:r>
      <w:proofErr w:type="spellEnd"/>
      <w:r w:rsidRPr="00B21525">
        <w:rPr>
          <w:rFonts w:asciiTheme="majorBidi" w:hAnsiTheme="majorBidi" w:cstheme="majorBidi"/>
          <w:sz w:val="22"/>
          <w:szCs w:val="22"/>
        </w:rPr>
        <w:t xml:space="preserve">/industrial wastes. Indian Journal of Ecology, 49(6), 2389-2394. </w:t>
      </w:r>
      <w:hyperlink r:id="rId105" w:history="1">
        <w:r w:rsidRPr="00B21525">
          <w:rPr>
            <w:rStyle w:val="Hyperlink"/>
            <w:rFonts w:asciiTheme="majorBidi" w:hAnsiTheme="majorBidi" w:cstheme="majorBidi"/>
            <w:sz w:val="22"/>
            <w:szCs w:val="22"/>
          </w:rPr>
          <w:t>https://doi.org/10.55362/IJE/2022/3838</w:t>
        </w:r>
      </w:hyperlink>
      <w:r w:rsidRPr="00B21525">
        <w:rPr>
          <w:rFonts w:asciiTheme="majorBidi" w:hAnsiTheme="majorBidi" w:cstheme="majorBidi"/>
          <w:sz w:val="22"/>
          <w:szCs w:val="22"/>
        </w:rPr>
        <w:t xml:space="preserve"> </w:t>
      </w:r>
    </w:p>
    <w:p w14:paraId="65416E41" w14:textId="708E40FD" w:rsidR="00B21525" w:rsidRPr="00B21525" w:rsidRDefault="00B21525" w:rsidP="00B21525">
      <w:pPr>
        <w:pStyle w:val="ListParagraph"/>
        <w:numPr>
          <w:ilvl w:val="0"/>
          <w:numId w:val="3"/>
        </w:numPr>
        <w:spacing w:after="0" w:line="240" w:lineRule="auto"/>
        <w:jc w:val="both"/>
        <w:rPr>
          <w:rFonts w:asciiTheme="majorBidi" w:hAnsiTheme="majorBidi" w:cstheme="majorBidi"/>
          <w:sz w:val="22"/>
          <w:szCs w:val="22"/>
        </w:rPr>
      </w:pPr>
      <w:r w:rsidRPr="00B21525">
        <w:rPr>
          <w:rFonts w:asciiTheme="majorBidi" w:hAnsiTheme="majorBidi" w:cstheme="majorBidi"/>
          <w:sz w:val="22"/>
          <w:szCs w:val="22"/>
        </w:rPr>
        <w:lastRenderedPageBreak/>
        <w:t xml:space="preserve">Aditya., </w:t>
      </w:r>
      <w:proofErr w:type="spellStart"/>
      <w:r w:rsidRPr="00B21525">
        <w:rPr>
          <w:rFonts w:asciiTheme="majorBidi" w:hAnsiTheme="majorBidi" w:cstheme="majorBidi"/>
          <w:sz w:val="22"/>
          <w:szCs w:val="22"/>
        </w:rPr>
        <w:t>Jarial</w:t>
      </w:r>
      <w:proofErr w:type="spellEnd"/>
      <w:r w:rsidRPr="00B21525">
        <w:rPr>
          <w:rFonts w:asciiTheme="majorBidi" w:hAnsiTheme="majorBidi" w:cstheme="majorBidi"/>
          <w:sz w:val="22"/>
          <w:szCs w:val="22"/>
        </w:rPr>
        <w:t xml:space="preserve"> R.S., </w:t>
      </w:r>
      <w:proofErr w:type="spellStart"/>
      <w:r w:rsidRPr="00B21525">
        <w:rPr>
          <w:rFonts w:asciiTheme="majorBidi" w:hAnsiTheme="majorBidi" w:cstheme="majorBidi"/>
          <w:sz w:val="22"/>
          <w:szCs w:val="22"/>
        </w:rPr>
        <w:t>Jarial</w:t>
      </w:r>
      <w:proofErr w:type="spellEnd"/>
      <w:r w:rsidRPr="00B21525">
        <w:rPr>
          <w:rFonts w:asciiTheme="majorBidi" w:hAnsiTheme="majorBidi" w:cstheme="majorBidi"/>
          <w:sz w:val="22"/>
          <w:szCs w:val="22"/>
        </w:rPr>
        <w:t xml:space="preserve"> K. </w:t>
      </w:r>
      <w:r>
        <w:rPr>
          <w:rFonts w:asciiTheme="majorBidi" w:hAnsiTheme="majorBidi" w:cstheme="majorBidi"/>
          <w:sz w:val="22"/>
          <w:szCs w:val="22"/>
        </w:rPr>
        <w:t>(</w:t>
      </w:r>
      <w:r w:rsidRPr="00B21525">
        <w:rPr>
          <w:rFonts w:asciiTheme="majorBidi" w:hAnsiTheme="majorBidi" w:cstheme="majorBidi"/>
          <w:sz w:val="22"/>
          <w:szCs w:val="22"/>
        </w:rPr>
        <w:t>2022</w:t>
      </w:r>
      <w:r>
        <w:rPr>
          <w:rFonts w:asciiTheme="majorBidi" w:hAnsiTheme="majorBidi" w:cstheme="majorBidi"/>
          <w:sz w:val="22"/>
          <w:szCs w:val="22"/>
        </w:rPr>
        <w:t>)</w:t>
      </w:r>
      <w:r w:rsidRPr="00B21525">
        <w:rPr>
          <w:rFonts w:asciiTheme="majorBidi" w:hAnsiTheme="majorBidi" w:cstheme="majorBidi"/>
          <w:sz w:val="22"/>
          <w:szCs w:val="22"/>
        </w:rPr>
        <w:t>. Evaluation of spawn quality and doses on yield and biological efficiency of blue oyster mushroom [</w:t>
      </w:r>
      <w:r w:rsidRPr="00B21525">
        <w:rPr>
          <w:rFonts w:asciiTheme="majorBidi" w:hAnsiTheme="majorBidi" w:cstheme="majorBidi"/>
          <w:i/>
          <w:iCs/>
          <w:sz w:val="22"/>
          <w:szCs w:val="22"/>
        </w:rPr>
        <w:t>Hypsizygus ulmarius</w:t>
      </w:r>
      <w:r w:rsidRPr="00B21525">
        <w:rPr>
          <w:rFonts w:asciiTheme="majorBidi" w:hAnsiTheme="majorBidi" w:cstheme="majorBidi"/>
          <w:sz w:val="22"/>
          <w:szCs w:val="22"/>
        </w:rPr>
        <w:t xml:space="preserve"> (Bull.: Fr.) Redhead]. Journal of Eco-friendly Agriculture, 17(02), 393-398. </w:t>
      </w:r>
      <w:hyperlink r:id="rId106" w:history="1">
        <w:r w:rsidRPr="00B21525">
          <w:rPr>
            <w:rStyle w:val="Hyperlink"/>
            <w:rFonts w:asciiTheme="majorBidi" w:hAnsiTheme="majorBidi" w:cstheme="majorBidi"/>
            <w:sz w:val="22"/>
            <w:szCs w:val="22"/>
          </w:rPr>
          <w:t>https://doi.org/10.5958/2582-2683.2022.00076.4</w:t>
        </w:r>
      </w:hyperlink>
      <w:r w:rsidRPr="00B21525">
        <w:rPr>
          <w:rFonts w:asciiTheme="majorBidi" w:hAnsiTheme="majorBidi" w:cstheme="majorBidi"/>
          <w:sz w:val="22"/>
          <w:szCs w:val="22"/>
        </w:rPr>
        <w:t xml:space="preserve"> </w:t>
      </w:r>
    </w:p>
    <w:p w14:paraId="59242D57" w14:textId="59F161B1" w:rsidR="00B21525" w:rsidRDefault="007566C9" w:rsidP="007566C9">
      <w:pPr>
        <w:pStyle w:val="ListParagraph"/>
        <w:numPr>
          <w:ilvl w:val="0"/>
          <w:numId w:val="3"/>
        </w:numPr>
        <w:spacing w:after="0" w:line="240" w:lineRule="auto"/>
        <w:jc w:val="both"/>
        <w:rPr>
          <w:rFonts w:asciiTheme="majorBidi" w:hAnsiTheme="majorBidi" w:cstheme="majorBidi"/>
          <w:sz w:val="22"/>
          <w:szCs w:val="22"/>
        </w:rPr>
      </w:pPr>
      <w:r w:rsidRPr="007566C9">
        <w:rPr>
          <w:rFonts w:asciiTheme="majorBidi" w:hAnsiTheme="majorBidi" w:cstheme="majorBidi"/>
          <w:sz w:val="22"/>
          <w:szCs w:val="22"/>
        </w:rPr>
        <w:t xml:space="preserve">Noreen, S., Sultan, H., Hashmi, B., Aja, P.M., &amp; </w:t>
      </w:r>
      <w:proofErr w:type="spellStart"/>
      <w:r w:rsidRPr="007566C9">
        <w:rPr>
          <w:rFonts w:asciiTheme="majorBidi" w:hAnsiTheme="majorBidi" w:cstheme="majorBidi"/>
          <w:sz w:val="22"/>
          <w:szCs w:val="22"/>
        </w:rPr>
        <w:t>Atoki</w:t>
      </w:r>
      <w:proofErr w:type="spellEnd"/>
      <w:r w:rsidRPr="007566C9">
        <w:rPr>
          <w:rFonts w:asciiTheme="majorBidi" w:hAnsiTheme="majorBidi" w:cstheme="majorBidi"/>
          <w:sz w:val="22"/>
          <w:szCs w:val="22"/>
        </w:rPr>
        <w:t xml:space="preserve">, A.V. (2025). Mushroom marvels: </w:t>
      </w:r>
      <w:r>
        <w:rPr>
          <w:rFonts w:asciiTheme="majorBidi" w:hAnsiTheme="majorBidi" w:cstheme="majorBidi"/>
          <w:sz w:val="22"/>
          <w:szCs w:val="22"/>
        </w:rPr>
        <w:t>U</w:t>
      </w:r>
      <w:r w:rsidRPr="007566C9">
        <w:rPr>
          <w:rFonts w:asciiTheme="majorBidi" w:hAnsiTheme="majorBidi" w:cstheme="majorBidi"/>
          <w:sz w:val="22"/>
          <w:szCs w:val="22"/>
        </w:rPr>
        <w:t>nderstanding their role in human health. Frontiers in Nutrition, 12, 1654911.</w:t>
      </w:r>
      <w:r>
        <w:rPr>
          <w:rFonts w:asciiTheme="majorBidi" w:hAnsiTheme="majorBidi" w:cstheme="majorBidi"/>
          <w:sz w:val="22"/>
          <w:szCs w:val="22"/>
        </w:rPr>
        <w:t xml:space="preserve"> </w:t>
      </w:r>
      <w:hyperlink r:id="rId107" w:history="1">
        <w:r w:rsidRPr="00A80C40">
          <w:rPr>
            <w:rStyle w:val="Hyperlink"/>
            <w:rFonts w:asciiTheme="majorBidi" w:hAnsiTheme="majorBidi" w:cstheme="majorBidi"/>
            <w:sz w:val="22"/>
            <w:szCs w:val="22"/>
          </w:rPr>
          <w:t>https://doi.org/10.3389/fnut.2025.1654911</w:t>
        </w:r>
      </w:hyperlink>
      <w:r>
        <w:rPr>
          <w:rFonts w:asciiTheme="majorBidi" w:hAnsiTheme="majorBidi" w:cstheme="majorBidi"/>
          <w:sz w:val="22"/>
          <w:szCs w:val="22"/>
        </w:rPr>
        <w:t xml:space="preserve"> </w:t>
      </w:r>
    </w:p>
    <w:p w14:paraId="25616E66" w14:textId="35BA49CC" w:rsidR="007566C9" w:rsidRDefault="007566C9" w:rsidP="007566C9">
      <w:pPr>
        <w:pStyle w:val="ListParagraph"/>
        <w:numPr>
          <w:ilvl w:val="0"/>
          <w:numId w:val="3"/>
        </w:numPr>
        <w:spacing w:after="0" w:line="240" w:lineRule="auto"/>
        <w:jc w:val="both"/>
        <w:rPr>
          <w:rFonts w:asciiTheme="majorBidi" w:hAnsiTheme="majorBidi" w:cstheme="majorBidi"/>
          <w:sz w:val="22"/>
          <w:szCs w:val="22"/>
        </w:rPr>
      </w:pPr>
      <w:r w:rsidRPr="007566C9">
        <w:rPr>
          <w:rFonts w:asciiTheme="majorBidi" w:hAnsiTheme="majorBidi" w:cstheme="majorBidi"/>
          <w:sz w:val="22"/>
          <w:szCs w:val="22"/>
        </w:rPr>
        <w:t xml:space="preserve">White, J., Weinstein, S.A., De Haro, L., </w:t>
      </w:r>
      <w:proofErr w:type="spellStart"/>
      <w:r w:rsidRPr="007566C9">
        <w:rPr>
          <w:rFonts w:asciiTheme="majorBidi" w:hAnsiTheme="majorBidi" w:cstheme="majorBidi"/>
          <w:sz w:val="22"/>
          <w:szCs w:val="22"/>
        </w:rPr>
        <w:t>Bédry</w:t>
      </w:r>
      <w:proofErr w:type="spellEnd"/>
      <w:r w:rsidRPr="007566C9">
        <w:rPr>
          <w:rFonts w:asciiTheme="majorBidi" w:hAnsiTheme="majorBidi" w:cstheme="majorBidi"/>
          <w:sz w:val="22"/>
          <w:szCs w:val="22"/>
        </w:rPr>
        <w:t xml:space="preserve">, R., Schaper, A., </w:t>
      </w:r>
      <w:proofErr w:type="spellStart"/>
      <w:r w:rsidRPr="007566C9">
        <w:rPr>
          <w:rFonts w:asciiTheme="majorBidi" w:hAnsiTheme="majorBidi" w:cstheme="majorBidi"/>
          <w:sz w:val="22"/>
          <w:szCs w:val="22"/>
        </w:rPr>
        <w:t>Rumack</w:t>
      </w:r>
      <w:proofErr w:type="spellEnd"/>
      <w:r w:rsidRPr="007566C9">
        <w:rPr>
          <w:rFonts w:asciiTheme="majorBidi" w:hAnsiTheme="majorBidi" w:cstheme="majorBidi"/>
          <w:sz w:val="22"/>
          <w:szCs w:val="22"/>
        </w:rPr>
        <w:t xml:space="preserve">, B.H., &amp; </w:t>
      </w:r>
      <w:proofErr w:type="spellStart"/>
      <w:r w:rsidRPr="007566C9">
        <w:rPr>
          <w:rFonts w:asciiTheme="majorBidi" w:hAnsiTheme="majorBidi" w:cstheme="majorBidi"/>
          <w:sz w:val="22"/>
          <w:szCs w:val="22"/>
        </w:rPr>
        <w:t>Zilker</w:t>
      </w:r>
      <w:proofErr w:type="spellEnd"/>
      <w:r w:rsidRPr="007566C9">
        <w:rPr>
          <w:rFonts w:asciiTheme="majorBidi" w:hAnsiTheme="majorBidi" w:cstheme="majorBidi"/>
          <w:sz w:val="22"/>
          <w:szCs w:val="22"/>
        </w:rPr>
        <w:t>, T. (2019). Mushroom poisoning: A proposed new clinical classification. Toxicon, 157, 53-65.</w:t>
      </w:r>
      <w:r>
        <w:rPr>
          <w:rFonts w:asciiTheme="majorBidi" w:hAnsiTheme="majorBidi" w:cstheme="majorBidi"/>
          <w:sz w:val="22"/>
          <w:szCs w:val="22"/>
        </w:rPr>
        <w:t xml:space="preserve"> </w:t>
      </w:r>
      <w:hyperlink r:id="rId108" w:history="1">
        <w:r w:rsidRPr="00A80C40">
          <w:rPr>
            <w:rStyle w:val="Hyperlink"/>
            <w:rFonts w:asciiTheme="majorBidi" w:hAnsiTheme="majorBidi" w:cstheme="majorBidi"/>
            <w:sz w:val="22"/>
            <w:szCs w:val="22"/>
          </w:rPr>
          <w:t>https://doi.org/10.1016/j.toxicon.2018.11.007</w:t>
        </w:r>
      </w:hyperlink>
      <w:r>
        <w:rPr>
          <w:rFonts w:asciiTheme="majorBidi" w:hAnsiTheme="majorBidi" w:cstheme="majorBidi"/>
          <w:sz w:val="22"/>
          <w:szCs w:val="22"/>
        </w:rPr>
        <w:t xml:space="preserve"> </w:t>
      </w:r>
    </w:p>
    <w:p w14:paraId="76EEF2FA" w14:textId="0DFC1E56" w:rsidR="007566C9" w:rsidRDefault="007566C9" w:rsidP="007566C9">
      <w:pPr>
        <w:pStyle w:val="ListParagraph"/>
        <w:numPr>
          <w:ilvl w:val="0"/>
          <w:numId w:val="3"/>
        </w:numPr>
        <w:spacing w:after="0" w:line="240" w:lineRule="auto"/>
        <w:jc w:val="both"/>
        <w:rPr>
          <w:rFonts w:asciiTheme="majorBidi" w:hAnsiTheme="majorBidi" w:cstheme="majorBidi"/>
          <w:sz w:val="22"/>
          <w:szCs w:val="22"/>
        </w:rPr>
      </w:pPr>
      <w:r w:rsidRPr="007566C9">
        <w:rPr>
          <w:rFonts w:asciiTheme="majorBidi" w:hAnsiTheme="majorBidi" w:cstheme="majorBidi"/>
          <w:sz w:val="22"/>
          <w:szCs w:val="22"/>
        </w:rPr>
        <w:t>Qin, G., Liu, J., Zou, K., He, F., Li, Y., Liu, R., &amp; Chen, B. (2024). Analysis of heavy metal characteristics and health risks of edible mushrooms in the mid-western region of China. Scientific Reports, 14(1), 26960.</w:t>
      </w:r>
      <w:r>
        <w:rPr>
          <w:rFonts w:asciiTheme="majorBidi" w:hAnsiTheme="majorBidi" w:cstheme="majorBidi"/>
          <w:sz w:val="22"/>
          <w:szCs w:val="22"/>
        </w:rPr>
        <w:t xml:space="preserve"> </w:t>
      </w:r>
      <w:hyperlink r:id="rId109" w:history="1">
        <w:r w:rsidRPr="00A80C40">
          <w:rPr>
            <w:rStyle w:val="Hyperlink"/>
            <w:rFonts w:asciiTheme="majorBidi" w:hAnsiTheme="majorBidi" w:cstheme="majorBidi"/>
            <w:sz w:val="22"/>
            <w:szCs w:val="22"/>
          </w:rPr>
          <w:t>https://www.nature.com/articles/s41598-024-78091-1</w:t>
        </w:r>
      </w:hyperlink>
      <w:r>
        <w:rPr>
          <w:rFonts w:asciiTheme="majorBidi" w:hAnsiTheme="majorBidi" w:cstheme="majorBidi"/>
          <w:sz w:val="22"/>
          <w:szCs w:val="22"/>
        </w:rPr>
        <w:t xml:space="preserve"> </w:t>
      </w:r>
    </w:p>
    <w:p w14:paraId="2671F07F" w14:textId="71B130A5" w:rsidR="007566C9" w:rsidRDefault="007566C9" w:rsidP="007566C9">
      <w:pPr>
        <w:pStyle w:val="ListParagraph"/>
        <w:numPr>
          <w:ilvl w:val="0"/>
          <w:numId w:val="3"/>
        </w:numPr>
        <w:spacing w:after="0" w:line="240" w:lineRule="auto"/>
        <w:jc w:val="both"/>
        <w:rPr>
          <w:rFonts w:asciiTheme="majorBidi" w:hAnsiTheme="majorBidi" w:cstheme="majorBidi"/>
          <w:sz w:val="22"/>
          <w:szCs w:val="22"/>
        </w:rPr>
      </w:pPr>
      <w:r w:rsidRPr="007566C9">
        <w:rPr>
          <w:rFonts w:asciiTheme="majorBidi" w:hAnsiTheme="majorBidi" w:cstheme="majorBidi"/>
          <w:sz w:val="22"/>
          <w:szCs w:val="22"/>
        </w:rPr>
        <w:t>Car</w:t>
      </w:r>
      <w:r>
        <w:rPr>
          <w:rFonts w:asciiTheme="majorBidi" w:hAnsiTheme="majorBidi" w:cstheme="majorBidi"/>
          <w:sz w:val="22"/>
          <w:szCs w:val="22"/>
        </w:rPr>
        <w:t>e</w:t>
      </w:r>
      <w:r w:rsidRPr="007566C9">
        <w:rPr>
          <w:rFonts w:asciiTheme="majorBidi" w:hAnsiTheme="majorBidi" w:cstheme="majorBidi"/>
          <w:sz w:val="22"/>
          <w:szCs w:val="22"/>
        </w:rPr>
        <w:t xml:space="preserve">, W., Bruneau, C., </w:t>
      </w:r>
      <w:proofErr w:type="spellStart"/>
      <w:r w:rsidRPr="007566C9">
        <w:rPr>
          <w:rFonts w:asciiTheme="majorBidi" w:hAnsiTheme="majorBidi" w:cstheme="majorBidi"/>
          <w:sz w:val="22"/>
          <w:szCs w:val="22"/>
        </w:rPr>
        <w:t>Rapior</w:t>
      </w:r>
      <w:proofErr w:type="spellEnd"/>
      <w:r w:rsidRPr="007566C9">
        <w:rPr>
          <w:rFonts w:asciiTheme="majorBidi" w:hAnsiTheme="majorBidi" w:cstheme="majorBidi"/>
          <w:sz w:val="22"/>
          <w:szCs w:val="22"/>
        </w:rPr>
        <w:t xml:space="preserve">, S., </w:t>
      </w:r>
      <w:proofErr w:type="spellStart"/>
      <w:r w:rsidRPr="007566C9">
        <w:rPr>
          <w:rFonts w:asciiTheme="majorBidi" w:hAnsiTheme="majorBidi" w:cstheme="majorBidi"/>
          <w:sz w:val="22"/>
          <w:szCs w:val="22"/>
        </w:rPr>
        <w:t>Langrand</w:t>
      </w:r>
      <w:proofErr w:type="spellEnd"/>
      <w:r w:rsidRPr="007566C9">
        <w:rPr>
          <w:rFonts w:asciiTheme="majorBidi" w:hAnsiTheme="majorBidi" w:cstheme="majorBidi"/>
          <w:sz w:val="22"/>
          <w:szCs w:val="22"/>
        </w:rPr>
        <w:t xml:space="preserve">, J., Le Roux, G., &amp; Vodovar, D. (2023). Amatoxin-containing mushroom poisoning: An update. La Revue de </w:t>
      </w:r>
      <w:proofErr w:type="spellStart"/>
      <w:r w:rsidRPr="007566C9">
        <w:rPr>
          <w:rFonts w:asciiTheme="majorBidi" w:hAnsiTheme="majorBidi" w:cstheme="majorBidi"/>
          <w:sz w:val="22"/>
          <w:szCs w:val="22"/>
        </w:rPr>
        <w:t>Medecine</w:t>
      </w:r>
      <w:proofErr w:type="spellEnd"/>
      <w:r w:rsidRPr="007566C9">
        <w:rPr>
          <w:rFonts w:asciiTheme="majorBidi" w:hAnsiTheme="majorBidi" w:cstheme="majorBidi"/>
          <w:sz w:val="22"/>
          <w:szCs w:val="22"/>
        </w:rPr>
        <w:t xml:space="preserve"> Interne, S0248-8663.</w:t>
      </w:r>
      <w:r>
        <w:rPr>
          <w:rFonts w:asciiTheme="majorBidi" w:hAnsiTheme="majorBidi" w:cstheme="majorBidi"/>
          <w:sz w:val="22"/>
          <w:szCs w:val="22"/>
        </w:rPr>
        <w:t xml:space="preserve"> </w:t>
      </w:r>
      <w:hyperlink r:id="rId110" w:history="1">
        <w:r w:rsidRPr="00A80C40">
          <w:rPr>
            <w:rStyle w:val="Hyperlink"/>
            <w:rFonts w:asciiTheme="majorBidi" w:hAnsiTheme="majorBidi" w:cstheme="majorBidi"/>
            <w:sz w:val="22"/>
            <w:szCs w:val="22"/>
          </w:rPr>
          <w:t>https://doi.org/10.1016/j.revmed.2023.10.459</w:t>
        </w:r>
      </w:hyperlink>
      <w:r>
        <w:rPr>
          <w:rFonts w:asciiTheme="majorBidi" w:hAnsiTheme="majorBidi" w:cstheme="majorBidi"/>
          <w:sz w:val="22"/>
          <w:szCs w:val="22"/>
        </w:rPr>
        <w:t xml:space="preserve"> </w:t>
      </w:r>
    </w:p>
    <w:p w14:paraId="0754AC19" w14:textId="77777777" w:rsidR="007566C9" w:rsidRDefault="007566C9" w:rsidP="007566C9">
      <w:pPr>
        <w:pStyle w:val="ListParagraph"/>
        <w:numPr>
          <w:ilvl w:val="0"/>
          <w:numId w:val="3"/>
        </w:numPr>
        <w:spacing w:after="0" w:line="240" w:lineRule="auto"/>
        <w:jc w:val="both"/>
        <w:rPr>
          <w:rFonts w:asciiTheme="majorBidi" w:hAnsiTheme="majorBidi" w:cstheme="majorBidi"/>
          <w:sz w:val="22"/>
          <w:szCs w:val="22"/>
        </w:rPr>
      </w:pPr>
      <w:proofErr w:type="spellStart"/>
      <w:r w:rsidRPr="007566C9">
        <w:rPr>
          <w:rFonts w:asciiTheme="majorBidi" w:hAnsiTheme="majorBidi" w:cstheme="majorBidi"/>
          <w:sz w:val="22"/>
          <w:szCs w:val="22"/>
        </w:rPr>
        <w:t>Tu</w:t>
      </w:r>
      <w:r>
        <w:rPr>
          <w:rFonts w:asciiTheme="majorBidi" w:hAnsiTheme="majorBidi" w:cstheme="majorBidi"/>
          <w:sz w:val="22"/>
          <w:szCs w:val="22"/>
        </w:rPr>
        <w:t>g</w:t>
      </w:r>
      <w:r w:rsidRPr="007566C9">
        <w:rPr>
          <w:rFonts w:asciiTheme="majorBidi" w:hAnsiTheme="majorBidi" w:cstheme="majorBidi"/>
          <w:sz w:val="22"/>
          <w:szCs w:val="22"/>
        </w:rPr>
        <w:t>can</w:t>
      </w:r>
      <w:proofErr w:type="spellEnd"/>
      <w:r w:rsidRPr="007566C9">
        <w:rPr>
          <w:rFonts w:asciiTheme="majorBidi" w:hAnsiTheme="majorBidi" w:cstheme="majorBidi"/>
          <w:sz w:val="22"/>
          <w:szCs w:val="22"/>
        </w:rPr>
        <w:t>, M. O., &amp; Akpınar, A. A. (2025). Mushroom poisoning: An updated review. Turkish Journal of Emergency Medicine, 25(1), 10-16.</w:t>
      </w:r>
      <w:r>
        <w:rPr>
          <w:rFonts w:asciiTheme="majorBidi" w:hAnsiTheme="majorBidi" w:cstheme="majorBidi"/>
          <w:sz w:val="22"/>
          <w:szCs w:val="22"/>
        </w:rPr>
        <w:t xml:space="preserve"> </w:t>
      </w:r>
      <w:hyperlink r:id="rId111" w:history="1">
        <w:r w:rsidRPr="00A80C40">
          <w:rPr>
            <w:rStyle w:val="Hyperlink"/>
            <w:rFonts w:asciiTheme="majorBidi" w:hAnsiTheme="majorBidi" w:cstheme="majorBidi"/>
            <w:sz w:val="22"/>
            <w:szCs w:val="22"/>
          </w:rPr>
          <w:t>https://doi.org/10.4103/tjem.tjem_129_24</w:t>
        </w:r>
      </w:hyperlink>
      <w:r>
        <w:rPr>
          <w:rFonts w:asciiTheme="majorBidi" w:hAnsiTheme="majorBidi" w:cstheme="majorBidi"/>
          <w:sz w:val="22"/>
          <w:szCs w:val="22"/>
        </w:rPr>
        <w:t xml:space="preserve"> </w:t>
      </w:r>
    </w:p>
    <w:p w14:paraId="45214FD4" w14:textId="506CF7F8" w:rsidR="007566C9" w:rsidRDefault="00D70250" w:rsidP="00D70250">
      <w:pPr>
        <w:pStyle w:val="ListParagraph"/>
        <w:numPr>
          <w:ilvl w:val="0"/>
          <w:numId w:val="3"/>
        </w:numPr>
        <w:spacing w:after="0" w:line="240" w:lineRule="auto"/>
        <w:jc w:val="both"/>
        <w:rPr>
          <w:rFonts w:asciiTheme="majorBidi" w:hAnsiTheme="majorBidi" w:cstheme="majorBidi"/>
          <w:sz w:val="22"/>
          <w:szCs w:val="22"/>
        </w:rPr>
      </w:pPr>
      <w:r w:rsidRPr="00D70250">
        <w:rPr>
          <w:rFonts w:asciiTheme="majorBidi" w:hAnsiTheme="majorBidi" w:cstheme="majorBidi"/>
          <w:sz w:val="22"/>
          <w:szCs w:val="22"/>
        </w:rPr>
        <w:t xml:space="preserve">Dar, M.A., Bhat, M.F., Hassan, R., Masoodi, M.H., Mir, S.R., &amp; Mohiuddin, R. (2019). Extensive phytochemistry, comprehensive traditional uses, and critical pharmacological profile of the great mullein: </w:t>
      </w:r>
      <w:proofErr w:type="spellStart"/>
      <w:r w:rsidRPr="00D70250">
        <w:rPr>
          <w:rFonts w:asciiTheme="majorBidi" w:hAnsiTheme="majorBidi" w:cstheme="majorBidi"/>
          <w:sz w:val="22"/>
          <w:szCs w:val="22"/>
        </w:rPr>
        <w:t>Verbascum</w:t>
      </w:r>
      <w:proofErr w:type="spellEnd"/>
      <w:r w:rsidRPr="00D70250">
        <w:rPr>
          <w:rFonts w:asciiTheme="majorBidi" w:hAnsiTheme="majorBidi" w:cstheme="majorBidi"/>
          <w:sz w:val="22"/>
          <w:szCs w:val="22"/>
        </w:rPr>
        <w:t xml:space="preserve"> </w:t>
      </w:r>
      <w:proofErr w:type="spellStart"/>
      <w:r w:rsidRPr="00D70250">
        <w:rPr>
          <w:rFonts w:asciiTheme="majorBidi" w:hAnsiTheme="majorBidi" w:cstheme="majorBidi"/>
          <w:sz w:val="22"/>
          <w:szCs w:val="22"/>
        </w:rPr>
        <w:t>thapsus</w:t>
      </w:r>
      <w:proofErr w:type="spellEnd"/>
      <w:r w:rsidRPr="00D70250">
        <w:rPr>
          <w:rFonts w:asciiTheme="majorBidi" w:hAnsiTheme="majorBidi" w:cstheme="majorBidi"/>
          <w:sz w:val="22"/>
          <w:szCs w:val="22"/>
        </w:rPr>
        <w:t xml:space="preserve"> L. The Natural Products Journal, 9(3), 158-171.</w:t>
      </w:r>
      <w:r w:rsidR="007566C9">
        <w:rPr>
          <w:rFonts w:asciiTheme="majorBidi" w:hAnsiTheme="majorBidi" w:cstheme="majorBidi"/>
          <w:sz w:val="22"/>
          <w:szCs w:val="22"/>
        </w:rPr>
        <w:t xml:space="preserve"> </w:t>
      </w:r>
      <w:hyperlink r:id="rId112" w:history="1">
        <w:r w:rsidRPr="00A80C40">
          <w:rPr>
            <w:rStyle w:val="Hyperlink"/>
            <w:rFonts w:asciiTheme="majorBidi" w:hAnsiTheme="majorBidi" w:cstheme="majorBidi"/>
            <w:sz w:val="22"/>
            <w:szCs w:val="22"/>
          </w:rPr>
          <w:t>https://doi.org/10.2174/2210315508666180821153531</w:t>
        </w:r>
      </w:hyperlink>
      <w:r>
        <w:rPr>
          <w:rFonts w:asciiTheme="majorBidi" w:hAnsiTheme="majorBidi" w:cstheme="majorBidi"/>
          <w:sz w:val="22"/>
          <w:szCs w:val="22"/>
        </w:rPr>
        <w:t xml:space="preserve"> </w:t>
      </w:r>
    </w:p>
    <w:p w14:paraId="2F5E78CA" w14:textId="0A7A1572" w:rsidR="00D70250" w:rsidRDefault="00D70250" w:rsidP="00D70250">
      <w:pPr>
        <w:pStyle w:val="ListParagraph"/>
        <w:numPr>
          <w:ilvl w:val="0"/>
          <w:numId w:val="3"/>
        </w:numPr>
        <w:spacing w:after="0" w:line="240" w:lineRule="auto"/>
        <w:jc w:val="both"/>
        <w:rPr>
          <w:rFonts w:asciiTheme="majorBidi" w:hAnsiTheme="majorBidi" w:cstheme="majorBidi"/>
          <w:sz w:val="22"/>
          <w:szCs w:val="22"/>
        </w:rPr>
      </w:pPr>
      <w:r w:rsidRPr="00D70250">
        <w:rPr>
          <w:rFonts w:asciiTheme="majorBidi" w:hAnsiTheme="majorBidi" w:cstheme="majorBidi"/>
          <w:sz w:val="22"/>
          <w:szCs w:val="22"/>
        </w:rPr>
        <w:t>Nowakowski, P., Markiewicz-</w:t>
      </w:r>
      <w:proofErr w:type="spellStart"/>
      <w:r w:rsidRPr="00D70250">
        <w:rPr>
          <w:rFonts w:asciiTheme="majorBidi" w:hAnsiTheme="majorBidi" w:cstheme="majorBidi"/>
          <w:sz w:val="22"/>
          <w:szCs w:val="22"/>
        </w:rPr>
        <w:t>Żukowska</w:t>
      </w:r>
      <w:proofErr w:type="spellEnd"/>
      <w:r w:rsidRPr="00D70250">
        <w:rPr>
          <w:rFonts w:asciiTheme="majorBidi" w:hAnsiTheme="majorBidi" w:cstheme="majorBidi"/>
          <w:sz w:val="22"/>
          <w:szCs w:val="22"/>
        </w:rPr>
        <w:t xml:space="preserve">, R., </w:t>
      </w:r>
      <w:proofErr w:type="spellStart"/>
      <w:r w:rsidRPr="00D70250">
        <w:rPr>
          <w:rFonts w:asciiTheme="majorBidi" w:hAnsiTheme="majorBidi" w:cstheme="majorBidi"/>
          <w:sz w:val="22"/>
          <w:szCs w:val="22"/>
        </w:rPr>
        <w:t>Soroczyńska</w:t>
      </w:r>
      <w:proofErr w:type="spellEnd"/>
      <w:r w:rsidRPr="00D70250">
        <w:rPr>
          <w:rFonts w:asciiTheme="majorBidi" w:hAnsiTheme="majorBidi" w:cstheme="majorBidi"/>
          <w:sz w:val="22"/>
          <w:szCs w:val="22"/>
        </w:rPr>
        <w:t xml:space="preserve">, J., </w:t>
      </w:r>
      <w:proofErr w:type="spellStart"/>
      <w:r w:rsidRPr="00D70250">
        <w:rPr>
          <w:rFonts w:asciiTheme="majorBidi" w:hAnsiTheme="majorBidi" w:cstheme="majorBidi"/>
          <w:sz w:val="22"/>
          <w:szCs w:val="22"/>
        </w:rPr>
        <w:t>Puścion-Jakubik</w:t>
      </w:r>
      <w:proofErr w:type="spellEnd"/>
      <w:r w:rsidRPr="00D70250">
        <w:rPr>
          <w:rFonts w:asciiTheme="majorBidi" w:hAnsiTheme="majorBidi" w:cstheme="majorBidi"/>
          <w:sz w:val="22"/>
          <w:szCs w:val="22"/>
        </w:rPr>
        <w:t>, A., Mielcarek, K., Borawska, M.H., &amp; Socha, K. (2021). Evaluation of toxic element content and health risk assessment of edible wild mushrooms. Journal of Food Composition and Analysis, 96, 103698.</w:t>
      </w:r>
      <w:r>
        <w:rPr>
          <w:rFonts w:asciiTheme="majorBidi" w:hAnsiTheme="majorBidi" w:cstheme="majorBidi"/>
          <w:sz w:val="22"/>
          <w:szCs w:val="22"/>
        </w:rPr>
        <w:t xml:space="preserve"> </w:t>
      </w:r>
      <w:hyperlink r:id="rId113" w:history="1">
        <w:r w:rsidRPr="00A80C40">
          <w:rPr>
            <w:rStyle w:val="Hyperlink"/>
            <w:rFonts w:asciiTheme="majorBidi" w:hAnsiTheme="majorBidi" w:cstheme="majorBidi"/>
            <w:sz w:val="22"/>
            <w:szCs w:val="22"/>
          </w:rPr>
          <w:t>https://doi.org/10.1016/j.jfca.2020.103698</w:t>
        </w:r>
      </w:hyperlink>
      <w:r>
        <w:rPr>
          <w:rFonts w:asciiTheme="majorBidi" w:hAnsiTheme="majorBidi" w:cstheme="majorBidi"/>
          <w:sz w:val="22"/>
          <w:szCs w:val="22"/>
        </w:rPr>
        <w:t xml:space="preserve"> </w:t>
      </w:r>
    </w:p>
    <w:p w14:paraId="7C783F70" w14:textId="6B4C2CA3" w:rsidR="00D70250" w:rsidRDefault="00D70250" w:rsidP="00D70250">
      <w:pPr>
        <w:pStyle w:val="ListParagraph"/>
        <w:numPr>
          <w:ilvl w:val="0"/>
          <w:numId w:val="3"/>
        </w:numPr>
        <w:spacing w:after="0" w:line="240" w:lineRule="auto"/>
        <w:jc w:val="both"/>
        <w:rPr>
          <w:rFonts w:asciiTheme="majorBidi" w:hAnsiTheme="majorBidi" w:cstheme="majorBidi"/>
          <w:sz w:val="22"/>
          <w:szCs w:val="22"/>
        </w:rPr>
      </w:pPr>
      <w:r w:rsidRPr="00D70250">
        <w:rPr>
          <w:rFonts w:asciiTheme="majorBidi" w:hAnsiTheme="majorBidi" w:cstheme="majorBidi"/>
          <w:sz w:val="22"/>
          <w:szCs w:val="22"/>
        </w:rPr>
        <w:t>Kalac, P. (2016). Edible mushrooms: chemical composition and nutritional value. Academic Press</w:t>
      </w:r>
      <w:r>
        <w:rPr>
          <w:rFonts w:asciiTheme="majorBidi" w:hAnsiTheme="majorBidi" w:cstheme="majorBidi"/>
          <w:sz w:val="22"/>
          <w:szCs w:val="22"/>
        </w:rPr>
        <w:t>, USA</w:t>
      </w:r>
      <w:r w:rsidRPr="00D70250">
        <w:rPr>
          <w:rFonts w:asciiTheme="majorBidi" w:hAnsiTheme="majorBidi" w:cstheme="majorBidi"/>
          <w:sz w:val="22"/>
          <w:szCs w:val="22"/>
        </w:rPr>
        <w:t>.</w:t>
      </w:r>
      <w:r>
        <w:rPr>
          <w:rFonts w:asciiTheme="majorBidi" w:hAnsiTheme="majorBidi" w:cstheme="majorBidi"/>
          <w:sz w:val="22"/>
          <w:szCs w:val="22"/>
        </w:rPr>
        <w:t xml:space="preserve"> 236p. </w:t>
      </w:r>
      <w:hyperlink r:id="rId114" w:history="1">
        <w:r w:rsidRPr="00A80C40">
          <w:rPr>
            <w:rStyle w:val="Hyperlink"/>
            <w:rFonts w:asciiTheme="majorBidi" w:hAnsiTheme="majorBidi" w:cstheme="majorBidi"/>
            <w:sz w:val="22"/>
            <w:szCs w:val="22"/>
          </w:rPr>
          <w:t>https://www.google.co.in/books/edition/Edible_Mushrooms</w:t>
        </w:r>
      </w:hyperlink>
      <w:r>
        <w:rPr>
          <w:rFonts w:asciiTheme="majorBidi" w:hAnsiTheme="majorBidi" w:cstheme="majorBidi"/>
          <w:sz w:val="22"/>
          <w:szCs w:val="22"/>
        </w:rPr>
        <w:t xml:space="preserve">  </w:t>
      </w:r>
    </w:p>
    <w:p w14:paraId="1E32FF4B" w14:textId="2C787F28" w:rsidR="00D70250" w:rsidRDefault="00D70250" w:rsidP="00D70250">
      <w:pPr>
        <w:pStyle w:val="ListParagraph"/>
        <w:numPr>
          <w:ilvl w:val="0"/>
          <w:numId w:val="3"/>
        </w:numPr>
        <w:spacing w:after="0" w:line="240" w:lineRule="auto"/>
        <w:jc w:val="both"/>
        <w:rPr>
          <w:rFonts w:asciiTheme="majorBidi" w:hAnsiTheme="majorBidi" w:cstheme="majorBidi"/>
          <w:sz w:val="22"/>
          <w:szCs w:val="22"/>
        </w:rPr>
      </w:pPr>
      <w:proofErr w:type="spellStart"/>
      <w:r w:rsidRPr="00D70250">
        <w:rPr>
          <w:rFonts w:asciiTheme="majorBidi" w:hAnsiTheme="majorBidi" w:cstheme="majorBidi"/>
          <w:sz w:val="22"/>
          <w:szCs w:val="22"/>
        </w:rPr>
        <w:t>Chawngthu</w:t>
      </w:r>
      <w:proofErr w:type="spellEnd"/>
      <w:r w:rsidRPr="00D70250">
        <w:rPr>
          <w:rFonts w:asciiTheme="majorBidi" w:hAnsiTheme="majorBidi" w:cstheme="majorBidi"/>
          <w:sz w:val="22"/>
          <w:szCs w:val="22"/>
        </w:rPr>
        <w:t xml:space="preserve">, Z., </w:t>
      </w:r>
      <w:proofErr w:type="spellStart"/>
      <w:r w:rsidRPr="00D70250">
        <w:rPr>
          <w:rFonts w:asciiTheme="majorBidi" w:hAnsiTheme="majorBidi" w:cstheme="majorBidi"/>
          <w:sz w:val="22"/>
          <w:szCs w:val="22"/>
        </w:rPr>
        <w:t>Thachunglura</w:t>
      </w:r>
      <w:proofErr w:type="spellEnd"/>
      <w:r w:rsidRPr="00D70250">
        <w:rPr>
          <w:rFonts w:asciiTheme="majorBidi" w:hAnsiTheme="majorBidi" w:cstheme="majorBidi"/>
          <w:sz w:val="22"/>
          <w:szCs w:val="22"/>
        </w:rPr>
        <w:t xml:space="preserve">, V. L., </w:t>
      </w:r>
      <w:proofErr w:type="spellStart"/>
      <w:r w:rsidRPr="00D70250">
        <w:rPr>
          <w:rFonts w:asciiTheme="majorBidi" w:hAnsiTheme="majorBidi" w:cstheme="majorBidi"/>
          <w:sz w:val="22"/>
          <w:szCs w:val="22"/>
        </w:rPr>
        <w:t>Zothanzama</w:t>
      </w:r>
      <w:proofErr w:type="spellEnd"/>
      <w:r w:rsidRPr="00D70250">
        <w:rPr>
          <w:rFonts w:asciiTheme="majorBidi" w:hAnsiTheme="majorBidi" w:cstheme="majorBidi"/>
          <w:sz w:val="22"/>
          <w:szCs w:val="22"/>
        </w:rPr>
        <w:t xml:space="preserve">, J., &amp; </w:t>
      </w:r>
      <w:proofErr w:type="spellStart"/>
      <w:r w:rsidRPr="00D70250">
        <w:rPr>
          <w:rFonts w:asciiTheme="majorBidi" w:hAnsiTheme="majorBidi" w:cstheme="majorBidi"/>
          <w:sz w:val="22"/>
          <w:szCs w:val="22"/>
        </w:rPr>
        <w:t>Khumlianlal</w:t>
      </w:r>
      <w:proofErr w:type="spellEnd"/>
      <w:r w:rsidRPr="00D70250">
        <w:rPr>
          <w:rFonts w:asciiTheme="majorBidi" w:hAnsiTheme="majorBidi" w:cstheme="majorBidi"/>
          <w:sz w:val="22"/>
          <w:szCs w:val="22"/>
        </w:rPr>
        <w:t>, J. (2024). Risk assessment of heavy metals in wild mushroom from Mizoram, India. Environmental Pollution and Management, 1, 147-151.</w:t>
      </w:r>
      <w:r>
        <w:rPr>
          <w:rFonts w:asciiTheme="majorBidi" w:hAnsiTheme="majorBidi" w:cstheme="majorBidi"/>
          <w:sz w:val="22"/>
          <w:szCs w:val="22"/>
        </w:rPr>
        <w:t xml:space="preserve"> </w:t>
      </w:r>
      <w:hyperlink r:id="rId115" w:history="1">
        <w:r w:rsidRPr="00A80C40">
          <w:rPr>
            <w:rStyle w:val="Hyperlink"/>
            <w:rFonts w:asciiTheme="majorBidi" w:hAnsiTheme="majorBidi" w:cstheme="majorBidi"/>
            <w:sz w:val="22"/>
            <w:szCs w:val="22"/>
          </w:rPr>
          <w:t>https://doi.org/10.1016/j.epm.2024.09.001</w:t>
        </w:r>
      </w:hyperlink>
      <w:r>
        <w:rPr>
          <w:rFonts w:asciiTheme="majorBidi" w:hAnsiTheme="majorBidi" w:cstheme="majorBidi"/>
          <w:sz w:val="22"/>
          <w:szCs w:val="22"/>
        </w:rPr>
        <w:t xml:space="preserve"> </w:t>
      </w:r>
    </w:p>
    <w:p w14:paraId="497A99BC" w14:textId="71698D7C" w:rsidR="00D70250" w:rsidRDefault="00D70250" w:rsidP="00D70250">
      <w:pPr>
        <w:pStyle w:val="ListParagraph"/>
        <w:numPr>
          <w:ilvl w:val="0"/>
          <w:numId w:val="3"/>
        </w:numPr>
        <w:spacing w:after="0" w:line="240" w:lineRule="auto"/>
        <w:jc w:val="both"/>
        <w:rPr>
          <w:rFonts w:asciiTheme="majorBidi" w:hAnsiTheme="majorBidi" w:cstheme="majorBidi"/>
          <w:sz w:val="22"/>
          <w:szCs w:val="22"/>
        </w:rPr>
      </w:pPr>
      <w:proofErr w:type="spellStart"/>
      <w:r w:rsidRPr="00D70250">
        <w:rPr>
          <w:rFonts w:asciiTheme="majorBidi" w:hAnsiTheme="majorBidi" w:cstheme="majorBidi"/>
          <w:sz w:val="22"/>
          <w:szCs w:val="22"/>
        </w:rPr>
        <w:t>Dowlati</w:t>
      </w:r>
      <w:proofErr w:type="spellEnd"/>
      <w:r w:rsidRPr="00D70250">
        <w:rPr>
          <w:rFonts w:asciiTheme="majorBidi" w:hAnsiTheme="majorBidi" w:cstheme="majorBidi"/>
          <w:sz w:val="22"/>
          <w:szCs w:val="22"/>
        </w:rPr>
        <w:t xml:space="preserve">, M., Sobhi, H. R., </w:t>
      </w:r>
      <w:proofErr w:type="spellStart"/>
      <w:r w:rsidRPr="00D70250">
        <w:rPr>
          <w:rFonts w:asciiTheme="majorBidi" w:hAnsiTheme="majorBidi" w:cstheme="majorBidi"/>
          <w:sz w:val="22"/>
          <w:szCs w:val="22"/>
        </w:rPr>
        <w:t>Esrafili</w:t>
      </w:r>
      <w:proofErr w:type="spellEnd"/>
      <w:r w:rsidRPr="00D70250">
        <w:rPr>
          <w:rFonts w:asciiTheme="majorBidi" w:hAnsiTheme="majorBidi" w:cstheme="majorBidi"/>
          <w:sz w:val="22"/>
          <w:szCs w:val="22"/>
        </w:rPr>
        <w:t xml:space="preserve">, A., </w:t>
      </w:r>
      <w:proofErr w:type="spellStart"/>
      <w:r w:rsidRPr="00D70250">
        <w:rPr>
          <w:rFonts w:asciiTheme="majorBidi" w:hAnsiTheme="majorBidi" w:cstheme="majorBidi"/>
          <w:sz w:val="22"/>
          <w:szCs w:val="22"/>
        </w:rPr>
        <w:t>FarzadKia</w:t>
      </w:r>
      <w:proofErr w:type="spellEnd"/>
      <w:r w:rsidRPr="00D70250">
        <w:rPr>
          <w:rFonts w:asciiTheme="majorBidi" w:hAnsiTheme="majorBidi" w:cstheme="majorBidi"/>
          <w:sz w:val="22"/>
          <w:szCs w:val="22"/>
        </w:rPr>
        <w:t>, M., &amp; Yeganeh, M. (2021). Heavy metals content in edible mushrooms: A systematic review, meta-analysis and health risk assessment. Trends in Food Science &amp; Technology, 109, 527-535.</w:t>
      </w:r>
      <w:r w:rsidR="003A4B8F">
        <w:rPr>
          <w:rFonts w:asciiTheme="majorBidi" w:hAnsiTheme="majorBidi" w:cstheme="majorBidi"/>
          <w:sz w:val="22"/>
          <w:szCs w:val="22"/>
        </w:rPr>
        <w:t xml:space="preserve"> </w:t>
      </w:r>
      <w:hyperlink r:id="rId116" w:history="1">
        <w:r w:rsidR="003A4B8F" w:rsidRPr="00A80C40">
          <w:rPr>
            <w:rStyle w:val="Hyperlink"/>
            <w:rFonts w:asciiTheme="majorBidi" w:hAnsiTheme="majorBidi" w:cstheme="majorBidi"/>
            <w:sz w:val="22"/>
            <w:szCs w:val="22"/>
          </w:rPr>
          <w:t>https://doi.org/10.1016/j.tifs.2021.01.064</w:t>
        </w:r>
      </w:hyperlink>
      <w:r w:rsidR="003A4B8F">
        <w:rPr>
          <w:rFonts w:asciiTheme="majorBidi" w:hAnsiTheme="majorBidi" w:cstheme="majorBidi"/>
          <w:sz w:val="22"/>
          <w:szCs w:val="22"/>
        </w:rPr>
        <w:t xml:space="preserve"> </w:t>
      </w:r>
    </w:p>
    <w:p w14:paraId="6B7B5728" w14:textId="4E6B563E" w:rsidR="003A4B8F" w:rsidRDefault="003A4B8F" w:rsidP="003A4B8F">
      <w:pPr>
        <w:pStyle w:val="ListParagraph"/>
        <w:numPr>
          <w:ilvl w:val="0"/>
          <w:numId w:val="3"/>
        </w:numPr>
        <w:spacing w:after="0" w:line="240" w:lineRule="auto"/>
        <w:jc w:val="both"/>
        <w:rPr>
          <w:rFonts w:asciiTheme="majorBidi" w:hAnsiTheme="majorBidi" w:cstheme="majorBidi"/>
          <w:sz w:val="22"/>
          <w:szCs w:val="22"/>
        </w:rPr>
      </w:pPr>
      <w:proofErr w:type="spellStart"/>
      <w:r w:rsidRPr="003A4B8F">
        <w:rPr>
          <w:rFonts w:asciiTheme="majorBidi" w:hAnsiTheme="majorBidi" w:cstheme="majorBidi"/>
          <w:sz w:val="22"/>
          <w:szCs w:val="22"/>
        </w:rPr>
        <w:t>Parasar</w:t>
      </w:r>
      <w:proofErr w:type="spellEnd"/>
      <w:r w:rsidRPr="003A4B8F">
        <w:rPr>
          <w:rFonts w:asciiTheme="majorBidi" w:hAnsiTheme="majorBidi" w:cstheme="majorBidi"/>
          <w:sz w:val="22"/>
          <w:szCs w:val="22"/>
        </w:rPr>
        <w:t>, B.J., Nath, R.K., Dutta, A.K., &amp; Agarwala, N. (2025). Poisonous mushrooms of Northeast India: Toxicity, health risks and ethnobotanical insights.</w:t>
      </w:r>
      <w:r>
        <w:rPr>
          <w:rFonts w:asciiTheme="majorBidi" w:hAnsiTheme="majorBidi" w:cstheme="majorBidi"/>
          <w:sz w:val="22"/>
          <w:szCs w:val="22"/>
        </w:rPr>
        <w:t xml:space="preserve"> Web reference: </w:t>
      </w:r>
      <w:hyperlink r:id="rId117" w:history="1">
        <w:r w:rsidRPr="00A80C40">
          <w:rPr>
            <w:rStyle w:val="Hyperlink"/>
            <w:rFonts w:asciiTheme="majorBidi" w:hAnsiTheme="majorBidi" w:cstheme="majorBidi"/>
            <w:sz w:val="22"/>
            <w:szCs w:val="22"/>
          </w:rPr>
          <w:t>http://mfuir.mfu.ac.th/xmlui/handle/123456789/1112</w:t>
        </w:r>
      </w:hyperlink>
      <w:r>
        <w:rPr>
          <w:rFonts w:asciiTheme="majorBidi" w:hAnsiTheme="majorBidi" w:cstheme="majorBidi"/>
          <w:sz w:val="22"/>
          <w:szCs w:val="22"/>
        </w:rPr>
        <w:t xml:space="preserve"> </w:t>
      </w:r>
    </w:p>
    <w:p w14:paraId="76E86806" w14:textId="2D9A4553" w:rsidR="00235AF1" w:rsidRPr="003A4B8F" w:rsidRDefault="003A4B8F" w:rsidP="003A4B8F">
      <w:pPr>
        <w:pStyle w:val="ListParagraph"/>
        <w:numPr>
          <w:ilvl w:val="0"/>
          <w:numId w:val="3"/>
        </w:numPr>
        <w:spacing w:after="0" w:line="240" w:lineRule="auto"/>
        <w:jc w:val="both"/>
        <w:rPr>
          <w:rFonts w:asciiTheme="majorBidi" w:hAnsiTheme="majorBidi" w:cstheme="majorBidi"/>
          <w:sz w:val="22"/>
          <w:szCs w:val="22"/>
        </w:rPr>
      </w:pPr>
      <w:proofErr w:type="spellStart"/>
      <w:r w:rsidRPr="003A4B8F">
        <w:rPr>
          <w:rFonts w:asciiTheme="majorBidi" w:hAnsiTheme="majorBidi" w:cstheme="majorBidi"/>
          <w:sz w:val="22"/>
          <w:szCs w:val="22"/>
        </w:rPr>
        <w:t>Pouris</w:t>
      </w:r>
      <w:proofErr w:type="spellEnd"/>
      <w:r w:rsidRPr="003A4B8F">
        <w:rPr>
          <w:rFonts w:asciiTheme="majorBidi" w:hAnsiTheme="majorBidi" w:cstheme="majorBidi"/>
          <w:sz w:val="22"/>
          <w:szCs w:val="22"/>
        </w:rPr>
        <w:t xml:space="preserve">, J., </w:t>
      </w:r>
      <w:proofErr w:type="spellStart"/>
      <w:r w:rsidRPr="003A4B8F">
        <w:rPr>
          <w:rFonts w:asciiTheme="majorBidi" w:hAnsiTheme="majorBidi" w:cstheme="majorBidi"/>
          <w:sz w:val="22"/>
          <w:szCs w:val="22"/>
        </w:rPr>
        <w:t>Kolyva</w:t>
      </w:r>
      <w:proofErr w:type="spellEnd"/>
      <w:r w:rsidRPr="003A4B8F">
        <w:rPr>
          <w:rFonts w:asciiTheme="majorBidi" w:hAnsiTheme="majorBidi" w:cstheme="majorBidi"/>
          <w:sz w:val="22"/>
          <w:szCs w:val="22"/>
        </w:rPr>
        <w:t xml:space="preserve">, F., </w:t>
      </w:r>
      <w:proofErr w:type="spellStart"/>
      <w:r w:rsidRPr="003A4B8F">
        <w:rPr>
          <w:rFonts w:asciiTheme="majorBidi" w:hAnsiTheme="majorBidi" w:cstheme="majorBidi"/>
          <w:sz w:val="22"/>
          <w:szCs w:val="22"/>
        </w:rPr>
        <w:t>Bratakou</w:t>
      </w:r>
      <w:proofErr w:type="spellEnd"/>
      <w:r w:rsidRPr="003A4B8F">
        <w:rPr>
          <w:rFonts w:asciiTheme="majorBidi" w:hAnsiTheme="majorBidi" w:cstheme="majorBidi"/>
          <w:sz w:val="22"/>
          <w:szCs w:val="22"/>
        </w:rPr>
        <w:t xml:space="preserve">, S., </w:t>
      </w:r>
      <w:proofErr w:type="spellStart"/>
      <w:r w:rsidRPr="003A4B8F">
        <w:rPr>
          <w:rFonts w:asciiTheme="majorBidi" w:hAnsiTheme="majorBidi" w:cstheme="majorBidi"/>
          <w:sz w:val="22"/>
          <w:szCs w:val="22"/>
        </w:rPr>
        <w:t>Vogiatzi</w:t>
      </w:r>
      <w:proofErr w:type="spellEnd"/>
      <w:r w:rsidRPr="003A4B8F">
        <w:rPr>
          <w:rFonts w:asciiTheme="majorBidi" w:hAnsiTheme="majorBidi" w:cstheme="majorBidi"/>
          <w:sz w:val="22"/>
          <w:szCs w:val="22"/>
        </w:rPr>
        <w:t xml:space="preserve">, C.A., </w:t>
      </w:r>
      <w:proofErr w:type="spellStart"/>
      <w:r w:rsidRPr="003A4B8F">
        <w:rPr>
          <w:rFonts w:asciiTheme="majorBidi" w:hAnsiTheme="majorBidi" w:cstheme="majorBidi"/>
          <w:sz w:val="22"/>
          <w:szCs w:val="22"/>
        </w:rPr>
        <w:t>Chaniotis</w:t>
      </w:r>
      <w:proofErr w:type="spellEnd"/>
      <w:r w:rsidRPr="003A4B8F">
        <w:rPr>
          <w:rFonts w:asciiTheme="majorBidi" w:hAnsiTheme="majorBidi" w:cstheme="majorBidi"/>
          <w:sz w:val="22"/>
          <w:szCs w:val="22"/>
        </w:rPr>
        <w:t xml:space="preserve">, D., &amp; </w:t>
      </w:r>
      <w:proofErr w:type="spellStart"/>
      <w:r w:rsidRPr="003A4B8F">
        <w:rPr>
          <w:rFonts w:asciiTheme="majorBidi" w:hAnsiTheme="majorBidi" w:cstheme="majorBidi"/>
          <w:sz w:val="22"/>
          <w:szCs w:val="22"/>
        </w:rPr>
        <w:t>Beloukas</w:t>
      </w:r>
      <w:proofErr w:type="spellEnd"/>
      <w:r w:rsidRPr="003A4B8F">
        <w:rPr>
          <w:rFonts w:asciiTheme="majorBidi" w:hAnsiTheme="majorBidi" w:cstheme="majorBidi"/>
          <w:sz w:val="22"/>
          <w:szCs w:val="22"/>
        </w:rPr>
        <w:t>, A. (2024). The role of fungi in food production and processing. Applied Sciences, 14(12), 5046</w:t>
      </w:r>
      <w:r>
        <w:rPr>
          <w:rFonts w:asciiTheme="majorBidi" w:hAnsiTheme="majorBidi" w:cstheme="majorBidi"/>
          <w:sz w:val="22"/>
          <w:szCs w:val="22"/>
        </w:rPr>
        <w:t xml:space="preserve">. </w:t>
      </w:r>
      <w:hyperlink r:id="rId118" w:history="1">
        <w:r w:rsidRPr="00A80C40">
          <w:rPr>
            <w:rStyle w:val="Hyperlink"/>
            <w:rFonts w:asciiTheme="majorBidi" w:hAnsiTheme="majorBidi" w:cstheme="majorBidi"/>
            <w:sz w:val="22"/>
            <w:szCs w:val="22"/>
          </w:rPr>
          <w:t>https://doi.org/10.3390/app14125046</w:t>
        </w:r>
      </w:hyperlink>
      <w:r>
        <w:rPr>
          <w:rFonts w:asciiTheme="majorBidi" w:hAnsiTheme="majorBidi" w:cstheme="majorBidi"/>
          <w:sz w:val="22"/>
          <w:szCs w:val="22"/>
        </w:rPr>
        <w:t xml:space="preserve"> </w:t>
      </w:r>
    </w:p>
    <w:sectPr w:rsidR="00235AF1" w:rsidRPr="003A4B8F">
      <w:headerReference w:type="even" r:id="rId119"/>
      <w:headerReference w:type="default" r:id="rId120"/>
      <w:footerReference w:type="even" r:id="rId121"/>
      <w:footerReference w:type="default" r:id="rId122"/>
      <w:headerReference w:type="first" r:id="rId123"/>
      <w:footerReference w:type="first" r:id="rId1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8E0D6" w14:textId="77777777" w:rsidR="00E07460" w:rsidRDefault="00E07460" w:rsidP="00250150">
      <w:pPr>
        <w:spacing w:after="0" w:line="240" w:lineRule="auto"/>
      </w:pPr>
      <w:r>
        <w:separator/>
      </w:r>
    </w:p>
  </w:endnote>
  <w:endnote w:type="continuationSeparator" w:id="0">
    <w:p w14:paraId="4019E449" w14:textId="77777777" w:rsidR="00E07460" w:rsidRDefault="00E07460" w:rsidP="00250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4A9F" w14:textId="77777777" w:rsidR="00250150" w:rsidRDefault="002501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6B545" w14:textId="77777777" w:rsidR="00250150" w:rsidRDefault="002501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26B75" w14:textId="77777777" w:rsidR="00250150" w:rsidRDefault="00250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5C52B" w14:textId="77777777" w:rsidR="00E07460" w:rsidRDefault="00E07460" w:rsidP="00250150">
      <w:pPr>
        <w:spacing w:after="0" w:line="240" w:lineRule="auto"/>
      </w:pPr>
      <w:r>
        <w:separator/>
      </w:r>
    </w:p>
  </w:footnote>
  <w:footnote w:type="continuationSeparator" w:id="0">
    <w:p w14:paraId="0F5353B6" w14:textId="77777777" w:rsidR="00E07460" w:rsidRDefault="00E07460" w:rsidP="00250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2CB5E" w14:textId="0BD063AF" w:rsidR="00250150" w:rsidRDefault="00E07460">
    <w:pPr>
      <w:pStyle w:val="Header"/>
    </w:pPr>
    <w:r>
      <w:rPr>
        <w:noProof/>
      </w:rPr>
      <w:pict w14:anchorId="493ED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476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5E62" w14:textId="6010E9C9" w:rsidR="00250150" w:rsidRDefault="00E07460">
    <w:pPr>
      <w:pStyle w:val="Header"/>
    </w:pPr>
    <w:r>
      <w:rPr>
        <w:noProof/>
      </w:rPr>
      <w:pict w14:anchorId="121C3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476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06A84" w14:textId="743D7995" w:rsidR="00250150" w:rsidRDefault="00E07460">
    <w:pPr>
      <w:pStyle w:val="Header"/>
    </w:pPr>
    <w:r>
      <w:rPr>
        <w:noProof/>
      </w:rPr>
      <w:pict w14:anchorId="49DB1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476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8CCC0C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7E6A29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000003"/>
    <w:multiLevelType w:val="hybridMultilevel"/>
    <w:tmpl w:val="C6B6CF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12AE0FC4"/>
    <w:lvl w:ilvl="0" w:tplc="460A47F8">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0000005"/>
    <w:multiLevelType w:val="hybridMultilevel"/>
    <w:tmpl w:val="71D0B5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0000006"/>
    <w:multiLevelType w:val="hybridMultilevel"/>
    <w:tmpl w:val="1C486974"/>
    <w:lvl w:ilvl="0" w:tplc="07EAD8C2">
      <w:start w:val="1"/>
      <w:numFmt w:val="decimal"/>
      <w:lvlText w:val="%1"/>
      <w:lvlJc w:val="left"/>
      <w:pPr>
        <w:ind w:left="385" w:hanging="306"/>
        <w:jc w:val="right"/>
      </w:pPr>
      <w:rPr>
        <w:rFonts w:ascii="Tahoma" w:eastAsia="Tahoma" w:hAnsi="Tahoma" w:cs="Tahoma" w:hint="default"/>
        <w:b/>
        <w:bCs/>
        <w:i w:val="0"/>
        <w:iCs w:val="0"/>
        <w:color w:val="231F20"/>
        <w:spacing w:val="0"/>
        <w:w w:val="91"/>
        <w:sz w:val="20"/>
        <w:szCs w:val="20"/>
        <w:lang w:val="en-US" w:eastAsia="en-US" w:bidi="ar-SA"/>
      </w:rPr>
    </w:lvl>
    <w:lvl w:ilvl="1" w:tplc="2BFA989E">
      <w:start w:val="1"/>
      <w:numFmt w:val="lowerRoman"/>
      <w:lvlText w:val="(%2)"/>
      <w:lvlJc w:val="left"/>
      <w:pPr>
        <w:ind w:left="439" w:hanging="360"/>
      </w:pPr>
      <w:rPr>
        <w:rFonts w:ascii="Tahoma" w:eastAsia="Tahoma" w:hAnsi="Tahoma" w:cs="Tahoma" w:hint="default"/>
        <w:b w:val="0"/>
        <w:bCs w:val="0"/>
        <w:i w:val="0"/>
        <w:iCs w:val="0"/>
        <w:color w:val="231F20"/>
        <w:spacing w:val="0"/>
        <w:w w:val="69"/>
        <w:sz w:val="16"/>
        <w:szCs w:val="16"/>
        <w:lang w:val="en-US" w:eastAsia="en-US" w:bidi="ar-SA"/>
      </w:rPr>
    </w:lvl>
    <w:lvl w:ilvl="2" w:tplc="8560543C">
      <w:start w:val="1"/>
      <w:numFmt w:val="bullet"/>
      <w:lvlText w:val="•"/>
      <w:lvlJc w:val="left"/>
      <w:pPr>
        <w:ind w:left="360" w:hanging="360"/>
      </w:pPr>
      <w:rPr>
        <w:rFonts w:hint="default"/>
        <w:lang w:val="en-US" w:eastAsia="en-US" w:bidi="ar-SA"/>
      </w:rPr>
    </w:lvl>
    <w:lvl w:ilvl="3" w:tplc="D744FFFC">
      <w:start w:val="1"/>
      <w:numFmt w:val="bullet"/>
      <w:lvlText w:val="•"/>
      <w:lvlJc w:val="left"/>
      <w:pPr>
        <w:ind w:left="280" w:hanging="360"/>
      </w:pPr>
      <w:rPr>
        <w:rFonts w:hint="default"/>
        <w:lang w:val="en-US" w:eastAsia="en-US" w:bidi="ar-SA"/>
      </w:rPr>
    </w:lvl>
    <w:lvl w:ilvl="4" w:tplc="11E24EAA">
      <w:start w:val="1"/>
      <w:numFmt w:val="bullet"/>
      <w:lvlText w:val="•"/>
      <w:lvlJc w:val="left"/>
      <w:pPr>
        <w:ind w:left="200" w:hanging="360"/>
      </w:pPr>
      <w:rPr>
        <w:rFonts w:hint="default"/>
        <w:lang w:val="en-US" w:eastAsia="en-US" w:bidi="ar-SA"/>
      </w:rPr>
    </w:lvl>
    <w:lvl w:ilvl="5" w:tplc="67A249A4">
      <w:start w:val="1"/>
      <w:numFmt w:val="bullet"/>
      <w:lvlText w:val="•"/>
      <w:lvlJc w:val="left"/>
      <w:pPr>
        <w:ind w:left="120" w:hanging="360"/>
      </w:pPr>
      <w:rPr>
        <w:rFonts w:hint="default"/>
        <w:lang w:val="en-US" w:eastAsia="en-US" w:bidi="ar-SA"/>
      </w:rPr>
    </w:lvl>
    <w:lvl w:ilvl="6" w:tplc="983EE79C">
      <w:start w:val="1"/>
      <w:numFmt w:val="bullet"/>
      <w:lvlText w:val="•"/>
      <w:lvlJc w:val="left"/>
      <w:pPr>
        <w:ind w:left="40" w:hanging="360"/>
      </w:pPr>
      <w:rPr>
        <w:rFonts w:hint="default"/>
        <w:lang w:val="en-US" w:eastAsia="en-US" w:bidi="ar-SA"/>
      </w:rPr>
    </w:lvl>
    <w:lvl w:ilvl="7" w:tplc="04E07724">
      <w:start w:val="1"/>
      <w:numFmt w:val="bullet"/>
      <w:lvlText w:val="•"/>
      <w:lvlJc w:val="left"/>
      <w:pPr>
        <w:ind w:left="-39" w:hanging="360"/>
      </w:pPr>
      <w:rPr>
        <w:rFonts w:hint="default"/>
        <w:lang w:val="en-US" w:eastAsia="en-US" w:bidi="ar-SA"/>
      </w:rPr>
    </w:lvl>
    <w:lvl w:ilvl="8" w:tplc="33A25722">
      <w:start w:val="1"/>
      <w:numFmt w:val="bullet"/>
      <w:lvlText w:val="•"/>
      <w:lvlJc w:val="left"/>
      <w:pPr>
        <w:ind w:left="-119" w:hanging="360"/>
      </w:pPr>
      <w:rPr>
        <w:rFonts w:hint="default"/>
        <w:lang w:val="en-US" w:eastAsia="en-US" w:bidi="ar-SA"/>
      </w:rPr>
    </w:lvl>
  </w:abstractNum>
  <w:abstractNum w:abstractNumId="6" w15:restartNumberingAfterBreak="0">
    <w:nsid w:val="00000007"/>
    <w:multiLevelType w:val="hybridMultilevel"/>
    <w:tmpl w:val="F7F034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0000008"/>
    <w:multiLevelType w:val="multilevel"/>
    <w:tmpl w:val="DF30C80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0000009"/>
    <w:multiLevelType w:val="hybridMultilevel"/>
    <w:tmpl w:val="01B006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5A73F0E"/>
    <w:multiLevelType w:val="multilevel"/>
    <w:tmpl w:val="5780373A"/>
    <w:lvl w:ilvl="0">
      <w:start w:val="10"/>
      <w:numFmt w:val="decimal"/>
      <w:lvlText w:val="%1."/>
      <w:lvlJc w:val="left"/>
      <w:pPr>
        <w:ind w:left="480" w:hanging="480"/>
      </w:pPr>
      <w:rPr>
        <w:rFonts w:hint="default"/>
        <w:b/>
        <w:bCs w:val="0"/>
      </w:rPr>
    </w:lvl>
    <w:lvl w:ilvl="1">
      <w:start w:val="4"/>
      <w:numFmt w:val="decimal"/>
      <w:lvlText w:val="%1.%2."/>
      <w:lvlJc w:val="left"/>
      <w:pPr>
        <w:ind w:left="480" w:hanging="48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76225924"/>
    <w:multiLevelType w:val="multilevel"/>
    <w:tmpl w:val="019E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3"/>
  </w:num>
  <w:num w:numId="4">
    <w:abstractNumId w:val="5"/>
  </w:num>
  <w:num w:numId="5">
    <w:abstractNumId w:val="2"/>
  </w:num>
  <w:num w:numId="6">
    <w:abstractNumId w:val="6"/>
  </w:num>
  <w:num w:numId="7">
    <w:abstractNumId w:val="1"/>
  </w:num>
  <w:num w:numId="8">
    <w:abstractNumId w:val="4"/>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AF1"/>
    <w:rsid w:val="000F2183"/>
    <w:rsid w:val="00182E67"/>
    <w:rsid w:val="00216B13"/>
    <w:rsid w:val="00225322"/>
    <w:rsid w:val="00235AF1"/>
    <w:rsid w:val="00235EF3"/>
    <w:rsid w:val="00250150"/>
    <w:rsid w:val="00300339"/>
    <w:rsid w:val="003A4B8F"/>
    <w:rsid w:val="003B4A50"/>
    <w:rsid w:val="003F1083"/>
    <w:rsid w:val="0058784B"/>
    <w:rsid w:val="00675CBC"/>
    <w:rsid w:val="006C0C6E"/>
    <w:rsid w:val="006C7154"/>
    <w:rsid w:val="006D3B50"/>
    <w:rsid w:val="00747FB6"/>
    <w:rsid w:val="007566C9"/>
    <w:rsid w:val="007E341B"/>
    <w:rsid w:val="0081700C"/>
    <w:rsid w:val="008E56E8"/>
    <w:rsid w:val="00A4744F"/>
    <w:rsid w:val="00AB7E79"/>
    <w:rsid w:val="00B21525"/>
    <w:rsid w:val="00B52BD9"/>
    <w:rsid w:val="00BD6D2A"/>
    <w:rsid w:val="00CA72DC"/>
    <w:rsid w:val="00CF0F21"/>
    <w:rsid w:val="00D44E91"/>
    <w:rsid w:val="00D70250"/>
    <w:rsid w:val="00E07460"/>
    <w:rsid w:val="00E107F0"/>
    <w:rsid w:val="00F466F0"/>
    <w:rsid w:val="00F61D7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D41D24"/>
  <w15:docId w15:val="{4EA50B3E-0084-431F-A3F6-7F1A5324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s="Times New Roman"/>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s="Times New Roman"/>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Times New Roma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Times New Roma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Times New Roma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Times New Roman"/>
      <w:color w:val="2F5496"/>
      <w:sz w:val="32"/>
      <w:szCs w:val="32"/>
    </w:rPr>
  </w:style>
  <w:style w:type="character" w:customStyle="1" w:styleId="Heading3Char">
    <w:name w:val="Heading 3 Char"/>
    <w:basedOn w:val="DefaultParagraphFont"/>
    <w:link w:val="Heading3"/>
    <w:uiPriority w:val="9"/>
    <w:rPr>
      <w:rFonts w:eastAsia="SimSun" w:cs="Times New Roman"/>
      <w:color w:val="2F5496"/>
      <w:sz w:val="28"/>
      <w:szCs w:val="28"/>
    </w:rPr>
  </w:style>
  <w:style w:type="character" w:customStyle="1" w:styleId="Heading4Char">
    <w:name w:val="Heading 4 Char"/>
    <w:basedOn w:val="DefaultParagraphFont"/>
    <w:link w:val="Heading4"/>
    <w:uiPriority w:val="9"/>
    <w:rPr>
      <w:rFonts w:eastAsia="SimSun" w:cs="Times New Roman"/>
      <w:i/>
      <w:iCs/>
      <w:color w:val="2F5496"/>
    </w:rPr>
  </w:style>
  <w:style w:type="character" w:customStyle="1" w:styleId="Heading5Char">
    <w:name w:val="Heading 5 Char"/>
    <w:basedOn w:val="DefaultParagraphFont"/>
    <w:link w:val="Heading5"/>
    <w:uiPriority w:val="9"/>
    <w:rPr>
      <w:rFonts w:eastAsia="SimSun" w:cs="Times New Roman"/>
      <w:color w:val="2F5496"/>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cs="Times New Roma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lang w:eastAsia="en-IN"/>
    </w:rPr>
  </w:style>
  <w:style w:type="character" w:styleId="Strong">
    <w:name w:val="Strong"/>
    <w:basedOn w:val="DefaultParagraphFont"/>
    <w:uiPriority w:val="22"/>
    <w:qFormat/>
    <w:rPr>
      <w:b/>
      <w:bCs/>
    </w:rPr>
  </w:style>
  <w:style w:type="character" w:customStyle="1" w:styleId="ms-1">
    <w:name w:val="ms-1"/>
    <w:basedOn w:val="DefaultParagraphFont"/>
  </w:style>
  <w:style w:type="character" w:customStyle="1" w:styleId="max-w-15ch">
    <w:name w:val="max-w-[15ch]"/>
    <w:basedOn w:val="DefaultParagraphFont"/>
  </w:style>
  <w:style w:type="character" w:customStyle="1" w:styleId="-me-1">
    <w:name w:val="-me-1"/>
    <w:basedOn w:val="DefaultParagraphFont"/>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BodyText">
    <w:name w:val="Body Text"/>
    <w:basedOn w:val="Normal"/>
    <w:link w:val="BodyTextChar"/>
    <w:uiPriority w:val="1"/>
    <w:qFormat/>
    <w:pPr>
      <w:widowControl w:val="0"/>
      <w:autoSpaceDE w:val="0"/>
      <w:autoSpaceDN w:val="0"/>
      <w:spacing w:after="0" w:line="240" w:lineRule="auto"/>
    </w:pPr>
    <w:rPr>
      <w:rFonts w:ascii="Tahoma" w:eastAsia="Tahoma" w:hAnsi="Tahoma" w:cs="Tahoma"/>
      <w:kern w:val="0"/>
      <w:sz w:val="16"/>
      <w:szCs w:val="16"/>
      <w:lang w:val="en-US"/>
    </w:rPr>
  </w:style>
  <w:style w:type="character" w:customStyle="1" w:styleId="BodyTextChar">
    <w:name w:val="Body Text Char"/>
    <w:basedOn w:val="DefaultParagraphFont"/>
    <w:link w:val="BodyText"/>
    <w:uiPriority w:val="1"/>
    <w:rPr>
      <w:rFonts w:ascii="Tahoma" w:eastAsia="Tahoma" w:hAnsi="Tahoma" w:cs="Tahoma"/>
      <w:kern w:val="0"/>
      <w:sz w:val="16"/>
      <w:szCs w:val="16"/>
      <w:lang w:val="en-US"/>
    </w:rPr>
  </w:style>
  <w:style w:type="paragraph" w:customStyle="1" w:styleId="TableParagraph">
    <w:name w:val="Table Paragraph"/>
    <w:basedOn w:val="Normal"/>
    <w:uiPriority w:val="1"/>
    <w:qFormat/>
    <w:pPr>
      <w:widowControl w:val="0"/>
      <w:autoSpaceDE w:val="0"/>
      <w:autoSpaceDN w:val="0"/>
      <w:spacing w:after="0" w:line="240" w:lineRule="auto"/>
    </w:pPr>
    <w:rPr>
      <w:rFonts w:ascii="Tahoma" w:eastAsia="Tahoma" w:hAnsi="Tahoma" w:cs="Tahoma"/>
      <w:kern w:val="0"/>
      <w:sz w:val="22"/>
      <w:szCs w:val="22"/>
      <w:lang w:val="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NoSpacing">
    <w:name w:val="No Spacing"/>
    <w:uiPriority w:val="1"/>
    <w:qFormat/>
    <w:pPr>
      <w:spacing w:after="0" w:line="240" w:lineRule="auto"/>
    </w:pPr>
    <w:rPr>
      <w:rFonts w:cs="Times New Roman"/>
      <w:kern w:val="0"/>
      <w:sz w:val="22"/>
      <w:szCs w:val="22"/>
      <w:lang w:val="en-US"/>
    </w:rPr>
  </w:style>
  <w:style w:type="character" w:styleId="FollowedHyperlink">
    <w:name w:val="FollowedHyperlink"/>
    <w:basedOn w:val="DefaultParagraphFont"/>
    <w:uiPriority w:val="99"/>
    <w:rPr>
      <w:color w:val="954F72"/>
      <w:u w:val="single"/>
    </w:rPr>
  </w:style>
  <w:style w:type="character" w:styleId="UnresolvedMention">
    <w:name w:val="Unresolved Mention"/>
    <w:basedOn w:val="DefaultParagraphFont"/>
    <w:uiPriority w:val="99"/>
    <w:semiHidden/>
    <w:unhideWhenUsed/>
    <w:rsid w:val="003F1083"/>
    <w:rPr>
      <w:color w:val="605E5C"/>
      <w:shd w:val="clear" w:color="auto" w:fill="E1DFDD"/>
    </w:rPr>
  </w:style>
  <w:style w:type="paragraph" w:styleId="Header">
    <w:name w:val="header"/>
    <w:basedOn w:val="Normal"/>
    <w:link w:val="HeaderChar"/>
    <w:uiPriority w:val="99"/>
    <w:unhideWhenUsed/>
    <w:rsid w:val="002501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150"/>
  </w:style>
  <w:style w:type="paragraph" w:styleId="Footer">
    <w:name w:val="footer"/>
    <w:basedOn w:val="Normal"/>
    <w:link w:val="FooterChar"/>
    <w:uiPriority w:val="99"/>
    <w:unhideWhenUsed/>
    <w:rsid w:val="00250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28/microbiolspec.funk-0052-2016" TargetMode="External"/><Relationship Id="rId117" Type="http://schemas.openxmlformats.org/officeDocument/2006/relationships/hyperlink" Target="http://mfuir.mfu.ac.th/xmlui/handle/123456789/1112" TargetMode="External"/><Relationship Id="rId21" Type="http://schemas.openxmlformats.org/officeDocument/2006/relationships/hyperlink" Target="https://doi.org/10.1111/j.1469-8137.2010.03180.x" TargetMode="External"/><Relationship Id="rId42" Type="http://schemas.openxmlformats.org/officeDocument/2006/relationships/hyperlink" Target="https://doi.org/10.3390/pr8111431" TargetMode="External"/><Relationship Id="rId47" Type="http://schemas.openxmlformats.org/officeDocument/2006/relationships/hyperlink" Target="https://doi.org/10.1016/j.atmosenv.2003.10.043" TargetMode="External"/><Relationship Id="rId63" Type="http://schemas.openxmlformats.org/officeDocument/2006/relationships/hyperlink" Target="https://doi.org/10.1007/s10584-016-1789-8" TargetMode="External"/><Relationship Id="rId68" Type="http://schemas.openxmlformats.org/officeDocument/2006/relationships/hyperlink" Target="https://doi.org/10.1080/23311932.2022.2147486" TargetMode="External"/><Relationship Id="rId84" Type="http://schemas.openxmlformats.org/officeDocument/2006/relationships/hyperlink" Target="https://doi.org/10.3390/ijms22020634" TargetMode="External"/><Relationship Id="rId89" Type="http://schemas.openxmlformats.org/officeDocument/2006/relationships/hyperlink" Target="https://doi.org/10.3390/pharmaceutics14020436" TargetMode="External"/><Relationship Id="rId112" Type="http://schemas.openxmlformats.org/officeDocument/2006/relationships/hyperlink" Target="https://doi.org/10.2174/2210315508666180821153531" TargetMode="External"/><Relationship Id="rId16" Type="http://schemas.openxmlformats.org/officeDocument/2006/relationships/hyperlink" Target="https://hdl.handle.net/21.15107/rcub_plantarum_1259" TargetMode="External"/><Relationship Id="rId107" Type="http://schemas.openxmlformats.org/officeDocument/2006/relationships/hyperlink" Target="https://doi.org/10.3389/fnut.2025.1654911" TargetMode="External"/><Relationship Id="rId11" Type="http://schemas.openxmlformats.org/officeDocument/2006/relationships/image" Target="media/image4.png"/><Relationship Id="rId32" Type="http://schemas.openxmlformats.org/officeDocument/2006/relationships/hyperlink" Target="https://doi.org/10.1093/fqsafe/fyaf046" TargetMode="External"/><Relationship Id="rId37" Type="http://schemas.openxmlformats.org/officeDocument/2006/relationships/hyperlink" Target="https://www.researchgate.net/publication/396369960" TargetMode="External"/><Relationship Id="rId53" Type="http://schemas.openxmlformats.org/officeDocument/2006/relationships/hyperlink" Target="http://www.fungi/watkinson/978-0-12-382034-1" TargetMode="External"/><Relationship Id="rId58" Type="http://schemas.openxmlformats.org/officeDocument/2006/relationships/hyperlink" Target="https://doi.org/10.1073/pnas.1117018109" TargetMode="External"/><Relationship Id="rId74" Type="http://schemas.openxmlformats.org/officeDocument/2006/relationships/hyperlink" Target="https://doi.org/10.1016/j.geoderma.2006.09.003" TargetMode="External"/><Relationship Id="rId79" Type="http://schemas.openxmlformats.org/officeDocument/2006/relationships/hyperlink" Target="https://doi.org/10.15251/DJNB.2020.154.1129" TargetMode="External"/><Relationship Id="rId102" Type="http://schemas.openxmlformats.org/officeDocument/2006/relationships/hyperlink" Target="https://doi.org/10.1021/acssuschemeng.2c01314" TargetMode="External"/><Relationship Id="rId123"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https://doi.org/10.3390/molecules28145393" TargetMode="External"/><Relationship Id="rId95" Type="http://schemas.openxmlformats.org/officeDocument/2006/relationships/hyperlink" Target="https://doi.org/10.1590/1678-4324-2022210669" TargetMode="External"/><Relationship Id="rId22" Type="http://schemas.openxmlformats.org/officeDocument/2006/relationships/hyperlink" Target="https://doi.org/10.1038/srep14850" TargetMode="External"/><Relationship Id="rId27" Type="http://schemas.openxmlformats.org/officeDocument/2006/relationships/hyperlink" Target="https://www.research.unipd.it/handle/11577/3510443" TargetMode="External"/><Relationship Id="rId43" Type="http://schemas.openxmlformats.org/officeDocument/2006/relationships/hyperlink" Target="https://www.researchgate.net/publication/382265784" TargetMode="External"/><Relationship Id="rId48" Type="http://schemas.openxmlformats.org/officeDocument/2006/relationships/hyperlink" Target="https://doi.org/10.1021/acsfoodscitech.4c00701" TargetMode="External"/><Relationship Id="rId64" Type="http://schemas.openxmlformats.org/officeDocument/2006/relationships/hyperlink" Target="https://doi.org/10.36036/MR.33.2.2024.161570" TargetMode="External"/><Relationship Id="rId69" Type="http://schemas.openxmlformats.org/officeDocument/2006/relationships/hyperlink" Target="https://doi.org/10.5943/sif/6/1/31" TargetMode="External"/><Relationship Id="rId113" Type="http://schemas.openxmlformats.org/officeDocument/2006/relationships/hyperlink" Target="https://doi.org/10.1016/j.jfca.2020.103698" TargetMode="External"/><Relationship Id="rId118" Type="http://schemas.openxmlformats.org/officeDocument/2006/relationships/hyperlink" Target="https://doi.org/10.3390/app14125046" TargetMode="External"/><Relationship Id="rId80" Type="http://schemas.openxmlformats.org/officeDocument/2006/relationships/hyperlink" Target="https://doi.org/10.1016/j.microb.2025.100439" TargetMode="External"/><Relationship Id="rId85" Type="http://schemas.openxmlformats.org/officeDocument/2006/relationships/hyperlink" Target="https://doi.org/10.3390/foods14050741" TargetMode="External"/><Relationship Id="rId12" Type="http://schemas.openxmlformats.org/officeDocument/2006/relationships/image" Target="media/image5.png"/><Relationship Id="rId17" Type="http://schemas.openxmlformats.org/officeDocument/2006/relationships/hyperlink" Target="https://doi.org/10.2993/0278-0771-33.1.33" TargetMode="External"/><Relationship Id="rId33" Type="http://schemas.openxmlformats.org/officeDocument/2006/relationships/hyperlink" Target="https://doi.org/10.1007/s11356-022-20317-8" TargetMode="External"/><Relationship Id="rId38" Type="http://schemas.openxmlformats.org/officeDocument/2006/relationships/hyperlink" Target="https://doi.org/10.13031/ja.15660" TargetMode="External"/><Relationship Id="rId59" Type="http://schemas.openxmlformats.org/officeDocument/2006/relationships/hyperlink" Target="https://doi.org/10.1007/s11274-024-04180-y" TargetMode="External"/><Relationship Id="rId103" Type="http://schemas.openxmlformats.org/officeDocument/2006/relationships/hyperlink" Target="https://doi.org/10.3390/nu14183700" TargetMode="External"/><Relationship Id="rId108" Type="http://schemas.openxmlformats.org/officeDocument/2006/relationships/hyperlink" Target="https://doi.org/10.1016/j.toxicon.2018.11.007" TargetMode="External"/><Relationship Id="rId124" Type="http://schemas.openxmlformats.org/officeDocument/2006/relationships/footer" Target="footer3.xml"/><Relationship Id="rId54" Type="http://schemas.openxmlformats.org/officeDocument/2006/relationships/hyperlink" Target="https://indianbotsoc.org" TargetMode="External"/><Relationship Id="rId70" Type="http://schemas.openxmlformats.org/officeDocument/2006/relationships/hyperlink" Target="https://doi.org/10.3390/su14127104" TargetMode="External"/><Relationship Id="rId75" Type="http://schemas.openxmlformats.org/officeDocument/2006/relationships/hyperlink" Target="https://doi.org/10.1007/s10021-002-0206-5" TargetMode="External"/><Relationship Id="rId91" Type="http://schemas.openxmlformats.org/officeDocument/2006/relationships/hyperlink" Target="https://doi.org/10.1007/s42452-025-07517-w" TargetMode="External"/><Relationship Id="rId96" Type="http://schemas.openxmlformats.org/officeDocument/2006/relationships/hyperlink" Target="https://doi.org/10.1079/ab.2025.0056"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007/s00792-016-0836-8" TargetMode="External"/><Relationship Id="rId28" Type="http://schemas.openxmlformats.org/officeDocument/2006/relationships/hyperlink" Target="http://www.jstage.jst.go.jp/article/jrfs/47/2-3/47_125/_pdf" TargetMode="External"/><Relationship Id="rId49" Type="http://schemas.openxmlformats.org/officeDocument/2006/relationships/hyperlink" Target="https://doi.org/10.3114/fuse.2022.09.07" TargetMode="External"/><Relationship Id="rId114" Type="http://schemas.openxmlformats.org/officeDocument/2006/relationships/hyperlink" Target="https://www.google.co.in/books/edition/Edible_Mushrooms" TargetMode="External"/><Relationship Id="rId119" Type="http://schemas.openxmlformats.org/officeDocument/2006/relationships/header" Target="header1.xml"/><Relationship Id="rId44" Type="http://schemas.openxmlformats.org/officeDocument/2006/relationships/hyperlink" Target="http://dx.doi.org/10.1201/9781003570257-7" TargetMode="External"/><Relationship Id="rId60" Type="http://schemas.openxmlformats.org/officeDocument/2006/relationships/hyperlink" Target="https://doi.org/10.1002/jobm.202300769" TargetMode="External"/><Relationship Id="rId65" Type="http://schemas.openxmlformats.org/officeDocument/2006/relationships/hyperlink" Target="https://doi.org/10.1186/s43170-023-00145-7" TargetMode="External"/><Relationship Id="rId81" Type="http://schemas.openxmlformats.org/officeDocument/2006/relationships/hyperlink" Target="https://epubs.icar.org.in/index.php/MR/article/view/163501" TargetMode="External"/><Relationship Id="rId86" Type="http://schemas.openxmlformats.org/officeDocument/2006/relationships/hyperlink" Target="https://doi.org/10.3390/app12168074" TargetMode="External"/><Relationship Id="rId13" Type="http://schemas.openxmlformats.org/officeDocument/2006/relationships/hyperlink" Target="https://doi.org/10.1007/978-3-319-53064-2_7" TargetMode="External"/><Relationship Id="rId18" Type="http://schemas.openxmlformats.org/officeDocument/2006/relationships/hyperlink" Target="https://doi.org/10.1007/978-3-030-37378-8_11" TargetMode="External"/><Relationship Id="rId39" Type="http://schemas.openxmlformats.org/officeDocument/2006/relationships/hyperlink" Target="https://doi.org/10.9734/jeai/2025/v47i63480" TargetMode="External"/><Relationship Id="rId109" Type="http://schemas.openxmlformats.org/officeDocument/2006/relationships/hyperlink" Target="https://www.nature.com/articles/s41598-024-78091-1" TargetMode="External"/><Relationship Id="rId34" Type="http://schemas.openxmlformats.org/officeDocument/2006/relationships/hyperlink" Target="https://doi.org/10.3390/foods12152881" TargetMode="External"/><Relationship Id="rId50" Type="http://schemas.openxmlformats.org/officeDocument/2006/relationships/hyperlink" Target="https://doi.org/10.1128/CMR.12.3.454" TargetMode="External"/><Relationship Id="rId55" Type="http://schemas.openxmlformats.org/officeDocument/2006/relationships/hyperlink" Target="https://doi.org/10.1127/nova_hedwigia/2019/0528" TargetMode="External"/><Relationship Id="rId76" Type="http://schemas.openxmlformats.org/officeDocument/2006/relationships/hyperlink" Target="https://doi.org/10.1016/j.jenvman.2021.113940" TargetMode="External"/><Relationship Id="rId97" Type="http://schemas.openxmlformats.org/officeDocument/2006/relationships/hyperlink" Target="https://doi.org/10.1007/s00253-010-3067-4" TargetMode="External"/><Relationship Id="rId104" Type="http://schemas.openxmlformats.org/officeDocument/2006/relationships/hyperlink" Target="https://doi.org/10.3390/jof10030183"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currentscience.ac.in/" TargetMode="External"/><Relationship Id="rId92" Type="http://schemas.openxmlformats.org/officeDocument/2006/relationships/hyperlink" Target="https://doi.org/10.1201/9780203492086" TargetMode="External"/><Relationship Id="rId2" Type="http://schemas.openxmlformats.org/officeDocument/2006/relationships/styles" Target="styles.xml"/><Relationship Id="rId29" Type="http://schemas.openxmlformats.org/officeDocument/2006/relationships/hyperlink" Target="https://doi.org/10.9734/AFSJ/2023/v22i9657" TargetMode="External"/><Relationship Id="rId24" Type="http://schemas.openxmlformats.org/officeDocument/2006/relationships/hyperlink" Target="https://doi.org/10.1080/10408398.2025.2512221" TargetMode="External"/><Relationship Id="rId40" Type="http://schemas.openxmlformats.org/officeDocument/2006/relationships/hyperlink" Target="https://doi.org/10.20546/ijcmas.2020.906.134" TargetMode="External"/><Relationship Id="rId45" Type="http://schemas.openxmlformats.org/officeDocument/2006/relationships/hyperlink" Target="https://doi.org/10.55362/IJE/2022/3602" TargetMode="External"/><Relationship Id="rId66" Type="http://schemas.openxmlformats.org/officeDocument/2006/relationships/hyperlink" Target="https://doi.org/10.1080/87559129.2025.2541856" TargetMode="External"/><Relationship Id="rId87" Type="http://schemas.openxmlformats.org/officeDocument/2006/relationships/hyperlink" Target="https://doi.org/10.1155/2024/6660423" TargetMode="External"/><Relationship Id="rId110" Type="http://schemas.openxmlformats.org/officeDocument/2006/relationships/hyperlink" Target="https://doi.org/10.1016/j.revmed.2023.10.459" TargetMode="External"/><Relationship Id="rId115" Type="http://schemas.openxmlformats.org/officeDocument/2006/relationships/hyperlink" Target="https://doi.org/10.1016/j.epm.2024.09.001" TargetMode="External"/><Relationship Id="rId61" Type="http://schemas.openxmlformats.org/officeDocument/2006/relationships/hyperlink" Target="https://doi.org/10.1016/j.foreco.2010.04.024" TargetMode="External"/><Relationship Id="rId82" Type="http://schemas.openxmlformats.org/officeDocument/2006/relationships/hyperlink" Target="https://www.fao.org/faostat/en/" TargetMode="External"/><Relationship Id="rId19" Type="http://schemas.openxmlformats.org/officeDocument/2006/relationships/hyperlink" Target="https://doi.org/10.1111/j.1469-8137.2011.03868.x" TargetMode="External"/><Relationship Id="rId14" Type="http://schemas.openxmlformats.org/officeDocument/2006/relationships/hyperlink" Target="https://doi.org/10.1016/j.heliyon.2024.e26539" TargetMode="External"/><Relationship Id="rId30" Type="http://schemas.openxmlformats.org/officeDocument/2006/relationships/hyperlink" Target="https://hdl.handle.net/10568/146325" TargetMode="External"/><Relationship Id="rId35" Type="http://schemas.openxmlformats.org/officeDocument/2006/relationships/hyperlink" Target="https://doi.org/10.3329/bjb.v52i1.65249" TargetMode="External"/><Relationship Id="rId56" Type="http://schemas.openxmlformats.org/officeDocument/2006/relationships/hyperlink" Target="https://doi.org/10.1007/s10482-006-9120-8" TargetMode="External"/><Relationship Id="rId77" Type="http://schemas.openxmlformats.org/officeDocument/2006/relationships/hyperlink" Target="https://doi.org/10.1038/s41598-017-14181-7" TargetMode="External"/><Relationship Id="rId100" Type="http://schemas.openxmlformats.org/officeDocument/2006/relationships/hyperlink" Target="https://doi.org/10.1016/j.bcab.2024.103047" TargetMode="External"/><Relationship Id="rId105" Type="http://schemas.openxmlformats.org/officeDocument/2006/relationships/hyperlink" Target="https://doi.org/10.55362/IJE/2022/3838" TargetMode="External"/><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1007/s11756-025-02011-5" TargetMode="External"/><Relationship Id="rId72" Type="http://schemas.openxmlformats.org/officeDocument/2006/relationships/hyperlink" Target="https://doi.org/10.11609/jott.5730.12.10.16314-16346" TargetMode="External"/><Relationship Id="rId93" Type="http://schemas.openxmlformats.org/officeDocument/2006/relationships/hyperlink" Target="https://doi.org/10.1002/9781119149446.ch2" TargetMode="External"/><Relationship Id="rId98" Type="http://schemas.openxmlformats.org/officeDocument/2006/relationships/hyperlink" Target="https://doi.org/10.1016/j.fochx.2024.101774"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doi.org/10.51470/PLANTARCHIVES.2025.v25.supplement-1.447" TargetMode="External"/><Relationship Id="rId46" Type="http://schemas.openxmlformats.org/officeDocument/2006/relationships/hyperlink" Target="https://doi.org/10.55362/IJE/2023/3869" TargetMode="External"/><Relationship Id="rId67" Type="http://schemas.openxmlformats.org/officeDocument/2006/relationships/hyperlink" Target="https://doi.org/10.1007/s00253-022-11985-0" TargetMode="External"/><Relationship Id="rId116" Type="http://schemas.openxmlformats.org/officeDocument/2006/relationships/hyperlink" Target="https://doi.org/10.1016/j.tifs.2021.01.064" TargetMode="External"/><Relationship Id="rId20" Type="http://schemas.openxmlformats.org/officeDocument/2006/relationships/hyperlink" Target="https://doi.org/10.1016/j.heliyon.2024.e41418" TargetMode="External"/><Relationship Id="rId41" Type="http://schemas.openxmlformats.org/officeDocument/2006/relationships/hyperlink" Target="https://doi.org/10.51470/PLANTARCHIVES.2025.v25.supplement-1.447" TargetMode="External"/><Relationship Id="rId62" Type="http://schemas.openxmlformats.org/officeDocument/2006/relationships/hyperlink" Target="https://doi.org/10.5937/ffr0-58161" TargetMode="External"/><Relationship Id="rId83" Type="http://schemas.openxmlformats.org/officeDocument/2006/relationships/hyperlink" Target="https://doi.org/10.1080/00275514.2025.2452307" TargetMode="External"/><Relationship Id="rId88" Type="http://schemas.openxmlformats.org/officeDocument/2006/relationships/hyperlink" Target="https://doi.org/10.1016/S2095-3119(21)63871-6" TargetMode="External"/><Relationship Id="rId111" Type="http://schemas.openxmlformats.org/officeDocument/2006/relationships/hyperlink" Target="https://doi.org/10.4103/tjem.tjem_129_24" TargetMode="External"/><Relationship Id="rId15" Type="http://schemas.openxmlformats.org/officeDocument/2006/relationships/hyperlink" Target="http://dx.doi.org/10.1201/9781003570257-19" TargetMode="External"/><Relationship Id="rId36" Type="http://schemas.openxmlformats.org/officeDocument/2006/relationships/hyperlink" Target="https://doi.org/10.1615/IntJMedMushrooms.2023049037" TargetMode="External"/><Relationship Id="rId57" Type="http://schemas.openxmlformats.org/officeDocument/2006/relationships/hyperlink" Target="https://doi.org/10.4172/2329-9002.1000131" TargetMode="External"/><Relationship Id="rId106" Type="http://schemas.openxmlformats.org/officeDocument/2006/relationships/hyperlink" Target="https://doi.org/10.5958/2582-2683.2022.00076.4" TargetMode="External"/><Relationship Id="rId10" Type="http://schemas.openxmlformats.org/officeDocument/2006/relationships/hyperlink" Target="http://www.dkart.in" TargetMode="External"/><Relationship Id="rId31" Type="http://schemas.openxmlformats.org/officeDocument/2006/relationships/hyperlink" Target="https://doi.org/10.1111/jwas.12964" TargetMode="External"/><Relationship Id="rId52" Type="http://schemas.openxmlformats.org/officeDocument/2006/relationships/hyperlink" Target="https://doi.org/10.1007/s13225-019-00432-7" TargetMode="External"/><Relationship Id="rId73" Type="http://schemas.openxmlformats.org/officeDocument/2006/relationships/hyperlink" Target="https://doi.org/10.5598/imafungus.2012.03.01.09" TargetMode="External"/><Relationship Id="rId78" Type="http://schemas.openxmlformats.org/officeDocument/2006/relationships/hyperlink" Target="http://dx.doi.org/10.1021/acsfoodscitech.4c00876" TargetMode="External"/><Relationship Id="rId94" Type="http://schemas.openxmlformats.org/officeDocument/2006/relationships/hyperlink" Target="https://doi.org/10.1155/2022/9436614" TargetMode="External"/><Relationship Id="rId99" Type="http://schemas.openxmlformats.org/officeDocument/2006/relationships/hyperlink" Target="https://doi.org/10.48130/cas-0025-0007" TargetMode="External"/><Relationship Id="rId101" Type="http://schemas.openxmlformats.org/officeDocument/2006/relationships/hyperlink" Target="https://doi.org/10.1615/IntJMedMushrooms.2022045380" TargetMode="External"/><Relationship Id="rId12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38</Pages>
  <Words>16672</Words>
  <Characters>95032</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 shaheem</dc:creator>
  <cp:lastModifiedBy>Editor-1183</cp:lastModifiedBy>
  <cp:revision>10</cp:revision>
  <cp:lastPrinted>2025-12-24T10:05:00Z</cp:lastPrinted>
  <dcterms:created xsi:type="dcterms:W3CDTF">2025-12-24T10:11:00Z</dcterms:created>
  <dcterms:modified xsi:type="dcterms:W3CDTF">2026-01-03T08:55:00Z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6f909e30-157a-4ac3-982a-a19eb034edad</vt:lpwstr>
  </property>
  <property fmtid="{D5CDD505-2E9C-101B-9397-08002B2CF9AE}" pid="3" name="ICV">
    <vt:lpwstr>00d944c8545e4d46874201b040a133ae</vt:lpwstr>
  </property>
</Properties>
</file>