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1846" w14:textId="1CA9CCC1" w:rsidR="008F63C5" w:rsidRDefault="008F63C5" w:rsidP="008F63C5">
      <w:pPr>
        <w:spacing w:line="276" w:lineRule="auto"/>
        <w:jc w:val="center"/>
        <w:rPr>
          <w:rFonts w:ascii="Times New Roman" w:hAnsi="Times New Roman" w:cs="Times New Roman"/>
          <w:b/>
          <w:bCs/>
          <w:sz w:val="28"/>
          <w:szCs w:val="36"/>
        </w:rPr>
      </w:pPr>
      <w:r w:rsidRPr="008F63C5">
        <w:rPr>
          <w:rFonts w:ascii="Times New Roman" w:hAnsi="Times New Roman" w:cs="Times New Roman"/>
          <w:b/>
          <w:bCs/>
          <w:sz w:val="28"/>
          <w:szCs w:val="36"/>
        </w:rPr>
        <w:t xml:space="preserve">The Effect of Curcumin Supplementation in </w:t>
      </w:r>
      <w:r w:rsidRPr="008F63C5">
        <w:rPr>
          <w:rFonts w:ascii="Times New Roman" w:hAnsi="Times New Roman" w:cs="Times New Roman"/>
          <w:b/>
          <w:bCs/>
          <w:i/>
          <w:iCs/>
          <w:sz w:val="28"/>
          <w:szCs w:val="36"/>
        </w:rPr>
        <w:t>Escherichia coli</w:t>
      </w:r>
      <w:r w:rsidRPr="008F63C5">
        <w:rPr>
          <w:rFonts w:ascii="Times New Roman" w:hAnsi="Times New Roman" w:cs="Times New Roman"/>
          <w:b/>
          <w:bCs/>
          <w:sz w:val="28"/>
          <w:szCs w:val="36"/>
        </w:rPr>
        <w:t>–Infected Broiler Chickens on Haematological indices</w:t>
      </w:r>
    </w:p>
    <w:p w14:paraId="31DE1E59" w14:textId="77777777" w:rsidR="007F36E6" w:rsidRPr="008F63C5" w:rsidRDefault="007F36E6" w:rsidP="008F63C5">
      <w:pPr>
        <w:spacing w:line="276" w:lineRule="auto"/>
        <w:jc w:val="center"/>
        <w:rPr>
          <w:rFonts w:ascii="Times New Roman" w:hAnsi="Times New Roman" w:cs="Times New Roman"/>
          <w:b/>
          <w:bCs/>
          <w:sz w:val="28"/>
          <w:szCs w:val="36"/>
        </w:rPr>
      </w:pPr>
    </w:p>
    <w:p w14:paraId="5FF1C968" w14:textId="77777777" w:rsidR="004B7BA1" w:rsidRPr="001C0AEB" w:rsidRDefault="004B7BA1" w:rsidP="004B7BA1">
      <w:pPr>
        <w:spacing w:after="0" w:line="360" w:lineRule="auto"/>
        <w:jc w:val="center"/>
        <w:rPr>
          <w:rFonts w:ascii="Times New Roman" w:hAnsi="Times New Roman" w:cs="Times New Roman"/>
          <w:sz w:val="24"/>
          <w:szCs w:val="24"/>
        </w:rPr>
      </w:pPr>
    </w:p>
    <w:p w14:paraId="59C88421"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Abstract  </w:t>
      </w:r>
    </w:p>
    <w:p w14:paraId="1AB30351" w14:textId="77777777" w:rsidR="008F63C5" w:rsidRDefault="008F63C5" w:rsidP="006D7368">
      <w:pPr>
        <w:jc w:val="both"/>
        <w:rPr>
          <w:rFonts w:ascii="Times New Roman" w:hAnsi="Times New Roman" w:cs="Times New Roman"/>
          <w:sz w:val="24"/>
          <w:szCs w:val="24"/>
        </w:rPr>
      </w:pPr>
      <w:r w:rsidRPr="008F63C5">
        <w:rPr>
          <w:rFonts w:ascii="Times New Roman" w:hAnsi="Times New Roman" w:cs="Times New Roman"/>
          <w:sz w:val="24"/>
          <w:szCs w:val="24"/>
        </w:rPr>
        <w:t xml:space="preserve">The purpose of this research work was to determine the effect of curcumin on the </w:t>
      </w:r>
      <w:proofErr w:type="spellStart"/>
      <w:r w:rsidRPr="008F63C5">
        <w:rPr>
          <w:rFonts w:ascii="Times New Roman" w:hAnsi="Times New Roman" w:cs="Times New Roman"/>
          <w:sz w:val="24"/>
          <w:szCs w:val="24"/>
        </w:rPr>
        <w:t>hematological</w:t>
      </w:r>
      <w:proofErr w:type="spellEnd"/>
      <w:r w:rsidRPr="008F63C5">
        <w:rPr>
          <w:rFonts w:ascii="Times New Roman" w:hAnsi="Times New Roman" w:cs="Times New Roman"/>
          <w:sz w:val="24"/>
          <w:szCs w:val="24"/>
        </w:rPr>
        <w:t xml:space="preserve"> values of broilers chicken affected by Escherichia coli. There </w:t>
      </w:r>
      <w:proofErr w:type="gramStart"/>
      <w:r w:rsidRPr="008F63C5">
        <w:rPr>
          <w:rFonts w:ascii="Times New Roman" w:hAnsi="Times New Roman" w:cs="Times New Roman"/>
          <w:sz w:val="24"/>
          <w:szCs w:val="24"/>
        </w:rPr>
        <w:t>were</w:t>
      </w:r>
      <w:proofErr w:type="gramEnd"/>
      <w:r w:rsidRPr="008F63C5">
        <w:rPr>
          <w:rFonts w:ascii="Times New Roman" w:hAnsi="Times New Roman" w:cs="Times New Roman"/>
          <w:sz w:val="24"/>
          <w:szCs w:val="24"/>
        </w:rPr>
        <w:t xml:space="preserve"> a total of ninety broiler chickens which were randomly subdivided into six experimental groups. Group I was the control group, which was not infected with E. coli, Group II was the E. coli-infected group, Group III and Group IV were the groups to which the curcumin supplement was applied to prevent and cure E. coli infection at 200 mg/kg and 400 mg/kg of feed, respectively, Group V was treated with the antibiotic cephalexin and Group VI was the group that was treated with curcumin alone as a measure of its inherent effect. The E. coli-infested groups differed significantly with the control groups in the mean corpuscular volume (MCV),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(MCH), total erythrocyte count (TEC), and total leukocyte count (TLC). This curcumin supplementation was also observed to overcome these changes in </w:t>
      </w:r>
      <w:proofErr w:type="spellStart"/>
      <w:r w:rsidRPr="008F63C5">
        <w:rPr>
          <w:rFonts w:ascii="Times New Roman" w:hAnsi="Times New Roman" w:cs="Times New Roman"/>
          <w:sz w:val="24"/>
          <w:szCs w:val="24"/>
        </w:rPr>
        <w:t>hematology</w:t>
      </w:r>
      <w:proofErr w:type="spellEnd"/>
      <w:r w:rsidRPr="008F63C5">
        <w:rPr>
          <w:rFonts w:ascii="Times New Roman" w:hAnsi="Times New Roman" w:cs="Times New Roman"/>
          <w:sz w:val="24"/>
          <w:szCs w:val="24"/>
        </w:rPr>
        <w:t xml:space="preserve"> and therefore proved effective protection of curcumin against the effects of E. coli infection on blood homeostasis. This paper suggests that curcumin would make a good natural substitute of antibiotics in poultry to enhance immune system and the overall health.</w:t>
      </w:r>
    </w:p>
    <w:p w14:paraId="1AE22015" w14:textId="6FAEA9BF" w:rsidR="004B7BA1" w:rsidRPr="006D7368" w:rsidRDefault="004B7BA1" w:rsidP="006D7368">
      <w:pPr>
        <w:jc w:val="both"/>
        <w:rPr>
          <w:rFonts w:ascii="Times New Roman" w:hAnsi="Times New Roman" w:cs="Times New Roman"/>
          <w:sz w:val="24"/>
          <w:szCs w:val="24"/>
          <w:lang w:val="en-GB"/>
        </w:rPr>
      </w:pPr>
      <w:r w:rsidRPr="006D7368">
        <w:rPr>
          <w:rFonts w:ascii="Times New Roman" w:hAnsi="Times New Roman" w:cs="Times New Roman"/>
          <w:b/>
          <w:bCs/>
          <w:sz w:val="24"/>
          <w:szCs w:val="24"/>
        </w:rPr>
        <w:t>Keywords:</w:t>
      </w:r>
      <w:r w:rsidRPr="006D7368">
        <w:rPr>
          <w:rFonts w:ascii="Times New Roman" w:hAnsi="Times New Roman" w:cs="Times New Roman"/>
          <w:sz w:val="24"/>
          <w:szCs w:val="24"/>
        </w:rPr>
        <w:t xml:space="preserve"> Curcumin, </w:t>
      </w:r>
      <w:r w:rsidR="00390DFD" w:rsidRPr="006D7368">
        <w:rPr>
          <w:rFonts w:ascii="Times New Roman" w:hAnsi="Times New Roman" w:cs="Times New Roman"/>
          <w:sz w:val="24"/>
          <w:szCs w:val="24"/>
          <w:lang w:val="en-GB"/>
        </w:rPr>
        <w:t xml:space="preserve">broiler chickens, </w:t>
      </w:r>
      <w:proofErr w:type="spellStart"/>
      <w:r w:rsidR="00390DFD" w:rsidRPr="006D7368">
        <w:rPr>
          <w:rFonts w:ascii="Times New Roman" w:hAnsi="Times New Roman" w:cs="Times New Roman"/>
          <w:sz w:val="24"/>
          <w:szCs w:val="24"/>
          <w:lang w:val="en-GB"/>
        </w:rPr>
        <w:t>hematology</w:t>
      </w:r>
      <w:proofErr w:type="spellEnd"/>
      <w:r w:rsidR="00390DFD" w:rsidRPr="006D7368">
        <w:rPr>
          <w:rFonts w:ascii="Times New Roman" w:hAnsi="Times New Roman" w:cs="Times New Roman"/>
          <w:sz w:val="24"/>
          <w:szCs w:val="24"/>
          <w:lang w:val="en-GB"/>
        </w:rPr>
        <w:t>, colibacillosis and phytogenic feed additives.</w:t>
      </w:r>
    </w:p>
    <w:p w14:paraId="6FF594AD"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Introduction  </w:t>
      </w:r>
    </w:p>
    <w:p w14:paraId="7791FD93" w14:textId="77777777" w:rsidR="008F63C5" w:rsidRDefault="008F63C5" w:rsidP="004B7BA1">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Bacterial infections are a problem confronting the poultry industry across the world. The issue of the bacterial infections is extremely large as they bring much inconvenience like illnesses and fatalities. The bacterial infections are also a major challenge because they impede the growth of chickens to yield meat and eggs. This is a bargain because it is very expensive. One of the bacterial infections which afflict the poultry industry is Colibacillosis. Escherichia coli is the causative agent of the bacterial infection. Colibacillosis is an issue to the poultry industry as it brings about significant losses of money. The people who handle poultry have a problem in terms of bacterial infections like Colibacillosis. The bacterial infection may present itself in various forms including respiratory infections, swollen head syndrome, systemic </w:t>
      </w:r>
      <w:proofErr w:type="spellStart"/>
      <w:r w:rsidRPr="008F63C5">
        <w:rPr>
          <w:rFonts w:ascii="Times New Roman" w:hAnsi="Times New Roman" w:cs="Times New Roman"/>
          <w:sz w:val="24"/>
          <w:szCs w:val="24"/>
        </w:rPr>
        <w:t>septicemia</w:t>
      </w:r>
      <w:proofErr w:type="spellEnd"/>
      <w:r w:rsidRPr="008F63C5">
        <w:rPr>
          <w:rFonts w:ascii="Times New Roman" w:hAnsi="Times New Roman" w:cs="Times New Roman"/>
          <w:sz w:val="24"/>
          <w:szCs w:val="24"/>
        </w:rPr>
        <w:t xml:space="preserve"> and urinary tract infections (McPeake et al., 2005; Huff et al., 2008). The bacteria infection itself usually results in the significant disruption of the blood of the birds, including the alteration of the blood cell counts and indices indicating the impact of the infection and reaction of the immune systems of birds (Huff et al., 2008; Allam et al., 2014).</w:t>
      </w:r>
    </w:p>
    <w:p w14:paraId="130D7B6A"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Human beings have been treating chicken with antibiotics and special medicines that are aimed at controlling the E. Coli infection. There are certain problems that have been brought about </w:t>
      </w:r>
      <w:r w:rsidRPr="008F63C5">
        <w:rPr>
          <w:rFonts w:ascii="Times New Roman" w:hAnsi="Times New Roman" w:cs="Times New Roman"/>
          <w:sz w:val="24"/>
          <w:szCs w:val="24"/>
        </w:rPr>
        <w:lastRenderedPageBreak/>
        <w:t xml:space="preserve">due to the excessive use of these medicines. It is feared that these medicines will not be effective anymore and that they are unhealthy to the individuals. Thus, there is a need to identify safer and more natural methods of containing E. Coli infection in poultry. E. Poultry Coli infection is a menace and we need to establish alternatives to control the E. Coli infection in poultry. This has been being done by researchers, including </w:t>
      </w:r>
      <w:proofErr w:type="spellStart"/>
      <w:r w:rsidRPr="008F63C5">
        <w:rPr>
          <w:rFonts w:ascii="Times New Roman" w:hAnsi="Times New Roman" w:cs="Times New Roman"/>
          <w:sz w:val="24"/>
          <w:szCs w:val="24"/>
        </w:rPr>
        <w:t>Mahejabin</w:t>
      </w:r>
      <w:proofErr w:type="spellEnd"/>
      <w:r w:rsidRPr="008F63C5">
        <w:rPr>
          <w:rFonts w:ascii="Times New Roman" w:hAnsi="Times New Roman" w:cs="Times New Roman"/>
          <w:sz w:val="24"/>
          <w:szCs w:val="24"/>
        </w:rPr>
        <w:t xml:space="preserve"> et al. 2015. They discovered that herbal drugs, particularly Curcumin, derived as the rhizome of Curcuma longa (turmeric) has promising properties with antimicrobial, antioxidant, anti-inflammatory, liver-protective, and immune-stimulatory activities (Aggarwal and Harikumar, 2009; Sahu and Saxena, 2013).</w:t>
      </w:r>
    </w:p>
    <w:p w14:paraId="5282FD4E" w14:textId="77777777" w:rsid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It is already shown that curcumin can be used to treat bacterial infections in farm animals, such as enterotoxigenic E. coli in piglets (Bryne, 2015).</w:t>
      </w:r>
    </w:p>
    <w:p w14:paraId="3D0E4317" w14:textId="77777777" w:rsidR="008F63C5" w:rsidRDefault="008F63C5" w:rsidP="009D75DE">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Based on the properties mentioned above, curcumin can also be used to reduce the changes of blood in E. coli infected broilers. This research aimed at assessing the preventive and therapeutic curcumin supplementation on blood parameters in broilers that were infected with E. coli. This study was aimed at determining whether curcumin supplementation would assist in reversing the impact of the bacterial infection on blood cell counts hence justifying the use of curcumin in place of antibiotics in the poultry farming.</w:t>
      </w:r>
    </w:p>
    <w:p w14:paraId="0D7FB4FB" w14:textId="1842283C" w:rsidR="004B7BA1" w:rsidRPr="00733B26" w:rsidRDefault="004B7BA1" w:rsidP="009D75DE">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Materials and Methods  </w:t>
      </w:r>
    </w:p>
    <w:p w14:paraId="1D32B854"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The broiler chicks (30 of them) were provided by Amruta Hatcheries, Amravati, and one-weekly adaption under normal rearing conditions. At that point the chicks were mixed randomly in six groups of fifteen birds and raised in a similar housing and feeding setup after a period of five weeks.</w:t>
      </w:r>
    </w:p>
    <w:p w14:paraId="3DD62CC8"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 was the uninfected control, and offered a normal diet and no challenge or experimental treatment with Escherichia coli.</w:t>
      </w:r>
    </w:p>
    <w:p w14:paraId="5C80CC52"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II was the control group of E. coli which got the bacterial challenge and was untreated.</w:t>
      </w:r>
    </w:p>
    <w:p w14:paraId="542B538F"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III was fed 200mg/kg of curcumin throughout the experiment duration as prophylaxis and challenged with E. coli.</w:t>
      </w:r>
    </w:p>
    <w:p w14:paraId="1D3172C3"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IV was treated with curcumin at 400 mg/kg feed during a period of five days following the emergence of clinical symptoms due to E. coli challenge.</w:t>
      </w:r>
    </w:p>
    <w:p w14:paraId="0D0C6634"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V was treated with cephalexin 1 g/L in drinking water in a period of five days following the onset of a clinical manifestation.</w:t>
      </w:r>
    </w:p>
    <w:p w14:paraId="2FB997AF"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VI, which was a control group, was fed 200 mg/kg without the challenge of E. coli.</w:t>
      </w:r>
    </w:p>
    <w:p w14:paraId="45F3B80E" w14:textId="582FA1CA" w:rsidR="008F63C5" w:rsidRPr="00B4269B"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The groups II-V have been tested using a virulent strain of E. coli using the protocol as outlined by Huff et al. (2008) in order to induce clinical colibacillosis. The curcumin powder, which </w:t>
      </w:r>
      <w:r w:rsidRPr="008F63C5">
        <w:rPr>
          <w:rFonts w:ascii="Times New Roman" w:hAnsi="Times New Roman" w:cs="Times New Roman"/>
          <w:sz w:val="24"/>
          <w:szCs w:val="24"/>
        </w:rPr>
        <w:lastRenderedPageBreak/>
        <w:t>was standardized with the active content of curcuminoids, was thoroughly mixed into the feed and cephalexin was given to them in drinking water after becoming infected.</w:t>
      </w:r>
    </w:p>
    <w:p w14:paraId="273F5C8E"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On the 35th day, blood samples were taken by means of the wing vein of six birds, each group being represented by six birds. The </w:t>
      </w:r>
      <w:proofErr w:type="spellStart"/>
      <w:r w:rsidRPr="008F63C5">
        <w:rPr>
          <w:rFonts w:ascii="Times New Roman" w:hAnsi="Times New Roman" w:cs="Times New Roman"/>
          <w:sz w:val="24"/>
          <w:szCs w:val="24"/>
        </w:rPr>
        <w:t>hematological</w:t>
      </w:r>
      <w:proofErr w:type="spellEnd"/>
      <w:r w:rsidRPr="008F63C5">
        <w:rPr>
          <w:rFonts w:ascii="Times New Roman" w:hAnsi="Times New Roman" w:cs="Times New Roman"/>
          <w:sz w:val="24"/>
          <w:szCs w:val="24"/>
        </w:rPr>
        <w:t xml:space="preserve"> parameters assessed were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concentration, total erythrocyte count (TEC), mean corpuscular volume (MCV),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(MCH), packed cell volume (PCV) and total leukocyte count (TLC). </w:t>
      </w:r>
      <w:proofErr w:type="spellStart"/>
      <w:r w:rsidRPr="008F63C5">
        <w:rPr>
          <w:rFonts w:ascii="Times New Roman" w:hAnsi="Times New Roman" w:cs="Times New Roman"/>
          <w:sz w:val="24"/>
          <w:szCs w:val="24"/>
        </w:rPr>
        <w:t>Sahli</w:t>
      </w:r>
      <w:proofErr w:type="spellEnd"/>
      <w:r w:rsidRPr="008F63C5">
        <w:rPr>
          <w:rFonts w:ascii="Times New Roman" w:hAnsi="Times New Roman" w:cs="Times New Roman"/>
          <w:sz w:val="24"/>
          <w:szCs w:val="24"/>
        </w:rPr>
        <w:t xml:space="preserve"> </w:t>
      </w:r>
      <w:proofErr w:type="spellStart"/>
      <w:r w:rsidRPr="008F63C5">
        <w:rPr>
          <w:rFonts w:ascii="Times New Roman" w:hAnsi="Times New Roman" w:cs="Times New Roman"/>
          <w:sz w:val="24"/>
          <w:szCs w:val="24"/>
        </w:rPr>
        <w:t>hemometer</w:t>
      </w:r>
      <w:proofErr w:type="spellEnd"/>
      <w:r w:rsidRPr="008F63C5">
        <w:rPr>
          <w:rFonts w:ascii="Times New Roman" w:hAnsi="Times New Roman" w:cs="Times New Roman"/>
          <w:sz w:val="24"/>
          <w:szCs w:val="24"/>
        </w:rPr>
        <w:t xml:space="preserve"> was used to estimate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and PCV estimated by microhematocrit centrifugation as it is described in Benjamin (2003) and Pierson (2000). The standard </w:t>
      </w:r>
      <w:proofErr w:type="spellStart"/>
      <w:r w:rsidRPr="008F63C5">
        <w:rPr>
          <w:rFonts w:ascii="Times New Roman" w:hAnsi="Times New Roman" w:cs="Times New Roman"/>
          <w:sz w:val="24"/>
          <w:szCs w:val="24"/>
        </w:rPr>
        <w:t>hemocytometer</w:t>
      </w:r>
      <w:proofErr w:type="spellEnd"/>
      <w:r w:rsidRPr="008F63C5">
        <w:rPr>
          <w:rFonts w:ascii="Times New Roman" w:hAnsi="Times New Roman" w:cs="Times New Roman"/>
          <w:sz w:val="24"/>
          <w:szCs w:val="24"/>
        </w:rPr>
        <w:t xml:space="preserve"> procedures were used to perform TLC.</w:t>
      </w:r>
    </w:p>
    <w:p w14:paraId="51F7C35D" w14:textId="3F430C3E" w:rsidR="004B7BA1" w:rsidRPr="00696D07" w:rsidRDefault="004B7BA1" w:rsidP="008F63C5">
      <w:pPr>
        <w:spacing w:after="0" w:line="360" w:lineRule="auto"/>
        <w:jc w:val="both"/>
        <w:rPr>
          <w:rFonts w:ascii="Times New Roman" w:hAnsi="Times New Roman" w:cs="Times New Roman"/>
          <w:b/>
          <w:bCs/>
          <w:sz w:val="24"/>
          <w:szCs w:val="24"/>
        </w:rPr>
      </w:pPr>
      <w:r w:rsidRPr="00696D07">
        <w:rPr>
          <w:rFonts w:ascii="Times New Roman" w:hAnsi="Times New Roman" w:cs="Times New Roman"/>
          <w:b/>
          <w:bCs/>
          <w:sz w:val="24"/>
          <w:szCs w:val="24"/>
        </w:rPr>
        <w:t>Statistical Analysis</w:t>
      </w:r>
    </w:p>
    <w:p w14:paraId="7261D68F"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The analysis of data that was acquired in current inquiries was performed using equal Completely Randomized Design (CRD) as defined by Snedecor and Cochran (1989).</w:t>
      </w:r>
    </w:p>
    <w:p w14:paraId="2E7130E0" w14:textId="77777777" w:rsidR="008F63C5" w:rsidRPr="008F63C5" w:rsidRDefault="008F63C5" w:rsidP="008F63C5">
      <w:pPr>
        <w:spacing w:after="0" w:line="360" w:lineRule="auto"/>
        <w:jc w:val="both"/>
        <w:rPr>
          <w:rFonts w:ascii="Times New Roman" w:hAnsi="Times New Roman" w:cs="Times New Roman"/>
          <w:b/>
          <w:bCs/>
          <w:sz w:val="24"/>
          <w:szCs w:val="24"/>
        </w:rPr>
      </w:pPr>
      <w:r w:rsidRPr="008F63C5">
        <w:rPr>
          <w:rFonts w:ascii="Times New Roman" w:hAnsi="Times New Roman" w:cs="Times New Roman"/>
          <w:b/>
          <w:bCs/>
          <w:sz w:val="24"/>
          <w:szCs w:val="24"/>
        </w:rPr>
        <w:t>Results</w:t>
      </w:r>
    </w:p>
    <w:p w14:paraId="476CBDD8"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It was done after the completion of the experiment that the blood test was conducted on each of the broiler chickens used in this experiment. The primary objective of the blood test was to investigate the outcome of the Escherichia coli (E. coli) infection in broilers chicken as well as the impacts of the curcumin supplement on the immune system and blood values of broilers chicken. The blood test was done, to check several parameters, which comprised of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(Hb), cell size, and percentage of total red blood cells (RBCs) produced.</w:t>
      </w:r>
    </w:p>
    <w:p w14:paraId="7C0AAC30" w14:textId="77777777" w:rsid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It also conducted a blood test to test the size of individual red blood cell (RBC) and its content of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The objectives of the blood test were to investigate the implications of the E. coli infections on the broiler chickens and the potential benefits of curcumin supplementation on size, quality, shape, mean corpuscular volume,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and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concentration of the red blood cells of broiler chicken, and other laboratory outcomes like the total leukocyte counts (TLCs) and the different leukocyte counts (DLCs) in each of the experimental chickens. Table 1 and Fig.1 give the results.</w:t>
      </w:r>
    </w:p>
    <w:p w14:paraId="0AC157E8"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 xml:space="preserve">Packed Cell Volume and </w:t>
      </w:r>
      <w:proofErr w:type="spellStart"/>
      <w:r w:rsidRPr="00A205A1">
        <w:rPr>
          <w:rFonts w:ascii="Times New Roman" w:hAnsi="Times New Roman" w:cs="Times New Roman"/>
          <w:b/>
          <w:bCs/>
          <w:sz w:val="24"/>
          <w:szCs w:val="24"/>
        </w:rPr>
        <w:t>Hemoglobin</w:t>
      </w:r>
      <w:proofErr w:type="spellEnd"/>
      <w:r w:rsidRPr="00A205A1">
        <w:rPr>
          <w:rFonts w:ascii="Times New Roman" w:hAnsi="Times New Roman" w:cs="Times New Roman"/>
          <w:b/>
          <w:bCs/>
          <w:sz w:val="24"/>
          <w:szCs w:val="24"/>
        </w:rPr>
        <w:t>.</w:t>
      </w:r>
    </w:p>
    <w:p w14:paraId="36560CB0"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means of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(Hb) in all groups were not statistically significantly different as shown by the range of Hb values, lowest of 10.50 g/dL with (±0.42) being the mean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of the infected group under preventive condition and highest of 11.17 g/dL with (±0.40) the mean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in the therapeutic group under therapeutic condition. There was also no statistically significant difference in the PCV (packed cell volume) between the various groups with the lowest PCV at 25.00 (27.50) (0.73 and 0.76) when curcumin was used as a preventative to E. coli and the highest PCV at 27.50 (25.00) (0.76 </w:t>
      </w:r>
      <w:r w:rsidRPr="00A205A1">
        <w:rPr>
          <w:rFonts w:ascii="Times New Roman" w:hAnsi="Times New Roman" w:cs="Times New Roman"/>
          <w:sz w:val="24"/>
          <w:szCs w:val="24"/>
        </w:rPr>
        <w:lastRenderedPageBreak/>
        <w:t xml:space="preserve">and 0.73) when curcumin was used as a therapeutic agent. In addition, the experiment shows that the E. coli infection and curcumin or cephalexin treatment are not most likely to have any effect on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or erythrocyte percentage production in the circulating blood.</w:t>
      </w:r>
    </w:p>
    <w:p w14:paraId="1E3198A0"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Erythrocyte Indices</w:t>
      </w:r>
    </w:p>
    <w:p w14:paraId="6FB9000C"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There were changes in the erythrocyte indices after the Escherichia coli infection. The mean corpuscular volume (MCV) was also found to be significantly lower (P &lt; 0.05) in all infected groups (T1, T2, T3, and T4) than in the uninfected control group (T0), which shows the existence of microcytic erythrocytes because of infection. There was a tendency of improvement in MCV of the infected groups that had curcumin supplementation over the infected control; however, the values remained below those of the uninfected group. The T5 group that did not have E. coli infection did not have MCV values that were lower or higher as compared to the uninfected control, indicating that curcumin has no effect on the size of the erythrocytes. These findings indicate that the infection with E. coli leads to the dramatic alterations in the size of erythrocytes.</w:t>
      </w:r>
    </w:p>
    <w:p w14:paraId="7A557F0D" w14:textId="77777777"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mean corpuscular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(MCH) in both the infected control and infected treatment groups was also significantly lower (P &lt; 0.05), which means that there was a drop in the content of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per erythrocyte. Nevertheless, the experimental groups had no significant difference in the level of mean corpuscular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(MCHC), which indicated that there was no difference in the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carried by each erythrocyte caused by infection and treatment.</w:t>
      </w:r>
    </w:p>
    <w:p w14:paraId="39E9519F"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Total Erythrocyte Count</w:t>
      </w:r>
    </w:p>
    <w:p w14:paraId="46ED0E16"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 counts of blood cells differed in the sets of birds under test. This was a major difference. Red blood cells were compared to birds administered E. Coli compared to those that were not administered. The red blood cells had birds that were infected and fed on curcumin. The number of red blood cells was nearly similar to the birds that were not given anything and the birds given curcumin but not infected. In this difference, the quantity of red blood cells in each of the groups remained, as to birds, within the normal range.</w:t>
      </w:r>
    </w:p>
    <w:p w14:paraId="0F424D38"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Total Leukocyte Count</w:t>
      </w:r>
    </w:p>
    <w:p w14:paraId="2AEE7DE1" w14:textId="77777777"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There was a significant (P&lt;0.05) higher total leukocyte count in E. coli infected birds. The highest TLC was observed in the treatment groups of infection and it portrays a robust immune response against infection. But the TLC in the curcumin control group was comparable to the normal controls which actually represents that curcumin did not lead to the increase of leukocytes in the absence of infection.</w:t>
      </w:r>
    </w:p>
    <w:p w14:paraId="69F28393" w14:textId="77777777" w:rsidR="00A205A1" w:rsidRPr="00A205A1" w:rsidRDefault="00A205A1" w:rsidP="00A205A1">
      <w:pPr>
        <w:spacing w:before="120" w:after="120" w:line="24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lastRenderedPageBreak/>
        <w:t>Differential Leukocyte Count.</w:t>
      </w:r>
    </w:p>
    <w:p w14:paraId="17AE8CD9" w14:textId="77777777" w:rsidR="00A205A1" w:rsidRPr="00A205A1" w:rsidRDefault="00A205A1" w:rsidP="00A205A1">
      <w:pPr>
        <w:spacing w:before="120" w:after="120" w:line="360" w:lineRule="auto"/>
        <w:jc w:val="both"/>
        <w:rPr>
          <w:rFonts w:ascii="Times New Roman" w:hAnsi="Times New Roman" w:cs="Times New Roman"/>
          <w:sz w:val="24"/>
          <w:szCs w:val="24"/>
        </w:rPr>
      </w:pPr>
      <w:r w:rsidRPr="00A205A1">
        <w:rPr>
          <w:rFonts w:ascii="Times New Roman" w:hAnsi="Times New Roman" w:cs="Times New Roman"/>
          <w:sz w:val="24"/>
          <w:szCs w:val="24"/>
        </w:rPr>
        <w:t>E. coli infection had a significant influence on leukocyte profiles. There was a high increase in the number of basophils in the infected control groups (P &lt; 0.05) relative to the uninfected controls. Conversely, heterophil numbers were more in the infected birds and leukocyte numbers were much less than normal control group, hence showing an infection induced change in leukocyte profiles.</w:t>
      </w:r>
    </w:p>
    <w:p w14:paraId="289A2C93" w14:textId="77777777" w:rsidR="00A205A1" w:rsidRPr="00A205A1" w:rsidRDefault="00A205A1" w:rsidP="00A205A1">
      <w:pPr>
        <w:spacing w:before="120" w:after="120" w:line="360" w:lineRule="auto"/>
        <w:jc w:val="both"/>
        <w:rPr>
          <w:rFonts w:ascii="Times New Roman" w:hAnsi="Times New Roman" w:cs="Times New Roman"/>
          <w:sz w:val="24"/>
          <w:szCs w:val="24"/>
        </w:rPr>
      </w:pPr>
      <w:r w:rsidRPr="00A205A1">
        <w:rPr>
          <w:rFonts w:ascii="Times New Roman" w:hAnsi="Times New Roman" w:cs="Times New Roman"/>
          <w:sz w:val="24"/>
          <w:szCs w:val="24"/>
        </w:rPr>
        <w:t>The use of curcumin supplementation was good in restoring the changes in leukocyte profiles caused by the infection to the normalcy in the infected birds. The count of basophil and lymphocytes was brought to normalcy with the basophil and lymphocyte count similar to the uninfected controls. No great differences were observed between the experimental groups in terms of the number of monocytes meaning that this leukocyte type was not affected by E. coli infection and curcumin supplementation. These findings indicate that curcumin can regulate the changes in the number of leukocytes induced by infection, which suggests that it can be used to keep the immune system in balance during bacterial infection.</w:t>
      </w:r>
    </w:p>
    <w:p w14:paraId="09702EB6" w14:textId="1E7C7B7D" w:rsidR="004B7BA1" w:rsidRPr="00FA5275" w:rsidRDefault="004B7BA1" w:rsidP="00A205A1">
      <w:pPr>
        <w:spacing w:before="120" w:after="120" w:line="240" w:lineRule="auto"/>
        <w:jc w:val="both"/>
        <w:rPr>
          <w:rFonts w:ascii="Times New Roman" w:hAnsi="Times New Roman" w:cs="Times New Roman"/>
          <w:sz w:val="24"/>
          <w:szCs w:val="24"/>
        </w:rPr>
      </w:pPr>
      <w:r w:rsidRPr="000B206E">
        <w:rPr>
          <w:rFonts w:ascii="Times New Roman" w:hAnsi="Times New Roman" w:cs="Times New Roman"/>
          <w:b/>
        </w:rPr>
        <w:t>Table 1.</w:t>
      </w:r>
      <w:r w:rsidR="00FA5275">
        <w:rPr>
          <w:rFonts w:ascii="Times New Roman" w:hAnsi="Times New Roman" w:cs="Times New Roman"/>
          <w:b/>
        </w:rPr>
        <w:t xml:space="preserve"> </w:t>
      </w:r>
      <w:r w:rsidRPr="000B206E">
        <w:rPr>
          <w:rFonts w:ascii="Times New Roman" w:hAnsi="Times New Roman" w:cs="Times New Roman"/>
          <w:b/>
        </w:rPr>
        <w:t xml:space="preserve">Effect of curcumin on TLC and DLC in different treatment groups of </w:t>
      </w:r>
      <w:r w:rsidRPr="000B206E">
        <w:rPr>
          <w:rFonts w:ascii="Times New Roman" w:hAnsi="Times New Roman" w:cs="Times New Roman"/>
          <w:b/>
          <w:i/>
        </w:rPr>
        <w:t>E. coli</w:t>
      </w:r>
      <w:r w:rsidRPr="000B206E">
        <w:rPr>
          <w:rFonts w:ascii="Times New Roman" w:hAnsi="Times New Roman" w:cs="Times New Roman"/>
          <w:b/>
        </w:rPr>
        <w:t xml:space="preserve"> infection induced broilers</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141"/>
        <w:gridCol w:w="1609"/>
        <w:gridCol w:w="1594"/>
        <w:gridCol w:w="1361"/>
        <w:gridCol w:w="1248"/>
        <w:gridCol w:w="1450"/>
        <w:gridCol w:w="1160"/>
      </w:tblGrid>
      <w:tr w:rsidR="004B7BA1" w:rsidRPr="00FA5275" w14:paraId="4119D0C1" w14:textId="77777777" w:rsidTr="001B74A5">
        <w:trPr>
          <w:trHeight w:val="900"/>
        </w:trPr>
        <w:tc>
          <w:tcPr>
            <w:tcW w:w="1141" w:type="dxa"/>
          </w:tcPr>
          <w:p w14:paraId="2FBCAB66" w14:textId="77777777" w:rsidR="004B7BA1" w:rsidRPr="00FA5275" w:rsidRDefault="004B7BA1" w:rsidP="003E72F4">
            <w:pPr>
              <w:tabs>
                <w:tab w:val="left" w:pos="10710"/>
              </w:tabs>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Group</w:t>
            </w:r>
          </w:p>
        </w:tc>
        <w:tc>
          <w:tcPr>
            <w:tcW w:w="1609" w:type="dxa"/>
          </w:tcPr>
          <w:p w14:paraId="641C5C48" w14:textId="77777777" w:rsidR="00FA5275" w:rsidRPr="00FA5275" w:rsidRDefault="004B7BA1" w:rsidP="003E72F4">
            <w:pPr>
              <w:spacing w:before="80" w:after="80" w:line="240" w:lineRule="auto"/>
              <w:jc w:val="center"/>
              <w:rPr>
                <w:rFonts w:ascii="Times New Roman" w:hAnsi="Times New Roman" w:cs="Times New Roman"/>
                <w:b/>
                <w:bCs/>
                <w:sz w:val="20"/>
                <w:lang w:eastAsia="en-IN" w:bidi="gu-IN"/>
              </w:rPr>
            </w:pPr>
            <w:r w:rsidRPr="00FA5275">
              <w:rPr>
                <w:rFonts w:ascii="Times New Roman" w:hAnsi="Times New Roman" w:cs="Times New Roman"/>
                <w:b/>
                <w:bCs/>
                <w:sz w:val="20"/>
                <w:lang w:eastAsia="en-IN" w:bidi="gu-IN"/>
              </w:rPr>
              <w:t>TLC</w:t>
            </w:r>
          </w:p>
          <w:p w14:paraId="74083321" w14:textId="055334C7" w:rsidR="004B7BA1" w:rsidRPr="00FA5275" w:rsidRDefault="004B7BA1" w:rsidP="003E72F4">
            <w:pPr>
              <w:spacing w:before="80" w:after="80" w:line="240" w:lineRule="auto"/>
              <w:jc w:val="center"/>
              <w:rPr>
                <w:rFonts w:ascii="Times New Roman" w:hAnsi="Times New Roman" w:cs="Times New Roman"/>
                <w:b/>
                <w:bCs/>
                <w:sz w:val="20"/>
                <w:lang w:eastAsia="en-IN" w:bidi="gu-IN"/>
              </w:rPr>
            </w:pPr>
            <w:r w:rsidRPr="00FA5275">
              <w:rPr>
                <w:rFonts w:ascii="Times New Roman" w:hAnsi="Times New Roman" w:cs="Times New Roman"/>
                <w:b/>
                <w:bCs/>
                <w:sz w:val="20"/>
                <w:lang w:eastAsia="en-IN" w:bidi="gu-IN"/>
              </w:rPr>
              <w:t xml:space="preserve"> (10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594" w:type="dxa"/>
          </w:tcPr>
          <w:p w14:paraId="23B2953B"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Eosinophil</w:t>
            </w:r>
          </w:p>
          <w:p w14:paraId="799E7956" w14:textId="2F0D1385"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 xml:space="preserve"> </w:t>
            </w: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361" w:type="dxa"/>
          </w:tcPr>
          <w:p w14:paraId="341D7D1D"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Basophil</w:t>
            </w:r>
          </w:p>
          <w:p w14:paraId="4FA1DE4A" w14:textId="1513CFF4"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248" w:type="dxa"/>
          </w:tcPr>
          <w:p w14:paraId="6D4B50AE" w14:textId="77777777" w:rsidR="00FA5275" w:rsidRPr="00FA5275" w:rsidRDefault="004B7BA1" w:rsidP="003E72F4">
            <w:pPr>
              <w:spacing w:before="80" w:after="80" w:line="240" w:lineRule="auto"/>
              <w:jc w:val="center"/>
              <w:rPr>
                <w:rFonts w:ascii="Times New Roman" w:hAnsi="Times New Roman" w:cs="Times New Roman"/>
                <w:b/>
                <w:sz w:val="20"/>
              </w:rPr>
            </w:pPr>
            <w:proofErr w:type="spellStart"/>
            <w:r w:rsidRPr="00FA5275">
              <w:rPr>
                <w:rFonts w:ascii="Times New Roman" w:hAnsi="Times New Roman" w:cs="Times New Roman"/>
                <w:b/>
                <w:sz w:val="20"/>
              </w:rPr>
              <w:t>Hetrophil</w:t>
            </w:r>
            <w:proofErr w:type="spellEnd"/>
          </w:p>
          <w:p w14:paraId="0FD99514" w14:textId="6A558139"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450" w:type="dxa"/>
          </w:tcPr>
          <w:p w14:paraId="22889CF1"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Lymphocyte</w:t>
            </w:r>
          </w:p>
          <w:p w14:paraId="2938CBBA" w14:textId="0A9F7643"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160" w:type="dxa"/>
          </w:tcPr>
          <w:p w14:paraId="1A2F6556"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Monocyte</w:t>
            </w:r>
          </w:p>
          <w:p w14:paraId="02EC5F8A" w14:textId="6DF990A8"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r>
      <w:tr w:rsidR="004B7BA1" w:rsidRPr="00FA5275" w14:paraId="782BB986" w14:textId="77777777" w:rsidTr="001B74A5">
        <w:trPr>
          <w:trHeight w:val="582"/>
        </w:trPr>
        <w:tc>
          <w:tcPr>
            <w:tcW w:w="1141" w:type="dxa"/>
          </w:tcPr>
          <w:p w14:paraId="166A489F"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T0</w:t>
            </w:r>
          </w:p>
        </w:tc>
        <w:tc>
          <w:tcPr>
            <w:tcW w:w="1609" w:type="dxa"/>
          </w:tcPr>
          <w:p w14:paraId="0670B157" w14:textId="24C1935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±0.44</w:t>
            </w:r>
          </w:p>
        </w:tc>
        <w:tc>
          <w:tcPr>
            <w:tcW w:w="1594" w:type="dxa"/>
          </w:tcPr>
          <w:p w14:paraId="2C50053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±0.58</w:t>
            </w:r>
          </w:p>
        </w:tc>
        <w:tc>
          <w:tcPr>
            <w:tcW w:w="1361" w:type="dxa"/>
          </w:tcPr>
          <w:p w14:paraId="14E4C1B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1.33</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±0.42</w:t>
            </w:r>
          </w:p>
        </w:tc>
        <w:tc>
          <w:tcPr>
            <w:tcW w:w="1248" w:type="dxa"/>
          </w:tcPr>
          <w:p w14:paraId="26E81579"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73.00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±1.10</w:t>
            </w:r>
          </w:p>
        </w:tc>
        <w:tc>
          <w:tcPr>
            <w:tcW w:w="1450" w:type="dxa"/>
          </w:tcPr>
          <w:p w14:paraId="308C78D5" w14:textId="7BC60EAB"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23.33</w:t>
            </w:r>
            <w:proofErr w:type="gramStart"/>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w:t>
            </w:r>
            <w:proofErr w:type="gramEnd"/>
            <w:r w:rsidRPr="00FA5275">
              <w:rPr>
                <w:rFonts w:ascii="Times New Roman" w:hAnsi="Times New Roman" w:cs="Times New Roman"/>
                <w:sz w:val="20"/>
              </w:rPr>
              <w:t>0.80</w:t>
            </w:r>
          </w:p>
        </w:tc>
        <w:tc>
          <w:tcPr>
            <w:tcW w:w="1160" w:type="dxa"/>
          </w:tcPr>
          <w:p w14:paraId="18044DDC"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0.33 ±0.21</w:t>
            </w:r>
          </w:p>
        </w:tc>
      </w:tr>
      <w:tr w:rsidR="004B7BA1" w:rsidRPr="00FA5275" w14:paraId="2BFE5B90" w14:textId="77777777" w:rsidTr="001B74A5">
        <w:trPr>
          <w:trHeight w:val="565"/>
        </w:trPr>
        <w:tc>
          <w:tcPr>
            <w:tcW w:w="1141" w:type="dxa"/>
          </w:tcPr>
          <w:p w14:paraId="40794A42"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T1</w:t>
            </w:r>
          </w:p>
        </w:tc>
        <w:tc>
          <w:tcPr>
            <w:tcW w:w="1609" w:type="dxa"/>
          </w:tcPr>
          <w:p w14:paraId="08229421"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18.70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±1.12</w:t>
            </w:r>
          </w:p>
        </w:tc>
        <w:tc>
          <w:tcPr>
            <w:tcW w:w="1594" w:type="dxa"/>
          </w:tcPr>
          <w:p w14:paraId="31997AC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1.50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±0.43</w:t>
            </w:r>
          </w:p>
        </w:tc>
        <w:tc>
          <w:tcPr>
            <w:tcW w:w="1361" w:type="dxa"/>
          </w:tcPr>
          <w:p w14:paraId="6807CE0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7.00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±0.58</w:t>
            </w:r>
          </w:p>
        </w:tc>
        <w:tc>
          <w:tcPr>
            <w:tcW w:w="1248" w:type="dxa"/>
          </w:tcPr>
          <w:p w14:paraId="0E77C30E"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77.50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±2.49</w:t>
            </w:r>
          </w:p>
        </w:tc>
        <w:tc>
          <w:tcPr>
            <w:tcW w:w="1450" w:type="dxa"/>
          </w:tcPr>
          <w:p w14:paraId="2382A1C4" w14:textId="714BE299"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13.67</w:t>
            </w:r>
            <w:proofErr w:type="gramStart"/>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w:t>
            </w:r>
            <w:proofErr w:type="gramEnd"/>
            <w:r w:rsidRPr="00FA5275">
              <w:rPr>
                <w:rFonts w:ascii="Times New Roman" w:hAnsi="Times New Roman" w:cs="Times New Roman"/>
                <w:sz w:val="20"/>
              </w:rPr>
              <w:t>2.80</w:t>
            </w:r>
          </w:p>
        </w:tc>
        <w:tc>
          <w:tcPr>
            <w:tcW w:w="1160" w:type="dxa"/>
          </w:tcPr>
          <w:p w14:paraId="6584A01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0.33 ±0.21</w:t>
            </w:r>
          </w:p>
        </w:tc>
      </w:tr>
      <w:tr w:rsidR="004B7BA1" w:rsidRPr="00FA5275" w14:paraId="4F29B8C1" w14:textId="77777777" w:rsidTr="001B74A5">
        <w:trPr>
          <w:trHeight w:val="565"/>
        </w:trPr>
        <w:tc>
          <w:tcPr>
            <w:tcW w:w="1141" w:type="dxa"/>
          </w:tcPr>
          <w:p w14:paraId="580B688C"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T2</w:t>
            </w:r>
          </w:p>
        </w:tc>
        <w:tc>
          <w:tcPr>
            <w:tcW w:w="1609" w:type="dxa"/>
          </w:tcPr>
          <w:p w14:paraId="48B6966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20.39</w:t>
            </w:r>
            <w:r w:rsidRPr="00FA5275">
              <w:rPr>
                <w:rFonts w:ascii="Times New Roman" w:hAnsi="Times New Roman" w:cs="Times New Roman"/>
                <w:sz w:val="20"/>
                <w:vertAlign w:val="superscript"/>
              </w:rPr>
              <w:t xml:space="preserve">ab </w:t>
            </w:r>
            <w:r w:rsidRPr="00FA5275">
              <w:rPr>
                <w:rFonts w:ascii="Times New Roman" w:hAnsi="Times New Roman" w:cs="Times New Roman"/>
                <w:sz w:val="20"/>
              </w:rPr>
              <w:t>±1.42</w:t>
            </w:r>
          </w:p>
        </w:tc>
        <w:tc>
          <w:tcPr>
            <w:tcW w:w="1594" w:type="dxa"/>
          </w:tcPr>
          <w:p w14:paraId="1FB4DB91"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±0.42</w:t>
            </w:r>
          </w:p>
        </w:tc>
        <w:tc>
          <w:tcPr>
            <w:tcW w:w="1361" w:type="dxa"/>
          </w:tcPr>
          <w:p w14:paraId="7857FD99"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3.67</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±0.33</w:t>
            </w:r>
          </w:p>
        </w:tc>
        <w:tc>
          <w:tcPr>
            <w:tcW w:w="1248" w:type="dxa"/>
          </w:tcPr>
          <w:p w14:paraId="62A8D210"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±1.90</w:t>
            </w:r>
          </w:p>
        </w:tc>
        <w:tc>
          <w:tcPr>
            <w:tcW w:w="1450" w:type="dxa"/>
          </w:tcPr>
          <w:p w14:paraId="018F96D8" w14:textId="626A777F"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57.33</w:t>
            </w:r>
            <w:proofErr w:type="gramStart"/>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w:t>
            </w:r>
            <w:proofErr w:type="gramEnd"/>
            <w:r w:rsidRPr="00FA5275">
              <w:rPr>
                <w:rFonts w:ascii="Times New Roman" w:hAnsi="Times New Roman" w:cs="Times New Roman"/>
                <w:sz w:val="20"/>
              </w:rPr>
              <w:t>1.58</w:t>
            </w:r>
          </w:p>
        </w:tc>
        <w:tc>
          <w:tcPr>
            <w:tcW w:w="1160" w:type="dxa"/>
          </w:tcPr>
          <w:p w14:paraId="7C9A8693"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0.67 ±0.21</w:t>
            </w:r>
          </w:p>
        </w:tc>
      </w:tr>
      <w:tr w:rsidR="004B7BA1" w:rsidRPr="00FA5275" w14:paraId="4224E93C" w14:textId="77777777" w:rsidTr="001B74A5">
        <w:trPr>
          <w:trHeight w:val="582"/>
        </w:trPr>
        <w:tc>
          <w:tcPr>
            <w:tcW w:w="1141" w:type="dxa"/>
          </w:tcPr>
          <w:p w14:paraId="0EA1932A"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T3</w:t>
            </w:r>
          </w:p>
        </w:tc>
        <w:tc>
          <w:tcPr>
            <w:tcW w:w="1609" w:type="dxa"/>
          </w:tcPr>
          <w:p w14:paraId="67977DEF"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22.37</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±0.62</w:t>
            </w:r>
          </w:p>
        </w:tc>
        <w:tc>
          <w:tcPr>
            <w:tcW w:w="1594" w:type="dxa"/>
          </w:tcPr>
          <w:p w14:paraId="39C72532"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2.16</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±0.79</w:t>
            </w:r>
          </w:p>
        </w:tc>
        <w:tc>
          <w:tcPr>
            <w:tcW w:w="1361" w:type="dxa"/>
          </w:tcPr>
          <w:p w14:paraId="27EAD42B"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1.67</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±1.28</w:t>
            </w:r>
          </w:p>
        </w:tc>
        <w:tc>
          <w:tcPr>
            <w:tcW w:w="1248" w:type="dxa"/>
          </w:tcPr>
          <w:p w14:paraId="76DA49C3"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29.67</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±3.75</w:t>
            </w:r>
          </w:p>
        </w:tc>
        <w:tc>
          <w:tcPr>
            <w:tcW w:w="1450" w:type="dxa"/>
          </w:tcPr>
          <w:p w14:paraId="2F4CBD5F" w14:textId="72EB8708"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61.67</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±4.32</w:t>
            </w:r>
          </w:p>
        </w:tc>
        <w:tc>
          <w:tcPr>
            <w:tcW w:w="1160" w:type="dxa"/>
          </w:tcPr>
          <w:p w14:paraId="2E099EFC"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0.83 ±0.31</w:t>
            </w:r>
          </w:p>
        </w:tc>
      </w:tr>
      <w:tr w:rsidR="004B7BA1" w:rsidRPr="00FA5275" w14:paraId="3C8BC6A6" w14:textId="77777777" w:rsidTr="001B74A5">
        <w:trPr>
          <w:trHeight w:val="565"/>
        </w:trPr>
        <w:tc>
          <w:tcPr>
            <w:tcW w:w="1141" w:type="dxa"/>
          </w:tcPr>
          <w:p w14:paraId="1D148BC6"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T4</w:t>
            </w:r>
          </w:p>
        </w:tc>
        <w:tc>
          <w:tcPr>
            <w:tcW w:w="1609" w:type="dxa"/>
          </w:tcPr>
          <w:p w14:paraId="3842F0C3"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21.13</w:t>
            </w:r>
            <w:r w:rsidRPr="00FA5275">
              <w:rPr>
                <w:rFonts w:ascii="Times New Roman" w:hAnsi="Times New Roman" w:cs="Times New Roman"/>
                <w:sz w:val="20"/>
                <w:vertAlign w:val="superscript"/>
              </w:rPr>
              <w:t xml:space="preserve">ab </w:t>
            </w:r>
            <w:r w:rsidRPr="00FA5275">
              <w:rPr>
                <w:rFonts w:ascii="Times New Roman" w:hAnsi="Times New Roman" w:cs="Times New Roman"/>
                <w:sz w:val="20"/>
              </w:rPr>
              <w:t>±1.29</w:t>
            </w:r>
          </w:p>
        </w:tc>
        <w:tc>
          <w:tcPr>
            <w:tcW w:w="1594" w:type="dxa"/>
          </w:tcPr>
          <w:p w14:paraId="7B1B4DC4"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±0.42</w:t>
            </w:r>
          </w:p>
        </w:tc>
        <w:tc>
          <w:tcPr>
            <w:tcW w:w="1361" w:type="dxa"/>
          </w:tcPr>
          <w:p w14:paraId="61834BBE"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3.67</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±0.33</w:t>
            </w:r>
          </w:p>
        </w:tc>
        <w:tc>
          <w:tcPr>
            <w:tcW w:w="1248" w:type="dxa"/>
          </w:tcPr>
          <w:p w14:paraId="04FD957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±1.90</w:t>
            </w:r>
          </w:p>
        </w:tc>
        <w:tc>
          <w:tcPr>
            <w:tcW w:w="1450" w:type="dxa"/>
          </w:tcPr>
          <w:p w14:paraId="0F5B96C1" w14:textId="111FBC53"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57.5</w:t>
            </w:r>
            <w:proofErr w:type="gramStart"/>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w:t>
            </w:r>
            <w:proofErr w:type="gramEnd"/>
            <w:r w:rsidRPr="00FA5275">
              <w:rPr>
                <w:rFonts w:ascii="Times New Roman" w:hAnsi="Times New Roman" w:cs="Times New Roman"/>
                <w:sz w:val="20"/>
              </w:rPr>
              <w:t>1.63</w:t>
            </w:r>
          </w:p>
        </w:tc>
        <w:tc>
          <w:tcPr>
            <w:tcW w:w="1160" w:type="dxa"/>
          </w:tcPr>
          <w:p w14:paraId="47B31725"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0.50 ±0.22</w:t>
            </w:r>
          </w:p>
        </w:tc>
      </w:tr>
      <w:tr w:rsidR="004B7BA1" w:rsidRPr="00FA5275" w14:paraId="140BBE86" w14:textId="77777777" w:rsidTr="001B74A5">
        <w:trPr>
          <w:trHeight w:val="565"/>
        </w:trPr>
        <w:tc>
          <w:tcPr>
            <w:tcW w:w="1141" w:type="dxa"/>
          </w:tcPr>
          <w:p w14:paraId="5950B0D6"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T5</w:t>
            </w:r>
          </w:p>
        </w:tc>
        <w:tc>
          <w:tcPr>
            <w:tcW w:w="1609" w:type="dxa"/>
          </w:tcPr>
          <w:p w14:paraId="079CD61D"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13.83</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±0.82</w:t>
            </w:r>
          </w:p>
        </w:tc>
        <w:tc>
          <w:tcPr>
            <w:tcW w:w="1594" w:type="dxa"/>
          </w:tcPr>
          <w:p w14:paraId="26CEDE3E"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±0.37</w:t>
            </w:r>
          </w:p>
        </w:tc>
        <w:tc>
          <w:tcPr>
            <w:tcW w:w="1361" w:type="dxa"/>
          </w:tcPr>
          <w:p w14:paraId="6930C3D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1.67</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±0.33</w:t>
            </w:r>
          </w:p>
        </w:tc>
        <w:tc>
          <w:tcPr>
            <w:tcW w:w="1248" w:type="dxa"/>
          </w:tcPr>
          <w:p w14:paraId="0ED60EB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72.50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±0.72</w:t>
            </w:r>
          </w:p>
        </w:tc>
        <w:tc>
          <w:tcPr>
            <w:tcW w:w="1450" w:type="dxa"/>
          </w:tcPr>
          <w:p w14:paraId="44FF1C68" w14:textId="6003CE4B"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23.33</w:t>
            </w:r>
            <w:proofErr w:type="gramStart"/>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w:t>
            </w:r>
            <w:proofErr w:type="gramEnd"/>
            <w:r w:rsidRPr="00FA5275">
              <w:rPr>
                <w:rFonts w:ascii="Times New Roman" w:hAnsi="Times New Roman" w:cs="Times New Roman"/>
                <w:sz w:val="20"/>
              </w:rPr>
              <w:t>0.72</w:t>
            </w:r>
          </w:p>
        </w:tc>
        <w:tc>
          <w:tcPr>
            <w:tcW w:w="1160" w:type="dxa"/>
          </w:tcPr>
          <w:p w14:paraId="09F195C8"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0.50 ±0.22</w:t>
            </w:r>
          </w:p>
        </w:tc>
      </w:tr>
    </w:tbl>
    <w:p w14:paraId="155019D6" w14:textId="77777777" w:rsidR="004B7BA1" w:rsidRPr="000B206E" w:rsidRDefault="004B7BA1" w:rsidP="004B7BA1">
      <w:pPr>
        <w:spacing w:before="60" w:after="0" w:line="240" w:lineRule="auto"/>
        <w:jc w:val="both"/>
        <w:rPr>
          <w:rFonts w:ascii="Times New Roman" w:hAnsi="Times New Roman" w:cs="Times New Roman"/>
          <w:sz w:val="18"/>
        </w:rPr>
      </w:pPr>
      <w:r w:rsidRPr="000B206E">
        <w:rPr>
          <w:rFonts w:ascii="Times New Roman" w:hAnsi="Times New Roman" w:cs="Times New Roman"/>
          <w:sz w:val="18"/>
        </w:rPr>
        <w:t>Values are expressed as mean ± SE, n=6; means bearing common superscript in column do not differ significantly (P &lt; 0.05) NS- Non significant.</w:t>
      </w:r>
    </w:p>
    <w:p w14:paraId="77CCDE11" w14:textId="77777777" w:rsidR="004B7BA1" w:rsidRPr="004B7BA1" w:rsidRDefault="004B7BA1" w:rsidP="004B7BA1">
      <w:pPr>
        <w:spacing w:after="0" w:line="360" w:lineRule="auto"/>
        <w:jc w:val="both"/>
        <w:rPr>
          <w:rFonts w:ascii="Times New Roman" w:hAnsi="Times New Roman" w:cs="Times New Roman"/>
          <w:sz w:val="24"/>
          <w:szCs w:val="24"/>
        </w:rPr>
      </w:pPr>
    </w:p>
    <w:p w14:paraId="7E5D71E6" w14:textId="77777777" w:rsidR="001B74A5" w:rsidRDefault="001B74A5" w:rsidP="000B206E">
      <w:pPr>
        <w:rPr>
          <w:rFonts w:ascii="Times New Roman" w:hAnsi="Times New Roman" w:cs="Times New Roman"/>
          <w:sz w:val="24"/>
          <w:szCs w:val="24"/>
        </w:rPr>
      </w:pPr>
    </w:p>
    <w:p w14:paraId="48F1E86E" w14:textId="77777777" w:rsidR="00FA5275" w:rsidRDefault="00FA5275" w:rsidP="000B206E">
      <w:pPr>
        <w:rPr>
          <w:rFonts w:ascii="Times New Roman" w:hAnsi="Times New Roman" w:cs="Times New Roman"/>
          <w:sz w:val="24"/>
          <w:szCs w:val="24"/>
        </w:rPr>
      </w:pPr>
    </w:p>
    <w:p w14:paraId="07111881" w14:textId="77777777" w:rsidR="001B74A5" w:rsidRDefault="001B74A5" w:rsidP="000B206E">
      <w:pPr>
        <w:rPr>
          <w:rFonts w:ascii="Times New Roman" w:hAnsi="Times New Roman" w:cs="Times New Roman"/>
          <w:sz w:val="24"/>
          <w:szCs w:val="24"/>
        </w:rPr>
      </w:pPr>
    </w:p>
    <w:p w14:paraId="17596EA7" w14:textId="6DB49C6B" w:rsidR="004B7BA1" w:rsidRDefault="004B7BA1" w:rsidP="000B206E">
      <w:r w:rsidRPr="00E7630F">
        <w:rPr>
          <w:rFonts w:ascii="Arial" w:hAnsi="Arial" w:cs="Arial"/>
          <w:noProof/>
          <w:sz w:val="24"/>
          <w:szCs w:val="24"/>
        </w:rPr>
        <w:drawing>
          <wp:anchor distT="0" distB="0" distL="114300" distR="114300" simplePos="0" relativeHeight="251659264" behindDoc="1" locked="0" layoutInCell="1" allowOverlap="1" wp14:anchorId="4C219E88" wp14:editId="40CB975B">
            <wp:simplePos x="0" y="0"/>
            <wp:positionH relativeFrom="margin">
              <wp:align>right</wp:align>
            </wp:positionH>
            <wp:positionV relativeFrom="paragraph">
              <wp:posOffset>76200</wp:posOffset>
            </wp:positionV>
            <wp:extent cx="2701290" cy="2087880"/>
            <wp:effectExtent l="0" t="0" r="3810" b="7620"/>
            <wp:wrapNone/>
            <wp:docPr id="24"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E7630F">
        <w:rPr>
          <w:rFonts w:ascii="Arial" w:hAnsi="Arial" w:cs="Arial"/>
          <w:b/>
          <w:noProof/>
          <w:sz w:val="24"/>
          <w:szCs w:val="24"/>
        </w:rPr>
        <w:drawing>
          <wp:anchor distT="0" distB="0" distL="114300" distR="114300" simplePos="0" relativeHeight="251660288" behindDoc="1" locked="0" layoutInCell="1" allowOverlap="1" wp14:anchorId="5D7A5C18" wp14:editId="3A2BDCFC">
            <wp:simplePos x="0" y="0"/>
            <wp:positionH relativeFrom="column">
              <wp:posOffset>-87630</wp:posOffset>
            </wp:positionH>
            <wp:positionV relativeFrom="paragraph">
              <wp:posOffset>160020</wp:posOffset>
            </wp:positionV>
            <wp:extent cx="2846070" cy="2004060"/>
            <wp:effectExtent l="0" t="0" r="11430" b="15240"/>
            <wp:wrapNone/>
            <wp:docPr id="2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CF6C92B" w14:textId="77777777" w:rsidR="004B7BA1" w:rsidRDefault="004B7BA1" w:rsidP="004B7BA1"/>
    <w:p w14:paraId="029061EC" w14:textId="77777777" w:rsidR="004B7BA1" w:rsidRDefault="004B7BA1" w:rsidP="004B7BA1"/>
    <w:p w14:paraId="78095267" w14:textId="77777777" w:rsidR="004B7BA1" w:rsidRDefault="004B7BA1" w:rsidP="004B7BA1"/>
    <w:p w14:paraId="18AB380D" w14:textId="77777777" w:rsidR="004B7BA1" w:rsidRDefault="004B7BA1" w:rsidP="004B7BA1"/>
    <w:p w14:paraId="7B921439" w14:textId="77777777" w:rsidR="004B7BA1" w:rsidRDefault="004B7BA1" w:rsidP="004B7BA1">
      <w:pPr>
        <w:spacing w:after="0" w:line="360" w:lineRule="auto"/>
        <w:jc w:val="both"/>
        <w:rPr>
          <w:rFonts w:ascii="Times New Roman" w:hAnsi="Times New Roman" w:cs="Times New Roman"/>
          <w:sz w:val="24"/>
          <w:szCs w:val="24"/>
        </w:rPr>
      </w:pPr>
    </w:p>
    <w:p w14:paraId="2E1ED62E" w14:textId="77777777" w:rsidR="004B7BA1" w:rsidRDefault="004B7BA1" w:rsidP="004B7BA1">
      <w:pPr>
        <w:spacing w:after="0" w:line="360" w:lineRule="auto"/>
        <w:jc w:val="both"/>
        <w:rPr>
          <w:rFonts w:ascii="Times New Roman" w:hAnsi="Times New Roman" w:cs="Times New Roman"/>
          <w:sz w:val="24"/>
          <w:szCs w:val="24"/>
        </w:rPr>
      </w:pPr>
    </w:p>
    <w:p w14:paraId="700B65C5" w14:textId="77777777" w:rsidR="004B7BA1" w:rsidRDefault="004B7BA1" w:rsidP="004B7BA1">
      <w:pPr>
        <w:spacing w:after="0" w:line="360" w:lineRule="auto"/>
        <w:jc w:val="both"/>
        <w:rPr>
          <w:rFonts w:ascii="Times New Roman" w:hAnsi="Times New Roman" w:cs="Times New Roman"/>
          <w:sz w:val="24"/>
          <w:szCs w:val="24"/>
        </w:rPr>
      </w:pPr>
    </w:p>
    <w:p w14:paraId="004C2637" w14:textId="77777777" w:rsidR="004B7BA1" w:rsidRDefault="004B7BA1" w:rsidP="004B7BA1">
      <w:pPr>
        <w:spacing w:after="0" w:line="360" w:lineRule="auto"/>
        <w:jc w:val="both"/>
        <w:rPr>
          <w:rFonts w:ascii="Times New Roman" w:hAnsi="Times New Roman" w:cs="Times New Roman"/>
          <w:sz w:val="24"/>
          <w:szCs w:val="24"/>
        </w:rPr>
      </w:pPr>
      <w:r w:rsidRPr="00E7630F">
        <w:rPr>
          <w:rFonts w:ascii="Arial" w:hAnsi="Arial" w:cs="Arial"/>
          <w:noProof/>
          <w:sz w:val="24"/>
          <w:szCs w:val="24"/>
        </w:rPr>
        <w:drawing>
          <wp:anchor distT="0" distB="0" distL="114300" distR="114300" simplePos="0" relativeHeight="251661312" behindDoc="1" locked="0" layoutInCell="1" allowOverlap="1" wp14:anchorId="3FC98856" wp14:editId="31802E73">
            <wp:simplePos x="0" y="0"/>
            <wp:positionH relativeFrom="column">
              <wp:posOffset>-60960</wp:posOffset>
            </wp:positionH>
            <wp:positionV relativeFrom="paragraph">
              <wp:posOffset>267335</wp:posOffset>
            </wp:positionV>
            <wp:extent cx="2823210" cy="2042160"/>
            <wp:effectExtent l="0" t="0" r="15240" b="15240"/>
            <wp:wrapNone/>
            <wp:docPr id="2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rPr>
        <w:drawing>
          <wp:anchor distT="0" distB="0" distL="114300" distR="114300" simplePos="0" relativeHeight="251662336" behindDoc="1" locked="0" layoutInCell="1" allowOverlap="1" wp14:anchorId="1D82B823" wp14:editId="3ADEDFB2">
            <wp:simplePos x="0" y="0"/>
            <wp:positionH relativeFrom="column">
              <wp:posOffset>3074670</wp:posOffset>
            </wp:positionH>
            <wp:positionV relativeFrom="paragraph">
              <wp:posOffset>244475</wp:posOffset>
            </wp:positionV>
            <wp:extent cx="2754630" cy="2087880"/>
            <wp:effectExtent l="0" t="0" r="7620" b="7620"/>
            <wp:wrapNone/>
            <wp:docPr id="26"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462B1F9" w14:textId="77777777" w:rsidR="004B7BA1" w:rsidRDefault="004B7BA1" w:rsidP="004B7BA1">
      <w:pPr>
        <w:spacing w:after="0" w:line="360" w:lineRule="auto"/>
        <w:jc w:val="both"/>
        <w:rPr>
          <w:rFonts w:ascii="Times New Roman" w:hAnsi="Times New Roman" w:cs="Times New Roman"/>
          <w:sz w:val="24"/>
          <w:szCs w:val="24"/>
        </w:rPr>
      </w:pPr>
    </w:p>
    <w:p w14:paraId="59525474" w14:textId="77777777" w:rsidR="004B7BA1" w:rsidRDefault="004B7BA1" w:rsidP="004B7BA1">
      <w:pPr>
        <w:spacing w:after="0" w:line="360" w:lineRule="auto"/>
        <w:jc w:val="both"/>
        <w:rPr>
          <w:rFonts w:ascii="Times New Roman" w:hAnsi="Times New Roman" w:cs="Times New Roman"/>
          <w:sz w:val="24"/>
          <w:szCs w:val="24"/>
        </w:rPr>
      </w:pPr>
    </w:p>
    <w:p w14:paraId="467EDACA" w14:textId="77777777" w:rsidR="004B7BA1" w:rsidRDefault="004B7BA1" w:rsidP="004B7BA1">
      <w:pPr>
        <w:spacing w:after="0" w:line="360" w:lineRule="auto"/>
        <w:jc w:val="both"/>
        <w:rPr>
          <w:rFonts w:ascii="Arial" w:hAnsi="Arial" w:cs="Arial"/>
          <w:b/>
          <w:sz w:val="24"/>
          <w:szCs w:val="24"/>
        </w:rPr>
      </w:pPr>
    </w:p>
    <w:p w14:paraId="0B9C599E" w14:textId="77777777" w:rsidR="004B7BA1" w:rsidRDefault="004B7BA1" w:rsidP="004B7BA1">
      <w:pPr>
        <w:spacing w:after="0" w:line="360" w:lineRule="auto"/>
        <w:jc w:val="both"/>
        <w:rPr>
          <w:rFonts w:ascii="Arial" w:hAnsi="Arial" w:cs="Arial"/>
          <w:b/>
          <w:sz w:val="24"/>
          <w:szCs w:val="24"/>
        </w:rPr>
      </w:pPr>
    </w:p>
    <w:p w14:paraId="0826BAE6" w14:textId="77777777" w:rsidR="004B7BA1" w:rsidRDefault="004B7BA1" w:rsidP="004B7BA1">
      <w:pPr>
        <w:spacing w:after="0" w:line="360" w:lineRule="auto"/>
        <w:jc w:val="both"/>
        <w:rPr>
          <w:rFonts w:ascii="Arial" w:hAnsi="Arial" w:cs="Arial"/>
          <w:b/>
          <w:sz w:val="24"/>
          <w:szCs w:val="24"/>
        </w:rPr>
      </w:pPr>
    </w:p>
    <w:p w14:paraId="50DCBB62" w14:textId="77777777" w:rsidR="004B7BA1" w:rsidRDefault="004B7BA1" w:rsidP="004B7BA1">
      <w:pPr>
        <w:spacing w:after="0" w:line="360" w:lineRule="auto"/>
        <w:jc w:val="both"/>
        <w:rPr>
          <w:rFonts w:ascii="Arial" w:hAnsi="Arial" w:cs="Arial"/>
          <w:b/>
          <w:sz w:val="24"/>
          <w:szCs w:val="24"/>
        </w:rPr>
      </w:pPr>
    </w:p>
    <w:p w14:paraId="3F0D706C" w14:textId="77777777" w:rsidR="004B7BA1" w:rsidRDefault="004B7BA1" w:rsidP="004B7BA1">
      <w:pPr>
        <w:spacing w:after="0" w:line="360" w:lineRule="auto"/>
        <w:jc w:val="both"/>
        <w:rPr>
          <w:rFonts w:ascii="Arial" w:hAnsi="Arial" w:cs="Arial"/>
          <w:b/>
          <w:sz w:val="24"/>
          <w:szCs w:val="24"/>
        </w:rPr>
      </w:pPr>
    </w:p>
    <w:p w14:paraId="019EC691" w14:textId="77777777" w:rsidR="004B7BA1" w:rsidRDefault="004B7BA1" w:rsidP="004B7BA1">
      <w:pPr>
        <w:spacing w:after="0" w:line="360" w:lineRule="auto"/>
        <w:jc w:val="both"/>
        <w:rPr>
          <w:rFonts w:ascii="Arial" w:hAnsi="Arial" w:cs="Arial"/>
          <w:b/>
          <w:sz w:val="24"/>
          <w:szCs w:val="24"/>
        </w:rPr>
      </w:pPr>
    </w:p>
    <w:p w14:paraId="4334484C" w14:textId="77777777" w:rsidR="004B7BA1" w:rsidRDefault="004B7BA1" w:rsidP="004B7BA1">
      <w:pPr>
        <w:spacing w:after="0" w:line="360" w:lineRule="auto"/>
        <w:jc w:val="both"/>
        <w:rPr>
          <w:rFonts w:ascii="Arial" w:hAnsi="Arial" w:cs="Arial"/>
          <w:b/>
          <w:sz w:val="24"/>
          <w:szCs w:val="24"/>
        </w:rPr>
      </w:pPr>
    </w:p>
    <w:p w14:paraId="47C6581D" w14:textId="77777777" w:rsidR="004B7BA1" w:rsidRDefault="004B7BA1" w:rsidP="004B7BA1">
      <w:pPr>
        <w:spacing w:after="0" w:line="360" w:lineRule="auto"/>
        <w:jc w:val="both"/>
        <w:rPr>
          <w:rFonts w:ascii="Arial" w:hAnsi="Arial" w:cs="Arial"/>
          <w:b/>
          <w:sz w:val="24"/>
          <w:szCs w:val="24"/>
        </w:rPr>
      </w:pPr>
      <w:r w:rsidRPr="00E7630F">
        <w:rPr>
          <w:rFonts w:ascii="Arial" w:hAnsi="Arial" w:cs="Arial"/>
          <w:noProof/>
          <w:sz w:val="24"/>
          <w:szCs w:val="24"/>
        </w:rPr>
        <w:drawing>
          <wp:anchor distT="0" distB="0" distL="114300" distR="114300" simplePos="0" relativeHeight="251663360" behindDoc="1" locked="0" layoutInCell="1" allowOverlap="1" wp14:anchorId="1338865C" wp14:editId="7A8730F7">
            <wp:simplePos x="0" y="0"/>
            <wp:positionH relativeFrom="margin">
              <wp:align>left</wp:align>
            </wp:positionH>
            <wp:positionV relativeFrom="paragraph">
              <wp:posOffset>8255</wp:posOffset>
            </wp:positionV>
            <wp:extent cx="2800350" cy="1798320"/>
            <wp:effectExtent l="0" t="0" r="0" b="11430"/>
            <wp:wrapNone/>
            <wp:docPr id="2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rPr>
        <w:drawing>
          <wp:anchor distT="0" distB="0" distL="114300" distR="114300" simplePos="0" relativeHeight="251664384" behindDoc="1" locked="0" layoutInCell="1" allowOverlap="1" wp14:anchorId="2F6E60C1" wp14:editId="38828AAE">
            <wp:simplePos x="0" y="0"/>
            <wp:positionH relativeFrom="margin">
              <wp:posOffset>3086100</wp:posOffset>
            </wp:positionH>
            <wp:positionV relativeFrom="paragraph">
              <wp:posOffset>8255</wp:posOffset>
            </wp:positionV>
            <wp:extent cx="2720340" cy="1836420"/>
            <wp:effectExtent l="0" t="0" r="3810" b="11430"/>
            <wp:wrapNone/>
            <wp:docPr id="28"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F2F20EF" w14:textId="77777777" w:rsidR="004B7BA1" w:rsidRDefault="004B7BA1" w:rsidP="004B7BA1">
      <w:pPr>
        <w:spacing w:after="0" w:line="360" w:lineRule="auto"/>
        <w:jc w:val="both"/>
        <w:rPr>
          <w:rFonts w:ascii="Arial" w:hAnsi="Arial" w:cs="Arial"/>
          <w:b/>
          <w:sz w:val="24"/>
          <w:szCs w:val="24"/>
        </w:rPr>
      </w:pPr>
    </w:p>
    <w:p w14:paraId="6E0F46D7" w14:textId="77777777" w:rsidR="004B7BA1" w:rsidRDefault="004B7BA1" w:rsidP="004B7BA1">
      <w:pPr>
        <w:spacing w:after="0" w:line="360" w:lineRule="auto"/>
        <w:jc w:val="both"/>
        <w:rPr>
          <w:rFonts w:ascii="Arial" w:hAnsi="Arial" w:cs="Arial"/>
          <w:b/>
          <w:sz w:val="24"/>
          <w:szCs w:val="24"/>
        </w:rPr>
      </w:pPr>
    </w:p>
    <w:p w14:paraId="5B1D9406" w14:textId="77777777" w:rsidR="004B7BA1" w:rsidRDefault="004B7BA1" w:rsidP="004B7BA1">
      <w:pPr>
        <w:spacing w:after="0" w:line="360" w:lineRule="auto"/>
        <w:jc w:val="both"/>
        <w:rPr>
          <w:rFonts w:ascii="Arial" w:hAnsi="Arial" w:cs="Arial"/>
          <w:b/>
          <w:sz w:val="24"/>
          <w:szCs w:val="24"/>
        </w:rPr>
      </w:pPr>
    </w:p>
    <w:p w14:paraId="18C49601" w14:textId="77777777" w:rsidR="004B7BA1" w:rsidRDefault="004B7BA1" w:rsidP="004B7BA1">
      <w:pPr>
        <w:spacing w:after="0" w:line="360" w:lineRule="auto"/>
        <w:jc w:val="both"/>
        <w:rPr>
          <w:rFonts w:ascii="Arial" w:hAnsi="Arial" w:cs="Arial"/>
          <w:b/>
          <w:sz w:val="24"/>
          <w:szCs w:val="24"/>
        </w:rPr>
      </w:pPr>
    </w:p>
    <w:p w14:paraId="48BB6673" w14:textId="77777777" w:rsidR="004B7BA1" w:rsidRDefault="004B7BA1" w:rsidP="004B7BA1">
      <w:pPr>
        <w:spacing w:after="0" w:line="360" w:lineRule="auto"/>
        <w:jc w:val="both"/>
        <w:rPr>
          <w:rFonts w:ascii="Arial" w:hAnsi="Arial" w:cs="Arial"/>
          <w:b/>
          <w:sz w:val="24"/>
          <w:szCs w:val="24"/>
        </w:rPr>
      </w:pPr>
    </w:p>
    <w:p w14:paraId="58562B8F" w14:textId="77777777" w:rsidR="004B7BA1" w:rsidRDefault="004B7BA1" w:rsidP="004B7BA1">
      <w:pPr>
        <w:spacing w:after="0" w:line="360" w:lineRule="auto"/>
        <w:jc w:val="both"/>
        <w:rPr>
          <w:rFonts w:ascii="Arial" w:hAnsi="Arial" w:cs="Arial"/>
          <w:b/>
          <w:sz w:val="24"/>
          <w:szCs w:val="24"/>
        </w:rPr>
      </w:pPr>
    </w:p>
    <w:p w14:paraId="7CD1E85C" w14:textId="77777777" w:rsidR="004B7BA1" w:rsidRDefault="004B7BA1" w:rsidP="004B7BA1">
      <w:pPr>
        <w:spacing w:after="0" w:line="360" w:lineRule="auto"/>
        <w:jc w:val="both"/>
        <w:rPr>
          <w:rFonts w:ascii="Arial" w:hAnsi="Arial" w:cs="Arial"/>
          <w:b/>
          <w:sz w:val="24"/>
          <w:szCs w:val="24"/>
        </w:rPr>
      </w:pPr>
    </w:p>
    <w:p w14:paraId="1BCC0257" w14:textId="7C84FD7F" w:rsidR="004B7BA1" w:rsidRDefault="004B7BA1" w:rsidP="004B7BA1">
      <w:pPr>
        <w:spacing w:after="0" w:line="360" w:lineRule="auto"/>
        <w:jc w:val="both"/>
        <w:rPr>
          <w:rFonts w:ascii="Times New Roman" w:hAnsi="Times New Roman" w:cs="Times New Roman"/>
          <w:b/>
          <w:sz w:val="24"/>
          <w:szCs w:val="24"/>
        </w:rPr>
      </w:pPr>
      <w:r w:rsidRPr="00696D07">
        <w:rPr>
          <w:rFonts w:ascii="Times New Roman" w:hAnsi="Times New Roman" w:cs="Times New Roman"/>
          <w:b/>
          <w:sz w:val="24"/>
          <w:szCs w:val="24"/>
        </w:rPr>
        <w:t xml:space="preserve">Fig. </w:t>
      </w:r>
      <w:r w:rsidR="00EA06FA">
        <w:rPr>
          <w:rFonts w:ascii="Times New Roman" w:hAnsi="Times New Roman" w:cs="Times New Roman"/>
          <w:b/>
          <w:sz w:val="24"/>
          <w:szCs w:val="24"/>
        </w:rPr>
        <w:t>1</w:t>
      </w:r>
      <w:r w:rsidRPr="00696D07">
        <w:rPr>
          <w:rFonts w:ascii="Times New Roman" w:hAnsi="Times New Roman" w:cs="Times New Roman"/>
          <w:b/>
          <w:sz w:val="24"/>
          <w:szCs w:val="24"/>
        </w:rPr>
        <w:t xml:space="preserve">.   Graphical representation of </w:t>
      </w:r>
      <w:proofErr w:type="spellStart"/>
      <w:r w:rsidRPr="00696D07">
        <w:rPr>
          <w:rFonts w:ascii="Times New Roman" w:hAnsi="Times New Roman" w:cs="Times New Roman"/>
          <w:b/>
          <w:sz w:val="24"/>
          <w:szCs w:val="24"/>
        </w:rPr>
        <w:t>hematological</w:t>
      </w:r>
      <w:proofErr w:type="spellEnd"/>
      <w:r w:rsidRPr="00696D07">
        <w:rPr>
          <w:rFonts w:ascii="Times New Roman" w:hAnsi="Times New Roman" w:cs="Times New Roman"/>
          <w:b/>
          <w:sz w:val="24"/>
          <w:szCs w:val="24"/>
        </w:rPr>
        <w:t xml:space="preserve"> values in different treatment groups of E. coli infection induced broilers</w:t>
      </w:r>
    </w:p>
    <w:p w14:paraId="6A405CB5" w14:textId="77777777" w:rsidR="000B206E" w:rsidRDefault="000B206E" w:rsidP="004B7BA1">
      <w:pPr>
        <w:spacing w:after="0" w:line="360" w:lineRule="auto"/>
        <w:jc w:val="both"/>
        <w:rPr>
          <w:rFonts w:ascii="Times New Roman" w:hAnsi="Times New Roman" w:cs="Times New Roman"/>
          <w:b/>
          <w:bCs/>
          <w:sz w:val="24"/>
          <w:szCs w:val="24"/>
        </w:rPr>
      </w:pPr>
    </w:p>
    <w:p w14:paraId="7DF4CF62"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Discussion</w:t>
      </w:r>
    </w:p>
    <w:p w14:paraId="33C4E37B"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Based on the above study it can be seen that in case the broiler chickens are infected with E. Coli then in fact it impacts the blood of the broiler chickens. The red and white blood cells of the broiler chickens are affected by the E. Coli infection and this alters the blood of the chickens. The reason is that the infection of the E. Coli leads to stress, and the immune system </w:t>
      </w:r>
      <w:r w:rsidRPr="00A205A1">
        <w:rPr>
          <w:rFonts w:ascii="Times New Roman" w:hAnsi="Times New Roman" w:cs="Times New Roman"/>
          <w:sz w:val="24"/>
          <w:szCs w:val="24"/>
        </w:rPr>
        <w:lastRenderedPageBreak/>
        <w:t>of the broiler chicken initiates a struggle against the infection. This was witnessed in the earlier research undertaken on the infections of E. Coli in chicken. E. Coli infection is an issue, and it has various effects on broiler chicken.</w:t>
      </w:r>
    </w:p>
    <w:p w14:paraId="2357A959"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absence of significant differences in the packed cell volume and haemoglobin level in the experimental groups indicate that the infection in the E. coli did not profoundly affect erythropoiesis and did not lead to acute anaemia. Past research evaluating the effects of herbal feed additives on haematological parameters in broilers, such as </w:t>
      </w:r>
      <w:proofErr w:type="spellStart"/>
      <w:r w:rsidRPr="00A205A1">
        <w:rPr>
          <w:rFonts w:ascii="Times New Roman" w:hAnsi="Times New Roman" w:cs="Times New Roman"/>
          <w:sz w:val="24"/>
          <w:szCs w:val="24"/>
        </w:rPr>
        <w:t>Sugiharto</w:t>
      </w:r>
      <w:proofErr w:type="spellEnd"/>
      <w:r w:rsidRPr="00A205A1">
        <w:rPr>
          <w:rFonts w:ascii="Times New Roman" w:hAnsi="Times New Roman" w:cs="Times New Roman"/>
          <w:sz w:val="24"/>
          <w:szCs w:val="24"/>
        </w:rPr>
        <w:t xml:space="preserve"> et al. (2011) and Barad et al. (2016), have found the same. Moreover, dietary curcumin and nanocurcumin supplementation, even in the conditions of stress, maintained normal haemoglobin levels and red blood cell indices in broiler chicken, which demonstrates that curcumin does not disrupt the production of red blood cells and provides haematological stability (Rahmani et al., 2018).</w:t>
      </w:r>
    </w:p>
    <w:p w14:paraId="75086FA1"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 fact that the MCV and MCH of the infected birds are found to have been reduced greatly is an indication that the birds are developing blood cells that are too small and not coloured enough. This is because of the high levels of stress and iron metabolism disorders due to infection or it may be that red blood cells are being replenished at high rate. The decrease in MCV and MCH of the E. Coli-infected birds compares to that of Huff et al. 2008 that agrees with our results on MCV and MCH. MCV and MCH changes are highly significant to know what happens to the infected birds.</w:t>
      </w:r>
    </w:p>
    <w:p w14:paraId="5FAF6B72"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 increase in the total number of erythrocytes was seen in the groups infected with E. coli and it may be a compensatory physiological process to facilitate sufficient oxygen delivery during the stress caused by infection. Christie and Halliday (1979) have also found similar transient increases in erythrocyte count during bacterial infections; an initial increase was followed by a normalcy. The erythrocytes count in the current experiment was found to be in the normal physiological range, which implies that the effect of bacterial challenge on erythropoiesis was not significantly different in the presence of bacterial challenge. The increase in the red blood cells count of the infected groups, may then be an adaptation strategy to provide enough oxygen supply in the event of infection.</w:t>
      </w:r>
    </w:p>
    <w:p w14:paraId="67B9ED45"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total leukocyte count was found to increase significantly in the broiler chicken infected with the Escherichia coli, which demonstrated the involvement of the immune system to fight the infection. </w:t>
      </w:r>
      <w:proofErr w:type="spellStart"/>
      <w:r w:rsidRPr="00A205A1">
        <w:rPr>
          <w:rFonts w:ascii="Times New Roman" w:hAnsi="Times New Roman" w:cs="Times New Roman"/>
          <w:sz w:val="24"/>
          <w:szCs w:val="24"/>
        </w:rPr>
        <w:t>Leukocytosis</w:t>
      </w:r>
      <w:proofErr w:type="spellEnd"/>
      <w:r w:rsidRPr="00A205A1">
        <w:rPr>
          <w:rFonts w:ascii="Times New Roman" w:hAnsi="Times New Roman" w:cs="Times New Roman"/>
          <w:sz w:val="24"/>
          <w:szCs w:val="24"/>
        </w:rPr>
        <w:t xml:space="preserve"> is a normal response to infection which has already been reported in the case of broilers chicken infected by colibacillosis. The same has been noted by Allam et al. (2014), Haq et al. (2015), and Sharma et al. (2015). The fact that the total number of leukocytes was on the rise in the infected groups of the chicken in the current study was a clear </w:t>
      </w:r>
      <w:r w:rsidRPr="00A205A1">
        <w:rPr>
          <w:rFonts w:ascii="Times New Roman" w:hAnsi="Times New Roman" w:cs="Times New Roman"/>
          <w:sz w:val="24"/>
          <w:szCs w:val="24"/>
        </w:rPr>
        <w:lastRenderedPageBreak/>
        <w:t>indication that the immune systems of the chickens were on the run in order to herd the infection.</w:t>
      </w:r>
    </w:p>
    <w:p w14:paraId="62D06FBE"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curcumin product possesses both prophylactic and therapeutic effectiveness in the decreasing </w:t>
      </w:r>
      <w:proofErr w:type="spellStart"/>
      <w:r w:rsidRPr="00A205A1">
        <w:rPr>
          <w:rFonts w:ascii="Times New Roman" w:hAnsi="Times New Roman" w:cs="Times New Roman"/>
          <w:sz w:val="24"/>
          <w:szCs w:val="24"/>
        </w:rPr>
        <w:t>hematology</w:t>
      </w:r>
      <w:proofErr w:type="spellEnd"/>
      <w:r w:rsidRPr="00A205A1">
        <w:rPr>
          <w:rFonts w:ascii="Times New Roman" w:hAnsi="Times New Roman" w:cs="Times New Roman"/>
          <w:sz w:val="24"/>
          <w:szCs w:val="24"/>
        </w:rPr>
        <w:t xml:space="preserve"> changes caused by the Escherichia coli infection. The supplementation of curcumin was able to normalize the total leukocyte counts and decrease the heterophilic number and increase the number of lymphocytes, which indicates that it has a positive effect on maintaining immune system control and host </w:t>
      </w:r>
      <w:proofErr w:type="spellStart"/>
      <w:r w:rsidRPr="00A205A1">
        <w:rPr>
          <w:rFonts w:ascii="Times New Roman" w:hAnsi="Times New Roman" w:cs="Times New Roman"/>
          <w:sz w:val="24"/>
          <w:szCs w:val="24"/>
        </w:rPr>
        <w:t>defense</w:t>
      </w:r>
      <w:proofErr w:type="spellEnd"/>
      <w:r w:rsidRPr="00A205A1">
        <w:rPr>
          <w:rFonts w:ascii="Times New Roman" w:hAnsi="Times New Roman" w:cs="Times New Roman"/>
          <w:sz w:val="24"/>
          <w:szCs w:val="24"/>
        </w:rPr>
        <w:t xml:space="preserve"> mechanisms. Rahmani et al. (2018) also observed the immunomodulatory effects of curcumin in broiler chickens that improved the blood biochemical components and immune status of curcumin and nanocurcumin-supplemented chickens in stress conditions.</w:t>
      </w:r>
    </w:p>
    <w:p w14:paraId="715BB9A4"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Curcumin has a strong antioxidant, anti-inflammatory, and antimicrobial effects that ensure that cells are not exposed to oxidative damage, inflammation is controlled, and tissue damage caused by pathogens is minimized, which largely explain its therapeutic properties. Aggarwal and Harikumar (2009) also indicated that curcumin modulates various molecular inflammatory and immune regulation pathways, but Sahu and Saxena (2013) demonstrated the protection of curcumin against oxidative damage and tissue damage in case of infection. Furthermore, Zhang et al. (2015) indicated dietary supplementation of curcumin stimulated immune reactions and lessened inflammation in poultry, and therefore, it may be a natural immunomodulator.</w:t>
      </w:r>
    </w:p>
    <w:p w14:paraId="1E6B9631" w14:textId="77777777"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fact that the curcumin control group did not exhibit any adverse </w:t>
      </w:r>
      <w:proofErr w:type="spellStart"/>
      <w:r w:rsidRPr="00A205A1">
        <w:rPr>
          <w:rFonts w:ascii="Times New Roman" w:hAnsi="Times New Roman" w:cs="Times New Roman"/>
          <w:sz w:val="24"/>
          <w:szCs w:val="24"/>
        </w:rPr>
        <w:t>hematological</w:t>
      </w:r>
      <w:proofErr w:type="spellEnd"/>
      <w:r w:rsidRPr="00A205A1">
        <w:rPr>
          <w:rFonts w:ascii="Times New Roman" w:hAnsi="Times New Roman" w:cs="Times New Roman"/>
          <w:sz w:val="24"/>
          <w:szCs w:val="24"/>
        </w:rPr>
        <w:t xml:space="preserve"> reactions also contributes to the safety of curcumin supplementation in broiler chicken. To sum up, the present results indicate that curcumin has a promising potential as a successful approach to </w:t>
      </w:r>
      <w:proofErr w:type="spellStart"/>
      <w:r w:rsidRPr="00A205A1">
        <w:rPr>
          <w:rFonts w:ascii="Times New Roman" w:hAnsi="Times New Roman" w:cs="Times New Roman"/>
          <w:sz w:val="24"/>
          <w:szCs w:val="24"/>
        </w:rPr>
        <w:t>hematological</w:t>
      </w:r>
      <w:proofErr w:type="spellEnd"/>
      <w:r w:rsidRPr="00A205A1">
        <w:rPr>
          <w:rFonts w:ascii="Times New Roman" w:hAnsi="Times New Roman" w:cs="Times New Roman"/>
          <w:sz w:val="24"/>
          <w:szCs w:val="24"/>
        </w:rPr>
        <w:t xml:space="preserve"> disorders that are provoked by the E. coli infection and can be used as </w:t>
      </w:r>
      <w:proofErr w:type="gramStart"/>
      <w:r w:rsidRPr="00A205A1">
        <w:rPr>
          <w:rFonts w:ascii="Times New Roman" w:hAnsi="Times New Roman" w:cs="Times New Roman"/>
          <w:sz w:val="24"/>
          <w:szCs w:val="24"/>
        </w:rPr>
        <w:t>a</w:t>
      </w:r>
      <w:proofErr w:type="gramEnd"/>
      <w:r w:rsidRPr="00A205A1">
        <w:rPr>
          <w:rFonts w:ascii="Times New Roman" w:hAnsi="Times New Roman" w:cs="Times New Roman"/>
          <w:sz w:val="24"/>
          <w:szCs w:val="24"/>
        </w:rPr>
        <w:t xml:space="preserve"> herbal antimicrobial agent to the conventional antibiotics in poultry farming.</w:t>
      </w:r>
    </w:p>
    <w:p w14:paraId="497F4236"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Conclusion</w:t>
      </w:r>
    </w:p>
    <w:p w14:paraId="321BE636" w14:textId="368464FB"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Curcumin, which is given both as a preventive and therapeutic dose, has been observed to be effective in minimizing the blood alterations caused by E. coli infection in broilers. The use of curcumin might be a natural substitute to antibiotics in chicken.</w:t>
      </w:r>
    </w:p>
    <w:p w14:paraId="1022D48B" w14:textId="3E3EEB26" w:rsidR="00077C32" w:rsidRPr="00077C32" w:rsidRDefault="00077C32" w:rsidP="00A205A1">
      <w:pPr>
        <w:spacing w:after="0" w:line="360" w:lineRule="auto"/>
        <w:jc w:val="both"/>
        <w:rPr>
          <w:rFonts w:ascii="Times New Roman" w:hAnsi="Times New Roman" w:cs="Times New Roman"/>
          <w:b/>
          <w:sz w:val="24"/>
          <w:szCs w:val="24"/>
        </w:rPr>
      </w:pPr>
      <w:r w:rsidRPr="00077C32">
        <w:rPr>
          <w:rFonts w:ascii="Times New Roman" w:hAnsi="Times New Roman" w:cs="Times New Roman"/>
          <w:b/>
          <w:sz w:val="24"/>
          <w:szCs w:val="24"/>
        </w:rPr>
        <w:t>Ethical Approval</w:t>
      </w:r>
    </w:p>
    <w:p w14:paraId="73D1B91B" w14:textId="1BBDDD02" w:rsidR="00077C32" w:rsidRDefault="00077C32" w:rsidP="00A205A1">
      <w:pPr>
        <w:spacing w:after="0" w:line="360" w:lineRule="auto"/>
        <w:jc w:val="both"/>
        <w:rPr>
          <w:rFonts w:ascii="Times New Roman" w:hAnsi="Times New Roman" w:cs="Times New Roman"/>
          <w:sz w:val="24"/>
          <w:szCs w:val="24"/>
        </w:rPr>
      </w:pPr>
      <w:r w:rsidRPr="00077C32">
        <w:rPr>
          <w:rFonts w:ascii="Times New Roman" w:hAnsi="Times New Roman" w:cs="Times New Roman"/>
          <w:sz w:val="24"/>
          <w:szCs w:val="24"/>
        </w:rPr>
        <w:t>The Institutional Animal Ethics Committee (IAEC, Reg. no. 312/CPCSEA) of PGIVAS, Akola, approved and cleared all the above experimental procedures to make sure that all the birds were treated humanely during the ex</w:t>
      </w:r>
      <w:bookmarkStart w:id="0" w:name="_GoBack"/>
      <w:bookmarkEnd w:id="0"/>
      <w:r w:rsidRPr="00077C32">
        <w:rPr>
          <w:rFonts w:ascii="Times New Roman" w:hAnsi="Times New Roman" w:cs="Times New Roman"/>
          <w:sz w:val="24"/>
          <w:szCs w:val="24"/>
        </w:rPr>
        <w:t>periment.</w:t>
      </w:r>
    </w:p>
    <w:p w14:paraId="5DD459C3" w14:textId="77777777" w:rsidR="00077C32" w:rsidRPr="00A205A1" w:rsidRDefault="00077C32" w:rsidP="00A205A1">
      <w:pPr>
        <w:spacing w:after="0" w:line="360" w:lineRule="auto"/>
        <w:jc w:val="both"/>
        <w:rPr>
          <w:rFonts w:ascii="Times New Roman" w:hAnsi="Times New Roman" w:cs="Times New Roman"/>
          <w:sz w:val="24"/>
          <w:szCs w:val="24"/>
        </w:rPr>
      </w:pPr>
    </w:p>
    <w:p w14:paraId="735B823A"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Disclosures of competing interests are irrelevant in this case.</w:t>
      </w:r>
    </w:p>
    <w:p w14:paraId="189FD865"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lastRenderedPageBreak/>
        <w:t>Authors have stated that they do not have any known competing or non-financial interests OR personal relationships that might have emerged to be used in the work reported in this paper.</w:t>
      </w:r>
    </w:p>
    <w:p w14:paraId="72727691" w14:textId="6652DFFA" w:rsidR="0081212D" w:rsidRPr="0081212D" w:rsidRDefault="0081212D" w:rsidP="0081212D">
      <w:pPr>
        <w:spacing w:after="0" w:line="360" w:lineRule="auto"/>
        <w:jc w:val="both"/>
        <w:rPr>
          <w:rFonts w:ascii="Times New Roman" w:hAnsi="Times New Roman" w:cs="Times New Roman"/>
          <w:b/>
          <w:bCs/>
          <w:sz w:val="24"/>
          <w:szCs w:val="24"/>
        </w:rPr>
      </w:pPr>
      <w:r w:rsidRPr="0081212D">
        <w:rPr>
          <w:rFonts w:ascii="Times New Roman" w:hAnsi="Times New Roman" w:cs="Times New Roman"/>
          <w:b/>
          <w:bCs/>
          <w:sz w:val="24"/>
          <w:szCs w:val="24"/>
        </w:rPr>
        <w:t xml:space="preserve">Disclaimer </w:t>
      </w:r>
    </w:p>
    <w:p w14:paraId="03DCBB55" w14:textId="306491D0" w:rsidR="00737230" w:rsidRPr="00395FB7" w:rsidRDefault="0081212D" w:rsidP="0081212D">
      <w:pPr>
        <w:spacing w:after="0" w:line="360" w:lineRule="auto"/>
        <w:jc w:val="both"/>
        <w:rPr>
          <w:rFonts w:ascii="Times New Roman" w:hAnsi="Times New Roman" w:cs="Times New Roman"/>
          <w:sz w:val="24"/>
          <w:szCs w:val="24"/>
        </w:rPr>
      </w:pPr>
      <w:r w:rsidRPr="0081212D">
        <w:rPr>
          <w:rFonts w:ascii="Times New Roman" w:hAnsi="Times New Roman" w:cs="Times New Roman"/>
          <w:sz w:val="24"/>
          <w:szCs w:val="24"/>
        </w:rPr>
        <w:t>The authors declare that no artificial intelligence tools were used in the preparation of this manuscript.</w:t>
      </w:r>
    </w:p>
    <w:p w14:paraId="31B930CB" w14:textId="77777777" w:rsidR="00071A48" w:rsidRPr="00883FFF" w:rsidRDefault="00071A48" w:rsidP="00071A48">
      <w:pPr>
        <w:spacing w:line="360" w:lineRule="auto"/>
        <w:jc w:val="both"/>
        <w:rPr>
          <w:rFonts w:ascii="Times New Roman" w:hAnsi="Times New Roman" w:cs="Times New Roman"/>
          <w:b/>
          <w:bCs/>
          <w:sz w:val="24"/>
          <w:szCs w:val="24"/>
        </w:rPr>
      </w:pPr>
      <w:r w:rsidRPr="00883FFF">
        <w:rPr>
          <w:rFonts w:ascii="Times New Roman" w:hAnsi="Times New Roman" w:cs="Times New Roman"/>
          <w:b/>
          <w:bCs/>
          <w:sz w:val="24"/>
          <w:szCs w:val="24"/>
        </w:rPr>
        <w:t>References</w:t>
      </w:r>
    </w:p>
    <w:p w14:paraId="2891A028"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Aggarwal BB, Harikumar KB. Potential therapeutic effects of curcumin, the anti-inflammatory agent, against neurodegenerative, cardiovascular, pulmonary, metabolic, autoimmune and neoplastic diseases. </w:t>
      </w:r>
      <w:r w:rsidRPr="00883FFF">
        <w:rPr>
          <w:rFonts w:ascii="Times New Roman" w:hAnsi="Times New Roman" w:cs="Times New Roman"/>
          <w:i/>
          <w:iCs/>
          <w:sz w:val="24"/>
          <w:szCs w:val="24"/>
        </w:rPr>
        <w:t>International Journal of Biochemical Cell Biology</w:t>
      </w:r>
      <w:r w:rsidRPr="00883FFF">
        <w:rPr>
          <w:rFonts w:ascii="Times New Roman" w:hAnsi="Times New Roman" w:cs="Times New Roman"/>
          <w:sz w:val="24"/>
          <w:szCs w:val="24"/>
        </w:rPr>
        <w:t>. 2009;41(1):40-59.</w:t>
      </w:r>
    </w:p>
    <w:p w14:paraId="75B9F22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Allam HH, Eman S, Hamid AE, Salah H, </w:t>
      </w:r>
      <w:proofErr w:type="spellStart"/>
      <w:r w:rsidRPr="00883FFF">
        <w:rPr>
          <w:rFonts w:ascii="Times New Roman" w:hAnsi="Times New Roman" w:cs="Times New Roman"/>
          <w:sz w:val="24"/>
          <w:szCs w:val="24"/>
        </w:rPr>
        <w:t>Rashidy</w:t>
      </w:r>
      <w:proofErr w:type="spellEnd"/>
      <w:r w:rsidRPr="00883FFF">
        <w:rPr>
          <w:rFonts w:ascii="Times New Roman" w:hAnsi="Times New Roman" w:cs="Times New Roman"/>
          <w:sz w:val="24"/>
          <w:szCs w:val="24"/>
        </w:rPr>
        <w:t xml:space="preserve"> RM, Adel EM,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organic acids and probiotic on broiler performance, some blood parameters and control of E. coli. </w:t>
      </w:r>
      <w:r w:rsidRPr="00883FFF">
        <w:rPr>
          <w:rFonts w:ascii="Times New Roman" w:hAnsi="Times New Roman" w:cs="Times New Roman"/>
          <w:i/>
          <w:iCs/>
          <w:sz w:val="24"/>
          <w:szCs w:val="24"/>
        </w:rPr>
        <w:t>Zagazig Veterinary Journal</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2014;42:1</w:t>
      </w:r>
      <w:proofErr w:type="gramEnd"/>
      <w:r w:rsidRPr="00883FFF">
        <w:rPr>
          <w:rFonts w:ascii="Times New Roman" w:hAnsi="Times New Roman" w:cs="Times New Roman"/>
          <w:sz w:val="24"/>
          <w:szCs w:val="24"/>
        </w:rPr>
        <w:t>.</w:t>
      </w:r>
    </w:p>
    <w:p w14:paraId="798B90EA"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Barad NA, </w:t>
      </w:r>
      <w:proofErr w:type="spellStart"/>
      <w:r w:rsidRPr="00883FFF">
        <w:rPr>
          <w:rFonts w:ascii="Times New Roman" w:hAnsi="Times New Roman" w:cs="Times New Roman"/>
          <w:sz w:val="24"/>
          <w:szCs w:val="24"/>
        </w:rPr>
        <w:t>Savsani</w:t>
      </w:r>
      <w:proofErr w:type="spellEnd"/>
      <w:r w:rsidRPr="00883FFF">
        <w:rPr>
          <w:rFonts w:ascii="Times New Roman" w:hAnsi="Times New Roman" w:cs="Times New Roman"/>
          <w:sz w:val="24"/>
          <w:szCs w:val="24"/>
        </w:rPr>
        <w:t xml:space="preserve"> HH, Patil SS, Garg DD, Das O, Singh V,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feeding coriander seeds, black pepper and turmeric powder as feed additives on </w:t>
      </w:r>
      <w:proofErr w:type="spellStart"/>
      <w:r w:rsidRPr="00883FFF">
        <w:rPr>
          <w:rFonts w:ascii="Times New Roman" w:hAnsi="Times New Roman" w:cs="Times New Roman"/>
          <w:sz w:val="24"/>
          <w:szCs w:val="24"/>
        </w:rPr>
        <w:t>hemato</w:t>
      </w:r>
      <w:proofErr w:type="spellEnd"/>
      <w:r w:rsidRPr="00883FFF">
        <w:rPr>
          <w:rFonts w:ascii="Times New Roman" w:hAnsi="Times New Roman" w:cs="Times New Roman"/>
          <w:sz w:val="24"/>
          <w:szCs w:val="24"/>
        </w:rPr>
        <w:t xml:space="preserve">-biochemical profile and performance of broiler chicken. </w:t>
      </w:r>
      <w:r w:rsidRPr="00883FFF">
        <w:rPr>
          <w:rFonts w:ascii="Times New Roman" w:hAnsi="Times New Roman" w:cs="Times New Roman"/>
          <w:i/>
          <w:iCs/>
          <w:sz w:val="24"/>
          <w:szCs w:val="24"/>
        </w:rPr>
        <w:t>International Journal of Science Environment and Technology</w:t>
      </w:r>
      <w:r w:rsidRPr="00883FFF">
        <w:rPr>
          <w:rFonts w:ascii="Times New Roman" w:hAnsi="Times New Roman" w:cs="Times New Roman"/>
          <w:sz w:val="24"/>
          <w:szCs w:val="24"/>
        </w:rPr>
        <w:t>. 2016;5(6):3976-3982.</w:t>
      </w:r>
    </w:p>
    <w:p w14:paraId="7A435D9C"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Benjamin MM. </w:t>
      </w:r>
      <w:r w:rsidRPr="00883FFF">
        <w:rPr>
          <w:rFonts w:ascii="Times New Roman" w:hAnsi="Times New Roman" w:cs="Times New Roman"/>
          <w:i/>
          <w:iCs/>
          <w:sz w:val="24"/>
          <w:szCs w:val="24"/>
        </w:rPr>
        <w:t>Outline of Veterinary Clinical Pathology</w:t>
      </w:r>
      <w:r w:rsidRPr="00883FFF">
        <w:rPr>
          <w:rFonts w:ascii="Times New Roman" w:hAnsi="Times New Roman" w:cs="Times New Roman"/>
          <w:sz w:val="24"/>
          <w:szCs w:val="24"/>
        </w:rPr>
        <w:t>. 3rd ed. Kalyani Publisher, Ludhiana, 2003.</w:t>
      </w:r>
    </w:p>
    <w:p w14:paraId="0E797384"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Bryne J. Protective effect of curcumin on intestinal mucosa barrier of enterotoxigenic E. coli challenged piglet. International Immune Pharmacology Newsletter. 2015.</w:t>
      </w:r>
    </w:p>
    <w:p w14:paraId="4777252C"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eastAsia="Calibri" w:hAnsi="Times New Roman" w:cs="Times New Roman"/>
          <w:sz w:val="24"/>
          <w:szCs w:val="24"/>
          <w:lang w:bidi="mr-IN"/>
        </w:rPr>
        <w:t xml:space="preserve">Christie, G. and W. G. Halliday (1979) Haematological and biochemical aspects of an </w:t>
      </w:r>
      <w:r w:rsidRPr="00071A48">
        <w:rPr>
          <w:rFonts w:ascii="Times New Roman" w:eastAsia="Calibri" w:hAnsi="Times New Roman" w:cs="Times New Roman"/>
          <w:i/>
          <w:iCs/>
          <w:sz w:val="24"/>
          <w:szCs w:val="24"/>
          <w:lang w:bidi="mr-IN"/>
        </w:rPr>
        <w:t>E. coli</w:t>
      </w:r>
      <w:r w:rsidRPr="00071A48">
        <w:rPr>
          <w:rFonts w:ascii="Times New Roman" w:eastAsia="Calibri" w:hAnsi="Times New Roman" w:cs="Times New Roman"/>
          <w:sz w:val="24"/>
          <w:szCs w:val="24"/>
          <w:lang w:bidi="mr-IN"/>
        </w:rPr>
        <w:t xml:space="preserve"> septicaemia in brown leghorn chickens, Avian Pathology, 8(1):45-55.</w:t>
      </w:r>
    </w:p>
    <w:p w14:paraId="56BAA75D" w14:textId="2154A629" w:rsidR="00071A48" w:rsidRP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hAnsi="Times New Roman" w:cs="Times New Roman"/>
          <w:sz w:val="24"/>
          <w:szCs w:val="24"/>
        </w:rPr>
        <w:t>Haq, K. U. A. A. Khan, S. Ullah and G. Nabi (2015) Comparative Efficacy of Norfloxacin, Clarithromycin and Cefpodoxime Against Experimentally Induced Colibacillosis in Pigeons American-Eurasian Journal of Toxicological Sciences. 7(2):72-82.</w:t>
      </w:r>
    </w:p>
    <w:p w14:paraId="7B99C37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Huff GR, Huff WE, Rath NC, Anthony NB, Nestor KE. Effects of Escherichia coli challenge and transport stress on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and serum chemistry values of three genetic lines of turkeys. </w:t>
      </w:r>
      <w:r w:rsidRPr="00883FFF">
        <w:rPr>
          <w:rFonts w:ascii="Times New Roman" w:hAnsi="Times New Roman" w:cs="Times New Roman"/>
          <w:i/>
          <w:iCs/>
          <w:sz w:val="24"/>
          <w:szCs w:val="24"/>
        </w:rPr>
        <w:t>Poultry Science</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2008;87:2234</w:t>
      </w:r>
      <w:proofErr w:type="gramEnd"/>
      <w:r w:rsidRPr="00883FFF">
        <w:rPr>
          <w:rFonts w:ascii="Times New Roman" w:hAnsi="Times New Roman" w:cs="Times New Roman"/>
          <w:sz w:val="24"/>
          <w:szCs w:val="24"/>
        </w:rPr>
        <w:t>-2241.</w:t>
      </w:r>
    </w:p>
    <w:p w14:paraId="54EC91AF" w14:textId="77777777" w:rsidR="00071A48" w:rsidRPr="00533DAC" w:rsidRDefault="00071A48" w:rsidP="00071A48">
      <w:pPr>
        <w:numPr>
          <w:ilvl w:val="0"/>
          <w:numId w:val="1"/>
        </w:numPr>
        <w:spacing w:after="0" w:line="360" w:lineRule="auto"/>
        <w:rPr>
          <w:rFonts w:ascii="Times New Roman" w:hAnsi="Times New Roman" w:cs="Times New Roman"/>
          <w:sz w:val="24"/>
          <w:szCs w:val="24"/>
        </w:rPr>
      </w:pPr>
      <w:proofErr w:type="spellStart"/>
      <w:r w:rsidRPr="00533DAC">
        <w:rPr>
          <w:rFonts w:ascii="Times New Roman" w:hAnsi="Times New Roman" w:cs="Times New Roman"/>
          <w:sz w:val="24"/>
          <w:szCs w:val="24"/>
        </w:rPr>
        <w:t>Mahejabin</w:t>
      </w:r>
      <w:proofErr w:type="spellEnd"/>
      <w:r w:rsidRPr="00533DAC">
        <w:rPr>
          <w:rFonts w:ascii="Times New Roman" w:hAnsi="Times New Roman" w:cs="Times New Roman"/>
          <w:sz w:val="24"/>
          <w:szCs w:val="24"/>
        </w:rPr>
        <w:t xml:space="preserve"> N, </w:t>
      </w:r>
      <w:proofErr w:type="spellStart"/>
      <w:r w:rsidRPr="00533DAC">
        <w:rPr>
          <w:rFonts w:ascii="Times New Roman" w:hAnsi="Times New Roman" w:cs="Times New Roman"/>
          <w:sz w:val="24"/>
          <w:szCs w:val="24"/>
        </w:rPr>
        <w:t>Mostofa</w:t>
      </w:r>
      <w:proofErr w:type="spellEnd"/>
      <w:r w:rsidRPr="00533DAC">
        <w:rPr>
          <w:rFonts w:ascii="Times New Roman" w:hAnsi="Times New Roman" w:cs="Times New Roman"/>
          <w:sz w:val="24"/>
          <w:szCs w:val="24"/>
        </w:rPr>
        <w:t xml:space="preserve"> M, Akter F, Das S, Alam M. Effects of neem, turmeric and papaya leaf extract mixture on growth performance of broilers. </w:t>
      </w:r>
      <w:r w:rsidRPr="00533DAC">
        <w:rPr>
          <w:rFonts w:ascii="Times New Roman" w:hAnsi="Times New Roman" w:cs="Times New Roman"/>
          <w:i/>
          <w:iCs/>
          <w:sz w:val="24"/>
          <w:szCs w:val="24"/>
        </w:rPr>
        <w:t>Int. J Nat. Soc. Sci.</w:t>
      </w:r>
      <w:r w:rsidRPr="00533DAC">
        <w:rPr>
          <w:rFonts w:ascii="Times New Roman" w:hAnsi="Times New Roman" w:cs="Times New Roman"/>
          <w:sz w:val="24"/>
          <w:szCs w:val="24"/>
        </w:rPr>
        <w:t>, 2015;2:17-21.</w:t>
      </w:r>
    </w:p>
    <w:p w14:paraId="129DBE51"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lastRenderedPageBreak/>
        <w:t xml:space="preserve">McPeake S, Smyth JA, Ball HJ. Characterisation of avian pathogenic Escherichia coli (APEC) associated with coli septicaemia compared to faecal isolates from healthy birds. </w:t>
      </w:r>
      <w:r w:rsidRPr="00883FFF">
        <w:rPr>
          <w:rFonts w:ascii="Times New Roman" w:hAnsi="Times New Roman" w:cs="Times New Roman"/>
          <w:i/>
          <w:iCs/>
          <w:sz w:val="24"/>
          <w:szCs w:val="24"/>
        </w:rPr>
        <w:t>Veterinary Microbiology</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2005;110:245</w:t>
      </w:r>
      <w:proofErr w:type="gramEnd"/>
      <w:r w:rsidRPr="00883FFF">
        <w:rPr>
          <w:rFonts w:ascii="Times New Roman" w:hAnsi="Times New Roman" w:cs="Times New Roman"/>
          <w:sz w:val="24"/>
          <w:szCs w:val="24"/>
        </w:rPr>
        <w:t>-253.</w:t>
      </w:r>
    </w:p>
    <w:p w14:paraId="489AF7CD"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Pierson FW. Laboratory techniques for avian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In: </w:t>
      </w:r>
      <w:proofErr w:type="spellStart"/>
      <w:r w:rsidRPr="00883FFF">
        <w:rPr>
          <w:rFonts w:ascii="Times New Roman" w:hAnsi="Times New Roman" w:cs="Times New Roman"/>
          <w:sz w:val="24"/>
          <w:szCs w:val="24"/>
        </w:rPr>
        <w:t>Schalm’s</w:t>
      </w:r>
      <w:proofErr w:type="spellEnd"/>
      <w:r w:rsidRPr="00883FFF">
        <w:rPr>
          <w:rFonts w:ascii="Times New Roman" w:hAnsi="Times New Roman" w:cs="Times New Roman"/>
          <w:sz w:val="24"/>
          <w:szCs w:val="24"/>
        </w:rPr>
        <w:t xml:space="preserve"> Veterinary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5th ed. Lippincott Williams and Wilkins, London, 2000:1145-1146.</w:t>
      </w:r>
    </w:p>
    <w:p w14:paraId="6487F351" w14:textId="6E9D718C" w:rsidR="00722468" w:rsidRPr="00722468" w:rsidRDefault="00722468" w:rsidP="00071A48">
      <w:pPr>
        <w:numPr>
          <w:ilvl w:val="0"/>
          <w:numId w:val="1"/>
        </w:numPr>
        <w:spacing w:after="0" w:line="360" w:lineRule="auto"/>
        <w:jc w:val="both"/>
        <w:rPr>
          <w:rFonts w:ascii="Times New Roman" w:hAnsi="Times New Roman" w:cs="Times New Roman"/>
          <w:sz w:val="24"/>
          <w:szCs w:val="24"/>
          <w:highlight w:val="yellow"/>
        </w:rPr>
      </w:pPr>
      <w:r w:rsidRPr="00722468">
        <w:rPr>
          <w:rFonts w:ascii="Times New Roman" w:hAnsi="Times New Roman" w:cs="Times New Roman"/>
          <w:sz w:val="24"/>
          <w:szCs w:val="24"/>
          <w:highlight w:val="yellow"/>
        </w:rPr>
        <w:t xml:space="preserve">Rahmani, M., Golian, A., </w:t>
      </w:r>
      <w:proofErr w:type="spellStart"/>
      <w:r w:rsidRPr="00722468">
        <w:rPr>
          <w:rFonts w:ascii="Times New Roman" w:hAnsi="Times New Roman" w:cs="Times New Roman"/>
          <w:sz w:val="24"/>
          <w:szCs w:val="24"/>
          <w:highlight w:val="yellow"/>
        </w:rPr>
        <w:t>Kermanshahi</w:t>
      </w:r>
      <w:proofErr w:type="spellEnd"/>
      <w:r w:rsidRPr="00722468">
        <w:rPr>
          <w:rFonts w:ascii="Times New Roman" w:hAnsi="Times New Roman" w:cs="Times New Roman"/>
          <w:sz w:val="24"/>
          <w:szCs w:val="24"/>
          <w:highlight w:val="yellow"/>
        </w:rPr>
        <w:t xml:space="preserve">, H., &amp; Reza Bassami, M. (2018). Effects of curcumin or nanocurcumin on blood biochemical parameters, intestinal morphology and microbial population of broiler chickens reared under normal and cold stress conditions. </w:t>
      </w:r>
      <w:r w:rsidRPr="00722468">
        <w:rPr>
          <w:rFonts w:ascii="Times New Roman" w:hAnsi="Times New Roman" w:cs="Times New Roman"/>
          <w:i/>
          <w:iCs/>
          <w:sz w:val="24"/>
          <w:szCs w:val="24"/>
          <w:highlight w:val="yellow"/>
        </w:rPr>
        <w:t>Journal of Applied Animal Research, 46</w:t>
      </w:r>
      <w:r w:rsidRPr="00722468">
        <w:rPr>
          <w:rFonts w:ascii="Times New Roman" w:hAnsi="Times New Roman" w:cs="Times New Roman"/>
          <w:sz w:val="24"/>
          <w:szCs w:val="24"/>
          <w:highlight w:val="yellow"/>
        </w:rPr>
        <w:t>(1), 200–209.</w:t>
      </w:r>
    </w:p>
    <w:p w14:paraId="7C214D29"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Sahu R, Saxena J. Screening of total phenolic and flavonoid content in conventional and non-conventional species of Curcuma. </w:t>
      </w:r>
      <w:r w:rsidRPr="00883FFF">
        <w:rPr>
          <w:rFonts w:ascii="Times New Roman" w:hAnsi="Times New Roman" w:cs="Times New Roman"/>
          <w:i/>
          <w:iCs/>
          <w:sz w:val="24"/>
          <w:szCs w:val="24"/>
        </w:rPr>
        <w:t>Journal of Pharmacognosy and Phytochemistry</w:t>
      </w:r>
      <w:r w:rsidRPr="00883FFF">
        <w:rPr>
          <w:rFonts w:ascii="Times New Roman" w:hAnsi="Times New Roman" w:cs="Times New Roman"/>
          <w:sz w:val="24"/>
          <w:szCs w:val="24"/>
        </w:rPr>
        <w:t>. 2013;2(1):176-179.</w:t>
      </w:r>
    </w:p>
    <w:p w14:paraId="35802E8E"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hAnsi="Times New Roman" w:cs="Times New Roman"/>
          <w:sz w:val="24"/>
          <w:szCs w:val="24"/>
        </w:rPr>
        <w:t>Sharma VK, Jakhar K, Nehra V, Kumar S. Biochemical studies in experimentally Escherichia coli infected broiler chicken supplemented with neem (</w:t>
      </w:r>
      <w:proofErr w:type="spellStart"/>
      <w:r w:rsidRPr="00071A48">
        <w:rPr>
          <w:rFonts w:ascii="Times New Roman" w:hAnsi="Times New Roman" w:cs="Times New Roman"/>
          <w:sz w:val="24"/>
          <w:szCs w:val="24"/>
        </w:rPr>
        <w:t>Azadirachta</w:t>
      </w:r>
      <w:proofErr w:type="spellEnd"/>
      <w:r w:rsidRPr="00071A48">
        <w:rPr>
          <w:rFonts w:ascii="Times New Roman" w:hAnsi="Times New Roman" w:cs="Times New Roman"/>
          <w:sz w:val="24"/>
          <w:szCs w:val="24"/>
        </w:rPr>
        <w:t xml:space="preserve"> </w:t>
      </w:r>
      <w:proofErr w:type="spellStart"/>
      <w:r w:rsidRPr="00071A48">
        <w:rPr>
          <w:rFonts w:ascii="Times New Roman" w:hAnsi="Times New Roman" w:cs="Times New Roman"/>
          <w:sz w:val="24"/>
          <w:szCs w:val="24"/>
        </w:rPr>
        <w:t>indica</w:t>
      </w:r>
      <w:proofErr w:type="spellEnd"/>
      <w:r w:rsidRPr="00071A48">
        <w:rPr>
          <w:rFonts w:ascii="Times New Roman" w:hAnsi="Times New Roman" w:cs="Times New Roman"/>
          <w:sz w:val="24"/>
          <w:szCs w:val="24"/>
        </w:rPr>
        <w:t xml:space="preserve">) leaf extract. </w:t>
      </w:r>
      <w:r w:rsidRPr="00071A48">
        <w:rPr>
          <w:rFonts w:ascii="Times New Roman" w:hAnsi="Times New Roman" w:cs="Times New Roman"/>
          <w:i/>
          <w:iCs/>
          <w:sz w:val="24"/>
          <w:szCs w:val="24"/>
        </w:rPr>
        <w:t>Veterinary World</w:t>
      </w:r>
      <w:r w:rsidRPr="00071A48">
        <w:rPr>
          <w:rFonts w:ascii="Times New Roman" w:hAnsi="Times New Roman" w:cs="Times New Roman"/>
          <w:sz w:val="24"/>
          <w:szCs w:val="24"/>
        </w:rPr>
        <w:t>. 2015;8(11):1340-1345.</w:t>
      </w:r>
    </w:p>
    <w:p w14:paraId="1C214BA9" w14:textId="15032A73" w:rsidR="00071A48" w:rsidRPr="0072246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071A48">
        <w:rPr>
          <w:rFonts w:ascii="Times New Roman" w:eastAsia="Calibri" w:hAnsi="Times New Roman" w:cs="Times New Roman"/>
          <w:sz w:val="24"/>
          <w:szCs w:val="24"/>
          <w:lang w:bidi="mr-IN"/>
        </w:rPr>
        <w:t>Sugiharto</w:t>
      </w:r>
      <w:proofErr w:type="spellEnd"/>
      <w:r w:rsidRPr="00071A48">
        <w:rPr>
          <w:rFonts w:ascii="Times New Roman" w:eastAsia="Calibri" w:hAnsi="Times New Roman" w:cs="Times New Roman"/>
          <w:sz w:val="24"/>
          <w:szCs w:val="24"/>
          <w:lang w:bidi="mr-IN"/>
        </w:rPr>
        <w:t xml:space="preserve">, I. E. </w:t>
      </w:r>
      <w:proofErr w:type="spellStart"/>
      <w:r w:rsidRPr="00071A48">
        <w:rPr>
          <w:rFonts w:ascii="Times New Roman" w:eastAsia="Calibri" w:hAnsi="Times New Roman" w:cs="Times New Roman"/>
          <w:sz w:val="24"/>
          <w:szCs w:val="24"/>
          <w:lang w:bidi="mr-IN"/>
        </w:rPr>
        <w:t>Widiastuti</w:t>
      </w:r>
      <w:proofErr w:type="spellEnd"/>
      <w:r w:rsidRPr="00071A48">
        <w:rPr>
          <w:rFonts w:ascii="Times New Roman" w:eastAsia="Calibri" w:hAnsi="Times New Roman" w:cs="Times New Roman"/>
          <w:sz w:val="24"/>
          <w:szCs w:val="24"/>
          <w:lang w:bidi="mr-IN"/>
        </w:rPr>
        <w:t xml:space="preserve"> and N.S. Prabowo (2011) Effect of turmeric extract on blood parameters, feed efficiency and abdominal fat content in broilers.</w:t>
      </w:r>
    </w:p>
    <w:p w14:paraId="693DBE12" w14:textId="1A4F0F0F" w:rsidR="00722468" w:rsidRPr="00722468" w:rsidRDefault="00722468" w:rsidP="00071A48">
      <w:pPr>
        <w:numPr>
          <w:ilvl w:val="0"/>
          <w:numId w:val="1"/>
        </w:numPr>
        <w:spacing w:after="0" w:line="360" w:lineRule="auto"/>
        <w:jc w:val="both"/>
        <w:rPr>
          <w:rFonts w:ascii="Times New Roman" w:hAnsi="Times New Roman" w:cs="Times New Roman"/>
          <w:sz w:val="24"/>
          <w:szCs w:val="24"/>
          <w:highlight w:val="yellow"/>
        </w:rPr>
      </w:pPr>
      <w:r w:rsidRPr="00722468">
        <w:rPr>
          <w:rFonts w:ascii="Times New Roman" w:hAnsi="Times New Roman" w:cs="Times New Roman"/>
          <w:sz w:val="24"/>
          <w:szCs w:val="24"/>
          <w:highlight w:val="yellow"/>
        </w:rPr>
        <w:t xml:space="preserve">Zhang, J. F., Hu, Z. P., Lu, C. H., Yang, M. X., Zhang, L. L., &amp; Wang, T. (2015). Dietary curcumin supplementation protects against oxidative stress in broiler chickens challenged with lipopolysaccharide. </w:t>
      </w:r>
      <w:r w:rsidRPr="00722468">
        <w:rPr>
          <w:rFonts w:ascii="Times New Roman" w:hAnsi="Times New Roman" w:cs="Times New Roman"/>
          <w:i/>
          <w:iCs/>
          <w:sz w:val="24"/>
          <w:szCs w:val="24"/>
          <w:highlight w:val="yellow"/>
        </w:rPr>
        <w:t>Animal Feed Science and Technology, 209</w:t>
      </w:r>
      <w:r w:rsidRPr="00722468">
        <w:rPr>
          <w:rFonts w:ascii="Times New Roman" w:hAnsi="Times New Roman" w:cs="Times New Roman"/>
          <w:sz w:val="24"/>
          <w:szCs w:val="24"/>
          <w:highlight w:val="yellow"/>
        </w:rPr>
        <w:t>, 88–97.</w:t>
      </w:r>
    </w:p>
    <w:p w14:paraId="0A6A1DD0" w14:textId="77777777" w:rsidR="00071A48" w:rsidRPr="00071A48" w:rsidRDefault="00071A48" w:rsidP="00071A48">
      <w:pPr>
        <w:spacing w:after="0" w:line="360" w:lineRule="auto"/>
        <w:ind w:left="360"/>
        <w:jc w:val="both"/>
        <w:rPr>
          <w:rFonts w:ascii="Times New Roman" w:hAnsi="Times New Roman" w:cs="Times New Roman"/>
          <w:sz w:val="24"/>
          <w:szCs w:val="24"/>
        </w:rPr>
      </w:pPr>
    </w:p>
    <w:p w14:paraId="44317CE8" w14:textId="77777777" w:rsidR="00071A48" w:rsidRPr="001C0AEB" w:rsidRDefault="00071A48" w:rsidP="00071A48">
      <w:pPr>
        <w:spacing w:after="0" w:line="360" w:lineRule="auto"/>
        <w:jc w:val="both"/>
        <w:rPr>
          <w:rFonts w:ascii="Times New Roman" w:hAnsi="Times New Roman" w:cs="Times New Roman"/>
          <w:sz w:val="24"/>
          <w:szCs w:val="24"/>
        </w:rPr>
      </w:pPr>
    </w:p>
    <w:p w14:paraId="39919DC2" w14:textId="77777777" w:rsidR="00071A48" w:rsidRPr="00883FFF" w:rsidRDefault="00071A48" w:rsidP="00071A48">
      <w:pPr>
        <w:spacing w:after="0" w:line="360" w:lineRule="auto"/>
        <w:jc w:val="both"/>
        <w:rPr>
          <w:rFonts w:ascii="Times New Roman" w:hAnsi="Times New Roman" w:cs="Times New Roman"/>
          <w:sz w:val="24"/>
          <w:szCs w:val="24"/>
        </w:rPr>
      </w:pPr>
    </w:p>
    <w:p w14:paraId="6F85DA44" w14:textId="77777777" w:rsidR="0020420A" w:rsidRDefault="0020420A" w:rsidP="00071A48">
      <w:pPr>
        <w:spacing w:after="0" w:line="360" w:lineRule="auto"/>
      </w:pPr>
    </w:p>
    <w:sectPr w:rsidR="002042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80083" w14:textId="77777777" w:rsidR="00352ECF" w:rsidRDefault="00352ECF" w:rsidP="000935C7">
      <w:pPr>
        <w:spacing w:after="0" w:line="240" w:lineRule="auto"/>
      </w:pPr>
      <w:r>
        <w:separator/>
      </w:r>
    </w:p>
  </w:endnote>
  <w:endnote w:type="continuationSeparator" w:id="0">
    <w:p w14:paraId="01EDE5E0" w14:textId="77777777" w:rsidR="00352ECF" w:rsidRDefault="00352ECF" w:rsidP="0009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245D" w14:textId="77777777" w:rsidR="000935C7" w:rsidRDefault="0009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CF6B" w14:textId="77777777" w:rsidR="000935C7" w:rsidRDefault="00093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2A18" w14:textId="77777777" w:rsidR="000935C7" w:rsidRDefault="0009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1EC7" w14:textId="77777777" w:rsidR="00352ECF" w:rsidRDefault="00352ECF" w:rsidP="000935C7">
      <w:pPr>
        <w:spacing w:after="0" w:line="240" w:lineRule="auto"/>
      </w:pPr>
      <w:r>
        <w:separator/>
      </w:r>
    </w:p>
  </w:footnote>
  <w:footnote w:type="continuationSeparator" w:id="0">
    <w:p w14:paraId="3DEAB8FF" w14:textId="77777777" w:rsidR="00352ECF" w:rsidRDefault="00352ECF" w:rsidP="0009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C1B5" w14:textId="00FB556F" w:rsidR="000935C7" w:rsidRDefault="00352ECF">
    <w:pPr>
      <w:pStyle w:val="Header"/>
    </w:pPr>
    <w:r>
      <w:rPr>
        <w:noProof/>
      </w:rPr>
      <w:pict w14:anchorId="14FE7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2F26" w14:textId="341E3712" w:rsidR="000935C7" w:rsidRDefault="00352ECF">
    <w:pPr>
      <w:pStyle w:val="Header"/>
    </w:pPr>
    <w:r>
      <w:rPr>
        <w:noProof/>
      </w:rPr>
      <w:pict w14:anchorId="08CC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1A52" w14:textId="784244E5" w:rsidR="000935C7" w:rsidRDefault="00352ECF">
    <w:pPr>
      <w:pStyle w:val="Header"/>
    </w:pPr>
    <w:r>
      <w:rPr>
        <w:noProof/>
      </w:rPr>
      <w:pict w14:anchorId="27FE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20F5A"/>
    <w:multiLevelType w:val="multilevel"/>
    <w:tmpl w:val="61F2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A1"/>
    <w:rsid w:val="00034D01"/>
    <w:rsid w:val="00054FA1"/>
    <w:rsid w:val="00071A48"/>
    <w:rsid w:val="00077C32"/>
    <w:rsid w:val="000935C7"/>
    <w:rsid w:val="000B206E"/>
    <w:rsid w:val="001317AA"/>
    <w:rsid w:val="001B74A5"/>
    <w:rsid w:val="001D7C3A"/>
    <w:rsid w:val="0020420A"/>
    <w:rsid w:val="002C1202"/>
    <w:rsid w:val="00352ECF"/>
    <w:rsid w:val="00385696"/>
    <w:rsid w:val="00390DFD"/>
    <w:rsid w:val="004B7BA1"/>
    <w:rsid w:val="00501FAF"/>
    <w:rsid w:val="00665098"/>
    <w:rsid w:val="00670B6E"/>
    <w:rsid w:val="006D7368"/>
    <w:rsid w:val="00722468"/>
    <w:rsid w:val="00737230"/>
    <w:rsid w:val="00786983"/>
    <w:rsid w:val="00794C66"/>
    <w:rsid w:val="007B7596"/>
    <w:rsid w:val="007F36E6"/>
    <w:rsid w:val="0081212D"/>
    <w:rsid w:val="008428AF"/>
    <w:rsid w:val="00875290"/>
    <w:rsid w:val="008F63C5"/>
    <w:rsid w:val="009D75DE"/>
    <w:rsid w:val="00A205A1"/>
    <w:rsid w:val="00AC69FB"/>
    <w:rsid w:val="00B4269B"/>
    <w:rsid w:val="00B554A5"/>
    <w:rsid w:val="00CF0602"/>
    <w:rsid w:val="00D25F2A"/>
    <w:rsid w:val="00EA06FA"/>
    <w:rsid w:val="00EB1036"/>
    <w:rsid w:val="00FA5275"/>
    <w:rsid w:val="00FC202A"/>
    <w:rsid w:val="00FF09A1"/>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5CF81"/>
  <w15:chartTrackingRefBased/>
  <w15:docId w15:val="{CEB6E6E9-4639-480C-9E98-A165F0A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BA1"/>
  </w:style>
  <w:style w:type="paragraph" w:styleId="Heading1">
    <w:name w:val="heading 1"/>
    <w:basedOn w:val="Normal"/>
    <w:next w:val="Normal"/>
    <w:link w:val="Heading1Char"/>
    <w:uiPriority w:val="9"/>
    <w:qFormat/>
    <w:rsid w:val="004B7BA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7BA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B7BA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7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A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7BA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B7BA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7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A1"/>
    <w:rPr>
      <w:rFonts w:eastAsiaTheme="majorEastAsia" w:cstheme="majorBidi"/>
      <w:color w:val="272727" w:themeColor="text1" w:themeTint="D8"/>
    </w:rPr>
  </w:style>
  <w:style w:type="paragraph" w:styleId="Title">
    <w:name w:val="Title"/>
    <w:basedOn w:val="Normal"/>
    <w:next w:val="Normal"/>
    <w:link w:val="TitleChar"/>
    <w:uiPriority w:val="10"/>
    <w:qFormat/>
    <w:rsid w:val="004B7B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7B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7B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7B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7BA1"/>
    <w:pPr>
      <w:spacing w:before="160"/>
      <w:jc w:val="center"/>
    </w:pPr>
    <w:rPr>
      <w:i/>
      <w:iCs/>
      <w:color w:val="404040" w:themeColor="text1" w:themeTint="BF"/>
    </w:rPr>
  </w:style>
  <w:style w:type="character" w:customStyle="1" w:styleId="QuoteChar">
    <w:name w:val="Quote Char"/>
    <w:basedOn w:val="DefaultParagraphFont"/>
    <w:link w:val="Quote"/>
    <w:uiPriority w:val="29"/>
    <w:rsid w:val="004B7BA1"/>
    <w:rPr>
      <w:i/>
      <w:iCs/>
      <w:color w:val="404040" w:themeColor="text1" w:themeTint="BF"/>
    </w:rPr>
  </w:style>
  <w:style w:type="paragraph" w:styleId="ListParagraph">
    <w:name w:val="List Paragraph"/>
    <w:basedOn w:val="Normal"/>
    <w:uiPriority w:val="34"/>
    <w:qFormat/>
    <w:rsid w:val="004B7BA1"/>
    <w:pPr>
      <w:ind w:left="720"/>
      <w:contextualSpacing/>
    </w:pPr>
  </w:style>
  <w:style w:type="character" w:styleId="IntenseEmphasis">
    <w:name w:val="Intense Emphasis"/>
    <w:basedOn w:val="DefaultParagraphFont"/>
    <w:uiPriority w:val="21"/>
    <w:qFormat/>
    <w:rsid w:val="004B7BA1"/>
    <w:rPr>
      <w:i/>
      <w:iCs/>
      <w:color w:val="2F5496" w:themeColor="accent1" w:themeShade="BF"/>
    </w:rPr>
  </w:style>
  <w:style w:type="paragraph" w:styleId="IntenseQuote">
    <w:name w:val="Intense Quote"/>
    <w:basedOn w:val="Normal"/>
    <w:next w:val="Normal"/>
    <w:link w:val="IntenseQuoteChar"/>
    <w:uiPriority w:val="30"/>
    <w:qFormat/>
    <w:rsid w:val="004B7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BA1"/>
    <w:rPr>
      <w:i/>
      <w:iCs/>
      <w:color w:val="2F5496" w:themeColor="accent1" w:themeShade="BF"/>
    </w:rPr>
  </w:style>
  <w:style w:type="character" w:styleId="IntenseReference">
    <w:name w:val="Intense Reference"/>
    <w:basedOn w:val="DefaultParagraphFont"/>
    <w:uiPriority w:val="32"/>
    <w:qFormat/>
    <w:rsid w:val="004B7BA1"/>
    <w:rPr>
      <w:b/>
      <w:bCs/>
      <w:smallCaps/>
      <w:color w:val="2F5496" w:themeColor="accent1" w:themeShade="BF"/>
      <w:spacing w:val="5"/>
    </w:rPr>
  </w:style>
  <w:style w:type="paragraph" w:styleId="BodyText">
    <w:name w:val="Body Text"/>
    <w:basedOn w:val="Normal"/>
    <w:link w:val="BodyTextChar"/>
    <w:uiPriority w:val="1"/>
    <w:qFormat/>
    <w:rsid w:val="004B7BA1"/>
    <w:pPr>
      <w:widowControl w:val="0"/>
      <w:autoSpaceDE w:val="0"/>
      <w:autoSpaceDN w:val="0"/>
      <w:spacing w:after="0" w:line="240" w:lineRule="auto"/>
      <w:ind w:left="23" w:firstLine="71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4B7BA1"/>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B7BA1"/>
    <w:rPr>
      <w:color w:val="0563C1" w:themeColor="hyperlink"/>
      <w:u w:val="single"/>
    </w:rPr>
  </w:style>
  <w:style w:type="character" w:styleId="UnresolvedMention">
    <w:name w:val="Unresolved Mention"/>
    <w:basedOn w:val="DefaultParagraphFont"/>
    <w:uiPriority w:val="99"/>
    <w:semiHidden/>
    <w:unhideWhenUsed/>
    <w:rsid w:val="00034D01"/>
    <w:rPr>
      <w:color w:val="605E5C"/>
      <w:shd w:val="clear" w:color="auto" w:fill="E1DFDD"/>
    </w:rPr>
  </w:style>
  <w:style w:type="paragraph" w:styleId="Header">
    <w:name w:val="header"/>
    <w:basedOn w:val="Normal"/>
    <w:link w:val="HeaderChar"/>
    <w:uiPriority w:val="99"/>
    <w:unhideWhenUsed/>
    <w:rsid w:val="0009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C7"/>
  </w:style>
  <w:style w:type="paragraph" w:styleId="Footer">
    <w:name w:val="footer"/>
    <w:basedOn w:val="Normal"/>
    <w:link w:val="FooterChar"/>
    <w:uiPriority w:val="99"/>
    <w:unhideWhenUsed/>
    <w:rsid w:val="0009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C7"/>
  </w:style>
  <w:style w:type="paragraph" w:styleId="NoSpacing">
    <w:name w:val="No Spacing"/>
    <w:uiPriority w:val="1"/>
    <w:qFormat/>
    <w:rsid w:val="00737230"/>
    <w:pPr>
      <w:spacing w:after="0" w:line="240" w:lineRule="auto"/>
    </w:pPr>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67717967940484"/>
          <c:y val="9.238528373608465E-2"/>
          <c:w val="0.77903533359118737"/>
          <c:h val="0.62145008976454508"/>
        </c:manualLayout>
      </c:layout>
      <c:barChart>
        <c:barDir val="col"/>
        <c:grouping val="clustered"/>
        <c:varyColors val="0"/>
        <c:ser>
          <c:idx val="0"/>
          <c:order val="0"/>
          <c:tx>
            <c:strRef>
              <c:f>'Hb PCV'!$B$10:$B$11</c:f>
              <c:strCache>
                <c:ptCount val="1"/>
                <c:pt idx="0">
                  <c:v>PCV (%)</c:v>
                </c:pt>
              </c:strCache>
            </c:strRef>
          </c:tx>
          <c:invertIfNegative val="0"/>
          <c:errBars>
            <c:errBarType val="plus"/>
            <c:errValType val="cust"/>
            <c:noEndCap val="0"/>
            <c:plus>
              <c:numRef>
                <c:f>'Hb PCV'!$E$4:$E$9</c:f>
                <c:numCache>
                  <c:formatCode>General</c:formatCode>
                  <c:ptCount val="6"/>
                  <c:pt idx="0">
                    <c:v>0.47000000000000008</c:v>
                  </c:pt>
                  <c:pt idx="1">
                    <c:v>0.760000000000005</c:v>
                  </c:pt>
                  <c:pt idx="2">
                    <c:v>0.67000000000000581</c:v>
                  </c:pt>
                  <c:pt idx="3">
                    <c:v>0.73000000000000065</c:v>
                  </c:pt>
                  <c:pt idx="4">
                    <c:v>0.67000000000000581</c:v>
                  </c:pt>
                  <c:pt idx="5">
                    <c:v>0.60000000000000064</c:v>
                  </c:pt>
                </c:numCache>
              </c:numRef>
            </c:plus>
            <c:minus>
              <c:numLit>
                <c:formatCode>General</c:formatCode>
                <c:ptCount val="1"/>
                <c:pt idx="0">
                  <c:v>1</c:v>
                </c:pt>
              </c:numLit>
            </c:minus>
          </c:errBars>
          <c:cat>
            <c:strRef>
              <c:f>'Hb PCV'!$A$12:$A$17</c:f>
              <c:strCache>
                <c:ptCount val="6"/>
                <c:pt idx="0">
                  <c:v>T0</c:v>
                </c:pt>
                <c:pt idx="1">
                  <c:v>T1</c:v>
                </c:pt>
                <c:pt idx="2">
                  <c:v>T2</c:v>
                </c:pt>
                <c:pt idx="3">
                  <c:v>T3</c:v>
                </c:pt>
                <c:pt idx="4">
                  <c:v>T4</c:v>
                </c:pt>
                <c:pt idx="5">
                  <c:v>T5</c:v>
                </c:pt>
              </c:strCache>
            </c:strRef>
          </c:cat>
          <c:val>
            <c:numRef>
              <c:f>'Hb PCV'!$B$12:$B$17</c:f>
              <c:numCache>
                <c:formatCode>General</c:formatCode>
                <c:ptCount val="6"/>
                <c:pt idx="0">
                  <c:v>25.830000000000005</c:v>
                </c:pt>
                <c:pt idx="1">
                  <c:v>27.5</c:v>
                </c:pt>
                <c:pt idx="2">
                  <c:v>25.66</c:v>
                </c:pt>
                <c:pt idx="3">
                  <c:v>25</c:v>
                </c:pt>
                <c:pt idx="4">
                  <c:v>26.5</c:v>
                </c:pt>
                <c:pt idx="5">
                  <c:v>25.830000000000005</c:v>
                </c:pt>
              </c:numCache>
            </c:numRef>
          </c:val>
          <c:extLst>
            <c:ext xmlns:c16="http://schemas.microsoft.com/office/drawing/2014/chart" uri="{C3380CC4-5D6E-409C-BE32-E72D297353CC}">
              <c16:uniqueId val="{00000000-140F-49D1-85C9-3018EFCA9409}"/>
            </c:ext>
          </c:extLst>
        </c:ser>
        <c:dLbls>
          <c:showLegendKey val="0"/>
          <c:showVal val="0"/>
          <c:showCatName val="0"/>
          <c:showSerName val="0"/>
          <c:showPercent val="0"/>
          <c:showBubbleSize val="0"/>
        </c:dLbls>
        <c:gapWidth val="150"/>
        <c:axId val="134451584"/>
        <c:axId val="134466560"/>
      </c:barChart>
      <c:catAx>
        <c:axId val="134451584"/>
        <c:scaling>
          <c:orientation val="minMax"/>
        </c:scaling>
        <c:delete val="0"/>
        <c:axPos val="b"/>
        <c:numFmt formatCode="General" sourceLinked="0"/>
        <c:majorTickMark val="out"/>
        <c:minorTickMark val="none"/>
        <c:tickLblPos val="nextTo"/>
        <c:crossAx val="134466560"/>
        <c:crosses val="autoZero"/>
        <c:auto val="1"/>
        <c:lblAlgn val="ctr"/>
        <c:lblOffset val="100"/>
        <c:noMultiLvlLbl val="0"/>
      </c:catAx>
      <c:valAx>
        <c:axId val="134466560"/>
        <c:scaling>
          <c:orientation val="minMax"/>
        </c:scaling>
        <c:delete val="0"/>
        <c:axPos val="l"/>
        <c:majorGridlines/>
        <c:numFmt formatCode="General" sourceLinked="1"/>
        <c:majorTickMark val="out"/>
        <c:minorTickMark val="none"/>
        <c:tickLblPos val="nextTo"/>
        <c:crossAx val="1344515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48365086821174"/>
          <c:y val="8.2556586114630764E-2"/>
          <c:w val="0.72902000748390061"/>
          <c:h val="0.61712618931870267"/>
        </c:manualLayout>
      </c:layout>
      <c:barChart>
        <c:barDir val="col"/>
        <c:grouping val="clustered"/>
        <c:varyColors val="0"/>
        <c:ser>
          <c:idx val="0"/>
          <c:order val="0"/>
          <c:tx>
            <c:strRef>
              <c:f>'Hb PCV'!$B$1:$B$2</c:f>
              <c:strCache>
                <c:ptCount val="1"/>
                <c:pt idx="0">
                  <c:v>Hb(g/dl)</c:v>
                </c:pt>
              </c:strCache>
            </c:strRef>
          </c:tx>
          <c:invertIfNegative val="0"/>
          <c:errBars>
            <c:errBarType val="plus"/>
            <c:errValType val="cust"/>
            <c:noEndCap val="0"/>
            <c:plus>
              <c:numRef>
                <c:f>'Hb PCV'!$D$4:$D$9</c:f>
                <c:numCache>
                  <c:formatCode>General</c:formatCode>
                  <c:ptCount val="6"/>
                  <c:pt idx="0">
                    <c:v>0.21000000000000021</c:v>
                  </c:pt>
                  <c:pt idx="1">
                    <c:v>0.33000000000000274</c:v>
                  </c:pt>
                  <c:pt idx="2">
                    <c:v>0.42000000000000032</c:v>
                  </c:pt>
                  <c:pt idx="3">
                    <c:v>0.4</c:v>
                  </c:pt>
                  <c:pt idx="4">
                    <c:v>0.4</c:v>
                  </c:pt>
                  <c:pt idx="5">
                    <c:v>0.33000000000000274</c:v>
                  </c:pt>
                </c:numCache>
              </c:numRef>
            </c:plus>
            <c:minus>
              <c:numLit>
                <c:formatCode>General</c:formatCode>
                <c:ptCount val="1"/>
                <c:pt idx="0">
                  <c:v>1</c:v>
                </c:pt>
              </c:numLit>
            </c:minus>
          </c:errBars>
          <c:cat>
            <c:strRef>
              <c:f>'Hb PCV'!$A$3:$A$8</c:f>
              <c:strCache>
                <c:ptCount val="6"/>
                <c:pt idx="0">
                  <c:v>T0</c:v>
                </c:pt>
                <c:pt idx="1">
                  <c:v>T1</c:v>
                </c:pt>
                <c:pt idx="2">
                  <c:v>T2</c:v>
                </c:pt>
                <c:pt idx="3">
                  <c:v>T3</c:v>
                </c:pt>
                <c:pt idx="4">
                  <c:v>T4</c:v>
                </c:pt>
                <c:pt idx="5">
                  <c:v>T5</c:v>
                </c:pt>
              </c:strCache>
            </c:strRef>
          </c:cat>
          <c:val>
            <c:numRef>
              <c:f>'Hb PCV'!$B$3:$B$8</c:f>
              <c:numCache>
                <c:formatCode>General</c:formatCode>
                <c:ptCount val="6"/>
                <c:pt idx="0">
                  <c:v>10.67</c:v>
                </c:pt>
                <c:pt idx="1">
                  <c:v>10.83</c:v>
                </c:pt>
                <c:pt idx="2">
                  <c:v>10.5</c:v>
                </c:pt>
                <c:pt idx="3">
                  <c:v>11.13</c:v>
                </c:pt>
                <c:pt idx="4">
                  <c:v>11.17</c:v>
                </c:pt>
                <c:pt idx="5">
                  <c:v>10.67</c:v>
                </c:pt>
              </c:numCache>
            </c:numRef>
          </c:val>
          <c:extLst>
            <c:ext xmlns:c16="http://schemas.microsoft.com/office/drawing/2014/chart" uri="{C3380CC4-5D6E-409C-BE32-E72D297353CC}">
              <c16:uniqueId val="{00000000-19CE-432C-8887-5B6AD506FEAC}"/>
            </c:ext>
          </c:extLst>
        </c:ser>
        <c:dLbls>
          <c:showLegendKey val="0"/>
          <c:showVal val="0"/>
          <c:showCatName val="0"/>
          <c:showSerName val="0"/>
          <c:showPercent val="0"/>
          <c:showBubbleSize val="0"/>
        </c:dLbls>
        <c:gapWidth val="150"/>
        <c:axId val="134667264"/>
        <c:axId val="134869760"/>
      </c:barChart>
      <c:catAx>
        <c:axId val="134667264"/>
        <c:scaling>
          <c:orientation val="minMax"/>
        </c:scaling>
        <c:delete val="0"/>
        <c:axPos val="b"/>
        <c:numFmt formatCode="General" sourceLinked="0"/>
        <c:majorTickMark val="out"/>
        <c:minorTickMark val="none"/>
        <c:tickLblPos val="nextTo"/>
        <c:crossAx val="134869760"/>
        <c:crosses val="autoZero"/>
        <c:auto val="1"/>
        <c:lblAlgn val="ctr"/>
        <c:lblOffset val="100"/>
        <c:noMultiLvlLbl val="0"/>
      </c:catAx>
      <c:valAx>
        <c:axId val="134869760"/>
        <c:scaling>
          <c:orientation val="minMax"/>
        </c:scaling>
        <c:delete val="0"/>
        <c:axPos val="l"/>
        <c:majorGridlines/>
        <c:numFmt formatCode="General" sourceLinked="1"/>
        <c:majorTickMark val="out"/>
        <c:minorTickMark val="none"/>
        <c:tickLblPos val="nextTo"/>
        <c:crossAx val="13466726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65529688973794"/>
          <c:y val="8.3686367108827334E-2"/>
          <c:w val="0.71206037607346273"/>
          <c:h val="0.67036479458055165"/>
        </c:manualLayout>
      </c:layout>
      <c:barChart>
        <c:barDir val="col"/>
        <c:grouping val="clustered"/>
        <c:varyColors val="0"/>
        <c:ser>
          <c:idx val="0"/>
          <c:order val="0"/>
          <c:tx>
            <c:strRef>
              <c:f>'Hb PCV'!$B$20:$B$21</c:f>
              <c:strCache>
                <c:ptCount val="1"/>
                <c:pt idx="0">
                  <c:v>TEC (10)</c:v>
                </c:pt>
              </c:strCache>
            </c:strRef>
          </c:tx>
          <c:invertIfNegative val="0"/>
          <c:errBars>
            <c:errBarType val="plus"/>
            <c:errValType val="cust"/>
            <c:noEndCap val="0"/>
            <c:plus>
              <c:numRef>
                <c:f>'Hb PCV'!$F$4:$F$9</c:f>
                <c:numCache>
                  <c:formatCode>General</c:formatCode>
                  <c:ptCount val="6"/>
                  <c:pt idx="0">
                    <c:v>0.12000000000000002</c:v>
                  </c:pt>
                  <c:pt idx="1">
                    <c:v>8.0000000000000043E-2</c:v>
                  </c:pt>
                  <c:pt idx="2">
                    <c:v>0.14000000000000001</c:v>
                  </c:pt>
                  <c:pt idx="3">
                    <c:v>0.13</c:v>
                  </c:pt>
                  <c:pt idx="4">
                    <c:v>0.13</c:v>
                  </c:pt>
                  <c:pt idx="5">
                    <c:v>0.14000000000000001</c:v>
                  </c:pt>
                </c:numCache>
              </c:numRef>
            </c:plus>
            <c:minus>
              <c:numLit>
                <c:formatCode>General</c:formatCode>
                <c:ptCount val="1"/>
                <c:pt idx="0">
                  <c:v>1</c:v>
                </c:pt>
              </c:numLit>
            </c:minus>
          </c:errBars>
          <c:cat>
            <c:strRef>
              <c:f>'Hb PCV'!$A$22:$A$27</c:f>
              <c:strCache>
                <c:ptCount val="6"/>
                <c:pt idx="0">
                  <c:v>T0</c:v>
                </c:pt>
                <c:pt idx="1">
                  <c:v>T1</c:v>
                </c:pt>
                <c:pt idx="2">
                  <c:v>T2</c:v>
                </c:pt>
                <c:pt idx="3">
                  <c:v>T3</c:v>
                </c:pt>
                <c:pt idx="4">
                  <c:v>T4</c:v>
                </c:pt>
                <c:pt idx="5">
                  <c:v>T5</c:v>
                </c:pt>
              </c:strCache>
            </c:strRef>
          </c:cat>
          <c:val>
            <c:numRef>
              <c:f>'Hb PCV'!$B$22:$B$27</c:f>
              <c:numCache>
                <c:formatCode>General</c:formatCode>
                <c:ptCount val="6"/>
                <c:pt idx="0">
                  <c:v>2.64</c:v>
                </c:pt>
                <c:pt idx="1">
                  <c:v>3.24</c:v>
                </c:pt>
                <c:pt idx="2">
                  <c:v>3.73</c:v>
                </c:pt>
                <c:pt idx="3">
                  <c:v>3.4499999999999997</c:v>
                </c:pt>
                <c:pt idx="4">
                  <c:v>3.68</c:v>
                </c:pt>
                <c:pt idx="5">
                  <c:v>2.73</c:v>
                </c:pt>
              </c:numCache>
            </c:numRef>
          </c:val>
          <c:extLst>
            <c:ext xmlns:c16="http://schemas.microsoft.com/office/drawing/2014/chart" uri="{C3380CC4-5D6E-409C-BE32-E72D297353CC}">
              <c16:uniqueId val="{00000000-2FCB-4F1D-A83A-4687EA39B168}"/>
            </c:ext>
          </c:extLst>
        </c:ser>
        <c:dLbls>
          <c:showLegendKey val="0"/>
          <c:showVal val="0"/>
          <c:showCatName val="0"/>
          <c:showSerName val="0"/>
          <c:showPercent val="0"/>
          <c:showBubbleSize val="0"/>
        </c:dLbls>
        <c:gapWidth val="150"/>
        <c:axId val="138645888"/>
        <c:axId val="138647424"/>
      </c:barChart>
      <c:catAx>
        <c:axId val="138645888"/>
        <c:scaling>
          <c:orientation val="minMax"/>
        </c:scaling>
        <c:delete val="0"/>
        <c:axPos val="b"/>
        <c:numFmt formatCode="General" sourceLinked="0"/>
        <c:majorTickMark val="out"/>
        <c:minorTickMark val="none"/>
        <c:tickLblPos val="nextTo"/>
        <c:crossAx val="138647424"/>
        <c:crosses val="autoZero"/>
        <c:auto val="1"/>
        <c:lblAlgn val="ctr"/>
        <c:lblOffset val="100"/>
        <c:noMultiLvlLbl val="0"/>
      </c:catAx>
      <c:valAx>
        <c:axId val="138647424"/>
        <c:scaling>
          <c:orientation val="minMax"/>
        </c:scaling>
        <c:delete val="0"/>
        <c:axPos val="l"/>
        <c:majorGridlines/>
        <c:numFmt formatCode="General" sourceLinked="1"/>
        <c:majorTickMark val="out"/>
        <c:minorTickMark val="none"/>
        <c:tickLblPos val="nextTo"/>
        <c:crossAx val="13864588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2183114924538"/>
          <c:y val="7.3283996405496973E-2"/>
          <c:w val="0.73460354034334163"/>
          <c:h val="0.64508033967800849"/>
        </c:manualLayout>
      </c:layout>
      <c:barChart>
        <c:barDir val="col"/>
        <c:grouping val="clustered"/>
        <c:varyColors val="0"/>
        <c:ser>
          <c:idx val="0"/>
          <c:order val="0"/>
          <c:tx>
            <c:strRef>
              <c:f>'Hb PCV'!$B$40</c:f>
              <c:strCache>
                <c:ptCount val="1"/>
                <c:pt idx="0">
                  <c:v>(pg)</c:v>
                </c:pt>
              </c:strCache>
            </c:strRef>
          </c:tx>
          <c:invertIfNegative val="0"/>
          <c:errBars>
            <c:errBarType val="plus"/>
            <c:errValType val="cust"/>
            <c:noEndCap val="0"/>
            <c:plus>
              <c:numRef>
                <c:f>'Hb PCV'!$G$4:$G$9</c:f>
                <c:numCache>
                  <c:formatCode>General</c:formatCode>
                  <c:ptCount val="6"/>
                  <c:pt idx="0">
                    <c:v>4.4700000000000024</c:v>
                  </c:pt>
                  <c:pt idx="1">
                    <c:v>1.9800000000000093</c:v>
                  </c:pt>
                  <c:pt idx="2">
                    <c:v>2.2799999999999998</c:v>
                  </c:pt>
                  <c:pt idx="3">
                    <c:v>2.9299999999999997</c:v>
                  </c:pt>
                  <c:pt idx="4">
                    <c:v>4.07</c:v>
                  </c:pt>
                  <c:pt idx="5">
                    <c:v>5.49</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c:ext xmlns:c16="http://schemas.microsoft.com/office/drawing/2014/chart" uri="{C3380CC4-5D6E-409C-BE32-E72D297353CC}">
              <c16:uniqueId val="{00000000-6AF1-41AC-B46F-7E498345B337}"/>
            </c:ext>
          </c:extLst>
        </c:ser>
        <c:dLbls>
          <c:showLegendKey val="0"/>
          <c:showVal val="0"/>
          <c:showCatName val="0"/>
          <c:showSerName val="0"/>
          <c:showPercent val="0"/>
          <c:showBubbleSize val="0"/>
        </c:dLbls>
        <c:gapWidth val="150"/>
        <c:axId val="137033984"/>
        <c:axId val="137235072"/>
      </c:barChart>
      <c:catAx>
        <c:axId val="137033984"/>
        <c:scaling>
          <c:orientation val="minMax"/>
        </c:scaling>
        <c:delete val="0"/>
        <c:axPos val="b"/>
        <c:numFmt formatCode="General" sourceLinked="0"/>
        <c:majorTickMark val="out"/>
        <c:minorTickMark val="none"/>
        <c:tickLblPos val="nextTo"/>
        <c:crossAx val="137235072"/>
        <c:crosses val="autoZero"/>
        <c:auto val="1"/>
        <c:lblAlgn val="ctr"/>
        <c:lblOffset val="100"/>
        <c:noMultiLvlLbl val="0"/>
      </c:catAx>
      <c:valAx>
        <c:axId val="137235072"/>
        <c:scaling>
          <c:orientation val="minMax"/>
        </c:scaling>
        <c:delete val="0"/>
        <c:axPos val="l"/>
        <c:majorGridlines/>
        <c:numFmt formatCode="General" sourceLinked="1"/>
        <c:majorTickMark val="out"/>
        <c:minorTickMark val="none"/>
        <c:tickLblPos val="nextTo"/>
        <c:crossAx val="1370339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874277114592768"/>
          <c:y val="6.4166748237656474E-2"/>
          <c:w val="0.74889754629708993"/>
          <c:h val="0.61508427149085765"/>
        </c:manualLayout>
      </c:layout>
      <c:barChart>
        <c:barDir val="col"/>
        <c:grouping val="clustered"/>
        <c:varyColors val="0"/>
        <c:ser>
          <c:idx val="0"/>
          <c:order val="0"/>
          <c:invertIfNegative val="0"/>
          <c:errBars>
            <c:errBarType val="plus"/>
            <c:errValType val="cust"/>
            <c:noEndCap val="0"/>
            <c:plus>
              <c:numRef>
                <c:f>'Hb PCV'!$H$4:$H$9</c:f>
                <c:numCache>
                  <c:formatCode>General</c:formatCode>
                  <c:ptCount val="6"/>
                  <c:pt idx="0">
                    <c:v>2.0499999999999998</c:v>
                  </c:pt>
                  <c:pt idx="1">
                    <c:v>1.08</c:v>
                  </c:pt>
                  <c:pt idx="2">
                    <c:v>1.9000000000000001</c:v>
                  </c:pt>
                  <c:pt idx="3">
                    <c:v>1.5</c:v>
                  </c:pt>
                  <c:pt idx="4">
                    <c:v>2.14</c:v>
                  </c:pt>
                  <c:pt idx="5">
                    <c:v>2.5299999999999998</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c:ext xmlns:c16="http://schemas.microsoft.com/office/drawing/2014/chart" uri="{C3380CC4-5D6E-409C-BE32-E72D297353CC}">
              <c16:uniqueId val="{00000000-3CDE-411B-97AE-67DFBA66B220}"/>
            </c:ext>
          </c:extLst>
        </c:ser>
        <c:dLbls>
          <c:showLegendKey val="0"/>
          <c:showVal val="0"/>
          <c:showCatName val="0"/>
          <c:showSerName val="0"/>
          <c:showPercent val="0"/>
          <c:showBubbleSize val="0"/>
        </c:dLbls>
        <c:gapWidth val="150"/>
        <c:axId val="139487488"/>
        <c:axId val="140188288"/>
      </c:barChart>
      <c:catAx>
        <c:axId val="139487488"/>
        <c:scaling>
          <c:orientation val="minMax"/>
        </c:scaling>
        <c:delete val="0"/>
        <c:axPos val="b"/>
        <c:numFmt formatCode="General" sourceLinked="0"/>
        <c:majorTickMark val="out"/>
        <c:minorTickMark val="none"/>
        <c:tickLblPos val="nextTo"/>
        <c:crossAx val="140188288"/>
        <c:crosses val="autoZero"/>
        <c:auto val="1"/>
        <c:lblAlgn val="ctr"/>
        <c:lblOffset val="100"/>
        <c:noMultiLvlLbl val="0"/>
      </c:catAx>
      <c:valAx>
        <c:axId val="140188288"/>
        <c:scaling>
          <c:orientation val="minMax"/>
        </c:scaling>
        <c:delete val="0"/>
        <c:axPos val="l"/>
        <c:majorGridlines/>
        <c:numFmt formatCode="General" sourceLinked="1"/>
        <c:majorTickMark val="out"/>
        <c:minorTickMark val="none"/>
        <c:tickLblPos val="nextTo"/>
        <c:crossAx val="13948748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896347273015871"/>
          <c:y val="5.9932629878755798E-2"/>
          <c:w val="0.731858594723102"/>
          <c:h val="0.64481840110287791"/>
        </c:manualLayout>
      </c:layout>
      <c:barChart>
        <c:barDir val="col"/>
        <c:grouping val="clustered"/>
        <c:varyColors val="0"/>
        <c:ser>
          <c:idx val="0"/>
          <c:order val="0"/>
          <c:invertIfNegative val="0"/>
          <c:errBars>
            <c:errBarType val="plus"/>
            <c:errValType val="cust"/>
            <c:noEndCap val="0"/>
            <c:plus>
              <c:numRef>
                <c:f>'Hb PCV'!$I$4:$I$9</c:f>
                <c:numCache>
                  <c:formatCode>General</c:formatCode>
                  <c:ptCount val="6"/>
                  <c:pt idx="0">
                    <c:v>0.3900000000000024</c:v>
                  </c:pt>
                  <c:pt idx="1">
                    <c:v>1.82</c:v>
                  </c:pt>
                  <c:pt idx="2">
                    <c:v>1.9600000000000084</c:v>
                  </c:pt>
                  <c:pt idx="3">
                    <c:v>0.8</c:v>
                  </c:pt>
                  <c:pt idx="4">
                    <c:v>2.75</c:v>
                  </c:pt>
                  <c:pt idx="5">
                    <c:v>0.49000000000000032</c:v>
                  </c:pt>
                </c:numCache>
              </c:numRef>
            </c:plus>
            <c:minus>
              <c:numLit>
                <c:formatCode>General</c:formatCode>
                <c:ptCount val="1"/>
                <c:pt idx="0">
                  <c:v>1</c:v>
                </c:pt>
              </c:numLit>
            </c:minus>
          </c:errBars>
          <c:cat>
            <c:strRef>
              <c:f>'Hb PCV'!$A$50:$A$55</c:f>
              <c:strCache>
                <c:ptCount val="6"/>
                <c:pt idx="0">
                  <c:v>T0</c:v>
                </c:pt>
                <c:pt idx="1">
                  <c:v>T1</c:v>
                </c:pt>
                <c:pt idx="2">
                  <c:v>T2</c:v>
                </c:pt>
                <c:pt idx="3">
                  <c:v>T3</c:v>
                </c:pt>
                <c:pt idx="4">
                  <c:v>T4</c:v>
                </c:pt>
                <c:pt idx="5">
                  <c:v>T5</c:v>
                </c:pt>
              </c:strCache>
            </c:strRef>
          </c:cat>
          <c:val>
            <c:numRef>
              <c:f>'Hb PCV'!$B$50:$B$55</c:f>
              <c:numCache>
                <c:formatCode>General</c:formatCode>
                <c:ptCount val="6"/>
                <c:pt idx="0">
                  <c:v>41.290000000000013</c:v>
                </c:pt>
                <c:pt idx="1">
                  <c:v>37.770000000000003</c:v>
                </c:pt>
                <c:pt idx="2">
                  <c:v>41.06</c:v>
                </c:pt>
                <c:pt idx="3">
                  <c:v>43.25</c:v>
                </c:pt>
                <c:pt idx="4">
                  <c:v>42.1</c:v>
                </c:pt>
                <c:pt idx="5">
                  <c:v>41.260000000000012</c:v>
                </c:pt>
              </c:numCache>
            </c:numRef>
          </c:val>
          <c:extLst>
            <c:ext xmlns:c16="http://schemas.microsoft.com/office/drawing/2014/chart" uri="{C3380CC4-5D6E-409C-BE32-E72D297353CC}">
              <c16:uniqueId val="{00000000-1A80-4F78-94DE-A3DCEF24EAEE}"/>
            </c:ext>
          </c:extLst>
        </c:ser>
        <c:dLbls>
          <c:showLegendKey val="0"/>
          <c:showVal val="0"/>
          <c:showCatName val="0"/>
          <c:showSerName val="0"/>
          <c:showPercent val="0"/>
          <c:showBubbleSize val="0"/>
        </c:dLbls>
        <c:gapWidth val="150"/>
        <c:axId val="139236480"/>
        <c:axId val="139238016"/>
      </c:barChart>
      <c:catAx>
        <c:axId val="139236480"/>
        <c:scaling>
          <c:orientation val="minMax"/>
        </c:scaling>
        <c:delete val="0"/>
        <c:axPos val="b"/>
        <c:numFmt formatCode="General" sourceLinked="0"/>
        <c:majorTickMark val="out"/>
        <c:minorTickMark val="none"/>
        <c:tickLblPos val="nextTo"/>
        <c:crossAx val="139238016"/>
        <c:crosses val="autoZero"/>
        <c:auto val="1"/>
        <c:lblAlgn val="ctr"/>
        <c:lblOffset val="100"/>
        <c:noMultiLvlLbl val="0"/>
      </c:catAx>
      <c:valAx>
        <c:axId val="139238016"/>
        <c:scaling>
          <c:orientation val="minMax"/>
        </c:scaling>
        <c:delete val="0"/>
        <c:axPos val="l"/>
        <c:majorGridlines/>
        <c:numFmt formatCode="General" sourceLinked="1"/>
        <c:majorTickMark val="out"/>
        <c:minorTickMark val="none"/>
        <c:tickLblPos val="nextTo"/>
        <c:crossAx val="139236480"/>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0.02009</cdr:x>
      <cdr:y>0.24138</cdr:y>
    </cdr:from>
    <cdr:to>
      <cdr:x>0.13015</cdr:x>
      <cdr:y>0.64655</cdr:y>
    </cdr:to>
    <cdr:sp macro="" textlink="">
      <cdr:nvSpPr>
        <cdr:cNvPr id="3" name="TextBox 2"/>
        <cdr:cNvSpPr txBox="1"/>
      </cdr:nvSpPr>
      <cdr:spPr>
        <a:xfrm xmlns:a="http://schemas.openxmlformats.org/drawingml/2006/main" rot="16200000">
          <a:off x="-181678" y="673572"/>
          <a:ext cx="740924" cy="27658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PCV</a:t>
          </a:r>
          <a:r>
            <a:rPr lang="en-US" sz="800" b="1" baseline="0">
              <a:latin typeface="Arial" pitchFamily="34" charset="0"/>
              <a:cs typeface="Arial" pitchFamily="34" charset="0"/>
            </a:rPr>
            <a:t> (%)</a:t>
          </a:r>
          <a:endParaRPr lang="en-US" sz="800" b="1">
            <a:latin typeface="Arial" pitchFamily="34" charset="0"/>
            <a:cs typeface="Arial" pitchFamily="34" charset="0"/>
          </a:endParaRPr>
        </a:p>
      </cdr:txBody>
    </cdr:sp>
  </cdr:relSizeAnchor>
  <cdr:relSizeAnchor xmlns:cdr="http://schemas.openxmlformats.org/drawingml/2006/chartDrawing">
    <cdr:from>
      <cdr:x>0.2189</cdr:x>
      <cdr:y>0.84774</cdr:y>
    </cdr:from>
    <cdr:to>
      <cdr:x>0.93589</cdr:x>
      <cdr:y>0.97274</cdr:y>
    </cdr:to>
    <cdr:sp macro="" textlink="">
      <cdr:nvSpPr>
        <cdr:cNvPr id="4" name="TextBox 3"/>
        <cdr:cNvSpPr txBox="1"/>
      </cdr:nvSpPr>
      <cdr:spPr>
        <a:xfrm xmlns:a="http://schemas.openxmlformats.org/drawingml/2006/main">
          <a:off x="550111" y="1550231"/>
          <a:ext cx="1801850" cy="2285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0.237</cdr:y>
    </cdr:from>
    <cdr:to>
      <cdr:x>0.0699</cdr:x>
      <cdr:y>0.67424</cdr:y>
    </cdr:to>
    <cdr:sp macro="" textlink="">
      <cdr:nvSpPr>
        <cdr:cNvPr id="2" name="TextBox 1"/>
        <cdr:cNvSpPr txBox="1"/>
      </cdr:nvSpPr>
      <cdr:spPr>
        <a:xfrm xmlns:a="http://schemas.openxmlformats.org/drawingml/2006/main" rot="16200000">
          <a:off x="-314091" y="745373"/>
          <a:ext cx="799571" cy="1756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Hb (g/dl)</a:t>
          </a:r>
        </a:p>
      </cdr:txBody>
    </cdr:sp>
  </cdr:relSizeAnchor>
  <cdr:relSizeAnchor xmlns:cdr="http://schemas.openxmlformats.org/drawingml/2006/chartDrawing">
    <cdr:from>
      <cdr:x>0.28623</cdr:x>
      <cdr:y>0.87639</cdr:y>
    </cdr:from>
    <cdr:to>
      <cdr:x>0.77662</cdr:x>
      <cdr:y>0.98322</cdr:y>
    </cdr:to>
    <cdr:sp macro="" textlink="">
      <cdr:nvSpPr>
        <cdr:cNvPr id="3" name="TextBox 2"/>
        <cdr:cNvSpPr txBox="1"/>
      </cdr:nvSpPr>
      <cdr:spPr>
        <a:xfrm xmlns:a="http://schemas.openxmlformats.org/drawingml/2006/main">
          <a:off x="719130" y="1602634"/>
          <a:ext cx="1232076" cy="1953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0.02812</cdr:x>
      <cdr:y>0.33316</cdr:y>
    </cdr:from>
    <cdr:to>
      <cdr:x>0.13079</cdr:x>
      <cdr:y>0.60455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8421" y="728332"/>
          <a:ext cx="496284" cy="258083"/>
        </a:xfrm>
        <a:prstGeom xmlns:a="http://schemas.openxmlformats.org/drawingml/2006/main" prst="rect">
          <a:avLst/>
        </a:prstGeom>
      </cdr:spPr>
    </cdr:pic>
  </cdr:relSizeAnchor>
  <cdr:relSizeAnchor xmlns:cdr="http://schemas.openxmlformats.org/drawingml/2006/chartDrawing">
    <cdr:from>
      <cdr:x>0.18435</cdr:x>
      <cdr:y>0.88475</cdr:y>
    </cdr:from>
    <cdr:to>
      <cdr:x>0.86724</cdr:x>
      <cdr:y>1</cdr:y>
    </cdr:to>
    <cdr:sp macro="" textlink="">
      <cdr:nvSpPr>
        <cdr:cNvPr id="5" name="TextBox 4"/>
        <cdr:cNvSpPr txBox="1"/>
      </cdr:nvSpPr>
      <cdr:spPr>
        <a:xfrm xmlns:a="http://schemas.openxmlformats.org/drawingml/2006/main">
          <a:off x="463394" y="1618045"/>
          <a:ext cx="1716604" cy="2107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0.03424</cdr:x>
      <cdr:y>0.26412</cdr:y>
    </cdr:from>
    <cdr:to>
      <cdr:x>0.28181</cdr:x>
      <cdr:y>0.69857</cdr:y>
    </cdr:to>
    <cdr:sp macro="" textlink="">
      <cdr:nvSpPr>
        <cdr:cNvPr id="2" name="TextBox 1"/>
        <cdr:cNvSpPr txBox="1"/>
      </cdr:nvSpPr>
      <cdr:spPr>
        <a:xfrm xmlns:a="http://schemas.openxmlformats.org/drawingml/2006/main" rot="16200000">
          <a:off x="0" y="569051"/>
          <a:ext cx="794457" cy="6223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MCV</a:t>
          </a:r>
          <a:r>
            <a:rPr lang="en-US" sz="800" b="1" baseline="0">
              <a:latin typeface="Arial" pitchFamily="34" charset="0"/>
              <a:cs typeface="Arial" pitchFamily="34" charset="0"/>
            </a:rPr>
            <a:t> (FL)</a:t>
          </a:r>
          <a:endParaRPr lang="en-US" sz="800" b="1">
            <a:latin typeface="Arial" pitchFamily="34" charset="0"/>
            <a:cs typeface="Arial" pitchFamily="34" charset="0"/>
          </a:endParaRPr>
        </a:p>
      </cdr:txBody>
    </cdr:sp>
  </cdr:relSizeAnchor>
  <cdr:relSizeAnchor xmlns:cdr="http://schemas.openxmlformats.org/drawingml/2006/chartDrawing">
    <cdr:from>
      <cdr:x>0.19774</cdr:x>
      <cdr:y>0.89564</cdr:y>
    </cdr:from>
    <cdr:to>
      <cdr:x>0.82922</cdr:x>
      <cdr:y>0.97159</cdr:y>
    </cdr:to>
    <cdr:sp macro="" textlink="">
      <cdr:nvSpPr>
        <cdr:cNvPr id="3" name="TextBox 2"/>
        <cdr:cNvSpPr txBox="1"/>
      </cdr:nvSpPr>
      <cdr:spPr>
        <a:xfrm xmlns:a="http://schemas.openxmlformats.org/drawingml/2006/main">
          <a:off x="497054" y="1637836"/>
          <a:ext cx="1587358" cy="1388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0.1044</cdr:x>
      <cdr:y>0.75306</cdr:y>
    </cdr:to>
    <cdr:sp macro="" textlink="">
      <cdr:nvSpPr>
        <cdr:cNvPr id="4" name="TextBox 1"/>
        <cdr:cNvSpPr txBox="1"/>
      </cdr:nvSpPr>
      <cdr:spPr>
        <a:xfrm xmlns:a="http://schemas.openxmlformats.org/drawingml/2006/main" rot="16200000">
          <a:off x="-687341" y="687341"/>
          <a:ext cx="1628246" cy="2535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a:latin typeface="Arial" pitchFamily="34" charset="0"/>
              <a:cs typeface="Arial" pitchFamily="34" charset="0"/>
            </a:rPr>
            <a:t>MCH (pg)</a:t>
          </a:r>
        </a:p>
      </cdr:txBody>
    </cdr:sp>
  </cdr:relSizeAnchor>
  <cdr:relSizeAnchor xmlns:cdr="http://schemas.openxmlformats.org/drawingml/2006/chartDrawing">
    <cdr:from>
      <cdr:x>0.2425</cdr:x>
      <cdr:y>0.87696</cdr:y>
    </cdr:from>
    <cdr:to>
      <cdr:x>0.80922</cdr:x>
      <cdr:y>0.97388</cdr:y>
    </cdr:to>
    <cdr:sp macro="" textlink="">
      <cdr:nvSpPr>
        <cdr:cNvPr id="5" name="TextBox 4"/>
        <cdr:cNvSpPr txBox="1"/>
      </cdr:nvSpPr>
      <cdr:spPr>
        <a:xfrm xmlns:a="http://schemas.openxmlformats.org/drawingml/2006/main">
          <a:off x="609577" y="1603668"/>
          <a:ext cx="1424566" cy="1772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0.06032</cdr:x>
      <cdr:y>0.33198</cdr:y>
    </cdr:from>
    <cdr:to>
      <cdr:x>0.18095</cdr:x>
      <cdr:y>0.45749</cdr:y>
    </cdr:to>
    <cdr:sp macro="" textlink="">
      <cdr:nvSpPr>
        <cdr:cNvPr id="2" name="TextBox 1"/>
        <cdr:cNvSpPr txBox="1"/>
      </cdr:nvSpPr>
      <cdr:spPr>
        <a:xfrm xmlns:a="http://schemas.openxmlformats.org/drawingml/2006/main">
          <a:off x="180975" y="781050"/>
          <a:ext cx="361950"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0.0995</cdr:y>
    </cdr:from>
    <cdr:to>
      <cdr:x>0.15623</cdr:x>
      <cdr:y>0.62626</cdr:y>
    </cdr:to>
    <cdr:sp macro="" textlink="">
      <cdr:nvSpPr>
        <cdr:cNvPr id="4" name="TextBox 1"/>
        <cdr:cNvSpPr txBox="1"/>
      </cdr:nvSpPr>
      <cdr:spPr>
        <a:xfrm xmlns:a="http://schemas.openxmlformats.org/drawingml/2006/main" rot="16200000">
          <a:off x="-448785" y="467225"/>
          <a:ext cx="963278" cy="392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b="1">
              <a:latin typeface="Arial" pitchFamily="34" charset="0"/>
              <a:cs typeface="Arial" pitchFamily="34" charset="0"/>
            </a:rPr>
            <a:t>MCHC (gm/dl)</a:t>
          </a:r>
        </a:p>
      </cdr:txBody>
    </cdr:sp>
  </cdr:relSizeAnchor>
  <cdr:relSizeAnchor xmlns:cdr="http://schemas.openxmlformats.org/drawingml/2006/chartDrawing">
    <cdr:from>
      <cdr:x>0.29465</cdr:x>
      <cdr:y>0.8883</cdr:y>
    </cdr:from>
    <cdr:to>
      <cdr:x>0.7518</cdr:x>
      <cdr:y>0.97402</cdr:y>
    </cdr:to>
    <cdr:sp macro="" textlink="">
      <cdr:nvSpPr>
        <cdr:cNvPr id="5" name="TextBox 4"/>
        <cdr:cNvSpPr txBox="1"/>
      </cdr:nvSpPr>
      <cdr:spPr>
        <a:xfrm xmlns:a="http://schemas.openxmlformats.org/drawingml/2006/main">
          <a:off x="740672" y="1624406"/>
          <a:ext cx="1149143" cy="1567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122</TotalTime>
  <Pages>10</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SDI 1089</cp:lastModifiedBy>
  <cp:revision>29</cp:revision>
  <dcterms:created xsi:type="dcterms:W3CDTF">2026-01-21T15:32:00Z</dcterms:created>
  <dcterms:modified xsi:type="dcterms:W3CDTF">2026-01-29T07:02:00Z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70a6b727-0a79-4c86-9f3f-873ff9c52ff6</vt:lpwstr>
  </property>
</Properties>
</file>