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A1846" w14:textId="50B6C0FD" w:rsidR="008F63C5" w:rsidRDefault="008F63C5" w:rsidP="008F63C5">
      <w:pPr>
        <w:spacing w:line="276" w:lineRule="auto"/>
        <w:jc w:val="center"/>
        <w:rPr>
          <w:rFonts w:ascii="Times New Roman" w:hAnsi="Times New Roman" w:cs="Times New Roman"/>
          <w:b/>
          <w:bCs/>
          <w:sz w:val="28"/>
          <w:szCs w:val="36"/>
        </w:rPr>
      </w:pPr>
      <w:r w:rsidRPr="008F63C5">
        <w:rPr>
          <w:rFonts w:ascii="Times New Roman" w:hAnsi="Times New Roman" w:cs="Times New Roman"/>
          <w:b/>
          <w:bCs/>
          <w:sz w:val="28"/>
          <w:szCs w:val="36"/>
        </w:rPr>
        <w:t xml:space="preserve">The Effect of Curcumin Supplementation in </w:t>
      </w:r>
      <w:r w:rsidRPr="008F63C5">
        <w:rPr>
          <w:rFonts w:ascii="Times New Roman" w:hAnsi="Times New Roman" w:cs="Times New Roman"/>
          <w:b/>
          <w:bCs/>
          <w:i/>
          <w:iCs/>
          <w:sz w:val="28"/>
          <w:szCs w:val="36"/>
        </w:rPr>
        <w:t>Escherichia coli</w:t>
      </w:r>
      <w:r w:rsidRPr="008F63C5">
        <w:rPr>
          <w:rFonts w:ascii="Times New Roman" w:hAnsi="Times New Roman" w:cs="Times New Roman"/>
          <w:b/>
          <w:bCs/>
          <w:sz w:val="28"/>
          <w:szCs w:val="36"/>
        </w:rPr>
        <w:t>–Infected Broiler Chickens on Haematological indices.</w:t>
      </w:r>
    </w:p>
    <w:p w14:paraId="31DE1E59" w14:textId="77777777" w:rsidR="007F36E6" w:rsidRPr="008F63C5" w:rsidRDefault="007F36E6" w:rsidP="008F63C5">
      <w:pPr>
        <w:spacing w:line="276" w:lineRule="auto"/>
        <w:jc w:val="center"/>
        <w:rPr>
          <w:rFonts w:ascii="Times New Roman" w:hAnsi="Times New Roman" w:cs="Times New Roman"/>
          <w:b/>
          <w:bCs/>
          <w:sz w:val="28"/>
          <w:szCs w:val="36"/>
        </w:rPr>
      </w:pPr>
      <w:bookmarkStart w:id="0" w:name="_GoBack"/>
      <w:bookmarkEnd w:id="0"/>
    </w:p>
    <w:p w14:paraId="5FF1C968" w14:textId="77777777" w:rsidR="004B7BA1" w:rsidRPr="001C0AEB" w:rsidRDefault="004B7BA1" w:rsidP="004B7BA1">
      <w:pPr>
        <w:spacing w:after="0" w:line="360" w:lineRule="auto"/>
        <w:jc w:val="center"/>
        <w:rPr>
          <w:rFonts w:ascii="Times New Roman" w:hAnsi="Times New Roman" w:cs="Times New Roman"/>
          <w:sz w:val="24"/>
          <w:szCs w:val="24"/>
        </w:rPr>
      </w:pPr>
    </w:p>
    <w:p w14:paraId="59C88421" w14:textId="77777777" w:rsidR="004B7BA1" w:rsidRPr="00733B26" w:rsidRDefault="004B7BA1" w:rsidP="004B7BA1">
      <w:pPr>
        <w:spacing w:after="0" w:line="360" w:lineRule="auto"/>
        <w:jc w:val="both"/>
        <w:rPr>
          <w:rFonts w:ascii="Times New Roman" w:hAnsi="Times New Roman" w:cs="Times New Roman"/>
          <w:b/>
          <w:bCs/>
          <w:sz w:val="24"/>
          <w:szCs w:val="24"/>
        </w:rPr>
      </w:pPr>
      <w:r w:rsidRPr="00733B26">
        <w:rPr>
          <w:rFonts w:ascii="Times New Roman" w:hAnsi="Times New Roman" w:cs="Times New Roman"/>
          <w:b/>
          <w:bCs/>
          <w:sz w:val="24"/>
          <w:szCs w:val="24"/>
        </w:rPr>
        <w:t xml:space="preserve">Abstract  </w:t>
      </w:r>
    </w:p>
    <w:p w14:paraId="1AB30351" w14:textId="77777777" w:rsidR="008F63C5" w:rsidRDefault="008F63C5" w:rsidP="006D7368">
      <w:pPr>
        <w:jc w:val="both"/>
        <w:rPr>
          <w:rFonts w:ascii="Times New Roman" w:hAnsi="Times New Roman" w:cs="Times New Roman"/>
          <w:sz w:val="24"/>
          <w:szCs w:val="24"/>
        </w:rPr>
      </w:pPr>
      <w:r w:rsidRPr="008F63C5">
        <w:rPr>
          <w:rFonts w:ascii="Times New Roman" w:hAnsi="Times New Roman" w:cs="Times New Roman"/>
          <w:sz w:val="24"/>
          <w:szCs w:val="24"/>
        </w:rPr>
        <w:t xml:space="preserve">The purpose of this research work was to determine the effect of curcumin on the </w:t>
      </w:r>
      <w:proofErr w:type="spellStart"/>
      <w:r w:rsidRPr="008F63C5">
        <w:rPr>
          <w:rFonts w:ascii="Times New Roman" w:hAnsi="Times New Roman" w:cs="Times New Roman"/>
          <w:sz w:val="24"/>
          <w:szCs w:val="24"/>
        </w:rPr>
        <w:t>hematological</w:t>
      </w:r>
      <w:proofErr w:type="spellEnd"/>
      <w:r w:rsidRPr="008F63C5">
        <w:rPr>
          <w:rFonts w:ascii="Times New Roman" w:hAnsi="Times New Roman" w:cs="Times New Roman"/>
          <w:sz w:val="24"/>
          <w:szCs w:val="24"/>
        </w:rPr>
        <w:t xml:space="preserve"> values of broilers chicken affected by Escherichia coli. There </w:t>
      </w:r>
      <w:proofErr w:type="gramStart"/>
      <w:r w:rsidRPr="008F63C5">
        <w:rPr>
          <w:rFonts w:ascii="Times New Roman" w:hAnsi="Times New Roman" w:cs="Times New Roman"/>
          <w:sz w:val="24"/>
          <w:szCs w:val="24"/>
        </w:rPr>
        <w:t>were</w:t>
      </w:r>
      <w:proofErr w:type="gramEnd"/>
      <w:r w:rsidRPr="008F63C5">
        <w:rPr>
          <w:rFonts w:ascii="Times New Roman" w:hAnsi="Times New Roman" w:cs="Times New Roman"/>
          <w:sz w:val="24"/>
          <w:szCs w:val="24"/>
        </w:rPr>
        <w:t xml:space="preserve"> a total of ninety broiler chickens which were randomly subdivided into six experimental groups. Group I was the control group, which was not infected with E. coli, Group II was the E. coli-infected group, Group III and Group IV were the groups to which the curcumin supplement was applied to prevent and cure E. coli infection at 200 mg/kg and 400 mg/kg of feed, respectively, Group V was treated with the antibiotic cephalexin and Group VI was the group that was treated with curcumin alone as a measure of its inherent effect. The E. coli-infested groups differed significantly with the control groups in the mean corpuscular volume (MCV), mean corpuscular </w:t>
      </w:r>
      <w:proofErr w:type="spellStart"/>
      <w:r w:rsidRPr="008F63C5">
        <w:rPr>
          <w:rFonts w:ascii="Times New Roman" w:hAnsi="Times New Roman" w:cs="Times New Roman"/>
          <w:sz w:val="24"/>
          <w:szCs w:val="24"/>
        </w:rPr>
        <w:t>hemoglobin</w:t>
      </w:r>
      <w:proofErr w:type="spellEnd"/>
      <w:r w:rsidRPr="008F63C5">
        <w:rPr>
          <w:rFonts w:ascii="Times New Roman" w:hAnsi="Times New Roman" w:cs="Times New Roman"/>
          <w:sz w:val="24"/>
          <w:szCs w:val="24"/>
        </w:rPr>
        <w:t xml:space="preserve"> (MCH), total erythrocyte count (TEC), and total leukocyte count (TLC). This curcumin supplementation was also observed to overcome these changes in </w:t>
      </w:r>
      <w:proofErr w:type="spellStart"/>
      <w:r w:rsidRPr="008F63C5">
        <w:rPr>
          <w:rFonts w:ascii="Times New Roman" w:hAnsi="Times New Roman" w:cs="Times New Roman"/>
          <w:sz w:val="24"/>
          <w:szCs w:val="24"/>
        </w:rPr>
        <w:t>hematology</w:t>
      </w:r>
      <w:proofErr w:type="spellEnd"/>
      <w:r w:rsidRPr="008F63C5">
        <w:rPr>
          <w:rFonts w:ascii="Times New Roman" w:hAnsi="Times New Roman" w:cs="Times New Roman"/>
          <w:sz w:val="24"/>
          <w:szCs w:val="24"/>
        </w:rPr>
        <w:t xml:space="preserve"> and therefore proved effective protection of curcumin against the effects of E. coli infection on blood homeostasis. This paper suggests that curcumin would make a good natural substitute of antibiotics in poultry to enhance immune system and the overall health.</w:t>
      </w:r>
    </w:p>
    <w:p w14:paraId="1AE22015" w14:textId="6FAEA9BF" w:rsidR="004B7BA1" w:rsidRPr="006D7368" w:rsidRDefault="004B7BA1" w:rsidP="006D7368">
      <w:pPr>
        <w:jc w:val="both"/>
        <w:rPr>
          <w:rFonts w:ascii="Times New Roman" w:hAnsi="Times New Roman" w:cs="Times New Roman"/>
          <w:sz w:val="24"/>
          <w:szCs w:val="24"/>
          <w:lang w:val="en-GB"/>
        </w:rPr>
      </w:pPr>
      <w:r w:rsidRPr="006D7368">
        <w:rPr>
          <w:rFonts w:ascii="Times New Roman" w:hAnsi="Times New Roman" w:cs="Times New Roman"/>
          <w:b/>
          <w:bCs/>
          <w:sz w:val="24"/>
          <w:szCs w:val="24"/>
        </w:rPr>
        <w:t>Keywords:</w:t>
      </w:r>
      <w:r w:rsidRPr="006D7368">
        <w:rPr>
          <w:rFonts w:ascii="Times New Roman" w:hAnsi="Times New Roman" w:cs="Times New Roman"/>
          <w:sz w:val="24"/>
          <w:szCs w:val="24"/>
        </w:rPr>
        <w:t xml:space="preserve"> Curcumin, </w:t>
      </w:r>
      <w:r w:rsidR="00390DFD" w:rsidRPr="006D7368">
        <w:rPr>
          <w:rFonts w:ascii="Times New Roman" w:hAnsi="Times New Roman" w:cs="Times New Roman"/>
          <w:sz w:val="24"/>
          <w:szCs w:val="24"/>
          <w:lang w:val="en-GB"/>
        </w:rPr>
        <w:t xml:space="preserve">broiler chickens, </w:t>
      </w:r>
      <w:proofErr w:type="spellStart"/>
      <w:r w:rsidR="00390DFD" w:rsidRPr="006D7368">
        <w:rPr>
          <w:rFonts w:ascii="Times New Roman" w:hAnsi="Times New Roman" w:cs="Times New Roman"/>
          <w:sz w:val="24"/>
          <w:szCs w:val="24"/>
          <w:lang w:val="en-GB"/>
        </w:rPr>
        <w:t>hematology</w:t>
      </w:r>
      <w:proofErr w:type="spellEnd"/>
      <w:r w:rsidR="00390DFD" w:rsidRPr="006D7368">
        <w:rPr>
          <w:rFonts w:ascii="Times New Roman" w:hAnsi="Times New Roman" w:cs="Times New Roman"/>
          <w:sz w:val="24"/>
          <w:szCs w:val="24"/>
          <w:lang w:val="en-GB"/>
        </w:rPr>
        <w:t>, colibacillosis and phytogenic feed additives.</w:t>
      </w:r>
    </w:p>
    <w:p w14:paraId="6FF594AD" w14:textId="77777777" w:rsidR="004B7BA1" w:rsidRPr="00733B26" w:rsidRDefault="004B7BA1" w:rsidP="004B7BA1">
      <w:pPr>
        <w:spacing w:after="0" w:line="360" w:lineRule="auto"/>
        <w:jc w:val="both"/>
        <w:rPr>
          <w:rFonts w:ascii="Times New Roman" w:hAnsi="Times New Roman" w:cs="Times New Roman"/>
          <w:b/>
          <w:bCs/>
          <w:sz w:val="24"/>
          <w:szCs w:val="24"/>
        </w:rPr>
      </w:pPr>
      <w:r w:rsidRPr="00733B26">
        <w:rPr>
          <w:rFonts w:ascii="Times New Roman" w:hAnsi="Times New Roman" w:cs="Times New Roman"/>
          <w:b/>
          <w:bCs/>
          <w:sz w:val="24"/>
          <w:szCs w:val="24"/>
        </w:rPr>
        <w:t xml:space="preserve">Introduction  </w:t>
      </w:r>
    </w:p>
    <w:p w14:paraId="7791FD93" w14:textId="77777777" w:rsidR="008F63C5" w:rsidRDefault="008F63C5" w:rsidP="004B7BA1">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 xml:space="preserve">Bacterial infections are a problem confronting the poultry industry across the world. The issue of the bacterial infections is extremely large as they bring much inconvenience like illnesses and fatalities. The bacterial infections are also a major challenge because they impede the growth of chickens to yield meat and eggs. This is a bargain because it is very expensive. One of the bacterial infections which afflict the poultry industry is Colibacillosis. Escherichia coli is the causative agent of the bacterial infection. Colibacillosis is an issue to the poultry industry as it brings about significant losses of money. The people who handle poultry have a problem in terms of bacterial infections like Colibacillosis. The bacterial infection may present itself in various forms including respiratory infections, swollen head syndrome, systemic </w:t>
      </w:r>
      <w:proofErr w:type="spellStart"/>
      <w:r w:rsidRPr="008F63C5">
        <w:rPr>
          <w:rFonts w:ascii="Times New Roman" w:hAnsi="Times New Roman" w:cs="Times New Roman"/>
          <w:sz w:val="24"/>
          <w:szCs w:val="24"/>
        </w:rPr>
        <w:t>septicemia</w:t>
      </w:r>
      <w:proofErr w:type="spellEnd"/>
      <w:r w:rsidRPr="008F63C5">
        <w:rPr>
          <w:rFonts w:ascii="Times New Roman" w:hAnsi="Times New Roman" w:cs="Times New Roman"/>
          <w:sz w:val="24"/>
          <w:szCs w:val="24"/>
        </w:rPr>
        <w:t xml:space="preserve"> and urinary tract infections (McPeake et al., 2005; Huff et al., 2008). The bacteria infection itself usually results in the significant disruption of the blood of the birds, including the alteration of the blood cell counts and indices indicating the impact of the infection and reaction of the immune systems of birds (Huff et al., 2008; Allam et al., 2014).</w:t>
      </w:r>
    </w:p>
    <w:p w14:paraId="130D7B6A" w14:textId="77777777" w:rsidR="008F63C5" w:rsidRP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 xml:space="preserve">Human beings have been treating chicken with antibiotics and special medicines that are aimed at controlling the E. Coli infection. There are certain problems that have been brought about </w:t>
      </w:r>
      <w:r w:rsidRPr="008F63C5">
        <w:rPr>
          <w:rFonts w:ascii="Times New Roman" w:hAnsi="Times New Roman" w:cs="Times New Roman"/>
          <w:sz w:val="24"/>
          <w:szCs w:val="24"/>
        </w:rPr>
        <w:lastRenderedPageBreak/>
        <w:t xml:space="preserve">due to the excessive use of these medicines. It is feared that these medicines will not be effective anymore and that they are unhealthy to the individuals. Thus, there is a need to identify safer and more natural methods of containing E. Coli infection in poultry. E. Poultry Coli infection is a menace and we need to establish alternatives to control the E. Coli infection in poultry. This has been being done by researchers, including </w:t>
      </w:r>
      <w:proofErr w:type="spellStart"/>
      <w:r w:rsidRPr="008F63C5">
        <w:rPr>
          <w:rFonts w:ascii="Times New Roman" w:hAnsi="Times New Roman" w:cs="Times New Roman"/>
          <w:sz w:val="24"/>
          <w:szCs w:val="24"/>
        </w:rPr>
        <w:t>Mahejabin</w:t>
      </w:r>
      <w:proofErr w:type="spellEnd"/>
      <w:r w:rsidRPr="008F63C5">
        <w:rPr>
          <w:rFonts w:ascii="Times New Roman" w:hAnsi="Times New Roman" w:cs="Times New Roman"/>
          <w:sz w:val="24"/>
          <w:szCs w:val="24"/>
        </w:rPr>
        <w:t xml:space="preserve"> et al. 2015. They discovered that herbal drugs, particularly Curcumin, derived as the rhizome of Curcuma longa (turmeric) has promising properties with antimicrobial, antioxidant, anti-inflammatory, liver-protective, and immune-stimulatory activities (Aggarwal and Harikumar, 2009; Sahu and Saxena, 2013).</w:t>
      </w:r>
    </w:p>
    <w:p w14:paraId="5282FD4E" w14:textId="77777777" w:rsid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It is already shown that curcumin can be used to treat bacterial infections in farm animals, such as enterotoxigenic E. coli in piglets (Bryne, 2015).</w:t>
      </w:r>
    </w:p>
    <w:p w14:paraId="3D0E4317" w14:textId="77777777" w:rsidR="008F63C5" w:rsidRDefault="008F63C5" w:rsidP="009D75DE">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Based on the properties mentioned above, curcumin can also be used to reduce the changes of blood in E. coli infected broilers. This research aimed at assessing the preventive and therapeutic curcumin supplementation on blood parameters in broilers that were infected with E. coli. This study was aimed at determining whether curcumin supplementation would assist in reversing the impact of the bacterial infection on blood cell counts hence justifying the use of curcumin in place of antibiotics in the poultry farming.</w:t>
      </w:r>
    </w:p>
    <w:p w14:paraId="0D7FB4FB" w14:textId="1842283C" w:rsidR="004B7BA1" w:rsidRPr="00733B26" w:rsidRDefault="004B7BA1" w:rsidP="009D75DE">
      <w:pPr>
        <w:spacing w:after="0" w:line="360" w:lineRule="auto"/>
        <w:jc w:val="both"/>
        <w:rPr>
          <w:rFonts w:ascii="Times New Roman" w:hAnsi="Times New Roman" w:cs="Times New Roman"/>
          <w:b/>
          <w:bCs/>
          <w:sz w:val="24"/>
          <w:szCs w:val="24"/>
        </w:rPr>
      </w:pPr>
      <w:r w:rsidRPr="00733B26">
        <w:rPr>
          <w:rFonts w:ascii="Times New Roman" w:hAnsi="Times New Roman" w:cs="Times New Roman"/>
          <w:b/>
          <w:bCs/>
          <w:sz w:val="24"/>
          <w:szCs w:val="24"/>
        </w:rPr>
        <w:t xml:space="preserve">Materials and Methods  </w:t>
      </w:r>
    </w:p>
    <w:p w14:paraId="1D32B854" w14:textId="77777777" w:rsidR="008F63C5" w:rsidRP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The broiler chicks (30 of them) were provided by Amruta Hatcheries, Amravati, and one-weekly adaption under normal rearing conditions. At that point the chicks were mixed randomly in six groups of fifteen birds and raised in a similar housing and feeding setup after a period of five weeks.</w:t>
      </w:r>
    </w:p>
    <w:p w14:paraId="3DD62CC8" w14:textId="77777777" w:rsidR="008F63C5" w:rsidRP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Group I was the uninfected control, and offered a normal diet and no challenge or experimental treatment with Escherichia coli.</w:t>
      </w:r>
    </w:p>
    <w:p w14:paraId="5C80CC52" w14:textId="77777777" w:rsidR="008F63C5" w:rsidRP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Group II was the control group of E. coli which got the bacterial challenge and was untreated.</w:t>
      </w:r>
    </w:p>
    <w:p w14:paraId="542B538F" w14:textId="77777777" w:rsidR="008F63C5" w:rsidRP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Group III was fed 200mg/kg of curcumin throughout the experiment duration as prophylaxis and challenged with E. coli.</w:t>
      </w:r>
    </w:p>
    <w:p w14:paraId="1D3172C3" w14:textId="77777777" w:rsidR="008F63C5" w:rsidRP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Group IV was treated with curcumin at 400 mg/kg feed during a period of five days following the emergence of clinical symptoms due to E. coli challenge.</w:t>
      </w:r>
    </w:p>
    <w:p w14:paraId="0D0C6634" w14:textId="77777777" w:rsidR="008F63C5" w:rsidRP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Group V was treated with cephalexin 1 g/L in drinking water in a period of five days following the onset of a clinical manifestation.</w:t>
      </w:r>
    </w:p>
    <w:p w14:paraId="2FB997AF" w14:textId="77777777" w:rsidR="008F63C5" w:rsidRP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Group VI, which was a control group, was fed 200 mg/kg without the challenge of E. coli.</w:t>
      </w:r>
    </w:p>
    <w:p w14:paraId="45F3B80E" w14:textId="582FA1CA" w:rsidR="008F63C5" w:rsidRPr="00B4269B"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 xml:space="preserve">The groups II-V have been tested using a virulent strain of E. coli using the protocol as outlined by Huff et al. (2008) in order to induce clinical colibacillosis. The curcumin powder, which </w:t>
      </w:r>
      <w:r w:rsidRPr="008F63C5">
        <w:rPr>
          <w:rFonts w:ascii="Times New Roman" w:hAnsi="Times New Roman" w:cs="Times New Roman"/>
          <w:sz w:val="24"/>
          <w:szCs w:val="24"/>
        </w:rPr>
        <w:lastRenderedPageBreak/>
        <w:t>was standardized with the active content of curcuminoids, was thoroughly mixed into the feed and cephalexin was given to them in drinking water after becoming infected.</w:t>
      </w:r>
    </w:p>
    <w:p w14:paraId="273F5C8E" w14:textId="77777777" w:rsidR="008F63C5" w:rsidRP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 xml:space="preserve">On the 35th day, blood samples were taken by means of the wing vein of six birds, each group being represented by six birds. The </w:t>
      </w:r>
      <w:proofErr w:type="spellStart"/>
      <w:r w:rsidRPr="008F63C5">
        <w:rPr>
          <w:rFonts w:ascii="Times New Roman" w:hAnsi="Times New Roman" w:cs="Times New Roman"/>
          <w:sz w:val="24"/>
          <w:szCs w:val="24"/>
        </w:rPr>
        <w:t>hematological</w:t>
      </w:r>
      <w:proofErr w:type="spellEnd"/>
      <w:r w:rsidRPr="008F63C5">
        <w:rPr>
          <w:rFonts w:ascii="Times New Roman" w:hAnsi="Times New Roman" w:cs="Times New Roman"/>
          <w:sz w:val="24"/>
          <w:szCs w:val="24"/>
        </w:rPr>
        <w:t xml:space="preserve"> parameters assessed were </w:t>
      </w:r>
      <w:proofErr w:type="spellStart"/>
      <w:r w:rsidRPr="008F63C5">
        <w:rPr>
          <w:rFonts w:ascii="Times New Roman" w:hAnsi="Times New Roman" w:cs="Times New Roman"/>
          <w:sz w:val="24"/>
          <w:szCs w:val="24"/>
        </w:rPr>
        <w:t>hemoglobin</w:t>
      </w:r>
      <w:proofErr w:type="spellEnd"/>
      <w:r w:rsidRPr="008F63C5">
        <w:rPr>
          <w:rFonts w:ascii="Times New Roman" w:hAnsi="Times New Roman" w:cs="Times New Roman"/>
          <w:sz w:val="24"/>
          <w:szCs w:val="24"/>
        </w:rPr>
        <w:t xml:space="preserve"> concentration, total erythrocyte count (TEC), mean corpuscular volume (MCV), mean corpuscular </w:t>
      </w:r>
      <w:proofErr w:type="spellStart"/>
      <w:r w:rsidRPr="008F63C5">
        <w:rPr>
          <w:rFonts w:ascii="Times New Roman" w:hAnsi="Times New Roman" w:cs="Times New Roman"/>
          <w:sz w:val="24"/>
          <w:szCs w:val="24"/>
        </w:rPr>
        <w:t>hemoglobin</w:t>
      </w:r>
      <w:proofErr w:type="spellEnd"/>
      <w:r w:rsidRPr="008F63C5">
        <w:rPr>
          <w:rFonts w:ascii="Times New Roman" w:hAnsi="Times New Roman" w:cs="Times New Roman"/>
          <w:sz w:val="24"/>
          <w:szCs w:val="24"/>
        </w:rPr>
        <w:t xml:space="preserve"> (MCH), packed cell volume (PCV) and total leukocyte count (TLC). </w:t>
      </w:r>
      <w:proofErr w:type="spellStart"/>
      <w:r w:rsidRPr="008F63C5">
        <w:rPr>
          <w:rFonts w:ascii="Times New Roman" w:hAnsi="Times New Roman" w:cs="Times New Roman"/>
          <w:sz w:val="24"/>
          <w:szCs w:val="24"/>
        </w:rPr>
        <w:t>Sahli</w:t>
      </w:r>
      <w:proofErr w:type="spellEnd"/>
      <w:r w:rsidRPr="008F63C5">
        <w:rPr>
          <w:rFonts w:ascii="Times New Roman" w:hAnsi="Times New Roman" w:cs="Times New Roman"/>
          <w:sz w:val="24"/>
          <w:szCs w:val="24"/>
        </w:rPr>
        <w:t xml:space="preserve"> </w:t>
      </w:r>
      <w:proofErr w:type="spellStart"/>
      <w:r w:rsidRPr="008F63C5">
        <w:rPr>
          <w:rFonts w:ascii="Times New Roman" w:hAnsi="Times New Roman" w:cs="Times New Roman"/>
          <w:sz w:val="24"/>
          <w:szCs w:val="24"/>
        </w:rPr>
        <w:t>hemometer</w:t>
      </w:r>
      <w:proofErr w:type="spellEnd"/>
      <w:r w:rsidRPr="008F63C5">
        <w:rPr>
          <w:rFonts w:ascii="Times New Roman" w:hAnsi="Times New Roman" w:cs="Times New Roman"/>
          <w:sz w:val="24"/>
          <w:szCs w:val="24"/>
        </w:rPr>
        <w:t xml:space="preserve"> was used to estimate </w:t>
      </w:r>
      <w:proofErr w:type="spellStart"/>
      <w:r w:rsidRPr="008F63C5">
        <w:rPr>
          <w:rFonts w:ascii="Times New Roman" w:hAnsi="Times New Roman" w:cs="Times New Roman"/>
          <w:sz w:val="24"/>
          <w:szCs w:val="24"/>
        </w:rPr>
        <w:t>hemoglobin</w:t>
      </w:r>
      <w:proofErr w:type="spellEnd"/>
      <w:r w:rsidRPr="008F63C5">
        <w:rPr>
          <w:rFonts w:ascii="Times New Roman" w:hAnsi="Times New Roman" w:cs="Times New Roman"/>
          <w:sz w:val="24"/>
          <w:szCs w:val="24"/>
        </w:rPr>
        <w:t xml:space="preserve"> and PCV estimated by microhematocrit centrifugation as it is described in Benjamin (2003) and Pierson (2000). The standard </w:t>
      </w:r>
      <w:proofErr w:type="spellStart"/>
      <w:r w:rsidRPr="008F63C5">
        <w:rPr>
          <w:rFonts w:ascii="Times New Roman" w:hAnsi="Times New Roman" w:cs="Times New Roman"/>
          <w:sz w:val="24"/>
          <w:szCs w:val="24"/>
        </w:rPr>
        <w:t>hemocytometer</w:t>
      </w:r>
      <w:proofErr w:type="spellEnd"/>
      <w:r w:rsidRPr="008F63C5">
        <w:rPr>
          <w:rFonts w:ascii="Times New Roman" w:hAnsi="Times New Roman" w:cs="Times New Roman"/>
          <w:sz w:val="24"/>
          <w:szCs w:val="24"/>
        </w:rPr>
        <w:t xml:space="preserve"> procedures were used to perform TLC.</w:t>
      </w:r>
    </w:p>
    <w:p w14:paraId="0A396DA2" w14:textId="77777777" w:rsid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The Institutional Animal Ethics Committee (IAEC, Reg. no. 312/CPCSEA) of PGIVAS, Akola, approved and cleared all the above experimental procedures to make sure that all the birds were treated humanely during the experiment.</w:t>
      </w:r>
    </w:p>
    <w:p w14:paraId="51F7C35D" w14:textId="3F430C3E" w:rsidR="004B7BA1" w:rsidRPr="00696D07" w:rsidRDefault="004B7BA1" w:rsidP="008F63C5">
      <w:pPr>
        <w:spacing w:after="0" w:line="360" w:lineRule="auto"/>
        <w:jc w:val="both"/>
        <w:rPr>
          <w:rFonts w:ascii="Times New Roman" w:hAnsi="Times New Roman" w:cs="Times New Roman"/>
          <w:b/>
          <w:bCs/>
          <w:sz w:val="24"/>
          <w:szCs w:val="24"/>
        </w:rPr>
      </w:pPr>
      <w:r w:rsidRPr="00696D07">
        <w:rPr>
          <w:rFonts w:ascii="Times New Roman" w:hAnsi="Times New Roman" w:cs="Times New Roman"/>
          <w:b/>
          <w:bCs/>
          <w:sz w:val="24"/>
          <w:szCs w:val="24"/>
        </w:rPr>
        <w:t>Statistical Analysis</w:t>
      </w:r>
    </w:p>
    <w:p w14:paraId="7261D68F" w14:textId="77777777" w:rsidR="008F63C5" w:rsidRP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The analysis of data that was acquired in current inquiries was performed using equal Completely Randomized Design (CRD) as defined by Snedecor and Cochran (1989).</w:t>
      </w:r>
    </w:p>
    <w:p w14:paraId="2E7130E0" w14:textId="77777777" w:rsidR="008F63C5" w:rsidRPr="008F63C5" w:rsidRDefault="008F63C5" w:rsidP="008F63C5">
      <w:pPr>
        <w:spacing w:after="0" w:line="360" w:lineRule="auto"/>
        <w:jc w:val="both"/>
        <w:rPr>
          <w:rFonts w:ascii="Times New Roman" w:hAnsi="Times New Roman" w:cs="Times New Roman"/>
          <w:b/>
          <w:bCs/>
          <w:sz w:val="24"/>
          <w:szCs w:val="24"/>
        </w:rPr>
      </w:pPr>
      <w:r w:rsidRPr="008F63C5">
        <w:rPr>
          <w:rFonts w:ascii="Times New Roman" w:hAnsi="Times New Roman" w:cs="Times New Roman"/>
          <w:b/>
          <w:bCs/>
          <w:sz w:val="24"/>
          <w:szCs w:val="24"/>
        </w:rPr>
        <w:t>Results</w:t>
      </w:r>
    </w:p>
    <w:p w14:paraId="476CBDD8" w14:textId="77777777" w:rsidR="008F63C5" w:rsidRP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 xml:space="preserve">It was done after the completion of the experiment that the blood test was conducted on each of the broiler chickens used in this experiment. The primary objective of the blood test was to investigate the outcome of the Escherichia coli (E. coli) infection in broilers chicken as well as the impacts of the curcumin supplement on the immune system and blood values of broilers chicken. The blood test was done, to check several parameters, which comprised of </w:t>
      </w:r>
      <w:proofErr w:type="spellStart"/>
      <w:r w:rsidRPr="008F63C5">
        <w:rPr>
          <w:rFonts w:ascii="Times New Roman" w:hAnsi="Times New Roman" w:cs="Times New Roman"/>
          <w:sz w:val="24"/>
          <w:szCs w:val="24"/>
        </w:rPr>
        <w:t>hemoglobin</w:t>
      </w:r>
      <w:proofErr w:type="spellEnd"/>
      <w:r w:rsidRPr="008F63C5">
        <w:rPr>
          <w:rFonts w:ascii="Times New Roman" w:hAnsi="Times New Roman" w:cs="Times New Roman"/>
          <w:sz w:val="24"/>
          <w:szCs w:val="24"/>
        </w:rPr>
        <w:t xml:space="preserve"> (Hb), cell size, and percentage of total red blood cells (RBCs) produced.</w:t>
      </w:r>
    </w:p>
    <w:p w14:paraId="7C0AAC30" w14:textId="77777777" w:rsidR="008F63C5" w:rsidRDefault="008F63C5" w:rsidP="008F63C5">
      <w:pPr>
        <w:spacing w:after="0" w:line="360" w:lineRule="auto"/>
        <w:jc w:val="both"/>
        <w:rPr>
          <w:rFonts w:ascii="Times New Roman" w:hAnsi="Times New Roman" w:cs="Times New Roman"/>
          <w:sz w:val="24"/>
          <w:szCs w:val="24"/>
        </w:rPr>
      </w:pPr>
      <w:r w:rsidRPr="008F63C5">
        <w:rPr>
          <w:rFonts w:ascii="Times New Roman" w:hAnsi="Times New Roman" w:cs="Times New Roman"/>
          <w:sz w:val="24"/>
          <w:szCs w:val="24"/>
        </w:rPr>
        <w:t xml:space="preserve">It also conducted a blood test to test the size of individual red blood cell (RBC) and its content of </w:t>
      </w:r>
      <w:proofErr w:type="spellStart"/>
      <w:r w:rsidRPr="008F63C5">
        <w:rPr>
          <w:rFonts w:ascii="Times New Roman" w:hAnsi="Times New Roman" w:cs="Times New Roman"/>
          <w:sz w:val="24"/>
          <w:szCs w:val="24"/>
        </w:rPr>
        <w:t>hemoglobin</w:t>
      </w:r>
      <w:proofErr w:type="spellEnd"/>
      <w:r w:rsidRPr="008F63C5">
        <w:rPr>
          <w:rFonts w:ascii="Times New Roman" w:hAnsi="Times New Roman" w:cs="Times New Roman"/>
          <w:sz w:val="24"/>
          <w:szCs w:val="24"/>
        </w:rPr>
        <w:t xml:space="preserve">. The objectives of the blood test were to investigate the implications of the E. coli infections on the broiler chickens and the potential benefits of curcumin supplementation on size, quality, shape, mean corpuscular volume, mean corpuscular </w:t>
      </w:r>
      <w:proofErr w:type="spellStart"/>
      <w:r w:rsidRPr="008F63C5">
        <w:rPr>
          <w:rFonts w:ascii="Times New Roman" w:hAnsi="Times New Roman" w:cs="Times New Roman"/>
          <w:sz w:val="24"/>
          <w:szCs w:val="24"/>
        </w:rPr>
        <w:t>hemoglobin</w:t>
      </w:r>
      <w:proofErr w:type="spellEnd"/>
      <w:r w:rsidRPr="008F63C5">
        <w:rPr>
          <w:rFonts w:ascii="Times New Roman" w:hAnsi="Times New Roman" w:cs="Times New Roman"/>
          <w:sz w:val="24"/>
          <w:szCs w:val="24"/>
        </w:rPr>
        <w:t xml:space="preserve">, and mean corpuscular </w:t>
      </w:r>
      <w:proofErr w:type="spellStart"/>
      <w:r w:rsidRPr="008F63C5">
        <w:rPr>
          <w:rFonts w:ascii="Times New Roman" w:hAnsi="Times New Roman" w:cs="Times New Roman"/>
          <w:sz w:val="24"/>
          <w:szCs w:val="24"/>
        </w:rPr>
        <w:t>hemoglobin</w:t>
      </w:r>
      <w:proofErr w:type="spellEnd"/>
      <w:r w:rsidRPr="008F63C5">
        <w:rPr>
          <w:rFonts w:ascii="Times New Roman" w:hAnsi="Times New Roman" w:cs="Times New Roman"/>
          <w:sz w:val="24"/>
          <w:szCs w:val="24"/>
        </w:rPr>
        <w:t xml:space="preserve"> concentration of the red blood cells of broiler chicken, and other laboratory outcomes like the total leukocyte counts (TLCs) and the different leukocyte counts (DLCs) in each of the experimental chickens. Table 1 and Fig.1 give the results.</w:t>
      </w:r>
    </w:p>
    <w:p w14:paraId="0AC157E8" w14:textId="77777777" w:rsidR="00A205A1" w:rsidRPr="00A205A1" w:rsidRDefault="00A205A1" w:rsidP="00A205A1">
      <w:pPr>
        <w:spacing w:after="0" w:line="360" w:lineRule="auto"/>
        <w:jc w:val="both"/>
        <w:rPr>
          <w:rFonts w:ascii="Times New Roman" w:hAnsi="Times New Roman" w:cs="Times New Roman"/>
          <w:b/>
          <w:bCs/>
          <w:sz w:val="24"/>
          <w:szCs w:val="24"/>
        </w:rPr>
      </w:pPr>
      <w:r w:rsidRPr="00A205A1">
        <w:rPr>
          <w:rFonts w:ascii="Times New Roman" w:hAnsi="Times New Roman" w:cs="Times New Roman"/>
          <w:b/>
          <w:bCs/>
          <w:sz w:val="24"/>
          <w:szCs w:val="24"/>
        </w:rPr>
        <w:t xml:space="preserve">Packed Cell Volume and </w:t>
      </w:r>
      <w:proofErr w:type="spellStart"/>
      <w:r w:rsidRPr="00A205A1">
        <w:rPr>
          <w:rFonts w:ascii="Times New Roman" w:hAnsi="Times New Roman" w:cs="Times New Roman"/>
          <w:b/>
          <w:bCs/>
          <w:sz w:val="24"/>
          <w:szCs w:val="24"/>
        </w:rPr>
        <w:t>Hemoglobin</w:t>
      </w:r>
      <w:proofErr w:type="spellEnd"/>
      <w:r w:rsidRPr="00A205A1">
        <w:rPr>
          <w:rFonts w:ascii="Times New Roman" w:hAnsi="Times New Roman" w:cs="Times New Roman"/>
          <w:b/>
          <w:bCs/>
          <w:sz w:val="24"/>
          <w:szCs w:val="24"/>
        </w:rPr>
        <w:t>.</w:t>
      </w:r>
    </w:p>
    <w:p w14:paraId="36560CB0" w14:textId="77777777" w:rsidR="00A205A1" w:rsidRP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 xml:space="preserve">The means of </w:t>
      </w:r>
      <w:proofErr w:type="spellStart"/>
      <w:r w:rsidRPr="00A205A1">
        <w:rPr>
          <w:rFonts w:ascii="Times New Roman" w:hAnsi="Times New Roman" w:cs="Times New Roman"/>
          <w:sz w:val="24"/>
          <w:szCs w:val="24"/>
        </w:rPr>
        <w:t>hemoglobin</w:t>
      </w:r>
      <w:proofErr w:type="spellEnd"/>
      <w:r w:rsidRPr="00A205A1">
        <w:rPr>
          <w:rFonts w:ascii="Times New Roman" w:hAnsi="Times New Roman" w:cs="Times New Roman"/>
          <w:sz w:val="24"/>
          <w:szCs w:val="24"/>
        </w:rPr>
        <w:t xml:space="preserve"> (Hb) in all groups were not statistically significantly different as shown by the range of Hb values, lowest of 10.50 g/dL with (±0.42) being the mean </w:t>
      </w:r>
      <w:proofErr w:type="spellStart"/>
      <w:r w:rsidRPr="00A205A1">
        <w:rPr>
          <w:rFonts w:ascii="Times New Roman" w:hAnsi="Times New Roman" w:cs="Times New Roman"/>
          <w:sz w:val="24"/>
          <w:szCs w:val="24"/>
        </w:rPr>
        <w:t>hemoglobin</w:t>
      </w:r>
      <w:proofErr w:type="spellEnd"/>
      <w:r w:rsidRPr="00A205A1">
        <w:rPr>
          <w:rFonts w:ascii="Times New Roman" w:hAnsi="Times New Roman" w:cs="Times New Roman"/>
          <w:sz w:val="24"/>
          <w:szCs w:val="24"/>
        </w:rPr>
        <w:t xml:space="preserve"> concentration of the infected group under preventive condition and highest of 11.17 g/dL with (±0.40) the mean </w:t>
      </w:r>
      <w:proofErr w:type="spellStart"/>
      <w:r w:rsidRPr="00A205A1">
        <w:rPr>
          <w:rFonts w:ascii="Times New Roman" w:hAnsi="Times New Roman" w:cs="Times New Roman"/>
          <w:sz w:val="24"/>
          <w:szCs w:val="24"/>
        </w:rPr>
        <w:t>hemoglobin</w:t>
      </w:r>
      <w:proofErr w:type="spellEnd"/>
      <w:r w:rsidRPr="00A205A1">
        <w:rPr>
          <w:rFonts w:ascii="Times New Roman" w:hAnsi="Times New Roman" w:cs="Times New Roman"/>
          <w:sz w:val="24"/>
          <w:szCs w:val="24"/>
        </w:rPr>
        <w:t xml:space="preserve"> concentration in the therapeutic group under therapeutic </w:t>
      </w:r>
      <w:r w:rsidRPr="00A205A1">
        <w:rPr>
          <w:rFonts w:ascii="Times New Roman" w:hAnsi="Times New Roman" w:cs="Times New Roman"/>
          <w:sz w:val="24"/>
          <w:szCs w:val="24"/>
        </w:rPr>
        <w:lastRenderedPageBreak/>
        <w:t xml:space="preserve">condition. There was also no statistically significant difference in the PCV (packed cell volume) between the various groups with the lowest PCV at 25.00 (27.50) (0.73 and 0.76) when curcumin was used as a preventative to E. coli and the highest PCV at 27.50 (25.00) (0.76 and 0.73) when curcumin was used as a therapeutic agent. In addition, the experiment shows that the E. coli infection and curcumin or cephalexin treatment are not most likely to have any effect on </w:t>
      </w:r>
      <w:proofErr w:type="spellStart"/>
      <w:r w:rsidRPr="00A205A1">
        <w:rPr>
          <w:rFonts w:ascii="Times New Roman" w:hAnsi="Times New Roman" w:cs="Times New Roman"/>
          <w:sz w:val="24"/>
          <w:szCs w:val="24"/>
        </w:rPr>
        <w:t>hemoglobin</w:t>
      </w:r>
      <w:proofErr w:type="spellEnd"/>
      <w:r w:rsidRPr="00A205A1">
        <w:rPr>
          <w:rFonts w:ascii="Times New Roman" w:hAnsi="Times New Roman" w:cs="Times New Roman"/>
          <w:sz w:val="24"/>
          <w:szCs w:val="24"/>
        </w:rPr>
        <w:t xml:space="preserve"> or erythrocyte percentage production in the circulating blood.</w:t>
      </w:r>
    </w:p>
    <w:p w14:paraId="1E3198A0" w14:textId="77777777" w:rsidR="00A205A1" w:rsidRPr="00A205A1" w:rsidRDefault="00A205A1" w:rsidP="00A205A1">
      <w:pPr>
        <w:spacing w:after="0" w:line="360" w:lineRule="auto"/>
        <w:jc w:val="both"/>
        <w:rPr>
          <w:rFonts w:ascii="Times New Roman" w:hAnsi="Times New Roman" w:cs="Times New Roman"/>
          <w:b/>
          <w:bCs/>
          <w:sz w:val="24"/>
          <w:szCs w:val="24"/>
        </w:rPr>
      </w:pPr>
      <w:r w:rsidRPr="00A205A1">
        <w:rPr>
          <w:rFonts w:ascii="Times New Roman" w:hAnsi="Times New Roman" w:cs="Times New Roman"/>
          <w:b/>
          <w:bCs/>
          <w:sz w:val="24"/>
          <w:szCs w:val="24"/>
        </w:rPr>
        <w:t>Erythrocyte Indices</w:t>
      </w:r>
    </w:p>
    <w:p w14:paraId="6FB9000C" w14:textId="77777777" w:rsidR="00A205A1" w:rsidRP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There were changes in the erythrocyte indices after the Escherichia coli infection. The mean corpuscular volume (MCV) was also found to be significantly lower (P &lt; 0.05) in all infected groups (T1, T2, T3, and T4) than in the uninfected control group (T0), which shows the existence of microcytic erythrocytes because of infection. There was a tendency of improvement in MCV of the infected groups that had curcumin supplementation over the infected control; however, the values remained below those of the uninfected group. The T5 group that did not have E. coli infection did not have MCV values that were lower or higher as compared to the uninfected control, indicating that curcumin has no effect on the size of the erythrocytes. These findings indicate that the infection with E. coli leads to the dramatic alterations in the size of erythrocytes.</w:t>
      </w:r>
    </w:p>
    <w:p w14:paraId="7A557F0D" w14:textId="77777777" w:rsid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 xml:space="preserve">The mean corpuscular </w:t>
      </w:r>
      <w:proofErr w:type="spellStart"/>
      <w:r w:rsidRPr="00A205A1">
        <w:rPr>
          <w:rFonts w:ascii="Times New Roman" w:hAnsi="Times New Roman" w:cs="Times New Roman"/>
          <w:sz w:val="24"/>
          <w:szCs w:val="24"/>
        </w:rPr>
        <w:t>hemoglobin</w:t>
      </w:r>
      <w:proofErr w:type="spellEnd"/>
      <w:r w:rsidRPr="00A205A1">
        <w:rPr>
          <w:rFonts w:ascii="Times New Roman" w:hAnsi="Times New Roman" w:cs="Times New Roman"/>
          <w:sz w:val="24"/>
          <w:szCs w:val="24"/>
        </w:rPr>
        <w:t xml:space="preserve"> (MCH) in both the infected control and infected treatment groups was also significantly lower (P &lt; 0.05), which means that there was a drop in the content of </w:t>
      </w:r>
      <w:proofErr w:type="spellStart"/>
      <w:r w:rsidRPr="00A205A1">
        <w:rPr>
          <w:rFonts w:ascii="Times New Roman" w:hAnsi="Times New Roman" w:cs="Times New Roman"/>
          <w:sz w:val="24"/>
          <w:szCs w:val="24"/>
        </w:rPr>
        <w:t>hemoglobin</w:t>
      </w:r>
      <w:proofErr w:type="spellEnd"/>
      <w:r w:rsidRPr="00A205A1">
        <w:rPr>
          <w:rFonts w:ascii="Times New Roman" w:hAnsi="Times New Roman" w:cs="Times New Roman"/>
          <w:sz w:val="24"/>
          <w:szCs w:val="24"/>
        </w:rPr>
        <w:t xml:space="preserve"> per erythrocyte. Nevertheless, the experimental groups had no significant difference in the level of mean corpuscular </w:t>
      </w:r>
      <w:proofErr w:type="spellStart"/>
      <w:r w:rsidRPr="00A205A1">
        <w:rPr>
          <w:rFonts w:ascii="Times New Roman" w:hAnsi="Times New Roman" w:cs="Times New Roman"/>
          <w:sz w:val="24"/>
          <w:szCs w:val="24"/>
        </w:rPr>
        <w:t>hemoglobin</w:t>
      </w:r>
      <w:proofErr w:type="spellEnd"/>
      <w:r w:rsidRPr="00A205A1">
        <w:rPr>
          <w:rFonts w:ascii="Times New Roman" w:hAnsi="Times New Roman" w:cs="Times New Roman"/>
          <w:sz w:val="24"/>
          <w:szCs w:val="24"/>
        </w:rPr>
        <w:t xml:space="preserve"> concentration (MCHC), which indicated that there was no difference in the </w:t>
      </w:r>
      <w:proofErr w:type="spellStart"/>
      <w:r w:rsidRPr="00A205A1">
        <w:rPr>
          <w:rFonts w:ascii="Times New Roman" w:hAnsi="Times New Roman" w:cs="Times New Roman"/>
          <w:sz w:val="24"/>
          <w:szCs w:val="24"/>
        </w:rPr>
        <w:t>hemoglobin</w:t>
      </w:r>
      <w:proofErr w:type="spellEnd"/>
      <w:r w:rsidRPr="00A205A1">
        <w:rPr>
          <w:rFonts w:ascii="Times New Roman" w:hAnsi="Times New Roman" w:cs="Times New Roman"/>
          <w:sz w:val="24"/>
          <w:szCs w:val="24"/>
        </w:rPr>
        <w:t xml:space="preserve"> concentration carried by each erythrocyte caused by infection and treatment.</w:t>
      </w:r>
    </w:p>
    <w:p w14:paraId="39E9519F" w14:textId="77777777" w:rsidR="00A205A1" w:rsidRPr="00A205A1" w:rsidRDefault="00A205A1" w:rsidP="00A205A1">
      <w:pPr>
        <w:spacing w:after="0" w:line="360" w:lineRule="auto"/>
        <w:jc w:val="both"/>
        <w:rPr>
          <w:rFonts w:ascii="Times New Roman" w:hAnsi="Times New Roman" w:cs="Times New Roman"/>
          <w:b/>
          <w:bCs/>
          <w:sz w:val="24"/>
          <w:szCs w:val="24"/>
        </w:rPr>
      </w:pPr>
      <w:r w:rsidRPr="00A205A1">
        <w:rPr>
          <w:rFonts w:ascii="Times New Roman" w:hAnsi="Times New Roman" w:cs="Times New Roman"/>
          <w:b/>
          <w:bCs/>
          <w:sz w:val="24"/>
          <w:szCs w:val="24"/>
        </w:rPr>
        <w:t>Total Erythrocyte Count</w:t>
      </w:r>
    </w:p>
    <w:p w14:paraId="46ED0E16" w14:textId="77777777" w:rsidR="00A205A1" w:rsidRP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The counts of blood cells differed in the sets of birds under test. This was a major difference. Red blood cells were compared to birds administered E. Coli compared to those that were not administered. The red blood cells had birds that were infected and fed on curcumin. The number of red blood cells was nearly similar to the birds that were not given anything and the birds given curcumin but not infected. In this difference, the quantity of red blood cells in each of the groups remained, as to birds, within the normal range.</w:t>
      </w:r>
    </w:p>
    <w:p w14:paraId="0F424D38" w14:textId="77777777" w:rsidR="00A205A1" w:rsidRPr="00A205A1" w:rsidRDefault="00A205A1" w:rsidP="00A205A1">
      <w:pPr>
        <w:spacing w:after="0" w:line="360" w:lineRule="auto"/>
        <w:jc w:val="both"/>
        <w:rPr>
          <w:rFonts w:ascii="Times New Roman" w:hAnsi="Times New Roman" w:cs="Times New Roman"/>
          <w:b/>
          <w:bCs/>
          <w:sz w:val="24"/>
          <w:szCs w:val="24"/>
        </w:rPr>
      </w:pPr>
      <w:r w:rsidRPr="00A205A1">
        <w:rPr>
          <w:rFonts w:ascii="Times New Roman" w:hAnsi="Times New Roman" w:cs="Times New Roman"/>
          <w:b/>
          <w:bCs/>
          <w:sz w:val="24"/>
          <w:szCs w:val="24"/>
        </w:rPr>
        <w:t>Total Leukocyte Count</w:t>
      </w:r>
    </w:p>
    <w:p w14:paraId="2AEE7DE1" w14:textId="77777777" w:rsid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 xml:space="preserve">There was a significant (P&lt;0.05) higher total leukocyte count in E. coli infected birds. The highest TLC was observed in the treatment groups of infection and it portrays a robust immune response against infection. But the TLC in the curcumin control group was comparable to the </w:t>
      </w:r>
      <w:r w:rsidRPr="00A205A1">
        <w:rPr>
          <w:rFonts w:ascii="Times New Roman" w:hAnsi="Times New Roman" w:cs="Times New Roman"/>
          <w:sz w:val="24"/>
          <w:szCs w:val="24"/>
        </w:rPr>
        <w:lastRenderedPageBreak/>
        <w:t>normal controls which actually represents that curcumin did not lead to the increase of leukocytes in the absence of infection.</w:t>
      </w:r>
    </w:p>
    <w:p w14:paraId="69F28393" w14:textId="77777777" w:rsidR="00A205A1" w:rsidRPr="00A205A1" w:rsidRDefault="00A205A1" w:rsidP="00A205A1">
      <w:pPr>
        <w:spacing w:before="120" w:after="120" w:line="240" w:lineRule="auto"/>
        <w:jc w:val="both"/>
        <w:rPr>
          <w:rFonts w:ascii="Times New Roman" w:hAnsi="Times New Roman" w:cs="Times New Roman"/>
          <w:b/>
          <w:bCs/>
          <w:sz w:val="24"/>
          <w:szCs w:val="24"/>
        </w:rPr>
      </w:pPr>
      <w:r w:rsidRPr="00A205A1">
        <w:rPr>
          <w:rFonts w:ascii="Times New Roman" w:hAnsi="Times New Roman" w:cs="Times New Roman"/>
          <w:b/>
          <w:bCs/>
          <w:sz w:val="24"/>
          <w:szCs w:val="24"/>
        </w:rPr>
        <w:t>Differential Leukocyte Count.</w:t>
      </w:r>
    </w:p>
    <w:p w14:paraId="17AE8CD9" w14:textId="77777777" w:rsidR="00A205A1" w:rsidRPr="00A205A1" w:rsidRDefault="00A205A1" w:rsidP="00A205A1">
      <w:pPr>
        <w:spacing w:before="120" w:after="120" w:line="360" w:lineRule="auto"/>
        <w:jc w:val="both"/>
        <w:rPr>
          <w:rFonts w:ascii="Times New Roman" w:hAnsi="Times New Roman" w:cs="Times New Roman"/>
          <w:sz w:val="24"/>
          <w:szCs w:val="24"/>
        </w:rPr>
      </w:pPr>
      <w:r w:rsidRPr="00A205A1">
        <w:rPr>
          <w:rFonts w:ascii="Times New Roman" w:hAnsi="Times New Roman" w:cs="Times New Roman"/>
          <w:sz w:val="24"/>
          <w:szCs w:val="24"/>
        </w:rPr>
        <w:t>E. coli infection had a significant influence on leukocyte profiles. There was a high increase in the number of basophils in the infected control groups (P &lt; 0.05) relative to the uninfected controls. Conversely, heterophil numbers were more in the infected birds and leukocyte numbers were much less than normal control group, hence showing an infection induced change in leukocyte profiles.</w:t>
      </w:r>
    </w:p>
    <w:p w14:paraId="289A2C93" w14:textId="77777777" w:rsidR="00A205A1" w:rsidRPr="00A205A1" w:rsidRDefault="00A205A1" w:rsidP="00A205A1">
      <w:pPr>
        <w:spacing w:before="120" w:after="120" w:line="360" w:lineRule="auto"/>
        <w:jc w:val="both"/>
        <w:rPr>
          <w:rFonts w:ascii="Times New Roman" w:hAnsi="Times New Roman" w:cs="Times New Roman"/>
          <w:sz w:val="24"/>
          <w:szCs w:val="24"/>
        </w:rPr>
      </w:pPr>
      <w:r w:rsidRPr="00A205A1">
        <w:rPr>
          <w:rFonts w:ascii="Times New Roman" w:hAnsi="Times New Roman" w:cs="Times New Roman"/>
          <w:sz w:val="24"/>
          <w:szCs w:val="24"/>
        </w:rPr>
        <w:t>The use of curcumin supplementation was good in restoring the changes in leukocyte profiles caused by the infection to the normalcy in the infected birds. The count of basophil and lymphocytes was brought to normalcy with the basophil and lymphocyte count similar to the uninfected controls. No great differences were observed between the experimental groups in terms of the number of monocytes meaning that this leukocyte type was not affected by E. coli infection and curcumin supplementation. These findings indicate that curcumin can regulate the changes in the number of leukocytes induced by infection, which suggests that it can be used to keep the immune system in balance during bacterial infection.</w:t>
      </w:r>
    </w:p>
    <w:p w14:paraId="09702EB6" w14:textId="1E7C7B7D" w:rsidR="004B7BA1" w:rsidRPr="00FA5275" w:rsidRDefault="004B7BA1" w:rsidP="00A205A1">
      <w:pPr>
        <w:spacing w:before="120" w:after="120" w:line="240" w:lineRule="auto"/>
        <w:jc w:val="both"/>
        <w:rPr>
          <w:rFonts w:ascii="Times New Roman" w:hAnsi="Times New Roman" w:cs="Times New Roman"/>
          <w:sz w:val="24"/>
          <w:szCs w:val="24"/>
        </w:rPr>
      </w:pPr>
      <w:r w:rsidRPr="000B206E">
        <w:rPr>
          <w:rFonts w:ascii="Times New Roman" w:hAnsi="Times New Roman" w:cs="Times New Roman"/>
          <w:b/>
        </w:rPr>
        <w:t>Table 1.</w:t>
      </w:r>
      <w:r w:rsidR="00FA5275">
        <w:rPr>
          <w:rFonts w:ascii="Times New Roman" w:hAnsi="Times New Roman" w:cs="Times New Roman"/>
          <w:b/>
        </w:rPr>
        <w:t xml:space="preserve"> </w:t>
      </w:r>
      <w:r w:rsidRPr="000B206E">
        <w:rPr>
          <w:rFonts w:ascii="Times New Roman" w:hAnsi="Times New Roman" w:cs="Times New Roman"/>
          <w:b/>
        </w:rPr>
        <w:t xml:space="preserve">Effect of curcumin on TLC and DLC in different treatment groups of </w:t>
      </w:r>
      <w:r w:rsidRPr="000B206E">
        <w:rPr>
          <w:rFonts w:ascii="Times New Roman" w:hAnsi="Times New Roman" w:cs="Times New Roman"/>
          <w:b/>
          <w:i/>
        </w:rPr>
        <w:t>E. coli</w:t>
      </w:r>
      <w:r w:rsidRPr="000B206E">
        <w:rPr>
          <w:rFonts w:ascii="Times New Roman" w:hAnsi="Times New Roman" w:cs="Times New Roman"/>
          <w:b/>
        </w:rPr>
        <w:t xml:space="preserve"> infection induced broilers</w:t>
      </w:r>
    </w:p>
    <w:tbl>
      <w:tblPr>
        <w:tblW w:w="9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1141"/>
        <w:gridCol w:w="1609"/>
        <w:gridCol w:w="1594"/>
        <w:gridCol w:w="1361"/>
        <w:gridCol w:w="1248"/>
        <w:gridCol w:w="1450"/>
        <w:gridCol w:w="1160"/>
      </w:tblGrid>
      <w:tr w:rsidR="004B7BA1" w:rsidRPr="00FA5275" w14:paraId="4119D0C1" w14:textId="77777777" w:rsidTr="001B74A5">
        <w:trPr>
          <w:trHeight w:val="900"/>
        </w:trPr>
        <w:tc>
          <w:tcPr>
            <w:tcW w:w="1141" w:type="dxa"/>
          </w:tcPr>
          <w:p w14:paraId="2FBCAB66" w14:textId="77777777" w:rsidR="004B7BA1" w:rsidRPr="00FA5275" w:rsidRDefault="004B7BA1" w:rsidP="003E72F4">
            <w:pPr>
              <w:tabs>
                <w:tab w:val="left" w:pos="10710"/>
              </w:tabs>
              <w:spacing w:before="80" w:after="80" w:line="240" w:lineRule="auto"/>
              <w:jc w:val="center"/>
              <w:rPr>
                <w:rFonts w:ascii="Times New Roman" w:hAnsi="Times New Roman" w:cs="Times New Roman"/>
                <w:b/>
                <w:sz w:val="20"/>
              </w:rPr>
            </w:pPr>
            <w:r w:rsidRPr="00FA5275">
              <w:rPr>
                <w:rFonts w:ascii="Times New Roman" w:hAnsi="Times New Roman" w:cs="Times New Roman"/>
                <w:b/>
                <w:sz w:val="20"/>
              </w:rPr>
              <w:t>Group</w:t>
            </w:r>
          </w:p>
        </w:tc>
        <w:tc>
          <w:tcPr>
            <w:tcW w:w="1609" w:type="dxa"/>
          </w:tcPr>
          <w:p w14:paraId="641C5C48" w14:textId="77777777" w:rsidR="00FA5275" w:rsidRPr="00FA5275" w:rsidRDefault="004B7BA1" w:rsidP="003E72F4">
            <w:pPr>
              <w:spacing w:before="80" w:after="80" w:line="240" w:lineRule="auto"/>
              <w:jc w:val="center"/>
              <w:rPr>
                <w:rFonts w:ascii="Times New Roman" w:hAnsi="Times New Roman" w:cs="Times New Roman"/>
                <w:b/>
                <w:bCs/>
                <w:sz w:val="20"/>
                <w:lang w:eastAsia="en-IN" w:bidi="gu-IN"/>
              </w:rPr>
            </w:pPr>
            <w:r w:rsidRPr="00FA5275">
              <w:rPr>
                <w:rFonts w:ascii="Times New Roman" w:hAnsi="Times New Roman" w:cs="Times New Roman"/>
                <w:b/>
                <w:bCs/>
                <w:sz w:val="20"/>
                <w:lang w:eastAsia="en-IN" w:bidi="gu-IN"/>
              </w:rPr>
              <w:t>TLC</w:t>
            </w:r>
          </w:p>
          <w:p w14:paraId="74083321" w14:textId="055334C7" w:rsidR="004B7BA1" w:rsidRPr="00FA5275" w:rsidRDefault="004B7BA1" w:rsidP="003E72F4">
            <w:pPr>
              <w:spacing w:before="80" w:after="80" w:line="240" w:lineRule="auto"/>
              <w:jc w:val="center"/>
              <w:rPr>
                <w:rFonts w:ascii="Times New Roman" w:hAnsi="Times New Roman" w:cs="Times New Roman"/>
                <w:b/>
                <w:bCs/>
                <w:sz w:val="20"/>
                <w:lang w:eastAsia="en-IN" w:bidi="gu-IN"/>
              </w:rPr>
            </w:pPr>
            <w:r w:rsidRPr="00FA5275">
              <w:rPr>
                <w:rFonts w:ascii="Times New Roman" w:hAnsi="Times New Roman" w:cs="Times New Roman"/>
                <w:b/>
                <w:bCs/>
                <w:sz w:val="20"/>
                <w:lang w:eastAsia="en-IN" w:bidi="gu-IN"/>
              </w:rPr>
              <w:t xml:space="preserve"> (10</w:t>
            </w:r>
            <w:r w:rsidRPr="00FA5275">
              <w:rPr>
                <w:rFonts w:ascii="Times New Roman" w:hAnsi="Times New Roman" w:cs="Times New Roman"/>
                <w:b/>
                <w:bCs/>
                <w:sz w:val="20"/>
                <w:vertAlign w:val="superscript"/>
                <w:lang w:eastAsia="en-IN" w:bidi="gu-IN"/>
              </w:rPr>
              <w:t>6</w:t>
            </w:r>
            <w:r w:rsidRPr="00FA5275">
              <w:rPr>
                <w:rFonts w:ascii="Times New Roman" w:hAnsi="Times New Roman" w:cs="Times New Roman"/>
                <w:b/>
                <w:bCs/>
                <w:sz w:val="20"/>
                <w:lang w:eastAsia="en-IN" w:bidi="gu-IN"/>
              </w:rPr>
              <w:t xml:space="preserve">/ </w:t>
            </w:r>
            <w:proofErr w:type="spellStart"/>
            <w:r w:rsidRPr="00FA5275">
              <w:rPr>
                <w:rFonts w:ascii="Times New Roman" w:hAnsi="Times New Roman" w:cs="Times New Roman"/>
                <w:b/>
                <w:bCs/>
                <w:sz w:val="20"/>
                <w:lang w:eastAsia="en-IN" w:bidi="gu-IN"/>
              </w:rPr>
              <w:t>cumm</w:t>
            </w:r>
            <w:proofErr w:type="spellEnd"/>
            <w:r w:rsidRPr="00FA5275">
              <w:rPr>
                <w:rFonts w:ascii="Times New Roman" w:hAnsi="Times New Roman" w:cs="Times New Roman"/>
                <w:b/>
                <w:bCs/>
                <w:sz w:val="20"/>
                <w:lang w:eastAsia="en-IN" w:bidi="gu-IN"/>
              </w:rPr>
              <w:t>)</w:t>
            </w:r>
          </w:p>
        </w:tc>
        <w:tc>
          <w:tcPr>
            <w:tcW w:w="1594" w:type="dxa"/>
          </w:tcPr>
          <w:p w14:paraId="23B2953B" w14:textId="77777777" w:rsidR="00FA5275" w:rsidRPr="00FA5275" w:rsidRDefault="004B7BA1" w:rsidP="003E72F4">
            <w:pPr>
              <w:spacing w:before="80" w:after="80" w:line="240" w:lineRule="auto"/>
              <w:jc w:val="center"/>
              <w:rPr>
                <w:rFonts w:ascii="Times New Roman" w:hAnsi="Times New Roman" w:cs="Times New Roman"/>
                <w:b/>
                <w:sz w:val="20"/>
              </w:rPr>
            </w:pPr>
            <w:r w:rsidRPr="00FA5275">
              <w:rPr>
                <w:rFonts w:ascii="Times New Roman" w:hAnsi="Times New Roman" w:cs="Times New Roman"/>
                <w:b/>
                <w:sz w:val="20"/>
              </w:rPr>
              <w:t>Eosinophil</w:t>
            </w:r>
          </w:p>
          <w:p w14:paraId="799E7956" w14:textId="2F0D1385" w:rsidR="004B7BA1" w:rsidRPr="00FA5275" w:rsidRDefault="00FA5275" w:rsidP="003E72F4">
            <w:pPr>
              <w:spacing w:before="80" w:after="80" w:line="240" w:lineRule="auto"/>
              <w:jc w:val="center"/>
              <w:rPr>
                <w:rFonts w:ascii="Times New Roman" w:hAnsi="Times New Roman" w:cs="Times New Roman"/>
                <w:b/>
                <w:sz w:val="20"/>
              </w:rPr>
            </w:pPr>
            <w:r w:rsidRPr="00FA5275">
              <w:rPr>
                <w:rFonts w:ascii="Times New Roman" w:hAnsi="Times New Roman" w:cs="Times New Roman"/>
                <w:b/>
                <w:sz w:val="20"/>
              </w:rPr>
              <w:t xml:space="preserve"> </w:t>
            </w:r>
            <w:r w:rsidRPr="00FA5275">
              <w:rPr>
                <w:rFonts w:ascii="Times New Roman" w:hAnsi="Times New Roman" w:cs="Times New Roman"/>
                <w:b/>
                <w:bCs/>
                <w:sz w:val="20"/>
                <w:lang w:eastAsia="en-IN" w:bidi="gu-IN"/>
              </w:rPr>
              <w:t>(10</w:t>
            </w:r>
            <w:r w:rsidRPr="00FA5275">
              <w:rPr>
                <w:rFonts w:ascii="Times New Roman" w:hAnsi="Times New Roman" w:cs="Times New Roman"/>
                <w:b/>
                <w:bCs/>
                <w:sz w:val="20"/>
                <w:vertAlign w:val="superscript"/>
                <w:lang w:eastAsia="en-IN" w:bidi="gu-IN"/>
              </w:rPr>
              <w:t>6</w:t>
            </w:r>
            <w:r w:rsidRPr="00FA5275">
              <w:rPr>
                <w:rFonts w:ascii="Times New Roman" w:hAnsi="Times New Roman" w:cs="Times New Roman"/>
                <w:b/>
                <w:bCs/>
                <w:sz w:val="20"/>
                <w:lang w:eastAsia="en-IN" w:bidi="gu-IN"/>
              </w:rPr>
              <w:t xml:space="preserve">/ </w:t>
            </w:r>
            <w:proofErr w:type="spellStart"/>
            <w:r w:rsidRPr="00FA5275">
              <w:rPr>
                <w:rFonts w:ascii="Times New Roman" w:hAnsi="Times New Roman" w:cs="Times New Roman"/>
                <w:b/>
                <w:bCs/>
                <w:sz w:val="20"/>
                <w:lang w:eastAsia="en-IN" w:bidi="gu-IN"/>
              </w:rPr>
              <w:t>cumm</w:t>
            </w:r>
            <w:proofErr w:type="spellEnd"/>
            <w:r w:rsidRPr="00FA5275">
              <w:rPr>
                <w:rFonts w:ascii="Times New Roman" w:hAnsi="Times New Roman" w:cs="Times New Roman"/>
                <w:b/>
                <w:bCs/>
                <w:sz w:val="20"/>
                <w:lang w:eastAsia="en-IN" w:bidi="gu-IN"/>
              </w:rPr>
              <w:t>)</w:t>
            </w:r>
          </w:p>
        </w:tc>
        <w:tc>
          <w:tcPr>
            <w:tcW w:w="1361" w:type="dxa"/>
          </w:tcPr>
          <w:p w14:paraId="341D7D1D" w14:textId="77777777" w:rsidR="00FA5275" w:rsidRPr="00FA5275" w:rsidRDefault="004B7BA1" w:rsidP="003E72F4">
            <w:pPr>
              <w:spacing w:before="80" w:after="80" w:line="240" w:lineRule="auto"/>
              <w:jc w:val="center"/>
              <w:rPr>
                <w:rFonts w:ascii="Times New Roman" w:hAnsi="Times New Roman" w:cs="Times New Roman"/>
                <w:b/>
                <w:sz w:val="20"/>
              </w:rPr>
            </w:pPr>
            <w:r w:rsidRPr="00FA5275">
              <w:rPr>
                <w:rFonts w:ascii="Times New Roman" w:hAnsi="Times New Roman" w:cs="Times New Roman"/>
                <w:b/>
                <w:sz w:val="20"/>
              </w:rPr>
              <w:t>Basophil</w:t>
            </w:r>
          </w:p>
          <w:p w14:paraId="4FA1DE4A" w14:textId="1513CFF4" w:rsidR="004B7BA1" w:rsidRPr="00FA5275" w:rsidRDefault="00FA5275" w:rsidP="003E72F4">
            <w:pPr>
              <w:spacing w:before="80" w:after="80" w:line="240" w:lineRule="auto"/>
              <w:jc w:val="center"/>
              <w:rPr>
                <w:rFonts w:ascii="Times New Roman" w:hAnsi="Times New Roman" w:cs="Times New Roman"/>
                <w:b/>
                <w:sz w:val="20"/>
              </w:rPr>
            </w:pPr>
            <w:r w:rsidRPr="00FA5275">
              <w:rPr>
                <w:rFonts w:ascii="Times New Roman" w:hAnsi="Times New Roman" w:cs="Times New Roman"/>
                <w:b/>
                <w:bCs/>
                <w:sz w:val="20"/>
                <w:lang w:eastAsia="en-IN" w:bidi="gu-IN"/>
              </w:rPr>
              <w:t>(10</w:t>
            </w:r>
            <w:r w:rsidRPr="00FA5275">
              <w:rPr>
                <w:rFonts w:ascii="Times New Roman" w:hAnsi="Times New Roman" w:cs="Times New Roman"/>
                <w:b/>
                <w:bCs/>
                <w:sz w:val="20"/>
                <w:vertAlign w:val="superscript"/>
                <w:lang w:eastAsia="en-IN" w:bidi="gu-IN"/>
              </w:rPr>
              <w:t>6</w:t>
            </w:r>
            <w:r w:rsidRPr="00FA5275">
              <w:rPr>
                <w:rFonts w:ascii="Times New Roman" w:hAnsi="Times New Roman" w:cs="Times New Roman"/>
                <w:b/>
                <w:bCs/>
                <w:sz w:val="20"/>
                <w:lang w:eastAsia="en-IN" w:bidi="gu-IN"/>
              </w:rPr>
              <w:t xml:space="preserve">/ </w:t>
            </w:r>
            <w:proofErr w:type="spellStart"/>
            <w:r w:rsidRPr="00FA5275">
              <w:rPr>
                <w:rFonts w:ascii="Times New Roman" w:hAnsi="Times New Roman" w:cs="Times New Roman"/>
                <w:b/>
                <w:bCs/>
                <w:sz w:val="20"/>
                <w:lang w:eastAsia="en-IN" w:bidi="gu-IN"/>
              </w:rPr>
              <w:t>cumm</w:t>
            </w:r>
            <w:proofErr w:type="spellEnd"/>
            <w:r w:rsidRPr="00FA5275">
              <w:rPr>
                <w:rFonts w:ascii="Times New Roman" w:hAnsi="Times New Roman" w:cs="Times New Roman"/>
                <w:b/>
                <w:bCs/>
                <w:sz w:val="20"/>
                <w:lang w:eastAsia="en-IN" w:bidi="gu-IN"/>
              </w:rPr>
              <w:t>)</w:t>
            </w:r>
          </w:p>
        </w:tc>
        <w:tc>
          <w:tcPr>
            <w:tcW w:w="1248" w:type="dxa"/>
          </w:tcPr>
          <w:p w14:paraId="6D4B50AE" w14:textId="77777777" w:rsidR="00FA5275" w:rsidRPr="00FA5275" w:rsidRDefault="004B7BA1" w:rsidP="003E72F4">
            <w:pPr>
              <w:spacing w:before="80" w:after="80" w:line="240" w:lineRule="auto"/>
              <w:jc w:val="center"/>
              <w:rPr>
                <w:rFonts w:ascii="Times New Roman" w:hAnsi="Times New Roman" w:cs="Times New Roman"/>
                <w:b/>
                <w:sz w:val="20"/>
              </w:rPr>
            </w:pPr>
            <w:proofErr w:type="spellStart"/>
            <w:r w:rsidRPr="00FA5275">
              <w:rPr>
                <w:rFonts w:ascii="Times New Roman" w:hAnsi="Times New Roman" w:cs="Times New Roman"/>
                <w:b/>
                <w:sz w:val="20"/>
              </w:rPr>
              <w:t>Hetrophil</w:t>
            </w:r>
            <w:proofErr w:type="spellEnd"/>
          </w:p>
          <w:p w14:paraId="0FD99514" w14:textId="6A558139" w:rsidR="004B7BA1" w:rsidRPr="00FA5275" w:rsidRDefault="00FA5275" w:rsidP="003E72F4">
            <w:pPr>
              <w:spacing w:before="80" w:after="80" w:line="240" w:lineRule="auto"/>
              <w:jc w:val="center"/>
              <w:rPr>
                <w:rFonts w:ascii="Times New Roman" w:hAnsi="Times New Roman" w:cs="Times New Roman"/>
                <w:b/>
                <w:sz w:val="20"/>
              </w:rPr>
            </w:pPr>
            <w:r w:rsidRPr="00FA5275">
              <w:rPr>
                <w:rFonts w:ascii="Times New Roman" w:hAnsi="Times New Roman" w:cs="Times New Roman"/>
                <w:b/>
                <w:bCs/>
                <w:sz w:val="20"/>
                <w:lang w:eastAsia="en-IN" w:bidi="gu-IN"/>
              </w:rPr>
              <w:t>(10</w:t>
            </w:r>
            <w:r w:rsidRPr="00FA5275">
              <w:rPr>
                <w:rFonts w:ascii="Times New Roman" w:hAnsi="Times New Roman" w:cs="Times New Roman"/>
                <w:b/>
                <w:bCs/>
                <w:sz w:val="20"/>
                <w:vertAlign w:val="superscript"/>
                <w:lang w:eastAsia="en-IN" w:bidi="gu-IN"/>
              </w:rPr>
              <w:t>6</w:t>
            </w:r>
            <w:r w:rsidRPr="00FA5275">
              <w:rPr>
                <w:rFonts w:ascii="Times New Roman" w:hAnsi="Times New Roman" w:cs="Times New Roman"/>
                <w:b/>
                <w:bCs/>
                <w:sz w:val="20"/>
                <w:lang w:eastAsia="en-IN" w:bidi="gu-IN"/>
              </w:rPr>
              <w:t xml:space="preserve">/ </w:t>
            </w:r>
            <w:proofErr w:type="spellStart"/>
            <w:r w:rsidRPr="00FA5275">
              <w:rPr>
                <w:rFonts w:ascii="Times New Roman" w:hAnsi="Times New Roman" w:cs="Times New Roman"/>
                <w:b/>
                <w:bCs/>
                <w:sz w:val="20"/>
                <w:lang w:eastAsia="en-IN" w:bidi="gu-IN"/>
              </w:rPr>
              <w:t>cumm</w:t>
            </w:r>
            <w:proofErr w:type="spellEnd"/>
            <w:r w:rsidRPr="00FA5275">
              <w:rPr>
                <w:rFonts w:ascii="Times New Roman" w:hAnsi="Times New Roman" w:cs="Times New Roman"/>
                <w:b/>
                <w:bCs/>
                <w:sz w:val="20"/>
                <w:lang w:eastAsia="en-IN" w:bidi="gu-IN"/>
              </w:rPr>
              <w:t>)</w:t>
            </w:r>
          </w:p>
        </w:tc>
        <w:tc>
          <w:tcPr>
            <w:tcW w:w="1450" w:type="dxa"/>
          </w:tcPr>
          <w:p w14:paraId="22889CF1" w14:textId="77777777" w:rsidR="00FA5275" w:rsidRPr="00FA5275" w:rsidRDefault="004B7BA1" w:rsidP="003E72F4">
            <w:pPr>
              <w:spacing w:before="80" w:after="80" w:line="240" w:lineRule="auto"/>
              <w:jc w:val="center"/>
              <w:rPr>
                <w:rFonts w:ascii="Times New Roman" w:hAnsi="Times New Roman" w:cs="Times New Roman"/>
                <w:b/>
                <w:sz w:val="20"/>
              </w:rPr>
            </w:pPr>
            <w:r w:rsidRPr="00FA5275">
              <w:rPr>
                <w:rFonts w:ascii="Times New Roman" w:hAnsi="Times New Roman" w:cs="Times New Roman"/>
                <w:b/>
                <w:sz w:val="20"/>
              </w:rPr>
              <w:t>Lymphocyte</w:t>
            </w:r>
          </w:p>
          <w:p w14:paraId="2938CBBA" w14:textId="0A9F7643" w:rsidR="004B7BA1" w:rsidRPr="00FA5275" w:rsidRDefault="00FA5275" w:rsidP="003E72F4">
            <w:pPr>
              <w:spacing w:before="80" w:after="80" w:line="240" w:lineRule="auto"/>
              <w:jc w:val="center"/>
              <w:rPr>
                <w:rFonts w:ascii="Times New Roman" w:hAnsi="Times New Roman" w:cs="Times New Roman"/>
                <w:b/>
                <w:sz w:val="20"/>
              </w:rPr>
            </w:pPr>
            <w:r w:rsidRPr="00FA5275">
              <w:rPr>
                <w:rFonts w:ascii="Times New Roman" w:hAnsi="Times New Roman" w:cs="Times New Roman"/>
                <w:b/>
                <w:bCs/>
                <w:sz w:val="20"/>
                <w:lang w:eastAsia="en-IN" w:bidi="gu-IN"/>
              </w:rPr>
              <w:t>(10</w:t>
            </w:r>
            <w:r w:rsidRPr="00FA5275">
              <w:rPr>
                <w:rFonts w:ascii="Times New Roman" w:hAnsi="Times New Roman" w:cs="Times New Roman"/>
                <w:b/>
                <w:bCs/>
                <w:sz w:val="20"/>
                <w:vertAlign w:val="superscript"/>
                <w:lang w:eastAsia="en-IN" w:bidi="gu-IN"/>
              </w:rPr>
              <w:t>6</w:t>
            </w:r>
            <w:r w:rsidRPr="00FA5275">
              <w:rPr>
                <w:rFonts w:ascii="Times New Roman" w:hAnsi="Times New Roman" w:cs="Times New Roman"/>
                <w:b/>
                <w:bCs/>
                <w:sz w:val="20"/>
                <w:lang w:eastAsia="en-IN" w:bidi="gu-IN"/>
              </w:rPr>
              <w:t xml:space="preserve">/ </w:t>
            </w:r>
            <w:proofErr w:type="spellStart"/>
            <w:r w:rsidRPr="00FA5275">
              <w:rPr>
                <w:rFonts w:ascii="Times New Roman" w:hAnsi="Times New Roman" w:cs="Times New Roman"/>
                <w:b/>
                <w:bCs/>
                <w:sz w:val="20"/>
                <w:lang w:eastAsia="en-IN" w:bidi="gu-IN"/>
              </w:rPr>
              <w:t>cumm</w:t>
            </w:r>
            <w:proofErr w:type="spellEnd"/>
            <w:r w:rsidRPr="00FA5275">
              <w:rPr>
                <w:rFonts w:ascii="Times New Roman" w:hAnsi="Times New Roman" w:cs="Times New Roman"/>
                <w:b/>
                <w:bCs/>
                <w:sz w:val="20"/>
                <w:lang w:eastAsia="en-IN" w:bidi="gu-IN"/>
              </w:rPr>
              <w:t>)</w:t>
            </w:r>
          </w:p>
        </w:tc>
        <w:tc>
          <w:tcPr>
            <w:tcW w:w="1160" w:type="dxa"/>
          </w:tcPr>
          <w:p w14:paraId="1A2F6556" w14:textId="77777777" w:rsidR="00FA5275" w:rsidRPr="00FA5275" w:rsidRDefault="004B7BA1" w:rsidP="003E72F4">
            <w:pPr>
              <w:spacing w:before="80" w:after="80" w:line="240" w:lineRule="auto"/>
              <w:jc w:val="center"/>
              <w:rPr>
                <w:rFonts w:ascii="Times New Roman" w:hAnsi="Times New Roman" w:cs="Times New Roman"/>
                <w:b/>
                <w:sz w:val="20"/>
              </w:rPr>
            </w:pPr>
            <w:r w:rsidRPr="00FA5275">
              <w:rPr>
                <w:rFonts w:ascii="Times New Roman" w:hAnsi="Times New Roman" w:cs="Times New Roman"/>
                <w:b/>
                <w:sz w:val="20"/>
              </w:rPr>
              <w:t>Monocyte</w:t>
            </w:r>
          </w:p>
          <w:p w14:paraId="02EC5F8A" w14:textId="6DF990A8" w:rsidR="004B7BA1" w:rsidRPr="00FA5275" w:rsidRDefault="00FA5275" w:rsidP="003E72F4">
            <w:pPr>
              <w:spacing w:before="80" w:after="80" w:line="240" w:lineRule="auto"/>
              <w:jc w:val="center"/>
              <w:rPr>
                <w:rFonts w:ascii="Times New Roman" w:hAnsi="Times New Roman" w:cs="Times New Roman"/>
                <w:b/>
                <w:sz w:val="20"/>
              </w:rPr>
            </w:pPr>
            <w:r w:rsidRPr="00FA5275">
              <w:rPr>
                <w:rFonts w:ascii="Times New Roman" w:hAnsi="Times New Roman" w:cs="Times New Roman"/>
                <w:b/>
                <w:bCs/>
                <w:sz w:val="20"/>
                <w:lang w:eastAsia="en-IN" w:bidi="gu-IN"/>
              </w:rPr>
              <w:t>(10</w:t>
            </w:r>
            <w:r w:rsidRPr="00FA5275">
              <w:rPr>
                <w:rFonts w:ascii="Times New Roman" w:hAnsi="Times New Roman" w:cs="Times New Roman"/>
                <w:b/>
                <w:bCs/>
                <w:sz w:val="20"/>
                <w:vertAlign w:val="superscript"/>
                <w:lang w:eastAsia="en-IN" w:bidi="gu-IN"/>
              </w:rPr>
              <w:t>6</w:t>
            </w:r>
            <w:r w:rsidRPr="00FA5275">
              <w:rPr>
                <w:rFonts w:ascii="Times New Roman" w:hAnsi="Times New Roman" w:cs="Times New Roman"/>
                <w:b/>
                <w:bCs/>
                <w:sz w:val="20"/>
                <w:lang w:eastAsia="en-IN" w:bidi="gu-IN"/>
              </w:rPr>
              <w:t xml:space="preserve">/ </w:t>
            </w:r>
            <w:proofErr w:type="spellStart"/>
            <w:r w:rsidRPr="00FA5275">
              <w:rPr>
                <w:rFonts w:ascii="Times New Roman" w:hAnsi="Times New Roman" w:cs="Times New Roman"/>
                <w:b/>
                <w:bCs/>
                <w:sz w:val="20"/>
                <w:lang w:eastAsia="en-IN" w:bidi="gu-IN"/>
              </w:rPr>
              <w:t>cumm</w:t>
            </w:r>
            <w:proofErr w:type="spellEnd"/>
            <w:r w:rsidRPr="00FA5275">
              <w:rPr>
                <w:rFonts w:ascii="Times New Roman" w:hAnsi="Times New Roman" w:cs="Times New Roman"/>
                <w:b/>
                <w:bCs/>
                <w:sz w:val="20"/>
                <w:lang w:eastAsia="en-IN" w:bidi="gu-IN"/>
              </w:rPr>
              <w:t>)</w:t>
            </w:r>
          </w:p>
        </w:tc>
      </w:tr>
      <w:tr w:rsidR="004B7BA1" w:rsidRPr="00FA5275" w14:paraId="782BB986" w14:textId="77777777" w:rsidTr="001B74A5">
        <w:trPr>
          <w:trHeight w:val="582"/>
        </w:trPr>
        <w:tc>
          <w:tcPr>
            <w:tcW w:w="1141" w:type="dxa"/>
          </w:tcPr>
          <w:p w14:paraId="166A489F" w14:textId="77777777" w:rsidR="004B7BA1" w:rsidRPr="00FA5275" w:rsidRDefault="004B7BA1" w:rsidP="003E72F4">
            <w:pPr>
              <w:tabs>
                <w:tab w:val="left" w:pos="10710"/>
              </w:tabs>
              <w:spacing w:before="80" w:after="80" w:line="240" w:lineRule="auto"/>
              <w:jc w:val="center"/>
              <w:rPr>
                <w:rFonts w:ascii="Times New Roman" w:hAnsi="Times New Roman" w:cs="Times New Roman"/>
                <w:sz w:val="20"/>
              </w:rPr>
            </w:pPr>
            <w:r w:rsidRPr="00FA5275">
              <w:rPr>
                <w:rFonts w:ascii="Times New Roman" w:hAnsi="Times New Roman" w:cs="Times New Roman"/>
                <w:sz w:val="20"/>
              </w:rPr>
              <w:t>T0</w:t>
            </w:r>
          </w:p>
        </w:tc>
        <w:tc>
          <w:tcPr>
            <w:tcW w:w="1609" w:type="dxa"/>
          </w:tcPr>
          <w:p w14:paraId="0670B157" w14:textId="24C1935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13</w:t>
            </w:r>
            <w:r w:rsidRPr="00FA5275">
              <w:rPr>
                <w:rFonts w:ascii="Times New Roman" w:hAnsi="Times New Roman" w:cs="Times New Roman"/>
                <w:sz w:val="20"/>
                <w:vertAlign w:val="superscript"/>
              </w:rPr>
              <w:t xml:space="preserve">c </w:t>
            </w:r>
            <w:r w:rsidRPr="00FA5275">
              <w:rPr>
                <w:rFonts w:ascii="Times New Roman" w:hAnsi="Times New Roman" w:cs="Times New Roman"/>
                <w:sz w:val="20"/>
              </w:rPr>
              <w:t>±0.44</w:t>
            </w:r>
          </w:p>
        </w:tc>
        <w:tc>
          <w:tcPr>
            <w:tcW w:w="1594" w:type="dxa"/>
          </w:tcPr>
          <w:p w14:paraId="2C500536"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2.00</w:t>
            </w:r>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±0.58</w:t>
            </w:r>
          </w:p>
        </w:tc>
        <w:tc>
          <w:tcPr>
            <w:tcW w:w="1361" w:type="dxa"/>
          </w:tcPr>
          <w:p w14:paraId="14E4C1B6"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1.33</w:t>
            </w:r>
            <w:r w:rsidRPr="00FA5275">
              <w:rPr>
                <w:rFonts w:ascii="Times New Roman" w:hAnsi="Times New Roman" w:cs="Times New Roman"/>
                <w:sz w:val="20"/>
                <w:vertAlign w:val="superscript"/>
              </w:rPr>
              <w:t xml:space="preserve">c </w:t>
            </w:r>
            <w:r w:rsidRPr="00FA5275">
              <w:rPr>
                <w:rFonts w:ascii="Times New Roman" w:hAnsi="Times New Roman" w:cs="Times New Roman"/>
                <w:sz w:val="20"/>
              </w:rPr>
              <w:t>±0.42</w:t>
            </w:r>
          </w:p>
        </w:tc>
        <w:tc>
          <w:tcPr>
            <w:tcW w:w="1248" w:type="dxa"/>
          </w:tcPr>
          <w:p w14:paraId="26E81579"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73.00</w:t>
            </w:r>
            <w:r w:rsidRPr="00FA5275">
              <w:rPr>
                <w:rFonts w:ascii="Times New Roman" w:hAnsi="Times New Roman" w:cs="Times New Roman"/>
                <w:sz w:val="20"/>
                <w:vertAlign w:val="superscript"/>
              </w:rPr>
              <w:t xml:space="preserve">a </w:t>
            </w:r>
            <w:r w:rsidRPr="00FA5275">
              <w:rPr>
                <w:rFonts w:ascii="Times New Roman" w:hAnsi="Times New Roman" w:cs="Times New Roman"/>
                <w:sz w:val="20"/>
              </w:rPr>
              <w:t>±1.10</w:t>
            </w:r>
          </w:p>
        </w:tc>
        <w:tc>
          <w:tcPr>
            <w:tcW w:w="1450" w:type="dxa"/>
          </w:tcPr>
          <w:p w14:paraId="308C78D5" w14:textId="7BC60EAB"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23.33</w:t>
            </w:r>
            <w:proofErr w:type="gramStart"/>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w:t>
            </w:r>
            <w:proofErr w:type="gramEnd"/>
            <w:r w:rsidRPr="00FA5275">
              <w:rPr>
                <w:rFonts w:ascii="Times New Roman" w:hAnsi="Times New Roman" w:cs="Times New Roman"/>
                <w:sz w:val="20"/>
              </w:rPr>
              <w:t>0.80</w:t>
            </w:r>
          </w:p>
        </w:tc>
        <w:tc>
          <w:tcPr>
            <w:tcW w:w="1160" w:type="dxa"/>
          </w:tcPr>
          <w:p w14:paraId="18044DDC"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0.33 ±0.21</w:t>
            </w:r>
          </w:p>
        </w:tc>
      </w:tr>
      <w:tr w:rsidR="004B7BA1" w:rsidRPr="00FA5275" w14:paraId="2BFE5B90" w14:textId="77777777" w:rsidTr="001B74A5">
        <w:trPr>
          <w:trHeight w:val="565"/>
        </w:trPr>
        <w:tc>
          <w:tcPr>
            <w:tcW w:w="1141" w:type="dxa"/>
          </w:tcPr>
          <w:p w14:paraId="40794A42" w14:textId="77777777" w:rsidR="004B7BA1" w:rsidRPr="00FA5275" w:rsidRDefault="004B7BA1" w:rsidP="003E72F4">
            <w:pPr>
              <w:tabs>
                <w:tab w:val="left" w:pos="10710"/>
              </w:tabs>
              <w:spacing w:before="80" w:after="80" w:line="240" w:lineRule="auto"/>
              <w:jc w:val="center"/>
              <w:rPr>
                <w:rFonts w:ascii="Times New Roman" w:hAnsi="Times New Roman" w:cs="Times New Roman"/>
                <w:sz w:val="20"/>
              </w:rPr>
            </w:pPr>
            <w:r w:rsidRPr="00FA5275">
              <w:rPr>
                <w:rFonts w:ascii="Times New Roman" w:hAnsi="Times New Roman" w:cs="Times New Roman"/>
                <w:sz w:val="20"/>
              </w:rPr>
              <w:t>T1</w:t>
            </w:r>
          </w:p>
        </w:tc>
        <w:tc>
          <w:tcPr>
            <w:tcW w:w="1609" w:type="dxa"/>
          </w:tcPr>
          <w:p w14:paraId="08229421"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18.70</w:t>
            </w:r>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±1.12</w:t>
            </w:r>
          </w:p>
        </w:tc>
        <w:tc>
          <w:tcPr>
            <w:tcW w:w="1594" w:type="dxa"/>
          </w:tcPr>
          <w:p w14:paraId="31997AC6"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1.50</w:t>
            </w:r>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±0.43</w:t>
            </w:r>
          </w:p>
        </w:tc>
        <w:tc>
          <w:tcPr>
            <w:tcW w:w="1361" w:type="dxa"/>
          </w:tcPr>
          <w:p w14:paraId="6807CE07"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7.00</w:t>
            </w:r>
            <w:r w:rsidRPr="00FA5275">
              <w:rPr>
                <w:rFonts w:ascii="Times New Roman" w:hAnsi="Times New Roman" w:cs="Times New Roman"/>
                <w:sz w:val="20"/>
                <w:vertAlign w:val="superscript"/>
              </w:rPr>
              <w:t xml:space="preserve">a </w:t>
            </w:r>
            <w:r w:rsidRPr="00FA5275">
              <w:rPr>
                <w:rFonts w:ascii="Times New Roman" w:hAnsi="Times New Roman" w:cs="Times New Roman"/>
                <w:sz w:val="20"/>
              </w:rPr>
              <w:t>±0.58</w:t>
            </w:r>
          </w:p>
        </w:tc>
        <w:tc>
          <w:tcPr>
            <w:tcW w:w="1248" w:type="dxa"/>
          </w:tcPr>
          <w:p w14:paraId="0E77C30E"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77.50</w:t>
            </w:r>
            <w:r w:rsidRPr="00FA5275">
              <w:rPr>
                <w:rFonts w:ascii="Times New Roman" w:hAnsi="Times New Roman" w:cs="Times New Roman"/>
                <w:sz w:val="20"/>
                <w:vertAlign w:val="superscript"/>
              </w:rPr>
              <w:t xml:space="preserve">a </w:t>
            </w:r>
            <w:r w:rsidRPr="00FA5275">
              <w:rPr>
                <w:rFonts w:ascii="Times New Roman" w:hAnsi="Times New Roman" w:cs="Times New Roman"/>
                <w:sz w:val="20"/>
              </w:rPr>
              <w:t>±2.49</w:t>
            </w:r>
          </w:p>
        </w:tc>
        <w:tc>
          <w:tcPr>
            <w:tcW w:w="1450" w:type="dxa"/>
          </w:tcPr>
          <w:p w14:paraId="2382A1C4" w14:textId="714BE299"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13.67</w:t>
            </w:r>
            <w:proofErr w:type="gramStart"/>
            <w:r w:rsidRPr="00FA5275">
              <w:rPr>
                <w:rFonts w:ascii="Times New Roman" w:hAnsi="Times New Roman" w:cs="Times New Roman"/>
                <w:sz w:val="20"/>
                <w:vertAlign w:val="superscript"/>
              </w:rPr>
              <w:t xml:space="preserve">c  </w:t>
            </w:r>
            <w:r w:rsidRPr="00FA5275">
              <w:rPr>
                <w:rFonts w:ascii="Times New Roman" w:hAnsi="Times New Roman" w:cs="Times New Roman"/>
                <w:sz w:val="20"/>
              </w:rPr>
              <w:t>±</w:t>
            </w:r>
            <w:proofErr w:type="gramEnd"/>
            <w:r w:rsidRPr="00FA5275">
              <w:rPr>
                <w:rFonts w:ascii="Times New Roman" w:hAnsi="Times New Roman" w:cs="Times New Roman"/>
                <w:sz w:val="20"/>
              </w:rPr>
              <w:t>2.80</w:t>
            </w:r>
          </w:p>
        </w:tc>
        <w:tc>
          <w:tcPr>
            <w:tcW w:w="1160" w:type="dxa"/>
          </w:tcPr>
          <w:p w14:paraId="6584A016"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0.33 ±0.21</w:t>
            </w:r>
          </w:p>
        </w:tc>
      </w:tr>
      <w:tr w:rsidR="004B7BA1" w:rsidRPr="00FA5275" w14:paraId="4F29B8C1" w14:textId="77777777" w:rsidTr="001B74A5">
        <w:trPr>
          <w:trHeight w:val="565"/>
        </w:trPr>
        <w:tc>
          <w:tcPr>
            <w:tcW w:w="1141" w:type="dxa"/>
          </w:tcPr>
          <w:p w14:paraId="580B688C" w14:textId="77777777" w:rsidR="004B7BA1" w:rsidRPr="00FA5275" w:rsidRDefault="004B7BA1" w:rsidP="003E72F4">
            <w:pPr>
              <w:tabs>
                <w:tab w:val="left" w:pos="10710"/>
              </w:tabs>
              <w:spacing w:before="80" w:after="80" w:line="240" w:lineRule="auto"/>
              <w:jc w:val="center"/>
              <w:rPr>
                <w:rFonts w:ascii="Times New Roman" w:hAnsi="Times New Roman" w:cs="Times New Roman"/>
                <w:sz w:val="20"/>
              </w:rPr>
            </w:pPr>
            <w:r w:rsidRPr="00FA5275">
              <w:rPr>
                <w:rFonts w:ascii="Times New Roman" w:hAnsi="Times New Roman" w:cs="Times New Roman"/>
                <w:sz w:val="20"/>
              </w:rPr>
              <w:t>T2</w:t>
            </w:r>
          </w:p>
        </w:tc>
        <w:tc>
          <w:tcPr>
            <w:tcW w:w="1609" w:type="dxa"/>
          </w:tcPr>
          <w:p w14:paraId="48B69667"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20.39</w:t>
            </w:r>
            <w:r w:rsidRPr="00FA5275">
              <w:rPr>
                <w:rFonts w:ascii="Times New Roman" w:hAnsi="Times New Roman" w:cs="Times New Roman"/>
                <w:sz w:val="20"/>
                <w:vertAlign w:val="superscript"/>
              </w:rPr>
              <w:t xml:space="preserve">ab </w:t>
            </w:r>
            <w:r w:rsidRPr="00FA5275">
              <w:rPr>
                <w:rFonts w:ascii="Times New Roman" w:hAnsi="Times New Roman" w:cs="Times New Roman"/>
                <w:sz w:val="20"/>
              </w:rPr>
              <w:t>±1.42</w:t>
            </w:r>
          </w:p>
        </w:tc>
        <w:tc>
          <w:tcPr>
            <w:tcW w:w="1594" w:type="dxa"/>
          </w:tcPr>
          <w:p w14:paraId="1FB4DB91"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2.33</w:t>
            </w:r>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±0.42</w:t>
            </w:r>
          </w:p>
        </w:tc>
        <w:tc>
          <w:tcPr>
            <w:tcW w:w="1361" w:type="dxa"/>
          </w:tcPr>
          <w:p w14:paraId="7857FD99"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3.67</w:t>
            </w:r>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±0.33</w:t>
            </w:r>
          </w:p>
        </w:tc>
        <w:tc>
          <w:tcPr>
            <w:tcW w:w="1248" w:type="dxa"/>
          </w:tcPr>
          <w:p w14:paraId="62A8D210"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36.00</w:t>
            </w:r>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±1.90</w:t>
            </w:r>
          </w:p>
        </w:tc>
        <w:tc>
          <w:tcPr>
            <w:tcW w:w="1450" w:type="dxa"/>
          </w:tcPr>
          <w:p w14:paraId="018F96D8" w14:textId="626A777F"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57.33</w:t>
            </w:r>
            <w:proofErr w:type="gramStart"/>
            <w:r w:rsidRPr="00FA5275">
              <w:rPr>
                <w:rFonts w:ascii="Times New Roman" w:hAnsi="Times New Roman" w:cs="Times New Roman"/>
                <w:sz w:val="20"/>
                <w:vertAlign w:val="superscript"/>
              </w:rPr>
              <w:t xml:space="preserve">a  </w:t>
            </w:r>
            <w:r w:rsidRPr="00FA5275">
              <w:rPr>
                <w:rFonts w:ascii="Times New Roman" w:hAnsi="Times New Roman" w:cs="Times New Roman"/>
                <w:sz w:val="20"/>
              </w:rPr>
              <w:t>±</w:t>
            </w:r>
            <w:proofErr w:type="gramEnd"/>
            <w:r w:rsidRPr="00FA5275">
              <w:rPr>
                <w:rFonts w:ascii="Times New Roman" w:hAnsi="Times New Roman" w:cs="Times New Roman"/>
                <w:sz w:val="20"/>
              </w:rPr>
              <w:t>1.58</w:t>
            </w:r>
          </w:p>
        </w:tc>
        <w:tc>
          <w:tcPr>
            <w:tcW w:w="1160" w:type="dxa"/>
          </w:tcPr>
          <w:p w14:paraId="7C9A8693"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0.67 ±0.21</w:t>
            </w:r>
          </w:p>
        </w:tc>
      </w:tr>
      <w:tr w:rsidR="004B7BA1" w:rsidRPr="00FA5275" w14:paraId="4224E93C" w14:textId="77777777" w:rsidTr="001B74A5">
        <w:trPr>
          <w:trHeight w:val="582"/>
        </w:trPr>
        <w:tc>
          <w:tcPr>
            <w:tcW w:w="1141" w:type="dxa"/>
          </w:tcPr>
          <w:p w14:paraId="0EA1932A" w14:textId="77777777" w:rsidR="004B7BA1" w:rsidRPr="00FA5275" w:rsidRDefault="004B7BA1" w:rsidP="003E72F4">
            <w:pPr>
              <w:tabs>
                <w:tab w:val="left" w:pos="10710"/>
              </w:tabs>
              <w:spacing w:before="80" w:after="80" w:line="240" w:lineRule="auto"/>
              <w:jc w:val="center"/>
              <w:rPr>
                <w:rFonts w:ascii="Times New Roman" w:hAnsi="Times New Roman" w:cs="Times New Roman"/>
                <w:sz w:val="20"/>
              </w:rPr>
            </w:pPr>
            <w:r w:rsidRPr="00FA5275">
              <w:rPr>
                <w:rFonts w:ascii="Times New Roman" w:hAnsi="Times New Roman" w:cs="Times New Roman"/>
                <w:sz w:val="20"/>
              </w:rPr>
              <w:t>T3</w:t>
            </w:r>
          </w:p>
        </w:tc>
        <w:tc>
          <w:tcPr>
            <w:tcW w:w="1609" w:type="dxa"/>
          </w:tcPr>
          <w:p w14:paraId="67977DEF"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22.37</w:t>
            </w:r>
            <w:r w:rsidRPr="00FA5275">
              <w:rPr>
                <w:rFonts w:ascii="Times New Roman" w:hAnsi="Times New Roman" w:cs="Times New Roman"/>
                <w:sz w:val="20"/>
                <w:vertAlign w:val="superscript"/>
              </w:rPr>
              <w:t xml:space="preserve">a </w:t>
            </w:r>
            <w:r w:rsidRPr="00FA5275">
              <w:rPr>
                <w:rFonts w:ascii="Times New Roman" w:hAnsi="Times New Roman" w:cs="Times New Roman"/>
                <w:sz w:val="20"/>
              </w:rPr>
              <w:t>±0.62</w:t>
            </w:r>
          </w:p>
        </w:tc>
        <w:tc>
          <w:tcPr>
            <w:tcW w:w="1594" w:type="dxa"/>
          </w:tcPr>
          <w:p w14:paraId="39C72532"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2.16</w:t>
            </w:r>
            <w:r w:rsidRPr="00FA5275">
              <w:rPr>
                <w:rFonts w:ascii="Times New Roman" w:hAnsi="Times New Roman" w:cs="Times New Roman"/>
                <w:sz w:val="20"/>
                <w:vertAlign w:val="superscript"/>
              </w:rPr>
              <w:t xml:space="preserve">a    </w:t>
            </w:r>
            <w:r w:rsidRPr="00FA5275">
              <w:rPr>
                <w:rFonts w:ascii="Times New Roman" w:hAnsi="Times New Roman" w:cs="Times New Roman"/>
                <w:sz w:val="20"/>
              </w:rPr>
              <w:t>±0.79</w:t>
            </w:r>
          </w:p>
        </w:tc>
        <w:tc>
          <w:tcPr>
            <w:tcW w:w="1361" w:type="dxa"/>
          </w:tcPr>
          <w:p w14:paraId="27EAD42B"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1.67</w:t>
            </w:r>
            <w:r w:rsidRPr="00FA5275">
              <w:rPr>
                <w:rFonts w:ascii="Times New Roman" w:hAnsi="Times New Roman" w:cs="Times New Roman"/>
                <w:sz w:val="20"/>
                <w:vertAlign w:val="superscript"/>
              </w:rPr>
              <w:t xml:space="preserve">c </w:t>
            </w:r>
            <w:r w:rsidRPr="00FA5275">
              <w:rPr>
                <w:rFonts w:ascii="Times New Roman" w:hAnsi="Times New Roman" w:cs="Times New Roman"/>
                <w:sz w:val="20"/>
              </w:rPr>
              <w:t>±1.28</w:t>
            </w:r>
          </w:p>
        </w:tc>
        <w:tc>
          <w:tcPr>
            <w:tcW w:w="1248" w:type="dxa"/>
          </w:tcPr>
          <w:p w14:paraId="76DA49C3"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29.67</w:t>
            </w:r>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±3.75</w:t>
            </w:r>
          </w:p>
        </w:tc>
        <w:tc>
          <w:tcPr>
            <w:tcW w:w="1450" w:type="dxa"/>
          </w:tcPr>
          <w:p w14:paraId="2F4CBD5F" w14:textId="72EB8708"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61.67</w:t>
            </w:r>
            <w:r w:rsidRPr="00FA5275">
              <w:rPr>
                <w:rFonts w:ascii="Times New Roman" w:hAnsi="Times New Roman" w:cs="Times New Roman"/>
                <w:sz w:val="20"/>
                <w:vertAlign w:val="superscript"/>
              </w:rPr>
              <w:t xml:space="preserve">a </w:t>
            </w:r>
            <w:r w:rsidRPr="00FA5275">
              <w:rPr>
                <w:rFonts w:ascii="Times New Roman" w:hAnsi="Times New Roman" w:cs="Times New Roman"/>
                <w:sz w:val="20"/>
              </w:rPr>
              <w:t>±4.32</w:t>
            </w:r>
          </w:p>
        </w:tc>
        <w:tc>
          <w:tcPr>
            <w:tcW w:w="1160" w:type="dxa"/>
          </w:tcPr>
          <w:p w14:paraId="2E099EFC"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0.83 ±0.31</w:t>
            </w:r>
          </w:p>
        </w:tc>
      </w:tr>
      <w:tr w:rsidR="004B7BA1" w:rsidRPr="00FA5275" w14:paraId="3C8BC6A6" w14:textId="77777777" w:rsidTr="001B74A5">
        <w:trPr>
          <w:trHeight w:val="565"/>
        </w:trPr>
        <w:tc>
          <w:tcPr>
            <w:tcW w:w="1141" w:type="dxa"/>
          </w:tcPr>
          <w:p w14:paraId="1D148BC6" w14:textId="77777777" w:rsidR="004B7BA1" w:rsidRPr="00FA5275" w:rsidRDefault="004B7BA1" w:rsidP="003E72F4">
            <w:pPr>
              <w:tabs>
                <w:tab w:val="left" w:pos="10710"/>
              </w:tabs>
              <w:spacing w:before="80" w:after="80" w:line="240" w:lineRule="auto"/>
              <w:jc w:val="center"/>
              <w:rPr>
                <w:rFonts w:ascii="Times New Roman" w:hAnsi="Times New Roman" w:cs="Times New Roman"/>
                <w:sz w:val="20"/>
              </w:rPr>
            </w:pPr>
            <w:r w:rsidRPr="00FA5275">
              <w:rPr>
                <w:rFonts w:ascii="Times New Roman" w:hAnsi="Times New Roman" w:cs="Times New Roman"/>
                <w:sz w:val="20"/>
              </w:rPr>
              <w:t>T4</w:t>
            </w:r>
          </w:p>
        </w:tc>
        <w:tc>
          <w:tcPr>
            <w:tcW w:w="1609" w:type="dxa"/>
          </w:tcPr>
          <w:p w14:paraId="3842F0C3"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21.13</w:t>
            </w:r>
            <w:r w:rsidRPr="00FA5275">
              <w:rPr>
                <w:rFonts w:ascii="Times New Roman" w:hAnsi="Times New Roman" w:cs="Times New Roman"/>
                <w:sz w:val="20"/>
                <w:vertAlign w:val="superscript"/>
              </w:rPr>
              <w:t xml:space="preserve">ab </w:t>
            </w:r>
            <w:r w:rsidRPr="00FA5275">
              <w:rPr>
                <w:rFonts w:ascii="Times New Roman" w:hAnsi="Times New Roman" w:cs="Times New Roman"/>
                <w:sz w:val="20"/>
              </w:rPr>
              <w:t>±1.29</w:t>
            </w:r>
          </w:p>
        </w:tc>
        <w:tc>
          <w:tcPr>
            <w:tcW w:w="1594" w:type="dxa"/>
          </w:tcPr>
          <w:p w14:paraId="7B1B4DC4"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2.33</w:t>
            </w:r>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±0.42</w:t>
            </w:r>
          </w:p>
        </w:tc>
        <w:tc>
          <w:tcPr>
            <w:tcW w:w="1361" w:type="dxa"/>
          </w:tcPr>
          <w:p w14:paraId="61834BBE"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3.67</w:t>
            </w:r>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±0.33</w:t>
            </w:r>
          </w:p>
        </w:tc>
        <w:tc>
          <w:tcPr>
            <w:tcW w:w="1248" w:type="dxa"/>
          </w:tcPr>
          <w:p w14:paraId="04FD9577"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36.00</w:t>
            </w:r>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±1.90</w:t>
            </w:r>
          </w:p>
        </w:tc>
        <w:tc>
          <w:tcPr>
            <w:tcW w:w="1450" w:type="dxa"/>
          </w:tcPr>
          <w:p w14:paraId="0F5B96C1" w14:textId="111FBC53"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57.5</w:t>
            </w:r>
            <w:proofErr w:type="gramStart"/>
            <w:r w:rsidRPr="00FA5275">
              <w:rPr>
                <w:rFonts w:ascii="Times New Roman" w:hAnsi="Times New Roman" w:cs="Times New Roman"/>
                <w:sz w:val="20"/>
                <w:vertAlign w:val="superscript"/>
              </w:rPr>
              <w:t xml:space="preserve">a  </w:t>
            </w:r>
            <w:r w:rsidRPr="00FA5275">
              <w:rPr>
                <w:rFonts w:ascii="Times New Roman" w:hAnsi="Times New Roman" w:cs="Times New Roman"/>
                <w:sz w:val="20"/>
              </w:rPr>
              <w:t>±</w:t>
            </w:r>
            <w:proofErr w:type="gramEnd"/>
            <w:r w:rsidRPr="00FA5275">
              <w:rPr>
                <w:rFonts w:ascii="Times New Roman" w:hAnsi="Times New Roman" w:cs="Times New Roman"/>
                <w:sz w:val="20"/>
              </w:rPr>
              <w:t>1.63</w:t>
            </w:r>
          </w:p>
        </w:tc>
        <w:tc>
          <w:tcPr>
            <w:tcW w:w="1160" w:type="dxa"/>
          </w:tcPr>
          <w:p w14:paraId="47B31725"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0.50 ±0.22</w:t>
            </w:r>
          </w:p>
        </w:tc>
      </w:tr>
      <w:tr w:rsidR="004B7BA1" w:rsidRPr="00FA5275" w14:paraId="140BBE86" w14:textId="77777777" w:rsidTr="001B74A5">
        <w:trPr>
          <w:trHeight w:val="565"/>
        </w:trPr>
        <w:tc>
          <w:tcPr>
            <w:tcW w:w="1141" w:type="dxa"/>
          </w:tcPr>
          <w:p w14:paraId="5950B0D6" w14:textId="77777777" w:rsidR="004B7BA1" w:rsidRPr="00FA5275" w:rsidRDefault="004B7BA1" w:rsidP="003E72F4">
            <w:pPr>
              <w:tabs>
                <w:tab w:val="left" w:pos="10710"/>
              </w:tabs>
              <w:spacing w:before="80" w:after="80" w:line="240" w:lineRule="auto"/>
              <w:jc w:val="center"/>
              <w:rPr>
                <w:rFonts w:ascii="Times New Roman" w:hAnsi="Times New Roman" w:cs="Times New Roman"/>
                <w:sz w:val="20"/>
              </w:rPr>
            </w:pPr>
            <w:r w:rsidRPr="00FA5275">
              <w:rPr>
                <w:rFonts w:ascii="Times New Roman" w:hAnsi="Times New Roman" w:cs="Times New Roman"/>
                <w:sz w:val="20"/>
              </w:rPr>
              <w:t>T5</w:t>
            </w:r>
          </w:p>
        </w:tc>
        <w:tc>
          <w:tcPr>
            <w:tcW w:w="1609" w:type="dxa"/>
          </w:tcPr>
          <w:p w14:paraId="079CD61D"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13.83</w:t>
            </w:r>
            <w:r w:rsidRPr="00FA5275">
              <w:rPr>
                <w:rFonts w:ascii="Times New Roman" w:hAnsi="Times New Roman" w:cs="Times New Roman"/>
                <w:sz w:val="20"/>
                <w:vertAlign w:val="superscript"/>
              </w:rPr>
              <w:t xml:space="preserve">c </w:t>
            </w:r>
            <w:r w:rsidRPr="00FA5275">
              <w:rPr>
                <w:rFonts w:ascii="Times New Roman" w:hAnsi="Times New Roman" w:cs="Times New Roman"/>
                <w:sz w:val="20"/>
              </w:rPr>
              <w:t>±0.82</w:t>
            </w:r>
          </w:p>
        </w:tc>
        <w:tc>
          <w:tcPr>
            <w:tcW w:w="1594" w:type="dxa"/>
          </w:tcPr>
          <w:p w14:paraId="26CEDE3E"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2.00</w:t>
            </w:r>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±0.37</w:t>
            </w:r>
          </w:p>
        </w:tc>
        <w:tc>
          <w:tcPr>
            <w:tcW w:w="1361" w:type="dxa"/>
          </w:tcPr>
          <w:p w14:paraId="6930C3D7"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1.67</w:t>
            </w:r>
            <w:r w:rsidRPr="00FA5275">
              <w:rPr>
                <w:rFonts w:ascii="Times New Roman" w:hAnsi="Times New Roman" w:cs="Times New Roman"/>
                <w:sz w:val="20"/>
                <w:vertAlign w:val="superscript"/>
              </w:rPr>
              <w:t xml:space="preserve">c </w:t>
            </w:r>
            <w:r w:rsidRPr="00FA5275">
              <w:rPr>
                <w:rFonts w:ascii="Times New Roman" w:hAnsi="Times New Roman" w:cs="Times New Roman"/>
                <w:sz w:val="20"/>
              </w:rPr>
              <w:t>±0.33</w:t>
            </w:r>
          </w:p>
        </w:tc>
        <w:tc>
          <w:tcPr>
            <w:tcW w:w="1248" w:type="dxa"/>
          </w:tcPr>
          <w:p w14:paraId="0ED60EB6"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72.50</w:t>
            </w:r>
            <w:r w:rsidRPr="00FA5275">
              <w:rPr>
                <w:rFonts w:ascii="Times New Roman" w:hAnsi="Times New Roman" w:cs="Times New Roman"/>
                <w:sz w:val="20"/>
                <w:vertAlign w:val="superscript"/>
              </w:rPr>
              <w:t xml:space="preserve">a </w:t>
            </w:r>
            <w:r w:rsidRPr="00FA5275">
              <w:rPr>
                <w:rFonts w:ascii="Times New Roman" w:hAnsi="Times New Roman" w:cs="Times New Roman"/>
                <w:sz w:val="20"/>
              </w:rPr>
              <w:t>±0.72</w:t>
            </w:r>
          </w:p>
        </w:tc>
        <w:tc>
          <w:tcPr>
            <w:tcW w:w="1450" w:type="dxa"/>
          </w:tcPr>
          <w:p w14:paraId="44FF1C68" w14:textId="6003CE4B"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23.33</w:t>
            </w:r>
            <w:proofErr w:type="gramStart"/>
            <w:r w:rsidRPr="00FA5275">
              <w:rPr>
                <w:rFonts w:ascii="Times New Roman" w:hAnsi="Times New Roman" w:cs="Times New Roman"/>
                <w:sz w:val="20"/>
                <w:vertAlign w:val="superscript"/>
              </w:rPr>
              <w:t xml:space="preserve">b  </w:t>
            </w:r>
            <w:r w:rsidRPr="00FA5275">
              <w:rPr>
                <w:rFonts w:ascii="Times New Roman" w:hAnsi="Times New Roman" w:cs="Times New Roman"/>
                <w:sz w:val="20"/>
              </w:rPr>
              <w:t>±</w:t>
            </w:r>
            <w:proofErr w:type="gramEnd"/>
            <w:r w:rsidRPr="00FA5275">
              <w:rPr>
                <w:rFonts w:ascii="Times New Roman" w:hAnsi="Times New Roman" w:cs="Times New Roman"/>
                <w:sz w:val="20"/>
              </w:rPr>
              <w:t>0.72</w:t>
            </w:r>
          </w:p>
        </w:tc>
        <w:tc>
          <w:tcPr>
            <w:tcW w:w="1160" w:type="dxa"/>
          </w:tcPr>
          <w:p w14:paraId="09F195C8" w14:textId="77777777" w:rsidR="004B7BA1" w:rsidRPr="00FA5275" w:rsidRDefault="004B7BA1" w:rsidP="003E72F4">
            <w:pPr>
              <w:spacing w:before="80" w:after="80" w:line="240" w:lineRule="auto"/>
              <w:jc w:val="center"/>
              <w:rPr>
                <w:rFonts w:ascii="Times New Roman" w:hAnsi="Times New Roman" w:cs="Times New Roman"/>
                <w:sz w:val="20"/>
              </w:rPr>
            </w:pPr>
            <w:r w:rsidRPr="00FA5275">
              <w:rPr>
                <w:rFonts w:ascii="Times New Roman" w:hAnsi="Times New Roman" w:cs="Times New Roman"/>
                <w:sz w:val="20"/>
              </w:rPr>
              <w:t>0.50 ±0.22</w:t>
            </w:r>
          </w:p>
        </w:tc>
      </w:tr>
    </w:tbl>
    <w:p w14:paraId="155019D6" w14:textId="77777777" w:rsidR="004B7BA1" w:rsidRPr="000B206E" w:rsidRDefault="004B7BA1" w:rsidP="004B7BA1">
      <w:pPr>
        <w:spacing w:before="60" w:after="0" w:line="240" w:lineRule="auto"/>
        <w:jc w:val="both"/>
        <w:rPr>
          <w:rFonts w:ascii="Times New Roman" w:hAnsi="Times New Roman" w:cs="Times New Roman"/>
          <w:sz w:val="18"/>
        </w:rPr>
      </w:pPr>
      <w:r w:rsidRPr="000B206E">
        <w:rPr>
          <w:rFonts w:ascii="Times New Roman" w:hAnsi="Times New Roman" w:cs="Times New Roman"/>
          <w:sz w:val="18"/>
        </w:rPr>
        <w:t>Values are expressed as mean ± SE, n=6; means bearing common superscript in column do not differ significantly (P &lt; 0.05) NS- Non significant.</w:t>
      </w:r>
    </w:p>
    <w:p w14:paraId="77CCDE11" w14:textId="77777777" w:rsidR="004B7BA1" w:rsidRPr="004B7BA1" w:rsidRDefault="004B7BA1" w:rsidP="004B7BA1">
      <w:pPr>
        <w:spacing w:after="0" w:line="360" w:lineRule="auto"/>
        <w:jc w:val="both"/>
        <w:rPr>
          <w:rFonts w:ascii="Times New Roman" w:hAnsi="Times New Roman" w:cs="Times New Roman"/>
          <w:sz w:val="24"/>
          <w:szCs w:val="24"/>
        </w:rPr>
      </w:pPr>
    </w:p>
    <w:p w14:paraId="7E5D71E6" w14:textId="77777777" w:rsidR="001B74A5" w:rsidRDefault="001B74A5" w:rsidP="000B206E">
      <w:pPr>
        <w:rPr>
          <w:rFonts w:ascii="Times New Roman" w:hAnsi="Times New Roman" w:cs="Times New Roman"/>
          <w:sz w:val="24"/>
          <w:szCs w:val="24"/>
        </w:rPr>
      </w:pPr>
    </w:p>
    <w:p w14:paraId="48F1E86E" w14:textId="77777777" w:rsidR="00FA5275" w:rsidRDefault="00FA5275" w:rsidP="000B206E">
      <w:pPr>
        <w:rPr>
          <w:rFonts w:ascii="Times New Roman" w:hAnsi="Times New Roman" w:cs="Times New Roman"/>
          <w:sz w:val="24"/>
          <w:szCs w:val="24"/>
        </w:rPr>
      </w:pPr>
    </w:p>
    <w:p w14:paraId="07111881" w14:textId="77777777" w:rsidR="001B74A5" w:rsidRDefault="001B74A5" w:rsidP="000B206E">
      <w:pPr>
        <w:rPr>
          <w:rFonts w:ascii="Times New Roman" w:hAnsi="Times New Roman" w:cs="Times New Roman"/>
          <w:sz w:val="24"/>
          <w:szCs w:val="24"/>
        </w:rPr>
      </w:pPr>
    </w:p>
    <w:p w14:paraId="17596EA7" w14:textId="6DB49C6B" w:rsidR="004B7BA1" w:rsidRDefault="004B7BA1" w:rsidP="000B206E">
      <w:r w:rsidRPr="00E7630F">
        <w:rPr>
          <w:rFonts w:ascii="Arial" w:hAnsi="Arial" w:cs="Arial"/>
          <w:noProof/>
          <w:sz w:val="24"/>
          <w:szCs w:val="24"/>
        </w:rPr>
        <w:drawing>
          <wp:anchor distT="0" distB="0" distL="114300" distR="114300" simplePos="0" relativeHeight="251659264" behindDoc="1" locked="0" layoutInCell="1" allowOverlap="1" wp14:anchorId="4C219E88" wp14:editId="40CB975B">
            <wp:simplePos x="0" y="0"/>
            <wp:positionH relativeFrom="margin">
              <wp:align>right</wp:align>
            </wp:positionH>
            <wp:positionV relativeFrom="paragraph">
              <wp:posOffset>76200</wp:posOffset>
            </wp:positionV>
            <wp:extent cx="2701290" cy="2087880"/>
            <wp:effectExtent l="0" t="0" r="3810" b="7620"/>
            <wp:wrapNone/>
            <wp:docPr id="24" name="Chart 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E7630F">
        <w:rPr>
          <w:rFonts w:ascii="Arial" w:hAnsi="Arial" w:cs="Arial"/>
          <w:b/>
          <w:noProof/>
          <w:sz w:val="24"/>
          <w:szCs w:val="24"/>
        </w:rPr>
        <w:drawing>
          <wp:anchor distT="0" distB="0" distL="114300" distR="114300" simplePos="0" relativeHeight="251660288" behindDoc="1" locked="0" layoutInCell="1" allowOverlap="1" wp14:anchorId="5D7A5C18" wp14:editId="3A2BDCFC">
            <wp:simplePos x="0" y="0"/>
            <wp:positionH relativeFrom="column">
              <wp:posOffset>-87630</wp:posOffset>
            </wp:positionH>
            <wp:positionV relativeFrom="paragraph">
              <wp:posOffset>160020</wp:posOffset>
            </wp:positionV>
            <wp:extent cx="2846070" cy="2004060"/>
            <wp:effectExtent l="0" t="0" r="11430" b="15240"/>
            <wp:wrapNone/>
            <wp:docPr id="25" name="Chart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5CF6C92B" w14:textId="77777777" w:rsidR="004B7BA1" w:rsidRDefault="004B7BA1" w:rsidP="004B7BA1"/>
    <w:p w14:paraId="029061EC" w14:textId="77777777" w:rsidR="004B7BA1" w:rsidRDefault="004B7BA1" w:rsidP="004B7BA1"/>
    <w:p w14:paraId="78095267" w14:textId="77777777" w:rsidR="004B7BA1" w:rsidRDefault="004B7BA1" w:rsidP="004B7BA1"/>
    <w:p w14:paraId="18AB380D" w14:textId="77777777" w:rsidR="004B7BA1" w:rsidRDefault="004B7BA1" w:rsidP="004B7BA1"/>
    <w:p w14:paraId="7B921439" w14:textId="77777777" w:rsidR="004B7BA1" w:rsidRDefault="004B7BA1" w:rsidP="004B7BA1">
      <w:pPr>
        <w:spacing w:after="0" w:line="360" w:lineRule="auto"/>
        <w:jc w:val="both"/>
        <w:rPr>
          <w:rFonts w:ascii="Times New Roman" w:hAnsi="Times New Roman" w:cs="Times New Roman"/>
          <w:sz w:val="24"/>
          <w:szCs w:val="24"/>
        </w:rPr>
      </w:pPr>
    </w:p>
    <w:p w14:paraId="2E1ED62E" w14:textId="77777777" w:rsidR="004B7BA1" w:rsidRDefault="004B7BA1" w:rsidP="004B7BA1">
      <w:pPr>
        <w:spacing w:after="0" w:line="360" w:lineRule="auto"/>
        <w:jc w:val="both"/>
        <w:rPr>
          <w:rFonts w:ascii="Times New Roman" w:hAnsi="Times New Roman" w:cs="Times New Roman"/>
          <w:sz w:val="24"/>
          <w:szCs w:val="24"/>
        </w:rPr>
      </w:pPr>
    </w:p>
    <w:p w14:paraId="700B65C5" w14:textId="77777777" w:rsidR="004B7BA1" w:rsidRDefault="004B7BA1" w:rsidP="004B7BA1">
      <w:pPr>
        <w:spacing w:after="0" w:line="360" w:lineRule="auto"/>
        <w:jc w:val="both"/>
        <w:rPr>
          <w:rFonts w:ascii="Times New Roman" w:hAnsi="Times New Roman" w:cs="Times New Roman"/>
          <w:sz w:val="24"/>
          <w:szCs w:val="24"/>
        </w:rPr>
      </w:pPr>
    </w:p>
    <w:p w14:paraId="004C2637" w14:textId="77777777" w:rsidR="004B7BA1" w:rsidRDefault="004B7BA1" w:rsidP="004B7BA1">
      <w:pPr>
        <w:spacing w:after="0" w:line="360" w:lineRule="auto"/>
        <w:jc w:val="both"/>
        <w:rPr>
          <w:rFonts w:ascii="Times New Roman" w:hAnsi="Times New Roman" w:cs="Times New Roman"/>
          <w:sz w:val="24"/>
          <w:szCs w:val="24"/>
        </w:rPr>
      </w:pPr>
      <w:r w:rsidRPr="00E7630F">
        <w:rPr>
          <w:rFonts w:ascii="Arial" w:hAnsi="Arial" w:cs="Arial"/>
          <w:noProof/>
          <w:sz w:val="24"/>
          <w:szCs w:val="24"/>
        </w:rPr>
        <w:drawing>
          <wp:anchor distT="0" distB="0" distL="114300" distR="114300" simplePos="0" relativeHeight="251661312" behindDoc="1" locked="0" layoutInCell="1" allowOverlap="1" wp14:anchorId="3FC98856" wp14:editId="31802E73">
            <wp:simplePos x="0" y="0"/>
            <wp:positionH relativeFrom="column">
              <wp:posOffset>-60960</wp:posOffset>
            </wp:positionH>
            <wp:positionV relativeFrom="paragraph">
              <wp:posOffset>267335</wp:posOffset>
            </wp:positionV>
            <wp:extent cx="2823210" cy="2042160"/>
            <wp:effectExtent l="0" t="0" r="15240" b="15240"/>
            <wp:wrapNone/>
            <wp:docPr id="27" name="Chart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E7630F">
        <w:rPr>
          <w:rFonts w:ascii="Arial" w:hAnsi="Arial" w:cs="Arial"/>
          <w:noProof/>
          <w:sz w:val="24"/>
          <w:szCs w:val="24"/>
        </w:rPr>
        <w:drawing>
          <wp:anchor distT="0" distB="0" distL="114300" distR="114300" simplePos="0" relativeHeight="251662336" behindDoc="1" locked="0" layoutInCell="1" allowOverlap="1" wp14:anchorId="1D82B823" wp14:editId="3ADEDFB2">
            <wp:simplePos x="0" y="0"/>
            <wp:positionH relativeFrom="column">
              <wp:posOffset>3074670</wp:posOffset>
            </wp:positionH>
            <wp:positionV relativeFrom="paragraph">
              <wp:posOffset>244475</wp:posOffset>
            </wp:positionV>
            <wp:extent cx="2754630" cy="2087880"/>
            <wp:effectExtent l="0" t="0" r="7620" b="7620"/>
            <wp:wrapNone/>
            <wp:docPr id="26" name="Chart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462B1F9" w14:textId="77777777" w:rsidR="004B7BA1" w:rsidRDefault="004B7BA1" w:rsidP="004B7BA1">
      <w:pPr>
        <w:spacing w:after="0" w:line="360" w:lineRule="auto"/>
        <w:jc w:val="both"/>
        <w:rPr>
          <w:rFonts w:ascii="Times New Roman" w:hAnsi="Times New Roman" w:cs="Times New Roman"/>
          <w:sz w:val="24"/>
          <w:szCs w:val="24"/>
        </w:rPr>
      </w:pPr>
    </w:p>
    <w:p w14:paraId="59525474" w14:textId="77777777" w:rsidR="004B7BA1" w:rsidRDefault="004B7BA1" w:rsidP="004B7BA1">
      <w:pPr>
        <w:spacing w:after="0" w:line="360" w:lineRule="auto"/>
        <w:jc w:val="both"/>
        <w:rPr>
          <w:rFonts w:ascii="Times New Roman" w:hAnsi="Times New Roman" w:cs="Times New Roman"/>
          <w:sz w:val="24"/>
          <w:szCs w:val="24"/>
        </w:rPr>
      </w:pPr>
    </w:p>
    <w:p w14:paraId="467EDACA" w14:textId="77777777" w:rsidR="004B7BA1" w:rsidRDefault="004B7BA1" w:rsidP="004B7BA1">
      <w:pPr>
        <w:spacing w:after="0" w:line="360" w:lineRule="auto"/>
        <w:jc w:val="both"/>
        <w:rPr>
          <w:rFonts w:ascii="Arial" w:hAnsi="Arial" w:cs="Arial"/>
          <w:b/>
          <w:sz w:val="24"/>
          <w:szCs w:val="24"/>
        </w:rPr>
      </w:pPr>
    </w:p>
    <w:p w14:paraId="0B9C599E" w14:textId="77777777" w:rsidR="004B7BA1" w:rsidRDefault="004B7BA1" w:rsidP="004B7BA1">
      <w:pPr>
        <w:spacing w:after="0" w:line="360" w:lineRule="auto"/>
        <w:jc w:val="both"/>
        <w:rPr>
          <w:rFonts w:ascii="Arial" w:hAnsi="Arial" w:cs="Arial"/>
          <w:b/>
          <w:sz w:val="24"/>
          <w:szCs w:val="24"/>
        </w:rPr>
      </w:pPr>
    </w:p>
    <w:p w14:paraId="0826BAE6" w14:textId="77777777" w:rsidR="004B7BA1" w:rsidRDefault="004B7BA1" w:rsidP="004B7BA1">
      <w:pPr>
        <w:spacing w:after="0" w:line="360" w:lineRule="auto"/>
        <w:jc w:val="both"/>
        <w:rPr>
          <w:rFonts w:ascii="Arial" w:hAnsi="Arial" w:cs="Arial"/>
          <w:b/>
          <w:sz w:val="24"/>
          <w:szCs w:val="24"/>
        </w:rPr>
      </w:pPr>
    </w:p>
    <w:p w14:paraId="50DCBB62" w14:textId="77777777" w:rsidR="004B7BA1" w:rsidRDefault="004B7BA1" w:rsidP="004B7BA1">
      <w:pPr>
        <w:spacing w:after="0" w:line="360" w:lineRule="auto"/>
        <w:jc w:val="both"/>
        <w:rPr>
          <w:rFonts w:ascii="Arial" w:hAnsi="Arial" w:cs="Arial"/>
          <w:b/>
          <w:sz w:val="24"/>
          <w:szCs w:val="24"/>
        </w:rPr>
      </w:pPr>
    </w:p>
    <w:p w14:paraId="3F0D706C" w14:textId="77777777" w:rsidR="004B7BA1" w:rsidRDefault="004B7BA1" w:rsidP="004B7BA1">
      <w:pPr>
        <w:spacing w:after="0" w:line="360" w:lineRule="auto"/>
        <w:jc w:val="both"/>
        <w:rPr>
          <w:rFonts w:ascii="Arial" w:hAnsi="Arial" w:cs="Arial"/>
          <w:b/>
          <w:sz w:val="24"/>
          <w:szCs w:val="24"/>
        </w:rPr>
      </w:pPr>
    </w:p>
    <w:p w14:paraId="019EC691" w14:textId="77777777" w:rsidR="004B7BA1" w:rsidRDefault="004B7BA1" w:rsidP="004B7BA1">
      <w:pPr>
        <w:spacing w:after="0" w:line="360" w:lineRule="auto"/>
        <w:jc w:val="both"/>
        <w:rPr>
          <w:rFonts w:ascii="Arial" w:hAnsi="Arial" w:cs="Arial"/>
          <w:b/>
          <w:sz w:val="24"/>
          <w:szCs w:val="24"/>
        </w:rPr>
      </w:pPr>
    </w:p>
    <w:p w14:paraId="4334484C" w14:textId="77777777" w:rsidR="004B7BA1" w:rsidRDefault="004B7BA1" w:rsidP="004B7BA1">
      <w:pPr>
        <w:spacing w:after="0" w:line="360" w:lineRule="auto"/>
        <w:jc w:val="both"/>
        <w:rPr>
          <w:rFonts w:ascii="Arial" w:hAnsi="Arial" w:cs="Arial"/>
          <w:b/>
          <w:sz w:val="24"/>
          <w:szCs w:val="24"/>
        </w:rPr>
      </w:pPr>
    </w:p>
    <w:p w14:paraId="47C6581D" w14:textId="77777777" w:rsidR="004B7BA1" w:rsidRDefault="004B7BA1" w:rsidP="004B7BA1">
      <w:pPr>
        <w:spacing w:after="0" w:line="360" w:lineRule="auto"/>
        <w:jc w:val="both"/>
        <w:rPr>
          <w:rFonts w:ascii="Arial" w:hAnsi="Arial" w:cs="Arial"/>
          <w:b/>
          <w:sz w:val="24"/>
          <w:szCs w:val="24"/>
        </w:rPr>
      </w:pPr>
      <w:r w:rsidRPr="00E7630F">
        <w:rPr>
          <w:rFonts w:ascii="Arial" w:hAnsi="Arial" w:cs="Arial"/>
          <w:noProof/>
          <w:sz w:val="24"/>
          <w:szCs w:val="24"/>
        </w:rPr>
        <w:drawing>
          <wp:anchor distT="0" distB="0" distL="114300" distR="114300" simplePos="0" relativeHeight="251663360" behindDoc="1" locked="0" layoutInCell="1" allowOverlap="1" wp14:anchorId="1338865C" wp14:editId="7A8730F7">
            <wp:simplePos x="0" y="0"/>
            <wp:positionH relativeFrom="margin">
              <wp:align>left</wp:align>
            </wp:positionH>
            <wp:positionV relativeFrom="paragraph">
              <wp:posOffset>8255</wp:posOffset>
            </wp:positionV>
            <wp:extent cx="2800350" cy="1798320"/>
            <wp:effectExtent l="0" t="0" r="0" b="11430"/>
            <wp:wrapNone/>
            <wp:docPr id="29" name="Chart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E7630F">
        <w:rPr>
          <w:rFonts w:ascii="Arial" w:hAnsi="Arial" w:cs="Arial"/>
          <w:noProof/>
          <w:sz w:val="24"/>
          <w:szCs w:val="24"/>
        </w:rPr>
        <w:drawing>
          <wp:anchor distT="0" distB="0" distL="114300" distR="114300" simplePos="0" relativeHeight="251664384" behindDoc="1" locked="0" layoutInCell="1" allowOverlap="1" wp14:anchorId="2F6E60C1" wp14:editId="38828AAE">
            <wp:simplePos x="0" y="0"/>
            <wp:positionH relativeFrom="margin">
              <wp:posOffset>3086100</wp:posOffset>
            </wp:positionH>
            <wp:positionV relativeFrom="paragraph">
              <wp:posOffset>8255</wp:posOffset>
            </wp:positionV>
            <wp:extent cx="2720340" cy="1836420"/>
            <wp:effectExtent l="0" t="0" r="3810" b="11430"/>
            <wp:wrapNone/>
            <wp:docPr id="28" name="Chart 4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1F2F20EF" w14:textId="77777777" w:rsidR="004B7BA1" w:rsidRDefault="004B7BA1" w:rsidP="004B7BA1">
      <w:pPr>
        <w:spacing w:after="0" w:line="360" w:lineRule="auto"/>
        <w:jc w:val="both"/>
        <w:rPr>
          <w:rFonts w:ascii="Arial" w:hAnsi="Arial" w:cs="Arial"/>
          <w:b/>
          <w:sz w:val="24"/>
          <w:szCs w:val="24"/>
        </w:rPr>
      </w:pPr>
    </w:p>
    <w:p w14:paraId="6E0F46D7" w14:textId="77777777" w:rsidR="004B7BA1" w:rsidRDefault="004B7BA1" w:rsidP="004B7BA1">
      <w:pPr>
        <w:spacing w:after="0" w:line="360" w:lineRule="auto"/>
        <w:jc w:val="both"/>
        <w:rPr>
          <w:rFonts w:ascii="Arial" w:hAnsi="Arial" w:cs="Arial"/>
          <w:b/>
          <w:sz w:val="24"/>
          <w:szCs w:val="24"/>
        </w:rPr>
      </w:pPr>
    </w:p>
    <w:p w14:paraId="5B1D9406" w14:textId="77777777" w:rsidR="004B7BA1" w:rsidRDefault="004B7BA1" w:rsidP="004B7BA1">
      <w:pPr>
        <w:spacing w:after="0" w:line="360" w:lineRule="auto"/>
        <w:jc w:val="both"/>
        <w:rPr>
          <w:rFonts w:ascii="Arial" w:hAnsi="Arial" w:cs="Arial"/>
          <w:b/>
          <w:sz w:val="24"/>
          <w:szCs w:val="24"/>
        </w:rPr>
      </w:pPr>
    </w:p>
    <w:p w14:paraId="18C49601" w14:textId="77777777" w:rsidR="004B7BA1" w:rsidRDefault="004B7BA1" w:rsidP="004B7BA1">
      <w:pPr>
        <w:spacing w:after="0" w:line="360" w:lineRule="auto"/>
        <w:jc w:val="both"/>
        <w:rPr>
          <w:rFonts w:ascii="Arial" w:hAnsi="Arial" w:cs="Arial"/>
          <w:b/>
          <w:sz w:val="24"/>
          <w:szCs w:val="24"/>
        </w:rPr>
      </w:pPr>
    </w:p>
    <w:p w14:paraId="48BB6673" w14:textId="77777777" w:rsidR="004B7BA1" w:rsidRDefault="004B7BA1" w:rsidP="004B7BA1">
      <w:pPr>
        <w:spacing w:after="0" w:line="360" w:lineRule="auto"/>
        <w:jc w:val="both"/>
        <w:rPr>
          <w:rFonts w:ascii="Arial" w:hAnsi="Arial" w:cs="Arial"/>
          <w:b/>
          <w:sz w:val="24"/>
          <w:szCs w:val="24"/>
        </w:rPr>
      </w:pPr>
    </w:p>
    <w:p w14:paraId="58562B8F" w14:textId="77777777" w:rsidR="004B7BA1" w:rsidRDefault="004B7BA1" w:rsidP="004B7BA1">
      <w:pPr>
        <w:spacing w:after="0" w:line="360" w:lineRule="auto"/>
        <w:jc w:val="both"/>
        <w:rPr>
          <w:rFonts w:ascii="Arial" w:hAnsi="Arial" w:cs="Arial"/>
          <w:b/>
          <w:sz w:val="24"/>
          <w:szCs w:val="24"/>
        </w:rPr>
      </w:pPr>
    </w:p>
    <w:p w14:paraId="7CD1E85C" w14:textId="77777777" w:rsidR="004B7BA1" w:rsidRDefault="004B7BA1" w:rsidP="004B7BA1">
      <w:pPr>
        <w:spacing w:after="0" w:line="360" w:lineRule="auto"/>
        <w:jc w:val="both"/>
        <w:rPr>
          <w:rFonts w:ascii="Arial" w:hAnsi="Arial" w:cs="Arial"/>
          <w:b/>
          <w:sz w:val="24"/>
          <w:szCs w:val="24"/>
        </w:rPr>
      </w:pPr>
    </w:p>
    <w:p w14:paraId="1BCC0257" w14:textId="7C84FD7F" w:rsidR="004B7BA1" w:rsidRDefault="004B7BA1" w:rsidP="004B7BA1">
      <w:pPr>
        <w:spacing w:after="0" w:line="360" w:lineRule="auto"/>
        <w:jc w:val="both"/>
        <w:rPr>
          <w:rFonts w:ascii="Times New Roman" w:hAnsi="Times New Roman" w:cs="Times New Roman"/>
          <w:b/>
          <w:sz w:val="24"/>
          <w:szCs w:val="24"/>
        </w:rPr>
      </w:pPr>
      <w:r w:rsidRPr="00696D07">
        <w:rPr>
          <w:rFonts w:ascii="Times New Roman" w:hAnsi="Times New Roman" w:cs="Times New Roman"/>
          <w:b/>
          <w:sz w:val="24"/>
          <w:szCs w:val="24"/>
        </w:rPr>
        <w:t xml:space="preserve">Fig. </w:t>
      </w:r>
      <w:r w:rsidR="00EA06FA">
        <w:rPr>
          <w:rFonts w:ascii="Times New Roman" w:hAnsi="Times New Roman" w:cs="Times New Roman"/>
          <w:b/>
          <w:sz w:val="24"/>
          <w:szCs w:val="24"/>
        </w:rPr>
        <w:t>1</w:t>
      </w:r>
      <w:r w:rsidRPr="00696D07">
        <w:rPr>
          <w:rFonts w:ascii="Times New Roman" w:hAnsi="Times New Roman" w:cs="Times New Roman"/>
          <w:b/>
          <w:sz w:val="24"/>
          <w:szCs w:val="24"/>
        </w:rPr>
        <w:t xml:space="preserve">.   Graphical representation of </w:t>
      </w:r>
      <w:proofErr w:type="spellStart"/>
      <w:r w:rsidRPr="00696D07">
        <w:rPr>
          <w:rFonts w:ascii="Times New Roman" w:hAnsi="Times New Roman" w:cs="Times New Roman"/>
          <w:b/>
          <w:sz w:val="24"/>
          <w:szCs w:val="24"/>
        </w:rPr>
        <w:t>hematological</w:t>
      </w:r>
      <w:proofErr w:type="spellEnd"/>
      <w:r w:rsidRPr="00696D07">
        <w:rPr>
          <w:rFonts w:ascii="Times New Roman" w:hAnsi="Times New Roman" w:cs="Times New Roman"/>
          <w:b/>
          <w:sz w:val="24"/>
          <w:szCs w:val="24"/>
        </w:rPr>
        <w:t xml:space="preserve"> values in different treatment groups of E. coli infection induced broilers</w:t>
      </w:r>
    </w:p>
    <w:p w14:paraId="6A405CB5" w14:textId="77777777" w:rsidR="000B206E" w:rsidRDefault="000B206E" w:rsidP="004B7BA1">
      <w:pPr>
        <w:spacing w:after="0" w:line="360" w:lineRule="auto"/>
        <w:jc w:val="both"/>
        <w:rPr>
          <w:rFonts w:ascii="Times New Roman" w:hAnsi="Times New Roman" w:cs="Times New Roman"/>
          <w:b/>
          <w:bCs/>
          <w:sz w:val="24"/>
          <w:szCs w:val="24"/>
        </w:rPr>
      </w:pPr>
    </w:p>
    <w:p w14:paraId="7DF4CF62" w14:textId="77777777" w:rsidR="00A205A1" w:rsidRPr="00A205A1" w:rsidRDefault="00A205A1" w:rsidP="00A205A1">
      <w:pPr>
        <w:spacing w:after="0" w:line="360" w:lineRule="auto"/>
        <w:jc w:val="both"/>
        <w:rPr>
          <w:rFonts w:ascii="Times New Roman" w:hAnsi="Times New Roman" w:cs="Times New Roman"/>
          <w:b/>
          <w:bCs/>
          <w:sz w:val="24"/>
          <w:szCs w:val="24"/>
        </w:rPr>
      </w:pPr>
      <w:r w:rsidRPr="00A205A1">
        <w:rPr>
          <w:rFonts w:ascii="Times New Roman" w:hAnsi="Times New Roman" w:cs="Times New Roman"/>
          <w:b/>
          <w:bCs/>
          <w:sz w:val="24"/>
          <w:szCs w:val="24"/>
        </w:rPr>
        <w:t>Discussion</w:t>
      </w:r>
    </w:p>
    <w:p w14:paraId="33C4E37B" w14:textId="77777777" w:rsidR="00A205A1" w:rsidRP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 xml:space="preserve">Based on the above study it can be seen that in case the broiler chickens are infected with E. Coli then in fact it impacts the blood of the broiler chickens. The red and white blood cells of </w:t>
      </w:r>
      <w:r w:rsidRPr="00A205A1">
        <w:rPr>
          <w:rFonts w:ascii="Times New Roman" w:hAnsi="Times New Roman" w:cs="Times New Roman"/>
          <w:sz w:val="24"/>
          <w:szCs w:val="24"/>
        </w:rPr>
        <w:lastRenderedPageBreak/>
        <w:t>the broiler chickens are affected by the E. Coli infection and this alters the blood of the chickens. The reason is that the infection of the E. Coli leads to stress, and the immune system of the broiler chicken initiates a struggle against the infection. This was witnessed in the earlier research undertaken on the infections of E. Coli in chicken. E. Coli infection is an issue, and it has various effects on broiler chicken.</w:t>
      </w:r>
    </w:p>
    <w:p w14:paraId="2357A959" w14:textId="77777777" w:rsidR="00A205A1" w:rsidRP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 xml:space="preserve">The absence of significant differences in the packed cell volume and haemoglobin level in the experimental groups indicate that the infection in the E. coli did not profoundly affect erythropoiesis and did not lead to acute anaemia. Past research evaluating the effects of herbal feed additives on haematological parameters in broilers, such as </w:t>
      </w:r>
      <w:proofErr w:type="spellStart"/>
      <w:r w:rsidRPr="00A205A1">
        <w:rPr>
          <w:rFonts w:ascii="Times New Roman" w:hAnsi="Times New Roman" w:cs="Times New Roman"/>
          <w:sz w:val="24"/>
          <w:szCs w:val="24"/>
        </w:rPr>
        <w:t>Sugiharto</w:t>
      </w:r>
      <w:proofErr w:type="spellEnd"/>
      <w:r w:rsidRPr="00A205A1">
        <w:rPr>
          <w:rFonts w:ascii="Times New Roman" w:hAnsi="Times New Roman" w:cs="Times New Roman"/>
          <w:sz w:val="24"/>
          <w:szCs w:val="24"/>
        </w:rPr>
        <w:t xml:space="preserve"> et al. (2011) and Barad et al. (2016), have found the same. Moreover, dietary curcumin and nanocurcumin supplementation, even in the conditions of stress, maintained normal haemoglobin levels and red blood cell indices in broiler chicken, which demonstrates that curcumin does not disrupt the production of red blood cells and provides haematological stability (Rahmani et al., 2018).</w:t>
      </w:r>
    </w:p>
    <w:p w14:paraId="75086FA1" w14:textId="77777777" w:rsidR="00A205A1" w:rsidRP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The fact that the MCV and MCH of the infected birds are found to have been reduced greatly is an indication that the birds are developing blood cells that are too small and not coloured enough. This is because of the high levels of stress and iron metabolism disorders due to infection or it may be that red blood cells are being replenished at high rate. The decrease in MCV and MCH of the E. Coli-infected birds compares to that of Huff et al. 2008 that agrees with our results on MCV and MCH. MCV and MCH changes are highly significant to know what happens to the infected birds.</w:t>
      </w:r>
    </w:p>
    <w:p w14:paraId="5FAF6B72" w14:textId="77777777" w:rsidR="00A205A1" w:rsidRP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The increase in the total number of erythrocytes was seen in the groups infected with E. coli and it may be a compensatory physiological process to facilitate sufficient oxygen delivery during the stress caused by infection. Christie and Halliday (1979) have also found similar transient increases in erythrocyte count during bacterial infections; an initial increase was followed by a normalcy. The erythrocytes count in the current experiment was found to be in the normal physiological range, which implies that the effect of bacterial challenge on erythropoiesis was not significantly different in the presence of bacterial challenge. The increase in the red blood cells count of the infected groups, may then be an adaptation strategy to provide enough oxygen supply in the event of infection.</w:t>
      </w:r>
    </w:p>
    <w:p w14:paraId="67B9ED45" w14:textId="77777777" w:rsidR="00A205A1" w:rsidRP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 xml:space="preserve">The total leukocyte count was found to increase significantly in the broiler chicken infected with the Escherichia coli, which demonstrated the involvement of the immune system to fight the infection. </w:t>
      </w:r>
      <w:proofErr w:type="spellStart"/>
      <w:r w:rsidRPr="00A205A1">
        <w:rPr>
          <w:rFonts w:ascii="Times New Roman" w:hAnsi="Times New Roman" w:cs="Times New Roman"/>
          <w:sz w:val="24"/>
          <w:szCs w:val="24"/>
        </w:rPr>
        <w:t>Leukocytosis</w:t>
      </w:r>
      <w:proofErr w:type="spellEnd"/>
      <w:r w:rsidRPr="00A205A1">
        <w:rPr>
          <w:rFonts w:ascii="Times New Roman" w:hAnsi="Times New Roman" w:cs="Times New Roman"/>
          <w:sz w:val="24"/>
          <w:szCs w:val="24"/>
        </w:rPr>
        <w:t xml:space="preserve"> is a normal response to infection which has already been reported in the case of broilers chicken infected by colibacillosis. The same has been noted by Allam et al. (2014), Haq et al. (2015), and Sharma et al. (2015). The fact that the total number of </w:t>
      </w:r>
      <w:r w:rsidRPr="00A205A1">
        <w:rPr>
          <w:rFonts w:ascii="Times New Roman" w:hAnsi="Times New Roman" w:cs="Times New Roman"/>
          <w:sz w:val="24"/>
          <w:szCs w:val="24"/>
        </w:rPr>
        <w:lastRenderedPageBreak/>
        <w:t>leukocytes was on the rise in the infected groups of the chicken in the current study was a clear indication that the immune systems of the chickens were on the run in order to herd the infection.</w:t>
      </w:r>
    </w:p>
    <w:p w14:paraId="62D06FBE" w14:textId="77777777" w:rsidR="00A205A1" w:rsidRP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 xml:space="preserve">The curcumin product possesses both prophylactic and therapeutic effectiveness in the decreasing </w:t>
      </w:r>
      <w:proofErr w:type="spellStart"/>
      <w:r w:rsidRPr="00A205A1">
        <w:rPr>
          <w:rFonts w:ascii="Times New Roman" w:hAnsi="Times New Roman" w:cs="Times New Roman"/>
          <w:sz w:val="24"/>
          <w:szCs w:val="24"/>
        </w:rPr>
        <w:t>hematology</w:t>
      </w:r>
      <w:proofErr w:type="spellEnd"/>
      <w:r w:rsidRPr="00A205A1">
        <w:rPr>
          <w:rFonts w:ascii="Times New Roman" w:hAnsi="Times New Roman" w:cs="Times New Roman"/>
          <w:sz w:val="24"/>
          <w:szCs w:val="24"/>
        </w:rPr>
        <w:t xml:space="preserve"> changes caused by the Escherichia coli infection. The supplementation of curcumin was able to normalize the total leukocyte counts and decrease the heterophilic number and increase the number of lymphocytes, which indicates that it has a positive effect on maintaining immune system control and host </w:t>
      </w:r>
      <w:proofErr w:type="spellStart"/>
      <w:r w:rsidRPr="00A205A1">
        <w:rPr>
          <w:rFonts w:ascii="Times New Roman" w:hAnsi="Times New Roman" w:cs="Times New Roman"/>
          <w:sz w:val="24"/>
          <w:szCs w:val="24"/>
        </w:rPr>
        <w:t>defense</w:t>
      </w:r>
      <w:proofErr w:type="spellEnd"/>
      <w:r w:rsidRPr="00A205A1">
        <w:rPr>
          <w:rFonts w:ascii="Times New Roman" w:hAnsi="Times New Roman" w:cs="Times New Roman"/>
          <w:sz w:val="24"/>
          <w:szCs w:val="24"/>
        </w:rPr>
        <w:t xml:space="preserve"> mechanisms. Rahmani et al. (2018) also observed the immunomodulatory effects of curcumin in broiler chickens that improved the blood biochemical components and immune status of curcumin and nanocurcumin-supplemented chickens in stress conditions.</w:t>
      </w:r>
    </w:p>
    <w:p w14:paraId="715BB9A4" w14:textId="77777777" w:rsidR="00A205A1" w:rsidRP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Curcumin has a strong antioxidant, anti-inflammatory, and antimicrobial effects that ensure that cells are not exposed to oxidative damage, inflammation is controlled, and tissue damage caused by pathogens is minimized, which largely explain its therapeutic properties. Aggarwal and Harikumar (2009) also indicated that curcumin modulates various molecular inflammatory and immune regulation pathways, but Sahu and Saxena (2013) demonstrated the protection of curcumin against oxidative damage and tissue damage in case of infection. Furthermore, Zhang et al. (2015) indicated dietary supplementation of curcumin stimulated immune reactions and lessened inflammation in poultry, and therefore, it may be a natural immunomodulator.</w:t>
      </w:r>
    </w:p>
    <w:p w14:paraId="1E6B9631" w14:textId="77777777" w:rsid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 xml:space="preserve">The fact that the curcumin control group did not exhibit any adverse </w:t>
      </w:r>
      <w:proofErr w:type="spellStart"/>
      <w:r w:rsidRPr="00A205A1">
        <w:rPr>
          <w:rFonts w:ascii="Times New Roman" w:hAnsi="Times New Roman" w:cs="Times New Roman"/>
          <w:sz w:val="24"/>
          <w:szCs w:val="24"/>
        </w:rPr>
        <w:t>hematological</w:t>
      </w:r>
      <w:proofErr w:type="spellEnd"/>
      <w:r w:rsidRPr="00A205A1">
        <w:rPr>
          <w:rFonts w:ascii="Times New Roman" w:hAnsi="Times New Roman" w:cs="Times New Roman"/>
          <w:sz w:val="24"/>
          <w:szCs w:val="24"/>
        </w:rPr>
        <w:t xml:space="preserve"> reactions also contributes to the safety of curcumin supplementation in broiler chicken. To sum up, the present results indicate that curcumin has a promising potential as a successful approach to </w:t>
      </w:r>
      <w:proofErr w:type="spellStart"/>
      <w:r w:rsidRPr="00A205A1">
        <w:rPr>
          <w:rFonts w:ascii="Times New Roman" w:hAnsi="Times New Roman" w:cs="Times New Roman"/>
          <w:sz w:val="24"/>
          <w:szCs w:val="24"/>
        </w:rPr>
        <w:t>hematological</w:t>
      </w:r>
      <w:proofErr w:type="spellEnd"/>
      <w:r w:rsidRPr="00A205A1">
        <w:rPr>
          <w:rFonts w:ascii="Times New Roman" w:hAnsi="Times New Roman" w:cs="Times New Roman"/>
          <w:sz w:val="24"/>
          <w:szCs w:val="24"/>
        </w:rPr>
        <w:t xml:space="preserve"> disorders that are provoked by the E. coli infection and can be used as </w:t>
      </w:r>
      <w:proofErr w:type="gramStart"/>
      <w:r w:rsidRPr="00A205A1">
        <w:rPr>
          <w:rFonts w:ascii="Times New Roman" w:hAnsi="Times New Roman" w:cs="Times New Roman"/>
          <w:sz w:val="24"/>
          <w:szCs w:val="24"/>
        </w:rPr>
        <w:t>a</w:t>
      </w:r>
      <w:proofErr w:type="gramEnd"/>
      <w:r w:rsidRPr="00A205A1">
        <w:rPr>
          <w:rFonts w:ascii="Times New Roman" w:hAnsi="Times New Roman" w:cs="Times New Roman"/>
          <w:sz w:val="24"/>
          <w:szCs w:val="24"/>
        </w:rPr>
        <w:t xml:space="preserve"> herbal antimicrobial agent to the conventional antibiotics in poultry farming.</w:t>
      </w:r>
    </w:p>
    <w:p w14:paraId="497F4236" w14:textId="77777777" w:rsidR="00A205A1" w:rsidRPr="00A205A1" w:rsidRDefault="00A205A1" w:rsidP="00A205A1">
      <w:pPr>
        <w:spacing w:after="0" w:line="360" w:lineRule="auto"/>
        <w:jc w:val="both"/>
        <w:rPr>
          <w:rFonts w:ascii="Times New Roman" w:hAnsi="Times New Roman" w:cs="Times New Roman"/>
          <w:b/>
          <w:bCs/>
          <w:sz w:val="24"/>
          <w:szCs w:val="24"/>
        </w:rPr>
      </w:pPr>
      <w:r w:rsidRPr="00A205A1">
        <w:rPr>
          <w:rFonts w:ascii="Times New Roman" w:hAnsi="Times New Roman" w:cs="Times New Roman"/>
          <w:b/>
          <w:bCs/>
          <w:sz w:val="24"/>
          <w:szCs w:val="24"/>
        </w:rPr>
        <w:t>Conclusion</w:t>
      </w:r>
    </w:p>
    <w:p w14:paraId="321BE636" w14:textId="77777777" w:rsidR="00A205A1" w:rsidRP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Curcumin, which is given both as a preventive and therapeutic dose, has been observed to be effective in minimizing the blood alterations caused by E. coli infection in broilers. The use of curcumin might be a natural substitute to antibiotics in chicken.</w:t>
      </w:r>
    </w:p>
    <w:p w14:paraId="735B823A" w14:textId="77777777" w:rsidR="00A205A1" w:rsidRPr="00A205A1" w:rsidRDefault="00A205A1" w:rsidP="00A205A1">
      <w:pPr>
        <w:spacing w:after="0" w:line="360" w:lineRule="auto"/>
        <w:jc w:val="both"/>
        <w:rPr>
          <w:rFonts w:ascii="Times New Roman" w:hAnsi="Times New Roman" w:cs="Times New Roman"/>
          <w:b/>
          <w:bCs/>
          <w:sz w:val="24"/>
          <w:szCs w:val="24"/>
        </w:rPr>
      </w:pPr>
      <w:r w:rsidRPr="00A205A1">
        <w:rPr>
          <w:rFonts w:ascii="Times New Roman" w:hAnsi="Times New Roman" w:cs="Times New Roman"/>
          <w:b/>
          <w:bCs/>
          <w:sz w:val="24"/>
          <w:szCs w:val="24"/>
        </w:rPr>
        <w:t>Disclosures of competing interests are irrelevant in this case.</w:t>
      </w:r>
    </w:p>
    <w:p w14:paraId="189FD865" w14:textId="77777777" w:rsidR="00A205A1" w:rsidRPr="00A205A1" w:rsidRDefault="00A205A1" w:rsidP="00A205A1">
      <w:pPr>
        <w:spacing w:after="0" w:line="360" w:lineRule="auto"/>
        <w:jc w:val="both"/>
        <w:rPr>
          <w:rFonts w:ascii="Times New Roman" w:hAnsi="Times New Roman" w:cs="Times New Roman"/>
          <w:sz w:val="24"/>
          <w:szCs w:val="24"/>
        </w:rPr>
      </w:pPr>
      <w:r w:rsidRPr="00A205A1">
        <w:rPr>
          <w:rFonts w:ascii="Times New Roman" w:hAnsi="Times New Roman" w:cs="Times New Roman"/>
          <w:sz w:val="24"/>
          <w:szCs w:val="24"/>
        </w:rPr>
        <w:t>Authors have stated that they do not have any known competing or non-financial interests OR personal relationships that might have emerged to be used in the work reported in this paper.</w:t>
      </w:r>
    </w:p>
    <w:p w14:paraId="72727691" w14:textId="6652DFFA" w:rsidR="0081212D" w:rsidRPr="0081212D" w:rsidRDefault="0081212D" w:rsidP="0081212D">
      <w:pPr>
        <w:spacing w:after="0" w:line="360" w:lineRule="auto"/>
        <w:jc w:val="both"/>
        <w:rPr>
          <w:rFonts w:ascii="Times New Roman" w:hAnsi="Times New Roman" w:cs="Times New Roman"/>
          <w:b/>
          <w:bCs/>
          <w:sz w:val="24"/>
          <w:szCs w:val="24"/>
        </w:rPr>
      </w:pPr>
      <w:r w:rsidRPr="0081212D">
        <w:rPr>
          <w:rFonts w:ascii="Times New Roman" w:hAnsi="Times New Roman" w:cs="Times New Roman"/>
          <w:b/>
          <w:bCs/>
          <w:sz w:val="24"/>
          <w:szCs w:val="24"/>
        </w:rPr>
        <w:t xml:space="preserve">Disclaimer </w:t>
      </w:r>
    </w:p>
    <w:p w14:paraId="03DCBB55" w14:textId="306491D0" w:rsidR="00737230" w:rsidRPr="00395FB7" w:rsidRDefault="0081212D" w:rsidP="0081212D">
      <w:pPr>
        <w:spacing w:after="0" w:line="360" w:lineRule="auto"/>
        <w:jc w:val="both"/>
        <w:rPr>
          <w:rFonts w:ascii="Times New Roman" w:hAnsi="Times New Roman" w:cs="Times New Roman"/>
          <w:sz w:val="24"/>
          <w:szCs w:val="24"/>
        </w:rPr>
      </w:pPr>
      <w:r w:rsidRPr="0081212D">
        <w:rPr>
          <w:rFonts w:ascii="Times New Roman" w:hAnsi="Times New Roman" w:cs="Times New Roman"/>
          <w:sz w:val="24"/>
          <w:szCs w:val="24"/>
        </w:rPr>
        <w:t>The authors declare that no artificial intelligence tools were used in the preparation of this manuscript.</w:t>
      </w:r>
    </w:p>
    <w:p w14:paraId="31B930CB" w14:textId="77777777" w:rsidR="00071A48" w:rsidRPr="00883FFF" w:rsidRDefault="00071A48" w:rsidP="00071A48">
      <w:pPr>
        <w:spacing w:line="360" w:lineRule="auto"/>
        <w:jc w:val="both"/>
        <w:rPr>
          <w:rFonts w:ascii="Times New Roman" w:hAnsi="Times New Roman" w:cs="Times New Roman"/>
          <w:b/>
          <w:bCs/>
          <w:sz w:val="24"/>
          <w:szCs w:val="24"/>
        </w:rPr>
      </w:pPr>
      <w:r w:rsidRPr="00883FFF">
        <w:rPr>
          <w:rFonts w:ascii="Times New Roman" w:hAnsi="Times New Roman" w:cs="Times New Roman"/>
          <w:b/>
          <w:bCs/>
          <w:sz w:val="24"/>
          <w:szCs w:val="24"/>
        </w:rPr>
        <w:lastRenderedPageBreak/>
        <w:t>References</w:t>
      </w:r>
    </w:p>
    <w:p w14:paraId="2891A028"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Aggarwal BB, Harikumar KB. Potential therapeutic effects of curcumin, the anti-inflammatory agent, against neurodegenerative, cardiovascular, pulmonary, metabolic, autoimmune and neoplastic diseases. </w:t>
      </w:r>
      <w:r w:rsidRPr="00883FFF">
        <w:rPr>
          <w:rFonts w:ascii="Times New Roman" w:hAnsi="Times New Roman" w:cs="Times New Roman"/>
          <w:i/>
          <w:iCs/>
          <w:sz w:val="24"/>
          <w:szCs w:val="24"/>
        </w:rPr>
        <w:t>International Journal of Biochemical Cell Biology</w:t>
      </w:r>
      <w:r w:rsidRPr="00883FFF">
        <w:rPr>
          <w:rFonts w:ascii="Times New Roman" w:hAnsi="Times New Roman" w:cs="Times New Roman"/>
          <w:sz w:val="24"/>
          <w:szCs w:val="24"/>
        </w:rPr>
        <w:t>. 2009;41(1):40-59.</w:t>
      </w:r>
    </w:p>
    <w:p w14:paraId="75B9F226"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Allam HH, Eman S, Hamid AE, Salah H, </w:t>
      </w:r>
      <w:proofErr w:type="spellStart"/>
      <w:r w:rsidRPr="00883FFF">
        <w:rPr>
          <w:rFonts w:ascii="Times New Roman" w:hAnsi="Times New Roman" w:cs="Times New Roman"/>
          <w:sz w:val="24"/>
          <w:szCs w:val="24"/>
        </w:rPr>
        <w:t>Rashidy</w:t>
      </w:r>
      <w:proofErr w:type="spellEnd"/>
      <w:r w:rsidRPr="00883FFF">
        <w:rPr>
          <w:rFonts w:ascii="Times New Roman" w:hAnsi="Times New Roman" w:cs="Times New Roman"/>
          <w:sz w:val="24"/>
          <w:szCs w:val="24"/>
        </w:rPr>
        <w:t xml:space="preserve"> RM, Adel EM, </w:t>
      </w:r>
      <w:r w:rsidRPr="00651808">
        <w:rPr>
          <w:rFonts w:ascii="Times New Roman" w:hAnsi="Times New Roman" w:cs="Times New Roman"/>
          <w:i/>
          <w:iCs/>
          <w:sz w:val="24"/>
          <w:szCs w:val="24"/>
        </w:rPr>
        <w:t>et al.</w:t>
      </w:r>
      <w:r w:rsidRPr="00883FFF">
        <w:rPr>
          <w:rFonts w:ascii="Times New Roman" w:hAnsi="Times New Roman" w:cs="Times New Roman"/>
          <w:sz w:val="24"/>
          <w:szCs w:val="24"/>
        </w:rPr>
        <w:t xml:space="preserve"> Effect of organic acids and probiotic on broiler performance, some blood parameters and control of E. coli. </w:t>
      </w:r>
      <w:r w:rsidRPr="00883FFF">
        <w:rPr>
          <w:rFonts w:ascii="Times New Roman" w:hAnsi="Times New Roman" w:cs="Times New Roman"/>
          <w:i/>
          <w:iCs/>
          <w:sz w:val="24"/>
          <w:szCs w:val="24"/>
        </w:rPr>
        <w:t>Zagazig Veterinary Journal</w:t>
      </w:r>
      <w:r w:rsidRPr="00883FFF">
        <w:rPr>
          <w:rFonts w:ascii="Times New Roman" w:hAnsi="Times New Roman" w:cs="Times New Roman"/>
          <w:sz w:val="24"/>
          <w:szCs w:val="24"/>
        </w:rPr>
        <w:t xml:space="preserve">. </w:t>
      </w:r>
      <w:proofErr w:type="gramStart"/>
      <w:r w:rsidRPr="00883FFF">
        <w:rPr>
          <w:rFonts w:ascii="Times New Roman" w:hAnsi="Times New Roman" w:cs="Times New Roman"/>
          <w:sz w:val="24"/>
          <w:szCs w:val="24"/>
        </w:rPr>
        <w:t>2014;42:1</w:t>
      </w:r>
      <w:proofErr w:type="gramEnd"/>
      <w:r w:rsidRPr="00883FFF">
        <w:rPr>
          <w:rFonts w:ascii="Times New Roman" w:hAnsi="Times New Roman" w:cs="Times New Roman"/>
          <w:sz w:val="24"/>
          <w:szCs w:val="24"/>
        </w:rPr>
        <w:t>.</w:t>
      </w:r>
    </w:p>
    <w:p w14:paraId="798B90EA"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Barad NA, </w:t>
      </w:r>
      <w:proofErr w:type="spellStart"/>
      <w:r w:rsidRPr="00883FFF">
        <w:rPr>
          <w:rFonts w:ascii="Times New Roman" w:hAnsi="Times New Roman" w:cs="Times New Roman"/>
          <w:sz w:val="24"/>
          <w:szCs w:val="24"/>
        </w:rPr>
        <w:t>Savsani</w:t>
      </w:r>
      <w:proofErr w:type="spellEnd"/>
      <w:r w:rsidRPr="00883FFF">
        <w:rPr>
          <w:rFonts w:ascii="Times New Roman" w:hAnsi="Times New Roman" w:cs="Times New Roman"/>
          <w:sz w:val="24"/>
          <w:szCs w:val="24"/>
        </w:rPr>
        <w:t xml:space="preserve"> HH, Patil SS, Garg DD, Das O, Singh V, </w:t>
      </w:r>
      <w:r w:rsidRPr="00651808">
        <w:rPr>
          <w:rFonts w:ascii="Times New Roman" w:hAnsi="Times New Roman" w:cs="Times New Roman"/>
          <w:i/>
          <w:iCs/>
          <w:sz w:val="24"/>
          <w:szCs w:val="24"/>
        </w:rPr>
        <w:t>et al.</w:t>
      </w:r>
      <w:r w:rsidRPr="00883FFF">
        <w:rPr>
          <w:rFonts w:ascii="Times New Roman" w:hAnsi="Times New Roman" w:cs="Times New Roman"/>
          <w:sz w:val="24"/>
          <w:szCs w:val="24"/>
        </w:rPr>
        <w:t xml:space="preserve"> Effect of feeding coriander seeds, black pepper and turmeric powder as feed additives on </w:t>
      </w:r>
      <w:proofErr w:type="spellStart"/>
      <w:r w:rsidRPr="00883FFF">
        <w:rPr>
          <w:rFonts w:ascii="Times New Roman" w:hAnsi="Times New Roman" w:cs="Times New Roman"/>
          <w:sz w:val="24"/>
          <w:szCs w:val="24"/>
        </w:rPr>
        <w:t>hemato</w:t>
      </w:r>
      <w:proofErr w:type="spellEnd"/>
      <w:r w:rsidRPr="00883FFF">
        <w:rPr>
          <w:rFonts w:ascii="Times New Roman" w:hAnsi="Times New Roman" w:cs="Times New Roman"/>
          <w:sz w:val="24"/>
          <w:szCs w:val="24"/>
        </w:rPr>
        <w:t xml:space="preserve">-biochemical profile and performance of broiler chicken. </w:t>
      </w:r>
      <w:r w:rsidRPr="00883FFF">
        <w:rPr>
          <w:rFonts w:ascii="Times New Roman" w:hAnsi="Times New Roman" w:cs="Times New Roman"/>
          <w:i/>
          <w:iCs/>
          <w:sz w:val="24"/>
          <w:szCs w:val="24"/>
        </w:rPr>
        <w:t>International Journal of Science Environment and Technology</w:t>
      </w:r>
      <w:r w:rsidRPr="00883FFF">
        <w:rPr>
          <w:rFonts w:ascii="Times New Roman" w:hAnsi="Times New Roman" w:cs="Times New Roman"/>
          <w:sz w:val="24"/>
          <w:szCs w:val="24"/>
        </w:rPr>
        <w:t>. 2016;5(6):3976-3982.</w:t>
      </w:r>
    </w:p>
    <w:p w14:paraId="7A435D9C"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Benjamin MM. </w:t>
      </w:r>
      <w:r w:rsidRPr="00883FFF">
        <w:rPr>
          <w:rFonts w:ascii="Times New Roman" w:hAnsi="Times New Roman" w:cs="Times New Roman"/>
          <w:i/>
          <w:iCs/>
          <w:sz w:val="24"/>
          <w:szCs w:val="24"/>
        </w:rPr>
        <w:t>Outline of Veterinary Clinical Pathology</w:t>
      </w:r>
      <w:r w:rsidRPr="00883FFF">
        <w:rPr>
          <w:rFonts w:ascii="Times New Roman" w:hAnsi="Times New Roman" w:cs="Times New Roman"/>
          <w:sz w:val="24"/>
          <w:szCs w:val="24"/>
        </w:rPr>
        <w:t>. 3rd ed. Kalyani Publisher, Ludhiana, 2003.</w:t>
      </w:r>
    </w:p>
    <w:p w14:paraId="0E797384" w14:textId="77777777" w:rsidR="00071A48"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Bryne J. Protective effect of curcumin on intestinal mucosa barrier of enterotoxigenic E. coli challenged piglet. International Immune Pharmacology Newsletter. 2015.</w:t>
      </w:r>
    </w:p>
    <w:p w14:paraId="4777252C" w14:textId="77777777" w:rsidR="00071A48" w:rsidRDefault="00071A48" w:rsidP="00071A48">
      <w:pPr>
        <w:numPr>
          <w:ilvl w:val="0"/>
          <w:numId w:val="1"/>
        </w:numPr>
        <w:spacing w:after="0" w:line="360" w:lineRule="auto"/>
        <w:jc w:val="both"/>
        <w:rPr>
          <w:rFonts w:ascii="Times New Roman" w:hAnsi="Times New Roman" w:cs="Times New Roman"/>
          <w:sz w:val="24"/>
          <w:szCs w:val="24"/>
        </w:rPr>
      </w:pPr>
      <w:r w:rsidRPr="00071A48">
        <w:rPr>
          <w:rFonts w:ascii="Times New Roman" w:eastAsia="Calibri" w:hAnsi="Times New Roman" w:cs="Times New Roman"/>
          <w:sz w:val="24"/>
          <w:szCs w:val="24"/>
          <w:lang w:bidi="mr-IN"/>
        </w:rPr>
        <w:t xml:space="preserve">Christie, G. and W. G. Halliday (1979) Haematological and biochemical aspects of an </w:t>
      </w:r>
      <w:r w:rsidRPr="00071A48">
        <w:rPr>
          <w:rFonts w:ascii="Times New Roman" w:eastAsia="Calibri" w:hAnsi="Times New Roman" w:cs="Times New Roman"/>
          <w:i/>
          <w:iCs/>
          <w:sz w:val="24"/>
          <w:szCs w:val="24"/>
          <w:lang w:bidi="mr-IN"/>
        </w:rPr>
        <w:t>E. coli</w:t>
      </w:r>
      <w:r w:rsidRPr="00071A48">
        <w:rPr>
          <w:rFonts w:ascii="Times New Roman" w:eastAsia="Calibri" w:hAnsi="Times New Roman" w:cs="Times New Roman"/>
          <w:sz w:val="24"/>
          <w:szCs w:val="24"/>
          <w:lang w:bidi="mr-IN"/>
        </w:rPr>
        <w:t xml:space="preserve"> septicaemia in brown leghorn chickens, Avian Pathology, 8(1):45-55.</w:t>
      </w:r>
    </w:p>
    <w:p w14:paraId="56BAA75D" w14:textId="2154A629" w:rsidR="00071A48" w:rsidRPr="00071A48" w:rsidRDefault="00071A48" w:rsidP="00071A48">
      <w:pPr>
        <w:numPr>
          <w:ilvl w:val="0"/>
          <w:numId w:val="1"/>
        </w:numPr>
        <w:spacing w:after="0" w:line="360" w:lineRule="auto"/>
        <w:jc w:val="both"/>
        <w:rPr>
          <w:rFonts w:ascii="Times New Roman" w:hAnsi="Times New Roman" w:cs="Times New Roman"/>
          <w:sz w:val="24"/>
          <w:szCs w:val="24"/>
        </w:rPr>
      </w:pPr>
      <w:r w:rsidRPr="00071A48">
        <w:rPr>
          <w:rFonts w:ascii="Times New Roman" w:hAnsi="Times New Roman" w:cs="Times New Roman"/>
          <w:sz w:val="24"/>
          <w:szCs w:val="24"/>
        </w:rPr>
        <w:t>Haq, K. U. A. A. Khan, S. Ullah and G. Nabi (2015) Comparative Efficacy of Norfloxacin, Clarithromycin and Cefpodoxime Against Experimentally Induced Colibacillosis in Pigeons American-Eurasian Journal of Toxicological Sciences. 7(2):72-82.</w:t>
      </w:r>
    </w:p>
    <w:p w14:paraId="7B99C376"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Huff GR, Huff WE, Rath NC, Anthony NB, Nestor KE. Effects of Escherichia coli challenge and transport stress on </w:t>
      </w:r>
      <w:proofErr w:type="spellStart"/>
      <w:r w:rsidRPr="00883FFF">
        <w:rPr>
          <w:rFonts w:ascii="Times New Roman" w:hAnsi="Times New Roman" w:cs="Times New Roman"/>
          <w:sz w:val="24"/>
          <w:szCs w:val="24"/>
        </w:rPr>
        <w:t>hematology</w:t>
      </w:r>
      <w:proofErr w:type="spellEnd"/>
      <w:r w:rsidRPr="00883FFF">
        <w:rPr>
          <w:rFonts w:ascii="Times New Roman" w:hAnsi="Times New Roman" w:cs="Times New Roman"/>
          <w:sz w:val="24"/>
          <w:szCs w:val="24"/>
        </w:rPr>
        <w:t xml:space="preserve"> and serum chemistry values of three genetic lines of turkeys. </w:t>
      </w:r>
      <w:r w:rsidRPr="00883FFF">
        <w:rPr>
          <w:rFonts w:ascii="Times New Roman" w:hAnsi="Times New Roman" w:cs="Times New Roman"/>
          <w:i/>
          <w:iCs/>
          <w:sz w:val="24"/>
          <w:szCs w:val="24"/>
        </w:rPr>
        <w:t>Poultry Science</w:t>
      </w:r>
      <w:r w:rsidRPr="00883FFF">
        <w:rPr>
          <w:rFonts w:ascii="Times New Roman" w:hAnsi="Times New Roman" w:cs="Times New Roman"/>
          <w:sz w:val="24"/>
          <w:szCs w:val="24"/>
        </w:rPr>
        <w:t xml:space="preserve">. </w:t>
      </w:r>
      <w:proofErr w:type="gramStart"/>
      <w:r w:rsidRPr="00883FFF">
        <w:rPr>
          <w:rFonts w:ascii="Times New Roman" w:hAnsi="Times New Roman" w:cs="Times New Roman"/>
          <w:sz w:val="24"/>
          <w:szCs w:val="24"/>
        </w:rPr>
        <w:t>2008;87:2234</w:t>
      </w:r>
      <w:proofErr w:type="gramEnd"/>
      <w:r w:rsidRPr="00883FFF">
        <w:rPr>
          <w:rFonts w:ascii="Times New Roman" w:hAnsi="Times New Roman" w:cs="Times New Roman"/>
          <w:sz w:val="24"/>
          <w:szCs w:val="24"/>
        </w:rPr>
        <w:t>-2241.</w:t>
      </w:r>
    </w:p>
    <w:p w14:paraId="54EC91AF" w14:textId="77777777" w:rsidR="00071A48" w:rsidRPr="00533DAC" w:rsidRDefault="00071A48" w:rsidP="00071A48">
      <w:pPr>
        <w:numPr>
          <w:ilvl w:val="0"/>
          <w:numId w:val="1"/>
        </w:numPr>
        <w:spacing w:after="0" w:line="360" w:lineRule="auto"/>
        <w:rPr>
          <w:rFonts w:ascii="Times New Roman" w:hAnsi="Times New Roman" w:cs="Times New Roman"/>
          <w:sz w:val="24"/>
          <w:szCs w:val="24"/>
        </w:rPr>
      </w:pPr>
      <w:proofErr w:type="spellStart"/>
      <w:r w:rsidRPr="00533DAC">
        <w:rPr>
          <w:rFonts w:ascii="Times New Roman" w:hAnsi="Times New Roman" w:cs="Times New Roman"/>
          <w:sz w:val="24"/>
          <w:szCs w:val="24"/>
        </w:rPr>
        <w:t>Mahejabin</w:t>
      </w:r>
      <w:proofErr w:type="spellEnd"/>
      <w:r w:rsidRPr="00533DAC">
        <w:rPr>
          <w:rFonts w:ascii="Times New Roman" w:hAnsi="Times New Roman" w:cs="Times New Roman"/>
          <w:sz w:val="24"/>
          <w:szCs w:val="24"/>
        </w:rPr>
        <w:t xml:space="preserve"> N, </w:t>
      </w:r>
      <w:proofErr w:type="spellStart"/>
      <w:r w:rsidRPr="00533DAC">
        <w:rPr>
          <w:rFonts w:ascii="Times New Roman" w:hAnsi="Times New Roman" w:cs="Times New Roman"/>
          <w:sz w:val="24"/>
          <w:szCs w:val="24"/>
        </w:rPr>
        <w:t>Mostofa</w:t>
      </w:r>
      <w:proofErr w:type="spellEnd"/>
      <w:r w:rsidRPr="00533DAC">
        <w:rPr>
          <w:rFonts w:ascii="Times New Roman" w:hAnsi="Times New Roman" w:cs="Times New Roman"/>
          <w:sz w:val="24"/>
          <w:szCs w:val="24"/>
        </w:rPr>
        <w:t xml:space="preserve"> M, Akter F, Das S, Alam M. Effects of neem, turmeric and papaya leaf extract mixture on growth performance of broilers. </w:t>
      </w:r>
      <w:r w:rsidRPr="00533DAC">
        <w:rPr>
          <w:rFonts w:ascii="Times New Roman" w:hAnsi="Times New Roman" w:cs="Times New Roman"/>
          <w:i/>
          <w:iCs/>
          <w:sz w:val="24"/>
          <w:szCs w:val="24"/>
        </w:rPr>
        <w:t>Int. J Nat. Soc. Sci.</w:t>
      </w:r>
      <w:r w:rsidRPr="00533DAC">
        <w:rPr>
          <w:rFonts w:ascii="Times New Roman" w:hAnsi="Times New Roman" w:cs="Times New Roman"/>
          <w:sz w:val="24"/>
          <w:szCs w:val="24"/>
        </w:rPr>
        <w:t>, 2015;2:17-21.</w:t>
      </w:r>
    </w:p>
    <w:p w14:paraId="129DBE51"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McPeake S, Smyth JA, Ball HJ. Characterisation of avian pathogenic Escherichia coli (APEC) associated with coli septicaemia compared to faecal isolates from healthy birds. </w:t>
      </w:r>
      <w:r w:rsidRPr="00883FFF">
        <w:rPr>
          <w:rFonts w:ascii="Times New Roman" w:hAnsi="Times New Roman" w:cs="Times New Roman"/>
          <w:i/>
          <w:iCs/>
          <w:sz w:val="24"/>
          <w:szCs w:val="24"/>
        </w:rPr>
        <w:t>Veterinary Microbiology</w:t>
      </w:r>
      <w:r w:rsidRPr="00883FFF">
        <w:rPr>
          <w:rFonts w:ascii="Times New Roman" w:hAnsi="Times New Roman" w:cs="Times New Roman"/>
          <w:sz w:val="24"/>
          <w:szCs w:val="24"/>
        </w:rPr>
        <w:t xml:space="preserve">. </w:t>
      </w:r>
      <w:proofErr w:type="gramStart"/>
      <w:r w:rsidRPr="00883FFF">
        <w:rPr>
          <w:rFonts w:ascii="Times New Roman" w:hAnsi="Times New Roman" w:cs="Times New Roman"/>
          <w:sz w:val="24"/>
          <w:szCs w:val="24"/>
        </w:rPr>
        <w:t>2005;110:245</w:t>
      </w:r>
      <w:proofErr w:type="gramEnd"/>
      <w:r w:rsidRPr="00883FFF">
        <w:rPr>
          <w:rFonts w:ascii="Times New Roman" w:hAnsi="Times New Roman" w:cs="Times New Roman"/>
          <w:sz w:val="24"/>
          <w:szCs w:val="24"/>
        </w:rPr>
        <w:t>-253.</w:t>
      </w:r>
    </w:p>
    <w:p w14:paraId="489AF7CD" w14:textId="77777777" w:rsidR="00071A48"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Pierson FW. Laboratory techniques for avian </w:t>
      </w:r>
      <w:proofErr w:type="spellStart"/>
      <w:r w:rsidRPr="00883FFF">
        <w:rPr>
          <w:rFonts w:ascii="Times New Roman" w:hAnsi="Times New Roman" w:cs="Times New Roman"/>
          <w:sz w:val="24"/>
          <w:szCs w:val="24"/>
        </w:rPr>
        <w:t>hematology</w:t>
      </w:r>
      <w:proofErr w:type="spellEnd"/>
      <w:r w:rsidRPr="00883FFF">
        <w:rPr>
          <w:rFonts w:ascii="Times New Roman" w:hAnsi="Times New Roman" w:cs="Times New Roman"/>
          <w:sz w:val="24"/>
          <w:szCs w:val="24"/>
        </w:rPr>
        <w:t xml:space="preserve">. In: </w:t>
      </w:r>
      <w:proofErr w:type="spellStart"/>
      <w:r w:rsidRPr="00883FFF">
        <w:rPr>
          <w:rFonts w:ascii="Times New Roman" w:hAnsi="Times New Roman" w:cs="Times New Roman"/>
          <w:sz w:val="24"/>
          <w:szCs w:val="24"/>
        </w:rPr>
        <w:t>Schalm’s</w:t>
      </w:r>
      <w:proofErr w:type="spellEnd"/>
      <w:r w:rsidRPr="00883FFF">
        <w:rPr>
          <w:rFonts w:ascii="Times New Roman" w:hAnsi="Times New Roman" w:cs="Times New Roman"/>
          <w:sz w:val="24"/>
          <w:szCs w:val="24"/>
        </w:rPr>
        <w:t xml:space="preserve"> Veterinary </w:t>
      </w:r>
      <w:proofErr w:type="spellStart"/>
      <w:r w:rsidRPr="00883FFF">
        <w:rPr>
          <w:rFonts w:ascii="Times New Roman" w:hAnsi="Times New Roman" w:cs="Times New Roman"/>
          <w:sz w:val="24"/>
          <w:szCs w:val="24"/>
        </w:rPr>
        <w:t>Hematology</w:t>
      </w:r>
      <w:proofErr w:type="spellEnd"/>
      <w:r w:rsidRPr="00883FFF">
        <w:rPr>
          <w:rFonts w:ascii="Times New Roman" w:hAnsi="Times New Roman" w:cs="Times New Roman"/>
          <w:sz w:val="24"/>
          <w:szCs w:val="24"/>
        </w:rPr>
        <w:t>, 5th ed. Lippincott Williams and Wilkins, London, 2000:1145-1146.</w:t>
      </w:r>
    </w:p>
    <w:p w14:paraId="6487F351" w14:textId="6E9D718C" w:rsidR="00722468" w:rsidRPr="00722468" w:rsidRDefault="00722468" w:rsidP="00071A48">
      <w:pPr>
        <w:numPr>
          <w:ilvl w:val="0"/>
          <w:numId w:val="1"/>
        </w:numPr>
        <w:spacing w:after="0" w:line="360" w:lineRule="auto"/>
        <w:jc w:val="both"/>
        <w:rPr>
          <w:rFonts w:ascii="Times New Roman" w:hAnsi="Times New Roman" w:cs="Times New Roman"/>
          <w:sz w:val="24"/>
          <w:szCs w:val="24"/>
          <w:highlight w:val="yellow"/>
        </w:rPr>
      </w:pPr>
      <w:r w:rsidRPr="00722468">
        <w:rPr>
          <w:rFonts w:ascii="Times New Roman" w:hAnsi="Times New Roman" w:cs="Times New Roman"/>
          <w:sz w:val="24"/>
          <w:szCs w:val="24"/>
          <w:highlight w:val="yellow"/>
        </w:rPr>
        <w:lastRenderedPageBreak/>
        <w:t xml:space="preserve">Rahmani, M., Golian, A., </w:t>
      </w:r>
      <w:proofErr w:type="spellStart"/>
      <w:r w:rsidRPr="00722468">
        <w:rPr>
          <w:rFonts w:ascii="Times New Roman" w:hAnsi="Times New Roman" w:cs="Times New Roman"/>
          <w:sz w:val="24"/>
          <w:szCs w:val="24"/>
          <w:highlight w:val="yellow"/>
        </w:rPr>
        <w:t>Kermanshahi</w:t>
      </w:r>
      <w:proofErr w:type="spellEnd"/>
      <w:r w:rsidRPr="00722468">
        <w:rPr>
          <w:rFonts w:ascii="Times New Roman" w:hAnsi="Times New Roman" w:cs="Times New Roman"/>
          <w:sz w:val="24"/>
          <w:szCs w:val="24"/>
          <w:highlight w:val="yellow"/>
        </w:rPr>
        <w:t xml:space="preserve">, H., &amp; Reza Bassami, M. (2018). Effects of curcumin or nanocurcumin on blood biochemical parameters, intestinal morphology and microbial population of broiler chickens reared under normal and cold stress conditions. </w:t>
      </w:r>
      <w:r w:rsidRPr="00722468">
        <w:rPr>
          <w:rFonts w:ascii="Times New Roman" w:hAnsi="Times New Roman" w:cs="Times New Roman"/>
          <w:i/>
          <w:iCs/>
          <w:sz w:val="24"/>
          <w:szCs w:val="24"/>
          <w:highlight w:val="yellow"/>
        </w:rPr>
        <w:t>Journal of Applied Animal Research, 46</w:t>
      </w:r>
      <w:r w:rsidRPr="00722468">
        <w:rPr>
          <w:rFonts w:ascii="Times New Roman" w:hAnsi="Times New Roman" w:cs="Times New Roman"/>
          <w:sz w:val="24"/>
          <w:szCs w:val="24"/>
          <w:highlight w:val="yellow"/>
        </w:rPr>
        <w:t>(1), 200–209.</w:t>
      </w:r>
    </w:p>
    <w:p w14:paraId="7C214D29" w14:textId="77777777" w:rsidR="00071A48" w:rsidRPr="00883FFF" w:rsidRDefault="00071A48" w:rsidP="00071A48">
      <w:pPr>
        <w:numPr>
          <w:ilvl w:val="0"/>
          <w:numId w:val="1"/>
        </w:numPr>
        <w:spacing w:after="0" w:line="360" w:lineRule="auto"/>
        <w:jc w:val="both"/>
        <w:rPr>
          <w:rFonts w:ascii="Times New Roman" w:hAnsi="Times New Roman" w:cs="Times New Roman"/>
          <w:sz w:val="24"/>
          <w:szCs w:val="24"/>
        </w:rPr>
      </w:pPr>
      <w:r w:rsidRPr="00883FFF">
        <w:rPr>
          <w:rFonts w:ascii="Times New Roman" w:hAnsi="Times New Roman" w:cs="Times New Roman"/>
          <w:sz w:val="24"/>
          <w:szCs w:val="24"/>
        </w:rPr>
        <w:t xml:space="preserve">Sahu R, Saxena J. Screening of total phenolic and flavonoid content in conventional and non-conventional species of Curcuma. </w:t>
      </w:r>
      <w:r w:rsidRPr="00883FFF">
        <w:rPr>
          <w:rFonts w:ascii="Times New Roman" w:hAnsi="Times New Roman" w:cs="Times New Roman"/>
          <w:i/>
          <w:iCs/>
          <w:sz w:val="24"/>
          <w:szCs w:val="24"/>
        </w:rPr>
        <w:t>Journal of Pharmacognosy and Phytochemistry</w:t>
      </w:r>
      <w:r w:rsidRPr="00883FFF">
        <w:rPr>
          <w:rFonts w:ascii="Times New Roman" w:hAnsi="Times New Roman" w:cs="Times New Roman"/>
          <w:sz w:val="24"/>
          <w:szCs w:val="24"/>
        </w:rPr>
        <w:t>. 2013;2(1):176-179.</w:t>
      </w:r>
    </w:p>
    <w:p w14:paraId="35802E8E" w14:textId="77777777" w:rsidR="00071A48" w:rsidRDefault="00071A48" w:rsidP="00071A48">
      <w:pPr>
        <w:numPr>
          <w:ilvl w:val="0"/>
          <w:numId w:val="1"/>
        </w:numPr>
        <w:spacing w:after="0" w:line="360" w:lineRule="auto"/>
        <w:jc w:val="both"/>
        <w:rPr>
          <w:rFonts w:ascii="Times New Roman" w:hAnsi="Times New Roman" w:cs="Times New Roman"/>
          <w:sz w:val="24"/>
          <w:szCs w:val="24"/>
        </w:rPr>
      </w:pPr>
      <w:r w:rsidRPr="00071A48">
        <w:rPr>
          <w:rFonts w:ascii="Times New Roman" w:hAnsi="Times New Roman" w:cs="Times New Roman"/>
          <w:sz w:val="24"/>
          <w:szCs w:val="24"/>
        </w:rPr>
        <w:t>Sharma VK, Jakhar K, Nehra V, Kumar S. Biochemical studies in experimentally Escherichia coli infected broiler chicken supplemented with neem (</w:t>
      </w:r>
      <w:proofErr w:type="spellStart"/>
      <w:r w:rsidRPr="00071A48">
        <w:rPr>
          <w:rFonts w:ascii="Times New Roman" w:hAnsi="Times New Roman" w:cs="Times New Roman"/>
          <w:sz w:val="24"/>
          <w:szCs w:val="24"/>
        </w:rPr>
        <w:t>Azadirachta</w:t>
      </w:r>
      <w:proofErr w:type="spellEnd"/>
      <w:r w:rsidRPr="00071A48">
        <w:rPr>
          <w:rFonts w:ascii="Times New Roman" w:hAnsi="Times New Roman" w:cs="Times New Roman"/>
          <w:sz w:val="24"/>
          <w:szCs w:val="24"/>
        </w:rPr>
        <w:t xml:space="preserve"> </w:t>
      </w:r>
      <w:proofErr w:type="spellStart"/>
      <w:r w:rsidRPr="00071A48">
        <w:rPr>
          <w:rFonts w:ascii="Times New Roman" w:hAnsi="Times New Roman" w:cs="Times New Roman"/>
          <w:sz w:val="24"/>
          <w:szCs w:val="24"/>
        </w:rPr>
        <w:t>indica</w:t>
      </w:r>
      <w:proofErr w:type="spellEnd"/>
      <w:r w:rsidRPr="00071A48">
        <w:rPr>
          <w:rFonts w:ascii="Times New Roman" w:hAnsi="Times New Roman" w:cs="Times New Roman"/>
          <w:sz w:val="24"/>
          <w:szCs w:val="24"/>
        </w:rPr>
        <w:t xml:space="preserve">) leaf extract. </w:t>
      </w:r>
      <w:r w:rsidRPr="00071A48">
        <w:rPr>
          <w:rFonts w:ascii="Times New Roman" w:hAnsi="Times New Roman" w:cs="Times New Roman"/>
          <w:i/>
          <w:iCs/>
          <w:sz w:val="24"/>
          <w:szCs w:val="24"/>
        </w:rPr>
        <w:t>Veterinary World</w:t>
      </w:r>
      <w:r w:rsidRPr="00071A48">
        <w:rPr>
          <w:rFonts w:ascii="Times New Roman" w:hAnsi="Times New Roman" w:cs="Times New Roman"/>
          <w:sz w:val="24"/>
          <w:szCs w:val="24"/>
        </w:rPr>
        <w:t>. 2015;8(11):1340-1345.</w:t>
      </w:r>
    </w:p>
    <w:p w14:paraId="1C214BA9" w14:textId="15032A73" w:rsidR="00071A48" w:rsidRPr="00722468" w:rsidRDefault="00071A48" w:rsidP="00071A48">
      <w:pPr>
        <w:numPr>
          <w:ilvl w:val="0"/>
          <w:numId w:val="1"/>
        </w:numPr>
        <w:spacing w:after="0" w:line="360" w:lineRule="auto"/>
        <w:jc w:val="both"/>
        <w:rPr>
          <w:rFonts w:ascii="Times New Roman" w:hAnsi="Times New Roman" w:cs="Times New Roman"/>
          <w:sz w:val="24"/>
          <w:szCs w:val="24"/>
        </w:rPr>
      </w:pPr>
      <w:proofErr w:type="spellStart"/>
      <w:r w:rsidRPr="00071A48">
        <w:rPr>
          <w:rFonts w:ascii="Times New Roman" w:eastAsia="Calibri" w:hAnsi="Times New Roman" w:cs="Times New Roman"/>
          <w:sz w:val="24"/>
          <w:szCs w:val="24"/>
          <w:lang w:bidi="mr-IN"/>
        </w:rPr>
        <w:t>Sugiharto</w:t>
      </w:r>
      <w:proofErr w:type="spellEnd"/>
      <w:r w:rsidRPr="00071A48">
        <w:rPr>
          <w:rFonts w:ascii="Times New Roman" w:eastAsia="Calibri" w:hAnsi="Times New Roman" w:cs="Times New Roman"/>
          <w:sz w:val="24"/>
          <w:szCs w:val="24"/>
          <w:lang w:bidi="mr-IN"/>
        </w:rPr>
        <w:t xml:space="preserve">, I. E. </w:t>
      </w:r>
      <w:proofErr w:type="spellStart"/>
      <w:r w:rsidRPr="00071A48">
        <w:rPr>
          <w:rFonts w:ascii="Times New Roman" w:eastAsia="Calibri" w:hAnsi="Times New Roman" w:cs="Times New Roman"/>
          <w:sz w:val="24"/>
          <w:szCs w:val="24"/>
          <w:lang w:bidi="mr-IN"/>
        </w:rPr>
        <w:t>Widiastuti</w:t>
      </w:r>
      <w:proofErr w:type="spellEnd"/>
      <w:r w:rsidRPr="00071A48">
        <w:rPr>
          <w:rFonts w:ascii="Times New Roman" w:eastAsia="Calibri" w:hAnsi="Times New Roman" w:cs="Times New Roman"/>
          <w:sz w:val="24"/>
          <w:szCs w:val="24"/>
          <w:lang w:bidi="mr-IN"/>
        </w:rPr>
        <w:t xml:space="preserve"> and N.S. Prabowo (2011) Effect of turmeric extract on blood parameters, feed efficiency and abdominal fat content in broilers.</w:t>
      </w:r>
    </w:p>
    <w:p w14:paraId="693DBE12" w14:textId="1A4F0F0F" w:rsidR="00722468" w:rsidRPr="00722468" w:rsidRDefault="00722468" w:rsidP="00071A48">
      <w:pPr>
        <w:numPr>
          <w:ilvl w:val="0"/>
          <w:numId w:val="1"/>
        </w:numPr>
        <w:spacing w:after="0" w:line="360" w:lineRule="auto"/>
        <w:jc w:val="both"/>
        <w:rPr>
          <w:rFonts w:ascii="Times New Roman" w:hAnsi="Times New Roman" w:cs="Times New Roman"/>
          <w:sz w:val="24"/>
          <w:szCs w:val="24"/>
          <w:highlight w:val="yellow"/>
        </w:rPr>
      </w:pPr>
      <w:r w:rsidRPr="00722468">
        <w:rPr>
          <w:rFonts w:ascii="Times New Roman" w:hAnsi="Times New Roman" w:cs="Times New Roman"/>
          <w:sz w:val="24"/>
          <w:szCs w:val="24"/>
          <w:highlight w:val="yellow"/>
        </w:rPr>
        <w:t xml:space="preserve">Zhang, J. F., Hu, Z. P., Lu, C. H., Yang, M. X., Zhang, L. L., &amp; Wang, T. (2015). Dietary curcumin supplementation protects against oxidative stress in broiler chickens challenged with lipopolysaccharide. </w:t>
      </w:r>
      <w:r w:rsidRPr="00722468">
        <w:rPr>
          <w:rFonts w:ascii="Times New Roman" w:hAnsi="Times New Roman" w:cs="Times New Roman"/>
          <w:i/>
          <w:iCs/>
          <w:sz w:val="24"/>
          <w:szCs w:val="24"/>
          <w:highlight w:val="yellow"/>
        </w:rPr>
        <w:t>Animal Feed Science and Technology, 209</w:t>
      </w:r>
      <w:r w:rsidRPr="00722468">
        <w:rPr>
          <w:rFonts w:ascii="Times New Roman" w:hAnsi="Times New Roman" w:cs="Times New Roman"/>
          <w:sz w:val="24"/>
          <w:szCs w:val="24"/>
          <w:highlight w:val="yellow"/>
        </w:rPr>
        <w:t>, 88–97.</w:t>
      </w:r>
    </w:p>
    <w:p w14:paraId="0A6A1DD0" w14:textId="77777777" w:rsidR="00071A48" w:rsidRPr="00071A48" w:rsidRDefault="00071A48" w:rsidP="00071A48">
      <w:pPr>
        <w:spacing w:after="0" w:line="360" w:lineRule="auto"/>
        <w:ind w:left="360"/>
        <w:jc w:val="both"/>
        <w:rPr>
          <w:rFonts w:ascii="Times New Roman" w:hAnsi="Times New Roman" w:cs="Times New Roman"/>
          <w:sz w:val="24"/>
          <w:szCs w:val="24"/>
        </w:rPr>
      </w:pPr>
    </w:p>
    <w:p w14:paraId="44317CE8" w14:textId="77777777" w:rsidR="00071A48" w:rsidRPr="001C0AEB" w:rsidRDefault="00071A48" w:rsidP="00071A48">
      <w:pPr>
        <w:spacing w:after="0" w:line="360" w:lineRule="auto"/>
        <w:jc w:val="both"/>
        <w:rPr>
          <w:rFonts w:ascii="Times New Roman" w:hAnsi="Times New Roman" w:cs="Times New Roman"/>
          <w:sz w:val="24"/>
          <w:szCs w:val="24"/>
        </w:rPr>
      </w:pPr>
    </w:p>
    <w:p w14:paraId="39919DC2" w14:textId="77777777" w:rsidR="00071A48" w:rsidRPr="00883FFF" w:rsidRDefault="00071A48" w:rsidP="00071A48">
      <w:pPr>
        <w:spacing w:after="0" w:line="360" w:lineRule="auto"/>
        <w:jc w:val="both"/>
        <w:rPr>
          <w:rFonts w:ascii="Times New Roman" w:hAnsi="Times New Roman" w:cs="Times New Roman"/>
          <w:sz w:val="24"/>
          <w:szCs w:val="24"/>
        </w:rPr>
      </w:pPr>
    </w:p>
    <w:p w14:paraId="6F85DA44" w14:textId="77777777" w:rsidR="0020420A" w:rsidRDefault="0020420A" w:rsidP="00071A48">
      <w:pPr>
        <w:spacing w:after="0" w:line="360" w:lineRule="auto"/>
      </w:pPr>
    </w:p>
    <w:sectPr w:rsidR="0020420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0F86D" w14:textId="77777777" w:rsidR="00501FAF" w:rsidRDefault="00501FAF" w:rsidP="000935C7">
      <w:pPr>
        <w:spacing w:after="0" w:line="240" w:lineRule="auto"/>
      </w:pPr>
      <w:r>
        <w:separator/>
      </w:r>
    </w:p>
  </w:endnote>
  <w:endnote w:type="continuationSeparator" w:id="0">
    <w:p w14:paraId="7CBC7A3C" w14:textId="77777777" w:rsidR="00501FAF" w:rsidRDefault="00501FAF" w:rsidP="00093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0245D" w14:textId="77777777" w:rsidR="000935C7" w:rsidRDefault="00093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4CF6B" w14:textId="77777777" w:rsidR="000935C7" w:rsidRDefault="000935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F2A18" w14:textId="77777777" w:rsidR="000935C7" w:rsidRDefault="00093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53367" w14:textId="77777777" w:rsidR="00501FAF" w:rsidRDefault="00501FAF" w:rsidP="000935C7">
      <w:pPr>
        <w:spacing w:after="0" w:line="240" w:lineRule="auto"/>
      </w:pPr>
      <w:r>
        <w:separator/>
      </w:r>
    </w:p>
  </w:footnote>
  <w:footnote w:type="continuationSeparator" w:id="0">
    <w:p w14:paraId="4410087E" w14:textId="77777777" w:rsidR="00501FAF" w:rsidRDefault="00501FAF" w:rsidP="00093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CC1B5" w14:textId="00FB556F" w:rsidR="000935C7" w:rsidRDefault="00501FAF">
    <w:pPr>
      <w:pStyle w:val="Header"/>
    </w:pPr>
    <w:r>
      <w:rPr>
        <w:noProof/>
      </w:rPr>
      <w:pict w14:anchorId="14FE7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043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D2F26" w14:textId="341E3712" w:rsidR="000935C7" w:rsidRDefault="00501FAF">
    <w:pPr>
      <w:pStyle w:val="Header"/>
    </w:pPr>
    <w:r>
      <w:rPr>
        <w:noProof/>
      </w:rPr>
      <w:pict w14:anchorId="08CCC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043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81A52" w14:textId="784244E5" w:rsidR="000935C7" w:rsidRDefault="00501FAF">
    <w:pPr>
      <w:pStyle w:val="Header"/>
    </w:pPr>
    <w:r>
      <w:rPr>
        <w:noProof/>
      </w:rPr>
      <w:pict w14:anchorId="27FEE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043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20F5A"/>
    <w:multiLevelType w:val="multilevel"/>
    <w:tmpl w:val="61F2D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A1"/>
    <w:rsid w:val="00034D01"/>
    <w:rsid w:val="00054FA1"/>
    <w:rsid w:val="00071A48"/>
    <w:rsid w:val="000935C7"/>
    <w:rsid w:val="000B206E"/>
    <w:rsid w:val="001317AA"/>
    <w:rsid w:val="001B74A5"/>
    <w:rsid w:val="001D7C3A"/>
    <w:rsid w:val="0020420A"/>
    <w:rsid w:val="002C1202"/>
    <w:rsid w:val="00385696"/>
    <w:rsid w:val="00390DFD"/>
    <w:rsid w:val="004B7BA1"/>
    <w:rsid w:val="00501FAF"/>
    <w:rsid w:val="00665098"/>
    <w:rsid w:val="00670B6E"/>
    <w:rsid w:val="006D7368"/>
    <w:rsid w:val="00722468"/>
    <w:rsid w:val="00737230"/>
    <w:rsid w:val="00786983"/>
    <w:rsid w:val="00794C66"/>
    <w:rsid w:val="007B7596"/>
    <w:rsid w:val="007F36E6"/>
    <w:rsid w:val="0081212D"/>
    <w:rsid w:val="008428AF"/>
    <w:rsid w:val="00875290"/>
    <w:rsid w:val="008F63C5"/>
    <w:rsid w:val="009D75DE"/>
    <w:rsid w:val="00A205A1"/>
    <w:rsid w:val="00AC69FB"/>
    <w:rsid w:val="00B4269B"/>
    <w:rsid w:val="00B554A5"/>
    <w:rsid w:val="00CF0602"/>
    <w:rsid w:val="00D25F2A"/>
    <w:rsid w:val="00EA06FA"/>
    <w:rsid w:val="00EB1036"/>
    <w:rsid w:val="00FA5275"/>
    <w:rsid w:val="00FC202A"/>
    <w:rsid w:val="00FF09A1"/>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C5CF81"/>
  <w15:chartTrackingRefBased/>
  <w15:docId w15:val="{CEB6E6E9-4639-480C-9E98-A165F0A7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BA1"/>
  </w:style>
  <w:style w:type="paragraph" w:styleId="Heading1">
    <w:name w:val="heading 1"/>
    <w:basedOn w:val="Normal"/>
    <w:next w:val="Normal"/>
    <w:link w:val="Heading1Char"/>
    <w:uiPriority w:val="9"/>
    <w:qFormat/>
    <w:rsid w:val="004B7BA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4B7BA1"/>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4B7BA1"/>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4B7B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7B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7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BA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4B7BA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4B7BA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4B7B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7B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7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BA1"/>
    <w:rPr>
      <w:rFonts w:eastAsiaTheme="majorEastAsia" w:cstheme="majorBidi"/>
      <w:color w:val="272727" w:themeColor="text1" w:themeTint="D8"/>
    </w:rPr>
  </w:style>
  <w:style w:type="paragraph" w:styleId="Title">
    <w:name w:val="Title"/>
    <w:basedOn w:val="Normal"/>
    <w:next w:val="Normal"/>
    <w:link w:val="TitleChar"/>
    <w:uiPriority w:val="10"/>
    <w:qFormat/>
    <w:rsid w:val="004B7BA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B7BA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B7BA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B7BA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B7BA1"/>
    <w:pPr>
      <w:spacing w:before="160"/>
      <w:jc w:val="center"/>
    </w:pPr>
    <w:rPr>
      <w:i/>
      <w:iCs/>
      <w:color w:val="404040" w:themeColor="text1" w:themeTint="BF"/>
    </w:rPr>
  </w:style>
  <w:style w:type="character" w:customStyle="1" w:styleId="QuoteChar">
    <w:name w:val="Quote Char"/>
    <w:basedOn w:val="DefaultParagraphFont"/>
    <w:link w:val="Quote"/>
    <w:uiPriority w:val="29"/>
    <w:rsid w:val="004B7BA1"/>
    <w:rPr>
      <w:i/>
      <w:iCs/>
      <w:color w:val="404040" w:themeColor="text1" w:themeTint="BF"/>
    </w:rPr>
  </w:style>
  <w:style w:type="paragraph" w:styleId="ListParagraph">
    <w:name w:val="List Paragraph"/>
    <w:basedOn w:val="Normal"/>
    <w:uiPriority w:val="34"/>
    <w:qFormat/>
    <w:rsid w:val="004B7BA1"/>
    <w:pPr>
      <w:ind w:left="720"/>
      <w:contextualSpacing/>
    </w:pPr>
  </w:style>
  <w:style w:type="character" w:styleId="IntenseEmphasis">
    <w:name w:val="Intense Emphasis"/>
    <w:basedOn w:val="DefaultParagraphFont"/>
    <w:uiPriority w:val="21"/>
    <w:qFormat/>
    <w:rsid w:val="004B7BA1"/>
    <w:rPr>
      <w:i/>
      <w:iCs/>
      <w:color w:val="2F5496" w:themeColor="accent1" w:themeShade="BF"/>
    </w:rPr>
  </w:style>
  <w:style w:type="paragraph" w:styleId="IntenseQuote">
    <w:name w:val="Intense Quote"/>
    <w:basedOn w:val="Normal"/>
    <w:next w:val="Normal"/>
    <w:link w:val="IntenseQuoteChar"/>
    <w:uiPriority w:val="30"/>
    <w:qFormat/>
    <w:rsid w:val="004B7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7BA1"/>
    <w:rPr>
      <w:i/>
      <w:iCs/>
      <w:color w:val="2F5496" w:themeColor="accent1" w:themeShade="BF"/>
    </w:rPr>
  </w:style>
  <w:style w:type="character" w:styleId="IntenseReference">
    <w:name w:val="Intense Reference"/>
    <w:basedOn w:val="DefaultParagraphFont"/>
    <w:uiPriority w:val="32"/>
    <w:qFormat/>
    <w:rsid w:val="004B7BA1"/>
    <w:rPr>
      <w:b/>
      <w:bCs/>
      <w:smallCaps/>
      <w:color w:val="2F5496" w:themeColor="accent1" w:themeShade="BF"/>
      <w:spacing w:val="5"/>
    </w:rPr>
  </w:style>
  <w:style w:type="paragraph" w:styleId="BodyText">
    <w:name w:val="Body Text"/>
    <w:basedOn w:val="Normal"/>
    <w:link w:val="BodyTextChar"/>
    <w:uiPriority w:val="1"/>
    <w:qFormat/>
    <w:rsid w:val="004B7BA1"/>
    <w:pPr>
      <w:widowControl w:val="0"/>
      <w:autoSpaceDE w:val="0"/>
      <w:autoSpaceDN w:val="0"/>
      <w:spacing w:after="0" w:line="240" w:lineRule="auto"/>
      <w:ind w:left="23" w:firstLine="719"/>
      <w:jc w:val="both"/>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rsid w:val="004B7BA1"/>
    <w:rPr>
      <w:rFonts w:ascii="Times New Roman" w:eastAsia="Times New Roman" w:hAnsi="Times New Roman" w:cs="Times New Roman"/>
      <w:kern w:val="0"/>
      <w:sz w:val="24"/>
      <w:szCs w:val="24"/>
      <w:lang w:val="en-US" w:bidi="ar-SA"/>
      <w14:ligatures w14:val="none"/>
    </w:rPr>
  </w:style>
  <w:style w:type="character" w:styleId="Hyperlink">
    <w:name w:val="Hyperlink"/>
    <w:basedOn w:val="DefaultParagraphFont"/>
    <w:uiPriority w:val="99"/>
    <w:unhideWhenUsed/>
    <w:rsid w:val="004B7BA1"/>
    <w:rPr>
      <w:color w:val="0563C1" w:themeColor="hyperlink"/>
      <w:u w:val="single"/>
    </w:rPr>
  </w:style>
  <w:style w:type="character" w:styleId="UnresolvedMention">
    <w:name w:val="Unresolved Mention"/>
    <w:basedOn w:val="DefaultParagraphFont"/>
    <w:uiPriority w:val="99"/>
    <w:semiHidden/>
    <w:unhideWhenUsed/>
    <w:rsid w:val="00034D01"/>
    <w:rPr>
      <w:color w:val="605E5C"/>
      <w:shd w:val="clear" w:color="auto" w:fill="E1DFDD"/>
    </w:rPr>
  </w:style>
  <w:style w:type="paragraph" w:styleId="Header">
    <w:name w:val="header"/>
    <w:basedOn w:val="Normal"/>
    <w:link w:val="HeaderChar"/>
    <w:uiPriority w:val="99"/>
    <w:unhideWhenUsed/>
    <w:rsid w:val="00093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5C7"/>
  </w:style>
  <w:style w:type="paragraph" w:styleId="Footer">
    <w:name w:val="footer"/>
    <w:basedOn w:val="Normal"/>
    <w:link w:val="FooterChar"/>
    <w:uiPriority w:val="99"/>
    <w:unhideWhenUsed/>
    <w:rsid w:val="00093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5C7"/>
  </w:style>
  <w:style w:type="paragraph" w:styleId="NoSpacing">
    <w:name w:val="No Spacing"/>
    <w:uiPriority w:val="1"/>
    <w:qFormat/>
    <w:rsid w:val="00737230"/>
    <w:pPr>
      <w:spacing w:after="0" w:line="240" w:lineRule="auto"/>
    </w:pPr>
    <w:rPr>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file:///C:\Documents%20and%20Settings\admin\Desktop\Graphs%20Prassana.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67717967940484"/>
          <c:y val="9.238528373608465E-2"/>
          <c:w val="0.77903533359118737"/>
          <c:h val="0.62145008976454508"/>
        </c:manualLayout>
      </c:layout>
      <c:barChart>
        <c:barDir val="col"/>
        <c:grouping val="clustered"/>
        <c:varyColors val="0"/>
        <c:ser>
          <c:idx val="0"/>
          <c:order val="0"/>
          <c:tx>
            <c:strRef>
              <c:f>'Hb PCV'!$B$10:$B$11</c:f>
              <c:strCache>
                <c:ptCount val="1"/>
                <c:pt idx="0">
                  <c:v>PCV (%)</c:v>
                </c:pt>
              </c:strCache>
            </c:strRef>
          </c:tx>
          <c:invertIfNegative val="0"/>
          <c:errBars>
            <c:errBarType val="plus"/>
            <c:errValType val="cust"/>
            <c:noEndCap val="0"/>
            <c:plus>
              <c:numRef>
                <c:f>'Hb PCV'!$E$4:$E$9</c:f>
                <c:numCache>
                  <c:formatCode>General</c:formatCode>
                  <c:ptCount val="6"/>
                  <c:pt idx="0">
                    <c:v>0.47000000000000008</c:v>
                  </c:pt>
                  <c:pt idx="1">
                    <c:v>0.760000000000005</c:v>
                  </c:pt>
                  <c:pt idx="2">
                    <c:v>0.67000000000000581</c:v>
                  </c:pt>
                  <c:pt idx="3">
                    <c:v>0.73000000000000065</c:v>
                  </c:pt>
                  <c:pt idx="4">
                    <c:v>0.67000000000000581</c:v>
                  </c:pt>
                  <c:pt idx="5">
                    <c:v>0.60000000000000064</c:v>
                  </c:pt>
                </c:numCache>
              </c:numRef>
            </c:plus>
            <c:minus>
              <c:numLit>
                <c:formatCode>General</c:formatCode>
                <c:ptCount val="1"/>
                <c:pt idx="0">
                  <c:v>1</c:v>
                </c:pt>
              </c:numLit>
            </c:minus>
          </c:errBars>
          <c:cat>
            <c:strRef>
              <c:f>'Hb PCV'!$A$12:$A$17</c:f>
              <c:strCache>
                <c:ptCount val="6"/>
                <c:pt idx="0">
                  <c:v>T0</c:v>
                </c:pt>
                <c:pt idx="1">
                  <c:v>T1</c:v>
                </c:pt>
                <c:pt idx="2">
                  <c:v>T2</c:v>
                </c:pt>
                <c:pt idx="3">
                  <c:v>T3</c:v>
                </c:pt>
                <c:pt idx="4">
                  <c:v>T4</c:v>
                </c:pt>
                <c:pt idx="5">
                  <c:v>T5</c:v>
                </c:pt>
              </c:strCache>
            </c:strRef>
          </c:cat>
          <c:val>
            <c:numRef>
              <c:f>'Hb PCV'!$B$12:$B$17</c:f>
              <c:numCache>
                <c:formatCode>General</c:formatCode>
                <c:ptCount val="6"/>
                <c:pt idx="0">
                  <c:v>25.830000000000005</c:v>
                </c:pt>
                <c:pt idx="1">
                  <c:v>27.5</c:v>
                </c:pt>
                <c:pt idx="2">
                  <c:v>25.66</c:v>
                </c:pt>
                <c:pt idx="3">
                  <c:v>25</c:v>
                </c:pt>
                <c:pt idx="4">
                  <c:v>26.5</c:v>
                </c:pt>
                <c:pt idx="5">
                  <c:v>25.830000000000005</c:v>
                </c:pt>
              </c:numCache>
            </c:numRef>
          </c:val>
          <c:extLst>
            <c:ext xmlns:c16="http://schemas.microsoft.com/office/drawing/2014/chart" uri="{C3380CC4-5D6E-409C-BE32-E72D297353CC}">
              <c16:uniqueId val="{00000000-140F-49D1-85C9-3018EFCA9409}"/>
            </c:ext>
          </c:extLst>
        </c:ser>
        <c:dLbls>
          <c:showLegendKey val="0"/>
          <c:showVal val="0"/>
          <c:showCatName val="0"/>
          <c:showSerName val="0"/>
          <c:showPercent val="0"/>
          <c:showBubbleSize val="0"/>
        </c:dLbls>
        <c:gapWidth val="150"/>
        <c:axId val="134451584"/>
        <c:axId val="134466560"/>
      </c:barChart>
      <c:catAx>
        <c:axId val="134451584"/>
        <c:scaling>
          <c:orientation val="minMax"/>
        </c:scaling>
        <c:delete val="0"/>
        <c:axPos val="b"/>
        <c:numFmt formatCode="General" sourceLinked="0"/>
        <c:majorTickMark val="out"/>
        <c:minorTickMark val="none"/>
        <c:tickLblPos val="nextTo"/>
        <c:crossAx val="134466560"/>
        <c:crosses val="autoZero"/>
        <c:auto val="1"/>
        <c:lblAlgn val="ctr"/>
        <c:lblOffset val="100"/>
        <c:noMultiLvlLbl val="0"/>
      </c:catAx>
      <c:valAx>
        <c:axId val="134466560"/>
        <c:scaling>
          <c:orientation val="minMax"/>
        </c:scaling>
        <c:delete val="0"/>
        <c:axPos val="l"/>
        <c:majorGridlines/>
        <c:numFmt formatCode="General" sourceLinked="1"/>
        <c:majorTickMark val="out"/>
        <c:minorTickMark val="none"/>
        <c:tickLblPos val="nextTo"/>
        <c:crossAx val="134451584"/>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448365086821174"/>
          <c:y val="8.2556586114630764E-2"/>
          <c:w val="0.72902000748390061"/>
          <c:h val="0.61712618931870267"/>
        </c:manualLayout>
      </c:layout>
      <c:barChart>
        <c:barDir val="col"/>
        <c:grouping val="clustered"/>
        <c:varyColors val="0"/>
        <c:ser>
          <c:idx val="0"/>
          <c:order val="0"/>
          <c:tx>
            <c:strRef>
              <c:f>'Hb PCV'!$B$1:$B$2</c:f>
              <c:strCache>
                <c:ptCount val="1"/>
                <c:pt idx="0">
                  <c:v>Hb(g/dl)</c:v>
                </c:pt>
              </c:strCache>
            </c:strRef>
          </c:tx>
          <c:invertIfNegative val="0"/>
          <c:errBars>
            <c:errBarType val="plus"/>
            <c:errValType val="cust"/>
            <c:noEndCap val="0"/>
            <c:plus>
              <c:numRef>
                <c:f>'Hb PCV'!$D$4:$D$9</c:f>
                <c:numCache>
                  <c:formatCode>General</c:formatCode>
                  <c:ptCount val="6"/>
                  <c:pt idx="0">
                    <c:v>0.21000000000000021</c:v>
                  </c:pt>
                  <c:pt idx="1">
                    <c:v>0.33000000000000274</c:v>
                  </c:pt>
                  <c:pt idx="2">
                    <c:v>0.42000000000000032</c:v>
                  </c:pt>
                  <c:pt idx="3">
                    <c:v>0.4</c:v>
                  </c:pt>
                  <c:pt idx="4">
                    <c:v>0.4</c:v>
                  </c:pt>
                  <c:pt idx="5">
                    <c:v>0.33000000000000274</c:v>
                  </c:pt>
                </c:numCache>
              </c:numRef>
            </c:plus>
            <c:minus>
              <c:numLit>
                <c:formatCode>General</c:formatCode>
                <c:ptCount val="1"/>
                <c:pt idx="0">
                  <c:v>1</c:v>
                </c:pt>
              </c:numLit>
            </c:minus>
          </c:errBars>
          <c:cat>
            <c:strRef>
              <c:f>'Hb PCV'!$A$3:$A$8</c:f>
              <c:strCache>
                <c:ptCount val="6"/>
                <c:pt idx="0">
                  <c:v>T0</c:v>
                </c:pt>
                <c:pt idx="1">
                  <c:v>T1</c:v>
                </c:pt>
                <c:pt idx="2">
                  <c:v>T2</c:v>
                </c:pt>
                <c:pt idx="3">
                  <c:v>T3</c:v>
                </c:pt>
                <c:pt idx="4">
                  <c:v>T4</c:v>
                </c:pt>
                <c:pt idx="5">
                  <c:v>T5</c:v>
                </c:pt>
              </c:strCache>
            </c:strRef>
          </c:cat>
          <c:val>
            <c:numRef>
              <c:f>'Hb PCV'!$B$3:$B$8</c:f>
              <c:numCache>
                <c:formatCode>General</c:formatCode>
                <c:ptCount val="6"/>
                <c:pt idx="0">
                  <c:v>10.67</c:v>
                </c:pt>
                <c:pt idx="1">
                  <c:v>10.83</c:v>
                </c:pt>
                <c:pt idx="2">
                  <c:v>10.5</c:v>
                </c:pt>
                <c:pt idx="3">
                  <c:v>11.13</c:v>
                </c:pt>
                <c:pt idx="4">
                  <c:v>11.17</c:v>
                </c:pt>
                <c:pt idx="5">
                  <c:v>10.67</c:v>
                </c:pt>
              </c:numCache>
            </c:numRef>
          </c:val>
          <c:extLst>
            <c:ext xmlns:c16="http://schemas.microsoft.com/office/drawing/2014/chart" uri="{C3380CC4-5D6E-409C-BE32-E72D297353CC}">
              <c16:uniqueId val="{00000000-19CE-432C-8887-5B6AD506FEAC}"/>
            </c:ext>
          </c:extLst>
        </c:ser>
        <c:dLbls>
          <c:showLegendKey val="0"/>
          <c:showVal val="0"/>
          <c:showCatName val="0"/>
          <c:showSerName val="0"/>
          <c:showPercent val="0"/>
          <c:showBubbleSize val="0"/>
        </c:dLbls>
        <c:gapWidth val="150"/>
        <c:axId val="134667264"/>
        <c:axId val="134869760"/>
      </c:barChart>
      <c:catAx>
        <c:axId val="134667264"/>
        <c:scaling>
          <c:orientation val="minMax"/>
        </c:scaling>
        <c:delete val="0"/>
        <c:axPos val="b"/>
        <c:numFmt formatCode="General" sourceLinked="0"/>
        <c:majorTickMark val="out"/>
        <c:minorTickMark val="none"/>
        <c:tickLblPos val="nextTo"/>
        <c:crossAx val="134869760"/>
        <c:crosses val="autoZero"/>
        <c:auto val="1"/>
        <c:lblAlgn val="ctr"/>
        <c:lblOffset val="100"/>
        <c:noMultiLvlLbl val="0"/>
      </c:catAx>
      <c:valAx>
        <c:axId val="134869760"/>
        <c:scaling>
          <c:orientation val="minMax"/>
        </c:scaling>
        <c:delete val="0"/>
        <c:axPos val="l"/>
        <c:majorGridlines/>
        <c:numFmt formatCode="General" sourceLinked="1"/>
        <c:majorTickMark val="out"/>
        <c:minorTickMark val="none"/>
        <c:tickLblPos val="nextTo"/>
        <c:crossAx val="134667264"/>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365529688973794"/>
          <c:y val="8.3686367108827334E-2"/>
          <c:w val="0.71206037607346273"/>
          <c:h val="0.67036479458055165"/>
        </c:manualLayout>
      </c:layout>
      <c:barChart>
        <c:barDir val="col"/>
        <c:grouping val="clustered"/>
        <c:varyColors val="0"/>
        <c:ser>
          <c:idx val="0"/>
          <c:order val="0"/>
          <c:tx>
            <c:strRef>
              <c:f>'Hb PCV'!$B$20:$B$21</c:f>
              <c:strCache>
                <c:ptCount val="1"/>
                <c:pt idx="0">
                  <c:v>TEC (10)</c:v>
                </c:pt>
              </c:strCache>
            </c:strRef>
          </c:tx>
          <c:invertIfNegative val="0"/>
          <c:errBars>
            <c:errBarType val="plus"/>
            <c:errValType val="cust"/>
            <c:noEndCap val="0"/>
            <c:plus>
              <c:numRef>
                <c:f>'Hb PCV'!$F$4:$F$9</c:f>
                <c:numCache>
                  <c:formatCode>General</c:formatCode>
                  <c:ptCount val="6"/>
                  <c:pt idx="0">
                    <c:v>0.12000000000000002</c:v>
                  </c:pt>
                  <c:pt idx="1">
                    <c:v>8.0000000000000043E-2</c:v>
                  </c:pt>
                  <c:pt idx="2">
                    <c:v>0.14000000000000001</c:v>
                  </c:pt>
                  <c:pt idx="3">
                    <c:v>0.13</c:v>
                  </c:pt>
                  <c:pt idx="4">
                    <c:v>0.13</c:v>
                  </c:pt>
                  <c:pt idx="5">
                    <c:v>0.14000000000000001</c:v>
                  </c:pt>
                </c:numCache>
              </c:numRef>
            </c:plus>
            <c:minus>
              <c:numLit>
                <c:formatCode>General</c:formatCode>
                <c:ptCount val="1"/>
                <c:pt idx="0">
                  <c:v>1</c:v>
                </c:pt>
              </c:numLit>
            </c:minus>
          </c:errBars>
          <c:cat>
            <c:strRef>
              <c:f>'Hb PCV'!$A$22:$A$27</c:f>
              <c:strCache>
                <c:ptCount val="6"/>
                <c:pt idx="0">
                  <c:v>T0</c:v>
                </c:pt>
                <c:pt idx="1">
                  <c:v>T1</c:v>
                </c:pt>
                <c:pt idx="2">
                  <c:v>T2</c:v>
                </c:pt>
                <c:pt idx="3">
                  <c:v>T3</c:v>
                </c:pt>
                <c:pt idx="4">
                  <c:v>T4</c:v>
                </c:pt>
                <c:pt idx="5">
                  <c:v>T5</c:v>
                </c:pt>
              </c:strCache>
            </c:strRef>
          </c:cat>
          <c:val>
            <c:numRef>
              <c:f>'Hb PCV'!$B$22:$B$27</c:f>
              <c:numCache>
                <c:formatCode>General</c:formatCode>
                <c:ptCount val="6"/>
                <c:pt idx="0">
                  <c:v>2.64</c:v>
                </c:pt>
                <c:pt idx="1">
                  <c:v>3.24</c:v>
                </c:pt>
                <c:pt idx="2">
                  <c:v>3.73</c:v>
                </c:pt>
                <c:pt idx="3">
                  <c:v>3.4499999999999997</c:v>
                </c:pt>
                <c:pt idx="4">
                  <c:v>3.68</c:v>
                </c:pt>
                <c:pt idx="5">
                  <c:v>2.73</c:v>
                </c:pt>
              </c:numCache>
            </c:numRef>
          </c:val>
          <c:extLst>
            <c:ext xmlns:c16="http://schemas.microsoft.com/office/drawing/2014/chart" uri="{C3380CC4-5D6E-409C-BE32-E72D297353CC}">
              <c16:uniqueId val="{00000000-2FCB-4F1D-A83A-4687EA39B168}"/>
            </c:ext>
          </c:extLst>
        </c:ser>
        <c:dLbls>
          <c:showLegendKey val="0"/>
          <c:showVal val="0"/>
          <c:showCatName val="0"/>
          <c:showSerName val="0"/>
          <c:showPercent val="0"/>
          <c:showBubbleSize val="0"/>
        </c:dLbls>
        <c:gapWidth val="150"/>
        <c:axId val="138645888"/>
        <c:axId val="138647424"/>
      </c:barChart>
      <c:catAx>
        <c:axId val="138645888"/>
        <c:scaling>
          <c:orientation val="minMax"/>
        </c:scaling>
        <c:delete val="0"/>
        <c:axPos val="b"/>
        <c:numFmt formatCode="General" sourceLinked="0"/>
        <c:majorTickMark val="out"/>
        <c:minorTickMark val="none"/>
        <c:tickLblPos val="nextTo"/>
        <c:crossAx val="138647424"/>
        <c:crosses val="autoZero"/>
        <c:auto val="1"/>
        <c:lblAlgn val="ctr"/>
        <c:lblOffset val="100"/>
        <c:noMultiLvlLbl val="0"/>
      </c:catAx>
      <c:valAx>
        <c:axId val="138647424"/>
        <c:scaling>
          <c:orientation val="minMax"/>
        </c:scaling>
        <c:delete val="0"/>
        <c:axPos val="l"/>
        <c:majorGridlines/>
        <c:numFmt formatCode="General" sourceLinked="1"/>
        <c:majorTickMark val="out"/>
        <c:minorTickMark val="none"/>
        <c:tickLblPos val="nextTo"/>
        <c:crossAx val="138645888"/>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482183114924538"/>
          <c:y val="7.3283996405496973E-2"/>
          <c:w val="0.73460354034334163"/>
          <c:h val="0.64508033967800849"/>
        </c:manualLayout>
      </c:layout>
      <c:barChart>
        <c:barDir val="col"/>
        <c:grouping val="clustered"/>
        <c:varyColors val="0"/>
        <c:ser>
          <c:idx val="0"/>
          <c:order val="0"/>
          <c:tx>
            <c:strRef>
              <c:f>'Hb PCV'!$B$40</c:f>
              <c:strCache>
                <c:ptCount val="1"/>
                <c:pt idx="0">
                  <c:v>(pg)</c:v>
                </c:pt>
              </c:strCache>
            </c:strRef>
          </c:tx>
          <c:invertIfNegative val="0"/>
          <c:errBars>
            <c:errBarType val="plus"/>
            <c:errValType val="cust"/>
            <c:noEndCap val="0"/>
            <c:plus>
              <c:numRef>
                <c:f>'Hb PCV'!$G$4:$G$9</c:f>
                <c:numCache>
                  <c:formatCode>General</c:formatCode>
                  <c:ptCount val="6"/>
                  <c:pt idx="0">
                    <c:v>4.4700000000000024</c:v>
                  </c:pt>
                  <c:pt idx="1">
                    <c:v>1.9800000000000093</c:v>
                  </c:pt>
                  <c:pt idx="2">
                    <c:v>2.2799999999999998</c:v>
                  </c:pt>
                  <c:pt idx="3">
                    <c:v>2.9299999999999997</c:v>
                  </c:pt>
                  <c:pt idx="4">
                    <c:v>4.07</c:v>
                  </c:pt>
                  <c:pt idx="5">
                    <c:v>5.49</c:v>
                  </c:pt>
                </c:numCache>
              </c:numRef>
            </c:plus>
            <c:minus>
              <c:numLit>
                <c:formatCode>General</c:formatCode>
                <c:ptCount val="1"/>
                <c:pt idx="0">
                  <c:v>1</c:v>
                </c:pt>
              </c:numLit>
            </c:minus>
          </c:errBars>
          <c:cat>
            <c:strRef>
              <c:f>'Hb PCV'!$A$41:$A$46</c:f>
              <c:strCache>
                <c:ptCount val="6"/>
                <c:pt idx="0">
                  <c:v>T0</c:v>
                </c:pt>
                <c:pt idx="1">
                  <c:v>T1</c:v>
                </c:pt>
                <c:pt idx="2">
                  <c:v>T2</c:v>
                </c:pt>
                <c:pt idx="3">
                  <c:v>T3</c:v>
                </c:pt>
                <c:pt idx="4">
                  <c:v>T4</c:v>
                </c:pt>
                <c:pt idx="5">
                  <c:v>T5</c:v>
                </c:pt>
              </c:strCache>
            </c:strRef>
          </c:cat>
          <c:val>
            <c:numRef>
              <c:f>'Hb PCV'!$B$41:$B$46</c:f>
              <c:numCache>
                <c:formatCode>General</c:formatCode>
                <c:ptCount val="6"/>
                <c:pt idx="0">
                  <c:v>40.870000000000005</c:v>
                </c:pt>
                <c:pt idx="1">
                  <c:v>31.87</c:v>
                </c:pt>
                <c:pt idx="2">
                  <c:v>28.45</c:v>
                </c:pt>
                <c:pt idx="3">
                  <c:v>31.52</c:v>
                </c:pt>
                <c:pt idx="4">
                  <c:v>30.66</c:v>
                </c:pt>
                <c:pt idx="5">
                  <c:v>39.480000000000004</c:v>
                </c:pt>
              </c:numCache>
            </c:numRef>
          </c:val>
          <c:extLst>
            <c:ext xmlns:c16="http://schemas.microsoft.com/office/drawing/2014/chart" uri="{C3380CC4-5D6E-409C-BE32-E72D297353CC}">
              <c16:uniqueId val="{00000000-6AF1-41AC-B46F-7E498345B337}"/>
            </c:ext>
          </c:extLst>
        </c:ser>
        <c:dLbls>
          <c:showLegendKey val="0"/>
          <c:showVal val="0"/>
          <c:showCatName val="0"/>
          <c:showSerName val="0"/>
          <c:showPercent val="0"/>
          <c:showBubbleSize val="0"/>
        </c:dLbls>
        <c:gapWidth val="150"/>
        <c:axId val="137033984"/>
        <c:axId val="137235072"/>
      </c:barChart>
      <c:catAx>
        <c:axId val="137033984"/>
        <c:scaling>
          <c:orientation val="minMax"/>
        </c:scaling>
        <c:delete val="0"/>
        <c:axPos val="b"/>
        <c:numFmt formatCode="General" sourceLinked="0"/>
        <c:majorTickMark val="out"/>
        <c:minorTickMark val="none"/>
        <c:tickLblPos val="nextTo"/>
        <c:crossAx val="137235072"/>
        <c:crosses val="autoZero"/>
        <c:auto val="1"/>
        <c:lblAlgn val="ctr"/>
        <c:lblOffset val="100"/>
        <c:noMultiLvlLbl val="0"/>
      </c:catAx>
      <c:valAx>
        <c:axId val="137235072"/>
        <c:scaling>
          <c:orientation val="minMax"/>
        </c:scaling>
        <c:delete val="0"/>
        <c:axPos val="l"/>
        <c:majorGridlines/>
        <c:numFmt formatCode="General" sourceLinked="1"/>
        <c:majorTickMark val="out"/>
        <c:minorTickMark val="none"/>
        <c:tickLblPos val="nextTo"/>
        <c:crossAx val="137033984"/>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874277114592768"/>
          <c:y val="6.4166748237656474E-2"/>
          <c:w val="0.74889754629708993"/>
          <c:h val="0.61508427149085765"/>
        </c:manualLayout>
      </c:layout>
      <c:barChart>
        <c:barDir val="col"/>
        <c:grouping val="clustered"/>
        <c:varyColors val="0"/>
        <c:ser>
          <c:idx val="0"/>
          <c:order val="0"/>
          <c:invertIfNegative val="0"/>
          <c:errBars>
            <c:errBarType val="plus"/>
            <c:errValType val="cust"/>
            <c:noEndCap val="0"/>
            <c:plus>
              <c:numRef>
                <c:f>'Hb PCV'!$H$4:$H$9</c:f>
                <c:numCache>
                  <c:formatCode>General</c:formatCode>
                  <c:ptCount val="6"/>
                  <c:pt idx="0">
                    <c:v>2.0499999999999998</c:v>
                  </c:pt>
                  <c:pt idx="1">
                    <c:v>1.08</c:v>
                  </c:pt>
                  <c:pt idx="2">
                    <c:v>1.9000000000000001</c:v>
                  </c:pt>
                  <c:pt idx="3">
                    <c:v>1.5</c:v>
                  </c:pt>
                  <c:pt idx="4">
                    <c:v>2.14</c:v>
                  </c:pt>
                  <c:pt idx="5">
                    <c:v>2.5299999999999998</c:v>
                  </c:pt>
                </c:numCache>
              </c:numRef>
            </c:plus>
            <c:minus>
              <c:numLit>
                <c:formatCode>General</c:formatCode>
                <c:ptCount val="1"/>
                <c:pt idx="0">
                  <c:v>1</c:v>
                </c:pt>
              </c:numLit>
            </c:minus>
          </c:errBars>
          <c:cat>
            <c:strRef>
              <c:f>'Hb PCV'!$A$41:$A$46</c:f>
              <c:strCache>
                <c:ptCount val="6"/>
                <c:pt idx="0">
                  <c:v>T0</c:v>
                </c:pt>
                <c:pt idx="1">
                  <c:v>T1</c:v>
                </c:pt>
                <c:pt idx="2">
                  <c:v>T2</c:v>
                </c:pt>
                <c:pt idx="3">
                  <c:v>T3</c:v>
                </c:pt>
                <c:pt idx="4">
                  <c:v>T4</c:v>
                </c:pt>
                <c:pt idx="5">
                  <c:v>T5</c:v>
                </c:pt>
              </c:strCache>
            </c:strRef>
          </c:cat>
          <c:val>
            <c:numRef>
              <c:f>'Hb PCV'!$B$41:$B$46</c:f>
              <c:numCache>
                <c:formatCode>General</c:formatCode>
                <c:ptCount val="6"/>
                <c:pt idx="0">
                  <c:v>40.870000000000005</c:v>
                </c:pt>
                <c:pt idx="1">
                  <c:v>31.87</c:v>
                </c:pt>
                <c:pt idx="2">
                  <c:v>28.45</c:v>
                </c:pt>
                <c:pt idx="3">
                  <c:v>31.52</c:v>
                </c:pt>
                <c:pt idx="4">
                  <c:v>30.66</c:v>
                </c:pt>
                <c:pt idx="5">
                  <c:v>39.480000000000004</c:v>
                </c:pt>
              </c:numCache>
            </c:numRef>
          </c:val>
          <c:extLst>
            <c:ext xmlns:c16="http://schemas.microsoft.com/office/drawing/2014/chart" uri="{C3380CC4-5D6E-409C-BE32-E72D297353CC}">
              <c16:uniqueId val="{00000000-3CDE-411B-97AE-67DFBA66B220}"/>
            </c:ext>
          </c:extLst>
        </c:ser>
        <c:dLbls>
          <c:showLegendKey val="0"/>
          <c:showVal val="0"/>
          <c:showCatName val="0"/>
          <c:showSerName val="0"/>
          <c:showPercent val="0"/>
          <c:showBubbleSize val="0"/>
        </c:dLbls>
        <c:gapWidth val="150"/>
        <c:axId val="139487488"/>
        <c:axId val="140188288"/>
      </c:barChart>
      <c:catAx>
        <c:axId val="139487488"/>
        <c:scaling>
          <c:orientation val="minMax"/>
        </c:scaling>
        <c:delete val="0"/>
        <c:axPos val="b"/>
        <c:numFmt formatCode="General" sourceLinked="0"/>
        <c:majorTickMark val="out"/>
        <c:minorTickMark val="none"/>
        <c:tickLblPos val="nextTo"/>
        <c:crossAx val="140188288"/>
        <c:crosses val="autoZero"/>
        <c:auto val="1"/>
        <c:lblAlgn val="ctr"/>
        <c:lblOffset val="100"/>
        <c:noMultiLvlLbl val="0"/>
      </c:catAx>
      <c:valAx>
        <c:axId val="140188288"/>
        <c:scaling>
          <c:orientation val="minMax"/>
        </c:scaling>
        <c:delete val="0"/>
        <c:axPos val="l"/>
        <c:majorGridlines/>
        <c:numFmt formatCode="General" sourceLinked="1"/>
        <c:majorTickMark val="out"/>
        <c:minorTickMark val="none"/>
        <c:tickLblPos val="nextTo"/>
        <c:crossAx val="139487488"/>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2896347273015871"/>
          <c:y val="5.9932629878755798E-2"/>
          <c:w val="0.731858594723102"/>
          <c:h val="0.64481840110287791"/>
        </c:manualLayout>
      </c:layout>
      <c:barChart>
        <c:barDir val="col"/>
        <c:grouping val="clustered"/>
        <c:varyColors val="0"/>
        <c:ser>
          <c:idx val="0"/>
          <c:order val="0"/>
          <c:invertIfNegative val="0"/>
          <c:errBars>
            <c:errBarType val="plus"/>
            <c:errValType val="cust"/>
            <c:noEndCap val="0"/>
            <c:plus>
              <c:numRef>
                <c:f>'Hb PCV'!$I$4:$I$9</c:f>
                <c:numCache>
                  <c:formatCode>General</c:formatCode>
                  <c:ptCount val="6"/>
                  <c:pt idx="0">
                    <c:v>0.3900000000000024</c:v>
                  </c:pt>
                  <c:pt idx="1">
                    <c:v>1.82</c:v>
                  </c:pt>
                  <c:pt idx="2">
                    <c:v>1.9600000000000084</c:v>
                  </c:pt>
                  <c:pt idx="3">
                    <c:v>0.8</c:v>
                  </c:pt>
                  <c:pt idx="4">
                    <c:v>2.75</c:v>
                  </c:pt>
                  <c:pt idx="5">
                    <c:v>0.49000000000000032</c:v>
                  </c:pt>
                </c:numCache>
              </c:numRef>
            </c:plus>
            <c:minus>
              <c:numLit>
                <c:formatCode>General</c:formatCode>
                <c:ptCount val="1"/>
                <c:pt idx="0">
                  <c:v>1</c:v>
                </c:pt>
              </c:numLit>
            </c:minus>
          </c:errBars>
          <c:cat>
            <c:strRef>
              <c:f>'Hb PCV'!$A$50:$A$55</c:f>
              <c:strCache>
                <c:ptCount val="6"/>
                <c:pt idx="0">
                  <c:v>T0</c:v>
                </c:pt>
                <c:pt idx="1">
                  <c:v>T1</c:v>
                </c:pt>
                <c:pt idx="2">
                  <c:v>T2</c:v>
                </c:pt>
                <c:pt idx="3">
                  <c:v>T3</c:v>
                </c:pt>
                <c:pt idx="4">
                  <c:v>T4</c:v>
                </c:pt>
                <c:pt idx="5">
                  <c:v>T5</c:v>
                </c:pt>
              </c:strCache>
            </c:strRef>
          </c:cat>
          <c:val>
            <c:numRef>
              <c:f>'Hb PCV'!$B$50:$B$55</c:f>
              <c:numCache>
                <c:formatCode>General</c:formatCode>
                <c:ptCount val="6"/>
                <c:pt idx="0">
                  <c:v>41.290000000000013</c:v>
                </c:pt>
                <c:pt idx="1">
                  <c:v>37.770000000000003</c:v>
                </c:pt>
                <c:pt idx="2">
                  <c:v>41.06</c:v>
                </c:pt>
                <c:pt idx="3">
                  <c:v>43.25</c:v>
                </c:pt>
                <c:pt idx="4">
                  <c:v>42.1</c:v>
                </c:pt>
                <c:pt idx="5">
                  <c:v>41.260000000000012</c:v>
                </c:pt>
              </c:numCache>
            </c:numRef>
          </c:val>
          <c:extLst>
            <c:ext xmlns:c16="http://schemas.microsoft.com/office/drawing/2014/chart" uri="{C3380CC4-5D6E-409C-BE32-E72D297353CC}">
              <c16:uniqueId val="{00000000-1A80-4F78-94DE-A3DCEF24EAEE}"/>
            </c:ext>
          </c:extLst>
        </c:ser>
        <c:dLbls>
          <c:showLegendKey val="0"/>
          <c:showVal val="0"/>
          <c:showCatName val="0"/>
          <c:showSerName val="0"/>
          <c:showPercent val="0"/>
          <c:showBubbleSize val="0"/>
        </c:dLbls>
        <c:gapWidth val="150"/>
        <c:axId val="139236480"/>
        <c:axId val="139238016"/>
      </c:barChart>
      <c:catAx>
        <c:axId val="139236480"/>
        <c:scaling>
          <c:orientation val="minMax"/>
        </c:scaling>
        <c:delete val="0"/>
        <c:axPos val="b"/>
        <c:numFmt formatCode="General" sourceLinked="0"/>
        <c:majorTickMark val="out"/>
        <c:minorTickMark val="none"/>
        <c:tickLblPos val="nextTo"/>
        <c:crossAx val="139238016"/>
        <c:crosses val="autoZero"/>
        <c:auto val="1"/>
        <c:lblAlgn val="ctr"/>
        <c:lblOffset val="100"/>
        <c:noMultiLvlLbl val="0"/>
      </c:catAx>
      <c:valAx>
        <c:axId val="139238016"/>
        <c:scaling>
          <c:orientation val="minMax"/>
        </c:scaling>
        <c:delete val="0"/>
        <c:axPos val="l"/>
        <c:majorGridlines/>
        <c:numFmt formatCode="General" sourceLinked="1"/>
        <c:majorTickMark val="out"/>
        <c:minorTickMark val="none"/>
        <c:tickLblPos val="nextTo"/>
        <c:crossAx val="139236480"/>
        <c:crosses val="autoZero"/>
        <c:crossBetween val="between"/>
      </c:valAx>
    </c:plotArea>
    <c:plotVisOnly val="1"/>
    <c:dispBlanksAs val="gap"/>
    <c:showDLblsOverMax val="0"/>
  </c:chart>
  <c:txPr>
    <a:bodyPr/>
    <a:lstStyle/>
    <a:p>
      <a:pPr>
        <a:defRPr sz="800">
          <a:latin typeface="Arial" pitchFamily="34" charset="0"/>
          <a:cs typeface="Arial" pitchFamily="34" charset="0"/>
        </a:defRPr>
      </a:pPr>
      <a:endParaRPr lang="en-US"/>
    </a:p>
  </c:txPr>
  <c:externalData r:id="rId2">
    <c:autoUpdate val="0"/>
  </c:externalData>
  <c:userShapes r:id="rId3"/>
</c:chartSpace>
</file>

<file path=word/drawings/_rels/drawing3.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0.02009</cdr:x>
      <cdr:y>0.24138</cdr:y>
    </cdr:from>
    <cdr:to>
      <cdr:x>0.13015</cdr:x>
      <cdr:y>0.64655</cdr:y>
    </cdr:to>
    <cdr:sp macro="" textlink="">
      <cdr:nvSpPr>
        <cdr:cNvPr id="3" name="TextBox 2"/>
        <cdr:cNvSpPr txBox="1"/>
      </cdr:nvSpPr>
      <cdr:spPr>
        <a:xfrm xmlns:a="http://schemas.openxmlformats.org/drawingml/2006/main" rot="16200000">
          <a:off x="-181678" y="673572"/>
          <a:ext cx="740924" cy="27658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PCV</a:t>
          </a:r>
          <a:r>
            <a:rPr lang="en-US" sz="800" b="1" baseline="0">
              <a:latin typeface="Arial" pitchFamily="34" charset="0"/>
              <a:cs typeface="Arial" pitchFamily="34" charset="0"/>
            </a:rPr>
            <a:t> (%)</a:t>
          </a:r>
          <a:endParaRPr lang="en-US" sz="800" b="1">
            <a:latin typeface="Arial" pitchFamily="34" charset="0"/>
            <a:cs typeface="Arial" pitchFamily="34" charset="0"/>
          </a:endParaRPr>
        </a:p>
      </cdr:txBody>
    </cdr:sp>
  </cdr:relSizeAnchor>
  <cdr:relSizeAnchor xmlns:cdr="http://schemas.openxmlformats.org/drawingml/2006/chartDrawing">
    <cdr:from>
      <cdr:x>0.2189</cdr:x>
      <cdr:y>0.84774</cdr:y>
    </cdr:from>
    <cdr:to>
      <cdr:x>0.93589</cdr:x>
      <cdr:y>0.97274</cdr:y>
    </cdr:to>
    <cdr:sp macro="" textlink="">
      <cdr:nvSpPr>
        <cdr:cNvPr id="4" name="TextBox 3"/>
        <cdr:cNvSpPr txBox="1"/>
      </cdr:nvSpPr>
      <cdr:spPr>
        <a:xfrm xmlns:a="http://schemas.openxmlformats.org/drawingml/2006/main">
          <a:off x="550111" y="1550231"/>
          <a:ext cx="1801850" cy="22858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0.237</cdr:y>
    </cdr:from>
    <cdr:to>
      <cdr:x>0.0699</cdr:x>
      <cdr:y>0.67424</cdr:y>
    </cdr:to>
    <cdr:sp macro="" textlink="">
      <cdr:nvSpPr>
        <cdr:cNvPr id="2" name="TextBox 1"/>
        <cdr:cNvSpPr txBox="1"/>
      </cdr:nvSpPr>
      <cdr:spPr>
        <a:xfrm xmlns:a="http://schemas.openxmlformats.org/drawingml/2006/main" rot="16200000">
          <a:off x="-314091" y="745373"/>
          <a:ext cx="799571" cy="17561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Hb (g/dl)</a:t>
          </a:r>
        </a:p>
      </cdr:txBody>
    </cdr:sp>
  </cdr:relSizeAnchor>
  <cdr:relSizeAnchor xmlns:cdr="http://schemas.openxmlformats.org/drawingml/2006/chartDrawing">
    <cdr:from>
      <cdr:x>0.28623</cdr:x>
      <cdr:y>0.87639</cdr:y>
    </cdr:from>
    <cdr:to>
      <cdr:x>0.77662</cdr:x>
      <cdr:y>0.98322</cdr:y>
    </cdr:to>
    <cdr:sp macro="" textlink="">
      <cdr:nvSpPr>
        <cdr:cNvPr id="3" name="TextBox 2"/>
        <cdr:cNvSpPr txBox="1"/>
      </cdr:nvSpPr>
      <cdr:spPr>
        <a:xfrm xmlns:a="http://schemas.openxmlformats.org/drawingml/2006/main">
          <a:off x="719130" y="1602634"/>
          <a:ext cx="1232076" cy="19535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0.02812</cdr:x>
      <cdr:y>0.33316</cdr:y>
    </cdr:from>
    <cdr:to>
      <cdr:x>0.13079</cdr:x>
      <cdr:y>0.60455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48421" y="728332"/>
          <a:ext cx="496284" cy="258083"/>
        </a:xfrm>
        <a:prstGeom xmlns:a="http://schemas.openxmlformats.org/drawingml/2006/main" prst="rect">
          <a:avLst/>
        </a:prstGeom>
      </cdr:spPr>
    </cdr:pic>
  </cdr:relSizeAnchor>
  <cdr:relSizeAnchor xmlns:cdr="http://schemas.openxmlformats.org/drawingml/2006/chartDrawing">
    <cdr:from>
      <cdr:x>0.18435</cdr:x>
      <cdr:y>0.88475</cdr:y>
    </cdr:from>
    <cdr:to>
      <cdr:x>0.86724</cdr:x>
      <cdr:y>1</cdr:y>
    </cdr:to>
    <cdr:sp macro="" textlink="">
      <cdr:nvSpPr>
        <cdr:cNvPr id="5" name="TextBox 4"/>
        <cdr:cNvSpPr txBox="1"/>
      </cdr:nvSpPr>
      <cdr:spPr>
        <a:xfrm xmlns:a="http://schemas.openxmlformats.org/drawingml/2006/main">
          <a:off x="463394" y="1618045"/>
          <a:ext cx="1716604" cy="21075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0.03424</cdr:x>
      <cdr:y>0.26412</cdr:y>
    </cdr:from>
    <cdr:to>
      <cdr:x>0.28181</cdr:x>
      <cdr:y>0.69857</cdr:y>
    </cdr:to>
    <cdr:sp macro="" textlink="">
      <cdr:nvSpPr>
        <cdr:cNvPr id="2" name="TextBox 1"/>
        <cdr:cNvSpPr txBox="1"/>
      </cdr:nvSpPr>
      <cdr:spPr>
        <a:xfrm xmlns:a="http://schemas.openxmlformats.org/drawingml/2006/main" rot="16200000">
          <a:off x="0" y="569051"/>
          <a:ext cx="794457" cy="62234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MCV</a:t>
          </a:r>
          <a:r>
            <a:rPr lang="en-US" sz="800" b="1" baseline="0">
              <a:latin typeface="Arial" pitchFamily="34" charset="0"/>
              <a:cs typeface="Arial" pitchFamily="34" charset="0"/>
            </a:rPr>
            <a:t> (FL)</a:t>
          </a:r>
          <a:endParaRPr lang="en-US" sz="800" b="1">
            <a:latin typeface="Arial" pitchFamily="34" charset="0"/>
            <a:cs typeface="Arial" pitchFamily="34" charset="0"/>
          </a:endParaRPr>
        </a:p>
      </cdr:txBody>
    </cdr:sp>
  </cdr:relSizeAnchor>
  <cdr:relSizeAnchor xmlns:cdr="http://schemas.openxmlformats.org/drawingml/2006/chartDrawing">
    <cdr:from>
      <cdr:x>0.19774</cdr:x>
      <cdr:y>0.89564</cdr:y>
    </cdr:from>
    <cdr:to>
      <cdr:x>0.82922</cdr:x>
      <cdr:y>0.97159</cdr:y>
    </cdr:to>
    <cdr:sp macro="" textlink="">
      <cdr:nvSpPr>
        <cdr:cNvPr id="3" name="TextBox 2"/>
        <cdr:cNvSpPr txBox="1"/>
      </cdr:nvSpPr>
      <cdr:spPr>
        <a:xfrm xmlns:a="http://schemas.openxmlformats.org/drawingml/2006/main">
          <a:off x="497054" y="1637836"/>
          <a:ext cx="1587358" cy="13888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cdr:y>
    </cdr:from>
    <cdr:to>
      <cdr:x>0.1044</cdr:x>
      <cdr:y>0.75306</cdr:y>
    </cdr:to>
    <cdr:sp macro="" textlink="">
      <cdr:nvSpPr>
        <cdr:cNvPr id="4" name="TextBox 1"/>
        <cdr:cNvSpPr txBox="1"/>
      </cdr:nvSpPr>
      <cdr:spPr>
        <a:xfrm xmlns:a="http://schemas.openxmlformats.org/drawingml/2006/main" rot="16200000">
          <a:off x="-687341" y="687341"/>
          <a:ext cx="1628246" cy="2535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800">
              <a:latin typeface="Arial" pitchFamily="34" charset="0"/>
              <a:cs typeface="Arial" pitchFamily="34" charset="0"/>
            </a:rPr>
            <a:t>MCH (pg)</a:t>
          </a:r>
        </a:p>
      </cdr:txBody>
    </cdr:sp>
  </cdr:relSizeAnchor>
  <cdr:relSizeAnchor xmlns:cdr="http://schemas.openxmlformats.org/drawingml/2006/chartDrawing">
    <cdr:from>
      <cdr:x>0.2425</cdr:x>
      <cdr:y>0.87696</cdr:y>
    </cdr:from>
    <cdr:to>
      <cdr:x>0.80922</cdr:x>
      <cdr:y>0.97388</cdr:y>
    </cdr:to>
    <cdr:sp macro="" textlink="">
      <cdr:nvSpPr>
        <cdr:cNvPr id="5" name="TextBox 4"/>
        <cdr:cNvSpPr txBox="1"/>
      </cdr:nvSpPr>
      <cdr:spPr>
        <a:xfrm xmlns:a="http://schemas.openxmlformats.org/drawingml/2006/main">
          <a:off x="609577" y="1603668"/>
          <a:ext cx="1424566" cy="17723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0.06032</cdr:x>
      <cdr:y>0.33198</cdr:y>
    </cdr:from>
    <cdr:to>
      <cdr:x>0.18095</cdr:x>
      <cdr:y>0.45749</cdr:y>
    </cdr:to>
    <cdr:sp macro="" textlink="">
      <cdr:nvSpPr>
        <cdr:cNvPr id="2" name="TextBox 1"/>
        <cdr:cNvSpPr txBox="1"/>
      </cdr:nvSpPr>
      <cdr:spPr>
        <a:xfrm xmlns:a="http://schemas.openxmlformats.org/drawingml/2006/main">
          <a:off x="180975" y="781050"/>
          <a:ext cx="361950" cy="2952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0.0995</cdr:y>
    </cdr:from>
    <cdr:to>
      <cdr:x>0.15623</cdr:x>
      <cdr:y>0.62626</cdr:y>
    </cdr:to>
    <cdr:sp macro="" textlink="">
      <cdr:nvSpPr>
        <cdr:cNvPr id="4" name="TextBox 1"/>
        <cdr:cNvSpPr txBox="1"/>
      </cdr:nvSpPr>
      <cdr:spPr>
        <a:xfrm xmlns:a="http://schemas.openxmlformats.org/drawingml/2006/main" rot="16200000">
          <a:off x="-448785" y="467225"/>
          <a:ext cx="963278" cy="3927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800" b="1">
              <a:latin typeface="Arial" pitchFamily="34" charset="0"/>
              <a:cs typeface="Arial" pitchFamily="34" charset="0"/>
            </a:rPr>
            <a:t>MCHC (gm/dl)</a:t>
          </a:r>
        </a:p>
      </cdr:txBody>
    </cdr:sp>
  </cdr:relSizeAnchor>
  <cdr:relSizeAnchor xmlns:cdr="http://schemas.openxmlformats.org/drawingml/2006/chartDrawing">
    <cdr:from>
      <cdr:x>0.29465</cdr:x>
      <cdr:y>0.8883</cdr:y>
    </cdr:from>
    <cdr:to>
      <cdr:x>0.7518</cdr:x>
      <cdr:y>0.97402</cdr:y>
    </cdr:to>
    <cdr:sp macro="" textlink="">
      <cdr:nvSpPr>
        <cdr:cNvPr id="5" name="TextBox 4"/>
        <cdr:cNvSpPr txBox="1"/>
      </cdr:nvSpPr>
      <cdr:spPr>
        <a:xfrm xmlns:a="http://schemas.openxmlformats.org/drawingml/2006/main">
          <a:off x="740672" y="1624406"/>
          <a:ext cx="1149143" cy="15675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b="1">
              <a:latin typeface="Arial" pitchFamily="34" charset="0"/>
              <a:cs typeface="Arial" pitchFamily="34" charset="0"/>
            </a:rPr>
            <a:t>Treamtment</a:t>
          </a:r>
          <a:r>
            <a:rPr lang="en-US" sz="800" b="1" baseline="0">
              <a:latin typeface="Arial" pitchFamily="34" charset="0"/>
              <a:cs typeface="Arial" pitchFamily="34" charset="0"/>
            </a:rPr>
            <a:t> group</a:t>
          </a:r>
          <a:endParaRPr lang="en-US" sz="800" b="1">
            <a:latin typeface="Arial" pitchFamily="34" charset="0"/>
            <a:cs typeface="Arial"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116</TotalTime>
  <Pages>10</Pages>
  <Words>3376</Words>
  <Characters>19246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arya</dc:creator>
  <cp:keywords/>
  <dc:description/>
  <cp:lastModifiedBy>Editor-11</cp:lastModifiedBy>
  <cp:revision>28</cp:revision>
  <dcterms:created xsi:type="dcterms:W3CDTF">2026-01-21T15:32:00Z</dcterms:created>
  <dcterms:modified xsi:type="dcterms:W3CDTF">2026-01-28T10:20:00Z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70a6b727-0a79-4c86-9f3f-873ff9c52ff6</vt:lpwstr>
  </property>
</Properties>
</file>