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4.xml" ContentType="application/vnd.openxmlformats-officedocument.themeOverride+xml"/>
  <Override PartName="/word/charts/chart17.xml" ContentType="application/vnd.openxmlformats-officedocument.drawingml.chart+xml"/>
  <Override PartName="/word/theme/themeOverride5.xml" ContentType="application/vnd.openxmlformats-officedocument.themeOverride+xml"/>
  <Override PartName="/word/charts/chart18.xml" ContentType="application/vnd.openxmlformats-officedocument.drawingml.chart+xml"/>
  <Override PartName="/word/theme/themeOverride6.xml" ContentType="application/vnd.openxmlformats-officedocument.themeOverride+xml"/>
  <Override PartName="/word/charts/chart19.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D929" w14:textId="5F813992" w:rsidR="00267796" w:rsidRPr="009655DD" w:rsidRDefault="0060795D" w:rsidP="00866A0F">
      <w:pPr>
        <w:spacing w:line="480" w:lineRule="auto"/>
        <w:jc w:val="center"/>
        <w:rPr>
          <w:rFonts w:ascii="Times New Roman" w:hAnsi="Times New Roman" w:cs="Times New Roman"/>
          <w:b/>
          <w:sz w:val="24"/>
          <w:szCs w:val="24"/>
        </w:rPr>
      </w:pPr>
      <w:r w:rsidRPr="009655DD">
        <w:rPr>
          <w:rFonts w:ascii="Times New Roman" w:hAnsi="Times New Roman" w:cs="Times New Roman"/>
          <w:b/>
          <w:sz w:val="24"/>
          <w:szCs w:val="24"/>
        </w:rPr>
        <w:t>Impact of flood on soil quality in south central laterites of Kerala, India</w:t>
      </w:r>
    </w:p>
    <w:p w14:paraId="3A8566B3" w14:textId="4B52F3DC" w:rsidR="005D1145" w:rsidRPr="009655DD" w:rsidRDefault="006D3AD0" w:rsidP="00D61A2D">
      <w:pPr>
        <w:spacing w:line="480" w:lineRule="auto"/>
        <w:jc w:val="center"/>
        <w:rPr>
          <w:rFonts w:ascii="Times New Roman" w:hAnsi="Times New Roman" w:cs="Times New Roman"/>
          <w:b/>
          <w:sz w:val="24"/>
          <w:szCs w:val="24"/>
        </w:rPr>
      </w:pPr>
      <w:r w:rsidRPr="009655DD">
        <w:rPr>
          <w:rFonts w:ascii="Times New Roman" w:hAnsi="Times New Roman" w:cs="Times New Roman"/>
          <w:b/>
          <w:sz w:val="24"/>
          <w:szCs w:val="24"/>
        </w:rPr>
        <w:t>ABSTRACT</w:t>
      </w:r>
    </w:p>
    <w:p w14:paraId="617D362D" w14:textId="1A56E6FB" w:rsidR="00D61A2D" w:rsidRDefault="00D61A2D" w:rsidP="00866A0F">
      <w:pPr>
        <w:spacing w:line="480" w:lineRule="auto"/>
        <w:jc w:val="both"/>
        <w:rPr>
          <w:rFonts w:ascii="Times New Roman" w:hAnsi="Times New Roman" w:cs="Times New Roman"/>
          <w:sz w:val="24"/>
          <w:szCs w:val="24"/>
        </w:rPr>
      </w:pPr>
      <w:r w:rsidRPr="00D61A2D">
        <w:rPr>
          <w:rFonts w:ascii="Times New Roman" w:hAnsi="Times New Roman" w:cs="Times New Roman"/>
          <w:sz w:val="24"/>
          <w:szCs w:val="24"/>
        </w:rPr>
        <w:t xml:space="preserve">The study was conducted to assess the soil quality of post-flood soils in </w:t>
      </w:r>
      <w:proofErr w:type="spellStart"/>
      <w:r w:rsidRPr="00D61A2D">
        <w:rPr>
          <w:rFonts w:ascii="Times New Roman" w:hAnsi="Times New Roman" w:cs="Times New Roman"/>
          <w:sz w:val="24"/>
          <w:szCs w:val="24"/>
        </w:rPr>
        <w:t>agro</w:t>
      </w:r>
      <w:proofErr w:type="spellEnd"/>
      <w:r w:rsidRPr="00D61A2D">
        <w:rPr>
          <w:rFonts w:ascii="Times New Roman" w:hAnsi="Times New Roman" w:cs="Times New Roman"/>
          <w:sz w:val="24"/>
          <w:szCs w:val="24"/>
        </w:rPr>
        <w:t xml:space="preserve">-ecological unit 9 of Kottayam district, Kerala. Representative surface soil samples were collected across the entire flood-affected area of this unit and </w:t>
      </w:r>
      <w:r w:rsidR="00026D93" w:rsidRPr="00D61A2D">
        <w:rPr>
          <w:rFonts w:ascii="Times New Roman" w:hAnsi="Times New Roman" w:cs="Times New Roman"/>
          <w:sz w:val="24"/>
          <w:szCs w:val="24"/>
        </w:rPr>
        <w:t>analysed</w:t>
      </w:r>
      <w:r w:rsidRPr="00D61A2D">
        <w:rPr>
          <w:rFonts w:ascii="Times New Roman" w:hAnsi="Times New Roman" w:cs="Times New Roman"/>
          <w:sz w:val="24"/>
          <w:szCs w:val="24"/>
        </w:rPr>
        <w:t xml:space="preserve"> for key physical, chemical, and biological properties. Principal component analysis was employed to identify a minimum data set influencing soil quality in the region. The soil quality index was computed using a scoring and weighted additive approach, and soils were classified into low, medium, and good categories based on relative index values. Results indicated that 78.43 percent of the samples exhibited medium soil quality, 19.61 percent were categorized as low soil quality, and only 1.96 percent showed good soil quality.</w:t>
      </w:r>
      <w:r w:rsidR="00A36709">
        <w:rPr>
          <w:rFonts w:ascii="Times New Roman" w:hAnsi="Times New Roman" w:cs="Times New Roman"/>
          <w:sz w:val="24"/>
          <w:szCs w:val="24"/>
        </w:rPr>
        <w:t xml:space="preserve"> </w:t>
      </w:r>
    </w:p>
    <w:p w14:paraId="63E2F710" w14:textId="23A3E462" w:rsidR="00F13232" w:rsidRPr="009655DD" w:rsidRDefault="00F13232" w:rsidP="00866A0F">
      <w:pPr>
        <w:spacing w:line="480" w:lineRule="auto"/>
        <w:jc w:val="both"/>
        <w:rPr>
          <w:rFonts w:ascii="Times New Roman" w:hAnsi="Times New Roman" w:cs="Times New Roman"/>
          <w:i/>
          <w:iCs/>
          <w:sz w:val="24"/>
          <w:szCs w:val="24"/>
        </w:rPr>
      </w:pPr>
      <w:r w:rsidRPr="00826F10">
        <w:rPr>
          <w:rFonts w:ascii="Times New Roman" w:hAnsi="Times New Roman" w:cs="Times New Roman"/>
          <w:b/>
          <w:bCs/>
          <w:i/>
          <w:iCs/>
          <w:sz w:val="24"/>
          <w:szCs w:val="24"/>
        </w:rPr>
        <w:t>Keywords:</w:t>
      </w:r>
      <w:r w:rsidRPr="009655DD">
        <w:rPr>
          <w:rFonts w:ascii="Times New Roman" w:hAnsi="Times New Roman" w:cs="Times New Roman"/>
          <w:i/>
          <w:iCs/>
          <w:sz w:val="24"/>
          <w:szCs w:val="24"/>
        </w:rPr>
        <w:t xml:space="preserve"> Natural disaster, Flood, Physico-chemical changes, </w:t>
      </w:r>
      <w:r w:rsidR="00866A0F" w:rsidRPr="009655DD">
        <w:rPr>
          <w:rFonts w:ascii="Times New Roman" w:hAnsi="Times New Roman" w:cs="Times New Roman"/>
          <w:i/>
          <w:iCs/>
          <w:sz w:val="24"/>
          <w:szCs w:val="24"/>
        </w:rPr>
        <w:t xml:space="preserve">minimum data set, </w:t>
      </w:r>
      <w:r w:rsidRPr="009655DD">
        <w:rPr>
          <w:rFonts w:ascii="Times New Roman" w:hAnsi="Times New Roman" w:cs="Times New Roman"/>
          <w:i/>
          <w:iCs/>
          <w:sz w:val="24"/>
          <w:szCs w:val="24"/>
        </w:rPr>
        <w:t>relative soil quality index, soil quality</w:t>
      </w:r>
    </w:p>
    <w:p w14:paraId="152D03A5" w14:textId="77777777" w:rsidR="00762E5A" w:rsidRPr="009655DD" w:rsidRDefault="00762E5A" w:rsidP="00866A0F">
      <w:pPr>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INTRODUCTION</w:t>
      </w:r>
    </w:p>
    <w:p w14:paraId="5D3B19C1" w14:textId="77777777" w:rsidR="00021B8D" w:rsidRPr="00021B8D" w:rsidRDefault="00021B8D" w:rsidP="00021B8D">
      <w:pPr>
        <w:spacing w:line="480" w:lineRule="auto"/>
        <w:jc w:val="both"/>
        <w:rPr>
          <w:rFonts w:ascii="Times New Roman" w:hAnsi="Times New Roman" w:cs="Times New Roman"/>
          <w:sz w:val="24"/>
          <w:szCs w:val="24"/>
        </w:rPr>
      </w:pPr>
      <w:r w:rsidRPr="00021B8D">
        <w:rPr>
          <w:rFonts w:ascii="Times New Roman" w:hAnsi="Times New Roman" w:cs="Times New Roman"/>
          <w:sz w:val="24"/>
          <w:szCs w:val="24"/>
        </w:rPr>
        <w:t>Kerala lies between the Arabian Sea on the western side and the Western Ghats on the eastern side. The state has a coastline of about 580 km, while its width ranges from nearly 35 to 120 km. During the period from 1 June 2018 to 19 August 2018, the state experienced exceptionally high rainfall, which led to severe flooding in all 14 districts. According to the Indian Meteorological Department, Kerala received 2346.6 mm of rainfall against the expected 1649.5 mm, representing about 42% excess over the normal. Rainfall during June, July, and from 1 to 19 August was 15%, 18%, and 164% above normal, respectively (CTCRI, 2018). The unprecedented floods caused substantial deterioration of soil quality and significant losses of soil nutrients.</w:t>
      </w:r>
    </w:p>
    <w:p w14:paraId="3F57EDE9" w14:textId="6C915AF6" w:rsidR="00021B8D" w:rsidRPr="00021B8D" w:rsidRDefault="00021B8D" w:rsidP="00021B8D">
      <w:pPr>
        <w:spacing w:line="480" w:lineRule="auto"/>
        <w:jc w:val="both"/>
        <w:rPr>
          <w:rFonts w:ascii="Times New Roman" w:hAnsi="Times New Roman" w:cs="Times New Roman"/>
          <w:sz w:val="24"/>
          <w:szCs w:val="24"/>
        </w:rPr>
      </w:pPr>
      <w:r w:rsidRPr="00021B8D">
        <w:rPr>
          <w:rFonts w:ascii="Times New Roman" w:hAnsi="Times New Roman" w:cs="Times New Roman"/>
          <w:sz w:val="24"/>
          <w:szCs w:val="24"/>
        </w:rPr>
        <w:lastRenderedPageBreak/>
        <w:t xml:space="preserve">Kerala has been delineated into twenty-three </w:t>
      </w:r>
      <w:proofErr w:type="spellStart"/>
      <w:r w:rsidRPr="00021B8D">
        <w:rPr>
          <w:rFonts w:ascii="Times New Roman" w:hAnsi="Times New Roman" w:cs="Times New Roman"/>
          <w:sz w:val="24"/>
          <w:szCs w:val="24"/>
        </w:rPr>
        <w:t>agro</w:t>
      </w:r>
      <w:proofErr w:type="spellEnd"/>
      <w:r w:rsidRPr="00021B8D">
        <w:rPr>
          <w:rFonts w:ascii="Times New Roman" w:hAnsi="Times New Roman" w:cs="Times New Roman"/>
          <w:sz w:val="24"/>
          <w:szCs w:val="24"/>
        </w:rPr>
        <w:t xml:space="preserve">-ecological units (AEUs) based on climate, landforms, and soils, with panchayats as the basic unit. Agricultural lands under AEU 9 remained continuously inundated for two to four days, mainly due to the overflowing of the </w:t>
      </w:r>
      <w:proofErr w:type="spellStart"/>
      <w:r w:rsidRPr="00021B8D">
        <w:rPr>
          <w:rFonts w:ascii="Times New Roman" w:hAnsi="Times New Roman" w:cs="Times New Roman"/>
          <w:sz w:val="24"/>
          <w:szCs w:val="24"/>
        </w:rPr>
        <w:t>Meenachil</w:t>
      </w:r>
      <w:proofErr w:type="spellEnd"/>
      <w:r w:rsidRPr="00021B8D">
        <w:rPr>
          <w:rFonts w:ascii="Times New Roman" w:hAnsi="Times New Roman" w:cs="Times New Roman"/>
          <w:sz w:val="24"/>
          <w:szCs w:val="24"/>
        </w:rPr>
        <w:t xml:space="preserve"> River and landslides from adjacent panchayats</w:t>
      </w:r>
      <w:r w:rsidR="00A84F0D">
        <w:rPr>
          <w:rFonts w:ascii="Times New Roman" w:hAnsi="Times New Roman" w:cs="Times New Roman"/>
          <w:sz w:val="24"/>
          <w:szCs w:val="24"/>
        </w:rPr>
        <w:t xml:space="preserve"> (</w:t>
      </w:r>
      <w:r w:rsidR="00A84F0D" w:rsidRPr="00A84F0D">
        <w:rPr>
          <w:color w:val="0000CC"/>
        </w:rPr>
        <w:t>Swathi</w:t>
      </w:r>
      <w:r w:rsidR="00A84F0D">
        <w:rPr>
          <w:color w:val="0000CC"/>
        </w:rPr>
        <w:t xml:space="preserve"> et al., 2020</w:t>
      </w:r>
      <w:bookmarkStart w:id="0" w:name="_GoBack"/>
      <w:bookmarkEnd w:id="0"/>
      <w:r w:rsidR="00A84F0D">
        <w:rPr>
          <w:rFonts w:ascii="Times New Roman" w:hAnsi="Times New Roman" w:cs="Times New Roman"/>
          <w:sz w:val="24"/>
          <w:szCs w:val="24"/>
        </w:rPr>
        <w:t>)</w:t>
      </w:r>
      <w:r w:rsidRPr="00021B8D">
        <w:rPr>
          <w:rFonts w:ascii="Times New Roman" w:hAnsi="Times New Roman" w:cs="Times New Roman"/>
          <w:sz w:val="24"/>
          <w:szCs w:val="24"/>
        </w:rPr>
        <w:t>. After the recession of floodwaters, heavy deposits of sand and silt were observed. Prolonged submergence led to rotting of banana, vegetable, and tuber crops, while the excessive deposition of sand and silt rendered fields unsuitable for shallow-rooted crops. Flooding alters several soil properties, leading to declines in soil quality through nutrient losses by runoff and leaching, depletion of organic matter, soil crusting and compaction, accumulation of toxic substances, excessive agrochemical use, and improper waste disposal. Climate change–induced increases in temperature, shifts in precipitation patterns, and extreme weather events further influence soil quality, posing serious challenges to food security and quality (Lal, R., 2015). Assessment of soil quality parameters is therefore essential for evaluating the impacts of flooding.</w:t>
      </w:r>
    </w:p>
    <w:p w14:paraId="5B4B3144" w14:textId="77777777" w:rsidR="000B1947" w:rsidRPr="009655DD" w:rsidRDefault="000B1947"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MATERIALS AND METHODS</w:t>
      </w:r>
    </w:p>
    <w:p w14:paraId="6EADF62F" w14:textId="77777777" w:rsidR="00DA619F" w:rsidRPr="009655DD" w:rsidRDefault="000B1947"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Kottayam district </w:t>
      </w:r>
      <w:r w:rsidRPr="009655DD">
        <w:rPr>
          <w:rFonts w:ascii="Times New Roman" w:hAnsi="Times New Roman" w:cs="Times New Roman"/>
          <w:sz w:val="24"/>
          <w:szCs w:val="24"/>
          <w:lang w:val="en-US"/>
        </w:rPr>
        <w:t xml:space="preserve">spreads over three </w:t>
      </w:r>
      <w:proofErr w:type="spellStart"/>
      <w:r w:rsidR="00401FA8" w:rsidRPr="009655DD">
        <w:rPr>
          <w:rFonts w:ascii="Times New Roman" w:hAnsi="Times New Roman" w:cs="Times New Roman"/>
          <w:sz w:val="24"/>
          <w:szCs w:val="24"/>
          <w:lang w:val="en-US"/>
        </w:rPr>
        <w:t>A</w:t>
      </w:r>
      <w:r w:rsidRPr="009655DD">
        <w:rPr>
          <w:rFonts w:ascii="Times New Roman" w:hAnsi="Times New Roman" w:cs="Times New Roman"/>
          <w:sz w:val="24"/>
          <w:szCs w:val="24"/>
          <w:lang w:val="en-US"/>
        </w:rPr>
        <w:t>gro</w:t>
      </w:r>
      <w:proofErr w:type="spellEnd"/>
      <w:r w:rsidRPr="009655DD">
        <w:rPr>
          <w:rFonts w:ascii="Times New Roman" w:hAnsi="Times New Roman" w:cs="Times New Roman"/>
          <w:sz w:val="24"/>
          <w:szCs w:val="24"/>
          <w:lang w:val="en-US"/>
        </w:rPr>
        <w:t xml:space="preserve"> ecological units (AEU) </w:t>
      </w:r>
      <w:r w:rsidRPr="009655DD">
        <w:rPr>
          <w:rFonts w:ascii="Times New Roman" w:hAnsi="Times New Roman" w:cs="Times New Roman"/>
          <w:i/>
          <w:sz w:val="24"/>
          <w:szCs w:val="24"/>
          <w:lang w:val="en-US"/>
        </w:rPr>
        <w:t>viz</w:t>
      </w:r>
      <w:r w:rsidRPr="009655DD">
        <w:rPr>
          <w:rFonts w:ascii="Times New Roman" w:hAnsi="Times New Roman" w:cs="Times New Roman"/>
          <w:sz w:val="24"/>
          <w:szCs w:val="24"/>
          <w:lang w:val="en-US"/>
        </w:rPr>
        <w:t>., 4 (</w:t>
      </w:r>
      <w:proofErr w:type="spellStart"/>
      <w:r w:rsidRPr="009655DD">
        <w:rPr>
          <w:rFonts w:ascii="Times New Roman" w:hAnsi="Times New Roman" w:cs="Times New Roman"/>
          <w:sz w:val="24"/>
          <w:szCs w:val="24"/>
          <w:lang w:val="en-US"/>
        </w:rPr>
        <w:t>Kuttanad</w:t>
      </w:r>
      <w:proofErr w:type="spellEnd"/>
      <w:r w:rsidRPr="009655DD">
        <w:rPr>
          <w:rFonts w:ascii="Times New Roman" w:hAnsi="Times New Roman" w:cs="Times New Roman"/>
          <w:sz w:val="24"/>
          <w:szCs w:val="24"/>
          <w:lang w:val="en-US"/>
        </w:rPr>
        <w:t>), 9 (South Central Laterites) and 12 (Sothern and Central Foothills) covering</w:t>
      </w:r>
      <w:r w:rsidR="006F6BAA" w:rsidRPr="009655DD">
        <w:rPr>
          <w:rFonts w:ascii="Times New Roman" w:hAnsi="Times New Roman" w:cs="Times New Roman"/>
          <w:sz w:val="24"/>
          <w:szCs w:val="24"/>
          <w:lang w:val="en-US"/>
        </w:rPr>
        <w:t xml:space="preserve"> 11blocks and 79 panchayaths</w:t>
      </w:r>
      <w:r w:rsidR="005A40E6" w:rsidRPr="009655DD">
        <w:rPr>
          <w:rFonts w:ascii="Times New Roman" w:hAnsi="Times New Roman" w:cs="Times New Roman"/>
          <w:sz w:val="24"/>
          <w:szCs w:val="24"/>
          <w:lang w:val="en-US"/>
        </w:rPr>
        <w:t>.</w:t>
      </w:r>
      <w:r w:rsidR="00DA619F" w:rsidRPr="009655DD">
        <w:rPr>
          <w:rFonts w:ascii="Times New Roman" w:hAnsi="Times New Roman" w:cs="Times New Roman"/>
          <w:sz w:val="24"/>
          <w:szCs w:val="24"/>
          <w:lang w:val="en-US"/>
        </w:rPr>
        <w:t xml:space="preserve"> AEU 4 and 9 were badly affected by flood while AEU 12 by landslide.</w:t>
      </w:r>
      <w:r w:rsidR="00DA619F" w:rsidRPr="009655DD">
        <w:rPr>
          <w:rFonts w:ascii="Times New Roman" w:hAnsi="Times New Roman" w:cs="Times New Roman"/>
          <w:sz w:val="24"/>
          <w:szCs w:val="24"/>
        </w:rPr>
        <w:t xml:space="preserve"> The study was carried out in AEU 9 of Kottayam</w:t>
      </w:r>
      <w:r w:rsidR="00DA619F" w:rsidRPr="009655DD">
        <w:rPr>
          <w:rFonts w:ascii="Times New Roman" w:hAnsi="Times New Roman" w:cs="Times New Roman"/>
          <w:sz w:val="24"/>
          <w:szCs w:val="24"/>
          <w:lang w:val="en-US"/>
        </w:rPr>
        <w:t xml:space="preserve"> district which </w:t>
      </w:r>
      <w:proofErr w:type="gramStart"/>
      <w:r w:rsidR="00DA619F" w:rsidRPr="009655DD">
        <w:rPr>
          <w:rFonts w:ascii="Times New Roman" w:hAnsi="Times New Roman" w:cs="Times New Roman"/>
          <w:sz w:val="24"/>
          <w:szCs w:val="24"/>
          <w:lang w:val="en-US"/>
        </w:rPr>
        <w:t xml:space="preserve">covers </w:t>
      </w:r>
      <w:r w:rsidR="00DA619F" w:rsidRPr="009655DD">
        <w:rPr>
          <w:rFonts w:ascii="Times New Roman" w:hAnsi="Times New Roman" w:cs="Times New Roman"/>
          <w:sz w:val="24"/>
          <w:szCs w:val="24"/>
        </w:rPr>
        <w:t xml:space="preserve"> an</w:t>
      </w:r>
      <w:proofErr w:type="gramEnd"/>
      <w:r w:rsidR="00DA619F" w:rsidRPr="009655DD">
        <w:rPr>
          <w:rFonts w:ascii="Times New Roman" w:hAnsi="Times New Roman" w:cs="Times New Roman"/>
          <w:sz w:val="24"/>
          <w:szCs w:val="24"/>
        </w:rPr>
        <w:t xml:space="preserve"> area of 80330 ha. About 75% of people in the area are dependent on agriculture.</w:t>
      </w:r>
      <w:r w:rsidR="00816119" w:rsidRPr="009655DD">
        <w:rPr>
          <w:rFonts w:ascii="Times New Roman" w:hAnsi="Times New Roman" w:cs="Times New Roman"/>
          <w:sz w:val="24"/>
          <w:szCs w:val="24"/>
        </w:rPr>
        <w:t xml:space="preserve"> T</w:t>
      </w:r>
      <w:r w:rsidR="00DA619F" w:rsidRPr="009655DD">
        <w:rPr>
          <w:rFonts w:ascii="Times New Roman" w:hAnsi="Times New Roman" w:cs="Times New Roman"/>
          <w:sz w:val="24"/>
          <w:szCs w:val="24"/>
        </w:rPr>
        <w:t>he major land use on uplands is monocropped rubber and coconut intercropped with a variety of annual and other perennial crops and rice, tapioca, banana and vegetables in lowlands</w:t>
      </w:r>
      <w:r w:rsidR="007609A2" w:rsidRPr="009655DD">
        <w:rPr>
          <w:rFonts w:ascii="Times New Roman" w:hAnsi="Times New Roman" w:cs="Times New Roman"/>
          <w:sz w:val="24"/>
          <w:szCs w:val="24"/>
        </w:rPr>
        <w:t>.</w:t>
      </w:r>
    </w:p>
    <w:p w14:paraId="22CA6C47" w14:textId="64BFE358" w:rsidR="007609A2" w:rsidRPr="009655DD" w:rsidRDefault="007609A2"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Sampling sites were selected based on a field survey and was done during the month of April, 2019, before the pre monsoon showers. The worst affected panchayaths in this </w:t>
      </w:r>
      <w:proofErr w:type="spellStart"/>
      <w:r w:rsidRPr="009655DD">
        <w:rPr>
          <w:rFonts w:ascii="Times New Roman" w:hAnsi="Times New Roman" w:cs="Times New Roman"/>
          <w:sz w:val="24"/>
          <w:szCs w:val="24"/>
        </w:rPr>
        <w:t>agro</w:t>
      </w:r>
      <w:proofErr w:type="spellEnd"/>
      <w:r w:rsidRPr="009655DD">
        <w:rPr>
          <w:rFonts w:ascii="Times New Roman" w:hAnsi="Times New Roman" w:cs="Times New Roman"/>
          <w:sz w:val="24"/>
          <w:szCs w:val="24"/>
        </w:rPr>
        <w:t xml:space="preserve"> </w:t>
      </w:r>
      <w:r w:rsidRPr="009655DD">
        <w:rPr>
          <w:rFonts w:ascii="Times New Roman" w:hAnsi="Times New Roman" w:cs="Times New Roman"/>
          <w:sz w:val="24"/>
          <w:szCs w:val="24"/>
        </w:rPr>
        <w:lastRenderedPageBreak/>
        <w:t xml:space="preserve">ecological unit were </w:t>
      </w:r>
      <w:proofErr w:type="spellStart"/>
      <w:r w:rsidRPr="009655DD">
        <w:rPr>
          <w:rFonts w:ascii="Times New Roman" w:hAnsi="Times New Roman" w:cs="Times New Roman"/>
          <w:sz w:val="24"/>
          <w:szCs w:val="24"/>
        </w:rPr>
        <w:t>Mutholi</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Meenachil</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Kuravilangadu</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Kadaplamattam</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Marangattupally</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Madapally</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Vakathanam</w:t>
      </w:r>
      <w:proofErr w:type="spellEnd"/>
      <w:r w:rsidRPr="009655DD">
        <w:rPr>
          <w:rFonts w:ascii="Times New Roman" w:hAnsi="Times New Roman" w:cs="Times New Roman"/>
          <w:sz w:val="24"/>
          <w:szCs w:val="24"/>
          <w:lang w:val="en-US"/>
        </w:rPr>
        <w:t xml:space="preserve"> and 51 geo referenced soil samples were collected.</w:t>
      </w:r>
      <w:r w:rsidR="00B30D92" w:rsidRPr="009655DD">
        <w:rPr>
          <w:rFonts w:ascii="Times New Roman" w:hAnsi="Times New Roman" w:cs="Times New Roman"/>
          <w:sz w:val="24"/>
          <w:szCs w:val="24"/>
        </w:rPr>
        <w:t xml:space="preserve"> Surface soil samples at 0-15 cm depth were taken. Core samples were also taken from each sampling point for analysis of particle density</w:t>
      </w:r>
      <w:r w:rsidR="00BE234C" w:rsidRPr="009655DD">
        <w:rPr>
          <w:rFonts w:ascii="Times New Roman" w:hAnsi="Times New Roman" w:cs="Times New Roman"/>
          <w:sz w:val="24"/>
          <w:szCs w:val="24"/>
        </w:rPr>
        <w:t xml:space="preserve">. </w:t>
      </w:r>
      <w:r w:rsidR="008820C3">
        <w:rPr>
          <w:rFonts w:ascii="Times New Roman" w:hAnsi="Times New Roman" w:cs="Times New Roman"/>
          <w:sz w:val="24"/>
          <w:szCs w:val="24"/>
        </w:rPr>
        <w:t>“</w:t>
      </w:r>
      <w:r w:rsidR="00BE234C" w:rsidRPr="009655DD">
        <w:rPr>
          <w:rFonts w:ascii="Times New Roman" w:hAnsi="Times New Roman" w:cs="Times New Roman"/>
          <w:sz w:val="24"/>
          <w:szCs w:val="24"/>
        </w:rPr>
        <w:t xml:space="preserve">The samples were immediately stored in plastic covers and transported to laboratory for further analysis. Soil samples were dried and sieved using 2 mm sieve before analysis in the laboratory. The samples were analysed for soil texture, bulk density, maximum water holding capacity, pH, EC, organic carbon, available N, P, K, Ca, Mg, S and acid phosphatase in the laboratory using AR grade reagents following standard analytical procedures. Soil textural analysis was done using </w:t>
      </w:r>
      <w:proofErr w:type="spellStart"/>
      <w:r w:rsidR="00BE234C" w:rsidRPr="009655DD">
        <w:rPr>
          <w:rFonts w:ascii="Times New Roman" w:hAnsi="Times New Roman" w:cs="Times New Roman"/>
          <w:sz w:val="24"/>
          <w:szCs w:val="24"/>
        </w:rPr>
        <w:t>Bouycous</w:t>
      </w:r>
      <w:proofErr w:type="spellEnd"/>
      <w:r w:rsidR="00BE234C" w:rsidRPr="009655DD">
        <w:rPr>
          <w:rFonts w:ascii="Times New Roman" w:hAnsi="Times New Roman" w:cs="Times New Roman"/>
          <w:sz w:val="24"/>
          <w:szCs w:val="24"/>
        </w:rPr>
        <w:t xml:space="preserve"> hydrometer</w:t>
      </w:r>
      <w:r w:rsidR="00374583" w:rsidRPr="009655DD">
        <w:rPr>
          <w:rFonts w:ascii="Times New Roman" w:hAnsi="Times New Roman" w:cs="Times New Roman"/>
          <w:sz w:val="24"/>
          <w:szCs w:val="24"/>
        </w:rPr>
        <w:t xml:space="preserve"> method</w:t>
      </w:r>
      <w:r w:rsidR="008820C3">
        <w:rPr>
          <w:rFonts w:ascii="Times New Roman" w:hAnsi="Times New Roman" w:cs="Times New Roman"/>
          <w:sz w:val="24"/>
          <w:szCs w:val="24"/>
        </w:rPr>
        <w:t>”</w:t>
      </w:r>
      <w:r w:rsidR="00374583" w:rsidRPr="009655DD">
        <w:rPr>
          <w:rFonts w:ascii="Times New Roman" w:hAnsi="Times New Roman" w:cs="Times New Roman"/>
          <w:sz w:val="24"/>
          <w:szCs w:val="24"/>
        </w:rPr>
        <w:t xml:space="preserve"> (</w:t>
      </w:r>
      <w:r w:rsidR="00374583" w:rsidRPr="009655DD">
        <w:rPr>
          <w:rFonts w:ascii="Times New Roman" w:hAnsi="Times New Roman" w:cs="Times New Roman"/>
          <w:sz w:val="24"/>
          <w:szCs w:val="24"/>
          <w:lang w:val="en-US"/>
        </w:rPr>
        <w:t>Jackson, 1973</w:t>
      </w:r>
      <w:r w:rsidR="00374583" w:rsidRPr="009655DD">
        <w:rPr>
          <w:rFonts w:ascii="Times New Roman" w:hAnsi="Times New Roman" w:cs="Times New Roman"/>
          <w:sz w:val="24"/>
          <w:szCs w:val="24"/>
        </w:rPr>
        <w:t xml:space="preserve">). Bulk density (Black </w:t>
      </w:r>
      <w:r w:rsidR="00374583" w:rsidRPr="009655DD">
        <w:rPr>
          <w:rFonts w:ascii="Times New Roman" w:hAnsi="Times New Roman" w:cs="Times New Roman"/>
          <w:i/>
          <w:iCs/>
          <w:sz w:val="24"/>
          <w:szCs w:val="24"/>
        </w:rPr>
        <w:t xml:space="preserve">et al., </w:t>
      </w:r>
      <w:r w:rsidR="00374583" w:rsidRPr="009655DD">
        <w:rPr>
          <w:rFonts w:ascii="Times New Roman" w:hAnsi="Times New Roman" w:cs="Times New Roman"/>
          <w:sz w:val="24"/>
          <w:szCs w:val="24"/>
        </w:rPr>
        <w:t xml:space="preserve">1965) and maximum water holding capacity </w:t>
      </w:r>
      <w:r w:rsidR="00374583" w:rsidRPr="008E3C05">
        <w:rPr>
          <w:rFonts w:ascii="Times New Roman" w:hAnsi="Times New Roman" w:cs="Times New Roman"/>
          <w:sz w:val="24"/>
          <w:szCs w:val="24"/>
        </w:rPr>
        <w:t>(</w:t>
      </w:r>
      <w:r w:rsidR="008E3C05" w:rsidRPr="008E3C05">
        <w:rPr>
          <w:rFonts w:ascii="Times New Roman" w:hAnsi="Times New Roman" w:cs="Times New Roman"/>
          <w:sz w:val="24"/>
          <w:szCs w:val="24"/>
        </w:rPr>
        <w:t>Naidu et al., 2006</w:t>
      </w:r>
      <w:r w:rsidR="00374583" w:rsidRPr="008E3C05">
        <w:rPr>
          <w:rFonts w:ascii="Times New Roman" w:hAnsi="Times New Roman" w:cs="Times New Roman"/>
          <w:sz w:val="24"/>
          <w:szCs w:val="24"/>
        </w:rPr>
        <w:t>) were</w:t>
      </w:r>
      <w:r w:rsidR="00374583" w:rsidRPr="009655DD">
        <w:rPr>
          <w:rFonts w:ascii="Times New Roman" w:hAnsi="Times New Roman" w:cs="Times New Roman"/>
          <w:sz w:val="24"/>
          <w:szCs w:val="24"/>
        </w:rPr>
        <w:t xml:space="preserve"> analysed using core samples. Soil pH was measured in 1:2.5 soil water suspensions using a pH meter. EC was measured using an EC meter in the supernatant of 1:2.5 soil water suspensions (Jackson, 1973) Organic carbon was estimated using Walkley and Black (1934) rapid titration method. Available nitrogen was determined by alkaline permanganate method (Subbiah and Asija, 1956). </w:t>
      </w:r>
      <w:r w:rsidR="008820C3">
        <w:rPr>
          <w:rFonts w:ascii="Times New Roman" w:hAnsi="Times New Roman" w:cs="Times New Roman"/>
          <w:sz w:val="24"/>
          <w:szCs w:val="24"/>
        </w:rPr>
        <w:t>“</w:t>
      </w:r>
      <w:r w:rsidR="00374583" w:rsidRPr="009655DD">
        <w:rPr>
          <w:rFonts w:ascii="Times New Roman" w:hAnsi="Times New Roman" w:cs="Times New Roman"/>
          <w:sz w:val="24"/>
          <w:szCs w:val="24"/>
        </w:rPr>
        <w:t>Available phosphorus was extracted using Bray No. 1 solution and estimated using spectrophotometer</w:t>
      </w:r>
      <w:r w:rsidR="008820C3">
        <w:rPr>
          <w:rFonts w:ascii="Times New Roman" w:hAnsi="Times New Roman" w:cs="Times New Roman"/>
          <w:sz w:val="24"/>
          <w:szCs w:val="24"/>
        </w:rPr>
        <w:t>”</w:t>
      </w:r>
      <w:r w:rsidR="00374583" w:rsidRPr="009655DD">
        <w:rPr>
          <w:rFonts w:ascii="Times New Roman" w:hAnsi="Times New Roman" w:cs="Times New Roman"/>
          <w:sz w:val="24"/>
          <w:szCs w:val="24"/>
        </w:rPr>
        <w:t xml:space="preserve"> (Bray and Kurtz, 1975). </w:t>
      </w:r>
      <w:r w:rsidR="008820C3">
        <w:rPr>
          <w:rFonts w:ascii="Times New Roman" w:hAnsi="Times New Roman" w:cs="Times New Roman"/>
          <w:sz w:val="24"/>
          <w:szCs w:val="24"/>
        </w:rPr>
        <w:t>“</w:t>
      </w:r>
      <w:r w:rsidR="00374583" w:rsidRPr="009655DD">
        <w:rPr>
          <w:rFonts w:ascii="Times New Roman" w:hAnsi="Times New Roman" w:cs="Times New Roman"/>
          <w:sz w:val="24"/>
          <w:szCs w:val="24"/>
        </w:rPr>
        <w:t>Available potassium was estimated using flame photometer after extraction with neutral normal ammonium acetate</w:t>
      </w:r>
      <w:r w:rsidR="008820C3">
        <w:rPr>
          <w:rFonts w:ascii="Times New Roman" w:hAnsi="Times New Roman" w:cs="Times New Roman"/>
          <w:sz w:val="24"/>
          <w:szCs w:val="24"/>
        </w:rPr>
        <w:t>”</w:t>
      </w:r>
      <w:r w:rsidR="00374583" w:rsidRPr="009655DD">
        <w:rPr>
          <w:rFonts w:ascii="Times New Roman" w:hAnsi="Times New Roman" w:cs="Times New Roman"/>
          <w:sz w:val="24"/>
          <w:szCs w:val="24"/>
        </w:rPr>
        <w:t xml:space="preserve"> (Jackson, 1973). </w:t>
      </w:r>
      <w:proofErr w:type="spellStart"/>
      <w:r w:rsidR="00374583" w:rsidRPr="009655DD">
        <w:rPr>
          <w:rFonts w:ascii="Times New Roman" w:hAnsi="Times New Roman" w:cs="Times New Roman"/>
          <w:sz w:val="24"/>
          <w:szCs w:val="24"/>
        </w:rPr>
        <w:t>Versenate</w:t>
      </w:r>
      <w:proofErr w:type="spellEnd"/>
      <w:r w:rsidR="00374583" w:rsidRPr="009655DD">
        <w:rPr>
          <w:rFonts w:ascii="Times New Roman" w:hAnsi="Times New Roman" w:cs="Times New Roman"/>
          <w:sz w:val="24"/>
          <w:szCs w:val="24"/>
        </w:rPr>
        <w:t xml:space="preserve"> titration method (Hesse, 1971) was followed to determine available calcium and magnesium. Available sulphur was extracted using calcium chloride and estimated using spectrophotometer (Massoumi and Cornfield, 1963). </w:t>
      </w:r>
      <w:r w:rsidR="008820C3">
        <w:rPr>
          <w:rFonts w:ascii="Times New Roman" w:hAnsi="Times New Roman" w:cs="Times New Roman"/>
          <w:sz w:val="24"/>
          <w:szCs w:val="24"/>
        </w:rPr>
        <w:t>“</w:t>
      </w:r>
      <w:r w:rsidR="00374583" w:rsidRPr="009655DD">
        <w:rPr>
          <w:rFonts w:ascii="Times New Roman" w:hAnsi="Times New Roman" w:cs="Times New Roman"/>
          <w:sz w:val="24"/>
          <w:szCs w:val="24"/>
        </w:rPr>
        <w:t xml:space="preserve">Acid phosphatase was determined by colorimetric estimation of p-nitrophenol released by </w:t>
      </w:r>
      <w:proofErr w:type="gramStart"/>
      <w:r w:rsidR="00374583" w:rsidRPr="009655DD">
        <w:rPr>
          <w:rFonts w:ascii="Times New Roman" w:hAnsi="Times New Roman" w:cs="Times New Roman"/>
          <w:sz w:val="24"/>
          <w:szCs w:val="24"/>
          <w:shd w:val="clear" w:color="auto" w:fill="FFFFFF"/>
        </w:rPr>
        <w:t xml:space="preserve">soil </w:t>
      </w:r>
      <w:r w:rsidR="00374583" w:rsidRPr="009655DD">
        <w:rPr>
          <w:rFonts w:ascii="Times New Roman" w:hAnsi="Times New Roman" w:cs="Times New Roman"/>
          <w:sz w:val="24"/>
          <w:szCs w:val="24"/>
          <w:lang w:val="en-US"/>
        </w:rPr>
        <w:t xml:space="preserve"> incubated</w:t>
      </w:r>
      <w:proofErr w:type="gramEnd"/>
      <w:r w:rsidR="00374583" w:rsidRPr="009655DD">
        <w:rPr>
          <w:rFonts w:ascii="Times New Roman" w:hAnsi="Times New Roman" w:cs="Times New Roman"/>
          <w:sz w:val="24"/>
          <w:szCs w:val="24"/>
          <w:lang w:val="en-US"/>
        </w:rPr>
        <w:t xml:space="preserve"> with buffered (pH 6.5) sodium p-nitrophenyl phosphate solution and toluene at 37</w:t>
      </w:r>
      <w:r w:rsidR="00374583" w:rsidRPr="009655DD">
        <w:rPr>
          <w:rFonts w:ascii="Times New Roman" w:hAnsi="Times New Roman" w:cs="Times New Roman"/>
          <w:sz w:val="24"/>
          <w:szCs w:val="24"/>
          <w:vertAlign w:val="superscript"/>
          <w:lang w:val="en-US"/>
        </w:rPr>
        <w:t>0</w:t>
      </w:r>
      <w:r w:rsidR="00374583" w:rsidRPr="009655DD">
        <w:rPr>
          <w:rFonts w:ascii="Times New Roman" w:hAnsi="Times New Roman" w:cs="Times New Roman"/>
          <w:sz w:val="24"/>
          <w:szCs w:val="24"/>
          <w:lang w:val="en-US"/>
        </w:rPr>
        <w:t xml:space="preserve"> C for 1 </w:t>
      </w:r>
      <w:proofErr w:type="spellStart"/>
      <w:r w:rsidR="00374583" w:rsidRPr="009655DD">
        <w:rPr>
          <w:rFonts w:ascii="Times New Roman" w:hAnsi="Times New Roman" w:cs="Times New Roman"/>
          <w:sz w:val="24"/>
          <w:szCs w:val="24"/>
          <w:lang w:val="en-US"/>
        </w:rPr>
        <w:t>hr</w:t>
      </w:r>
      <w:proofErr w:type="spellEnd"/>
      <w:r w:rsidR="008820C3">
        <w:rPr>
          <w:rFonts w:ascii="Times New Roman" w:hAnsi="Times New Roman" w:cs="Times New Roman"/>
          <w:sz w:val="24"/>
          <w:szCs w:val="24"/>
          <w:lang w:val="en-US"/>
        </w:rPr>
        <w:t>”</w:t>
      </w:r>
      <w:r w:rsidR="00374583" w:rsidRPr="009655DD">
        <w:rPr>
          <w:rFonts w:ascii="Times New Roman" w:hAnsi="Times New Roman" w:cs="Times New Roman"/>
          <w:sz w:val="24"/>
          <w:szCs w:val="24"/>
          <w:lang w:val="en-US"/>
        </w:rPr>
        <w:t xml:space="preserve"> (</w:t>
      </w:r>
      <w:r w:rsidR="00374583" w:rsidRPr="009655DD">
        <w:rPr>
          <w:rFonts w:ascii="Times New Roman" w:hAnsi="Times New Roman" w:cs="Times New Roman"/>
          <w:sz w:val="24"/>
          <w:szCs w:val="24"/>
        </w:rPr>
        <w:t>Tabatabai and Bremner, 1969</w:t>
      </w:r>
      <w:r w:rsidR="00374583" w:rsidRPr="009655DD">
        <w:rPr>
          <w:rFonts w:ascii="Times New Roman" w:hAnsi="Times New Roman" w:cs="Times New Roman"/>
          <w:sz w:val="24"/>
          <w:szCs w:val="24"/>
          <w:lang w:val="en-US"/>
        </w:rPr>
        <w:t>)</w:t>
      </w:r>
      <w:r w:rsidR="00374583" w:rsidRPr="009655DD">
        <w:rPr>
          <w:rFonts w:ascii="Times New Roman" w:hAnsi="Times New Roman" w:cs="Times New Roman"/>
          <w:sz w:val="24"/>
          <w:szCs w:val="24"/>
        </w:rPr>
        <w:t xml:space="preserve">. The frequency distribution of soil pH, organic carbon and available P, K, Ca, Mg and S were compared with the </w:t>
      </w:r>
      <w:proofErr w:type="gramStart"/>
      <w:r w:rsidR="00374583" w:rsidRPr="009655DD">
        <w:rPr>
          <w:rFonts w:ascii="Times New Roman" w:hAnsi="Times New Roman" w:cs="Times New Roman"/>
          <w:sz w:val="24"/>
          <w:szCs w:val="24"/>
        </w:rPr>
        <w:t>pre flood</w:t>
      </w:r>
      <w:proofErr w:type="gramEnd"/>
      <w:r w:rsidR="00374583" w:rsidRPr="009655DD">
        <w:rPr>
          <w:rFonts w:ascii="Times New Roman" w:hAnsi="Times New Roman" w:cs="Times New Roman"/>
          <w:sz w:val="24"/>
          <w:szCs w:val="24"/>
        </w:rPr>
        <w:t xml:space="preserve"> data of </w:t>
      </w:r>
      <w:proofErr w:type="spellStart"/>
      <w:r w:rsidR="00C01F01" w:rsidRPr="00C01F01">
        <w:rPr>
          <w:rFonts w:ascii="Times New Roman" w:hAnsi="Times New Roman" w:cs="Times New Roman"/>
          <w:sz w:val="24"/>
          <w:szCs w:val="24"/>
        </w:rPr>
        <w:t>Rajasekharan</w:t>
      </w:r>
      <w:proofErr w:type="spellEnd"/>
      <w:r w:rsidR="00C01F01" w:rsidRPr="00C01F01">
        <w:rPr>
          <w:rFonts w:ascii="Times New Roman" w:hAnsi="Times New Roman" w:cs="Times New Roman"/>
          <w:sz w:val="24"/>
          <w:szCs w:val="24"/>
        </w:rPr>
        <w:t xml:space="preserve"> </w:t>
      </w:r>
      <w:r w:rsidR="00C01F01">
        <w:rPr>
          <w:rFonts w:ascii="Times New Roman" w:hAnsi="Times New Roman" w:cs="Times New Roman"/>
          <w:sz w:val="24"/>
          <w:szCs w:val="24"/>
        </w:rPr>
        <w:t>et al. (2014</w:t>
      </w:r>
      <w:r w:rsidR="00374583" w:rsidRPr="009655DD">
        <w:rPr>
          <w:rFonts w:ascii="Times New Roman" w:hAnsi="Times New Roman" w:cs="Times New Roman"/>
          <w:sz w:val="24"/>
          <w:szCs w:val="24"/>
        </w:rPr>
        <w:t>).</w:t>
      </w:r>
    </w:p>
    <w:p w14:paraId="4AA8955E" w14:textId="77777777" w:rsidR="003B603A" w:rsidRPr="009655DD" w:rsidRDefault="003B603A" w:rsidP="00866A0F">
      <w:pPr>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lastRenderedPageBreak/>
        <w:t>Soil quality</w:t>
      </w:r>
    </w:p>
    <w:p w14:paraId="40770C1E" w14:textId="6080CF75" w:rsidR="009F0385" w:rsidRPr="009655DD" w:rsidRDefault="008820C3" w:rsidP="00866A0F">
      <w:pPr>
        <w:spacing w:line="480" w:lineRule="auto"/>
        <w:ind w:firstLine="720"/>
        <w:jc w:val="both"/>
        <w:rPr>
          <w:rFonts w:ascii="Times New Roman" w:hAnsi="Times New Roman" w:cs="Times New Roman"/>
        </w:rPr>
      </w:pPr>
      <w:r>
        <w:rPr>
          <w:rFonts w:ascii="Times New Roman" w:hAnsi="Times New Roman"/>
          <w:bCs/>
          <w:sz w:val="24"/>
          <w:szCs w:val="24"/>
        </w:rPr>
        <w:t>“</w:t>
      </w:r>
      <w:r w:rsidR="00422510" w:rsidRPr="009655DD">
        <w:rPr>
          <w:rFonts w:ascii="Times New Roman" w:hAnsi="Times New Roman"/>
          <w:bCs/>
          <w:sz w:val="24"/>
          <w:szCs w:val="24"/>
        </w:rPr>
        <w:t xml:space="preserve">Soil quality index (SQI) for each sampling site was generated by aggregating the scores following standard methods. This included: </w:t>
      </w:r>
      <w:r w:rsidR="00422510" w:rsidRPr="009655DD">
        <w:rPr>
          <w:rFonts w:ascii="Times New Roman" w:hAnsi="Times New Roman"/>
          <w:sz w:val="24"/>
          <w:szCs w:val="24"/>
        </w:rPr>
        <w:t>(</w:t>
      </w:r>
      <w:proofErr w:type="spellStart"/>
      <w:r w:rsidR="00422510" w:rsidRPr="009655DD">
        <w:rPr>
          <w:rFonts w:ascii="Times New Roman" w:hAnsi="Times New Roman"/>
          <w:sz w:val="24"/>
          <w:szCs w:val="24"/>
        </w:rPr>
        <w:t>i</w:t>
      </w:r>
      <w:proofErr w:type="spellEnd"/>
      <w:r w:rsidR="00422510" w:rsidRPr="009655DD">
        <w:rPr>
          <w:rFonts w:ascii="Times New Roman" w:hAnsi="Times New Roman"/>
          <w:sz w:val="24"/>
          <w:szCs w:val="24"/>
        </w:rPr>
        <w:t>) selection of MDS of indicators that best represent the soil functions; (ii) scoring the MDS indicators based on their performance of soil functions; and (iii) integrating the indicator scores into a comparative index of soil quality</w:t>
      </w:r>
      <w:r>
        <w:rPr>
          <w:rFonts w:ascii="Times New Roman" w:hAnsi="Times New Roman"/>
          <w:sz w:val="24"/>
          <w:szCs w:val="24"/>
        </w:rPr>
        <w:t xml:space="preserve">” </w:t>
      </w:r>
      <w:r w:rsidR="00422510" w:rsidRPr="009655DD">
        <w:t xml:space="preserve">(Vasu </w:t>
      </w:r>
      <w:r w:rsidR="00422510" w:rsidRPr="009655DD">
        <w:rPr>
          <w:i/>
        </w:rPr>
        <w:t>et al</w:t>
      </w:r>
      <w:r w:rsidR="00422510" w:rsidRPr="009655DD">
        <w:t>., 2016).</w:t>
      </w:r>
    </w:p>
    <w:p w14:paraId="3218B3FD" w14:textId="77777777" w:rsidR="009F0385" w:rsidRPr="009655DD" w:rsidRDefault="009F0385" w:rsidP="005D1145">
      <w:pPr>
        <w:spacing w:line="480" w:lineRule="auto"/>
        <w:jc w:val="both"/>
        <w:rPr>
          <w:rFonts w:ascii="Times New Roman" w:hAnsi="Times New Roman" w:cs="Times New Roman"/>
        </w:rPr>
      </w:pPr>
      <w:r w:rsidRPr="009655DD">
        <w:rPr>
          <w:rFonts w:ascii="Times New Roman" w:hAnsi="Times New Roman" w:cs="Times New Roman"/>
          <w:sz w:val="24"/>
          <w:szCs w:val="24"/>
        </w:rPr>
        <w:t>(</w:t>
      </w:r>
      <w:proofErr w:type="spellStart"/>
      <w:r w:rsidRPr="009655DD">
        <w:rPr>
          <w:rFonts w:ascii="Times New Roman" w:hAnsi="Times New Roman" w:cs="Times New Roman"/>
          <w:sz w:val="24"/>
          <w:szCs w:val="24"/>
        </w:rPr>
        <w:t>i</w:t>
      </w:r>
      <w:proofErr w:type="spellEnd"/>
      <w:r w:rsidRPr="009655DD">
        <w:rPr>
          <w:rFonts w:ascii="Times New Roman" w:hAnsi="Times New Roman" w:cs="Times New Roman"/>
          <w:sz w:val="24"/>
          <w:szCs w:val="24"/>
        </w:rPr>
        <w:t>) Selection of minimum data set from different soil properties</w:t>
      </w:r>
    </w:p>
    <w:p w14:paraId="78BDC99F" w14:textId="12859E78" w:rsidR="002E5793" w:rsidRPr="009655DD" w:rsidRDefault="008820C3" w:rsidP="00866A0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E5793" w:rsidRPr="009655DD">
        <w:rPr>
          <w:rFonts w:ascii="Times New Roman" w:hAnsi="Times New Roman" w:cs="Times New Roman"/>
          <w:sz w:val="24"/>
          <w:szCs w:val="24"/>
        </w:rPr>
        <w:t xml:space="preserve">Principal </w:t>
      </w:r>
      <w:proofErr w:type="spellStart"/>
      <w:r w:rsidR="002E5793" w:rsidRPr="009655DD">
        <w:rPr>
          <w:rFonts w:ascii="Times New Roman" w:hAnsi="Times New Roman" w:cs="Times New Roman"/>
          <w:sz w:val="24"/>
          <w:szCs w:val="24"/>
        </w:rPr>
        <w:t>Componenet</w:t>
      </w:r>
      <w:proofErr w:type="spellEnd"/>
      <w:r w:rsidR="002E5793" w:rsidRPr="009655DD">
        <w:rPr>
          <w:rFonts w:ascii="Times New Roman" w:hAnsi="Times New Roman" w:cs="Times New Roman"/>
          <w:sz w:val="24"/>
          <w:szCs w:val="24"/>
        </w:rPr>
        <w:t xml:space="preserve"> Analysis (PCA) method was used for determination of minimum data set which consists of most suitable soil indicators which influenced the soil quality of this area. MDS is chosen on the basis of capacity of soil properties to predict soil stability and productivity</w:t>
      </w:r>
      <w:r>
        <w:rPr>
          <w:rFonts w:ascii="Times New Roman" w:hAnsi="Times New Roman" w:cs="Times New Roman"/>
          <w:sz w:val="24"/>
          <w:szCs w:val="24"/>
        </w:rPr>
        <w:t>”</w:t>
      </w:r>
      <w:r w:rsidR="00596AE4" w:rsidRPr="009655DD">
        <w:rPr>
          <w:rFonts w:ascii="Times New Roman" w:hAnsi="Times New Roman" w:cs="Times New Roman"/>
          <w:sz w:val="24"/>
          <w:szCs w:val="24"/>
        </w:rPr>
        <w:t xml:space="preserve"> (Lima </w:t>
      </w:r>
      <w:r w:rsidR="00596AE4" w:rsidRPr="009655DD">
        <w:rPr>
          <w:rFonts w:ascii="Times New Roman" w:hAnsi="Times New Roman" w:cs="Times New Roman"/>
          <w:i/>
          <w:sz w:val="24"/>
          <w:szCs w:val="24"/>
        </w:rPr>
        <w:t>et al</w:t>
      </w:r>
      <w:r w:rsidR="00596AE4" w:rsidRPr="009655DD">
        <w:rPr>
          <w:rFonts w:ascii="Times New Roman" w:hAnsi="Times New Roman" w:cs="Times New Roman"/>
          <w:sz w:val="24"/>
          <w:szCs w:val="24"/>
        </w:rPr>
        <w:t>., 2012</w:t>
      </w:r>
      <w:proofErr w:type="gramStart"/>
      <w:r w:rsidR="00596AE4" w:rsidRPr="009655DD">
        <w:rPr>
          <w:rFonts w:ascii="Times New Roman" w:hAnsi="Times New Roman" w:cs="Times New Roman"/>
          <w:sz w:val="24"/>
          <w:szCs w:val="24"/>
        </w:rPr>
        <w:t>).</w:t>
      </w:r>
      <w:r w:rsidR="00F76408" w:rsidRPr="009655DD">
        <w:rPr>
          <w:rFonts w:ascii="Times New Roman" w:hAnsi="Times New Roman" w:cs="Times New Roman"/>
          <w:sz w:val="24"/>
          <w:szCs w:val="24"/>
        </w:rPr>
        <w:t>Principle</w:t>
      </w:r>
      <w:proofErr w:type="gramEnd"/>
      <w:r w:rsidR="00F76408" w:rsidRPr="009655DD">
        <w:rPr>
          <w:rFonts w:ascii="Times New Roman" w:hAnsi="Times New Roman" w:cs="Times New Roman"/>
          <w:sz w:val="24"/>
          <w:szCs w:val="24"/>
        </w:rPr>
        <w:t xml:space="preserve"> components (PCs) which have Eigen value greater than one were selected from PCA analysis. According to Wander and </w:t>
      </w:r>
      <w:proofErr w:type="spellStart"/>
      <w:r w:rsidR="00F76408" w:rsidRPr="009655DD">
        <w:rPr>
          <w:rFonts w:ascii="Times New Roman" w:hAnsi="Times New Roman" w:cs="Times New Roman"/>
          <w:sz w:val="24"/>
          <w:szCs w:val="24"/>
        </w:rPr>
        <w:t>Bollero</w:t>
      </w:r>
      <w:proofErr w:type="spellEnd"/>
      <w:r w:rsidR="00F76408" w:rsidRPr="009655DD">
        <w:rPr>
          <w:rFonts w:ascii="Times New Roman" w:hAnsi="Times New Roman" w:cs="Times New Roman"/>
          <w:sz w:val="24"/>
          <w:szCs w:val="24"/>
        </w:rPr>
        <w:t xml:space="preserve"> (1999), only the variables which have high weightage within each PC were selected for MDS. </w:t>
      </w:r>
      <w:r>
        <w:rPr>
          <w:rFonts w:ascii="Times New Roman" w:hAnsi="Times New Roman" w:cs="Times New Roman"/>
          <w:sz w:val="24"/>
          <w:szCs w:val="24"/>
        </w:rPr>
        <w:t>“</w:t>
      </w:r>
      <w:r w:rsidR="00F76408" w:rsidRPr="009655DD">
        <w:rPr>
          <w:rFonts w:ascii="Times New Roman" w:hAnsi="Times New Roman" w:cs="Times New Roman"/>
          <w:sz w:val="24"/>
          <w:szCs w:val="24"/>
        </w:rPr>
        <w:t>When there is more than one indicator in single PC, correlation was worked out among them. If they have significant correlation (r ≥ 0.6) between each other, then the one with highest loading factor was selected for MDS and the remaining are excluded. Thus, means that the non-correlated parameters were retained and elected for MDS</w:t>
      </w:r>
      <w:r>
        <w:rPr>
          <w:rFonts w:ascii="Times New Roman" w:hAnsi="Times New Roman" w:cs="Times New Roman"/>
          <w:sz w:val="24"/>
          <w:szCs w:val="24"/>
        </w:rPr>
        <w:t>”</w:t>
      </w:r>
      <w:r w:rsidR="00F76408" w:rsidRPr="009655DD">
        <w:rPr>
          <w:rFonts w:ascii="Times New Roman" w:hAnsi="Times New Roman" w:cs="Times New Roman"/>
          <w:sz w:val="24"/>
          <w:szCs w:val="24"/>
        </w:rPr>
        <w:t xml:space="preserve"> (Andrews </w:t>
      </w:r>
      <w:r w:rsidR="00F76408" w:rsidRPr="009655DD">
        <w:rPr>
          <w:rFonts w:ascii="Times New Roman" w:hAnsi="Times New Roman" w:cs="Times New Roman"/>
          <w:i/>
          <w:sz w:val="24"/>
          <w:szCs w:val="24"/>
        </w:rPr>
        <w:t>et al.,</w:t>
      </w:r>
      <w:r w:rsidR="00F76408" w:rsidRPr="009655DD">
        <w:rPr>
          <w:rFonts w:ascii="Times New Roman" w:hAnsi="Times New Roman" w:cs="Times New Roman"/>
          <w:sz w:val="24"/>
          <w:szCs w:val="24"/>
        </w:rPr>
        <w:t xml:space="preserve"> 2001).</w:t>
      </w:r>
    </w:p>
    <w:p w14:paraId="23ECDB5D" w14:textId="77777777" w:rsidR="00E82F81" w:rsidRPr="009655DD" w:rsidRDefault="00E82F81" w:rsidP="00866A0F">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(ii) Scoring of the selected indicators</w:t>
      </w:r>
    </w:p>
    <w:p w14:paraId="50A84957" w14:textId="2BB2A294" w:rsidR="00E82F81" w:rsidRPr="009655DD" w:rsidRDefault="00E82F81" w:rsidP="00866A0F">
      <w:pPr>
        <w:spacing w:after="0" w:line="480" w:lineRule="auto"/>
        <w:jc w:val="both"/>
        <w:rPr>
          <w:rFonts w:ascii="Times New Roman" w:hAnsi="Times New Roman" w:cs="Times New Roman"/>
          <w:sz w:val="24"/>
          <w:szCs w:val="24"/>
        </w:rPr>
      </w:pPr>
      <w:r w:rsidRPr="009655DD">
        <w:rPr>
          <w:rFonts w:ascii="Times New Roman" w:hAnsi="Times New Roman" w:cs="Times New Roman"/>
          <w:b/>
          <w:sz w:val="24"/>
          <w:szCs w:val="24"/>
        </w:rPr>
        <w:tab/>
      </w:r>
      <w:r w:rsidR="008820C3">
        <w:rPr>
          <w:rFonts w:ascii="Times New Roman" w:hAnsi="Times New Roman" w:cs="Times New Roman"/>
          <w:b/>
          <w:sz w:val="24"/>
          <w:szCs w:val="24"/>
        </w:rPr>
        <w:t>“</w:t>
      </w:r>
      <w:r w:rsidRPr="009655DD">
        <w:rPr>
          <w:rFonts w:ascii="Times New Roman" w:hAnsi="Times New Roman" w:cs="Times New Roman"/>
          <w:sz w:val="24"/>
          <w:szCs w:val="24"/>
        </w:rPr>
        <w:t>To formulate the soil quality index, proper weights were assigned to the selected parameters in the MDS and proper score was given to each class</w:t>
      </w:r>
      <w:r w:rsidR="008820C3">
        <w:rPr>
          <w:rFonts w:ascii="Times New Roman" w:hAnsi="Times New Roman" w:cs="Times New Roman"/>
          <w:sz w:val="24"/>
          <w:szCs w:val="24"/>
        </w:rPr>
        <w:t>”</w:t>
      </w:r>
      <w:r w:rsidRPr="009655DD">
        <w:rPr>
          <w:rFonts w:ascii="Times New Roman" w:hAnsi="Times New Roman" w:cs="Times New Roman"/>
          <w:sz w:val="24"/>
          <w:szCs w:val="24"/>
        </w:rPr>
        <w:t xml:space="preserve"> (Larson and Pierce, 1994). Scoring of the parameters was achieved using the method suggested by Kundu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(2012); with slight modification based on the soil fertility ratings for secondary and micronutrients for soils of Kerala. </w:t>
      </w:r>
    </w:p>
    <w:p w14:paraId="63125E2D"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hAnsi="Times New Roman" w:cs="Times New Roman"/>
          <w:sz w:val="24"/>
          <w:szCs w:val="24"/>
        </w:rPr>
        <w:lastRenderedPageBreak/>
        <w:t xml:space="preserve">(iii) Calculation of Soil Quality Index (SQI) and </w:t>
      </w:r>
      <w:r w:rsidRPr="009655DD">
        <w:rPr>
          <w:rFonts w:ascii="Times New Roman" w:hAnsi="Times New Roman" w:cs="Times New Roman"/>
          <w:bCs/>
          <w:sz w:val="24"/>
          <w:szCs w:val="24"/>
          <w:shd w:val="clear" w:color="auto" w:fill="FFFFFF"/>
        </w:rPr>
        <w:t>Relative Soil Quality Index (RSQI)</w:t>
      </w:r>
    </w:p>
    <w:p w14:paraId="52B3E0CD"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hAnsi="Times New Roman" w:cs="Times New Roman"/>
          <w:bCs/>
          <w:sz w:val="24"/>
          <w:szCs w:val="24"/>
          <w:shd w:val="clear" w:color="auto" w:fill="FFFFFF"/>
        </w:rPr>
        <w:tab/>
        <w:t xml:space="preserve">Weighted additive method was used to calculate soil quality. </w:t>
      </w:r>
      <w:r w:rsidRPr="009655DD">
        <w:rPr>
          <w:rFonts w:ascii="Times New Roman" w:hAnsi="Times New Roman" w:cs="Times New Roman"/>
          <w:sz w:val="24"/>
          <w:szCs w:val="24"/>
        </w:rPr>
        <w:t>The equation was proposed by Wymore, (1993)</w:t>
      </w:r>
    </w:p>
    <w:p w14:paraId="59C40D5C" w14:textId="77777777" w:rsidR="00E82F81" w:rsidRPr="009655DD" w:rsidRDefault="00E82F81" w:rsidP="00866A0F">
      <w:pPr>
        <w:pStyle w:val="BodyText"/>
        <w:spacing w:after="0" w:line="480" w:lineRule="auto"/>
        <w:ind w:left="2465" w:firstLine="0"/>
      </w:pPr>
      <w:r w:rsidRPr="009655DD">
        <w:t>SQI =Ʃ W</w:t>
      </w:r>
      <w:r w:rsidRPr="009655DD">
        <w:rPr>
          <w:vertAlign w:val="subscript"/>
        </w:rPr>
        <w:t>i</w:t>
      </w:r>
      <w:r w:rsidRPr="009655DD">
        <w:t xml:space="preserve"> S</w:t>
      </w:r>
      <w:r w:rsidRPr="009655DD">
        <w:rPr>
          <w:vertAlign w:val="subscript"/>
        </w:rPr>
        <w:t>i</w:t>
      </w:r>
    </w:p>
    <w:p w14:paraId="51416A0C" w14:textId="77777777" w:rsidR="00E82F81" w:rsidRPr="009655DD" w:rsidRDefault="00E82F81" w:rsidP="00866A0F">
      <w:pPr>
        <w:pStyle w:val="BodyText"/>
        <w:spacing w:after="0" w:line="480" w:lineRule="auto"/>
        <w:ind w:left="0" w:firstLine="0"/>
      </w:pPr>
      <w:r w:rsidRPr="009655DD">
        <w:t>Where, W</w:t>
      </w:r>
      <w:r w:rsidRPr="009655DD">
        <w:rPr>
          <w:vertAlign w:val="subscript"/>
        </w:rPr>
        <w:t>i</w:t>
      </w:r>
      <w:r w:rsidRPr="009655DD">
        <w:t xml:space="preserve"> is the weighted factor and S</w:t>
      </w:r>
      <w:r w:rsidRPr="009655DD">
        <w:rPr>
          <w:vertAlign w:val="subscript"/>
        </w:rPr>
        <w:t>i</w:t>
      </w:r>
      <w:r w:rsidRPr="009655DD">
        <w:t xml:space="preserve"> is the weighted score.</w:t>
      </w:r>
    </w:p>
    <w:p w14:paraId="558E3037" w14:textId="77777777" w:rsidR="00E82F81" w:rsidRPr="009655DD" w:rsidRDefault="00E82F81" w:rsidP="00866A0F">
      <w:pPr>
        <w:spacing w:after="0" w:line="480" w:lineRule="auto"/>
        <w:ind w:firstLine="720"/>
        <w:jc w:val="both"/>
        <w:rPr>
          <w:rFonts w:ascii="Times New Roman" w:hAnsi="Times New Roman" w:cs="Times New Roman"/>
          <w:bCs/>
          <w:sz w:val="24"/>
          <w:szCs w:val="24"/>
          <w:shd w:val="clear" w:color="auto" w:fill="FFFFFF"/>
        </w:rPr>
      </w:pPr>
      <w:r w:rsidRPr="009655DD">
        <w:rPr>
          <w:rFonts w:ascii="Times New Roman" w:hAnsi="Times New Roman" w:cs="Times New Roman"/>
          <w:bCs/>
          <w:sz w:val="24"/>
          <w:szCs w:val="24"/>
          <w:shd w:val="clear" w:color="auto" w:fill="FFFFFF"/>
        </w:rPr>
        <w:t>Relative soil quality index was used to measure the changes in the soil quality (Karlen and Stott, 1994)</w:t>
      </w:r>
    </w:p>
    <w:p w14:paraId="4ADC905C" w14:textId="77777777" w:rsidR="00E82F81" w:rsidRPr="009655DD" w:rsidRDefault="00E82F81" w:rsidP="00866A0F">
      <w:pPr>
        <w:spacing w:after="0" w:line="480" w:lineRule="auto"/>
        <w:ind w:firstLine="720"/>
        <w:jc w:val="both"/>
        <w:rPr>
          <w:rFonts w:ascii="Times New Roman" w:eastAsiaTheme="minorEastAsia" w:hAnsi="Times New Roman" w:cs="Times New Roman"/>
          <w:sz w:val="24"/>
          <w:szCs w:val="24"/>
          <w:shd w:val="clear" w:color="auto" w:fill="FFFFFF"/>
        </w:rPr>
      </w:pPr>
      <m:oMathPara>
        <m:oMath>
          <m:r>
            <w:rPr>
              <w:rFonts w:ascii="Cambria Math" w:hAnsi="Cambria Math" w:cs="Times New Roman"/>
              <w:sz w:val="24"/>
              <w:szCs w:val="24"/>
              <w:shd w:val="clear" w:color="auto" w:fill="FFFFFF"/>
            </w:rPr>
            <m:t>RSQI</m:t>
          </m:r>
          <m:r>
            <m:rPr>
              <m:sty m:val="p"/>
            </m:rPr>
            <w:rPr>
              <w:rFonts w:ascii="Cambria Math" w:hAnsi="Times New Roman" w:cs="Times New Roman"/>
              <w:sz w:val="24"/>
              <w:szCs w:val="24"/>
              <w:shd w:val="clear" w:color="auto" w:fill="FFFFFF"/>
            </w:rPr>
            <m:t>=</m:t>
          </m:r>
          <m:d>
            <m:dPr>
              <m:ctrlPr>
                <w:rPr>
                  <w:rFonts w:ascii="Cambria Math" w:hAnsi="Times New Roman" w:cs="Times New Roman"/>
                  <w:bCs/>
                  <w:sz w:val="24"/>
                  <w:szCs w:val="24"/>
                  <w:shd w:val="clear" w:color="auto" w:fill="FFFFFF"/>
                </w:rPr>
              </m:ctrlPr>
            </m:dPr>
            <m:e>
              <m:f>
                <m:fPr>
                  <m:ctrlPr>
                    <w:rPr>
                      <w:rFonts w:ascii="Cambria Math" w:hAnsi="Times New Roman" w:cs="Times New Roman"/>
                      <w:bCs/>
                      <w:sz w:val="24"/>
                      <w:szCs w:val="24"/>
                      <w:shd w:val="clear" w:color="auto" w:fill="FFFFFF"/>
                    </w:rPr>
                  </m:ctrlPr>
                </m:fPr>
                <m:num>
                  <m:r>
                    <m:rPr>
                      <m:sty m:val="p"/>
                    </m:rPr>
                    <w:rPr>
                      <w:rFonts w:ascii="Cambria Math" w:hAnsi="Times New Roman" w:cs="Times New Roman"/>
                      <w:sz w:val="24"/>
                      <w:szCs w:val="24"/>
                      <w:shd w:val="clear" w:color="auto" w:fill="FFFFFF"/>
                    </w:rPr>
                    <m:t>SQI</m:t>
                  </m:r>
                </m:num>
                <m:den>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den>
              </m:f>
              <m:ctrlPr>
                <w:rPr>
                  <w:rFonts w:ascii="Cambria Math" w:hAnsi="Times New Roman" w:cs="Times New Roman"/>
                  <w:bCs/>
                  <w:i/>
                  <w:sz w:val="24"/>
                  <w:szCs w:val="24"/>
                  <w:shd w:val="clear" w:color="auto" w:fill="FFFFFF"/>
                </w:rPr>
              </m:ctrlPr>
            </m:e>
          </m:d>
          <m:r>
            <w:rPr>
              <w:rFonts w:ascii="Cambria Math" w:hAnsi="Times New Roman" w:cs="Times New Roman"/>
              <w:sz w:val="24"/>
              <w:szCs w:val="24"/>
              <w:shd w:val="clear" w:color="auto" w:fill="FFFFFF"/>
            </w:rPr>
            <m:t>100</m:t>
          </m:r>
        </m:oMath>
      </m:oMathPara>
    </w:p>
    <w:p w14:paraId="0A9B0639"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eastAsiaTheme="minorEastAsia" w:hAnsi="Times New Roman" w:cs="Times New Roman"/>
          <w:bCs/>
          <w:sz w:val="24"/>
          <w:szCs w:val="24"/>
          <w:shd w:val="clear" w:color="auto" w:fill="FFFFFF"/>
        </w:rPr>
        <w:t xml:space="preserve">Where SQI was the determined soil quality index and </w:t>
      </w:r>
      <m:oMath>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oMath>
      <w:r w:rsidRPr="009655DD">
        <w:rPr>
          <w:rFonts w:ascii="Times New Roman" w:hAnsi="Times New Roman" w:cs="Times New Roman"/>
          <w:bCs/>
          <w:sz w:val="24"/>
          <w:szCs w:val="24"/>
          <w:shd w:val="clear" w:color="auto" w:fill="FFFFFF"/>
        </w:rPr>
        <w:t>was the maximum soil quality index that can be obtained theoretically.</w:t>
      </w:r>
    </w:p>
    <w:p w14:paraId="784A624A" w14:textId="77777777" w:rsidR="00E82F81" w:rsidRPr="009655DD" w:rsidRDefault="00E82F81"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RESULTS AND DISCUSSION</w:t>
      </w:r>
    </w:p>
    <w:p w14:paraId="58A9A9D1" w14:textId="77777777" w:rsidR="00E82F81" w:rsidRPr="009655DD" w:rsidRDefault="00E82F81"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Physical parameters</w:t>
      </w:r>
    </w:p>
    <w:p w14:paraId="7FE4975B" w14:textId="3FAB1350" w:rsidR="00EE3C76" w:rsidRPr="009655DD" w:rsidRDefault="00EE3C76"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Bulk density (BD) of more than 50 percent of samples analysed had values within the ideal range.15.69 per cent of the selected samples recorded 1.4 to 1.6, 52.94 per cent, 1.2-1.4 and 31.37 per cent, below 1.2 Mg m</w:t>
      </w:r>
      <w:r w:rsidRPr="009655DD">
        <w:rPr>
          <w:rFonts w:ascii="Times New Roman" w:hAnsi="Times New Roman" w:cs="Times New Roman"/>
          <w:sz w:val="24"/>
          <w:szCs w:val="24"/>
          <w:vertAlign w:val="superscript"/>
        </w:rPr>
        <w:t>-</w:t>
      </w:r>
      <w:proofErr w:type="gramStart"/>
      <w:r w:rsidRPr="009655DD">
        <w:rPr>
          <w:rFonts w:ascii="Times New Roman" w:hAnsi="Times New Roman" w:cs="Times New Roman"/>
          <w:sz w:val="24"/>
          <w:szCs w:val="24"/>
          <w:vertAlign w:val="superscript"/>
        </w:rPr>
        <w:t xml:space="preserve">3 </w:t>
      </w:r>
      <w:r w:rsidRPr="009655DD">
        <w:rPr>
          <w:rFonts w:ascii="Times New Roman" w:hAnsi="Times New Roman" w:cs="Times New Roman"/>
          <w:sz w:val="24"/>
          <w:szCs w:val="24"/>
        </w:rPr>
        <w:t xml:space="preserve"> of</w:t>
      </w:r>
      <w:proofErr w:type="gramEnd"/>
      <w:r w:rsidRPr="009655DD">
        <w:rPr>
          <w:rFonts w:ascii="Times New Roman" w:hAnsi="Times New Roman" w:cs="Times New Roman"/>
          <w:sz w:val="24"/>
          <w:szCs w:val="24"/>
        </w:rPr>
        <w:t xml:space="preserve"> bulk density in this unit. Deposition of materials such as sand and other gravelly particles were brought to soil by flood could be the reason for increased BD</w:t>
      </w:r>
      <w:r w:rsidR="00EC7D07" w:rsidRPr="009655DD">
        <w:rPr>
          <w:rFonts w:ascii="Times New Roman" w:hAnsi="Times New Roman" w:cs="Times New Roman"/>
          <w:sz w:val="24"/>
          <w:szCs w:val="24"/>
        </w:rPr>
        <w:t>(</w:t>
      </w:r>
      <w:r w:rsidR="00EC7D07" w:rsidRPr="009655DD">
        <w:rPr>
          <w:rFonts w:ascii="Times New Roman" w:hAnsi="Times New Roman"/>
          <w:bCs/>
          <w:sz w:val="24"/>
          <w:szCs w:val="24"/>
          <w:lang w:val="en-US"/>
        </w:rPr>
        <w:t>Fig.1)</w:t>
      </w:r>
      <w:r w:rsidRPr="009655DD">
        <w:rPr>
          <w:rFonts w:ascii="Times New Roman" w:hAnsi="Times New Roman" w:cs="Times New Roman"/>
          <w:sz w:val="24"/>
          <w:szCs w:val="24"/>
        </w:rPr>
        <w:t xml:space="preserve">. Particle </w:t>
      </w:r>
      <w:proofErr w:type="gramStart"/>
      <w:r w:rsidRPr="009655DD">
        <w:rPr>
          <w:rFonts w:ascii="Times New Roman" w:hAnsi="Times New Roman" w:cs="Times New Roman"/>
          <w:sz w:val="24"/>
          <w:szCs w:val="24"/>
        </w:rPr>
        <w:t>density(</w:t>
      </w:r>
      <w:proofErr w:type="gramEnd"/>
      <w:r w:rsidRPr="009655DD">
        <w:rPr>
          <w:rFonts w:ascii="Times New Roman" w:hAnsi="Times New Roman" w:cs="Times New Roman"/>
          <w:sz w:val="24"/>
          <w:szCs w:val="24"/>
        </w:rPr>
        <w:t>PD) of 25.49 % of samples had less than 2.2 Mg m-3 where as 29.41%of samples lies in the range of 2.2-2.4 Mg m-3 and 35.29 percent between 2.4-2.6 Mg m-3. Only 9.8 per cent of samples were with density more than 2.6 Mg m-3. Majority of the soil samples had PD less than 2.67 Mg m-3</w:t>
      </w:r>
      <w:r w:rsidR="00EC7D07" w:rsidRPr="009655DD">
        <w:rPr>
          <w:rFonts w:ascii="Times New Roman" w:hAnsi="Times New Roman"/>
          <w:bCs/>
          <w:sz w:val="24"/>
          <w:szCs w:val="24"/>
          <w:lang w:val="en-US"/>
        </w:rPr>
        <w:t xml:space="preserve"> (Fig.1)</w:t>
      </w:r>
      <w:r w:rsidRPr="009655DD">
        <w:rPr>
          <w:rFonts w:ascii="Times New Roman" w:hAnsi="Times New Roman" w:cs="Times New Roman"/>
          <w:sz w:val="24"/>
          <w:szCs w:val="24"/>
        </w:rPr>
        <w:t xml:space="preserve">. </w:t>
      </w:r>
      <w:proofErr w:type="gramStart"/>
      <w:r w:rsidRPr="009655DD">
        <w:rPr>
          <w:rFonts w:ascii="Times New Roman" w:hAnsi="Times New Roman" w:cs="Times New Roman"/>
          <w:sz w:val="24"/>
          <w:szCs w:val="24"/>
        </w:rPr>
        <w:t>It  relates</w:t>
      </w:r>
      <w:proofErr w:type="gramEnd"/>
      <w:r w:rsidRPr="009655DD">
        <w:rPr>
          <w:rFonts w:ascii="Times New Roman" w:hAnsi="Times New Roman" w:cs="Times New Roman"/>
          <w:sz w:val="24"/>
          <w:szCs w:val="24"/>
        </w:rPr>
        <w:t xml:space="preserve"> the amount of organic matter and minerals present in soils and those with more organic carbon and silt deposition will have comparatively lower values (</w:t>
      </w:r>
      <w:proofErr w:type="spellStart"/>
      <w:r w:rsidRPr="009655DD">
        <w:rPr>
          <w:rFonts w:ascii="Times New Roman" w:hAnsi="Times New Roman" w:cs="Times New Roman"/>
          <w:sz w:val="24"/>
          <w:szCs w:val="24"/>
        </w:rPr>
        <w:t>Bielders</w:t>
      </w:r>
      <w:r w:rsidRPr="009655DD">
        <w:rPr>
          <w:rFonts w:ascii="Times New Roman" w:hAnsi="Times New Roman" w:cs="Times New Roman"/>
          <w:i/>
          <w:iCs/>
          <w:sz w:val="24"/>
          <w:szCs w:val="24"/>
        </w:rPr>
        <w:t>et</w:t>
      </w:r>
      <w:proofErr w:type="spellEnd"/>
      <w:r w:rsidRPr="009655DD">
        <w:rPr>
          <w:rFonts w:ascii="Times New Roman" w:hAnsi="Times New Roman" w:cs="Times New Roman"/>
          <w:i/>
          <w:iCs/>
          <w:sz w:val="24"/>
          <w:szCs w:val="24"/>
        </w:rPr>
        <w:t xml:space="preserve"> al</w:t>
      </w:r>
      <w:r w:rsidRPr="009655DD">
        <w:rPr>
          <w:rFonts w:ascii="Times New Roman" w:hAnsi="Times New Roman" w:cs="Times New Roman"/>
          <w:sz w:val="24"/>
          <w:szCs w:val="24"/>
        </w:rPr>
        <w:t xml:space="preserve">., 1990).  The mean value of percentage of sand, silt, clay in AEU 9 of Kottayam district was </w:t>
      </w:r>
      <w:r w:rsidRPr="009655DD">
        <w:rPr>
          <w:rFonts w:ascii="Times New Roman" w:hAnsi="Times New Roman" w:cs="Times New Roman"/>
          <w:bCs/>
          <w:sz w:val="24"/>
          <w:szCs w:val="24"/>
        </w:rPr>
        <w:t xml:space="preserve">52.0 %, 18.5 % and 30.2 %. Major predominant soil texture in this area is sandy clay loam. </w:t>
      </w:r>
      <w:r w:rsidRPr="009655DD">
        <w:rPr>
          <w:rFonts w:ascii="Times New Roman" w:hAnsi="Times New Roman" w:cs="Times New Roman"/>
          <w:sz w:val="24"/>
          <w:szCs w:val="24"/>
        </w:rPr>
        <w:t xml:space="preserve">43.14 per cent soils are of </w:t>
      </w:r>
      <w:r w:rsidRPr="009655DD">
        <w:rPr>
          <w:rFonts w:ascii="Times New Roman" w:hAnsi="Times New Roman" w:cs="Times New Roman"/>
          <w:sz w:val="24"/>
          <w:szCs w:val="24"/>
        </w:rPr>
        <w:lastRenderedPageBreak/>
        <w:t xml:space="preserve">sandy clay loam texture </w:t>
      </w:r>
      <w:proofErr w:type="spellStart"/>
      <w:r w:rsidRPr="009655DD">
        <w:rPr>
          <w:rFonts w:ascii="Times New Roman" w:hAnsi="Times New Roman" w:cs="Times New Roman"/>
          <w:sz w:val="24"/>
          <w:szCs w:val="24"/>
        </w:rPr>
        <w:t>where as</w:t>
      </w:r>
      <w:proofErr w:type="spellEnd"/>
      <w:r w:rsidRPr="009655DD">
        <w:rPr>
          <w:rFonts w:ascii="Times New Roman" w:hAnsi="Times New Roman" w:cs="Times New Roman"/>
          <w:sz w:val="24"/>
          <w:szCs w:val="24"/>
        </w:rPr>
        <w:t xml:space="preserve"> 15.69 per cent each of sandy clay and clay loam; 13.73 per cent sandy loam and 5.88 per cent</w:t>
      </w:r>
      <w:r w:rsidR="00EC7D07" w:rsidRPr="009655DD">
        <w:rPr>
          <w:rFonts w:ascii="Times New Roman" w:hAnsi="Times New Roman" w:cs="Times New Roman"/>
          <w:sz w:val="24"/>
          <w:szCs w:val="24"/>
        </w:rPr>
        <w:t xml:space="preserve"> (</w:t>
      </w:r>
      <w:r w:rsidR="00EC7D07" w:rsidRPr="009655DD">
        <w:rPr>
          <w:rFonts w:ascii="Times New Roman" w:hAnsi="Times New Roman"/>
          <w:bCs/>
          <w:sz w:val="24"/>
          <w:szCs w:val="24"/>
          <w:lang w:val="en-US"/>
        </w:rPr>
        <w:t>Fig.2)</w:t>
      </w:r>
      <w:r w:rsidRPr="009655DD">
        <w:rPr>
          <w:rFonts w:ascii="Times New Roman" w:hAnsi="Times New Roman" w:cs="Times New Roman"/>
          <w:sz w:val="24"/>
          <w:szCs w:val="24"/>
        </w:rPr>
        <w:t xml:space="preserve"> each of clay and loam texture. The mean value of soil moisture content in AEU 9 was 21.9 per cent and varied from 9.30 to 44.8 per cent. 31.37 per cent of soils had moisture content greater than 25; 35.29 and 31.37 per cent of samples in the range 15-25 and 10-15, respectively</w:t>
      </w:r>
      <w:r w:rsidR="00EC7D07" w:rsidRPr="009655DD">
        <w:rPr>
          <w:rFonts w:ascii="Times New Roman" w:hAnsi="Times New Roman" w:cs="Times New Roman"/>
          <w:sz w:val="24"/>
          <w:szCs w:val="24"/>
        </w:rPr>
        <w:t xml:space="preserve"> (</w:t>
      </w:r>
      <w:r w:rsidR="00EC7D07" w:rsidRPr="009655DD">
        <w:rPr>
          <w:rFonts w:ascii="Times New Roman" w:hAnsi="Times New Roman" w:cs="Times New Roman"/>
          <w:b/>
          <w:sz w:val="24"/>
          <w:szCs w:val="24"/>
        </w:rPr>
        <w:t>Fig. 3)</w:t>
      </w:r>
      <w:r w:rsidRPr="009655DD">
        <w:rPr>
          <w:rFonts w:ascii="Times New Roman" w:hAnsi="Times New Roman" w:cs="Times New Roman"/>
          <w:sz w:val="24"/>
          <w:szCs w:val="24"/>
        </w:rPr>
        <w:t>.</w:t>
      </w:r>
    </w:p>
    <w:p w14:paraId="7F8F757E" w14:textId="49557743" w:rsidR="00965AC1" w:rsidRPr="009655DD" w:rsidRDefault="00EE3C76" w:rsidP="00866A0F">
      <w:pPr>
        <w:spacing w:line="480" w:lineRule="auto"/>
        <w:jc w:val="both"/>
        <w:rPr>
          <w:rFonts w:ascii="Times New Roman" w:hAnsi="Times New Roman" w:cs="Times New Roman"/>
          <w:sz w:val="24"/>
          <w:szCs w:val="24"/>
        </w:rPr>
      </w:pPr>
      <w:r w:rsidRPr="009655DD">
        <w:rPr>
          <w:rFonts w:ascii="Times New Roman" w:hAnsi="Times New Roman" w:cs="Times New Roman"/>
          <w:sz w:val="24"/>
          <w:szCs w:val="24"/>
        </w:rPr>
        <w:t xml:space="preserve">The present study showed that water holding capacity of 85 per cent of soils had WHC less than 30 and </w:t>
      </w:r>
      <w:r w:rsidR="00496B91" w:rsidRPr="009655DD">
        <w:rPr>
          <w:rFonts w:ascii="Times New Roman" w:hAnsi="Times New Roman" w:cs="Times New Roman"/>
          <w:sz w:val="24"/>
          <w:szCs w:val="24"/>
        </w:rPr>
        <w:t>15</w:t>
      </w:r>
      <w:r w:rsidRPr="009655DD">
        <w:rPr>
          <w:rFonts w:ascii="Times New Roman" w:hAnsi="Times New Roman" w:cs="Times New Roman"/>
          <w:sz w:val="24"/>
          <w:szCs w:val="24"/>
        </w:rPr>
        <w:t xml:space="preserve"> per cent of samples were in 30 to 50 range in AEU 9</w:t>
      </w:r>
      <w:r w:rsidR="00EC7D07" w:rsidRPr="009655DD">
        <w:rPr>
          <w:rFonts w:ascii="Times New Roman" w:hAnsi="Times New Roman" w:cs="Times New Roman"/>
          <w:sz w:val="24"/>
          <w:szCs w:val="24"/>
        </w:rPr>
        <w:t>(</w:t>
      </w:r>
      <w:r w:rsidR="00EC7D07" w:rsidRPr="009655DD">
        <w:rPr>
          <w:rFonts w:ascii="Times New Roman" w:hAnsi="Times New Roman" w:cs="Times New Roman"/>
          <w:b/>
          <w:sz w:val="24"/>
          <w:szCs w:val="24"/>
        </w:rPr>
        <w:t>Fig. 3</w:t>
      </w:r>
      <w:proofErr w:type="gramStart"/>
      <w:r w:rsidR="00EC7D07" w:rsidRPr="009655DD">
        <w:rPr>
          <w:rFonts w:ascii="Times New Roman" w:hAnsi="Times New Roman" w:cs="Times New Roman"/>
          <w:b/>
          <w:sz w:val="24"/>
          <w:szCs w:val="24"/>
        </w:rPr>
        <w:t>)</w:t>
      </w:r>
      <w:r w:rsidRPr="009655DD">
        <w:rPr>
          <w:rFonts w:ascii="Times New Roman" w:hAnsi="Times New Roman" w:cs="Times New Roman"/>
          <w:sz w:val="24"/>
          <w:szCs w:val="24"/>
        </w:rPr>
        <w:t>.Water</w:t>
      </w:r>
      <w:proofErr w:type="gramEnd"/>
      <w:r w:rsidRPr="009655DD">
        <w:rPr>
          <w:rFonts w:ascii="Times New Roman" w:hAnsi="Times New Roman" w:cs="Times New Roman"/>
          <w:sz w:val="24"/>
          <w:szCs w:val="24"/>
        </w:rPr>
        <w:t xml:space="preserve"> stable aggregates of 90.2 % of samples had greater than 70 % where as 7.84 % of samples lies in the range of 30-50%, 1.96 % lies between 30-50%</w:t>
      </w:r>
      <w:r w:rsidR="00EC7D07" w:rsidRPr="009655DD">
        <w:rPr>
          <w:rFonts w:ascii="Times New Roman" w:hAnsi="Times New Roman" w:cs="Times New Roman"/>
          <w:sz w:val="24"/>
          <w:szCs w:val="24"/>
        </w:rPr>
        <w:t>(</w:t>
      </w:r>
      <w:r w:rsidR="00EC7D07" w:rsidRPr="009655DD">
        <w:rPr>
          <w:rFonts w:ascii="Times New Roman" w:hAnsi="Times New Roman" w:cs="Times New Roman"/>
          <w:b/>
          <w:sz w:val="24"/>
          <w:szCs w:val="24"/>
        </w:rPr>
        <w:t>Fig. 4)</w:t>
      </w:r>
      <w:r w:rsidRPr="009655DD">
        <w:rPr>
          <w:rFonts w:ascii="Times New Roman" w:hAnsi="Times New Roman" w:cs="Times New Roman"/>
          <w:sz w:val="24"/>
          <w:szCs w:val="24"/>
        </w:rPr>
        <w:t xml:space="preserve">. </w:t>
      </w:r>
      <w:r w:rsidR="008820C3">
        <w:rPr>
          <w:rFonts w:ascii="Times New Roman" w:hAnsi="Times New Roman" w:cs="Times New Roman"/>
          <w:sz w:val="24"/>
          <w:szCs w:val="24"/>
        </w:rPr>
        <w:t>“</w:t>
      </w:r>
      <w:r w:rsidRPr="009655DD">
        <w:rPr>
          <w:rFonts w:ascii="Times New Roman" w:hAnsi="Times New Roman" w:cs="Times New Roman"/>
          <w:sz w:val="24"/>
          <w:szCs w:val="24"/>
        </w:rPr>
        <w:t>Soils with high content of clay and silt can hold more water because of higher moisture retention capacity. The organic matter stabilizes soil aggregates and improves pore orientation resulting in increased water holding capacity</w:t>
      </w:r>
      <w:r w:rsidR="008820C3">
        <w:rPr>
          <w:rFonts w:ascii="Times New Roman" w:hAnsi="Times New Roman" w:cs="Times New Roman"/>
          <w:sz w:val="24"/>
          <w:szCs w:val="24"/>
        </w:rPr>
        <w:t>”</w:t>
      </w:r>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Munkholm</w:t>
      </w:r>
      <w:proofErr w:type="spellEnd"/>
      <w:r w:rsidRPr="009655DD">
        <w:rPr>
          <w:rFonts w:ascii="Times New Roman" w:hAnsi="Times New Roman" w:cs="Times New Roman"/>
          <w:sz w:val="24"/>
          <w:szCs w:val="24"/>
        </w:rPr>
        <w:t xml:space="preserve"> and Kay, 2002).</w:t>
      </w:r>
    </w:p>
    <w:p w14:paraId="3D9B514B" w14:textId="77777777" w:rsidR="00EF749F" w:rsidRPr="009655DD" w:rsidRDefault="00EF749F" w:rsidP="00EF749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Chemical parameters</w:t>
      </w:r>
    </w:p>
    <w:p w14:paraId="0A8A8117" w14:textId="0C66586D" w:rsidR="00EF749F" w:rsidRPr="009655DD" w:rsidRDefault="008820C3" w:rsidP="00EF749F">
      <w:pPr>
        <w:spacing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w:t>
      </w:r>
      <w:r w:rsidR="00EF749F" w:rsidRPr="009655DD">
        <w:rPr>
          <w:rFonts w:ascii="Times New Roman" w:hAnsi="Times New Roman" w:cs="Times New Roman"/>
          <w:bCs/>
          <w:sz w:val="24"/>
          <w:szCs w:val="24"/>
        </w:rPr>
        <w:t xml:space="preserve">Majority of the samples reported pH </w:t>
      </w:r>
      <w:proofErr w:type="gramStart"/>
      <w:r w:rsidR="00EF749F" w:rsidRPr="009655DD">
        <w:rPr>
          <w:rFonts w:ascii="Times New Roman" w:hAnsi="Times New Roman" w:cs="Times New Roman"/>
          <w:bCs/>
          <w:sz w:val="24"/>
          <w:szCs w:val="24"/>
        </w:rPr>
        <w:t>in  acidic</w:t>
      </w:r>
      <w:proofErr w:type="gramEnd"/>
      <w:r w:rsidR="00EF749F" w:rsidRPr="009655DD">
        <w:rPr>
          <w:rFonts w:ascii="Times New Roman" w:hAnsi="Times New Roman" w:cs="Times New Roman"/>
          <w:bCs/>
          <w:sz w:val="24"/>
          <w:szCs w:val="24"/>
        </w:rPr>
        <w:t xml:space="preserve"> range which includes 29.41</w:t>
      </w:r>
      <w:r w:rsidR="00307397">
        <w:rPr>
          <w:rFonts w:ascii="Times New Roman" w:hAnsi="Times New Roman" w:cs="Times New Roman"/>
          <w:bCs/>
          <w:sz w:val="24"/>
          <w:szCs w:val="24"/>
        </w:rPr>
        <w:t xml:space="preserve"> </w:t>
      </w:r>
      <w:r w:rsidR="00EF749F" w:rsidRPr="009655DD">
        <w:rPr>
          <w:rFonts w:ascii="Times New Roman" w:hAnsi="Times New Roman" w:cs="Times New Roman"/>
          <w:bCs/>
          <w:sz w:val="24"/>
          <w:szCs w:val="24"/>
        </w:rPr>
        <w:t xml:space="preserve">%of samples </w:t>
      </w:r>
      <w:r w:rsidR="00307397" w:rsidRPr="009655DD">
        <w:rPr>
          <w:rFonts w:ascii="Times New Roman" w:hAnsi="Times New Roman" w:cs="Times New Roman"/>
          <w:bCs/>
          <w:sz w:val="24"/>
          <w:szCs w:val="24"/>
        </w:rPr>
        <w:t>as</w:t>
      </w:r>
      <w:r w:rsidR="00307397" w:rsidRPr="009655DD">
        <w:rPr>
          <w:rFonts w:ascii="Times New Roman" w:hAnsi="Times New Roman" w:cs="Times New Roman"/>
          <w:sz w:val="24"/>
          <w:szCs w:val="24"/>
        </w:rPr>
        <w:t xml:space="preserve"> moderately</w:t>
      </w:r>
      <w:r w:rsidR="00EF749F" w:rsidRPr="009655DD">
        <w:rPr>
          <w:rFonts w:ascii="Times New Roman" w:hAnsi="Times New Roman" w:cs="Times New Roman"/>
          <w:sz w:val="24"/>
          <w:szCs w:val="24"/>
        </w:rPr>
        <w:t xml:space="preserve"> acidic, 17.65% of samples as very strongly acidic, 3.92% of samples as slightly acidic and 3.92 % of samples as extremely acidic. There was an observed change in pH was a slight decrease in the percentage of samples under extremely acidic and very strongly acidic ranges and an increase in moderately and slightly acidic ranges on comparing with the </w:t>
      </w:r>
      <w:proofErr w:type="gramStart"/>
      <w:r w:rsidR="00EF749F" w:rsidRPr="009655DD">
        <w:rPr>
          <w:rFonts w:ascii="Times New Roman" w:hAnsi="Times New Roman" w:cs="Times New Roman"/>
          <w:sz w:val="24"/>
          <w:szCs w:val="24"/>
        </w:rPr>
        <w:t>pre flood</w:t>
      </w:r>
      <w:proofErr w:type="gramEnd"/>
      <w:r w:rsidR="00EF749F" w:rsidRPr="009655DD">
        <w:rPr>
          <w:rFonts w:ascii="Times New Roman" w:hAnsi="Times New Roman" w:cs="Times New Roman"/>
          <w:sz w:val="24"/>
          <w:szCs w:val="24"/>
        </w:rPr>
        <w:t xml:space="preserve"> data</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w:t>
      </w:r>
      <w:proofErr w:type="spellStart"/>
      <w:r w:rsidR="008E3C05" w:rsidRPr="008E3C05">
        <w:rPr>
          <w:rFonts w:ascii="Times New Roman" w:hAnsi="Times New Roman" w:cs="Times New Roman"/>
          <w:color w:val="000000" w:themeColor="text1"/>
          <w:sz w:val="24"/>
          <w:szCs w:val="24"/>
        </w:rPr>
        <w:t>Khamarunneesa</w:t>
      </w:r>
      <w:proofErr w:type="spellEnd"/>
      <w:r w:rsidR="008E3C05">
        <w:rPr>
          <w:rFonts w:ascii="Times New Roman" w:hAnsi="Times New Roman" w:cs="Times New Roman"/>
          <w:color w:val="000000" w:themeColor="text1"/>
          <w:sz w:val="24"/>
          <w:szCs w:val="24"/>
        </w:rPr>
        <w:t xml:space="preserve"> </w:t>
      </w:r>
      <w:r w:rsidR="008E3C05" w:rsidRPr="008E3C05">
        <w:rPr>
          <w:rFonts w:ascii="Times New Roman" w:hAnsi="Times New Roman" w:cs="Times New Roman"/>
          <w:i/>
          <w:iCs/>
          <w:color w:val="000000" w:themeColor="text1"/>
          <w:sz w:val="24"/>
          <w:szCs w:val="24"/>
        </w:rPr>
        <w:t>et al</w:t>
      </w:r>
      <w:r w:rsidR="008E3C05">
        <w:rPr>
          <w:rFonts w:ascii="Times New Roman" w:hAnsi="Times New Roman" w:cs="Times New Roman"/>
          <w:color w:val="000000" w:themeColor="text1"/>
          <w:sz w:val="24"/>
          <w:szCs w:val="24"/>
        </w:rPr>
        <w:t>., 2025</w:t>
      </w:r>
      <w:r w:rsidR="00EF749F" w:rsidRPr="009655DD">
        <w:rPr>
          <w:rFonts w:ascii="Times New Roman" w:hAnsi="Times New Roman" w:cs="Times New Roman"/>
          <w:sz w:val="24"/>
          <w:szCs w:val="24"/>
        </w:rPr>
        <w:t xml:space="preserve">). </w:t>
      </w:r>
      <w:r>
        <w:rPr>
          <w:rFonts w:ascii="Times New Roman" w:hAnsi="Times New Roman" w:cs="Times New Roman"/>
          <w:sz w:val="24"/>
          <w:szCs w:val="24"/>
        </w:rPr>
        <w:t>“</w:t>
      </w:r>
      <w:r w:rsidR="00EF749F" w:rsidRPr="009655DD">
        <w:rPr>
          <w:rFonts w:ascii="Times New Roman" w:hAnsi="Times New Roman" w:cs="Times New Roman"/>
          <w:sz w:val="24"/>
          <w:szCs w:val="24"/>
        </w:rPr>
        <w:t>There was a net moderate enhancement in the soil pH in AEU9 with flooding. This might be due to the deposition of basic cations due to flooding. Organic carbon content was high in 78.43 per cent of the samples and medium in 21.57 percent. Compared to pre flood data, it increased from 37 to 78.43 per cent. It might be due to the reason that low temperature and high rainfall are conductive for the accumulation of organic matter in soil</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(Biswas and </w:t>
      </w:r>
      <w:proofErr w:type="spellStart"/>
      <w:r w:rsidR="00EF749F" w:rsidRPr="009655DD">
        <w:rPr>
          <w:rFonts w:ascii="Times New Roman" w:hAnsi="Times New Roman" w:cs="Times New Roman"/>
          <w:sz w:val="24"/>
          <w:szCs w:val="24"/>
        </w:rPr>
        <w:t>Mukharjee</w:t>
      </w:r>
      <w:proofErr w:type="spellEnd"/>
      <w:r w:rsidR="00EF749F" w:rsidRPr="009655DD">
        <w:rPr>
          <w:rFonts w:ascii="Times New Roman" w:hAnsi="Times New Roman" w:cs="Times New Roman"/>
          <w:sz w:val="24"/>
          <w:szCs w:val="24"/>
        </w:rPr>
        <w:t>, 2014).</w:t>
      </w:r>
      <w:r w:rsidR="00EF749F" w:rsidRPr="009655DD">
        <w:rPr>
          <w:rFonts w:ascii="Times New Roman" w:hAnsi="Times New Roman"/>
          <w:sz w:val="24"/>
          <w:szCs w:val="24"/>
        </w:rPr>
        <w:t xml:space="preserve"> </w:t>
      </w:r>
      <w:r w:rsidR="00EF749F" w:rsidRPr="009655DD">
        <w:rPr>
          <w:rFonts w:ascii="Times New Roman" w:hAnsi="Times New Roman"/>
          <w:sz w:val="24"/>
          <w:szCs w:val="24"/>
        </w:rPr>
        <w:lastRenderedPageBreak/>
        <w:t xml:space="preserve">Electrical conductivity is a measure of total soluble salts in soil and indicates the availability of nutrients. 100 per cent of the soils were of EC &lt;1 </w:t>
      </w:r>
      <w:proofErr w:type="spellStart"/>
      <w:r w:rsidR="00EF749F" w:rsidRPr="009655DD">
        <w:rPr>
          <w:rFonts w:ascii="Times New Roman" w:hAnsi="Times New Roman"/>
          <w:sz w:val="24"/>
          <w:szCs w:val="24"/>
        </w:rPr>
        <w:t>dS</w:t>
      </w:r>
      <w:proofErr w:type="spellEnd"/>
      <w:r w:rsidR="00EF749F" w:rsidRPr="009655DD">
        <w:rPr>
          <w:rFonts w:ascii="Times New Roman" w:hAnsi="Times New Roman"/>
          <w:sz w:val="24"/>
          <w:szCs w:val="24"/>
        </w:rPr>
        <w:t xml:space="preserve"> m</w:t>
      </w:r>
      <w:r w:rsidR="00EF749F" w:rsidRPr="009655DD">
        <w:rPr>
          <w:rFonts w:ascii="Times New Roman" w:hAnsi="Times New Roman"/>
          <w:sz w:val="24"/>
          <w:szCs w:val="24"/>
          <w:vertAlign w:val="superscript"/>
        </w:rPr>
        <w:t xml:space="preserve">-1 </w:t>
      </w:r>
      <w:r w:rsidR="00EF749F" w:rsidRPr="009655DD">
        <w:rPr>
          <w:rFonts w:ascii="Times New Roman" w:hAnsi="Times New Roman"/>
          <w:sz w:val="24"/>
          <w:szCs w:val="24"/>
        </w:rPr>
        <w:t xml:space="preserve">(Fig. 4). </w:t>
      </w:r>
      <w:r>
        <w:rPr>
          <w:rFonts w:ascii="Times New Roman" w:hAnsi="Times New Roman"/>
          <w:sz w:val="24"/>
          <w:szCs w:val="24"/>
        </w:rPr>
        <w:t>“</w:t>
      </w:r>
      <w:r w:rsidR="00EF749F" w:rsidRPr="009655DD">
        <w:rPr>
          <w:rFonts w:ascii="Times New Roman" w:hAnsi="Times New Roman" w:cs="Times New Roman"/>
          <w:sz w:val="24"/>
          <w:szCs w:val="24"/>
        </w:rPr>
        <w:t>Nitrogen content was low in 58.82 per cent of the samples and medium in 41.18 per cent. The low availability of nitrogen in soil might be due to leaching of nitrate nitrogen present in soil that occurred during flood and under anaerobic condition nitrate nitrogen loss may occur due to nitrate reduction and denitrification</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(Unger </w:t>
      </w:r>
      <w:r w:rsidR="00EF749F" w:rsidRPr="009655DD">
        <w:rPr>
          <w:rFonts w:ascii="Times New Roman" w:hAnsi="Times New Roman" w:cs="Times New Roman"/>
          <w:i/>
          <w:sz w:val="24"/>
          <w:szCs w:val="24"/>
        </w:rPr>
        <w:t>et al</w:t>
      </w:r>
      <w:r w:rsidR="00EF749F" w:rsidRPr="009655DD">
        <w:rPr>
          <w:rFonts w:ascii="Times New Roman" w:hAnsi="Times New Roman" w:cs="Times New Roman"/>
          <w:sz w:val="24"/>
          <w:szCs w:val="24"/>
        </w:rPr>
        <w:t xml:space="preserve">., 2009). Phosphorus content was low in 41.18 per cent samples, medium in 7.84 % and high in 50.98 % samples. Phosphorus content high in the study area. The increase in pH that had resulted from flooding might also contribute to improvement in P availability. The significant positive correlation between organic carbon content and acid phosphatase activity (0.370**) enhances microbial mineralization resulting in enhanced availability of phosphorus. Similar increase in P availability was also reported by Liang, 1996. Potassium content was high in 29.41 per cent of samples and medium in 56.86 </w:t>
      </w:r>
      <w:proofErr w:type="spellStart"/>
      <w:r w:rsidR="00EF749F" w:rsidRPr="009655DD">
        <w:rPr>
          <w:rFonts w:ascii="Times New Roman" w:hAnsi="Times New Roman" w:cs="Times New Roman"/>
          <w:sz w:val="24"/>
          <w:szCs w:val="24"/>
        </w:rPr>
        <w:t>percnet</w:t>
      </w:r>
      <w:proofErr w:type="spellEnd"/>
      <w:r w:rsidR="00EF749F" w:rsidRPr="009655DD">
        <w:rPr>
          <w:rFonts w:ascii="Times New Roman" w:hAnsi="Times New Roman" w:cs="Times New Roman"/>
          <w:sz w:val="24"/>
          <w:szCs w:val="24"/>
        </w:rPr>
        <w:t xml:space="preserve"> and low in 13.73 % samples. </w:t>
      </w:r>
      <w:r>
        <w:rPr>
          <w:rFonts w:ascii="Times New Roman" w:hAnsi="Times New Roman" w:cs="Times New Roman"/>
          <w:sz w:val="24"/>
          <w:szCs w:val="24"/>
        </w:rPr>
        <w:t>“</w:t>
      </w:r>
      <w:proofErr w:type="spellStart"/>
      <w:proofErr w:type="gramStart"/>
      <w:r w:rsidR="00EF749F" w:rsidRPr="009655DD">
        <w:rPr>
          <w:rFonts w:ascii="Times New Roman" w:hAnsi="Times New Roman" w:cs="Times New Roman"/>
          <w:sz w:val="24"/>
          <w:szCs w:val="24"/>
        </w:rPr>
        <w:t>A</w:t>
      </w:r>
      <w:proofErr w:type="spellEnd"/>
      <w:proofErr w:type="gramEnd"/>
      <w:r w:rsidR="00EF749F" w:rsidRPr="009655DD">
        <w:rPr>
          <w:rFonts w:ascii="Times New Roman" w:hAnsi="Times New Roman" w:cs="Times New Roman"/>
          <w:sz w:val="24"/>
          <w:szCs w:val="24"/>
        </w:rPr>
        <w:t xml:space="preserve"> increase in concentration of potassium under medium range was observed in the flood affected areas. This might be due to exchange reaction increases K in solution under flooded conditions</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w:t>
      </w:r>
      <w:proofErr w:type="spellStart"/>
      <w:r w:rsidR="00EF749F" w:rsidRPr="009655DD">
        <w:rPr>
          <w:rFonts w:ascii="Times New Roman" w:hAnsi="Times New Roman" w:cs="Times New Roman"/>
          <w:sz w:val="24"/>
          <w:szCs w:val="24"/>
        </w:rPr>
        <w:t>Valizadeh</w:t>
      </w:r>
      <w:proofErr w:type="spellEnd"/>
      <w:r w:rsidR="00EF749F" w:rsidRPr="009655DD">
        <w:rPr>
          <w:rFonts w:ascii="Times New Roman" w:hAnsi="Times New Roman" w:cs="Times New Roman"/>
          <w:sz w:val="24"/>
          <w:szCs w:val="24"/>
        </w:rPr>
        <w:t xml:space="preserve"> </w:t>
      </w:r>
      <w:r w:rsidR="00EF749F" w:rsidRPr="009655DD">
        <w:rPr>
          <w:rFonts w:ascii="Times New Roman" w:hAnsi="Times New Roman" w:cs="Times New Roman"/>
          <w:i/>
          <w:sz w:val="24"/>
          <w:szCs w:val="24"/>
        </w:rPr>
        <w:t xml:space="preserve">et al., </w:t>
      </w:r>
      <w:r w:rsidR="00EF749F" w:rsidRPr="009655DD">
        <w:rPr>
          <w:rFonts w:ascii="Times New Roman" w:hAnsi="Times New Roman" w:cs="Times New Roman"/>
          <w:sz w:val="24"/>
          <w:szCs w:val="24"/>
        </w:rPr>
        <w:t>2012).</w:t>
      </w:r>
    </w:p>
    <w:p w14:paraId="7E8716D5" w14:textId="0700C654" w:rsidR="00EF749F" w:rsidRPr="009655DD" w:rsidRDefault="008820C3" w:rsidP="00EF74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F749F" w:rsidRPr="009655DD">
        <w:rPr>
          <w:rFonts w:ascii="Times New Roman" w:hAnsi="Times New Roman" w:cs="Times New Roman"/>
          <w:sz w:val="24"/>
          <w:szCs w:val="24"/>
        </w:rPr>
        <w:t xml:space="preserve">Available calcium content was adequate in 90.2 % and deficient in 9.8% of samples. Available Ca in the post flood area was adequate in majority of samples. When compared to </w:t>
      </w:r>
      <w:proofErr w:type="gramStart"/>
      <w:r w:rsidR="00EF749F" w:rsidRPr="009655DD">
        <w:rPr>
          <w:rFonts w:ascii="Times New Roman" w:hAnsi="Times New Roman" w:cs="Times New Roman"/>
          <w:sz w:val="24"/>
          <w:szCs w:val="24"/>
        </w:rPr>
        <w:t>pre flood</w:t>
      </w:r>
      <w:proofErr w:type="gramEnd"/>
      <w:r w:rsidR="00EF749F" w:rsidRPr="009655DD">
        <w:rPr>
          <w:rFonts w:ascii="Times New Roman" w:hAnsi="Times New Roman" w:cs="Times New Roman"/>
          <w:sz w:val="24"/>
          <w:szCs w:val="24"/>
        </w:rPr>
        <w:t xml:space="preserve"> data, the adequate level increased from 82 per cent to 90.2 per cent in the post flood soils</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w:t>
      </w:r>
      <w:proofErr w:type="spellStart"/>
      <w:r w:rsidR="00C01F01" w:rsidRPr="00C01F01">
        <w:rPr>
          <w:rFonts w:ascii="Times New Roman" w:hAnsi="Times New Roman" w:cs="Times New Roman"/>
          <w:sz w:val="24"/>
          <w:szCs w:val="24"/>
        </w:rPr>
        <w:t>Rajasekharan</w:t>
      </w:r>
      <w:proofErr w:type="spellEnd"/>
      <w:r w:rsidR="00C01F01" w:rsidRPr="00C01F01">
        <w:rPr>
          <w:rFonts w:ascii="Times New Roman" w:hAnsi="Times New Roman" w:cs="Times New Roman"/>
          <w:sz w:val="24"/>
          <w:szCs w:val="24"/>
        </w:rPr>
        <w:t xml:space="preserve"> </w:t>
      </w:r>
      <w:r w:rsidR="00C01F01">
        <w:rPr>
          <w:rFonts w:ascii="Times New Roman" w:hAnsi="Times New Roman" w:cs="Times New Roman"/>
          <w:sz w:val="24"/>
          <w:szCs w:val="24"/>
        </w:rPr>
        <w:t>et al., 2014</w:t>
      </w:r>
      <w:r w:rsidR="00EF749F" w:rsidRPr="009655DD">
        <w:rPr>
          <w:rFonts w:ascii="Times New Roman" w:hAnsi="Times New Roman" w:cs="Times New Roman"/>
          <w:sz w:val="24"/>
          <w:szCs w:val="24"/>
        </w:rPr>
        <w:t xml:space="preserve">). </w:t>
      </w:r>
      <w:r>
        <w:rPr>
          <w:rFonts w:ascii="Times New Roman" w:hAnsi="Times New Roman" w:cs="Times New Roman"/>
          <w:sz w:val="24"/>
          <w:szCs w:val="24"/>
        </w:rPr>
        <w:t>“</w:t>
      </w:r>
      <w:r w:rsidR="00EF749F" w:rsidRPr="009655DD">
        <w:rPr>
          <w:rFonts w:ascii="Times New Roman" w:hAnsi="Times New Roman" w:cs="Times New Roman"/>
          <w:sz w:val="24"/>
          <w:szCs w:val="24"/>
        </w:rPr>
        <w:t>Available magnesium content was adequate in 35.29 per cent. The transport and deposition of suspended particles along with flowing water may result in variations in the nutrient concentration of Ca and Mg</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w:t>
      </w:r>
      <w:proofErr w:type="spellStart"/>
      <w:r w:rsidR="00EF749F" w:rsidRPr="009655DD">
        <w:rPr>
          <w:rFonts w:ascii="Times New Roman" w:hAnsi="Times New Roman" w:cs="Times New Roman"/>
          <w:sz w:val="24"/>
          <w:szCs w:val="24"/>
        </w:rPr>
        <w:t>Katutis</w:t>
      </w:r>
      <w:proofErr w:type="spellEnd"/>
      <w:r w:rsidR="00EF749F" w:rsidRPr="009655DD">
        <w:rPr>
          <w:rFonts w:ascii="Times New Roman" w:hAnsi="Times New Roman" w:cs="Times New Roman"/>
          <w:sz w:val="24"/>
          <w:szCs w:val="24"/>
        </w:rPr>
        <w:t xml:space="preserve">, 2007). Similar increase in Ca and Mg with flooding was also reported by </w:t>
      </w:r>
      <w:proofErr w:type="spellStart"/>
      <w:r w:rsidR="008E3C05" w:rsidRPr="008E3C05">
        <w:rPr>
          <w:rFonts w:ascii="Times New Roman" w:hAnsi="Times New Roman" w:cs="Times New Roman"/>
          <w:sz w:val="24"/>
          <w:szCs w:val="24"/>
        </w:rPr>
        <w:t>Katutis</w:t>
      </w:r>
      <w:proofErr w:type="spellEnd"/>
      <w:r w:rsidR="008E3C05">
        <w:rPr>
          <w:rFonts w:ascii="Times New Roman" w:hAnsi="Times New Roman" w:cs="Times New Roman"/>
          <w:sz w:val="24"/>
          <w:szCs w:val="24"/>
        </w:rPr>
        <w:t xml:space="preserve"> </w:t>
      </w:r>
      <w:r w:rsidR="008E3C05" w:rsidRPr="008E3C05">
        <w:rPr>
          <w:rFonts w:ascii="Times New Roman" w:hAnsi="Times New Roman" w:cs="Times New Roman"/>
          <w:sz w:val="24"/>
          <w:szCs w:val="24"/>
        </w:rPr>
        <w:t xml:space="preserve">&amp; </w:t>
      </w:r>
      <w:proofErr w:type="spellStart"/>
      <w:r w:rsidR="008E3C05" w:rsidRPr="008E3C05">
        <w:rPr>
          <w:rFonts w:ascii="Times New Roman" w:hAnsi="Times New Roman" w:cs="Times New Roman"/>
          <w:sz w:val="24"/>
          <w:szCs w:val="24"/>
        </w:rPr>
        <w:t>Rudzianskaitė</w:t>
      </w:r>
      <w:proofErr w:type="spellEnd"/>
      <w:r w:rsidR="008E3C05" w:rsidRPr="008E3C05">
        <w:rPr>
          <w:rFonts w:ascii="Times New Roman" w:hAnsi="Times New Roman" w:cs="Times New Roman"/>
          <w:sz w:val="24"/>
          <w:szCs w:val="24"/>
        </w:rPr>
        <w:t xml:space="preserve"> (2015</w:t>
      </w:r>
      <w:r w:rsidR="00EF749F" w:rsidRPr="008E3C05">
        <w:rPr>
          <w:rFonts w:ascii="Times New Roman" w:hAnsi="Times New Roman" w:cs="Times New Roman"/>
          <w:sz w:val="24"/>
          <w:szCs w:val="24"/>
          <w:highlight w:val="yellow"/>
        </w:rPr>
        <w:t>)</w:t>
      </w:r>
      <w:r w:rsidR="00EF749F" w:rsidRPr="009655DD">
        <w:rPr>
          <w:rFonts w:ascii="Times New Roman" w:hAnsi="Times New Roman" w:cs="Times New Roman"/>
          <w:sz w:val="24"/>
          <w:szCs w:val="24"/>
        </w:rPr>
        <w:t xml:space="preserve">, </w:t>
      </w:r>
      <w:proofErr w:type="spellStart"/>
      <w:r w:rsidR="00EF749F" w:rsidRPr="009655DD">
        <w:rPr>
          <w:rFonts w:ascii="Times New Roman" w:hAnsi="Times New Roman" w:cs="Times New Roman"/>
          <w:sz w:val="24"/>
          <w:szCs w:val="24"/>
          <w:shd w:val="clear" w:color="auto" w:fill="FFFFFF"/>
        </w:rPr>
        <w:t>Sahrawat</w:t>
      </w:r>
      <w:proofErr w:type="spellEnd"/>
      <w:r w:rsidR="00EF749F" w:rsidRPr="009655DD">
        <w:rPr>
          <w:rFonts w:ascii="Times New Roman" w:hAnsi="Times New Roman" w:cs="Times New Roman"/>
          <w:sz w:val="24"/>
          <w:szCs w:val="24"/>
          <w:shd w:val="clear" w:color="auto" w:fill="FFFFFF"/>
        </w:rPr>
        <w:t xml:space="preserve"> (2012)</w:t>
      </w:r>
      <w:r w:rsidR="00EF749F" w:rsidRPr="009655DD">
        <w:rPr>
          <w:rFonts w:ascii="Times New Roman" w:hAnsi="Times New Roman" w:cs="Times New Roman"/>
          <w:sz w:val="24"/>
          <w:szCs w:val="24"/>
        </w:rPr>
        <w:t xml:space="preserve"> and </w:t>
      </w:r>
      <w:proofErr w:type="spellStart"/>
      <w:r w:rsidR="00EF749F" w:rsidRPr="009655DD">
        <w:rPr>
          <w:rFonts w:ascii="Times New Roman" w:hAnsi="Times New Roman" w:cs="Times New Roman"/>
          <w:sz w:val="24"/>
          <w:szCs w:val="24"/>
        </w:rPr>
        <w:t>Katutis</w:t>
      </w:r>
      <w:proofErr w:type="spellEnd"/>
      <w:r w:rsidR="00EF749F" w:rsidRPr="009655DD">
        <w:rPr>
          <w:rFonts w:ascii="Times New Roman" w:hAnsi="Times New Roman" w:cs="Times New Roman"/>
          <w:sz w:val="24"/>
          <w:szCs w:val="24"/>
        </w:rPr>
        <w:t xml:space="preserve"> and </w:t>
      </w:r>
      <w:proofErr w:type="spellStart"/>
      <w:r w:rsidR="00EF749F" w:rsidRPr="009655DD">
        <w:rPr>
          <w:rFonts w:ascii="Times New Roman" w:hAnsi="Times New Roman" w:cs="Times New Roman"/>
          <w:sz w:val="24"/>
          <w:szCs w:val="24"/>
        </w:rPr>
        <w:t>Rudzianskaite</w:t>
      </w:r>
      <w:proofErr w:type="spellEnd"/>
      <w:r w:rsidR="00EF749F" w:rsidRPr="009655DD">
        <w:rPr>
          <w:rFonts w:ascii="Times New Roman" w:hAnsi="Times New Roman" w:cs="Times New Roman"/>
          <w:sz w:val="24"/>
          <w:szCs w:val="24"/>
        </w:rPr>
        <w:t xml:space="preserve"> (2015). </w:t>
      </w:r>
      <w:r>
        <w:rPr>
          <w:rFonts w:ascii="Times New Roman" w:hAnsi="Times New Roman" w:cs="Times New Roman"/>
          <w:sz w:val="24"/>
          <w:szCs w:val="24"/>
        </w:rPr>
        <w:t>“</w:t>
      </w:r>
      <w:r w:rsidR="00EF749F" w:rsidRPr="009655DD">
        <w:rPr>
          <w:rFonts w:ascii="Times New Roman" w:hAnsi="Times New Roman" w:cs="Times New Roman"/>
          <w:sz w:val="24"/>
          <w:szCs w:val="24"/>
        </w:rPr>
        <w:t>Available sulphur content was sufficient in 66.67% and deficient in 33.33 per cent of samples. Post flood samples showed a decrease in sufficiency level of sulphur when compared to preflood values</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w:t>
      </w:r>
      <w:proofErr w:type="spellStart"/>
      <w:r w:rsidR="00C01F01" w:rsidRPr="00C01F01">
        <w:rPr>
          <w:rFonts w:ascii="Times New Roman" w:hAnsi="Times New Roman" w:cs="Times New Roman"/>
          <w:sz w:val="24"/>
          <w:szCs w:val="24"/>
        </w:rPr>
        <w:t>Rajasekharan</w:t>
      </w:r>
      <w:proofErr w:type="spellEnd"/>
      <w:r w:rsidR="00C01F01" w:rsidRPr="00C01F01">
        <w:rPr>
          <w:rFonts w:ascii="Times New Roman" w:hAnsi="Times New Roman" w:cs="Times New Roman"/>
          <w:sz w:val="24"/>
          <w:szCs w:val="24"/>
        </w:rPr>
        <w:t xml:space="preserve"> </w:t>
      </w:r>
      <w:r w:rsidR="00C01F01">
        <w:rPr>
          <w:rFonts w:ascii="Times New Roman" w:hAnsi="Times New Roman" w:cs="Times New Roman"/>
          <w:sz w:val="24"/>
          <w:szCs w:val="24"/>
        </w:rPr>
        <w:t>et al., 2014</w:t>
      </w:r>
      <w:r w:rsidR="00EF749F" w:rsidRPr="009655DD">
        <w:rPr>
          <w:rFonts w:ascii="Times New Roman" w:hAnsi="Times New Roman" w:cs="Times New Roman"/>
          <w:sz w:val="24"/>
          <w:szCs w:val="24"/>
        </w:rPr>
        <w:t xml:space="preserve">). </w:t>
      </w:r>
      <w:r w:rsidR="00EF749F" w:rsidRPr="009655DD">
        <w:rPr>
          <w:rFonts w:ascii="Times New Roman" w:hAnsi="Times New Roman" w:cs="Times New Roman"/>
          <w:sz w:val="24"/>
          <w:szCs w:val="24"/>
          <w:shd w:val="clear" w:color="auto" w:fill="FFFFFF"/>
        </w:rPr>
        <w:lastRenderedPageBreak/>
        <w:t>Flooding of soils may increase or decrease sulphate sorption (</w:t>
      </w:r>
      <w:r w:rsidR="008E3C05" w:rsidRPr="008E3C05">
        <w:rPr>
          <w:rFonts w:ascii="Times New Roman" w:hAnsi="Times New Roman" w:cs="Times New Roman"/>
          <w:sz w:val="24"/>
          <w:szCs w:val="24"/>
          <w:shd w:val="clear" w:color="auto" w:fill="FFFFFF"/>
        </w:rPr>
        <w:t>Bornemisza</w:t>
      </w:r>
      <w:r w:rsidR="008E3C05">
        <w:rPr>
          <w:rFonts w:ascii="Times New Roman" w:hAnsi="Times New Roman" w:cs="Times New Roman"/>
          <w:sz w:val="24"/>
          <w:szCs w:val="24"/>
          <w:shd w:val="clear" w:color="auto" w:fill="FFFFFF"/>
        </w:rPr>
        <w:t xml:space="preserve"> </w:t>
      </w:r>
      <w:r w:rsidR="008E3C05" w:rsidRPr="008E3C05">
        <w:rPr>
          <w:rFonts w:ascii="Times New Roman" w:hAnsi="Times New Roman" w:cs="Times New Roman"/>
          <w:sz w:val="24"/>
          <w:szCs w:val="24"/>
          <w:shd w:val="clear" w:color="auto" w:fill="FFFFFF"/>
        </w:rPr>
        <w:t>&amp; Llanos (1967</w:t>
      </w:r>
      <w:r w:rsidR="00EF749F" w:rsidRPr="009655DD">
        <w:rPr>
          <w:rFonts w:ascii="Times New Roman" w:hAnsi="Times New Roman" w:cs="Times New Roman"/>
          <w:sz w:val="24"/>
          <w:szCs w:val="24"/>
          <w:shd w:val="clear" w:color="auto" w:fill="FFFFFF"/>
        </w:rPr>
        <w:t>). The reduction in sufficiency level of sulphur might be due to flooding of soils may increase or decrease sulphate sorption (</w:t>
      </w:r>
      <w:r w:rsidR="008E3C05" w:rsidRPr="008E3C05">
        <w:rPr>
          <w:rFonts w:ascii="Times New Roman" w:hAnsi="Times New Roman" w:cs="Times New Roman"/>
          <w:sz w:val="24"/>
          <w:szCs w:val="24"/>
          <w:shd w:val="clear" w:color="auto" w:fill="FFFFFF"/>
        </w:rPr>
        <w:t>Bornemisza</w:t>
      </w:r>
      <w:r w:rsidR="008E3C05">
        <w:rPr>
          <w:rFonts w:ascii="Times New Roman" w:hAnsi="Times New Roman" w:cs="Times New Roman"/>
          <w:sz w:val="24"/>
          <w:szCs w:val="24"/>
          <w:shd w:val="clear" w:color="auto" w:fill="FFFFFF"/>
        </w:rPr>
        <w:t xml:space="preserve"> </w:t>
      </w:r>
      <w:r w:rsidR="008E3C05" w:rsidRPr="008E3C05">
        <w:rPr>
          <w:rFonts w:ascii="Times New Roman" w:hAnsi="Times New Roman" w:cs="Times New Roman"/>
          <w:sz w:val="24"/>
          <w:szCs w:val="24"/>
          <w:shd w:val="clear" w:color="auto" w:fill="FFFFFF"/>
        </w:rPr>
        <w:t xml:space="preserve">&amp; Llanos </w:t>
      </w:r>
      <w:r w:rsidR="008E3C05">
        <w:rPr>
          <w:rFonts w:ascii="Times New Roman" w:hAnsi="Times New Roman" w:cs="Times New Roman"/>
          <w:sz w:val="24"/>
          <w:szCs w:val="24"/>
          <w:shd w:val="clear" w:color="auto" w:fill="FFFFFF"/>
        </w:rPr>
        <w:t>(</w:t>
      </w:r>
      <w:r w:rsidR="008E3C05" w:rsidRPr="008E3C05">
        <w:rPr>
          <w:rFonts w:ascii="Times New Roman" w:hAnsi="Times New Roman" w:cs="Times New Roman"/>
          <w:sz w:val="24"/>
          <w:szCs w:val="24"/>
          <w:shd w:val="clear" w:color="auto" w:fill="FFFFFF"/>
        </w:rPr>
        <w:t>1967</w:t>
      </w:r>
      <w:r w:rsidR="00EF749F" w:rsidRPr="009655D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EF749F" w:rsidRPr="009655DD">
        <w:rPr>
          <w:rFonts w:ascii="Times New Roman" w:hAnsi="Times New Roman" w:cs="Times New Roman"/>
          <w:sz w:val="24"/>
          <w:szCs w:val="24"/>
          <w:shd w:val="clear" w:color="auto" w:fill="FFFFFF"/>
        </w:rPr>
        <w:t xml:space="preserve">Available boron was deficient in 100 per cent of samples. Wide spread deficiency of boron was noticed due to </w:t>
      </w:r>
      <w:r w:rsidR="00EF749F" w:rsidRPr="009655DD">
        <w:rPr>
          <w:rFonts w:ascii="Times New Roman" w:hAnsi="Times New Roman" w:cs="Times New Roman"/>
          <w:sz w:val="24"/>
          <w:szCs w:val="24"/>
        </w:rPr>
        <w:t>high mobility of borate ions results in ready leaching of this nutrient from the soil surface layer and becomes unavailable to plants and hence, huge deficiency of available B is noticed in acidic soils</w:t>
      </w:r>
      <w:r>
        <w:rPr>
          <w:rFonts w:ascii="Times New Roman" w:hAnsi="Times New Roman" w:cs="Times New Roman"/>
          <w:sz w:val="24"/>
          <w:szCs w:val="24"/>
        </w:rPr>
        <w:t>”</w:t>
      </w:r>
      <w:r w:rsidR="00EF749F" w:rsidRPr="009655DD">
        <w:rPr>
          <w:rFonts w:ascii="Times New Roman" w:hAnsi="Times New Roman" w:cs="Times New Roman"/>
          <w:sz w:val="24"/>
          <w:szCs w:val="24"/>
        </w:rPr>
        <w:t xml:space="preserve"> (</w:t>
      </w:r>
      <w:proofErr w:type="spellStart"/>
      <w:r w:rsidR="00EF749F" w:rsidRPr="009655DD">
        <w:rPr>
          <w:rFonts w:ascii="Times New Roman" w:hAnsi="Times New Roman" w:cs="Times New Roman"/>
          <w:sz w:val="24"/>
          <w:szCs w:val="24"/>
        </w:rPr>
        <w:t>Katyal</w:t>
      </w:r>
      <w:proofErr w:type="spellEnd"/>
      <w:r w:rsidR="00EF749F" w:rsidRPr="009655DD">
        <w:rPr>
          <w:rFonts w:ascii="Times New Roman" w:hAnsi="Times New Roman" w:cs="Times New Roman"/>
          <w:sz w:val="24"/>
          <w:szCs w:val="24"/>
        </w:rPr>
        <w:t xml:space="preserve"> and Singh, 1992).</w:t>
      </w:r>
    </w:p>
    <w:p w14:paraId="1F83F486" w14:textId="77777777" w:rsidR="00EF749F" w:rsidRPr="009655DD" w:rsidRDefault="00EF749F" w:rsidP="00EF749F">
      <w:pPr>
        <w:spacing w:line="480" w:lineRule="auto"/>
        <w:jc w:val="both"/>
        <w:rPr>
          <w:rFonts w:ascii="Times New Roman" w:hAnsi="Times New Roman"/>
          <w:sz w:val="24"/>
          <w:szCs w:val="24"/>
        </w:rPr>
      </w:pPr>
      <w:r w:rsidRPr="009655DD">
        <w:rPr>
          <w:rFonts w:ascii="Times New Roman" w:hAnsi="Times New Roman" w:cs="Times New Roman"/>
          <w:b/>
          <w:bCs/>
          <w:sz w:val="24"/>
          <w:szCs w:val="24"/>
        </w:rPr>
        <w:t>Biological parameters</w:t>
      </w:r>
    </w:p>
    <w:p w14:paraId="244877FF" w14:textId="0F981C58" w:rsidR="00EF749F" w:rsidRPr="009655DD" w:rsidRDefault="00EF749F" w:rsidP="00EF749F">
      <w:pPr>
        <w:spacing w:after="0" w:line="480" w:lineRule="auto"/>
        <w:ind w:firstLine="720"/>
        <w:jc w:val="both"/>
        <w:rPr>
          <w:rFonts w:ascii="Times New Roman" w:hAnsi="Times New Roman" w:cs="Times New Roman"/>
          <w:sz w:val="24"/>
          <w:szCs w:val="24"/>
        </w:rPr>
      </w:pPr>
      <w:r w:rsidRPr="009655DD">
        <w:rPr>
          <w:rFonts w:ascii="Times New Roman" w:hAnsi="Times New Roman"/>
          <w:sz w:val="24"/>
          <w:szCs w:val="24"/>
        </w:rPr>
        <w:t xml:space="preserve">Soil samples collected from the post flood regions were analysed for biological properties </w:t>
      </w:r>
      <w:r w:rsidRPr="009655DD">
        <w:rPr>
          <w:rFonts w:ascii="Times New Roman" w:hAnsi="Times New Roman"/>
          <w:i/>
          <w:sz w:val="24"/>
          <w:szCs w:val="24"/>
        </w:rPr>
        <w:t>viz</w:t>
      </w:r>
      <w:r w:rsidRPr="009655DD">
        <w:rPr>
          <w:rFonts w:ascii="Times New Roman" w:hAnsi="Times New Roman"/>
          <w:sz w:val="24"/>
          <w:szCs w:val="24"/>
        </w:rPr>
        <w:t xml:space="preserve">., dehydrogenase and acid phosphatase activities. </w:t>
      </w:r>
      <w:r w:rsidRPr="009655DD">
        <w:rPr>
          <w:rFonts w:ascii="Times New Roman" w:hAnsi="Times New Roman" w:cs="Times New Roman"/>
          <w:sz w:val="24"/>
          <w:szCs w:val="24"/>
        </w:rPr>
        <w:t>All the biochemical transformations in soil are dependent on enzyme activities and hence, an assay of enzyme activities was help to assess the soil fertility.</w:t>
      </w:r>
      <w:r w:rsidRPr="009655DD">
        <w:rPr>
          <w:rFonts w:ascii="Times New Roman" w:hAnsi="Times New Roman"/>
          <w:sz w:val="24"/>
          <w:szCs w:val="24"/>
        </w:rPr>
        <w:t xml:space="preserve"> Dehydrogenase activity was ranged from 6.14 - 72.7 µg TPF released g</w:t>
      </w:r>
      <w:r w:rsidRPr="009655DD">
        <w:rPr>
          <w:rFonts w:ascii="Times New Roman" w:hAnsi="Times New Roman"/>
          <w:sz w:val="24"/>
          <w:szCs w:val="24"/>
          <w:vertAlign w:val="superscript"/>
        </w:rPr>
        <w:t>-1</w:t>
      </w:r>
      <w:r w:rsidRPr="009655DD">
        <w:rPr>
          <w:rFonts w:ascii="Times New Roman" w:hAnsi="Times New Roman"/>
          <w:sz w:val="24"/>
          <w:szCs w:val="24"/>
        </w:rPr>
        <w:t xml:space="preserve"> soil 24h</w:t>
      </w:r>
      <w:r w:rsidRPr="009655DD">
        <w:rPr>
          <w:rFonts w:ascii="Times New Roman" w:hAnsi="Times New Roman"/>
          <w:sz w:val="24"/>
          <w:szCs w:val="24"/>
          <w:vertAlign w:val="superscript"/>
        </w:rPr>
        <w:t xml:space="preserve">-1 </w:t>
      </w:r>
      <w:r w:rsidRPr="009655DD">
        <w:rPr>
          <w:rFonts w:ascii="Times New Roman" w:hAnsi="Times New Roman"/>
          <w:sz w:val="24"/>
          <w:szCs w:val="24"/>
        </w:rPr>
        <w:t>with a mean value of 22.5 µg TPF released g</w:t>
      </w:r>
      <w:r w:rsidRPr="009655DD">
        <w:rPr>
          <w:rFonts w:ascii="Times New Roman" w:hAnsi="Times New Roman"/>
          <w:sz w:val="24"/>
          <w:szCs w:val="24"/>
          <w:vertAlign w:val="superscript"/>
        </w:rPr>
        <w:t>-1</w:t>
      </w:r>
      <w:r w:rsidRPr="009655DD">
        <w:rPr>
          <w:rFonts w:ascii="Times New Roman" w:hAnsi="Times New Roman"/>
          <w:sz w:val="24"/>
          <w:szCs w:val="24"/>
        </w:rPr>
        <w:t xml:space="preserve"> soil 24h</w:t>
      </w:r>
      <w:r w:rsidRPr="009655DD">
        <w:rPr>
          <w:rFonts w:ascii="Times New Roman" w:hAnsi="Times New Roman"/>
          <w:sz w:val="24"/>
          <w:szCs w:val="24"/>
          <w:vertAlign w:val="superscript"/>
        </w:rPr>
        <w:t>-</w:t>
      </w:r>
      <w:proofErr w:type="gramStart"/>
      <w:r w:rsidRPr="009655DD">
        <w:rPr>
          <w:rFonts w:ascii="Times New Roman" w:hAnsi="Times New Roman"/>
          <w:sz w:val="24"/>
          <w:szCs w:val="24"/>
          <w:vertAlign w:val="superscript"/>
        </w:rPr>
        <w:t xml:space="preserve">1  </w:t>
      </w:r>
      <w:r w:rsidRPr="009655DD">
        <w:rPr>
          <w:rFonts w:ascii="Times New Roman" w:hAnsi="Times New Roman"/>
          <w:bCs/>
          <w:sz w:val="24"/>
          <w:szCs w:val="24"/>
        </w:rPr>
        <w:t>in</w:t>
      </w:r>
      <w:proofErr w:type="gramEnd"/>
      <w:r w:rsidRPr="009655DD">
        <w:rPr>
          <w:rFonts w:ascii="Times New Roman" w:hAnsi="Times New Roman"/>
          <w:bCs/>
          <w:sz w:val="24"/>
          <w:szCs w:val="24"/>
        </w:rPr>
        <w:t xml:space="preserve"> soil. </w:t>
      </w:r>
      <w:r w:rsidRPr="009655DD">
        <w:rPr>
          <w:rFonts w:ascii="Times New Roman" w:hAnsi="Times New Roman" w:cs="Times New Roman"/>
          <w:sz w:val="24"/>
          <w:szCs w:val="24"/>
        </w:rPr>
        <w:t>All the samples analysed had activity less than 75 µg TPF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24h</w:t>
      </w:r>
      <w:r w:rsidRPr="009655DD">
        <w:rPr>
          <w:rFonts w:ascii="Times New Roman" w:hAnsi="Times New Roman" w:cs="Times New Roman"/>
          <w:sz w:val="24"/>
          <w:szCs w:val="24"/>
          <w:vertAlign w:val="superscript"/>
        </w:rPr>
        <w:t>-1</w:t>
      </w:r>
      <w:r w:rsidRPr="009655DD">
        <w:rPr>
          <w:rFonts w:ascii="Times New Roman" w:hAnsi="Times New Roman" w:cs="Times New Roman"/>
          <w:b/>
        </w:rPr>
        <w:t>(Fig. 11)</w:t>
      </w:r>
      <w:r w:rsidRPr="009655DD">
        <w:rPr>
          <w:rFonts w:ascii="Times New Roman" w:hAnsi="Times New Roman" w:cs="Times New Roman"/>
          <w:sz w:val="24"/>
          <w:szCs w:val="24"/>
        </w:rPr>
        <w:t xml:space="preserve">. The soil dehydrogenase activity was found to be significantly correlated with organic carbon (0.299*) and soil pH (0.404**). Flooding influences oxidation- reduction of the system and thus affects the dehydrogenase activity.  Increase in soil moisture content and temperature around 30˚C stimulates the activity of dehydrogenase (Gu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2009; </w:t>
      </w:r>
      <w:proofErr w:type="spellStart"/>
      <w:r w:rsidRPr="009655DD">
        <w:rPr>
          <w:rFonts w:ascii="Times New Roman" w:hAnsi="Times New Roman" w:cs="Times New Roman"/>
          <w:sz w:val="24"/>
          <w:szCs w:val="24"/>
        </w:rPr>
        <w:t>Furtak</w:t>
      </w:r>
      <w:r w:rsidRPr="009655DD">
        <w:rPr>
          <w:rFonts w:ascii="Times New Roman" w:hAnsi="Times New Roman" w:cs="Times New Roman"/>
          <w:i/>
          <w:sz w:val="24"/>
          <w:szCs w:val="24"/>
        </w:rPr>
        <w:t>et</w:t>
      </w:r>
      <w:proofErr w:type="spellEnd"/>
      <w:r w:rsidRPr="009655DD">
        <w:rPr>
          <w:rFonts w:ascii="Times New Roman" w:hAnsi="Times New Roman" w:cs="Times New Roman"/>
          <w:i/>
          <w:sz w:val="24"/>
          <w:szCs w:val="24"/>
        </w:rPr>
        <w:t xml:space="preserve"> al</w:t>
      </w:r>
      <w:r w:rsidRPr="009655DD">
        <w:rPr>
          <w:rFonts w:ascii="Times New Roman" w:hAnsi="Times New Roman" w:cs="Times New Roman"/>
          <w:sz w:val="24"/>
          <w:szCs w:val="24"/>
        </w:rPr>
        <w:t>., 2020). The mean acid phosphatase activity was 27.4 ± 10.9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41.48 per cent of the soils had activity within the range10-25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56.86 per cent between 25 and 50 and 1.96 per cent &gt;50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b/>
        </w:rPr>
        <w:t xml:space="preserve"> (Fig. 11)</w:t>
      </w:r>
      <w:r w:rsidRPr="009655DD">
        <w:rPr>
          <w:rFonts w:ascii="Times New Roman" w:hAnsi="Times New Roman" w:cs="Times New Roman"/>
          <w:sz w:val="24"/>
          <w:szCs w:val="24"/>
        </w:rPr>
        <w:t xml:space="preserve">. </w:t>
      </w:r>
      <w:r w:rsidR="008820C3">
        <w:rPr>
          <w:rFonts w:ascii="Times New Roman" w:hAnsi="Times New Roman" w:cs="Times New Roman"/>
          <w:sz w:val="24"/>
          <w:szCs w:val="24"/>
        </w:rPr>
        <w:t>“</w:t>
      </w:r>
      <w:r w:rsidRPr="009655DD">
        <w:rPr>
          <w:rFonts w:ascii="Times New Roman" w:hAnsi="Times New Roman" w:cs="Times New Roman"/>
          <w:sz w:val="24"/>
          <w:szCs w:val="24"/>
        </w:rPr>
        <w:t>It gives an indication of P cycling in soil and sensitive to oxygen stress and the activity decreases significantly with water logging, resulting in reduced P availability</w:t>
      </w:r>
      <w:r w:rsidR="008820C3">
        <w:rPr>
          <w:rFonts w:ascii="Times New Roman" w:hAnsi="Times New Roman" w:cs="Times New Roman"/>
          <w:sz w:val="24"/>
          <w:szCs w:val="24"/>
        </w:rPr>
        <w:t>”</w:t>
      </w:r>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Sardans</w:t>
      </w:r>
      <w:proofErr w:type="spellEnd"/>
      <w:r w:rsidRPr="009655DD">
        <w:rPr>
          <w:rFonts w:ascii="Times New Roman" w:hAnsi="Times New Roman" w:cs="Times New Roman"/>
          <w:sz w:val="24"/>
          <w:szCs w:val="24"/>
        </w:rPr>
        <w:t xml:space="preserve"> and Penuelas, 2005; </w:t>
      </w:r>
      <w:proofErr w:type="spellStart"/>
      <w:r w:rsidRPr="009655DD">
        <w:rPr>
          <w:rFonts w:ascii="Times New Roman" w:hAnsi="Times New Roman" w:cs="Times New Roman"/>
          <w:sz w:val="24"/>
          <w:szCs w:val="24"/>
        </w:rPr>
        <w:t>Borowik</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Wyskowska</w:t>
      </w:r>
      <w:proofErr w:type="spellEnd"/>
      <w:r w:rsidRPr="009655DD">
        <w:rPr>
          <w:rFonts w:ascii="Times New Roman" w:hAnsi="Times New Roman" w:cs="Times New Roman"/>
          <w:sz w:val="24"/>
          <w:szCs w:val="24"/>
        </w:rPr>
        <w:t xml:space="preserve">, 2016; Gu </w:t>
      </w:r>
      <w:r w:rsidRPr="009655DD">
        <w:rPr>
          <w:rFonts w:ascii="Times New Roman" w:hAnsi="Times New Roman" w:cs="Times New Roman"/>
          <w:i/>
          <w:sz w:val="24"/>
          <w:szCs w:val="24"/>
        </w:rPr>
        <w:t>et al.</w:t>
      </w:r>
      <w:r w:rsidRPr="009655DD">
        <w:rPr>
          <w:rFonts w:ascii="Times New Roman" w:hAnsi="Times New Roman" w:cs="Times New Roman"/>
          <w:sz w:val="24"/>
          <w:szCs w:val="24"/>
        </w:rPr>
        <w:t>, 2019).</w:t>
      </w:r>
    </w:p>
    <w:p w14:paraId="0B3037C6" w14:textId="77777777" w:rsidR="00EF749F" w:rsidRPr="009655DD" w:rsidRDefault="00EF749F" w:rsidP="00EF749F">
      <w:pPr>
        <w:spacing w:after="0" w:line="480" w:lineRule="auto"/>
        <w:jc w:val="both"/>
        <w:rPr>
          <w:rFonts w:ascii="Times New Roman" w:hAnsi="Times New Roman" w:cs="Times New Roman"/>
          <w:b/>
          <w:bCs/>
          <w:sz w:val="24"/>
          <w:szCs w:val="24"/>
        </w:rPr>
      </w:pPr>
      <w:r w:rsidRPr="009655DD">
        <w:rPr>
          <w:rFonts w:ascii="Times New Roman" w:hAnsi="Times New Roman" w:cs="Times New Roman"/>
          <w:b/>
          <w:bCs/>
          <w:sz w:val="24"/>
          <w:szCs w:val="24"/>
        </w:rPr>
        <w:lastRenderedPageBreak/>
        <w:t>Soil quality index</w:t>
      </w:r>
    </w:p>
    <w:p w14:paraId="53D85B01" w14:textId="77777777" w:rsidR="00EF749F" w:rsidRPr="009655DD" w:rsidRDefault="00EF749F" w:rsidP="00EF749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Soil quality evaluation provides a framework to assess the sustainability of different land use systems and creates an opportunity to redesign land and soil management systems for better agricultural productivity. </w:t>
      </w:r>
      <w:r w:rsidRPr="009655DD">
        <w:rPr>
          <w:rFonts w:ascii="Times New Roman" w:hAnsi="Times New Roman"/>
          <w:sz w:val="24"/>
          <w:szCs w:val="24"/>
        </w:rPr>
        <w:t xml:space="preserve">Principal Component Analysis (PCA) was performed to select the minimum data set (MDS) for assessing soil quality. Soil attributes </w:t>
      </w:r>
      <w:r w:rsidRPr="009655DD">
        <w:rPr>
          <w:rFonts w:ascii="Times New Roman" w:hAnsi="Times New Roman"/>
          <w:i/>
          <w:sz w:val="24"/>
          <w:szCs w:val="24"/>
        </w:rPr>
        <w:t>viz</w:t>
      </w:r>
      <w:r w:rsidRPr="009655DD">
        <w:rPr>
          <w:rFonts w:ascii="Times New Roman" w:hAnsi="Times New Roman"/>
          <w:sz w:val="24"/>
          <w:szCs w:val="24"/>
        </w:rPr>
        <w:t xml:space="preserve">., bulk density, per cent sand, silt and clay, WHC, soil moisture, WSA, pH, EC, OC, available N, P, K, Ca, Mg, S and B, dehydrogenase and acid phosphate activities were considered as vectors for PCA. The </w:t>
      </w:r>
      <w:r w:rsidRPr="009655DD">
        <w:rPr>
          <w:rFonts w:ascii="Times New Roman" w:hAnsi="Times New Roman" w:cs="Times New Roman"/>
          <w:sz w:val="24"/>
          <w:szCs w:val="24"/>
        </w:rPr>
        <w:t xml:space="preserve">attributes selected for MDS </w:t>
      </w:r>
      <w:proofErr w:type="gramStart"/>
      <w:r w:rsidRPr="009655DD">
        <w:rPr>
          <w:rFonts w:ascii="Times New Roman" w:hAnsi="Times New Roman" w:cs="Times New Roman"/>
          <w:sz w:val="24"/>
          <w:szCs w:val="24"/>
        </w:rPr>
        <w:t>include  %</w:t>
      </w:r>
      <w:proofErr w:type="gramEnd"/>
      <w:r w:rsidRPr="009655DD">
        <w:rPr>
          <w:rFonts w:ascii="Times New Roman" w:hAnsi="Times New Roman" w:cs="Times New Roman"/>
          <w:sz w:val="24"/>
          <w:szCs w:val="24"/>
        </w:rPr>
        <w:t xml:space="preserve"> of sand and silt, soil moisture, bulk density, EC, pH, available N, K, Ca, S and B.</w:t>
      </w:r>
    </w:p>
    <w:p w14:paraId="2E28186B" w14:textId="77777777" w:rsidR="00EF749F" w:rsidRPr="009655DD" w:rsidRDefault="00EF749F" w:rsidP="00EF749F">
      <w:pPr>
        <w:tabs>
          <w:tab w:val="left" w:pos="709"/>
        </w:tabs>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 xml:space="preserve">Table 1. Soil quality indicators, weights and scores (Singh </w:t>
      </w:r>
      <w:r w:rsidRPr="009655DD">
        <w:rPr>
          <w:rFonts w:ascii="Times New Roman" w:hAnsi="Times New Roman" w:cs="Times New Roman"/>
          <w:b/>
          <w:i/>
          <w:iCs/>
          <w:sz w:val="24"/>
          <w:szCs w:val="24"/>
        </w:rPr>
        <w:t>et a</w:t>
      </w:r>
      <w:r w:rsidRPr="009655DD">
        <w:rPr>
          <w:rFonts w:ascii="Times New Roman" w:hAnsi="Times New Roman" w:cs="Times New Roman"/>
          <w:b/>
          <w:sz w:val="24"/>
          <w:szCs w:val="24"/>
        </w:rPr>
        <w:t>l., 2017)</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016"/>
        <w:gridCol w:w="1408"/>
        <w:gridCol w:w="2107"/>
        <w:gridCol w:w="2113"/>
        <w:gridCol w:w="1547"/>
      </w:tblGrid>
      <w:tr w:rsidR="009655DD" w:rsidRPr="009655DD" w14:paraId="62622CE3" w14:textId="77777777" w:rsidTr="008F5B46">
        <w:tc>
          <w:tcPr>
            <w:tcW w:w="1590" w:type="dxa"/>
            <w:vAlign w:val="center"/>
          </w:tcPr>
          <w:p w14:paraId="533D9FA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Soil quality indicators</w:t>
            </w:r>
          </w:p>
        </w:tc>
        <w:tc>
          <w:tcPr>
            <w:tcW w:w="1016" w:type="dxa"/>
            <w:vAlign w:val="center"/>
          </w:tcPr>
          <w:p w14:paraId="7E22C14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Weights</w:t>
            </w:r>
          </w:p>
        </w:tc>
        <w:tc>
          <w:tcPr>
            <w:tcW w:w="1408" w:type="dxa"/>
            <w:vAlign w:val="center"/>
          </w:tcPr>
          <w:p w14:paraId="165CB08F"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 with </w:t>
            </w:r>
          </w:p>
          <w:p w14:paraId="7CEE1E9C"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4</w:t>
            </w:r>
          </w:p>
        </w:tc>
        <w:tc>
          <w:tcPr>
            <w:tcW w:w="2107" w:type="dxa"/>
            <w:vAlign w:val="center"/>
          </w:tcPr>
          <w:p w14:paraId="56193D82"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II with </w:t>
            </w:r>
          </w:p>
          <w:p w14:paraId="2159815D"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3</w:t>
            </w:r>
          </w:p>
        </w:tc>
        <w:tc>
          <w:tcPr>
            <w:tcW w:w="2113" w:type="dxa"/>
            <w:vAlign w:val="center"/>
          </w:tcPr>
          <w:p w14:paraId="01C49E29"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III with </w:t>
            </w:r>
          </w:p>
          <w:p w14:paraId="6EF44868"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2</w:t>
            </w:r>
          </w:p>
        </w:tc>
        <w:tc>
          <w:tcPr>
            <w:tcW w:w="1547" w:type="dxa"/>
            <w:vAlign w:val="center"/>
          </w:tcPr>
          <w:p w14:paraId="2C8AC2DC"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Class IV with score 1</w:t>
            </w:r>
          </w:p>
        </w:tc>
      </w:tr>
      <w:tr w:rsidR="009655DD" w:rsidRPr="009655DD" w14:paraId="55BED8A0" w14:textId="77777777" w:rsidTr="008F5B46">
        <w:tc>
          <w:tcPr>
            <w:tcW w:w="1590" w:type="dxa"/>
            <w:vAlign w:val="center"/>
          </w:tcPr>
          <w:p w14:paraId="6B60FECB"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Texture</w:t>
            </w:r>
          </w:p>
        </w:tc>
        <w:tc>
          <w:tcPr>
            <w:tcW w:w="1016" w:type="dxa"/>
            <w:vAlign w:val="center"/>
          </w:tcPr>
          <w:p w14:paraId="031B950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5430FAF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Loam</w:t>
            </w:r>
          </w:p>
        </w:tc>
        <w:tc>
          <w:tcPr>
            <w:tcW w:w="2107" w:type="dxa"/>
            <w:vAlign w:val="center"/>
          </w:tcPr>
          <w:p w14:paraId="7617E1BE"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Clay loam / Sandy loam</w:t>
            </w:r>
          </w:p>
        </w:tc>
        <w:tc>
          <w:tcPr>
            <w:tcW w:w="2113" w:type="dxa"/>
            <w:vAlign w:val="center"/>
          </w:tcPr>
          <w:p w14:paraId="0D3C1FF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Sand/Clay</w:t>
            </w:r>
          </w:p>
        </w:tc>
        <w:tc>
          <w:tcPr>
            <w:tcW w:w="1547" w:type="dxa"/>
            <w:vAlign w:val="center"/>
          </w:tcPr>
          <w:p w14:paraId="56A3674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Grit</w:t>
            </w:r>
          </w:p>
        </w:tc>
      </w:tr>
      <w:tr w:rsidR="009655DD" w:rsidRPr="009655DD" w14:paraId="41FBA52D" w14:textId="77777777" w:rsidTr="008F5B46">
        <w:tc>
          <w:tcPr>
            <w:tcW w:w="1590" w:type="dxa"/>
            <w:vAlign w:val="center"/>
          </w:tcPr>
          <w:p w14:paraId="1589624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proofErr w:type="spellStart"/>
            <w:r w:rsidRPr="009655DD">
              <w:rPr>
                <w:rFonts w:ascii="Times New Roman" w:eastAsia="Times New Roman" w:hAnsi="Times New Roman" w:cs="Times New Roman"/>
                <w:bCs/>
                <w:sz w:val="24"/>
                <w:szCs w:val="24"/>
                <w:lang w:eastAsia="en-IN"/>
              </w:rPr>
              <w:t>Soilmoisture</w:t>
            </w:r>
            <w:proofErr w:type="spellEnd"/>
            <w:r w:rsidRPr="009655DD">
              <w:rPr>
                <w:rFonts w:ascii="Times New Roman" w:eastAsia="Times New Roman" w:hAnsi="Times New Roman" w:cs="Times New Roman"/>
                <w:bCs/>
                <w:sz w:val="24"/>
                <w:szCs w:val="24"/>
                <w:lang w:eastAsia="en-IN"/>
              </w:rPr>
              <w:t xml:space="preserve"> content</w:t>
            </w:r>
          </w:p>
        </w:tc>
        <w:tc>
          <w:tcPr>
            <w:tcW w:w="1016" w:type="dxa"/>
            <w:vAlign w:val="center"/>
          </w:tcPr>
          <w:p w14:paraId="528CADD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79F6D03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30</w:t>
            </w:r>
          </w:p>
        </w:tc>
        <w:tc>
          <w:tcPr>
            <w:tcW w:w="2107" w:type="dxa"/>
            <w:vAlign w:val="center"/>
          </w:tcPr>
          <w:p w14:paraId="0C9F0BD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30 – 40</w:t>
            </w:r>
          </w:p>
        </w:tc>
        <w:tc>
          <w:tcPr>
            <w:tcW w:w="2113" w:type="dxa"/>
            <w:vAlign w:val="center"/>
          </w:tcPr>
          <w:p w14:paraId="4C96687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40-50</w:t>
            </w:r>
          </w:p>
        </w:tc>
        <w:tc>
          <w:tcPr>
            <w:tcW w:w="1547" w:type="dxa"/>
            <w:vAlign w:val="center"/>
          </w:tcPr>
          <w:p w14:paraId="41324E8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50</w:t>
            </w:r>
          </w:p>
        </w:tc>
      </w:tr>
      <w:tr w:rsidR="009655DD" w:rsidRPr="009655DD" w14:paraId="20D00D7E" w14:textId="77777777" w:rsidTr="008F5B46">
        <w:tc>
          <w:tcPr>
            <w:tcW w:w="1590" w:type="dxa"/>
            <w:vAlign w:val="center"/>
          </w:tcPr>
          <w:p w14:paraId="6DFC8D28"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Bulk density</w:t>
            </w:r>
          </w:p>
        </w:tc>
        <w:tc>
          <w:tcPr>
            <w:tcW w:w="1016" w:type="dxa"/>
            <w:vAlign w:val="center"/>
          </w:tcPr>
          <w:p w14:paraId="0CC0214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41C89FD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1.3 - 1.4</w:t>
            </w:r>
          </w:p>
        </w:tc>
        <w:tc>
          <w:tcPr>
            <w:tcW w:w="2107" w:type="dxa"/>
            <w:vAlign w:val="center"/>
          </w:tcPr>
          <w:p w14:paraId="48A8E4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1.2 - 1.3 or 1.4 - 1.5</w:t>
            </w:r>
          </w:p>
        </w:tc>
        <w:tc>
          <w:tcPr>
            <w:tcW w:w="2113" w:type="dxa"/>
            <w:vAlign w:val="center"/>
          </w:tcPr>
          <w:p w14:paraId="12459F5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1.1 - 1.2 or 1.5 - 1.6</w:t>
            </w:r>
          </w:p>
        </w:tc>
        <w:tc>
          <w:tcPr>
            <w:tcW w:w="1547" w:type="dxa"/>
            <w:vAlign w:val="center"/>
          </w:tcPr>
          <w:p w14:paraId="13FE60B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1.1 or &gt;1.6</w:t>
            </w:r>
          </w:p>
        </w:tc>
      </w:tr>
      <w:tr w:rsidR="009655DD" w:rsidRPr="009655DD" w14:paraId="6F6BEC57" w14:textId="77777777" w:rsidTr="008F5B46">
        <w:tc>
          <w:tcPr>
            <w:tcW w:w="1590" w:type="dxa"/>
            <w:vAlign w:val="center"/>
          </w:tcPr>
          <w:p w14:paraId="68A24E2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pH</w:t>
            </w:r>
          </w:p>
        </w:tc>
        <w:tc>
          <w:tcPr>
            <w:tcW w:w="1016" w:type="dxa"/>
            <w:vAlign w:val="center"/>
          </w:tcPr>
          <w:p w14:paraId="359DDF0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w:t>
            </w:r>
          </w:p>
        </w:tc>
        <w:tc>
          <w:tcPr>
            <w:tcW w:w="1408" w:type="dxa"/>
            <w:vAlign w:val="center"/>
          </w:tcPr>
          <w:p w14:paraId="0482D33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6.5 - 7.5</w:t>
            </w:r>
          </w:p>
        </w:tc>
        <w:tc>
          <w:tcPr>
            <w:tcW w:w="2107" w:type="dxa"/>
            <w:vAlign w:val="center"/>
          </w:tcPr>
          <w:p w14:paraId="29EE72A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6 - 6.5 or 7.5-8</w:t>
            </w:r>
          </w:p>
        </w:tc>
        <w:tc>
          <w:tcPr>
            <w:tcW w:w="2113" w:type="dxa"/>
            <w:vAlign w:val="center"/>
          </w:tcPr>
          <w:p w14:paraId="3BB1199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5.5-6 or 8-8.5</w:t>
            </w:r>
          </w:p>
        </w:tc>
        <w:tc>
          <w:tcPr>
            <w:tcW w:w="1547" w:type="dxa"/>
            <w:vAlign w:val="center"/>
          </w:tcPr>
          <w:p w14:paraId="142F235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5.5 or &gt;8.5</w:t>
            </w:r>
          </w:p>
        </w:tc>
      </w:tr>
      <w:tr w:rsidR="009655DD" w:rsidRPr="009655DD" w14:paraId="6FC0969D" w14:textId="77777777" w:rsidTr="008F5B46">
        <w:tc>
          <w:tcPr>
            <w:tcW w:w="1590" w:type="dxa"/>
            <w:vAlign w:val="center"/>
          </w:tcPr>
          <w:p w14:paraId="1A56ABB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EC</w:t>
            </w:r>
          </w:p>
        </w:tc>
        <w:tc>
          <w:tcPr>
            <w:tcW w:w="1016" w:type="dxa"/>
            <w:vAlign w:val="center"/>
          </w:tcPr>
          <w:p w14:paraId="0A0714F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4CBB9D5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&lt;2</w:t>
            </w:r>
          </w:p>
        </w:tc>
        <w:tc>
          <w:tcPr>
            <w:tcW w:w="2107" w:type="dxa"/>
            <w:vAlign w:val="center"/>
          </w:tcPr>
          <w:p w14:paraId="548F33F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2-4</w:t>
            </w:r>
          </w:p>
        </w:tc>
        <w:tc>
          <w:tcPr>
            <w:tcW w:w="2113" w:type="dxa"/>
            <w:vAlign w:val="center"/>
          </w:tcPr>
          <w:p w14:paraId="14C9A17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 – 8</w:t>
            </w:r>
          </w:p>
        </w:tc>
        <w:tc>
          <w:tcPr>
            <w:tcW w:w="1547" w:type="dxa"/>
            <w:vAlign w:val="center"/>
          </w:tcPr>
          <w:p w14:paraId="1644FD9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8 – 16</w:t>
            </w:r>
          </w:p>
        </w:tc>
      </w:tr>
      <w:tr w:rsidR="009655DD" w:rsidRPr="009655DD" w14:paraId="535FC161" w14:textId="77777777" w:rsidTr="008F5B46">
        <w:tc>
          <w:tcPr>
            <w:tcW w:w="1590" w:type="dxa"/>
            <w:vAlign w:val="center"/>
          </w:tcPr>
          <w:p w14:paraId="4A5EF74D"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N</w:t>
            </w:r>
          </w:p>
        </w:tc>
        <w:tc>
          <w:tcPr>
            <w:tcW w:w="1016" w:type="dxa"/>
            <w:vAlign w:val="center"/>
          </w:tcPr>
          <w:p w14:paraId="38421EF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w:t>
            </w:r>
          </w:p>
        </w:tc>
        <w:tc>
          <w:tcPr>
            <w:tcW w:w="1408" w:type="dxa"/>
            <w:vAlign w:val="center"/>
          </w:tcPr>
          <w:p w14:paraId="5BAAA2F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560</w:t>
            </w:r>
          </w:p>
        </w:tc>
        <w:tc>
          <w:tcPr>
            <w:tcW w:w="2107" w:type="dxa"/>
            <w:vAlign w:val="center"/>
          </w:tcPr>
          <w:p w14:paraId="3C3B21F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560 – 420</w:t>
            </w:r>
          </w:p>
        </w:tc>
        <w:tc>
          <w:tcPr>
            <w:tcW w:w="2113" w:type="dxa"/>
            <w:vAlign w:val="center"/>
          </w:tcPr>
          <w:p w14:paraId="4392F61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420 – 280</w:t>
            </w:r>
          </w:p>
        </w:tc>
        <w:tc>
          <w:tcPr>
            <w:tcW w:w="1547" w:type="dxa"/>
            <w:vAlign w:val="center"/>
          </w:tcPr>
          <w:p w14:paraId="77F6D53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280</w:t>
            </w:r>
          </w:p>
        </w:tc>
      </w:tr>
      <w:tr w:rsidR="009655DD" w:rsidRPr="009655DD" w14:paraId="1A7CC064" w14:textId="77777777" w:rsidTr="008F5B46">
        <w:tc>
          <w:tcPr>
            <w:tcW w:w="1590" w:type="dxa"/>
            <w:vAlign w:val="center"/>
          </w:tcPr>
          <w:p w14:paraId="1B8A8ADF"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K</w:t>
            </w:r>
          </w:p>
        </w:tc>
        <w:tc>
          <w:tcPr>
            <w:tcW w:w="1016" w:type="dxa"/>
            <w:vAlign w:val="center"/>
          </w:tcPr>
          <w:p w14:paraId="2CFE3E5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30A970D5"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280</w:t>
            </w:r>
          </w:p>
        </w:tc>
        <w:tc>
          <w:tcPr>
            <w:tcW w:w="2107" w:type="dxa"/>
            <w:vAlign w:val="center"/>
          </w:tcPr>
          <w:p w14:paraId="6F5A793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280-200</w:t>
            </w:r>
          </w:p>
        </w:tc>
        <w:tc>
          <w:tcPr>
            <w:tcW w:w="2113" w:type="dxa"/>
            <w:vAlign w:val="center"/>
          </w:tcPr>
          <w:p w14:paraId="7CE810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200-120</w:t>
            </w:r>
          </w:p>
        </w:tc>
        <w:tc>
          <w:tcPr>
            <w:tcW w:w="1547" w:type="dxa"/>
            <w:vAlign w:val="center"/>
          </w:tcPr>
          <w:p w14:paraId="6DC0DA1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&lt;120</w:t>
            </w:r>
          </w:p>
        </w:tc>
      </w:tr>
      <w:tr w:rsidR="009655DD" w:rsidRPr="009655DD" w14:paraId="03644703" w14:textId="77777777" w:rsidTr="008F5B46">
        <w:tc>
          <w:tcPr>
            <w:tcW w:w="1590" w:type="dxa"/>
            <w:vAlign w:val="center"/>
          </w:tcPr>
          <w:p w14:paraId="3EED69CF"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Ca</w:t>
            </w:r>
          </w:p>
        </w:tc>
        <w:tc>
          <w:tcPr>
            <w:tcW w:w="1016" w:type="dxa"/>
            <w:vAlign w:val="center"/>
          </w:tcPr>
          <w:p w14:paraId="35010DD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047D545E"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&gt;300</w:t>
            </w:r>
          </w:p>
        </w:tc>
        <w:tc>
          <w:tcPr>
            <w:tcW w:w="2107" w:type="dxa"/>
            <w:vAlign w:val="center"/>
          </w:tcPr>
          <w:p w14:paraId="571A4A6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300 – 250</w:t>
            </w:r>
          </w:p>
        </w:tc>
        <w:tc>
          <w:tcPr>
            <w:tcW w:w="2113" w:type="dxa"/>
            <w:vAlign w:val="center"/>
          </w:tcPr>
          <w:p w14:paraId="26A52A5C"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250 -150</w:t>
            </w:r>
          </w:p>
        </w:tc>
        <w:tc>
          <w:tcPr>
            <w:tcW w:w="1547" w:type="dxa"/>
            <w:vAlign w:val="center"/>
          </w:tcPr>
          <w:p w14:paraId="2956D63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&lt;150</w:t>
            </w:r>
          </w:p>
        </w:tc>
      </w:tr>
      <w:tr w:rsidR="009655DD" w:rsidRPr="009655DD" w14:paraId="6F7C0E32" w14:textId="77777777" w:rsidTr="008F5B46">
        <w:tc>
          <w:tcPr>
            <w:tcW w:w="1590" w:type="dxa"/>
            <w:vAlign w:val="center"/>
          </w:tcPr>
          <w:p w14:paraId="3904E175"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S</w:t>
            </w:r>
          </w:p>
        </w:tc>
        <w:tc>
          <w:tcPr>
            <w:tcW w:w="1016" w:type="dxa"/>
            <w:vAlign w:val="center"/>
          </w:tcPr>
          <w:p w14:paraId="0B4A15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341A563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&gt;5.0</w:t>
            </w:r>
          </w:p>
        </w:tc>
        <w:tc>
          <w:tcPr>
            <w:tcW w:w="2107" w:type="dxa"/>
            <w:vAlign w:val="center"/>
          </w:tcPr>
          <w:p w14:paraId="716ADFD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5.0 - 2.0</w:t>
            </w:r>
          </w:p>
        </w:tc>
        <w:tc>
          <w:tcPr>
            <w:tcW w:w="2113" w:type="dxa"/>
            <w:vAlign w:val="center"/>
          </w:tcPr>
          <w:p w14:paraId="2C19FCB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2.0 - 1.0</w:t>
            </w:r>
          </w:p>
        </w:tc>
        <w:tc>
          <w:tcPr>
            <w:tcW w:w="1547" w:type="dxa"/>
            <w:vAlign w:val="center"/>
          </w:tcPr>
          <w:p w14:paraId="7C01E35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1.0</w:t>
            </w:r>
          </w:p>
        </w:tc>
      </w:tr>
      <w:tr w:rsidR="009655DD" w:rsidRPr="009655DD" w14:paraId="316D0480" w14:textId="77777777" w:rsidTr="008F5B46">
        <w:tc>
          <w:tcPr>
            <w:tcW w:w="1590" w:type="dxa"/>
            <w:vAlign w:val="center"/>
          </w:tcPr>
          <w:p w14:paraId="053982FD"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B</w:t>
            </w:r>
          </w:p>
        </w:tc>
        <w:tc>
          <w:tcPr>
            <w:tcW w:w="1016" w:type="dxa"/>
            <w:vAlign w:val="center"/>
          </w:tcPr>
          <w:p w14:paraId="0A62C9E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0AE859E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&gt;1.5</w:t>
            </w:r>
          </w:p>
        </w:tc>
        <w:tc>
          <w:tcPr>
            <w:tcW w:w="2107" w:type="dxa"/>
            <w:vAlign w:val="center"/>
          </w:tcPr>
          <w:p w14:paraId="0ECE4C4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1.5-0.7</w:t>
            </w:r>
          </w:p>
        </w:tc>
        <w:tc>
          <w:tcPr>
            <w:tcW w:w="2113" w:type="dxa"/>
            <w:vAlign w:val="center"/>
          </w:tcPr>
          <w:p w14:paraId="1B51640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0.7-0.5</w:t>
            </w:r>
          </w:p>
        </w:tc>
        <w:tc>
          <w:tcPr>
            <w:tcW w:w="1547" w:type="dxa"/>
            <w:vAlign w:val="center"/>
          </w:tcPr>
          <w:p w14:paraId="1C778D1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&lt;0.5</w:t>
            </w:r>
          </w:p>
        </w:tc>
      </w:tr>
    </w:tbl>
    <w:p w14:paraId="3E52651D" w14:textId="77777777" w:rsidR="00EF749F" w:rsidRPr="009655DD" w:rsidRDefault="00EF749F" w:rsidP="00EF749F">
      <w:pPr>
        <w:spacing w:line="480" w:lineRule="auto"/>
        <w:jc w:val="both"/>
        <w:rPr>
          <w:rFonts w:ascii="Times New Roman" w:hAnsi="Times New Roman" w:cs="Times New Roman"/>
          <w:sz w:val="24"/>
          <w:szCs w:val="24"/>
        </w:rPr>
      </w:pPr>
    </w:p>
    <w:p w14:paraId="79FDCF5D" w14:textId="77777777" w:rsidR="00EF749F" w:rsidRPr="009655DD" w:rsidRDefault="00EF749F" w:rsidP="00EF749F">
      <w:pPr>
        <w:tabs>
          <w:tab w:val="left" w:pos="709"/>
        </w:tabs>
        <w:spacing w:line="480" w:lineRule="auto"/>
        <w:ind w:right="571"/>
        <w:jc w:val="both"/>
        <w:rPr>
          <w:rFonts w:ascii="Times New Roman" w:hAnsi="Times New Roman" w:cs="Times New Roman"/>
          <w:b/>
          <w:bCs/>
          <w:sz w:val="24"/>
          <w:szCs w:val="24"/>
        </w:rPr>
      </w:pPr>
      <w:r w:rsidRPr="009655DD">
        <w:rPr>
          <w:rFonts w:ascii="Times New Roman" w:hAnsi="Times New Roman" w:cs="Times New Roman"/>
          <w:b/>
          <w:bCs/>
          <w:sz w:val="24"/>
          <w:szCs w:val="24"/>
        </w:rPr>
        <w:lastRenderedPageBreak/>
        <w:t xml:space="preserve">Table 2. Soil quality index (SQI) and Relative soil quality index (RSQI) in the post-flood area of AEU </w:t>
      </w:r>
      <w:proofErr w:type="gramStart"/>
      <w:r w:rsidRPr="009655DD">
        <w:rPr>
          <w:rFonts w:ascii="Times New Roman" w:hAnsi="Times New Roman" w:cs="Times New Roman"/>
          <w:b/>
          <w:bCs/>
          <w:sz w:val="24"/>
          <w:szCs w:val="24"/>
        </w:rPr>
        <w:t>9  in</w:t>
      </w:r>
      <w:proofErr w:type="gramEnd"/>
      <w:r w:rsidRPr="009655DD">
        <w:rPr>
          <w:rFonts w:ascii="Times New Roman" w:hAnsi="Times New Roman" w:cs="Times New Roman"/>
          <w:b/>
          <w:bCs/>
          <w:sz w:val="24"/>
          <w:szCs w:val="24"/>
        </w:rPr>
        <w:t xml:space="preserve"> Kottayam district</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20"/>
        <w:gridCol w:w="1424"/>
        <w:gridCol w:w="1710"/>
        <w:gridCol w:w="1551"/>
      </w:tblGrid>
      <w:tr w:rsidR="009655DD" w:rsidRPr="009655DD" w14:paraId="7F9C5A70" w14:textId="77777777" w:rsidTr="004A756B">
        <w:trPr>
          <w:trHeight w:val="300"/>
          <w:jc w:val="center"/>
        </w:trPr>
        <w:tc>
          <w:tcPr>
            <w:tcW w:w="1843" w:type="dxa"/>
            <w:vMerge w:val="restart"/>
            <w:noWrap/>
            <w:vAlign w:val="center"/>
            <w:hideMark/>
          </w:tcPr>
          <w:p w14:paraId="19092E14"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Panchayath</w:t>
            </w:r>
          </w:p>
        </w:tc>
        <w:tc>
          <w:tcPr>
            <w:tcW w:w="3044" w:type="dxa"/>
            <w:gridSpan w:val="2"/>
            <w:noWrap/>
            <w:vAlign w:val="center"/>
            <w:hideMark/>
          </w:tcPr>
          <w:p w14:paraId="10398285" w14:textId="77777777" w:rsidR="00EF749F" w:rsidRPr="009655DD" w:rsidRDefault="00EF749F" w:rsidP="004A756B">
            <w:pPr>
              <w:spacing w:after="0" w:line="480" w:lineRule="auto"/>
              <w:jc w:val="center"/>
              <w:rPr>
                <w:rFonts w:ascii="Times New Roman" w:hAnsi="Times New Roman" w:cs="Times New Roman"/>
                <w:sz w:val="24"/>
                <w:szCs w:val="24"/>
              </w:rPr>
            </w:pPr>
            <w:r w:rsidRPr="009655DD">
              <w:rPr>
                <w:rFonts w:ascii="Times New Roman" w:hAnsi="Times New Roman" w:cs="Times New Roman"/>
                <w:sz w:val="24"/>
                <w:szCs w:val="24"/>
              </w:rPr>
              <w:t>SQI</w:t>
            </w:r>
          </w:p>
        </w:tc>
        <w:tc>
          <w:tcPr>
            <w:tcW w:w="3261" w:type="dxa"/>
            <w:gridSpan w:val="2"/>
            <w:noWrap/>
            <w:vAlign w:val="center"/>
            <w:hideMark/>
          </w:tcPr>
          <w:p w14:paraId="0950E636" w14:textId="77777777" w:rsidR="00EF749F" w:rsidRPr="009655DD" w:rsidRDefault="00EF749F" w:rsidP="004A756B">
            <w:pPr>
              <w:spacing w:after="0" w:line="480" w:lineRule="auto"/>
              <w:jc w:val="center"/>
              <w:rPr>
                <w:rFonts w:ascii="Times New Roman" w:hAnsi="Times New Roman" w:cs="Times New Roman"/>
                <w:sz w:val="24"/>
                <w:szCs w:val="24"/>
              </w:rPr>
            </w:pPr>
            <w:r w:rsidRPr="009655DD">
              <w:rPr>
                <w:rFonts w:ascii="Times New Roman" w:hAnsi="Times New Roman" w:cs="Times New Roman"/>
                <w:sz w:val="24"/>
                <w:szCs w:val="24"/>
              </w:rPr>
              <w:t>RSQI</w:t>
            </w:r>
          </w:p>
        </w:tc>
      </w:tr>
      <w:tr w:rsidR="009655DD" w:rsidRPr="009655DD" w14:paraId="3B68BE5F" w14:textId="77777777" w:rsidTr="004A756B">
        <w:trPr>
          <w:trHeight w:val="300"/>
          <w:jc w:val="center"/>
        </w:trPr>
        <w:tc>
          <w:tcPr>
            <w:tcW w:w="1843" w:type="dxa"/>
            <w:vMerge/>
            <w:vAlign w:val="center"/>
            <w:hideMark/>
          </w:tcPr>
          <w:p w14:paraId="2C467D10" w14:textId="77777777" w:rsidR="00EF749F" w:rsidRPr="009655DD" w:rsidRDefault="00EF749F" w:rsidP="004A756B">
            <w:pPr>
              <w:spacing w:after="0" w:line="480" w:lineRule="auto"/>
              <w:jc w:val="both"/>
              <w:rPr>
                <w:rFonts w:ascii="Times New Roman" w:hAnsi="Times New Roman" w:cs="Times New Roman"/>
                <w:sz w:val="24"/>
                <w:szCs w:val="24"/>
              </w:rPr>
            </w:pPr>
          </w:p>
        </w:tc>
        <w:tc>
          <w:tcPr>
            <w:tcW w:w="1620" w:type="dxa"/>
            <w:noWrap/>
            <w:vAlign w:val="center"/>
            <w:hideMark/>
          </w:tcPr>
          <w:p w14:paraId="2738AAC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Mean ± SD</w:t>
            </w:r>
          </w:p>
        </w:tc>
        <w:tc>
          <w:tcPr>
            <w:tcW w:w="1424" w:type="dxa"/>
            <w:noWrap/>
            <w:vAlign w:val="center"/>
            <w:hideMark/>
          </w:tcPr>
          <w:p w14:paraId="43FB5CB8"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Range</w:t>
            </w:r>
          </w:p>
        </w:tc>
        <w:tc>
          <w:tcPr>
            <w:tcW w:w="1710" w:type="dxa"/>
            <w:noWrap/>
            <w:vAlign w:val="center"/>
            <w:hideMark/>
          </w:tcPr>
          <w:p w14:paraId="1D20D7F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Mean ± SD</w:t>
            </w:r>
          </w:p>
        </w:tc>
        <w:tc>
          <w:tcPr>
            <w:tcW w:w="1551" w:type="dxa"/>
            <w:noWrap/>
            <w:vAlign w:val="center"/>
            <w:hideMark/>
          </w:tcPr>
          <w:p w14:paraId="1008C48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Range</w:t>
            </w:r>
          </w:p>
        </w:tc>
      </w:tr>
      <w:tr w:rsidR="009655DD" w:rsidRPr="009655DD" w14:paraId="08BCB8A8" w14:textId="77777777" w:rsidTr="004A756B">
        <w:trPr>
          <w:trHeight w:val="300"/>
          <w:jc w:val="center"/>
        </w:trPr>
        <w:tc>
          <w:tcPr>
            <w:tcW w:w="1843" w:type="dxa"/>
            <w:noWrap/>
            <w:vAlign w:val="center"/>
            <w:hideMark/>
          </w:tcPr>
          <w:p w14:paraId="3C5C0CFE" w14:textId="77777777" w:rsidR="00EF749F" w:rsidRPr="009655DD" w:rsidRDefault="00EF749F" w:rsidP="00F765F2">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Mutholi</w:t>
            </w:r>
          </w:p>
        </w:tc>
        <w:tc>
          <w:tcPr>
            <w:tcW w:w="1620" w:type="dxa"/>
            <w:noWrap/>
            <w:vAlign w:val="center"/>
            <w:hideMark/>
          </w:tcPr>
          <w:p w14:paraId="326B34E1"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234 ± 21.90</w:t>
            </w:r>
          </w:p>
        </w:tc>
        <w:tc>
          <w:tcPr>
            <w:tcW w:w="1424" w:type="dxa"/>
            <w:noWrap/>
            <w:vAlign w:val="center"/>
            <w:hideMark/>
          </w:tcPr>
          <w:p w14:paraId="55D875F3"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210 - 270</w:t>
            </w:r>
          </w:p>
        </w:tc>
        <w:tc>
          <w:tcPr>
            <w:tcW w:w="1710" w:type="dxa"/>
            <w:noWrap/>
            <w:vAlign w:val="center"/>
            <w:hideMark/>
          </w:tcPr>
          <w:p w14:paraId="6C31DFCA"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58.6 ± 5.50</w:t>
            </w:r>
          </w:p>
        </w:tc>
        <w:tc>
          <w:tcPr>
            <w:tcW w:w="1551" w:type="dxa"/>
            <w:noWrap/>
            <w:vAlign w:val="center"/>
            <w:hideMark/>
          </w:tcPr>
          <w:p w14:paraId="50633388"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52.5 - 67.5</w:t>
            </w:r>
          </w:p>
        </w:tc>
      </w:tr>
      <w:tr w:rsidR="009655DD" w:rsidRPr="009655DD" w14:paraId="78701CA0" w14:textId="77777777" w:rsidTr="004A756B">
        <w:trPr>
          <w:trHeight w:val="300"/>
          <w:jc w:val="center"/>
        </w:trPr>
        <w:tc>
          <w:tcPr>
            <w:tcW w:w="1843" w:type="dxa"/>
            <w:noWrap/>
            <w:vAlign w:val="center"/>
            <w:hideMark/>
          </w:tcPr>
          <w:p w14:paraId="4B04CD1D"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Meenachil</w:t>
            </w:r>
            <w:proofErr w:type="spellEnd"/>
          </w:p>
        </w:tc>
        <w:tc>
          <w:tcPr>
            <w:tcW w:w="1620" w:type="dxa"/>
            <w:noWrap/>
            <w:vAlign w:val="center"/>
            <w:hideMark/>
          </w:tcPr>
          <w:p w14:paraId="123DA15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237 ± 20.70</w:t>
            </w:r>
          </w:p>
        </w:tc>
        <w:tc>
          <w:tcPr>
            <w:tcW w:w="1424" w:type="dxa"/>
            <w:noWrap/>
            <w:vAlign w:val="center"/>
            <w:hideMark/>
          </w:tcPr>
          <w:p w14:paraId="616324E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200 - 265</w:t>
            </w:r>
          </w:p>
        </w:tc>
        <w:tc>
          <w:tcPr>
            <w:tcW w:w="1710" w:type="dxa"/>
            <w:noWrap/>
            <w:vAlign w:val="center"/>
            <w:hideMark/>
          </w:tcPr>
          <w:p w14:paraId="338A8DE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59.4 ± 5.20</w:t>
            </w:r>
          </w:p>
        </w:tc>
        <w:tc>
          <w:tcPr>
            <w:tcW w:w="1551" w:type="dxa"/>
            <w:noWrap/>
            <w:vAlign w:val="center"/>
            <w:hideMark/>
          </w:tcPr>
          <w:p w14:paraId="6572994D"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50.0 - 66.2</w:t>
            </w:r>
          </w:p>
        </w:tc>
      </w:tr>
      <w:tr w:rsidR="009655DD" w:rsidRPr="009655DD" w14:paraId="23C9667E" w14:textId="77777777" w:rsidTr="004A756B">
        <w:trPr>
          <w:trHeight w:val="300"/>
          <w:jc w:val="center"/>
        </w:trPr>
        <w:tc>
          <w:tcPr>
            <w:tcW w:w="1843" w:type="dxa"/>
            <w:noWrap/>
            <w:vAlign w:val="center"/>
            <w:hideMark/>
          </w:tcPr>
          <w:p w14:paraId="0007176C"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Kuravilangadu</w:t>
            </w:r>
            <w:proofErr w:type="spellEnd"/>
          </w:p>
        </w:tc>
        <w:tc>
          <w:tcPr>
            <w:tcW w:w="1620" w:type="dxa"/>
            <w:noWrap/>
            <w:vAlign w:val="center"/>
            <w:hideMark/>
          </w:tcPr>
          <w:p w14:paraId="2B1A2FED"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214 ± 19.00</w:t>
            </w:r>
          </w:p>
        </w:tc>
        <w:tc>
          <w:tcPr>
            <w:tcW w:w="1424" w:type="dxa"/>
            <w:noWrap/>
            <w:vAlign w:val="center"/>
            <w:hideMark/>
          </w:tcPr>
          <w:p w14:paraId="26AD589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195 - 245</w:t>
            </w:r>
          </w:p>
        </w:tc>
        <w:tc>
          <w:tcPr>
            <w:tcW w:w="1710" w:type="dxa"/>
            <w:noWrap/>
            <w:vAlign w:val="center"/>
            <w:hideMark/>
          </w:tcPr>
          <w:p w14:paraId="632C508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53.5 ± 4.76</w:t>
            </w:r>
          </w:p>
        </w:tc>
        <w:tc>
          <w:tcPr>
            <w:tcW w:w="1551" w:type="dxa"/>
            <w:noWrap/>
            <w:vAlign w:val="center"/>
            <w:hideMark/>
          </w:tcPr>
          <w:p w14:paraId="361A234F"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48.7 - 61.2</w:t>
            </w:r>
          </w:p>
        </w:tc>
      </w:tr>
      <w:tr w:rsidR="009655DD" w:rsidRPr="009655DD" w14:paraId="756657C7" w14:textId="77777777" w:rsidTr="004A756B">
        <w:trPr>
          <w:trHeight w:val="300"/>
          <w:jc w:val="center"/>
        </w:trPr>
        <w:tc>
          <w:tcPr>
            <w:tcW w:w="1843" w:type="dxa"/>
            <w:noWrap/>
            <w:vAlign w:val="center"/>
            <w:hideMark/>
          </w:tcPr>
          <w:p w14:paraId="006DAC9F"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Kadaplamattam</w:t>
            </w:r>
            <w:proofErr w:type="spellEnd"/>
          </w:p>
        </w:tc>
        <w:tc>
          <w:tcPr>
            <w:tcW w:w="1620" w:type="dxa"/>
            <w:noWrap/>
            <w:vAlign w:val="center"/>
            <w:hideMark/>
          </w:tcPr>
          <w:p w14:paraId="0A83EFC2"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203 ± 12.40</w:t>
            </w:r>
          </w:p>
        </w:tc>
        <w:tc>
          <w:tcPr>
            <w:tcW w:w="1424" w:type="dxa"/>
            <w:noWrap/>
            <w:vAlign w:val="center"/>
            <w:hideMark/>
          </w:tcPr>
          <w:p w14:paraId="0291AE7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195 - 230</w:t>
            </w:r>
          </w:p>
        </w:tc>
        <w:tc>
          <w:tcPr>
            <w:tcW w:w="1710" w:type="dxa"/>
            <w:noWrap/>
            <w:vAlign w:val="center"/>
            <w:hideMark/>
          </w:tcPr>
          <w:p w14:paraId="29DEA0B3"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50.8 ± 3.12</w:t>
            </w:r>
          </w:p>
        </w:tc>
        <w:tc>
          <w:tcPr>
            <w:tcW w:w="1551" w:type="dxa"/>
            <w:noWrap/>
            <w:vAlign w:val="center"/>
            <w:hideMark/>
          </w:tcPr>
          <w:p w14:paraId="5CC7BB3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48.7 - 57.5</w:t>
            </w:r>
          </w:p>
        </w:tc>
      </w:tr>
      <w:tr w:rsidR="009655DD" w:rsidRPr="009655DD" w14:paraId="35E2F249" w14:textId="77777777" w:rsidTr="004A756B">
        <w:trPr>
          <w:trHeight w:val="300"/>
          <w:jc w:val="center"/>
        </w:trPr>
        <w:tc>
          <w:tcPr>
            <w:tcW w:w="1843" w:type="dxa"/>
            <w:noWrap/>
            <w:vAlign w:val="center"/>
            <w:hideMark/>
          </w:tcPr>
          <w:p w14:paraId="72425C2F"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Marangattupally</w:t>
            </w:r>
            <w:proofErr w:type="spellEnd"/>
          </w:p>
        </w:tc>
        <w:tc>
          <w:tcPr>
            <w:tcW w:w="1620" w:type="dxa"/>
            <w:noWrap/>
            <w:vAlign w:val="center"/>
            <w:hideMark/>
          </w:tcPr>
          <w:p w14:paraId="76D770AE"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248 ± 12.70</w:t>
            </w:r>
          </w:p>
        </w:tc>
        <w:tc>
          <w:tcPr>
            <w:tcW w:w="1424" w:type="dxa"/>
            <w:noWrap/>
            <w:vAlign w:val="center"/>
            <w:hideMark/>
          </w:tcPr>
          <w:p w14:paraId="420ABBEC"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235 - 265</w:t>
            </w:r>
          </w:p>
        </w:tc>
        <w:tc>
          <w:tcPr>
            <w:tcW w:w="1710" w:type="dxa"/>
            <w:noWrap/>
            <w:vAlign w:val="center"/>
            <w:hideMark/>
          </w:tcPr>
          <w:p w14:paraId="30D8183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62.1 ± 3.19</w:t>
            </w:r>
          </w:p>
        </w:tc>
        <w:tc>
          <w:tcPr>
            <w:tcW w:w="1551" w:type="dxa"/>
            <w:noWrap/>
            <w:vAlign w:val="center"/>
            <w:hideMark/>
          </w:tcPr>
          <w:p w14:paraId="6D24BFE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58.7 - 66.2</w:t>
            </w:r>
          </w:p>
        </w:tc>
      </w:tr>
      <w:tr w:rsidR="009655DD" w:rsidRPr="009655DD" w14:paraId="3F61B86A" w14:textId="77777777" w:rsidTr="004A756B">
        <w:trPr>
          <w:trHeight w:val="300"/>
          <w:jc w:val="center"/>
        </w:trPr>
        <w:tc>
          <w:tcPr>
            <w:tcW w:w="1843" w:type="dxa"/>
            <w:noWrap/>
            <w:vAlign w:val="center"/>
            <w:hideMark/>
          </w:tcPr>
          <w:p w14:paraId="5E75AD9D"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Madapally</w:t>
            </w:r>
            <w:proofErr w:type="spellEnd"/>
          </w:p>
        </w:tc>
        <w:tc>
          <w:tcPr>
            <w:tcW w:w="1620" w:type="dxa"/>
            <w:noWrap/>
            <w:vAlign w:val="center"/>
            <w:hideMark/>
          </w:tcPr>
          <w:p w14:paraId="63924AB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217 ± 19.30</w:t>
            </w:r>
          </w:p>
        </w:tc>
        <w:tc>
          <w:tcPr>
            <w:tcW w:w="1424" w:type="dxa"/>
            <w:noWrap/>
            <w:vAlign w:val="center"/>
            <w:hideMark/>
          </w:tcPr>
          <w:p w14:paraId="7E49DAF2"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190 - 250</w:t>
            </w:r>
          </w:p>
        </w:tc>
        <w:tc>
          <w:tcPr>
            <w:tcW w:w="1710" w:type="dxa"/>
            <w:noWrap/>
            <w:vAlign w:val="center"/>
            <w:hideMark/>
          </w:tcPr>
          <w:p w14:paraId="72616F25"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54.4 ± 4.83</w:t>
            </w:r>
          </w:p>
        </w:tc>
        <w:tc>
          <w:tcPr>
            <w:tcW w:w="1551" w:type="dxa"/>
            <w:noWrap/>
            <w:vAlign w:val="center"/>
            <w:hideMark/>
          </w:tcPr>
          <w:p w14:paraId="1EF1DAC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47.5 - 62.5</w:t>
            </w:r>
          </w:p>
        </w:tc>
      </w:tr>
      <w:tr w:rsidR="009655DD" w:rsidRPr="009655DD" w14:paraId="02E4DBF8" w14:textId="77777777" w:rsidTr="004A756B">
        <w:trPr>
          <w:trHeight w:val="300"/>
          <w:jc w:val="center"/>
        </w:trPr>
        <w:tc>
          <w:tcPr>
            <w:tcW w:w="1843" w:type="dxa"/>
            <w:noWrap/>
            <w:vAlign w:val="center"/>
            <w:hideMark/>
          </w:tcPr>
          <w:p w14:paraId="22EC8AFC"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Vakathanam</w:t>
            </w:r>
            <w:proofErr w:type="spellEnd"/>
          </w:p>
        </w:tc>
        <w:tc>
          <w:tcPr>
            <w:tcW w:w="1620" w:type="dxa"/>
            <w:noWrap/>
            <w:vAlign w:val="center"/>
            <w:hideMark/>
          </w:tcPr>
          <w:p w14:paraId="679C9C2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231 ± 33.50</w:t>
            </w:r>
          </w:p>
        </w:tc>
        <w:tc>
          <w:tcPr>
            <w:tcW w:w="1424" w:type="dxa"/>
            <w:noWrap/>
            <w:vAlign w:val="center"/>
            <w:hideMark/>
          </w:tcPr>
          <w:p w14:paraId="7E20076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180 – 290</w:t>
            </w:r>
          </w:p>
        </w:tc>
        <w:tc>
          <w:tcPr>
            <w:tcW w:w="1710" w:type="dxa"/>
            <w:noWrap/>
            <w:vAlign w:val="center"/>
            <w:hideMark/>
          </w:tcPr>
          <w:p w14:paraId="2DC97FFE"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57.8 ± 8.38</w:t>
            </w:r>
          </w:p>
        </w:tc>
        <w:tc>
          <w:tcPr>
            <w:tcW w:w="1551" w:type="dxa"/>
            <w:noWrap/>
            <w:vAlign w:val="center"/>
            <w:hideMark/>
          </w:tcPr>
          <w:p w14:paraId="2640114F"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45.0 - 72.5</w:t>
            </w:r>
          </w:p>
        </w:tc>
      </w:tr>
      <w:tr w:rsidR="00EF749F" w:rsidRPr="009655DD" w14:paraId="5821AE19" w14:textId="77777777" w:rsidTr="004A756B">
        <w:trPr>
          <w:trHeight w:val="300"/>
          <w:jc w:val="center"/>
        </w:trPr>
        <w:tc>
          <w:tcPr>
            <w:tcW w:w="1843" w:type="dxa"/>
            <w:noWrap/>
            <w:vAlign w:val="center"/>
            <w:hideMark/>
          </w:tcPr>
          <w:p w14:paraId="20D76B8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AEU 9</w:t>
            </w:r>
          </w:p>
        </w:tc>
        <w:tc>
          <w:tcPr>
            <w:tcW w:w="1620" w:type="dxa"/>
            <w:noWrap/>
            <w:vAlign w:val="center"/>
            <w:hideMark/>
          </w:tcPr>
          <w:p w14:paraId="0344B08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227 ± 24.50</w:t>
            </w:r>
          </w:p>
        </w:tc>
        <w:tc>
          <w:tcPr>
            <w:tcW w:w="1424" w:type="dxa"/>
            <w:noWrap/>
            <w:vAlign w:val="center"/>
            <w:hideMark/>
          </w:tcPr>
          <w:p w14:paraId="7D34E20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180 – 190</w:t>
            </w:r>
          </w:p>
        </w:tc>
        <w:tc>
          <w:tcPr>
            <w:tcW w:w="1710" w:type="dxa"/>
            <w:noWrap/>
            <w:vAlign w:val="center"/>
            <w:hideMark/>
          </w:tcPr>
          <w:p w14:paraId="70D07FE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56.9 ± 6.10</w:t>
            </w:r>
          </w:p>
        </w:tc>
        <w:tc>
          <w:tcPr>
            <w:tcW w:w="1551" w:type="dxa"/>
            <w:noWrap/>
            <w:vAlign w:val="center"/>
            <w:hideMark/>
          </w:tcPr>
          <w:p w14:paraId="09C7FC2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45.0 - 72.5</w:t>
            </w:r>
          </w:p>
        </w:tc>
      </w:tr>
    </w:tbl>
    <w:p w14:paraId="1F20E2EE" w14:textId="77777777" w:rsidR="00EF749F" w:rsidRPr="009655DD" w:rsidRDefault="00EF749F" w:rsidP="00EF749F">
      <w:pPr>
        <w:tabs>
          <w:tab w:val="left" w:pos="709"/>
        </w:tabs>
        <w:spacing w:after="0" w:line="480" w:lineRule="auto"/>
        <w:jc w:val="both"/>
        <w:rPr>
          <w:rFonts w:ascii="Times New Roman" w:hAnsi="Times New Roman" w:cs="Times New Roman"/>
          <w:b/>
          <w:sz w:val="24"/>
          <w:szCs w:val="24"/>
        </w:rPr>
      </w:pPr>
    </w:p>
    <w:p w14:paraId="4BAE82E0" w14:textId="77777777" w:rsidR="00EF749F" w:rsidRPr="009655DD" w:rsidRDefault="00EF749F" w:rsidP="00EF749F">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 xml:space="preserve">RSQI expresses the change in soil quality of the samples and grouped into poor (RSQI &lt;50), medium 50-70) and poor (&gt;70). The highest soil quality was observed at </w:t>
      </w:r>
      <w:proofErr w:type="spellStart"/>
      <w:r w:rsidRPr="009655DD">
        <w:rPr>
          <w:rFonts w:ascii="Times New Roman" w:hAnsi="Times New Roman" w:cs="Times New Roman"/>
          <w:sz w:val="24"/>
          <w:szCs w:val="24"/>
        </w:rPr>
        <w:t>Marangattupally</w:t>
      </w:r>
      <w:proofErr w:type="spellEnd"/>
      <w:r w:rsidRPr="009655DD">
        <w:rPr>
          <w:rFonts w:ascii="Times New Roman" w:hAnsi="Times New Roman" w:cs="Times New Roman"/>
          <w:sz w:val="24"/>
          <w:szCs w:val="24"/>
        </w:rPr>
        <w:t xml:space="preserve"> panchayat (62.1</w:t>
      </w:r>
      <w:proofErr w:type="gramStart"/>
      <w:r w:rsidRPr="009655DD">
        <w:rPr>
          <w:rFonts w:ascii="Times New Roman" w:hAnsi="Times New Roman" w:cs="Times New Roman"/>
          <w:sz w:val="24"/>
          <w:szCs w:val="24"/>
        </w:rPr>
        <w:t>%)and</w:t>
      </w:r>
      <w:proofErr w:type="gramEnd"/>
      <w:r w:rsidRPr="009655DD">
        <w:rPr>
          <w:rFonts w:ascii="Times New Roman" w:hAnsi="Times New Roman" w:cs="Times New Roman"/>
          <w:sz w:val="24"/>
          <w:szCs w:val="24"/>
        </w:rPr>
        <w:t xml:space="preserve"> lowest was </w:t>
      </w:r>
      <w:proofErr w:type="spellStart"/>
      <w:r w:rsidRPr="009655DD">
        <w:rPr>
          <w:rFonts w:ascii="Times New Roman" w:hAnsi="Times New Roman" w:cs="Times New Roman"/>
          <w:sz w:val="24"/>
          <w:szCs w:val="24"/>
        </w:rPr>
        <w:t>Kuravilangadu</w:t>
      </w:r>
      <w:proofErr w:type="spellEnd"/>
      <w:r w:rsidRPr="009655DD">
        <w:rPr>
          <w:rFonts w:ascii="Times New Roman" w:hAnsi="Times New Roman" w:cs="Times New Roman"/>
          <w:sz w:val="24"/>
          <w:szCs w:val="24"/>
        </w:rPr>
        <w:t xml:space="preserve"> panchayat (53.5 %). Mean RSQI values indicate that post flood soils of selected panchayaths of AEU 9belonged to medium quality (Table 2). Medium soil quality was observed for 78.43 percent of samples, 19.61 per cent of soils were of poor soil quality and 1.96 per cent of good soil quality.</w:t>
      </w:r>
    </w:p>
    <w:p w14:paraId="00DFB0FB" w14:textId="77777777" w:rsidR="00E2352F" w:rsidRPr="009655DD" w:rsidRDefault="00E2352F" w:rsidP="00E2352F">
      <w:pPr>
        <w:spacing w:line="480" w:lineRule="auto"/>
        <w:rPr>
          <w:rFonts w:ascii="Times New Roman" w:hAnsi="Times New Roman" w:cs="Times New Roman"/>
          <w:bCs/>
          <w:sz w:val="24"/>
          <w:szCs w:val="24"/>
        </w:rPr>
      </w:pPr>
      <w:r w:rsidRPr="009655DD">
        <w:rPr>
          <w:rFonts w:ascii="Times New Roman" w:hAnsi="Times New Roman" w:cs="Times New Roman"/>
          <w:b/>
          <w:bCs/>
          <w:sz w:val="24"/>
          <w:szCs w:val="24"/>
        </w:rPr>
        <w:t>Conclusion</w:t>
      </w:r>
    </w:p>
    <w:p w14:paraId="20954C5A" w14:textId="77777777" w:rsidR="00E2352F" w:rsidRPr="009655DD" w:rsidRDefault="00E2352F" w:rsidP="00E2352F">
      <w:pPr>
        <w:spacing w:after="0" w:line="480" w:lineRule="auto"/>
        <w:ind w:firstLine="720"/>
        <w:jc w:val="both"/>
        <w:rPr>
          <w:rFonts w:ascii="Times New Roman" w:hAnsi="Times New Roman" w:cs="Times New Roman"/>
          <w:sz w:val="24"/>
          <w:szCs w:val="24"/>
        </w:rPr>
      </w:pPr>
      <w:r w:rsidRPr="009655DD">
        <w:rPr>
          <w:rFonts w:ascii="Times New Roman" w:hAnsi="Times New Roman"/>
          <w:bCs/>
          <w:sz w:val="24"/>
          <w:szCs w:val="24"/>
        </w:rPr>
        <w:t xml:space="preserve">According to the findings of this study, AEU 9 in the Kottayam region indicated that more than half of the flood-affected soils' bulk density was within the optimal range, with a modest fall in particle density. </w:t>
      </w:r>
      <w:r w:rsidRPr="009655DD">
        <w:rPr>
          <w:rFonts w:ascii="Times New Roman" w:eastAsia="+mn-ea" w:hAnsi="Times New Roman" w:cs="Times New Roman"/>
          <w:sz w:val="24"/>
          <w:szCs w:val="24"/>
        </w:rPr>
        <w:t xml:space="preserve">There is an </w:t>
      </w:r>
      <w:r w:rsidRPr="009655DD">
        <w:rPr>
          <w:rFonts w:ascii="Times New Roman" w:hAnsi="Times New Roman" w:cs="Times New Roman"/>
          <w:sz w:val="24"/>
          <w:szCs w:val="24"/>
        </w:rPr>
        <w:t xml:space="preserve">increase in percentage of samples under moderately acidic range was observed in most of the area. Organic carbon levels were high in around half of the regions. Available N was medium and available S were adequate for most </w:t>
      </w:r>
      <w:r w:rsidRPr="009655DD">
        <w:rPr>
          <w:rFonts w:ascii="Times New Roman" w:hAnsi="Times New Roman" w:cs="Times New Roman"/>
          <w:sz w:val="24"/>
          <w:szCs w:val="24"/>
        </w:rPr>
        <w:lastRenderedPageBreak/>
        <w:t xml:space="preserve">of the area. There was a decrease in available P, adequate level of available Ca </w:t>
      </w:r>
      <w:proofErr w:type="gramStart"/>
      <w:r w:rsidRPr="009655DD">
        <w:rPr>
          <w:rFonts w:ascii="Times New Roman" w:hAnsi="Times New Roman" w:cs="Times New Roman"/>
          <w:sz w:val="24"/>
          <w:szCs w:val="24"/>
        </w:rPr>
        <w:t>and  Mg</w:t>
      </w:r>
      <w:proofErr w:type="gramEnd"/>
      <w:r w:rsidRPr="009655DD">
        <w:rPr>
          <w:rFonts w:ascii="Times New Roman" w:hAnsi="Times New Roman" w:cs="Times New Roman"/>
          <w:sz w:val="24"/>
          <w:szCs w:val="24"/>
        </w:rPr>
        <w:t xml:space="preserve"> was increased. A medium range of acid phosphatase activity was noticed in the region. The overall soil quality of the area was medium quality.</w:t>
      </w:r>
    </w:p>
    <w:p w14:paraId="1A9ED0E5" w14:textId="77777777" w:rsidR="00DA6303" w:rsidRPr="009655DD" w:rsidRDefault="00E2352F" w:rsidP="00DA6303">
      <w:pPr>
        <w:spacing w:after="0"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shd w:val="clear" w:color="auto" w:fill="FFFFFF"/>
        </w:rPr>
        <w:t>Soil acidity stays a major problem in this area even after the</w:t>
      </w:r>
      <w:r w:rsidRPr="009655DD">
        <w:rPr>
          <w:rFonts w:ascii="Times New Roman" w:hAnsi="Times New Roman" w:cs="Times New Roman"/>
          <w:sz w:val="24"/>
          <w:szCs w:val="24"/>
        </w:rPr>
        <w:br/>
      </w:r>
      <w:r w:rsidRPr="009655DD">
        <w:rPr>
          <w:rFonts w:ascii="Times New Roman" w:hAnsi="Times New Roman" w:cs="Times New Roman"/>
          <w:sz w:val="24"/>
          <w:szCs w:val="24"/>
          <w:shd w:val="clear" w:color="auto" w:fill="FFFFFF"/>
        </w:rPr>
        <w:t xml:space="preserve">flood and it needs urgent reclamation measures to restore productivity. </w:t>
      </w:r>
      <w:r w:rsidRPr="009655DD">
        <w:rPr>
          <w:rFonts w:ascii="Times New Roman" w:eastAsia="+mn-ea" w:hAnsi="Times New Roman" w:cs="Times New Roman"/>
          <w:sz w:val="24"/>
          <w:szCs w:val="24"/>
        </w:rPr>
        <w:t xml:space="preserve">The sufficiency of some nutrients might be due to the silt deposition occurred along with flood. The sediment deposition had changed the characteristics of soil. The reduction in overall nutrients indicated that the nutrients might be lost due to flooding. It is necessary to restore the soil even though the soil lies in medium soil quality. </w:t>
      </w:r>
      <w:r w:rsidRPr="009655DD">
        <w:rPr>
          <w:rFonts w:ascii="Times New Roman" w:hAnsi="Times New Roman" w:cs="Times New Roman"/>
          <w:sz w:val="24"/>
          <w:szCs w:val="24"/>
        </w:rPr>
        <w:t>Site specific and nutrient specific management practices are necessary to overcome the changes in soil due to flood. This will make the farmers aware about the changes in soil brought about by the flood and for adopting effective management measures for post flood soil. Therefore, site specific management of soils based on the current nutrient status, cropping system and quality is essential for achieving higher productivity and sustainability.</w:t>
      </w:r>
    </w:p>
    <w:p w14:paraId="59C0A902" w14:textId="77777777" w:rsidR="00965AC1" w:rsidRPr="009655DD" w:rsidRDefault="00965AC1" w:rsidP="00DA6303">
      <w:pPr>
        <w:spacing w:after="0" w:line="240" w:lineRule="auto"/>
        <w:ind w:firstLine="720"/>
        <w:jc w:val="both"/>
        <w:rPr>
          <w:rFonts w:ascii="Times New Roman" w:hAnsi="Times New Roman" w:cs="Times New Roman"/>
          <w:sz w:val="24"/>
          <w:szCs w:val="24"/>
        </w:rPr>
      </w:pPr>
      <w:r w:rsidRPr="009655DD">
        <w:rPr>
          <w:rFonts w:ascii="Times New Roman" w:hAnsi="Times New Roman"/>
          <w:bCs/>
          <w:sz w:val="24"/>
          <w:szCs w:val="24"/>
          <w:lang w:val="en-US"/>
        </w:rPr>
        <w:t>Fig.</w:t>
      </w:r>
      <w:r w:rsidR="00380CF1" w:rsidRPr="009655DD">
        <w:rPr>
          <w:rFonts w:ascii="Times New Roman" w:hAnsi="Times New Roman"/>
          <w:bCs/>
          <w:sz w:val="24"/>
          <w:szCs w:val="24"/>
          <w:lang w:val="en-US"/>
        </w:rPr>
        <w:t>1</w:t>
      </w:r>
      <w:r w:rsidRPr="009655DD">
        <w:rPr>
          <w:rFonts w:ascii="Times New Roman" w:hAnsi="Times New Roman"/>
          <w:bCs/>
          <w:sz w:val="24"/>
          <w:szCs w:val="24"/>
          <w:lang w:val="en-US"/>
        </w:rPr>
        <w:t>. Frequency distribution of bulk density and</w:t>
      </w:r>
      <w:r w:rsidR="005E2DB1" w:rsidRPr="009655DD">
        <w:rPr>
          <w:rFonts w:ascii="Times New Roman" w:hAnsi="Times New Roman"/>
          <w:bCs/>
          <w:sz w:val="24"/>
          <w:szCs w:val="24"/>
          <w:lang w:val="en-US"/>
        </w:rPr>
        <w:t xml:space="preserve"> particle density</w:t>
      </w:r>
      <w:r w:rsidRPr="009655DD">
        <w:rPr>
          <w:rFonts w:ascii="Times New Roman" w:hAnsi="Times New Roman"/>
          <w:bCs/>
          <w:sz w:val="24"/>
          <w:szCs w:val="24"/>
          <w:lang w:val="en-US"/>
        </w:rPr>
        <w:t xml:space="preserve"> in post-flood soils of Kottayam district</w:t>
      </w:r>
    </w:p>
    <w:p w14:paraId="4F20A2AE" w14:textId="77777777" w:rsidR="00F563B6" w:rsidRPr="009655DD" w:rsidRDefault="00965AC1" w:rsidP="00866A0F">
      <w:pPr>
        <w:spacing w:line="480" w:lineRule="auto"/>
        <w:jc w:val="both"/>
        <w:rPr>
          <w:rFonts w:ascii="Times New Roman" w:hAnsi="Times New Roman"/>
          <w:sz w:val="24"/>
          <w:szCs w:val="24"/>
        </w:rPr>
      </w:pPr>
      <w:r w:rsidRPr="009655DD">
        <w:rPr>
          <w:rFonts w:ascii="Times New Roman" w:hAnsi="Times New Roman"/>
          <w:noProof/>
          <w:sz w:val="24"/>
          <w:szCs w:val="24"/>
          <w:lang w:val="en-US"/>
        </w:rPr>
        <w:drawing>
          <wp:inline distT="0" distB="0" distL="0" distR="0" wp14:anchorId="28664542" wp14:editId="767BB112">
            <wp:extent cx="2581275" cy="1847850"/>
            <wp:effectExtent l="0" t="0" r="9525" b="0"/>
            <wp:docPr id="1" name="Chart 1">
              <a:extLst xmlns:a="http://schemas.openxmlformats.org/drawingml/2006/main">
                <a:ext uri="{FF2B5EF4-FFF2-40B4-BE49-F238E27FC236}">
                  <a16:creationId xmlns:a16="http://schemas.microsoft.com/office/drawing/2014/main" id="{199B22F4-A7CD-4C3B-A432-38FA4F863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E2DB1" w:rsidRPr="009655DD">
        <w:rPr>
          <w:rFonts w:ascii="Times New Roman" w:hAnsi="Times New Roman" w:cs="Times New Roman"/>
          <w:noProof/>
          <w:sz w:val="24"/>
          <w:szCs w:val="24"/>
          <w:lang w:val="en-US"/>
        </w:rPr>
        <w:drawing>
          <wp:inline distT="0" distB="0" distL="0" distR="0" wp14:anchorId="0244E3F2" wp14:editId="27E97DAD">
            <wp:extent cx="2552700" cy="1838325"/>
            <wp:effectExtent l="0" t="0" r="0" b="9525"/>
            <wp:docPr id="3" name="Chart 3">
              <a:extLst xmlns:a="http://schemas.openxmlformats.org/drawingml/2006/main">
                <a:ext uri="{FF2B5EF4-FFF2-40B4-BE49-F238E27FC236}">
                  <a16:creationId xmlns:a16="http://schemas.microsoft.com/office/drawing/2014/main" id="{97D88B63-63C5-4062-B9D7-E424121A3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0DD36A" w14:textId="77777777" w:rsidR="00F563B6" w:rsidRPr="009655DD" w:rsidRDefault="00F563B6" w:rsidP="00F31E63">
      <w:pPr>
        <w:spacing w:line="240" w:lineRule="auto"/>
        <w:jc w:val="both"/>
        <w:rPr>
          <w:rFonts w:ascii="Times New Roman" w:hAnsi="Times New Roman"/>
          <w:bCs/>
          <w:sz w:val="24"/>
          <w:szCs w:val="24"/>
        </w:rPr>
      </w:pPr>
      <w:r w:rsidRPr="009655DD">
        <w:rPr>
          <w:noProof/>
          <w:lang w:val="en-US"/>
        </w:rPr>
        <w:drawing>
          <wp:anchor distT="0" distB="0" distL="114300" distR="114300" simplePos="0" relativeHeight="251662336" behindDoc="0" locked="0" layoutInCell="1" allowOverlap="1" wp14:anchorId="4387299F" wp14:editId="33548617">
            <wp:simplePos x="0" y="0"/>
            <wp:positionH relativeFrom="column">
              <wp:posOffset>9525</wp:posOffset>
            </wp:positionH>
            <wp:positionV relativeFrom="paragraph">
              <wp:posOffset>443230</wp:posOffset>
            </wp:positionV>
            <wp:extent cx="5334000" cy="2047875"/>
            <wp:effectExtent l="0" t="0" r="0" b="9525"/>
            <wp:wrapSquare wrapText="bothSides"/>
            <wp:docPr id="48" name="Chart 48">
              <a:extLst xmlns:a="http://schemas.openxmlformats.org/drawingml/2006/main">
                <a:ext uri="{FF2B5EF4-FFF2-40B4-BE49-F238E27FC236}">
                  <a16:creationId xmlns:a16="http://schemas.microsoft.com/office/drawing/2014/main" id="{05635693-45CD-480D-8323-F4950AD37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9655DD">
        <w:rPr>
          <w:rFonts w:ascii="Times New Roman" w:hAnsi="Times New Roman"/>
          <w:bCs/>
          <w:sz w:val="24"/>
          <w:szCs w:val="24"/>
          <w:lang w:val="en-US"/>
        </w:rPr>
        <w:t>Fig.</w:t>
      </w:r>
      <w:r w:rsidR="00380CF1" w:rsidRPr="009655DD">
        <w:rPr>
          <w:rFonts w:ascii="Times New Roman" w:hAnsi="Times New Roman"/>
          <w:bCs/>
          <w:sz w:val="24"/>
          <w:szCs w:val="24"/>
          <w:lang w:val="en-US"/>
        </w:rPr>
        <w:t>2.</w:t>
      </w:r>
      <w:r w:rsidRPr="009655DD">
        <w:rPr>
          <w:rFonts w:ascii="Times New Roman" w:hAnsi="Times New Roman"/>
          <w:bCs/>
          <w:sz w:val="24"/>
          <w:szCs w:val="24"/>
          <w:lang w:val="en-US"/>
        </w:rPr>
        <w:t xml:space="preserve"> Frequency distribution of soil textural classes in post-flood soils of AEU 9 in Kottayam district</w:t>
      </w:r>
    </w:p>
    <w:p w14:paraId="57745A0E" w14:textId="77777777" w:rsidR="00F563B6" w:rsidRPr="009655DD" w:rsidRDefault="00F563B6" w:rsidP="00866A0F">
      <w:pPr>
        <w:spacing w:line="480" w:lineRule="auto"/>
        <w:jc w:val="both"/>
        <w:rPr>
          <w:rFonts w:ascii="Times New Roman" w:hAnsi="Times New Roman"/>
          <w:sz w:val="24"/>
          <w:szCs w:val="24"/>
        </w:rPr>
      </w:pPr>
    </w:p>
    <w:p w14:paraId="25AFAF0B" w14:textId="77777777" w:rsidR="00F563B6" w:rsidRPr="009655DD" w:rsidRDefault="00F563B6" w:rsidP="00866A0F">
      <w:pPr>
        <w:spacing w:line="480" w:lineRule="auto"/>
        <w:jc w:val="both"/>
        <w:rPr>
          <w:rFonts w:ascii="Times New Roman" w:hAnsi="Times New Roman"/>
          <w:sz w:val="24"/>
          <w:szCs w:val="24"/>
        </w:rPr>
      </w:pPr>
    </w:p>
    <w:p w14:paraId="5FDAF84F" w14:textId="77777777" w:rsidR="004442A2" w:rsidRPr="009655DD" w:rsidRDefault="004442A2" w:rsidP="00866A0F">
      <w:pPr>
        <w:spacing w:after="0" w:line="480" w:lineRule="auto"/>
        <w:jc w:val="both"/>
        <w:rPr>
          <w:rFonts w:ascii="Times New Roman" w:hAnsi="Times New Roman"/>
          <w:sz w:val="24"/>
          <w:szCs w:val="24"/>
        </w:rPr>
      </w:pPr>
    </w:p>
    <w:p w14:paraId="6E74DB31" w14:textId="77777777" w:rsidR="00F31E63" w:rsidRPr="009655DD" w:rsidRDefault="00F31E63" w:rsidP="00DA6303">
      <w:pPr>
        <w:spacing w:after="0" w:line="480" w:lineRule="auto"/>
        <w:jc w:val="both"/>
        <w:rPr>
          <w:rFonts w:ascii="Times New Roman" w:hAnsi="Times New Roman" w:cs="Times New Roman"/>
          <w:b/>
          <w:sz w:val="24"/>
          <w:szCs w:val="24"/>
        </w:rPr>
      </w:pPr>
    </w:p>
    <w:p w14:paraId="1409E79B" w14:textId="77777777" w:rsidR="00F31E63" w:rsidRPr="009655DD" w:rsidRDefault="00F31E63" w:rsidP="00DA6303">
      <w:pPr>
        <w:spacing w:after="0" w:line="480" w:lineRule="auto"/>
        <w:jc w:val="both"/>
        <w:rPr>
          <w:rFonts w:ascii="Times New Roman" w:hAnsi="Times New Roman" w:cs="Times New Roman"/>
          <w:b/>
          <w:sz w:val="24"/>
          <w:szCs w:val="24"/>
        </w:rPr>
      </w:pPr>
    </w:p>
    <w:p w14:paraId="5B06E213" w14:textId="77777777" w:rsidR="00611CF3" w:rsidRPr="009655DD" w:rsidRDefault="00611CF3" w:rsidP="00F31E63">
      <w:pPr>
        <w:spacing w:after="0" w:line="240" w:lineRule="auto"/>
        <w:jc w:val="both"/>
        <w:rPr>
          <w:rFonts w:ascii="Times New Roman" w:hAnsi="Times New Roman" w:cs="Times New Roman"/>
          <w:b/>
          <w:sz w:val="24"/>
          <w:szCs w:val="24"/>
        </w:rPr>
      </w:pPr>
    </w:p>
    <w:p w14:paraId="321BD8A8" w14:textId="77777777" w:rsidR="009900FF" w:rsidRPr="009655DD" w:rsidRDefault="009900FF" w:rsidP="00F31E63">
      <w:pPr>
        <w:spacing w:after="0" w:line="240" w:lineRule="auto"/>
        <w:jc w:val="both"/>
        <w:rPr>
          <w:rFonts w:ascii="Times New Roman" w:hAnsi="Times New Roman" w:cs="Times New Roman"/>
          <w:b/>
          <w:sz w:val="20"/>
          <w:szCs w:val="20"/>
        </w:rPr>
      </w:pPr>
      <w:r w:rsidRPr="009655DD">
        <w:rPr>
          <w:rFonts w:ascii="Times New Roman" w:hAnsi="Times New Roman" w:cs="Times New Roman"/>
          <w:b/>
          <w:sz w:val="24"/>
          <w:szCs w:val="24"/>
        </w:rPr>
        <w:t xml:space="preserve">Fig. </w:t>
      </w:r>
      <w:r w:rsidR="00541A0F" w:rsidRPr="009655DD">
        <w:rPr>
          <w:rFonts w:ascii="Times New Roman" w:hAnsi="Times New Roman" w:cs="Times New Roman"/>
          <w:b/>
          <w:sz w:val="24"/>
          <w:szCs w:val="24"/>
        </w:rPr>
        <w:t>3</w:t>
      </w:r>
      <w:r w:rsidRPr="009655DD">
        <w:rPr>
          <w:rFonts w:ascii="Times New Roman" w:hAnsi="Times New Roman" w:cs="Times New Roman"/>
          <w:b/>
          <w:sz w:val="24"/>
          <w:szCs w:val="24"/>
        </w:rPr>
        <w:t>. Frequency distribution of soil moisture content and water holding capacity in post-flood soils of Kottayam district</w:t>
      </w:r>
    </w:p>
    <w:p w14:paraId="71537221" w14:textId="77777777" w:rsidR="00F563B6" w:rsidRPr="009655DD" w:rsidRDefault="00DA6303" w:rsidP="00DA6303">
      <w:pPr>
        <w:spacing w:after="0" w:line="480" w:lineRule="auto"/>
        <w:ind w:right="-524"/>
        <w:jc w:val="both"/>
        <w:rPr>
          <w:rFonts w:ascii="Times New Roman" w:hAnsi="Times New Roman" w:cs="Times New Roman"/>
          <w:sz w:val="24"/>
          <w:szCs w:val="24"/>
        </w:rPr>
      </w:pPr>
      <w:r w:rsidRPr="009655DD">
        <w:rPr>
          <w:noProof/>
          <w:lang w:val="en-US"/>
        </w:rPr>
        <w:drawing>
          <wp:anchor distT="0" distB="0" distL="114300" distR="114300" simplePos="0" relativeHeight="251666432" behindDoc="0" locked="0" layoutInCell="1" allowOverlap="1" wp14:anchorId="4CA8E537" wp14:editId="066E460D">
            <wp:simplePos x="0" y="0"/>
            <wp:positionH relativeFrom="margin">
              <wp:posOffset>2952750</wp:posOffset>
            </wp:positionH>
            <wp:positionV relativeFrom="paragraph">
              <wp:posOffset>40005</wp:posOffset>
            </wp:positionV>
            <wp:extent cx="2621280" cy="1809750"/>
            <wp:effectExtent l="0" t="0" r="7620" b="0"/>
            <wp:wrapSquare wrapText="bothSides"/>
            <wp:docPr id="2" name="Chart 2">
              <a:extLst xmlns:a="http://schemas.openxmlformats.org/drawingml/2006/main">
                <a:ext uri="{FF2B5EF4-FFF2-40B4-BE49-F238E27FC236}">
                  <a16:creationId xmlns:a16="http://schemas.microsoft.com/office/drawing/2014/main" id="{5A69B3FA-868E-4A4D-9C05-D75568C3D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F563B6" w:rsidRPr="009655DD">
        <w:rPr>
          <w:rFonts w:ascii="Times New Roman" w:hAnsi="Times New Roman" w:cs="Times New Roman"/>
          <w:noProof/>
          <w:sz w:val="24"/>
          <w:szCs w:val="24"/>
          <w:lang w:val="en-US"/>
        </w:rPr>
        <w:drawing>
          <wp:inline distT="0" distB="0" distL="0" distR="0" wp14:anchorId="4F8216BF" wp14:editId="4CAF75CD">
            <wp:extent cx="2647950" cy="1800225"/>
            <wp:effectExtent l="0" t="0" r="0" b="9525"/>
            <wp:docPr id="8" name="Chart 8">
              <a:extLst xmlns:a="http://schemas.openxmlformats.org/drawingml/2006/main">
                <a:ext uri="{FF2B5EF4-FFF2-40B4-BE49-F238E27FC236}">
                  <a16:creationId xmlns:a16="http://schemas.microsoft.com/office/drawing/2014/main" id="{B8CD7C1B-73A3-4594-9264-6D818B7BF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4E58AC" w14:textId="77777777" w:rsidR="00F563B6" w:rsidRPr="009655DD" w:rsidRDefault="009C6C57" w:rsidP="00BA3653">
      <w:pPr>
        <w:spacing w:after="0" w:line="240" w:lineRule="auto"/>
        <w:ind w:right="-704"/>
        <w:jc w:val="both"/>
        <w:rPr>
          <w:rFonts w:ascii="Times New Roman" w:hAnsi="Times New Roman" w:cs="Times New Roman"/>
          <w:b/>
          <w:sz w:val="24"/>
          <w:szCs w:val="24"/>
        </w:rPr>
      </w:pPr>
      <w:r w:rsidRPr="009655DD">
        <w:rPr>
          <w:rFonts w:ascii="Times New Roman" w:hAnsi="Times New Roman" w:cs="Times New Roman"/>
          <w:b/>
          <w:sz w:val="24"/>
          <w:szCs w:val="24"/>
        </w:rPr>
        <w:t xml:space="preserve">Fig. </w:t>
      </w:r>
      <w:r w:rsidR="00541A0F" w:rsidRPr="009655DD">
        <w:rPr>
          <w:rFonts w:ascii="Times New Roman" w:hAnsi="Times New Roman" w:cs="Times New Roman"/>
          <w:b/>
          <w:sz w:val="24"/>
          <w:szCs w:val="24"/>
        </w:rPr>
        <w:t>4</w:t>
      </w:r>
      <w:r w:rsidRPr="009655DD">
        <w:rPr>
          <w:rFonts w:ascii="Times New Roman" w:hAnsi="Times New Roman" w:cs="Times New Roman"/>
          <w:b/>
          <w:sz w:val="24"/>
          <w:szCs w:val="24"/>
        </w:rPr>
        <w:t xml:space="preserve">. Frequency distribution of </w:t>
      </w:r>
      <w:r w:rsidR="00AA0F7F" w:rsidRPr="009655DD">
        <w:rPr>
          <w:rFonts w:ascii="Times New Roman" w:hAnsi="Times New Roman" w:cs="Times New Roman"/>
          <w:b/>
          <w:sz w:val="24"/>
          <w:szCs w:val="24"/>
        </w:rPr>
        <w:t>Water stable aggregates (%)</w:t>
      </w:r>
      <w:r w:rsidRPr="009655DD">
        <w:rPr>
          <w:rFonts w:ascii="Times New Roman" w:hAnsi="Times New Roman" w:cs="Times New Roman"/>
          <w:b/>
          <w:sz w:val="24"/>
          <w:szCs w:val="24"/>
        </w:rPr>
        <w:t xml:space="preserve"> in post-flood soils of Kottayam district</w:t>
      </w:r>
    </w:p>
    <w:p w14:paraId="3DAC7B8D" w14:textId="77777777" w:rsidR="00F563B6" w:rsidRPr="009655DD" w:rsidRDefault="00942B09" w:rsidP="00866A0F">
      <w:pPr>
        <w:spacing w:line="480" w:lineRule="auto"/>
        <w:rPr>
          <w:rFonts w:ascii="Times New Roman" w:hAnsi="Times New Roman" w:cs="Times New Roman"/>
          <w:sz w:val="24"/>
          <w:szCs w:val="24"/>
        </w:rPr>
      </w:pPr>
      <w:r w:rsidRPr="009655DD">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02472034" wp14:editId="7DAB1F7D">
            <wp:simplePos x="0" y="0"/>
            <wp:positionH relativeFrom="column">
              <wp:posOffset>1362075</wp:posOffset>
            </wp:positionH>
            <wp:positionV relativeFrom="paragraph">
              <wp:posOffset>9525</wp:posOffset>
            </wp:positionV>
            <wp:extent cx="2609850" cy="1695450"/>
            <wp:effectExtent l="0" t="0" r="0" b="0"/>
            <wp:wrapSquare wrapText="bothSides"/>
            <wp:docPr id="12" name="Chart 12">
              <a:extLst xmlns:a="http://schemas.openxmlformats.org/drawingml/2006/main">
                <a:ext uri="{FF2B5EF4-FFF2-40B4-BE49-F238E27FC236}">
                  <a16:creationId xmlns:a16="http://schemas.microsoft.com/office/drawing/2014/main" id="{792380D5-8989-4D2B-BAFC-D9A8205B4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D0CAB7D" w14:textId="77777777" w:rsidR="00F563B6" w:rsidRPr="009655DD" w:rsidRDefault="00F563B6" w:rsidP="00866A0F">
      <w:pPr>
        <w:spacing w:line="480" w:lineRule="auto"/>
        <w:rPr>
          <w:rFonts w:ascii="Times New Roman" w:hAnsi="Times New Roman" w:cs="Times New Roman"/>
          <w:sz w:val="24"/>
          <w:szCs w:val="24"/>
        </w:rPr>
      </w:pPr>
    </w:p>
    <w:p w14:paraId="0A1B9708" w14:textId="77777777" w:rsidR="00F563B6" w:rsidRPr="009655DD" w:rsidRDefault="00F563B6" w:rsidP="00866A0F">
      <w:pPr>
        <w:spacing w:line="480" w:lineRule="auto"/>
        <w:rPr>
          <w:rFonts w:ascii="Times New Roman" w:hAnsi="Times New Roman" w:cs="Times New Roman"/>
          <w:sz w:val="24"/>
          <w:szCs w:val="24"/>
        </w:rPr>
      </w:pPr>
    </w:p>
    <w:p w14:paraId="5F7DBF5B" w14:textId="77777777" w:rsidR="00F563B6" w:rsidRPr="009655DD" w:rsidRDefault="00F563B6" w:rsidP="00866A0F">
      <w:pPr>
        <w:spacing w:line="480" w:lineRule="auto"/>
        <w:rPr>
          <w:rFonts w:ascii="Times New Roman" w:hAnsi="Times New Roman" w:cs="Times New Roman"/>
          <w:sz w:val="24"/>
          <w:szCs w:val="24"/>
        </w:rPr>
      </w:pPr>
    </w:p>
    <w:p w14:paraId="762301C3" w14:textId="77777777" w:rsidR="00611CF3" w:rsidRPr="009655DD" w:rsidRDefault="00611CF3" w:rsidP="00BA3653">
      <w:pPr>
        <w:spacing w:line="240" w:lineRule="auto"/>
        <w:jc w:val="both"/>
        <w:rPr>
          <w:rFonts w:ascii="Times New Roman" w:hAnsi="Times New Roman"/>
          <w:b/>
          <w:bCs/>
          <w:sz w:val="24"/>
          <w:szCs w:val="24"/>
          <w:lang w:val="en-US"/>
        </w:rPr>
      </w:pPr>
    </w:p>
    <w:p w14:paraId="380791C6" w14:textId="77777777" w:rsidR="00611CF3" w:rsidRPr="009655DD" w:rsidRDefault="00611CF3" w:rsidP="00BA3653">
      <w:pPr>
        <w:spacing w:line="240" w:lineRule="auto"/>
        <w:jc w:val="both"/>
        <w:rPr>
          <w:rFonts w:ascii="Times New Roman" w:hAnsi="Times New Roman"/>
          <w:b/>
          <w:bCs/>
          <w:sz w:val="24"/>
          <w:szCs w:val="24"/>
          <w:lang w:val="en-US"/>
        </w:rPr>
      </w:pPr>
    </w:p>
    <w:p w14:paraId="15701D31" w14:textId="77777777" w:rsidR="00611CF3" w:rsidRPr="009655DD" w:rsidRDefault="00611CF3" w:rsidP="00BA3653">
      <w:pPr>
        <w:spacing w:line="240" w:lineRule="auto"/>
        <w:jc w:val="both"/>
        <w:rPr>
          <w:rFonts w:ascii="Times New Roman" w:hAnsi="Times New Roman"/>
          <w:b/>
          <w:bCs/>
          <w:sz w:val="24"/>
          <w:szCs w:val="24"/>
          <w:lang w:val="en-US"/>
        </w:rPr>
      </w:pPr>
    </w:p>
    <w:p w14:paraId="091CA67D" w14:textId="77777777" w:rsidR="00611CF3" w:rsidRPr="009655DD" w:rsidRDefault="00611CF3" w:rsidP="00BA3653">
      <w:pPr>
        <w:spacing w:line="240" w:lineRule="auto"/>
        <w:jc w:val="both"/>
        <w:rPr>
          <w:rFonts w:ascii="Times New Roman" w:hAnsi="Times New Roman"/>
          <w:b/>
          <w:bCs/>
          <w:sz w:val="24"/>
          <w:szCs w:val="24"/>
          <w:lang w:val="en-US"/>
        </w:rPr>
      </w:pPr>
    </w:p>
    <w:p w14:paraId="2B2BBA0A" w14:textId="77777777" w:rsidR="00611CF3" w:rsidRPr="009655DD" w:rsidRDefault="00611CF3" w:rsidP="00BA3653">
      <w:pPr>
        <w:spacing w:line="240" w:lineRule="auto"/>
        <w:jc w:val="both"/>
        <w:rPr>
          <w:rFonts w:ascii="Times New Roman" w:hAnsi="Times New Roman"/>
          <w:b/>
          <w:bCs/>
          <w:sz w:val="24"/>
          <w:szCs w:val="24"/>
          <w:lang w:val="en-US"/>
        </w:rPr>
      </w:pPr>
    </w:p>
    <w:p w14:paraId="478CE70D" w14:textId="77777777" w:rsidR="00611CF3" w:rsidRPr="009655DD" w:rsidRDefault="00611CF3" w:rsidP="00BA3653">
      <w:pPr>
        <w:spacing w:line="240" w:lineRule="auto"/>
        <w:jc w:val="both"/>
        <w:rPr>
          <w:rFonts w:ascii="Times New Roman" w:hAnsi="Times New Roman"/>
          <w:b/>
          <w:bCs/>
          <w:sz w:val="24"/>
          <w:szCs w:val="24"/>
          <w:lang w:val="en-US"/>
        </w:rPr>
      </w:pPr>
    </w:p>
    <w:p w14:paraId="0388BA43" w14:textId="77777777" w:rsidR="001E2D74" w:rsidRPr="009655DD" w:rsidRDefault="001E2D74" w:rsidP="00BA3653">
      <w:pPr>
        <w:spacing w:line="240" w:lineRule="auto"/>
        <w:jc w:val="both"/>
        <w:rPr>
          <w:rFonts w:ascii="Times New Roman" w:hAnsi="Times New Roman"/>
          <w:b/>
          <w:bCs/>
          <w:sz w:val="24"/>
          <w:szCs w:val="24"/>
          <w:lang w:val="en-US"/>
        </w:rPr>
      </w:pPr>
      <w:r w:rsidRPr="009655DD">
        <w:rPr>
          <w:rFonts w:ascii="Times New Roman" w:hAnsi="Times New Roman"/>
          <w:b/>
          <w:bCs/>
          <w:sz w:val="24"/>
          <w:szCs w:val="24"/>
          <w:lang w:val="en-US"/>
        </w:rPr>
        <w:t>Fig.</w:t>
      </w:r>
      <w:r w:rsidR="00174B8D" w:rsidRPr="009655DD">
        <w:rPr>
          <w:rFonts w:ascii="Times New Roman" w:hAnsi="Times New Roman"/>
          <w:b/>
          <w:bCs/>
          <w:sz w:val="24"/>
          <w:szCs w:val="24"/>
          <w:lang w:val="en-US"/>
        </w:rPr>
        <w:t>5</w:t>
      </w:r>
      <w:r w:rsidRPr="009655DD">
        <w:rPr>
          <w:rFonts w:ascii="Times New Roman" w:hAnsi="Times New Roman"/>
          <w:b/>
          <w:bCs/>
          <w:sz w:val="24"/>
          <w:szCs w:val="24"/>
          <w:lang w:val="en-US"/>
        </w:rPr>
        <w:t>. Frequency distribution of pH of post-flood affected soils of AEU 9 in Kottayam district</w:t>
      </w:r>
    </w:p>
    <w:p w14:paraId="2F5E5C54" w14:textId="77777777" w:rsidR="001E2D74" w:rsidRPr="009655DD" w:rsidRDefault="001E2D74" w:rsidP="00866A0F">
      <w:pPr>
        <w:spacing w:line="480" w:lineRule="auto"/>
        <w:jc w:val="both"/>
        <w:rPr>
          <w:rFonts w:ascii="Times New Roman" w:hAnsi="Times New Roman"/>
          <w:sz w:val="24"/>
          <w:szCs w:val="24"/>
          <w:lang w:val="en-US"/>
        </w:rPr>
      </w:pPr>
      <w:r w:rsidRPr="009655DD">
        <w:rPr>
          <w:rFonts w:ascii="Times New Roman" w:hAnsi="Times New Roman"/>
          <w:noProof/>
          <w:sz w:val="24"/>
          <w:szCs w:val="24"/>
          <w:lang w:val="en-US"/>
        </w:rPr>
        <w:lastRenderedPageBreak/>
        <w:drawing>
          <wp:inline distT="0" distB="0" distL="0" distR="0" wp14:anchorId="28E3EBE2" wp14:editId="4ADD160B">
            <wp:extent cx="5295900" cy="2466975"/>
            <wp:effectExtent l="0" t="0" r="0" b="9525"/>
            <wp:docPr id="16" name="Chart 16">
              <a:extLst xmlns:a="http://schemas.openxmlformats.org/drawingml/2006/main">
                <a:ext uri="{FF2B5EF4-FFF2-40B4-BE49-F238E27FC236}">
                  <a16:creationId xmlns:a16="http://schemas.microsoft.com/office/drawing/2014/main" id="{79EB9006-7721-4A40-B4EF-3E4755425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8E100" w14:textId="77777777" w:rsidR="00611CF3" w:rsidRPr="009655DD" w:rsidRDefault="00611CF3" w:rsidP="00611CF3">
      <w:pPr>
        <w:spacing w:line="480" w:lineRule="auto"/>
        <w:jc w:val="both"/>
        <w:rPr>
          <w:rFonts w:ascii="Times New Roman" w:hAnsi="Times New Roman"/>
          <w:sz w:val="24"/>
          <w:szCs w:val="24"/>
        </w:rPr>
      </w:pPr>
    </w:p>
    <w:p w14:paraId="39AC98B7" w14:textId="77777777" w:rsidR="001E2D74" w:rsidRPr="009655DD" w:rsidRDefault="00BA3653" w:rsidP="00611CF3">
      <w:pPr>
        <w:spacing w:line="480" w:lineRule="auto"/>
        <w:jc w:val="both"/>
        <w:rPr>
          <w:rFonts w:ascii="Times New Roman" w:hAnsi="Times New Roman"/>
          <w:sz w:val="24"/>
          <w:szCs w:val="24"/>
        </w:rPr>
      </w:pPr>
      <w:r w:rsidRPr="009655DD">
        <w:rPr>
          <w:noProof/>
          <w:lang w:val="en-US"/>
        </w:rPr>
        <w:drawing>
          <wp:anchor distT="0" distB="0" distL="114300" distR="114300" simplePos="0" relativeHeight="251671552" behindDoc="0" locked="0" layoutInCell="1" allowOverlap="1" wp14:anchorId="1EA36EC7" wp14:editId="7EDD8668">
            <wp:simplePos x="0" y="0"/>
            <wp:positionH relativeFrom="column">
              <wp:posOffset>2581275</wp:posOffset>
            </wp:positionH>
            <wp:positionV relativeFrom="paragraph">
              <wp:posOffset>409575</wp:posOffset>
            </wp:positionV>
            <wp:extent cx="2566670" cy="1866900"/>
            <wp:effectExtent l="0" t="0" r="5080" b="0"/>
            <wp:wrapSquare wrapText="bothSides"/>
            <wp:docPr id="21" name="Chart 21">
              <a:extLst xmlns:a="http://schemas.openxmlformats.org/drawingml/2006/main">
                <a:ext uri="{FF2B5EF4-FFF2-40B4-BE49-F238E27FC236}">
                  <a16:creationId xmlns:a16="http://schemas.microsoft.com/office/drawing/2014/main" id="{03150BD6-0982-4B9D-B35F-CB7862828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655DD">
        <w:rPr>
          <w:noProof/>
          <w:lang w:val="en-US"/>
        </w:rPr>
        <w:drawing>
          <wp:anchor distT="0" distB="0" distL="114300" distR="114300" simplePos="0" relativeHeight="251670528" behindDoc="0" locked="0" layoutInCell="1" allowOverlap="1" wp14:anchorId="137A33E1" wp14:editId="5224E806">
            <wp:simplePos x="0" y="0"/>
            <wp:positionH relativeFrom="margin">
              <wp:posOffset>0</wp:posOffset>
            </wp:positionH>
            <wp:positionV relativeFrom="paragraph">
              <wp:posOffset>409575</wp:posOffset>
            </wp:positionV>
            <wp:extent cx="2310130" cy="1866900"/>
            <wp:effectExtent l="0" t="0" r="13970" b="0"/>
            <wp:wrapSquare wrapText="bothSides"/>
            <wp:docPr id="18" name="Chart 18">
              <a:extLst xmlns:a="http://schemas.openxmlformats.org/drawingml/2006/main">
                <a:ext uri="{FF2B5EF4-FFF2-40B4-BE49-F238E27FC236}">
                  <a16:creationId xmlns:a16="http://schemas.microsoft.com/office/drawing/2014/main" id="{4906E6FC-32E5-4658-8BDC-CFDBCAC89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1E2D74" w:rsidRPr="009655DD">
        <w:rPr>
          <w:rFonts w:ascii="Times New Roman" w:hAnsi="Times New Roman"/>
          <w:bCs/>
          <w:sz w:val="24"/>
          <w:szCs w:val="24"/>
          <w:lang w:val="en-US"/>
        </w:rPr>
        <w:t>Fig.</w:t>
      </w:r>
      <w:r w:rsidR="00174B8D" w:rsidRPr="009655DD">
        <w:rPr>
          <w:rFonts w:ascii="Times New Roman" w:hAnsi="Times New Roman"/>
          <w:bCs/>
          <w:sz w:val="24"/>
          <w:szCs w:val="24"/>
          <w:lang w:val="en-US"/>
        </w:rPr>
        <w:t>6</w:t>
      </w:r>
      <w:r w:rsidR="001E2D74" w:rsidRPr="009655DD">
        <w:rPr>
          <w:rFonts w:ascii="Times New Roman" w:hAnsi="Times New Roman"/>
          <w:bCs/>
          <w:sz w:val="24"/>
          <w:szCs w:val="24"/>
          <w:lang w:val="en-US"/>
        </w:rPr>
        <w:t>. Frequency distribution of EC (dSm</w:t>
      </w:r>
      <w:r w:rsidR="001E2D74" w:rsidRPr="009655DD">
        <w:rPr>
          <w:rFonts w:ascii="Times New Roman" w:hAnsi="Times New Roman"/>
          <w:bCs/>
          <w:sz w:val="24"/>
          <w:szCs w:val="24"/>
          <w:vertAlign w:val="superscript"/>
          <w:lang w:val="en-US"/>
        </w:rPr>
        <w:t>-1</w:t>
      </w:r>
      <w:r w:rsidR="001E2D74" w:rsidRPr="009655DD">
        <w:rPr>
          <w:rFonts w:ascii="Times New Roman" w:hAnsi="Times New Roman"/>
          <w:bCs/>
          <w:sz w:val="24"/>
          <w:szCs w:val="24"/>
          <w:lang w:val="en-US"/>
        </w:rPr>
        <w:t xml:space="preserve">) and OC (%) in post-flood soils </w:t>
      </w:r>
      <w:proofErr w:type="gramStart"/>
      <w:r w:rsidR="001E2D74" w:rsidRPr="009655DD">
        <w:rPr>
          <w:rFonts w:ascii="Times New Roman" w:hAnsi="Times New Roman"/>
          <w:bCs/>
          <w:sz w:val="24"/>
          <w:szCs w:val="24"/>
          <w:lang w:val="en-US"/>
        </w:rPr>
        <w:t xml:space="preserve">of  </w:t>
      </w:r>
      <w:proofErr w:type="spellStart"/>
      <w:r w:rsidR="001E2D74" w:rsidRPr="009655DD">
        <w:rPr>
          <w:rFonts w:ascii="Times New Roman" w:hAnsi="Times New Roman"/>
          <w:bCs/>
          <w:sz w:val="24"/>
          <w:szCs w:val="24"/>
          <w:lang w:val="en-US"/>
        </w:rPr>
        <w:t>Kottayamdistrict</w:t>
      </w:r>
      <w:proofErr w:type="spellEnd"/>
      <w:proofErr w:type="gramEnd"/>
    </w:p>
    <w:p w14:paraId="2D6B648C" w14:textId="77777777" w:rsidR="00F563B6" w:rsidRPr="009655DD" w:rsidRDefault="00F563B6" w:rsidP="00866A0F">
      <w:pPr>
        <w:spacing w:line="480" w:lineRule="auto"/>
        <w:rPr>
          <w:rFonts w:ascii="Times New Roman" w:hAnsi="Times New Roman" w:cs="Times New Roman"/>
          <w:sz w:val="24"/>
          <w:szCs w:val="24"/>
        </w:rPr>
      </w:pPr>
    </w:p>
    <w:p w14:paraId="0BFD0DF4" w14:textId="77777777" w:rsidR="004B5599" w:rsidRPr="009655DD" w:rsidRDefault="004B5599" w:rsidP="00866A0F">
      <w:pPr>
        <w:spacing w:line="480" w:lineRule="auto"/>
        <w:rPr>
          <w:rFonts w:ascii="Times New Roman" w:hAnsi="Times New Roman" w:cs="Times New Roman"/>
          <w:sz w:val="24"/>
          <w:szCs w:val="24"/>
        </w:rPr>
      </w:pPr>
    </w:p>
    <w:p w14:paraId="060CFADF" w14:textId="77777777" w:rsidR="004B5599" w:rsidRPr="009655DD" w:rsidRDefault="004B5599" w:rsidP="00866A0F">
      <w:pPr>
        <w:spacing w:line="480" w:lineRule="auto"/>
        <w:rPr>
          <w:rFonts w:ascii="Times New Roman" w:hAnsi="Times New Roman" w:cs="Times New Roman"/>
          <w:sz w:val="24"/>
          <w:szCs w:val="24"/>
        </w:rPr>
      </w:pPr>
    </w:p>
    <w:p w14:paraId="3B00FD73" w14:textId="77777777" w:rsidR="004B5599" w:rsidRPr="009655DD" w:rsidRDefault="004B5599" w:rsidP="00866A0F">
      <w:pPr>
        <w:spacing w:line="480" w:lineRule="auto"/>
        <w:rPr>
          <w:rFonts w:ascii="Times New Roman" w:hAnsi="Times New Roman" w:cs="Times New Roman"/>
          <w:sz w:val="24"/>
          <w:szCs w:val="24"/>
        </w:rPr>
      </w:pPr>
    </w:p>
    <w:p w14:paraId="300806B6" w14:textId="77777777" w:rsidR="00BA3653" w:rsidRPr="009655DD" w:rsidRDefault="00BA3653" w:rsidP="00BA3653">
      <w:pPr>
        <w:spacing w:line="240" w:lineRule="auto"/>
        <w:ind w:right="-31"/>
        <w:jc w:val="both"/>
        <w:rPr>
          <w:rFonts w:ascii="Times New Roman" w:hAnsi="Times New Roman" w:cs="Times New Roman"/>
          <w:sz w:val="24"/>
          <w:szCs w:val="24"/>
        </w:rPr>
      </w:pPr>
    </w:p>
    <w:p w14:paraId="3EF6371A" w14:textId="77777777" w:rsidR="004B5599" w:rsidRPr="009655DD" w:rsidRDefault="00BA3653" w:rsidP="00BA3653">
      <w:pPr>
        <w:spacing w:line="240" w:lineRule="auto"/>
        <w:ind w:right="-31"/>
        <w:jc w:val="both"/>
        <w:rPr>
          <w:rFonts w:ascii="Times New Roman" w:hAnsi="Times New Roman"/>
          <w:bCs/>
          <w:sz w:val="24"/>
          <w:szCs w:val="24"/>
          <w:lang w:val="en-US"/>
        </w:rPr>
      </w:pPr>
      <w:r w:rsidRPr="009655DD">
        <w:rPr>
          <w:noProof/>
          <w:lang w:val="en-US"/>
        </w:rPr>
        <w:lastRenderedPageBreak/>
        <w:drawing>
          <wp:anchor distT="0" distB="0" distL="114300" distR="114300" simplePos="0" relativeHeight="251674624" behindDoc="0" locked="0" layoutInCell="1" allowOverlap="1" wp14:anchorId="6CE60B3D" wp14:editId="504A13ED">
            <wp:simplePos x="0" y="0"/>
            <wp:positionH relativeFrom="column">
              <wp:posOffset>3057525</wp:posOffset>
            </wp:positionH>
            <wp:positionV relativeFrom="paragraph">
              <wp:posOffset>253365</wp:posOffset>
            </wp:positionV>
            <wp:extent cx="2462530" cy="2076450"/>
            <wp:effectExtent l="0" t="0" r="13970" b="0"/>
            <wp:wrapSquare wrapText="bothSides"/>
            <wp:docPr id="26" name="Chart 26">
              <a:extLst xmlns:a="http://schemas.openxmlformats.org/drawingml/2006/main">
                <a:ext uri="{FF2B5EF4-FFF2-40B4-BE49-F238E27FC236}">
                  <a16:creationId xmlns:a16="http://schemas.microsoft.com/office/drawing/2014/main" id="{2EF12138-B423-4289-838F-7F0D10BC5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9655DD">
        <w:rPr>
          <w:noProof/>
          <w:lang w:val="en-US"/>
        </w:rPr>
        <w:drawing>
          <wp:anchor distT="0" distB="0" distL="114300" distR="114300" simplePos="0" relativeHeight="251673600" behindDoc="0" locked="0" layoutInCell="1" allowOverlap="1" wp14:anchorId="44EB532C" wp14:editId="12E2A44A">
            <wp:simplePos x="0" y="0"/>
            <wp:positionH relativeFrom="column">
              <wp:posOffset>0</wp:posOffset>
            </wp:positionH>
            <wp:positionV relativeFrom="paragraph">
              <wp:posOffset>253365</wp:posOffset>
            </wp:positionV>
            <wp:extent cx="2853055" cy="2076450"/>
            <wp:effectExtent l="0" t="0" r="4445" b="0"/>
            <wp:wrapSquare wrapText="bothSides"/>
            <wp:docPr id="20" name="Chart 20">
              <a:extLst xmlns:a="http://schemas.openxmlformats.org/drawingml/2006/main">
                <a:ext uri="{FF2B5EF4-FFF2-40B4-BE49-F238E27FC236}">
                  <a16:creationId xmlns:a16="http://schemas.microsoft.com/office/drawing/2014/main" id="{4FA1197C-A8A1-4C34-B9C0-A4C9171A1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4B5599" w:rsidRPr="009655DD">
        <w:rPr>
          <w:rFonts w:ascii="Times New Roman" w:hAnsi="Times New Roman"/>
          <w:bCs/>
          <w:sz w:val="24"/>
          <w:szCs w:val="24"/>
        </w:rPr>
        <w:t xml:space="preserve">Fig. </w:t>
      </w:r>
      <w:r w:rsidR="00174B8D" w:rsidRPr="009655DD">
        <w:rPr>
          <w:rFonts w:ascii="Times New Roman" w:hAnsi="Times New Roman"/>
          <w:bCs/>
          <w:sz w:val="24"/>
          <w:szCs w:val="24"/>
        </w:rPr>
        <w:t>7</w:t>
      </w:r>
      <w:r w:rsidR="004B5599" w:rsidRPr="009655DD">
        <w:rPr>
          <w:rFonts w:ascii="Times New Roman" w:hAnsi="Times New Roman"/>
          <w:bCs/>
          <w:sz w:val="24"/>
          <w:szCs w:val="24"/>
        </w:rPr>
        <w:t xml:space="preserve">. </w:t>
      </w:r>
      <w:r w:rsidR="004B5599" w:rsidRPr="009655DD">
        <w:rPr>
          <w:rFonts w:ascii="Times New Roman" w:hAnsi="Times New Roman"/>
          <w:bCs/>
          <w:sz w:val="24"/>
          <w:szCs w:val="24"/>
          <w:lang w:val="en-US"/>
        </w:rPr>
        <w:t xml:space="preserve">Frequency distribution of available N and P in post-flood soils of AEU 9 </w:t>
      </w:r>
      <w:r w:rsidRPr="009655DD">
        <w:rPr>
          <w:rFonts w:ascii="Times New Roman" w:hAnsi="Times New Roman"/>
          <w:bCs/>
          <w:sz w:val="24"/>
          <w:szCs w:val="24"/>
          <w:lang w:val="en-US"/>
        </w:rPr>
        <w:t>in</w:t>
      </w:r>
      <w:r w:rsidR="004B5599" w:rsidRPr="009655DD">
        <w:rPr>
          <w:rFonts w:ascii="Times New Roman" w:hAnsi="Times New Roman"/>
          <w:bCs/>
          <w:sz w:val="24"/>
          <w:szCs w:val="24"/>
          <w:lang w:val="en-US"/>
        </w:rPr>
        <w:t xml:space="preserve"> Kottayam</w:t>
      </w:r>
    </w:p>
    <w:p w14:paraId="06ACC920" w14:textId="77777777" w:rsidR="004B5599" w:rsidRPr="009655DD" w:rsidRDefault="004B5599" w:rsidP="00BA3653">
      <w:pPr>
        <w:spacing w:line="240" w:lineRule="auto"/>
        <w:ind w:right="-172"/>
        <w:jc w:val="both"/>
        <w:rPr>
          <w:rFonts w:ascii="Times New Roman" w:hAnsi="Times New Roman"/>
          <w:bCs/>
          <w:sz w:val="24"/>
          <w:szCs w:val="24"/>
          <w:lang w:val="en-US"/>
        </w:rPr>
      </w:pPr>
      <w:r w:rsidRPr="009655DD">
        <w:rPr>
          <w:rFonts w:ascii="Times New Roman" w:hAnsi="Times New Roman"/>
          <w:bCs/>
          <w:sz w:val="24"/>
          <w:szCs w:val="24"/>
        </w:rPr>
        <w:t xml:space="preserve">Fig. </w:t>
      </w:r>
      <w:r w:rsidR="00174B8D" w:rsidRPr="009655DD">
        <w:rPr>
          <w:rFonts w:ascii="Times New Roman" w:hAnsi="Times New Roman"/>
          <w:bCs/>
          <w:sz w:val="24"/>
          <w:szCs w:val="24"/>
        </w:rPr>
        <w:t>8</w:t>
      </w:r>
      <w:r w:rsidRPr="009655DD">
        <w:rPr>
          <w:rFonts w:ascii="Times New Roman" w:hAnsi="Times New Roman"/>
          <w:bCs/>
          <w:sz w:val="24"/>
          <w:szCs w:val="24"/>
        </w:rPr>
        <w:t xml:space="preserve">. </w:t>
      </w:r>
      <w:r w:rsidRPr="009655DD">
        <w:rPr>
          <w:rFonts w:ascii="Times New Roman" w:hAnsi="Times New Roman"/>
          <w:bCs/>
          <w:sz w:val="24"/>
          <w:szCs w:val="24"/>
          <w:lang w:val="en-US"/>
        </w:rPr>
        <w:t>Frequency distribution of available K in post-flood soils of AEU 9 in Kottayam district</w:t>
      </w:r>
    </w:p>
    <w:p w14:paraId="2DAC7A96" w14:textId="77777777" w:rsidR="004B5599" w:rsidRPr="009655DD" w:rsidRDefault="004B5599" w:rsidP="00866A0F">
      <w:pPr>
        <w:spacing w:line="480" w:lineRule="auto"/>
        <w:jc w:val="both"/>
        <w:rPr>
          <w:rFonts w:ascii="Times New Roman" w:hAnsi="Times New Roman"/>
          <w:noProof/>
          <w:sz w:val="24"/>
          <w:szCs w:val="24"/>
          <w:lang w:val="en-US"/>
        </w:rPr>
      </w:pPr>
      <w:r w:rsidRPr="009655DD">
        <w:rPr>
          <w:noProof/>
          <w:lang w:val="en-US"/>
        </w:rPr>
        <w:drawing>
          <wp:anchor distT="0" distB="0" distL="114300" distR="114300" simplePos="0" relativeHeight="251675648" behindDoc="0" locked="0" layoutInCell="1" allowOverlap="1" wp14:anchorId="1BC5748A" wp14:editId="01149AD1">
            <wp:simplePos x="0" y="0"/>
            <wp:positionH relativeFrom="column">
              <wp:posOffset>0</wp:posOffset>
            </wp:positionH>
            <wp:positionV relativeFrom="paragraph">
              <wp:posOffset>18415</wp:posOffset>
            </wp:positionV>
            <wp:extent cx="3943985" cy="1743075"/>
            <wp:effectExtent l="0" t="0" r="18415" b="9525"/>
            <wp:wrapSquare wrapText="bothSides"/>
            <wp:docPr id="27" name="Chart 27">
              <a:extLst xmlns:a="http://schemas.openxmlformats.org/drawingml/2006/main">
                <a:ext uri="{FF2B5EF4-FFF2-40B4-BE49-F238E27FC236}">
                  <a16:creationId xmlns:a16="http://schemas.microsoft.com/office/drawing/2014/main" id="{D84B01FC-8CA1-42D7-85D9-032B2AA9B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4CE79B8B" w14:textId="77777777" w:rsidR="004B5599" w:rsidRPr="009655DD" w:rsidRDefault="004B5599" w:rsidP="00866A0F">
      <w:pPr>
        <w:spacing w:line="480" w:lineRule="auto"/>
        <w:jc w:val="both"/>
        <w:rPr>
          <w:rFonts w:ascii="Times New Roman" w:hAnsi="Times New Roman"/>
          <w:noProof/>
          <w:sz w:val="24"/>
          <w:szCs w:val="24"/>
          <w:lang w:val="en-US"/>
        </w:rPr>
      </w:pPr>
    </w:p>
    <w:p w14:paraId="6C46EF2C" w14:textId="77777777" w:rsidR="004B5599" w:rsidRPr="009655DD" w:rsidRDefault="004B5599" w:rsidP="00866A0F">
      <w:pPr>
        <w:spacing w:line="480" w:lineRule="auto"/>
        <w:jc w:val="both"/>
        <w:rPr>
          <w:rFonts w:ascii="Times New Roman" w:hAnsi="Times New Roman"/>
          <w:noProof/>
          <w:sz w:val="24"/>
          <w:szCs w:val="24"/>
          <w:lang w:val="en-US"/>
        </w:rPr>
      </w:pPr>
    </w:p>
    <w:p w14:paraId="7852565A" w14:textId="77777777" w:rsidR="004B5599" w:rsidRPr="009655DD" w:rsidRDefault="004B5599" w:rsidP="00866A0F">
      <w:pPr>
        <w:spacing w:line="480" w:lineRule="auto"/>
        <w:jc w:val="both"/>
        <w:rPr>
          <w:rFonts w:ascii="Times New Roman" w:hAnsi="Times New Roman"/>
          <w:noProof/>
          <w:sz w:val="24"/>
          <w:szCs w:val="24"/>
          <w:lang w:val="en-US"/>
        </w:rPr>
      </w:pPr>
    </w:p>
    <w:p w14:paraId="09C7C624" w14:textId="77777777" w:rsidR="004B5599" w:rsidRPr="009655DD" w:rsidRDefault="004B5599" w:rsidP="00FB61C2">
      <w:pPr>
        <w:spacing w:line="240" w:lineRule="auto"/>
        <w:jc w:val="both"/>
        <w:rPr>
          <w:rFonts w:ascii="Times New Roman" w:hAnsi="Times New Roman"/>
          <w:sz w:val="24"/>
          <w:szCs w:val="24"/>
        </w:rPr>
      </w:pPr>
      <w:r w:rsidRPr="009655DD">
        <w:rPr>
          <w:rFonts w:ascii="Times New Roman" w:hAnsi="Times New Roman"/>
          <w:bCs/>
          <w:sz w:val="24"/>
          <w:szCs w:val="24"/>
        </w:rPr>
        <w:t xml:space="preserve">Fig. </w:t>
      </w:r>
      <w:r w:rsidR="00174B8D" w:rsidRPr="009655DD">
        <w:rPr>
          <w:rFonts w:ascii="Times New Roman" w:hAnsi="Times New Roman"/>
          <w:bCs/>
          <w:sz w:val="24"/>
          <w:szCs w:val="24"/>
        </w:rPr>
        <w:t>9</w:t>
      </w:r>
      <w:r w:rsidRPr="009655DD">
        <w:rPr>
          <w:rFonts w:ascii="Times New Roman" w:hAnsi="Times New Roman"/>
          <w:bCs/>
          <w:sz w:val="24"/>
          <w:szCs w:val="24"/>
        </w:rPr>
        <w:t xml:space="preserve">. </w:t>
      </w:r>
      <w:r w:rsidRPr="009655DD">
        <w:rPr>
          <w:rFonts w:ascii="Times New Roman" w:hAnsi="Times New Roman"/>
          <w:bCs/>
          <w:sz w:val="24"/>
          <w:szCs w:val="24"/>
          <w:lang w:val="en-US"/>
        </w:rPr>
        <w:t>Frequency distribution of available Ca and Mg in post-flood soils of Kottayam district</w:t>
      </w:r>
    </w:p>
    <w:p w14:paraId="500907E7" w14:textId="77777777" w:rsidR="00AD0893" w:rsidRPr="009655DD" w:rsidRDefault="004B5599" w:rsidP="00866A0F">
      <w:pPr>
        <w:spacing w:line="480" w:lineRule="auto"/>
        <w:jc w:val="both"/>
        <w:rPr>
          <w:rFonts w:ascii="Times New Roman" w:hAnsi="Times New Roman"/>
          <w:sz w:val="24"/>
          <w:szCs w:val="24"/>
        </w:rPr>
      </w:pPr>
      <w:r w:rsidRPr="009655DD">
        <w:rPr>
          <w:noProof/>
          <w:lang w:val="en-US"/>
        </w:rPr>
        <w:drawing>
          <wp:anchor distT="0" distB="0" distL="114300" distR="114300" simplePos="0" relativeHeight="251677696" behindDoc="0" locked="0" layoutInCell="1" allowOverlap="1" wp14:anchorId="0E83FEBF" wp14:editId="78D0AF6A">
            <wp:simplePos x="0" y="0"/>
            <wp:positionH relativeFrom="margin">
              <wp:posOffset>2872740</wp:posOffset>
            </wp:positionH>
            <wp:positionV relativeFrom="paragraph">
              <wp:posOffset>-2540</wp:posOffset>
            </wp:positionV>
            <wp:extent cx="2639695" cy="2023745"/>
            <wp:effectExtent l="0" t="0" r="8255" b="14605"/>
            <wp:wrapSquare wrapText="bothSides"/>
            <wp:docPr id="31" name="Chart 31">
              <a:extLst xmlns:a="http://schemas.openxmlformats.org/drawingml/2006/main">
                <a:ext uri="{FF2B5EF4-FFF2-40B4-BE49-F238E27FC236}">
                  <a16:creationId xmlns:a16="http://schemas.microsoft.com/office/drawing/2014/main" id="{097595BE-FD8D-4377-B3DB-30E93ABBB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9655DD">
        <w:rPr>
          <w:rFonts w:ascii="Times New Roman" w:hAnsi="Times New Roman"/>
          <w:noProof/>
          <w:sz w:val="24"/>
          <w:szCs w:val="24"/>
          <w:lang w:val="en-US"/>
        </w:rPr>
        <w:drawing>
          <wp:inline distT="0" distB="0" distL="0" distR="0" wp14:anchorId="78E66C87" wp14:editId="3ADE78BF">
            <wp:extent cx="2733675" cy="2019300"/>
            <wp:effectExtent l="0" t="0" r="9525" b="0"/>
            <wp:docPr id="29" name="Chart 29">
              <a:extLst xmlns:a="http://schemas.openxmlformats.org/drawingml/2006/main">
                <a:ext uri="{FF2B5EF4-FFF2-40B4-BE49-F238E27FC236}">
                  <a16:creationId xmlns:a16="http://schemas.microsoft.com/office/drawing/2014/main" id="{5A96FE3B-7277-408F-B7D5-72EB5DD744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8104EF" w14:textId="77777777" w:rsidR="004B5599" w:rsidRPr="009655DD" w:rsidRDefault="00FB61C2" w:rsidP="00FB61C2">
      <w:pPr>
        <w:spacing w:line="240" w:lineRule="auto"/>
        <w:jc w:val="both"/>
        <w:rPr>
          <w:rFonts w:ascii="Times New Roman" w:hAnsi="Times New Roman"/>
          <w:bCs/>
          <w:sz w:val="24"/>
          <w:szCs w:val="24"/>
        </w:rPr>
      </w:pPr>
      <w:r w:rsidRPr="009655DD">
        <w:rPr>
          <w:noProof/>
          <w:lang w:val="en-US"/>
        </w:rPr>
        <w:lastRenderedPageBreak/>
        <w:drawing>
          <wp:anchor distT="0" distB="0" distL="114300" distR="114300" simplePos="0" relativeHeight="251678720" behindDoc="0" locked="0" layoutInCell="1" allowOverlap="1" wp14:anchorId="03CAFB0D" wp14:editId="1D0DD606">
            <wp:simplePos x="0" y="0"/>
            <wp:positionH relativeFrom="margin">
              <wp:posOffset>-76200</wp:posOffset>
            </wp:positionH>
            <wp:positionV relativeFrom="paragraph">
              <wp:posOffset>398780</wp:posOffset>
            </wp:positionV>
            <wp:extent cx="2800350" cy="2190750"/>
            <wp:effectExtent l="0" t="0" r="0" b="0"/>
            <wp:wrapSquare wrapText="bothSides"/>
            <wp:docPr id="23" name="Chart 23">
              <a:extLst xmlns:a="http://schemas.openxmlformats.org/drawingml/2006/main">
                <a:ext uri="{FF2B5EF4-FFF2-40B4-BE49-F238E27FC236}">
                  <a16:creationId xmlns:a16="http://schemas.microsoft.com/office/drawing/2014/main" id="{479D33A3-2FBA-4FA6-BB7A-0C7E11226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4B5599" w:rsidRPr="009655DD">
        <w:rPr>
          <w:rFonts w:ascii="Times New Roman" w:hAnsi="Times New Roman"/>
          <w:bCs/>
          <w:sz w:val="24"/>
          <w:szCs w:val="24"/>
        </w:rPr>
        <w:t>Fig.</w:t>
      </w:r>
      <w:r w:rsidR="00174B8D" w:rsidRPr="009655DD">
        <w:rPr>
          <w:rFonts w:ascii="Times New Roman" w:hAnsi="Times New Roman"/>
          <w:bCs/>
          <w:sz w:val="24"/>
          <w:szCs w:val="24"/>
        </w:rPr>
        <w:t>10</w:t>
      </w:r>
      <w:r w:rsidR="004B5599" w:rsidRPr="009655DD">
        <w:rPr>
          <w:rFonts w:ascii="Times New Roman" w:hAnsi="Times New Roman"/>
          <w:bCs/>
          <w:sz w:val="24"/>
          <w:szCs w:val="24"/>
        </w:rPr>
        <w:t xml:space="preserve">. </w:t>
      </w:r>
      <w:r w:rsidR="004B5599" w:rsidRPr="009655DD">
        <w:rPr>
          <w:rFonts w:ascii="Times New Roman" w:hAnsi="Times New Roman"/>
          <w:bCs/>
          <w:sz w:val="24"/>
          <w:szCs w:val="24"/>
          <w:lang w:val="en-US"/>
        </w:rPr>
        <w:t xml:space="preserve">Frequency distribution of available S </w:t>
      </w:r>
      <w:r w:rsidR="00AD0893" w:rsidRPr="009655DD">
        <w:rPr>
          <w:rFonts w:ascii="Times New Roman" w:hAnsi="Times New Roman"/>
          <w:bCs/>
          <w:sz w:val="24"/>
          <w:szCs w:val="24"/>
          <w:lang w:val="en-US"/>
        </w:rPr>
        <w:t xml:space="preserve">and available B </w:t>
      </w:r>
      <w:r w:rsidR="004B5599" w:rsidRPr="009655DD">
        <w:rPr>
          <w:rFonts w:ascii="Times New Roman" w:hAnsi="Times New Roman"/>
          <w:bCs/>
          <w:sz w:val="24"/>
          <w:szCs w:val="24"/>
          <w:lang w:val="en-US"/>
        </w:rPr>
        <w:t>in post-flood soils of Kottayam district</w:t>
      </w:r>
    </w:p>
    <w:p w14:paraId="41A6FA66" w14:textId="77777777" w:rsidR="00DA6303" w:rsidRPr="009655DD" w:rsidRDefault="005D26F1" w:rsidP="00866A0F">
      <w:pPr>
        <w:spacing w:line="480" w:lineRule="auto"/>
        <w:rPr>
          <w:rFonts w:ascii="Times New Roman" w:hAnsi="Times New Roman"/>
          <w:b/>
          <w:sz w:val="24"/>
          <w:szCs w:val="24"/>
        </w:rPr>
      </w:pPr>
      <w:r w:rsidRPr="009655DD">
        <w:rPr>
          <w:noProof/>
          <w:lang w:val="en-US"/>
        </w:rPr>
        <w:drawing>
          <wp:inline distT="0" distB="0" distL="0" distR="0" wp14:anchorId="36D875C7" wp14:editId="292B25B7">
            <wp:extent cx="2562225" cy="2133600"/>
            <wp:effectExtent l="0" t="0" r="9525" b="0"/>
            <wp:docPr id="7" name="Chart 7">
              <a:extLst xmlns:a="http://schemas.openxmlformats.org/drawingml/2006/main">
                <a:ext uri="{FF2B5EF4-FFF2-40B4-BE49-F238E27FC236}">
                  <a16:creationId xmlns:a16="http://schemas.microsoft.com/office/drawing/2014/main" id="{005A88AB-F296-4734-8611-5FB51E687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E0F006" w14:textId="77777777" w:rsidR="005E134B" w:rsidRPr="009655DD" w:rsidRDefault="00E5671B" w:rsidP="00FB61C2">
      <w:pPr>
        <w:spacing w:line="240" w:lineRule="auto"/>
        <w:rPr>
          <w:rFonts w:ascii="Times New Roman" w:hAnsi="Times New Roman"/>
          <w:b/>
          <w:sz w:val="24"/>
          <w:szCs w:val="24"/>
        </w:rPr>
      </w:pPr>
      <w:r w:rsidRPr="009655DD">
        <w:rPr>
          <w:rFonts w:ascii="Times New Roman" w:hAnsi="Times New Roman" w:cs="Times New Roman"/>
          <w:b/>
        </w:rPr>
        <w:t xml:space="preserve">Fig. </w:t>
      </w:r>
      <w:r w:rsidR="00EF4606" w:rsidRPr="009655DD">
        <w:rPr>
          <w:rFonts w:ascii="Times New Roman" w:hAnsi="Times New Roman" w:cs="Times New Roman"/>
          <w:b/>
        </w:rPr>
        <w:t>1</w:t>
      </w:r>
      <w:r w:rsidRPr="009655DD">
        <w:rPr>
          <w:rFonts w:ascii="Times New Roman" w:hAnsi="Times New Roman" w:cs="Times New Roman"/>
          <w:b/>
        </w:rPr>
        <w:t xml:space="preserve">1. Frequency distribution of dehydrogenase </w:t>
      </w:r>
      <w:proofErr w:type="gramStart"/>
      <w:r w:rsidRPr="009655DD">
        <w:rPr>
          <w:rFonts w:ascii="Times New Roman" w:hAnsi="Times New Roman" w:cs="Times New Roman"/>
          <w:b/>
        </w:rPr>
        <w:t>activity  and</w:t>
      </w:r>
      <w:proofErr w:type="gramEnd"/>
      <w:r w:rsidRPr="009655DD">
        <w:rPr>
          <w:rFonts w:ascii="Times New Roman" w:hAnsi="Times New Roman" w:cs="Times New Roman"/>
          <w:b/>
        </w:rPr>
        <w:t xml:space="preserve"> acid phosphatase activity in the post-flood soils of Kottayam district</w:t>
      </w:r>
    </w:p>
    <w:p w14:paraId="7964EF44" w14:textId="77777777" w:rsidR="005E134B" w:rsidRPr="009655DD" w:rsidRDefault="00033A63" w:rsidP="00866A0F">
      <w:pPr>
        <w:spacing w:after="0" w:line="480" w:lineRule="auto"/>
        <w:jc w:val="both"/>
        <w:rPr>
          <w:rFonts w:ascii="Times New Roman" w:hAnsi="Times New Roman" w:cs="Times New Roman"/>
          <w:b/>
          <w:bCs/>
          <w:sz w:val="24"/>
          <w:szCs w:val="24"/>
        </w:rPr>
      </w:pPr>
      <w:r w:rsidRPr="009655DD">
        <w:rPr>
          <w:rFonts w:ascii="Times New Roman" w:hAnsi="Times New Roman" w:cs="Times New Roman"/>
          <w:noProof/>
          <w:sz w:val="24"/>
          <w:szCs w:val="24"/>
          <w:lang w:val="en-US"/>
        </w:rPr>
        <w:drawing>
          <wp:anchor distT="0" distB="0" distL="114300" distR="114300" simplePos="0" relativeHeight="251680768" behindDoc="0" locked="0" layoutInCell="1" allowOverlap="1" wp14:anchorId="7752AFD3" wp14:editId="3A302365">
            <wp:simplePos x="0" y="0"/>
            <wp:positionH relativeFrom="column">
              <wp:posOffset>2781300</wp:posOffset>
            </wp:positionH>
            <wp:positionV relativeFrom="paragraph">
              <wp:posOffset>0</wp:posOffset>
            </wp:positionV>
            <wp:extent cx="2495550" cy="2428875"/>
            <wp:effectExtent l="0" t="0" r="0" b="9525"/>
            <wp:wrapSquare wrapText="bothSides"/>
            <wp:docPr id="39" name="Chart 39">
              <a:extLst xmlns:a="http://schemas.openxmlformats.org/drawingml/2006/main">
                <a:ext uri="{FF2B5EF4-FFF2-40B4-BE49-F238E27FC236}">
                  <a16:creationId xmlns:a16="http://schemas.microsoft.com/office/drawing/2014/main" id="{0C1BCBDD-46BA-408D-A81C-8DE8B8934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B824B4" w:rsidRPr="009655DD">
        <w:rPr>
          <w:rFonts w:ascii="Times New Roman" w:hAnsi="Times New Roman" w:cs="Times New Roman"/>
          <w:noProof/>
          <w:sz w:val="24"/>
          <w:szCs w:val="24"/>
          <w:lang w:val="en-US"/>
        </w:rPr>
        <w:drawing>
          <wp:inline distT="0" distB="0" distL="0" distR="0" wp14:anchorId="63CAA957" wp14:editId="70CF4BAA">
            <wp:extent cx="2514600" cy="2428875"/>
            <wp:effectExtent l="0" t="0" r="0" b="9525"/>
            <wp:docPr id="38" name="Chart 38">
              <a:extLst xmlns:a="http://schemas.openxmlformats.org/drawingml/2006/main">
                <a:ext uri="{FF2B5EF4-FFF2-40B4-BE49-F238E27FC236}">
                  <a16:creationId xmlns:a16="http://schemas.microsoft.com/office/drawing/2014/main" id="{3B2CB23E-B7EF-40D8-BF0F-A7B94B78E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3C02C8" w14:textId="77777777" w:rsidR="00D737ED" w:rsidRPr="009655DD" w:rsidRDefault="00A4713D" w:rsidP="00611CF3">
      <w:pPr>
        <w:spacing w:line="240" w:lineRule="auto"/>
        <w:jc w:val="both"/>
        <w:rPr>
          <w:rFonts w:ascii="Times New Roman" w:hAnsi="Times New Roman" w:cs="Times New Roman"/>
          <w:sz w:val="24"/>
          <w:szCs w:val="24"/>
        </w:rPr>
      </w:pPr>
      <w:r w:rsidRPr="009655DD">
        <w:rPr>
          <w:rFonts w:ascii="Times New Roman" w:hAnsi="Times New Roman" w:cs="Times New Roman"/>
          <w:b/>
          <w:sz w:val="24"/>
          <w:szCs w:val="24"/>
        </w:rPr>
        <w:t xml:space="preserve">Fig.12. </w:t>
      </w:r>
      <w:r w:rsidRPr="009655DD">
        <w:rPr>
          <w:rFonts w:ascii="Times New Roman" w:hAnsi="Times New Roman" w:cs="Times New Roman"/>
          <w:sz w:val="24"/>
          <w:szCs w:val="24"/>
        </w:rPr>
        <w:t>Frequency distribution of RSQI (%) in the post-flood soils of AEU 9 in Kottayam district</w:t>
      </w:r>
    </w:p>
    <w:p w14:paraId="09438EE6" w14:textId="77777777" w:rsidR="00D737ED" w:rsidRPr="009655DD" w:rsidRDefault="00CA30A3" w:rsidP="00D737ED">
      <w:pPr>
        <w:spacing w:line="240" w:lineRule="auto"/>
        <w:jc w:val="both"/>
        <w:rPr>
          <w:rFonts w:ascii="Times New Roman" w:hAnsi="Times New Roman" w:cs="Times New Roman"/>
          <w:sz w:val="24"/>
          <w:szCs w:val="24"/>
        </w:rPr>
      </w:pPr>
      <w:r w:rsidRPr="009655DD">
        <w:rPr>
          <w:rFonts w:ascii="Times New Roman" w:hAnsi="Times New Roman" w:cs="Times New Roman"/>
          <w:noProof/>
          <w:sz w:val="24"/>
          <w:szCs w:val="24"/>
          <w:lang w:val="en-US"/>
        </w:rPr>
        <w:drawing>
          <wp:inline distT="0" distB="0" distL="0" distR="0" wp14:anchorId="5B96A986" wp14:editId="3DF261C1">
            <wp:extent cx="4524375" cy="2238375"/>
            <wp:effectExtent l="0" t="0" r="9525" b="9525"/>
            <wp:docPr id="41" name="Chart 41">
              <a:extLst xmlns:a="http://schemas.openxmlformats.org/drawingml/2006/main">
                <a:ext uri="{FF2B5EF4-FFF2-40B4-BE49-F238E27FC236}">
                  <a16:creationId xmlns:a16="http://schemas.microsoft.com/office/drawing/2014/main" id="{406B4EB6-D523-41D2-A6A7-813E47BE9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E3E9D4" w14:textId="77777777" w:rsidR="00D77C8E" w:rsidRDefault="00D77C8E" w:rsidP="00D737ED">
      <w:pPr>
        <w:spacing w:line="240" w:lineRule="auto"/>
        <w:jc w:val="both"/>
        <w:rPr>
          <w:rFonts w:ascii="Times New Roman" w:hAnsi="Times New Roman" w:cs="Times New Roman"/>
          <w:b/>
          <w:bCs/>
          <w:sz w:val="24"/>
          <w:szCs w:val="24"/>
        </w:rPr>
      </w:pPr>
    </w:p>
    <w:p w14:paraId="16DCDC1E" w14:textId="77777777" w:rsidR="00D77C8E" w:rsidRDefault="00D77C8E" w:rsidP="00D737ED">
      <w:pPr>
        <w:spacing w:line="240" w:lineRule="auto"/>
        <w:jc w:val="both"/>
        <w:rPr>
          <w:rFonts w:ascii="Times New Roman" w:hAnsi="Times New Roman" w:cs="Times New Roman"/>
          <w:b/>
          <w:bCs/>
          <w:sz w:val="24"/>
          <w:szCs w:val="24"/>
        </w:rPr>
      </w:pPr>
    </w:p>
    <w:p w14:paraId="74275A9B" w14:textId="77777777" w:rsidR="00D77C8E" w:rsidRPr="00307397" w:rsidRDefault="00D77C8E" w:rsidP="00307397">
      <w:pPr>
        <w:spacing w:after="0" w:line="240" w:lineRule="auto"/>
        <w:jc w:val="both"/>
        <w:rPr>
          <w:rFonts w:ascii="Arial" w:eastAsia="Calibri" w:hAnsi="Arial" w:cs="Arial"/>
          <w:kern w:val="2"/>
          <w:lang w:val="en-US"/>
        </w:rPr>
      </w:pPr>
      <w:bookmarkStart w:id="1" w:name="_Hlk198031404"/>
      <w:r w:rsidRPr="00307397">
        <w:rPr>
          <w:rFonts w:ascii="Arial" w:eastAsia="Calibri" w:hAnsi="Arial" w:cs="Arial"/>
          <w:kern w:val="2"/>
          <w:lang w:val="en-US"/>
        </w:rPr>
        <w:t>Disclaimer (Artificial intelligence)</w:t>
      </w:r>
    </w:p>
    <w:p w14:paraId="24CBEC70" w14:textId="77777777" w:rsidR="00D77C8E" w:rsidRPr="00307397" w:rsidRDefault="00D77C8E" w:rsidP="00307397">
      <w:pPr>
        <w:spacing w:after="0" w:line="240" w:lineRule="auto"/>
        <w:jc w:val="both"/>
        <w:rPr>
          <w:rFonts w:ascii="Arial" w:eastAsia="Calibri" w:hAnsi="Arial" w:cs="Arial"/>
          <w:kern w:val="2"/>
          <w:lang w:val="en-US"/>
        </w:rPr>
      </w:pPr>
    </w:p>
    <w:p w14:paraId="3E3A4F8B" w14:textId="77777777" w:rsidR="00D77C8E" w:rsidRPr="00307397" w:rsidRDefault="00D77C8E" w:rsidP="00307397">
      <w:pPr>
        <w:spacing w:after="0" w:line="240" w:lineRule="auto"/>
        <w:jc w:val="both"/>
        <w:rPr>
          <w:rFonts w:ascii="Arial" w:eastAsia="Calibri" w:hAnsi="Arial" w:cs="Arial"/>
          <w:kern w:val="2"/>
          <w:lang w:val="en-US"/>
        </w:rPr>
      </w:pPr>
      <w:r w:rsidRPr="00307397">
        <w:rPr>
          <w:rFonts w:ascii="Arial" w:eastAsia="Calibri" w:hAnsi="Arial" w:cs="Arial"/>
          <w:kern w:val="2"/>
          <w:lang w:val="en-US"/>
        </w:rPr>
        <w:t xml:space="preserve">Author(s) hereby declare that NO generative AI technologies such as Large Language Models (ChatGPT, COPILOT, etc.) and text-to-image generators have been used during the writing or editing of this manuscript. </w:t>
      </w:r>
    </w:p>
    <w:bookmarkEnd w:id="1"/>
    <w:p w14:paraId="5E0A4C94" w14:textId="77777777" w:rsidR="00D77C8E" w:rsidRPr="00D77C8E" w:rsidRDefault="00D77C8E" w:rsidP="00D77C8E">
      <w:pPr>
        <w:spacing w:after="0" w:line="240" w:lineRule="auto"/>
        <w:rPr>
          <w:rFonts w:ascii="Arial" w:eastAsia="Calibri" w:hAnsi="Arial" w:cs="Arial"/>
          <w:kern w:val="2"/>
          <w:lang w:val="en-US"/>
        </w:rPr>
      </w:pPr>
    </w:p>
    <w:p w14:paraId="50D0E3AF" w14:textId="77777777" w:rsidR="00D77C8E" w:rsidRPr="00D77C8E" w:rsidRDefault="00D77C8E" w:rsidP="00D77C8E">
      <w:pPr>
        <w:spacing w:after="0" w:line="240" w:lineRule="auto"/>
        <w:rPr>
          <w:rFonts w:ascii="Arial" w:eastAsia="Calibri" w:hAnsi="Arial" w:cs="Arial"/>
          <w:kern w:val="2"/>
          <w:lang w:val="en-US"/>
        </w:rPr>
      </w:pPr>
    </w:p>
    <w:p w14:paraId="7FCDB1AB" w14:textId="118E303A" w:rsidR="004D287F" w:rsidRPr="009655DD" w:rsidRDefault="008E0A40" w:rsidP="00D737ED">
      <w:pPr>
        <w:spacing w:line="240" w:lineRule="auto"/>
        <w:jc w:val="both"/>
        <w:rPr>
          <w:rFonts w:ascii="Times New Roman" w:hAnsi="Times New Roman" w:cs="Times New Roman"/>
          <w:sz w:val="24"/>
          <w:szCs w:val="24"/>
        </w:rPr>
      </w:pPr>
      <w:r w:rsidRPr="009655DD">
        <w:rPr>
          <w:rFonts w:ascii="Times New Roman" w:hAnsi="Times New Roman" w:cs="Times New Roman"/>
          <w:b/>
          <w:bCs/>
          <w:sz w:val="24"/>
          <w:szCs w:val="24"/>
        </w:rPr>
        <w:t>References</w:t>
      </w:r>
    </w:p>
    <w:p w14:paraId="1125DC18" w14:textId="1B338817"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r w:rsidRPr="001449D8">
        <w:rPr>
          <w:rFonts w:ascii="Times New Roman" w:hAnsi="Times New Roman" w:cs="Times New Roman"/>
          <w:sz w:val="24"/>
          <w:szCs w:val="24"/>
          <w:shd w:val="clear" w:color="auto" w:fill="FFFFFF"/>
        </w:rPr>
        <w:t xml:space="preserve">Andrews, S. S. and Carroll, C. R. 2001. Designing a soil quality assessment tool for sustainable </w:t>
      </w:r>
      <w:proofErr w:type="spellStart"/>
      <w:r w:rsidRPr="001449D8">
        <w:rPr>
          <w:rFonts w:ascii="Times New Roman" w:hAnsi="Times New Roman" w:cs="Times New Roman"/>
          <w:sz w:val="24"/>
          <w:szCs w:val="24"/>
          <w:shd w:val="clear" w:color="auto" w:fill="FFFFFF"/>
        </w:rPr>
        <w:t>agro</w:t>
      </w:r>
      <w:proofErr w:type="spellEnd"/>
      <w:r w:rsidRPr="001449D8">
        <w:rPr>
          <w:rFonts w:ascii="Times New Roman" w:hAnsi="Times New Roman" w:cs="Times New Roman"/>
          <w:sz w:val="24"/>
          <w:szCs w:val="24"/>
          <w:shd w:val="clear" w:color="auto" w:fill="FFFFFF"/>
        </w:rPr>
        <w:t xml:space="preserve"> ecosystem management. </w:t>
      </w:r>
      <w:r w:rsidRPr="001449D8">
        <w:rPr>
          <w:rFonts w:ascii="Times New Roman" w:hAnsi="Times New Roman" w:cs="Times New Roman"/>
          <w:i/>
          <w:iCs/>
          <w:sz w:val="24"/>
          <w:szCs w:val="24"/>
          <w:shd w:val="clear" w:color="auto" w:fill="FFFFFF"/>
        </w:rPr>
        <w:t>Ecological Appl</w:t>
      </w:r>
      <w:r w:rsidRPr="001449D8">
        <w:rPr>
          <w:rFonts w:ascii="Times New Roman" w:hAnsi="Times New Roman" w:cs="Times New Roman"/>
          <w:sz w:val="24"/>
          <w:szCs w:val="24"/>
          <w:shd w:val="clear" w:color="auto" w:fill="FFFFFF"/>
        </w:rPr>
        <w:t>. </w:t>
      </w:r>
      <w:r w:rsidRPr="001449D8">
        <w:rPr>
          <w:rFonts w:ascii="Times New Roman" w:hAnsi="Times New Roman" w:cs="Times New Roman"/>
          <w:iCs/>
          <w:sz w:val="24"/>
          <w:szCs w:val="24"/>
          <w:shd w:val="clear" w:color="auto" w:fill="FFFFFF"/>
        </w:rPr>
        <w:t>11</w:t>
      </w:r>
      <w:r w:rsidRPr="001449D8">
        <w:rPr>
          <w:rFonts w:ascii="Times New Roman" w:hAnsi="Times New Roman" w:cs="Times New Roman"/>
          <w:sz w:val="24"/>
          <w:szCs w:val="24"/>
          <w:shd w:val="clear" w:color="auto" w:fill="FFFFFF"/>
        </w:rPr>
        <w:t>(6): 1573-1585.</w:t>
      </w:r>
      <w:r w:rsidR="00404818" w:rsidRPr="001449D8">
        <w:rPr>
          <w:rFonts w:ascii="Times New Roman" w:hAnsi="Times New Roman" w:cs="Times New Roman"/>
          <w:sz w:val="24"/>
          <w:szCs w:val="24"/>
          <w:shd w:val="clear" w:color="auto" w:fill="FFFFFF"/>
        </w:rPr>
        <w:t xml:space="preserve"> DOI: 10.1890/1051-0761(2001)011[</w:t>
      </w:r>
      <w:proofErr w:type="gramStart"/>
      <w:r w:rsidR="00404818" w:rsidRPr="001449D8">
        <w:rPr>
          <w:rFonts w:ascii="Times New Roman" w:hAnsi="Times New Roman" w:cs="Times New Roman"/>
          <w:sz w:val="24"/>
          <w:szCs w:val="24"/>
          <w:shd w:val="clear" w:color="auto" w:fill="FFFFFF"/>
        </w:rPr>
        <w:t>1573:DASQAT</w:t>
      </w:r>
      <w:proofErr w:type="gramEnd"/>
      <w:r w:rsidR="00404818" w:rsidRPr="001449D8">
        <w:rPr>
          <w:rFonts w:ascii="Times New Roman" w:hAnsi="Times New Roman" w:cs="Times New Roman"/>
          <w:sz w:val="24"/>
          <w:szCs w:val="24"/>
          <w:shd w:val="clear" w:color="auto" w:fill="FFFFFF"/>
        </w:rPr>
        <w:t>]2.0.CO;2</w:t>
      </w:r>
    </w:p>
    <w:p w14:paraId="747938A4" w14:textId="674EBB6E"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proofErr w:type="spellStart"/>
      <w:r w:rsidRPr="001449D8">
        <w:rPr>
          <w:rFonts w:ascii="Times New Roman" w:hAnsi="Times New Roman" w:cs="Times New Roman"/>
          <w:sz w:val="24"/>
          <w:szCs w:val="24"/>
          <w:shd w:val="clear" w:color="auto" w:fill="FFFFFF"/>
        </w:rPr>
        <w:t>Bielders</w:t>
      </w:r>
      <w:proofErr w:type="spellEnd"/>
      <w:r w:rsidRPr="001449D8">
        <w:rPr>
          <w:rFonts w:ascii="Times New Roman" w:hAnsi="Times New Roman" w:cs="Times New Roman"/>
          <w:sz w:val="24"/>
          <w:szCs w:val="24"/>
          <w:shd w:val="clear" w:color="auto" w:fill="FFFFFF"/>
        </w:rPr>
        <w:t xml:space="preserve">, C. L., DeBacker, L.W., and Delvaux, B. 1990. Particle density of volcanic soils as measured with a gas pycnometer. </w:t>
      </w:r>
      <w:r w:rsidRPr="001449D8">
        <w:rPr>
          <w:rFonts w:ascii="Times New Roman" w:hAnsi="Times New Roman" w:cs="Times New Roman"/>
          <w:i/>
          <w:sz w:val="24"/>
          <w:szCs w:val="24"/>
          <w:shd w:val="clear" w:color="auto" w:fill="FFFFFF"/>
        </w:rPr>
        <w:t xml:space="preserve">Soil Sci. Am. J. </w:t>
      </w:r>
      <w:r w:rsidRPr="001449D8">
        <w:rPr>
          <w:rFonts w:ascii="Times New Roman" w:hAnsi="Times New Roman" w:cs="Times New Roman"/>
          <w:sz w:val="24"/>
          <w:szCs w:val="24"/>
          <w:shd w:val="clear" w:color="auto" w:fill="FFFFFF"/>
        </w:rPr>
        <w:t xml:space="preserve">54(3): 822-826. </w:t>
      </w:r>
      <w:r w:rsidR="00404818" w:rsidRPr="001449D8">
        <w:rPr>
          <w:rFonts w:ascii="Times New Roman" w:hAnsi="Times New Roman" w:cs="Times New Roman"/>
          <w:sz w:val="24"/>
          <w:szCs w:val="24"/>
          <w:shd w:val="clear" w:color="auto" w:fill="FFFFFF"/>
        </w:rPr>
        <w:t>DOI: 10.2136/sssaj1990.03615995005400030034x</w:t>
      </w:r>
    </w:p>
    <w:p w14:paraId="697EE70F" w14:textId="46451461" w:rsidR="00401FA8" w:rsidRPr="001449D8" w:rsidRDefault="00401FA8" w:rsidP="001449D8">
      <w:pPr>
        <w:pStyle w:val="ListParagraph"/>
        <w:numPr>
          <w:ilvl w:val="0"/>
          <w:numId w:val="2"/>
        </w:numPr>
        <w:spacing w:line="480" w:lineRule="auto"/>
        <w:jc w:val="both"/>
        <w:rPr>
          <w:rFonts w:ascii="Times New Roman" w:hAnsi="Times New Roman" w:cs="Times New Roman"/>
          <w:bCs/>
          <w:sz w:val="24"/>
          <w:szCs w:val="24"/>
        </w:rPr>
      </w:pPr>
      <w:r w:rsidRPr="001449D8">
        <w:rPr>
          <w:rFonts w:ascii="Times New Roman" w:hAnsi="Times New Roman" w:cs="Times New Roman"/>
          <w:bCs/>
          <w:sz w:val="24"/>
          <w:szCs w:val="24"/>
        </w:rPr>
        <w:t xml:space="preserve">Borowik, A. and </w:t>
      </w:r>
      <w:proofErr w:type="spellStart"/>
      <w:r w:rsidRPr="001449D8">
        <w:rPr>
          <w:rFonts w:ascii="Times New Roman" w:hAnsi="Times New Roman" w:cs="Times New Roman"/>
          <w:bCs/>
          <w:sz w:val="24"/>
          <w:szCs w:val="24"/>
        </w:rPr>
        <w:t>Wyszkowska</w:t>
      </w:r>
      <w:proofErr w:type="spellEnd"/>
      <w:r w:rsidRPr="001449D8">
        <w:rPr>
          <w:rFonts w:ascii="Times New Roman" w:hAnsi="Times New Roman" w:cs="Times New Roman"/>
          <w:bCs/>
          <w:sz w:val="24"/>
          <w:szCs w:val="24"/>
        </w:rPr>
        <w:t xml:space="preserve">, J. 2016. Soil moisture as a factor affecting the microbiological and biochemical activity of soil. </w:t>
      </w:r>
      <w:r w:rsidRPr="001449D8">
        <w:rPr>
          <w:rFonts w:ascii="Times New Roman" w:hAnsi="Times New Roman" w:cs="Times New Roman"/>
          <w:bCs/>
          <w:i/>
          <w:sz w:val="24"/>
          <w:szCs w:val="24"/>
        </w:rPr>
        <w:t>Plant Soil Environ</w:t>
      </w:r>
      <w:r w:rsidRPr="001449D8">
        <w:rPr>
          <w:rFonts w:ascii="Times New Roman" w:hAnsi="Times New Roman" w:cs="Times New Roman"/>
          <w:bCs/>
          <w:sz w:val="24"/>
          <w:szCs w:val="24"/>
        </w:rPr>
        <w:t>. 62(6):</w:t>
      </w:r>
      <w:proofErr w:type="gramStart"/>
      <w:r w:rsidRPr="001449D8">
        <w:rPr>
          <w:rFonts w:ascii="Times New Roman" w:hAnsi="Times New Roman" w:cs="Times New Roman"/>
          <w:bCs/>
          <w:sz w:val="24"/>
          <w:szCs w:val="24"/>
        </w:rPr>
        <w:t xml:space="preserve">250 </w:t>
      </w:r>
      <w:r w:rsidR="00404818" w:rsidRPr="001449D8">
        <w:rPr>
          <w:rFonts w:ascii="Times New Roman" w:hAnsi="Times New Roman" w:cs="Times New Roman"/>
          <w:bCs/>
          <w:sz w:val="24"/>
          <w:szCs w:val="24"/>
        </w:rPr>
        <w:t>.</w:t>
      </w:r>
      <w:proofErr w:type="gramEnd"/>
      <w:r w:rsidR="00404818" w:rsidRPr="001449D8">
        <w:rPr>
          <w:rFonts w:ascii="Times New Roman" w:hAnsi="Times New Roman" w:cs="Times New Roman"/>
          <w:bCs/>
          <w:sz w:val="24"/>
          <w:szCs w:val="24"/>
        </w:rPr>
        <w:t xml:space="preserve"> DOI: 10.17221/158/2016-PSE</w:t>
      </w:r>
    </w:p>
    <w:p w14:paraId="4473117A" w14:textId="096E3C18" w:rsidR="00401FA8" w:rsidRPr="001449D8" w:rsidRDefault="00401FA8" w:rsidP="001449D8">
      <w:pPr>
        <w:pStyle w:val="ListParagraph"/>
        <w:numPr>
          <w:ilvl w:val="0"/>
          <w:numId w:val="2"/>
        </w:numPr>
        <w:spacing w:line="480" w:lineRule="auto"/>
        <w:jc w:val="both"/>
        <w:rPr>
          <w:rFonts w:ascii="Times New Roman" w:hAnsi="Times New Roman" w:cs="Times New Roman"/>
          <w:bCs/>
          <w:sz w:val="24"/>
          <w:szCs w:val="24"/>
        </w:rPr>
      </w:pPr>
      <w:r w:rsidRPr="001449D8">
        <w:rPr>
          <w:rFonts w:ascii="Times New Roman" w:hAnsi="Times New Roman" w:cs="Times New Roman"/>
          <w:sz w:val="24"/>
          <w:szCs w:val="24"/>
        </w:rPr>
        <w:t xml:space="preserve">Bray, R. H. and Kurtz, L. T. 1945. Determination of total organic and available forms of phosphorous in soils. </w:t>
      </w:r>
      <w:r w:rsidRPr="001449D8">
        <w:rPr>
          <w:rFonts w:ascii="Times New Roman" w:hAnsi="Times New Roman" w:cs="Times New Roman"/>
          <w:i/>
          <w:iCs/>
          <w:sz w:val="24"/>
          <w:szCs w:val="24"/>
        </w:rPr>
        <w:t>Soil Sci</w:t>
      </w:r>
      <w:r w:rsidRPr="001449D8">
        <w:rPr>
          <w:rFonts w:ascii="Times New Roman" w:hAnsi="Times New Roman" w:cs="Times New Roman"/>
          <w:sz w:val="24"/>
          <w:szCs w:val="24"/>
        </w:rPr>
        <w:t>. 59: 39 - 45.</w:t>
      </w:r>
      <w:r w:rsidR="00404818" w:rsidRPr="001449D8">
        <w:rPr>
          <w:rFonts w:ascii="Times New Roman" w:hAnsi="Times New Roman" w:cs="Times New Roman"/>
          <w:sz w:val="24"/>
          <w:szCs w:val="24"/>
        </w:rPr>
        <w:t xml:space="preserve"> DOI: 10.1097/00010694-194501000-00006</w:t>
      </w:r>
    </w:p>
    <w:p w14:paraId="0D7245CC" w14:textId="2231467F" w:rsidR="00401FA8" w:rsidRPr="001449D8" w:rsidRDefault="00401FA8" w:rsidP="001449D8">
      <w:pPr>
        <w:pStyle w:val="ListParagraph"/>
        <w:numPr>
          <w:ilvl w:val="0"/>
          <w:numId w:val="2"/>
        </w:numPr>
        <w:spacing w:line="480" w:lineRule="auto"/>
        <w:jc w:val="both"/>
        <w:rPr>
          <w:rFonts w:ascii="Times New Roman" w:hAnsi="Times New Roman" w:cs="Times New Roman"/>
          <w:bCs/>
          <w:iCs/>
          <w:sz w:val="24"/>
          <w:szCs w:val="24"/>
          <w:lang w:val="fi-FI"/>
        </w:rPr>
      </w:pPr>
      <w:bookmarkStart w:id="2" w:name="_Hlk53135723"/>
      <w:r w:rsidRPr="001449D8">
        <w:rPr>
          <w:rFonts w:ascii="Times New Roman" w:hAnsi="Times New Roman" w:cs="Times New Roman"/>
          <w:bCs/>
          <w:sz w:val="24"/>
          <w:szCs w:val="24"/>
        </w:rPr>
        <w:t xml:space="preserve">Furtak, K., </w:t>
      </w:r>
      <w:proofErr w:type="spellStart"/>
      <w:r w:rsidRPr="001449D8">
        <w:rPr>
          <w:rFonts w:ascii="Times New Roman" w:hAnsi="Times New Roman" w:cs="Times New Roman"/>
          <w:bCs/>
          <w:sz w:val="24"/>
          <w:szCs w:val="24"/>
        </w:rPr>
        <w:t>Gałązka</w:t>
      </w:r>
      <w:proofErr w:type="spellEnd"/>
      <w:r w:rsidRPr="001449D8">
        <w:rPr>
          <w:rFonts w:ascii="Times New Roman" w:hAnsi="Times New Roman" w:cs="Times New Roman"/>
          <w:bCs/>
          <w:sz w:val="24"/>
          <w:szCs w:val="24"/>
        </w:rPr>
        <w:t xml:space="preserve">, A., </w:t>
      </w:r>
      <w:proofErr w:type="gramStart"/>
      <w:r w:rsidRPr="001449D8">
        <w:rPr>
          <w:rFonts w:ascii="Times New Roman" w:hAnsi="Times New Roman" w:cs="Times New Roman"/>
          <w:bCs/>
          <w:sz w:val="24"/>
          <w:szCs w:val="24"/>
        </w:rPr>
        <w:t>and  Niedźwiecki</w:t>
      </w:r>
      <w:proofErr w:type="gramEnd"/>
      <w:r w:rsidRPr="001449D8">
        <w:rPr>
          <w:rFonts w:ascii="Times New Roman" w:hAnsi="Times New Roman" w:cs="Times New Roman"/>
          <w:bCs/>
          <w:sz w:val="24"/>
          <w:szCs w:val="24"/>
        </w:rPr>
        <w:t xml:space="preserve">, J. 2020. Changes in soil enzymatic activity </w:t>
      </w:r>
      <w:proofErr w:type="spellStart"/>
      <w:r w:rsidRPr="001449D8">
        <w:rPr>
          <w:rFonts w:ascii="Times New Roman" w:hAnsi="Times New Roman" w:cs="Times New Roman"/>
          <w:bCs/>
          <w:sz w:val="24"/>
          <w:szCs w:val="24"/>
        </w:rPr>
        <w:t>causedby</w:t>
      </w:r>
      <w:proofErr w:type="spellEnd"/>
      <w:r w:rsidRPr="001449D8">
        <w:rPr>
          <w:rFonts w:ascii="Times New Roman" w:hAnsi="Times New Roman" w:cs="Times New Roman"/>
          <w:bCs/>
          <w:sz w:val="24"/>
          <w:szCs w:val="24"/>
        </w:rPr>
        <w:t xml:space="preserve"> hydric stress. </w:t>
      </w:r>
      <w:r w:rsidRPr="001449D8">
        <w:rPr>
          <w:rFonts w:ascii="Times New Roman" w:hAnsi="Times New Roman" w:cs="Times New Roman"/>
          <w:bCs/>
          <w:i/>
          <w:iCs/>
          <w:sz w:val="24"/>
          <w:szCs w:val="24"/>
        </w:rPr>
        <w:t xml:space="preserve">Pol. J. Environ. </w:t>
      </w:r>
      <w:r w:rsidRPr="001449D8">
        <w:rPr>
          <w:rFonts w:ascii="Times New Roman" w:hAnsi="Times New Roman" w:cs="Times New Roman"/>
          <w:bCs/>
          <w:i/>
          <w:iCs/>
          <w:sz w:val="24"/>
          <w:szCs w:val="24"/>
          <w:lang w:val="fi-FI"/>
        </w:rPr>
        <w:t xml:space="preserve">Stud. </w:t>
      </w:r>
      <w:r w:rsidRPr="001449D8">
        <w:rPr>
          <w:rFonts w:ascii="Times New Roman" w:hAnsi="Times New Roman" w:cs="Times New Roman"/>
          <w:bCs/>
          <w:iCs/>
          <w:sz w:val="24"/>
          <w:szCs w:val="24"/>
          <w:lang w:val="fi-FI"/>
        </w:rPr>
        <w:t>29 (4): 1-8.</w:t>
      </w:r>
      <w:r w:rsidR="00404818" w:rsidRPr="001449D8">
        <w:rPr>
          <w:rFonts w:ascii="Times New Roman" w:hAnsi="Times New Roman" w:cs="Times New Roman"/>
          <w:bCs/>
          <w:iCs/>
          <w:sz w:val="24"/>
          <w:szCs w:val="24"/>
          <w:lang w:val="fi-FI"/>
        </w:rPr>
        <w:t xml:space="preserve"> DOI: 10.15244/pjoes/112896</w:t>
      </w:r>
    </w:p>
    <w:p w14:paraId="4C4F5DF8" w14:textId="6BA0D4D2" w:rsidR="008E3C05" w:rsidRPr="001449D8" w:rsidRDefault="008E3C05" w:rsidP="001449D8">
      <w:pPr>
        <w:pStyle w:val="ListParagraph"/>
        <w:numPr>
          <w:ilvl w:val="0"/>
          <w:numId w:val="2"/>
        </w:numPr>
        <w:spacing w:line="480" w:lineRule="auto"/>
        <w:jc w:val="both"/>
        <w:rPr>
          <w:rFonts w:ascii="Times New Roman" w:hAnsi="Times New Roman" w:cs="Times New Roman"/>
          <w:color w:val="000000" w:themeColor="text1"/>
          <w:sz w:val="24"/>
          <w:szCs w:val="24"/>
        </w:rPr>
      </w:pPr>
      <w:bookmarkStart w:id="3" w:name="_Hlk46349070"/>
      <w:bookmarkEnd w:id="2"/>
      <w:r w:rsidRPr="001449D8">
        <w:rPr>
          <w:rFonts w:ascii="Times New Roman" w:hAnsi="Times New Roman" w:cs="Times New Roman"/>
          <w:color w:val="000000" w:themeColor="text1"/>
          <w:sz w:val="24"/>
          <w:szCs w:val="24"/>
          <w:lang w:val="fi-FI"/>
        </w:rPr>
        <w:t xml:space="preserve">Khamarunneesa, M., Sajeena, S., &amp; VM, A. H. (2025). </w:t>
      </w:r>
      <w:r w:rsidRPr="001449D8">
        <w:rPr>
          <w:rFonts w:ascii="Times New Roman" w:hAnsi="Times New Roman" w:cs="Times New Roman"/>
          <w:color w:val="000000" w:themeColor="text1"/>
          <w:sz w:val="24"/>
          <w:szCs w:val="24"/>
        </w:rPr>
        <w:t>Developing Spatial Maps of Soil Fertility Status and Assessing Impact of Different Fertigation Strategies on Soil Fertility in Kerala, India. </w:t>
      </w:r>
      <w:r w:rsidRPr="001449D8">
        <w:rPr>
          <w:rFonts w:ascii="Times New Roman" w:hAnsi="Times New Roman" w:cs="Times New Roman"/>
          <w:i/>
          <w:iCs/>
          <w:color w:val="000000" w:themeColor="text1"/>
          <w:sz w:val="24"/>
          <w:szCs w:val="24"/>
        </w:rPr>
        <w:t>Journal of Agricultural Engineering</w:t>
      </w:r>
      <w:r w:rsidRPr="001449D8">
        <w:rPr>
          <w:rFonts w:ascii="Times New Roman" w:hAnsi="Times New Roman" w:cs="Times New Roman"/>
          <w:color w:val="000000" w:themeColor="text1"/>
          <w:sz w:val="24"/>
          <w:szCs w:val="24"/>
        </w:rPr>
        <w:t>, </w:t>
      </w:r>
      <w:r w:rsidRPr="001449D8">
        <w:rPr>
          <w:rFonts w:ascii="Times New Roman" w:hAnsi="Times New Roman" w:cs="Times New Roman"/>
          <w:i/>
          <w:iCs/>
          <w:color w:val="000000" w:themeColor="text1"/>
          <w:sz w:val="24"/>
          <w:szCs w:val="24"/>
        </w:rPr>
        <w:t>62</w:t>
      </w:r>
      <w:r w:rsidRPr="001449D8">
        <w:rPr>
          <w:rFonts w:ascii="Times New Roman" w:hAnsi="Times New Roman" w:cs="Times New Roman"/>
          <w:color w:val="000000" w:themeColor="text1"/>
          <w:sz w:val="24"/>
          <w:szCs w:val="24"/>
        </w:rPr>
        <w:t>(2), 481.</w:t>
      </w:r>
    </w:p>
    <w:p w14:paraId="541A29B9" w14:textId="77777777" w:rsidR="008E3C05" w:rsidRPr="008E3C05" w:rsidRDefault="008E3C05" w:rsidP="00866A0F">
      <w:pPr>
        <w:spacing w:line="480" w:lineRule="auto"/>
        <w:ind w:left="720" w:hanging="720"/>
        <w:jc w:val="both"/>
        <w:rPr>
          <w:rFonts w:ascii="Times New Roman" w:hAnsi="Times New Roman" w:cs="Times New Roman"/>
          <w:color w:val="000000" w:themeColor="text1"/>
          <w:sz w:val="24"/>
          <w:szCs w:val="24"/>
        </w:rPr>
      </w:pPr>
    </w:p>
    <w:bookmarkEnd w:id="3"/>
    <w:p w14:paraId="38E5E2D3" w14:textId="40DF16FF" w:rsidR="008E3C05" w:rsidRPr="001449D8" w:rsidRDefault="008E3C05" w:rsidP="001449D8">
      <w:pPr>
        <w:pStyle w:val="ListParagraph"/>
        <w:numPr>
          <w:ilvl w:val="0"/>
          <w:numId w:val="2"/>
        </w:numPr>
        <w:spacing w:line="480" w:lineRule="auto"/>
        <w:jc w:val="both"/>
        <w:rPr>
          <w:rFonts w:ascii="Times New Roman" w:hAnsi="Times New Roman" w:cs="Times New Roman"/>
          <w:color w:val="000000" w:themeColor="text1"/>
          <w:sz w:val="24"/>
          <w:szCs w:val="24"/>
        </w:rPr>
      </w:pPr>
      <w:proofErr w:type="spellStart"/>
      <w:r w:rsidRPr="001449D8">
        <w:rPr>
          <w:rFonts w:ascii="Times New Roman" w:hAnsi="Times New Roman" w:cs="Times New Roman"/>
          <w:color w:val="000000" w:themeColor="text1"/>
          <w:sz w:val="24"/>
          <w:szCs w:val="24"/>
        </w:rPr>
        <w:lastRenderedPageBreak/>
        <w:t>Katutis</w:t>
      </w:r>
      <w:proofErr w:type="spellEnd"/>
      <w:r w:rsidRPr="001449D8">
        <w:rPr>
          <w:rFonts w:ascii="Times New Roman" w:hAnsi="Times New Roman" w:cs="Times New Roman"/>
          <w:color w:val="000000" w:themeColor="text1"/>
          <w:sz w:val="24"/>
          <w:szCs w:val="24"/>
        </w:rPr>
        <w:t xml:space="preserve">, K., &amp; </w:t>
      </w:r>
      <w:proofErr w:type="spellStart"/>
      <w:r w:rsidRPr="001449D8">
        <w:rPr>
          <w:rFonts w:ascii="Times New Roman" w:hAnsi="Times New Roman" w:cs="Times New Roman"/>
          <w:color w:val="000000" w:themeColor="text1"/>
          <w:sz w:val="24"/>
          <w:szCs w:val="24"/>
        </w:rPr>
        <w:t>Rudzianskaitė</w:t>
      </w:r>
      <w:proofErr w:type="spellEnd"/>
      <w:r w:rsidRPr="001449D8">
        <w:rPr>
          <w:rFonts w:ascii="Times New Roman" w:hAnsi="Times New Roman" w:cs="Times New Roman"/>
          <w:color w:val="000000" w:themeColor="text1"/>
          <w:sz w:val="24"/>
          <w:szCs w:val="24"/>
        </w:rPr>
        <w:t xml:space="preserve">, A. (2015). The fluctuation of calcium and magnesium concentrations in the floodwater in the </w:t>
      </w:r>
      <w:proofErr w:type="spellStart"/>
      <w:r w:rsidRPr="001449D8">
        <w:rPr>
          <w:rFonts w:ascii="Times New Roman" w:hAnsi="Times New Roman" w:cs="Times New Roman"/>
          <w:color w:val="000000" w:themeColor="text1"/>
          <w:sz w:val="24"/>
          <w:szCs w:val="24"/>
        </w:rPr>
        <w:t>Nemunas</w:t>
      </w:r>
      <w:proofErr w:type="spellEnd"/>
      <w:r w:rsidRPr="001449D8">
        <w:rPr>
          <w:rFonts w:ascii="Times New Roman" w:hAnsi="Times New Roman" w:cs="Times New Roman"/>
          <w:color w:val="000000" w:themeColor="text1"/>
          <w:sz w:val="24"/>
          <w:szCs w:val="24"/>
        </w:rPr>
        <w:t xml:space="preserve"> and </w:t>
      </w:r>
      <w:proofErr w:type="spellStart"/>
      <w:r w:rsidRPr="001449D8">
        <w:rPr>
          <w:rFonts w:ascii="Times New Roman" w:hAnsi="Times New Roman" w:cs="Times New Roman"/>
          <w:color w:val="000000" w:themeColor="text1"/>
          <w:sz w:val="24"/>
          <w:szCs w:val="24"/>
        </w:rPr>
        <w:t>Minija</w:t>
      </w:r>
      <w:proofErr w:type="spellEnd"/>
      <w:r w:rsidRPr="001449D8">
        <w:rPr>
          <w:rFonts w:ascii="Times New Roman" w:hAnsi="Times New Roman" w:cs="Times New Roman"/>
          <w:color w:val="000000" w:themeColor="text1"/>
          <w:sz w:val="24"/>
          <w:szCs w:val="24"/>
        </w:rPr>
        <w:t xml:space="preserve"> lowlands. </w:t>
      </w:r>
      <w:proofErr w:type="spellStart"/>
      <w:r w:rsidRPr="001449D8">
        <w:rPr>
          <w:rFonts w:ascii="Times New Roman" w:hAnsi="Times New Roman" w:cs="Times New Roman"/>
          <w:i/>
          <w:iCs/>
          <w:color w:val="000000" w:themeColor="text1"/>
          <w:sz w:val="24"/>
          <w:szCs w:val="24"/>
        </w:rPr>
        <w:t>Zemdirbyste</w:t>
      </w:r>
      <w:proofErr w:type="spellEnd"/>
      <w:r w:rsidRPr="001449D8">
        <w:rPr>
          <w:rFonts w:ascii="Times New Roman" w:hAnsi="Times New Roman" w:cs="Times New Roman"/>
          <w:i/>
          <w:iCs/>
          <w:color w:val="000000" w:themeColor="text1"/>
          <w:sz w:val="24"/>
          <w:szCs w:val="24"/>
        </w:rPr>
        <w:t>-Agriculture</w:t>
      </w:r>
      <w:r w:rsidRPr="001449D8">
        <w:rPr>
          <w:rFonts w:ascii="Times New Roman" w:hAnsi="Times New Roman" w:cs="Times New Roman"/>
          <w:color w:val="000000" w:themeColor="text1"/>
          <w:sz w:val="24"/>
          <w:szCs w:val="24"/>
        </w:rPr>
        <w:t>, </w:t>
      </w:r>
      <w:r w:rsidRPr="001449D8">
        <w:rPr>
          <w:rFonts w:ascii="Times New Roman" w:hAnsi="Times New Roman" w:cs="Times New Roman"/>
          <w:i/>
          <w:iCs/>
          <w:color w:val="000000" w:themeColor="text1"/>
          <w:sz w:val="24"/>
          <w:szCs w:val="24"/>
        </w:rPr>
        <w:t>102</w:t>
      </w:r>
      <w:r w:rsidRPr="001449D8">
        <w:rPr>
          <w:rFonts w:ascii="Times New Roman" w:hAnsi="Times New Roman" w:cs="Times New Roman"/>
          <w:color w:val="000000" w:themeColor="text1"/>
          <w:sz w:val="24"/>
          <w:szCs w:val="24"/>
        </w:rPr>
        <w:t>(3).</w:t>
      </w:r>
    </w:p>
    <w:p w14:paraId="07B49B10" w14:textId="0F7F21DB" w:rsidR="008E3C05" w:rsidRPr="001449D8" w:rsidRDefault="008E3C05"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Naidu, L. G. K., Ramamurthy, V., Challa, O., Hegde, R., &amp; Krishnan, P. (2006). Manual soil-site suitability criteria for major crops. </w:t>
      </w:r>
      <w:r w:rsidRPr="001449D8">
        <w:rPr>
          <w:rFonts w:ascii="Times New Roman" w:hAnsi="Times New Roman" w:cs="Times New Roman"/>
          <w:i/>
          <w:iCs/>
          <w:sz w:val="24"/>
          <w:szCs w:val="24"/>
        </w:rPr>
        <w:t xml:space="preserve">NBSS </w:t>
      </w:r>
      <w:proofErr w:type="spellStart"/>
      <w:r w:rsidRPr="001449D8">
        <w:rPr>
          <w:rFonts w:ascii="Times New Roman" w:hAnsi="Times New Roman" w:cs="Times New Roman"/>
          <w:i/>
          <w:iCs/>
          <w:sz w:val="24"/>
          <w:szCs w:val="24"/>
        </w:rPr>
        <w:t>publ</w:t>
      </w:r>
      <w:proofErr w:type="spellEnd"/>
      <w:r w:rsidRPr="001449D8">
        <w:rPr>
          <w:rFonts w:ascii="Times New Roman" w:hAnsi="Times New Roman" w:cs="Times New Roman"/>
          <w:sz w:val="24"/>
          <w:szCs w:val="24"/>
        </w:rPr>
        <w:t>, </w:t>
      </w:r>
      <w:r w:rsidRPr="001449D8">
        <w:rPr>
          <w:rFonts w:ascii="Times New Roman" w:hAnsi="Times New Roman" w:cs="Times New Roman"/>
          <w:i/>
          <w:iCs/>
          <w:sz w:val="24"/>
          <w:szCs w:val="24"/>
        </w:rPr>
        <w:t>129</w:t>
      </w:r>
      <w:r w:rsidRPr="001449D8">
        <w:rPr>
          <w:rFonts w:ascii="Times New Roman" w:hAnsi="Times New Roman" w:cs="Times New Roman"/>
          <w:sz w:val="24"/>
          <w:szCs w:val="24"/>
        </w:rPr>
        <w:t>.</w:t>
      </w:r>
    </w:p>
    <w:p w14:paraId="2CF755A9" w14:textId="268EAA15" w:rsidR="008E3C05" w:rsidRPr="001449D8" w:rsidRDefault="008E3C05"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bookmarkStart w:id="4" w:name="_Hlk53135773"/>
      <w:r w:rsidRPr="001449D8">
        <w:rPr>
          <w:rFonts w:ascii="Times New Roman" w:hAnsi="Times New Roman" w:cs="Times New Roman"/>
          <w:sz w:val="24"/>
          <w:szCs w:val="24"/>
          <w:shd w:val="clear" w:color="auto" w:fill="FFFFFF"/>
        </w:rPr>
        <w:t xml:space="preserve">Bornemisza, E., &amp; Llanos, R. (1967). </w:t>
      </w:r>
      <w:proofErr w:type="spellStart"/>
      <w:r w:rsidRPr="001449D8">
        <w:rPr>
          <w:rFonts w:ascii="Times New Roman" w:hAnsi="Times New Roman" w:cs="Times New Roman"/>
          <w:sz w:val="24"/>
          <w:szCs w:val="24"/>
          <w:shd w:val="clear" w:color="auto" w:fill="FFFFFF"/>
        </w:rPr>
        <w:t>Sulfate</w:t>
      </w:r>
      <w:proofErr w:type="spellEnd"/>
      <w:r w:rsidRPr="001449D8">
        <w:rPr>
          <w:rFonts w:ascii="Times New Roman" w:hAnsi="Times New Roman" w:cs="Times New Roman"/>
          <w:sz w:val="24"/>
          <w:szCs w:val="24"/>
          <w:shd w:val="clear" w:color="auto" w:fill="FFFFFF"/>
        </w:rPr>
        <w:t xml:space="preserve"> movement, adsorption, and desorption in three Costa Rican soils. Soil Science Society of America Journal, 31(3), 356-360.</w:t>
      </w:r>
    </w:p>
    <w:p w14:paraId="18D14960" w14:textId="6CB06DE0"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lang w:bidi="ml-IN"/>
        </w:rPr>
      </w:pPr>
      <w:r w:rsidRPr="001449D8">
        <w:rPr>
          <w:rFonts w:ascii="Times New Roman" w:hAnsi="Times New Roman" w:cs="Times New Roman"/>
          <w:sz w:val="24"/>
          <w:szCs w:val="24"/>
          <w:lang w:bidi="ml-IN"/>
        </w:rPr>
        <w:t>Hesse, P. R. (1971). </w:t>
      </w:r>
      <w:r w:rsidRPr="001449D8">
        <w:rPr>
          <w:rFonts w:ascii="Times New Roman" w:hAnsi="Times New Roman" w:cs="Times New Roman"/>
          <w:i/>
          <w:iCs/>
          <w:sz w:val="24"/>
          <w:szCs w:val="24"/>
          <w:lang w:bidi="ml-IN"/>
        </w:rPr>
        <w:t>A Textbook of Soil Chemical Analysis [by] PR Hesse</w:t>
      </w:r>
      <w:r w:rsidRPr="001449D8">
        <w:rPr>
          <w:rFonts w:ascii="Times New Roman" w:hAnsi="Times New Roman" w:cs="Times New Roman"/>
          <w:sz w:val="24"/>
          <w:szCs w:val="24"/>
          <w:lang w:bidi="ml-IN"/>
        </w:rPr>
        <w:t>.</w:t>
      </w:r>
    </w:p>
    <w:bookmarkEnd w:id="4"/>
    <w:p w14:paraId="0F7EFFB0" w14:textId="491B4EE0"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shd w:val="clear" w:color="auto" w:fill="FFFFFF"/>
        </w:rPr>
        <w:t>Karlen, D. L. and Stott, D. E. 1994. A framework for evaluating physical and chemical indicators of soil quality. </w:t>
      </w:r>
      <w:r w:rsidRPr="001449D8">
        <w:rPr>
          <w:rFonts w:ascii="Times New Roman" w:hAnsi="Times New Roman" w:cs="Times New Roman"/>
          <w:i/>
          <w:iCs/>
          <w:sz w:val="24"/>
          <w:szCs w:val="24"/>
          <w:shd w:val="clear" w:color="auto" w:fill="FFFFFF"/>
        </w:rPr>
        <w:t>Defining Soil Qual. Sustain. Environ.</w:t>
      </w:r>
      <w:r w:rsidRPr="001449D8">
        <w:rPr>
          <w:rFonts w:ascii="Times New Roman" w:hAnsi="Times New Roman" w:cs="Times New Roman"/>
          <w:sz w:val="24"/>
          <w:szCs w:val="24"/>
          <w:shd w:val="clear" w:color="auto" w:fill="FFFFFF"/>
        </w:rPr>
        <w:t> </w:t>
      </w:r>
      <w:r w:rsidRPr="001449D8">
        <w:rPr>
          <w:rFonts w:ascii="Times New Roman" w:hAnsi="Times New Roman" w:cs="Times New Roman"/>
          <w:i/>
          <w:iCs/>
          <w:sz w:val="24"/>
          <w:szCs w:val="24"/>
          <w:shd w:val="clear" w:color="auto" w:fill="FFFFFF"/>
        </w:rPr>
        <w:t>35</w:t>
      </w:r>
      <w:r w:rsidRPr="001449D8">
        <w:rPr>
          <w:rFonts w:ascii="Times New Roman" w:hAnsi="Times New Roman" w:cs="Times New Roman"/>
          <w:sz w:val="24"/>
          <w:szCs w:val="24"/>
          <w:shd w:val="clear" w:color="auto" w:fill="FFFFFF"/>
        </w:rPr>
        <w:t>: 53-72.</w:t>
      </w:r>
      <w:r w:rsidR="0068385A" w:rsidRPr="001449D8">
        <w:rPr>
          <w:rFonts w:ascii="Times New Roman" w:hAnsi="Times New Roman" w:cs="Times New Roman"/>
          <w:sz w:val="24"/>
          <w:szCs w:val="24"/>
          <w:shd w:val="clear" w:color="auto" w:fill="FFFFFF"/>
        </w:rPr>
        <w:t xml:space="preserve"> DOI: 10.2136/sssaspecpub35.c4</w:t>
      </w:r>
    </w:p>
    <w:p w14:paraId="1623B72A" w14:textId="77777777"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proofErr w:type="spellStart"/>
      <w:r w:rsidRPr="001449D8">
        <w:rPr>
          <w:rFonts w:ascii="Times New Roman" w:hAnsi="Times New Roman" w:cs="Times New Roman"/>
          <w:sz w:val="24"/>
          <w:szCs w:val="24"/>
        </w:rPr>
        <w:t>Katutis</w:t>
      </w:r>
      <w:proofErr w:type="spellEnd"/>
      <w:r w:rsidRPr="001449D8">
        <w:rPr>
          <w:rFonts w:ascii="Times New Roman" w:hAnsi="Times New Roman" w:cs="Times New Roman"/>
          <w:sz w:val="24"/>
          <w:szCs w:val="24"/>
        </w:rPr>
        <w:t xml:space="preserve">, K. 2007. The variation of the amount of impurities in water in the lower Nemunas during flooding. </w:t>
      </w:r>
      <w:proofErr w:type="spellStart"/>
      <w:r w:rsidRPr="001449D8">
        <w:rPr>
          <w:rFonts w:ascii="Times New Roman" w:hAnsi="Times New Roman" w:cs="Times New Roman"/>
          <w:i/>
          <w:sz w:val="24"/>
          <w:szCs w:val="24"/>
        </w:rPr>
        <w:t>Zemdirbyste</w:t>
      </w:r>
      <w:proofErr w:type="spellEnd"/>
      <w:r w:rsidRPr="001449D8">
        <w:rPr>
          <w:rFonts w:ascii="Times New Roman" w:hAnsi="Times New Roman" w:cs="Times New Roman"/>
          <w:i/>
          <w:sz w:val="24"/>
          <w:szCs w:val="24"/>
        </w:rPr>
        <w:t xml:space="preserve"> Agri</w:t>
      </w:r>
      <w:r w:rsidRPr="001449D8">
        <w:rPr>
          <w:rFonts w:ascii="Times New Roman" w:hAnsi="Times New Roman" w:cs="Times New Roman"/>
          <w:sz w:val="24"/>
          <w:szCs w:val="24"/>
        </w:rPr>
        <w:t>. 94 (3): 113–128.</w:t>
      </w:r>
    </w:p>
    <w:p w14:paraId="06EC1807" w14:textId="3163131C"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bookmarkStart w:id="5" w:name="_Hlk53135888"/>
      <w:r w:rsidRPr="001449D8">
        <w:rPr>
          <w:rFonts w:ascii="Times New Roman" w:hAnsi="Times New Roman" w:cs="Times New Roman"/>
          <w:sz w:val="24"/>
          <w:szCs w:val="24"/>
          <w:lang w:val="fi-FI"/>
        </w:rPr>
        <w:t xml:space="preserve">Unger, I. M., Motavalli, P. P., &amp; Muzika, R. M. (2009). </w:t>
      </w:r>
      <w:r w:rsidRPr="001449D8">
        <w:rPr>
          <w:rFonts w:ascii="Times New Roman" w:hAnsi="Times New Roman" w:cs="Times New Roman"/>
          <w:sz w:val="24"/>
          <w:szCs w:val="24"/>
        </w:rPr>
        <w:t>Changes in soil chemical properties with flooding: A field laboratory approach. Agriculture, Ecosystems &amp; Environment, 131(1-2), 105-110.</w:t>
      </w:r>
    </w:p>
    <w:bookmarkEnd w:id="5"/>
    <w:p w14:paraId="730BACE8" w14:textId="2373631A"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lang w:val="fi-FI"/>
        </w:rPr>
      </w:pPr>
      <w:r w:rsidRPr="001449D8">
        <w:rPr>
          <w:rFonts w:ascii="Times New Roman" w:hAnsi="Times New Roman" w:cs="Times New Roman"/>
          <w:sz w:val="24"/>
          <w:szCs w:val="24"/>
        </w:rPr>
        <w:t>Katyal, J. C., &amp; Singh, B. (1992). Availability of boron in the soil and its uptake by rice as influenced by soil moisture regimes. </w:t>
      </w:r>
      <w:r w:rsidRPr="001449D8">
        <w:rPr>
          <w:rFonts w:ascii="Times New Roman" w:hAnsi="Times New Roman" w:cs="Times New Roman"/>
          <w:i/>
          <w:iCs/>
          <w:sz w:val="24"/>
          <w:szCs w:val="24"/>
          <w:lang w:val="fi-FI"/>
        </w:rPr>
        <w:t>Oryza</w:t>
      </w:r>
      <w:r w:rsidRPr="001449D8">
        <w:rPr>
          <w:rFonts w:ascii="Times New Roman" w:hAnsi="Times New Roman" w:cs="Times New Roman"/>
          <w:sz w:val="24"/>
          <w:szCs w:val="24"/>
          <w:lang w:val="fi-FI"/>
        </w:rPr>
        <w:t>, </w:t>
      </w:r>
      <w:r w:rsidRPr="001449D8">
        <w:rPr>
          <w:rFonts w:ascii="Times New Roman" w:hAnsi="Times New Roman" w:cs="Times New Roman"/>
          <w:i/>
          <w:iCs/>
          <w:sz w:val="24"/>
          <w:szCs w:val="24"/>
          <w:lang w:val="fi-FI"/>
        </w:rPr>
        <w:t>29</w:t>
      </w:r>
      <w:r w:rsidRPr="001449D8">
        <w:rPr>
          <w:rFonts w:ascii="Times New Roman" w:hAnsi="Times New Roman" w:cs="Times New Roman"/>
          <w:sz w:val="24"/>
          <w:szCs w:val="24"/>
          <w:lang w:val="fi-FI"/>
        </w:rPr>
        <w:t>, 384-384.</w:t>
      </w:r>
    </w:p>
    <w:p w14:paraId="2C668459" w14:textId="289B6F5C"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bookmarkStart w:id="6" w:name="_Hlk53135786"/>
      <w:r w:rsidRPr="001449D8">
        <w:rPr>
          <w:rFonts w:ascii="Times New Roman" w:hAnsi="Times New Roman" w:cs="Times New Roman"/>
          <w:sz w:val="24"/>
          <w:szCs w:val="24"/>
          <w:lang w:val="fi-FI"/>
        </w:rPr>
        <w:t xml:space="preserve">Rajasekharan, P., Nair, K. M., John, K. S., Kumar, P. S., Kutty, M. N., &amp; Nair, A. R. (2014). </w:t>
      </w:r>
      <w:r w:rsidRPr="001449D8">
        <w:rPr>
          <w:rFonts w:ascii="Times New Roman" w:hAnsi="Times New Roman" w:cs="Times New Roman"/>
          <w:sz w:val="24"/>
          <w:szCs w:val="24"/>
        </w:rPr>
        <w:t>Soil fertility related constraints to crop production in Kerala. </w:t>
      </w:r>
      <w:r w:rsidRPr="001449D8">
        <w:rPr>
          <w:rFonts w:ascii="Times New Roman" w:hAnsi="Times New Roman" w:cs="Times New Roman"/>
          <w:i/>
          <w:iCs/>
          <w:sz w:val="24"/>
          <w:szCs w:val="24"/>
        </w:rPr>
        <w:t>Indian J. Fertil</w:t>
      </w:r>
      <w:r w:rsidRPr="001449D8">
        <w:rPr>
          <w:rFonts w:ascii="Times New Roman" w:hAnsi="Times New Roman" w:cs="Times New Roman"/>
          <w:sz w:val="24"/>
          <w:szCs w:val="24"/>
        </w:rPr>
        <w:t>, </w:t>
      </w:r>
      <w:r w:rsidRPr="001449D8">
        <w:rPr>
          <w:rFonts w:ascii="Times New Roman" w:hAnsi="Times New Roman" w:cs="Times New Roman"/>
          <w:i/>
          <w:iCs/>
          <w:sz w:val="24"/>
          <w:szCs w:val="24"/>
        </w:rPr>
        <w:t>10</w:t>
      </w:r>
      <w:r w:rsidRPr="001449D8">
        <w:rPr>
          <w:rFonts w:ascii="Times New Roman" w:hAnsi="Times New Roman" w:cs="Times New Roman"/>
          <w:sz w:val="24"/>
          <w:szCs w:val="24"/>
        </w:rPr>
        <w:t>(11), 56-62.</w:t>
      </w:r>
    </w:p>
    <w:bookmarkEnd w:id="6"/>
    <w:p w14:paraId="5866C977" w14:textId="69E09DA3"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r w:rsidRPr="001449D8">
        <w:rPr>
          <w:rFonts w:ascii="Times New Roman" w:hAnsi="Times New Roman" w:cs="Times New Roman"/>
          <w:sz w:val="24"/>
          <w:szCs w:val="24"/>
          <w:shd w:val="clear" w:color="auto" w:fill="FFFFFF"/>
          <w:lang w:val="fi-FI"/>
        </w:rPr>
        <w:t xml:space="preserve">Kundu, S., Coumar, M. V., Saha, J. K., Rajendiran, S., Hati, K. M., Biswas, A. K., ... </w:t>
      </w:r>
      <w:r w:rsidRPr="001449D8">
        <w:rPr>
          <w:rFonts w:ascii="Times New Roman" w:hAnsi="Times New Roman" w:cs="Times New Roman"/>
          <w:sz w:val="24"/>
          <w:szCs w:val="24"/>
          <w:shd w:val="clear" w:color="auto" w:fill="FFFFFF"/>
        </w:rPr>
        <w:t xml:space="preserve">&amp; Rao, A. S. (2012). Assessing soil health of </w:t>
      </w:r>
      <w:proofErr w:type="spellStart"/>
      <w:r w:rsidRPr="001449D8">
        <w:rPr>
          <w:rFonts w:ascii="Times New Roman" w:hAnsi="Times New Roman" w:cs="Times New Roman"/>
          <w:sz w:val="24"/>
          <w:szCs w:val="24"/>
          <w:shd w:val="clear" w:color="auto" w:fill="FFFFFF"/>
        </w:rPr>
        <w:t>Vertisol</w:t>
      </w:r>
      <w:proofErr w:type="spellEnd"/>
      <w:r w:rsidRPr="001449D8">
        <w:rPr>
          <w:rFonts w:ascii="Times New Roman" w:hAnsi="Times New Roman" w:cs="Times New Roman"/>
          <w:sz w:val="24"/>
          <w:szCs w:val="24"/>
          <w:shd w:val="clear" w:color="auto" w:fill="FFFFFF"/>
        </w:rPr>
        <w:t xml:space="preserve"> of AESR 10.1 using selected physical, chemical and biological attributes of soils. </w:t>
      </w:r>
      <w:r w:rsidRPr="001449D8">
        <w:rPr>
          <w:rFonts w:ascii="Times New Roman" w:hAnsi="Times New Roman" w:cs="Times New Roman"/>
          <w:i/>
          <w:iCs/>
          <w:sz w:val="24"/>
          <w:szCs w:val="24"/>
          <w:shd w:val="clear" w:color="auto" w:fill="FFFFFF"/>
        </w:rPr>
        <w:t>Journal of the Indian Society of Soil Science</w:t>
      </w:r>
      <w:r w:rsidRPr="001449D8">
        <w:rPr>
          <w:rFonts w:ascii="Times New Roman" w:hAnsi="Times New Roman" w:cs="Times New Roman"/>
          <w:sz w:val="24"/>
          <w:szCs w:val="24"/>
          <w:shd w:val="clear" w:color="auto" w:fill="FFFFFF"/>
        </w:rPr>
        <w:t>, </w:t>
      </w:r>
      <w:r w:rsidRPr="001449D8">
        <w:rPr>
          <w:rFonts w:ascii="Times New Roman" w:hAnsi="Times New Roman" w:cs="Times New Roman"/>
          <w:i/>
          <w:iCs/>
          <w:sz w:val="24"/>
          <w:szCs w:val="24"/>
          <w:shd w:val="clear" w:color="auto" w:fill="FFFFFF"/>
        </w:rPr>
        <w:t>60</w:t>
      </w:r>
      <w:r w:rsidRPr="001449D8">
        <w:rPr>
          <w:rFonts w:ascii="Times New Roman" w:hAnsi="Times New Roman" w:cs="Times New Roman"/>
          <w:sz w:val="24"/>
          <w:szCs w:val="24"/>
          <w:shd w:val="clear" w:color="auto" w:fill="FFFFFF"/>
        </w:rPr>
        <w:t>(4), 281-287.</w:t>
      </w:r>
    </w:p>
    <w:p w14:paraId="68B3CA58" w14:textId="49F9D44F" w:rsidR="00401FA8" w:rsidRPr="001449D8" w:rsidRDefault="00401FA8" w:rsidP="001449D8">
      <w:pPr>
        <w:pStyle w:val="ListParagraph"/>
        <w:numPr>
          <w:ilvl w:val="0"/>
          <w:numId w:val="2"/>
        </w:numPr>
        <w:spacing w:after="0" w:line="480" w:lineRule="auto"/>
        <w:jc w:val="both"/>
        <w:rPr>
          <w:rFonts w:ascii="Times New Roman" w:hAnsi="Times New Roman" w:cs="Times New Roman"/>
          <w:sz w:val="24"/>
          <w:szCs w:val="24"/>
        </w:rPr>
      </w:pPr>
      <w:r w:rsidRPr="001449D8">
        <w:rPr>
          <w:rFonts w:ascii="Times New Roman" w:hAnsi="Times New Roman" w:cs="Times New Roman"/>
          <w:sz w:val="24"/>
          <w:szCs w:val="24"/>
          <w:shd w:val="clear" w:color="auto" w:fill="FFFFFF"/>
        </w:rPr>
        <w:lastRenderedPageBreak/>
        <w:t>Lal, R., 2015. Restoring soil quality to mitigate soil degradation. </w:t>
      </w:r>
      <w:r w:rsidRPr="001449D8">
        <w:rPr>
          <w:rFonts w:ascii="Times New Roman" w:hAnsi="Times New Roman" w:cs="Times New Roman"/>
          <w:i/>
          <w:iCs/>
          <w:sz w:val="24"/>
          <w:szCs w:val="24"/>
          <w:shd w:val="clear" w:color="auto" w:fill="FFFFFF"/>
        </w:rPr>
        <w:t>Sustainability</w:t>
      </w:r>
      <w:r w:rsidRPr="001449D8">
        <w:rPr>
          <w:rFonts w:ascii="Times New Roman" w:hAnsi="Times New Roman" w:cs="Times New Roman"/>
          <w:sz w:val="24"/>
          <w:szCs w:val="24"/>
          <w:shd w:val="clear" w:color="auto" w:fill="FFFFFF"/>
        </w:rPr>
        <w:t>, </w:t>
      </w:r>
      <w:r w:rsidRPr="001449D8">
        <w:rPr>
          <w:rFonts w:ascii="Times New Roman" w:hAnsi="Times New Roman" w:cs="Times New Roman"/>
          <w:i/>
          <w:iCs/>
          <w:sz w:val="24"/>
          <w:szCs w:val="24"/>
          <w:shd w:val="clear" w:color="auto" w:fill="FFFFFF"/>
        </w:rPr>
        <w:t>7</w:t>
      </w:r>
      <w:r w:rsidRPr="001449D8">
        <w:rPr>
          <w:rFonts w:ascii="Times New Roman" w:hAnsi="Times New Roman" w:cs="Times New Roman"/>
          <w:sz w:val="24"/>
          <w:szCs w:val="24"/>
          <w:shd w:val="clear" w:color="auto" w:fill="FFFFFF"/>
        </w:rPr>
        <w:t>(5), pp.5875-5895.</w:t>
      </w:r>
      <w:r w:rsidR="0068385A" w:rsidRPr="001449D8">
        <w:rPr>
          <w:rFonts w:ascii="Times New Roman" w:hAnsi="Times New Roman" w:cs="Times New Roman"/>
          <w:sz w:val="24"/>
          <w:szCs w:val="24"/>
          <w:shd w:val="clear" w:color="auto" w:fill="FFFFFF"/>
        </w:rPr>
        <w:t xml:space="preserve"> DOI: 10.3390/su705875</w:t>
      </w:r>
    </w:p>
    <w:p w14:paraId="4F18673A" w14:textId="369D2C7D"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Liang, J. (1996). Studies on the composed form and releasing amount of phosphorus in </w:t>
      </w:r>
      <w:proofErr w:type="spellStart"/>
      <w:r w:rsidRPr="001449D8">
        <w:rPr>
          <w:rFonts w:ascii="Times New Roman" w:hAnsi="Times New Roman" w:cs="Times New Roman"/>
          <w:sz w:val="24"/>
          <w:szCs w:val="24"/>
        </w:rPr>
        <w:t>podzoluviaol</w:t>
      </w:r>
      <w:proofErr w:type="spellEnd"/>
      <w:r w:rsidRPr="001449D8">
        <w:rPr>
          <w:rFonts w:ascii="Times New Roman" w:hAnsi="Times New Roman" w:cs="Times New Roman"/>
          <w:sz w:val="24"/>
          <w:szCs w:val="24"/>
        </w:rPr>
        <w:t xml:space="preserve"> under submerge condition. Heilongjiang Agric, 3, 9-11.</w:t>
      </w:r>
    </w:p>
    <w:p w14:paraId="794B29F8" w14:textId="2C9E0A19"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Massoumi, A. and Cornfield, A. H. 1963. A rapid method for determining sulphate in water extracts of soils. </w:t>
      </w:r>
      <w:r w:rsidRPr="001449D8">
        <w:rPr>
          <w:rFonts w:ascii="Times New Roman" w:hAnsi="Times New Roman" w:cs="Times New Roman"/>
          <w:i/>
          <w:iCs/>
          <w:sz w:val="24"/>
          <w:szCs w:val="24"/>
        </w:rPr>
        <w:t>Analyst.</w:t>
      </w:r>
      <w:r w:rsidRPr="001449D8">
        <w:rPr>
          <w:rFonts w:ascii="Times New Roman" w:hAnsi="Times New Roman" w:cs="Times New Roman"/>
          <w:sz w:val="24"/>
          <w:szCs w:val="24"/>
        </w:rPr>
        <w:t xml:space="preserve"> 88: 321–322.</w:t>
      </w:r>
      <w:r w:rsidR="0068385A" w:rsidRPr="001449D8">
        <w:rPr>
          <w:rFonts w:ascii="Times New Roman" w:hAnsi="Times New Roman" w:cs="Times New Roman"/>
          <w:sz w:val="24"/>
          <w:szCs w:val="24"/>
        </w:rPr>
        <w:t xml:space="preserve"> DOI: 10.1039/an9638800321</w:t>
      </w:r>
    </w:p>
    <w:p w14:paraId="53961357" w14:textId="42FCE296"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bookmarkStart w:id="7" w:name="_Hlk46348710"/>
      <w:r w:rsidRPr="001449D8">
        <w:rPr>
          <w:rFonts w:ascii="Times New Roman" w:hAnsi="Times New Roman" w:cs="Times New Roman"/>
          <w:sz w:val="24"/>
          <w:szCs w:val="24"/>
        </w:rPr>
        <w:t xml:space="preserve">Munkholm, I. J. and Kay, B. D. 2002. Effect of water regime on aggregate- tensile strength, rupture energy and friability. </w:t>
      </w:r>
      <w:r w:rsidRPr="001449D8">
        <w:rPr>
          <w:rFonts w:ascii="Times New Roman" w:hAnsi="Times New Roman" w:cs="Times New Roman"/>
          <w:i/>
          <w:sz w:val="24"/>
          <w:szCs w:val="24"/>
        </w:rPr>
        <w:t>Soil Sci. Soc. Am. J</w:t>
      </w:r>
      <w:r w:rsidRPr="001449D8">
        <w:rPr>
          <w:rFonts w:ascii="Times New Roman" w:hAnsi="Times New Roman" w:cs="Times New Roman"/>
          <w:sz w:val="24"/>
          <w:szCs w:val="24"/>
        </w:rPr>
        <w:t xml:space="preserve">. 66: 702-709. </w:t>
      </w:r>
      <w:r w:rsidR="0068385A" w:rsidRPr="001449D8">
        <w:rPr>
          <w:rFonts w:ascii="Times New Roman" w:hAnsi="Times New Roman" w:cs="Times New Roman"/>
          <w:sz w:val="24"/>
          <w:szCs w:val="24"/>
        </w:rPr>
        <w:t>DOI: 10.2136/sssaj2002.7020</w:t>
      </w:r>
    </w:p>
    <w:bookmarkEnd w:id="7"/>
    <w:p w14:paraId="3F70E15F" w14:textId="17C89551"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Pulford, I. D. and Tabatabai, M. A. 1988. Effect of waterlogging on enzyme activities in soils. </w:t>
      </w:r>
      <w:r w:rsidRPr="001449D8">
        <w:rPr>
          <w:rFonts w:ascii="Times New Roman" w:hAnsi="Times New Roman" w:cs="Times New Roman"/>
          <w:i/>
          <w:sz w:val="24"/>
          <w:szCs w:val="24"/>
        </w:rPr>
        <w:t xml:space="preserve">Soil Biol. </w:t>
      </w:r>
      <w:proofErr w:type="spellStart"/>
      <w:r w:rsidRPr="001449D8">
        <w:rPr>
          <w:rFonts w:ascii="Times New Roman" w:hAnsi="Times New Roman" w:cs="Times New Roman"/>
          <w:i/>
          <w:sz w:val="24"/>
          <w:szCs w:val="24"/>
        </w:rPr>
        <w:t>Biochem</w:t>
      </w:r>
      <w:proofErr w:type="spellEnd"/>
      <w:r w:rsidRPr="001449D8">
        <w:rPr>
          <w:rFonts w:ascii="Times New Roman" w:hAnsi="Times New Roman" w:cs="Times New Roman"/>
          <w:i/>
          <w:sz w:val="24"/>
          <w:szCs w:val="24"/>
        </w:rPr>
        <w:t xml:space="preserve">. </w:t>
      </w:r>
      <w:r w:rsidRPr="001449D8">
        <w:rPr>
          <w:rFonts w:ascii="Times New Roman" w:hAnsi="Times New Roman" w:cs="Times New Roman"/>
          <w:iCs/>
          <w:sz w:val="24"/>
          <w:szCs w:val="24"/>
        </w:rPr>
        <w:t>20(2):215-219.</w:t>
      </w:r>
      <w:r w:rsidR="0068385A" w:rsidRPr="001449D8">
        <w:rPr>
          <w:rFonts w:ascii="Times New Roman" w:hAnsi="Times New Roman" w:cs="Times New Roman"/>
          <w:iCs/>
          <w:sz w:val="24"/>
          <w:szCs w:val="24"/>
        </w:rPr>
        <w:t xml:space="preserve"> DOI: 10.1016/0038-0717(88)90039-9</w:t>
      </w:r>
    </w:p>
    <w:p w14:paraId="6882E183" w14:textId="1F23284F" w:rsidR="00401FA8" w:rsidRPr="001449D8" w:rsidRDefault="00401FA8" w:rsidP="001449D8">
      <w:pPr>
        <w:pStyle w:val="ListParagraph"/>
        <w:numPr>
          <w:ilvl w:val="0"/>
          <w:numId w:val="2"/>
        </w:numPr>
        <w:spacing w:line="480" w:lineRule="auto"/>
        <w:jc w:val="both"/>
        <w:rPr>
          <w:rFonts w:ascii="Times New Roman" w:hAnsi="Times New Roman" w:cs="Times New Roman"/>
          <w:bCs/>
          <w:sz w:val="24"/>
          <w:szCs w:val="24"/>
        </w:rPr>
      </w:pPr>
      <w:proofErr w:type="spellStart"/>
      <w:r w:rsidRPr="001449D8">
        <w:rPr>
          <w:rFonts w:ascii="Times New Roman" w:hAnsi="Times New Roman" w:cs="Times New Roman"/>
          <w:bCs/>
          <w:sz w:val="24"/>
          <w:szCs w:val="24"/>
        </w:rPr>
        <w:t>Sardans</w:t>
      </w:r>
      <w:proofErr w:type="spellEnd"/>
      <w:r w:rsidRPr="001449D8">
        <w:rPr>
          <w:rFonts w:ascii="Times New Roman" w:hAnsi="Times New Roman" w:cs="Times New Roman"/>
          <w:bCs/>
          <w:sz w:val="24"/>
          <w:szCs w:val="24"/>
        </w:rPr>
        <w:t xml:space="preserve">, J. and </w:t>
      </w:r>
      <w:proofErr w:type="spellStart"/>
      <w:r w:rsidRPr="001449D8">
        <w:rPr>
          <w:rFonts w:ascii="Times New Roman" w:hAnsi="Times New Roman" w:cs="Times New Roman"/>
          <w:bCs/>
          <w:sz w:val="24"/>
          <w:szCs w:val="24"/>
        </w:rPr>
        <w:t>Peñuelas</w:t>
      </w:r>
      <w:proofErr w:type="spellEnd"/>
      <w:r w:rsidRPr="001449D8">
        <w:rPr>
          <w:rFonts w:ascii="Times New Roman" w:hAnsi="Times New Roman" w:cs="Times New Roman"/>
          <w:bCs/>
          <w:sz w:val="24"/>
          <w:szCs w:val="24"/>
        </w:rPr>
        <w:t xml:space="preserve">, J. 2005. Drought decreases </w:t>
      </w:r>
      <w:proofErr w:type="spellStart"/>
      <w:r w:rsidRPr="001449D8">
        <w:rPr>
          <w:rFonts w:ascii="Times New Roman" w:hAnsi="Times New Roman" w:cs="Times New Roman"/>
          <w:bCs/>
          <w:sz w:val="24"/>
          <w:szCs w:val="24"/>
        </w:rPr>
        <w:t>soilenzyme</w:t>
      </w:r>
      <w:proofErr w:type="spellEnd"/>
      <w:r w:rsidRPr="001449D8">
        <w:rPr>
          <w:rFonts w:ascii="Times New Roman" w:hAnsi="Times New Roman" w:cs="Times New Roman"/>
          <w:bCs/>
          <w:sz w:val="24"/>
          <w:szCs w:val="24"/>
        </w:rPr>
        <w:t xml:space="preserve"> activity in a Mediterranean </w:t>
      </w:r>
      <w:r w:rsidRPr="001449D8">
        <w:rPr>
          <w:rFonts w:ascii="Times New Roman" w:hAnsi="Times New Roman" w:cs="Times New Roman"/>
          <w:bCs/>
          <w:i/>
          <w:iCs/>
          <w:sz w:val="24"/>
          <w:szCs w:val="24"/>
        </w:rPr>
        <w:t xml:space="preserve">Quercus ilex </w:t>
      </w:r>
      <w:r w:rsidRPr="001449D8">
        <w:rPr>
          <w:rFonts w:ascii="Times New Roman" w:hAnsi="Times New Roman" w:cs="Times New Roman"/>
          <w:bCs/>
          <w:sz w:val="24"/>
          <w:szCs w:val="24"/>
        </w:rPr>
        <w:t xml:space="preserve">L. </w:t>
      </w:r>
      <w:proofErr w:type="spellStart"/>
      <w:proofErr w:type="gramStart"/>
      <w:r w:rsidRPr="001449D8">
        <w:rPr>
          <w:rFonts w:ascii="Times New Roman" w:hAnsi="Times New Roman" w:cs="Times New Roman"/>
          <w:bCs/>
          <w:sz w:val="24"/>
          <w:szCs w:val="24"/>
        </w:rPr>
        <w:t>forest.</w:t>
      </w:r>
      <w:r w:rsidRPr="001449D8">
        <w:rPr>
          <w:rFonts w:ascii="Times New Roman" w:hAnsi="Times New Roman" w:cs="Times New Roman"/>
          <w:bCs/>
          <w:i/>
          <w:sz w:val="24"/>
          <w:szCs w:val="24"/>
        </w:rPr>
        <w:t>Soil</w:t>
      </w:r>
      <w:proofErr w:type="spellEnd"/>
      <w:proofErr w:type="gramEnd"/>
      <w:r w:rsidRPr="001449D8">
        <w:rPr>
          <w:rFonts w:ascii="Times New Roman" w:hAnsi="Times New Roman" w:cs="Times New Roman"/>
          <w:bCs/>
          <w:i/>
          <w:sz w:val="24"/>
          <w:szCs w:val="24"/>
        </w:rPr>
        <w:t xml:space="preserve"> Biol. </w:t>
      </w:r>
      <w:proofErr w:type="spellStart"/>
      <w:r w:rsidRPr="001449D8">
        <w:rPr>
          <w:rFonts w:ascii="Times New Roman" w:hAnsi="Times New Roman" w:cs="Times New Roman"/>
          <w:bCs/>
          <w:i/>
          <w:sz w:val="24"/>
          <w:szCs w:val="24"/>
        </w:rPr>
        <w:t>Biochem</w:t>
      </w:r>
      <w:proofErr w:type="spellEnd"/>
      <w:r w:rsidRPr="001449D8">
        <w:rPr>
          <w:rFonts w:ascii="Times New Roman" w:hAnsi="Times New Roman" w:cs="Times New Roman"/>
          <w:bCs/>
          <w:sz w:val="24"/>
          <w:szCs w:val="24"/>
        </w:rPr>
        <w:t>. 37(3): 455-467.</w:t>
      </w:r>
      <w:r w:rsidR="0068385A" w:rsidRPr="001449D8">
        <w:rPr>
          <w:rFonts w:ascii="Times New Roman" w:hAnsi="Times New Roman" w:cs="Times New Roman"/>
          <w:bCs/>
          <w:sz w:val="24"/>
          <w:szCs w:val="24"/>
        </w:rPr>
        <w:t xml:space="preserve"> DOI: 10.1016/j.soilbio.2004.08.004</w:t>
      </w:r>
    </w:p>
    <w:p w14:paraId="465290FC" w14:textId="4B9141A4"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Subbiah, B. V., &amp; Asija, G. L. (1956). A rapid procedure for the estimation of available nitrogen in soils.</w:t>
      </w:r>
    </w:p>
    <w:p w14:paraId="3028CC7F" w14:textId="4F947814" w:rsidR="00444CC0" w:rsidRPr="001449D8" w:rsidRDefault="00444CC0"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Valizadeh Fard, F., REYHANI TABAR, A., Najafi, N., &amp; </w:t>
      </w:r>
      <w:proofErr w:type="spellStart"/>
      <w:r w:rsidRPr="001449D8">
        <w:rPr>
          <w:rFonts w:ascii="Times New Roman" w:hAnsi="Times New Roman" w:cs="Times New Roman"/>
          <w:sz w:val="24"/>
          <w:szCs w:val="24"/>
        </w:rPr>
        <w:t>Oustan</w:t>
      </w:r>
      <w:proofErr w:type="spellEnd"/>
      <w:r w:rsidRPr="001449D8">
        <w:rPr>
          <w:rFonts w:ascii="Times New Roman" w:hAnsi="Times New Roman" w:cs="Times New Roman"/>
          <w:sz w:val="24"/>
          <w:szCs w:val="24"/>
        </w:rPr>
        <w:t xml:space="preserve">, S. (2012). Effects of combined application of Cd and Zn on the growth characteristics of rice plant and zinc, cadmium, iron and manganese concentration in soil under flooded vs. </w:t>
      </w:r>
      <w:proofErr w:type="spellStart"/>
      <w:r w:rsidRPr="001449D8">
        <w:rPr>
          <w:rFonts w:ascii="Times New Roman" w:hAnsi="Times New Roman" w:cs="Times New Roman"/>
          <w:sz w:val="24"/>
          <w:szCs w:val="24"/>
        </w:rPr>
        <w:t>nonflooded</w:t>
      </w:r>
      <w:proofErr w:type="spellEnd"/>
      <w:r w:rsidRPr="001449D8">
        <w:rPr>
          <w:rFonts w:ascii="Times New Roman" w:hAnsi="Times New Roman" w:cs="Times New Roman"/>
          <w:sz w:val="24"/>
          <w:szCs w:val="24"/>
        </w:rPr>
        <w:t xml:space="preserve"> conditions. </w:t>
      </w:r>
      <w:r w:rsidRPr="001449D8">
        <w:rPr>
          <w:rFonts w:ascii="Times New Roman" w:hAnsi="Times New Roman" w:cs="Times New Roman"/>
          <w:i/>
          <w:iCs/>
          <w:sz w:val="24"/>
          <w:szCs w:val="24"/>
        </w:rPr>
        <w:t>Iranian Journal of Soil and Water Research</w:t>
      </w:r>
      <w:r w:rsidRPr="001449D8">
        <w:rPr>
          <w:rFonts w:ascii="Times New Roman" w:hAnsi="Times New Roman" w:cs="Times New Roman"/>
          <w:sz w:val="24"/>
          <w:szCs w:val="24"/>
        </w:rPr>
        <w:t>, </w:t>
      </w:r>
      <w:r w:rsidRPr="001449D8">
        <w:rPr>
          <w:rFonts w:ascii="Times New Roman" w:hAnsi="Times New Roman" w:cs="Times New Roman"/>
          <w:i/>
          <w:iCs/>
          <w:sz w:val="24"/>
          <w:szCs w:val="24"/>
        </w:rPr>
        <w:t>43</w:t>
      </w:r>
      <w:r w:rsidRPr="001449D8">
        <w:rPr>
          <w:rFonts w:ascii="Times New Roman" w:hAnsi="Times New Roman" w:cs="Times New Roman"/>
          <w:sz w:val="24"/>
          <w:szCs w:val="24"/>
        </w:rPr>
        <w:t>(3), 195-205.</w:t>
      </w:r>
    </w:p>
    <w:p w14:paraId="032B1F8E" w14:textId="0EA5C575" w:rsidR="00401FA8" w:rsidRDefault="00401FA8"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r w:rsidRPr="001449D8">
        <w:rPr>
          <w:rFonts w:ascii="Times New Roman" w:hAnsi="Times New Roman" w:cs="Times New Roman"/>
          <w:sz w:val="24"/>
          <w:szCs w:val="24"/>
          <w:shd w:val="clear" w:color="auto" w:fill="FFFFFF"/>
        </w:rPr>
        <w:t xml:space="preserve">Vasu, D., Singh, S. K., Ray, S. K., </w:t>
      </w:r>
      <w:proofErr w:type="spellStart"/>
      <w:r w:rsidRPr="001449D8">
        <w:rPr>
          <w:rFonts w:ascii="Times New Roman" w:hAnsi="Times New Roman" w:cs="Times New Roman"/>
          <w:sz w:val="24"/>
          <w:szCs w:val="24"/>
          <w:shd w:val="clear" w:color="auto" w:fill="FFFFFF"/>
        </w:rPr>
        <w:t>Duraisami</w:t>
      </w:r>
      <w:proofErr w:type="spellEnd"/>
      <w:r w:rsidRPr="001449D8">
        <w:rPr>
          <w:rFonts w:ascii="Times New Roman" w:hAnsi="Times New Roman" w:cs="Times New Roman"/>
          <w:sz w:val="24"/>
          <w:szCs w:val="24"/>
          <w:shd w:val="clear" w:color="auto" w:fill="FFFFFF"/>
        </w:rPr>
        <w:t xml:space="preserve">, V. P., Tiwary, P., Chandran, P., </w:t>
      </w:r>
      <w:proofErr w:type="spellStart"/>
      <w:r w:rsidRPr="001449D8">
        <w:rPr>
          <w:rFonts w:ascii="Times New Roman" w:hAnsi="Times New Roman" w:cs="Times New Roman"/>
          <w:sz w:val="24"/>
          <w:szCs w:val="24"/>
          <w:shd w:val="clear" w:color="auto" w:fill="FFFFFF"/>
        </w:rPr>
        <w:t>Nimkar</w:t>
      </w:r>
      <w:proofErr w:type="spellEnd"/>
      <w:r w:rsidRPr="001449D8">
        <w:rPr>
          <w:rFonts w:ascii="Times New Roman" w:hAnsi="Times New Roman" w:cs="Times New Roman"/>
          <w:sz w:val="24"/>
          <w:szCs w:val="24"/>
          <w:shd w:val="clear" w:color="auto" w:fill="FFFFFF"/>
        </w:rPr>
        <w:t xml:space="preserve">, A. M., and </w:t>
      </w:r>
      <w:proofErr w:type="spellStart"/>
      <w:r w:rsidRPr="001449D8">
        <w:rPr>
          <w:rFonts w:ascii="Times New Roman" w:hAnsi="Times New Roman" w:cs="Times New Roman"/>
          <w:sz w:val="24"/>
          <w:szCs w:val="24"/>
          <w:shd w:val="clear" w:color="auto" w:fill="FFFFFF"/>
        </w:rPr>
        <w:t>Anantwar</w:t>
      </w:r>
      <w:proofErr w:type="spellEnd"/>
      <w:r w:rsidRPr="001449D8">
        <w:rPr>
          <w:rFonts w:ascii="Times New Roman" w:hAnsi="Times New Roman" w:cs="Times New Roman"/>
          <w:sz w:val="24"/>
          <w:szCs w:val="24"/>
          <w:shd w:val="clear" w:color="auto" w:fill="FFFFFF"/>
        </w:rPr>
        <w:t>, S. G. 2016. Soil quality index (SQI) as a tool to evaluate crop productivity in semi-arid Deccan plateau, India. </w:t>
      </w:r>
      <w:proofErr w:type="spellStart"/>
      <w:r w:rsidRPr="001449D8">
        <w:rPr>
          <w:rFonts w:ascii="Times New Roman" w:hAnsi="Times New Roman" w:cs="Times New Roman"/>
          <w:i/>
          <w:iCs/>
          <w:sz w:val="24"/>
          <w:szCs w:val="24"/>
          <w:shd w:val="clear" w:color="auto" w:fill="FFFFFF"/>
        </w:rPr>
        <w:t>Geoderma</w:t>
      </w:r>
      <w:proofErr w:type="spellEnd"/>
      <w:r w:rsidRPr="001449D8">
        <w:rPr>
          <w:rFonts w:ascii="Times New Roman" w:hAnsi="Times New Roman" w:cs="Times New Roman"/>
          <w:sz w:val="24"/>
          <w:szCs w:val="24"/>
          <w:shd w:val="clear" w:color="auto" w:fill="FFFFFF"/>
        </w:rPr>
        <w:t xml:space="preserve">. </w:t>
      </w:r>
      <w:r w:rsidRPr="001449D8">
        <w:rPr>
          <w:rFonts w:ascii="Times New Roman" w:hAnsi="Times New Roman" w:cs="Times New Roman"/>
          <w:i/>
          <w:iCs/>
          <w:sz w:val="24"/>
          <w:szCs w:val="24"/>
          <w:shd w:val="clear" w:color="auto" w:fill="FFFFFF"/>
        </w:rPr>
        <w:t>282</w:t>
      </w:r>
      <w:r w:rsidRPr="001449D8">
        <w:rPr>
          <w:rFonts w:ascii="Times New Roman" w:hAnsi="Times New Roman" w:cs="Times New Roman"/>
          <w:sz w:val="24"/>
          <w:szCs w:val="24"/>
          <w:shd w:val="clear" w:color="auto" w:fill="FFFFFF"/>
        </w:rPr>
        <w:t>:70-79.</w:t>
      </w:r>
      <w:r w:rsidR="0068385A" w:rsidRPr="001449D8">
        <w:rPr>
          <w:rFonts w:ascii="Times New Roman" w:hAnsi="Times New Roman" w:cs="Times New Roman"/>
          <w:sz w:val="24"/>
          <w:szCs w:val="24"/>
          <w:shd w:val="clear" w:color="auto" w:fill="FFFFFF"/>
        </w:rPr>
        <w:t xml:space="preserve"> DOI: 10.1016/j.geoderma.2016.07.010</w:t>
      </w:r>
    </w:p>
    <w:p w14:paraId="6513B319" w14:textId="77777777" w:rsidR="00A84F0D" w:rsidRPr="00A84F0D" w:rsidRDefault="00A84F0D" w:rsidP="00A84F0D">
      <w:pPr>
        <w:pStyle w:val="ListParagraph"/>
        <w:numPr>
          <w:ilvl w:val="0"/>
          <w:numId w:val="2"/>
        </w:numPr>
        <w:shd w:val="clear" w:color="auto" w:fill="CBE0CB"/>
        <w:spacing w:before="300" w:line="270" w:lineRule="atLeast"/>
        <w:rPr>
          <w:color w:val="0000CC"/>
        </w:rPr>
      </w:pPr>
      <w:r w:rsidRPr="00A84F0D">
        <w:rPr>
          <w:color w:val="0000CC"/>
        </w:rPr>
        <w:lastRenderedPageBreak/>
        <w:t xml:space="preserve">Swathi G, Meera AV, </w:t>
      </w:r>
      <w:proofErr w:type="spellStart"/>
      <w:r w:rsidRPr="00A84F0D">
        <w:rPr>
          <w:color w:val="0000CC"/>
        </w:rPr>
        <w:t>Thampatti</w:t>
      </w:r>
      <w:proofErr w:type="spellEnd"/>
      <w:r w:rsidRPr="00A84F0D">
        <w:rPr>
          <w:color w:val="0000CC"/>
        </w:rPr>
        <w:t xml:space="preserve"> MKC, John J. </w:t>
      </w:r>
      <w:proofErr w:type="spellStart"/>
      <w:r w:rsidRPr="00A84F0D">
        <w:rPr>
          <w:color w:val="0000CC"/>
        </w:rPr>
        <w:t>Physico</w:t>
      </w:r>
      <w:proofErr w:type="spellEnd"/>
      <w:r w:rsidRPr="00A84F0D">
        <w:rPr>
          <w:color w:val="0000CC"/>
        </w:rPr>
        <w:t xml:space="preserve"> chemical and biological properties of post flood soils in the </w:t>
      </w:r>
      <w:proofErr w:type="gramStart"/>
      <w:r w:rsidRPr="00A84F0D">
        <w:rPr>
          <w:color w:val="0000CC"/>
        </w:rPr>
        <w:t>south central</w:t>
      </w:r>
      <w:proofErr w:type="gramEnd"/>
      <w:r w:rsidRPr="00A84F0D">
        <w:rPr>
          <w:color w:val="0000CC"/>
        </w:rPr>
        <w:t xml:space="preserve"> laterites of southern Kerala. Int J Chem Stud 2020;8(5):1829-1835. DOI: </w:t>
      </w:r>
      <w:hyperlink r:id="rId27" w:tgtFrame="_blank" w:history="1">
        <w:r w:rsidRPr="00A84F0D">
          <w:rPr>
            <w:rStyle w:val="Hyperlink"/>
            <w:color w:val="0000CC"/>
          </w:rPr>
          <w:t>10.22271/chemi.2020.v8.i5y.10567</w:t>
        </w:r>
      </w:hyperlink>
    </w:p>
    <w:p w14:paraId="0894DA9F" w14:textId="77777777" w:rsidR="00A84F0D" w:rsidRPr="001449D8" w:rsidRDefault="00A84F0D"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p>
    <w:p w14:paraId="01C8A754" w14:textId="77777777" w:rsidR="004044A8" w:rsidRPr="009655DD" w:rsidRDefault="004044A8" w:rsidP="003A05A1">
      <w:pPr>
        <w:spacing w:line="480" w:lineRule="auto"/>
        <w:ind w:left="720" w:hanging="720"/>
        <w:jc w:val="both"/>
        <w:rPr>
          <w:rFonts w:ascii="Times New Roman" w:hAnsi="Times New Roman" w:cs="Times New Roman"/>
          <w:sz w:val="24"/>
          <w:szCs w:val="24"/>
        </w:rPr>
      </w:pPr>
    </w:p>
    <w:sectPr w:rsidR="004044A8" w:rsidRPr="009655DD" w:rsidSect="008257DD">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873E" w14:textId="77777777" w:rsidR="00C97B83" w:rsidRDefault="00C97B83" w:rsidP="0061388A">
      <w:pPr>
        <w:spacing w:after="0" w:line="240" w:lineRule="auto"/>
      </w:pPr>
      <w:r>
        <w:separator/>
      </w:r>
    </w:p>
  </w:endnote>
  <w:endnote w:type="continuationSeparator" w:id="0">
    <w:p w14:paraId="24F7795B" w14:textId="77777777" w:rsidR="00C97B83" w:rsidRDefault="00C97B83" w:rsidP="0061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4162" w14:textId="77777777" w:rsidR="00C90767" w:rsidRDefault="00C9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EDE9" w14:textId="77777777" w:rsidR="00C90767" w:rsidRDefault="00C9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5ABA" w14:textId="77777777" w:rsidR="00C90767" w:rsidRDefault="00C9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D587" w14:textId="77777777" w:rsidR="00C97B83" w:rsidRDefault="00C97B83" w:rsidP="0061388A">
      <w:pPr>
        <w:spacing w:after="0" w:line="240" w:lineRule="auto"/>
      </w:pPr>
      <w:r>
        <w:separator/>
      </w:r>
    </w:p>
  </w:footnote>
  <w:footnote w:type="continuationSeparator" w:id="0">
    <w:p w14:paraId="7ACB3C27" w14:textId="77777777" w:rsidR="00C97B83" w:rsidRDefault="00C97B83" w:rsidP="0061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C09E" w14:textId="2E2952BC" w:rsidR="00C90767" w:rsidRDefault="00A84F0D">
    <w:pPr>
      <w:pStyle w:val="Header"/>
    </w:pPr>
    <w:r>
      <w:rPr>
        <w:noProof/>
      </w:rPr>
      <w:pict w14:anchorId="3A461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1C1B" w14:textId="3D7AEAD0" w:rsidR="00C90767" w:rsidRDefault="00A84F0D">
    <w:pPr>
      <w:pStyle w:val="Header"/>
    </w:pPr>
    <w:r>
      <w:rPr>
        <w:noProof/>
      </w:rPr>
      <w:pict w14:anchorId="1289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26DF" w14:textId="1BC3AE7C" w:rsidR="00C90767" w:rsidRDefault="00A84F0D">
    <w:pPr>
      <w:pStyle w:val="Header"/>
    </w:pPr>
    <w:r>
      <w:rPr>
        <w:noProof/>
      </w:rPr>
      <w:pict w14:anchorId="5EFC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7693"/>
    <w:multiLevelType w:val="hybridMultilevel"/>
    <w:tmpl w:val="5CF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40AF5"/>
    <w:multiLevelType w:val="hybridMultilevel"/>
    <w:tmpl w:val="DEAE5BE4"/>
    <w:lvl w:ilvl="0" w:tplc="CB866384">
      <w:start w:val="1"/>
      <w:numFmt w:val="decimal"/>
      <w:lvlText w:val="%1."/>
      <w:lvlJc w:val="left"/>
      <w:pPr>
        <w:ind w:left="502" w:hanging="360"/>
      </w:pPr>
      <w:rPr>
        <w:rFonts w:cs="Times New Roman" w:hint="default"/>
        <w:b w:val="0"/>
        <w:bCs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Y0MzM2MzM3NjczNzdQ0lEKTi0uzszPAykwrAUAxdDQnCwAAAA="/>
  </w:docVars>
  <w:rsids>
    <w:rsidRoot w:val="008F453A"/>
    <w:rsid w:val="00001230"/>
    <w:rsid w:val="000103AB"/>
    <w:rsid w:val="00021B8D"/>
    <w:rsid w:val="00026D93"/>
    <w:rsid w:val="00033A63"/>
    <w:rsid w:val="00036CD7"/>
    <w:rsid w:val="00096A37"/>
    <w:rsid w:val="000B1947"/>
    <w:rsid w:val="000E7433"/>
    <w:rsid w:val="000F40E2"/>
    <w:rsid w:val="00121250"/>
    <w:rsid w:val="001236E4"/>
    <w:rsid w:val="001449D8"/>
    <w:rsid w:val="0017289E"/>
    <w:rsid w:val="00174B8D"/>
    <w:rsid w:val="0017518D"/>
    <w:rsid w:val="001C2714"/>
    <w:rsid w:val="001E2D74"/>
    <w:rsid w:val="001F748F"/>
    <w:rsid w:val="0020308A"/>
    <w:rsid w:val="00214631"/>
    <w:rsid w:val="002211A7"/>
    <w:rsid w:val="002352EE"/>
    <w:rsid w:val="002372C9"/>
    <w:rsid w:val="00237503"/>
    <w:rsid w:val="00267796"/>
    <w:rsid w:val="002B49B3"/>
    <w:rsid w:val="002E5793"/>
    <w:rsid w:val="00307397"/>
    <w:rsid w:val="00307655"/>
    <w:rsid w:val="00365736"/>
    <w:rsid w:val="00371F8B"/>
    <w:rsid w:val="0037262C"/>
    <w:rsid w:val="00374583"/>
    <w:rsid w:val="00380CF1"/>
    <w:rsid w:val="003A05A1"/>
    <w:rsid w:val="003B0A6F"/>
    <w:rsid w:val="003B1C97"/>
    <w:rsid w:val="003B603A"/>
    <w:rsid w:val="003E24BB"/>
    <w:rsid w:val="00401FA8"/>
    <w:rsid w:val="00403055"/>
    <w:rsid w:val="004044A8"/>
    <w:rsid w:val="00404818"/>
    <w:rsid w:val="004137EA"/>
    <w:rsid w:val="00422510"/>
    <w:rsid w:val="0042662A"/>
    <w:rsid w:val="0044312D"/>
    <w:rsid w:val="004442A2"/>
    <w:rsid w:val="00444CC0"/>
    <w:rsid w:val="004552BD"/>
    <w:rsid w:val="004662A7"/>
    <w:rsid w:val="0049029E"/>
    <w:rsid w:val="00496B91"/>
    <w:rsid w:val="004A3F49"/>
    <w:rsid w:val="004B5599"/>
    <w:rsid w:val="004D287F"/>
    <w:rsid w:val="004F5E79"/>
    <w:rsid w:val="005158DC"/>
    <w:rsid w:val="00541A0F"/>
    <w:rsid w:val="005548CB"/>
    <w:rsid w:val="00557857"/>
    <w:rsid w:val="005747A7"/>
    <w:rsid w:val="005753C0"/>
    <w:rsid w:val="00575847"/>
    <w:rsid w:val="00577439"/>
    <w:rsid w:val="005914D4"/>
    <w:rsid w:val="00592989"/>
    <w:rsid w:val="00596AE4"/>
    <w:rsid w:val="005A40E6"/>
    <w:rsid w:val="005D1145"/>
    <w:rsid w:val="005D26F1"/>
    <w:rsid w:val="005E134B"/>
    <w:rsid w:val="005E2DB1"/>
    <w:rsid w:val="005F329B"/>
    <w:rsid w:val="005F7C16"/>
    <w:rsid w:val="00600102"/>
    <w:rsid w:val="0060795D"/>
    <w:rsid w:val="00611CF3"/>
    <w:rsid w:val="0061388A"/>
    <w:rsid w:val="00636B94"/>
    <w:rsid w:val="0067434B"/>
    <w:rsid w:val="0067626B"/>
    <w:rsid w:val="006832E5"/>
    <w:rsid w:val="0068385A"/>
    <w:rsid w:val="006A1F95"/>
    <w:rsid w:val="006D27D6"/>
    <w:rsid w:val="006D3AD0"/>
    <w:rsid w:val="006E04A6"/>
    <w:rsid w:val="006F6BAA"/>
    <w:rsid w:val="006F6F38"/>
    <w:rsid w:val="00723A8C"/>
    <w:rsid w:val="00737C95"/>
    <w:rsid w:val="007609A2"/>
    <w:rsid w:val="00762E5A"/>
    <w:rsid w:val="007723AD"/>
    <w:rsid w:val="007811A5"/>
    <w:rsid w:val="0078172D"/>
    <w:rsid w:val="007849B0"/>
    <w:rsid w:val="007C246E"/>
    <w:rsid w:val="007E39E2"/>
    <w:rsid w:val="007E4CBF"/>
    <w:rsid w:val="007F1473"/>
    <w:rsid w:val="007F1750"/>
    <w:rsid w:val="00800E3A"/>
    <w:rsid w:val="00816119"/>
    <w:rsid w:val="0082480C"/>
    <w:rsid w:val="008257DD"/>
    <w:rsid w:val="00826143"/>
    <w:rsid w:val="00826F10"/>
    <w:rsid w:val="00854797"/>
    <w:rsid w:val="00866A0F"/>
    <w:rsid w:val="008820C3"/>
    <w:rsid w:val="008A02F8"/>
    <w:rsid w:val="008A0CB1"/>
    <w:rsid w:val="008A414C"/>
    <w:rsid w:val="008D73FC"/>
    <w:rsid w:val="008E0A40"/>
    <w:rsid w:val="008E3BEC"/>
    <w:rsid w:val="008E3C05"/>
    <w:rsid w:val="008F453A"/>
    <w:rsid w:val="008F5B46"/>
    <w:rsid w:val="00927335"/>
    <w:rsid w:val="009366BD"/>
    <w:rsid w:val="00940A22"/>
    <w:rsid w:val="00942B09"/>
    <w:rsid w:val="00961E59"/>
    <w:rsid w:val="009655DD"/>
    <w:rsid w:val="00965AC1"/>
    <w:rsid w:val="00986941"/>
    <w:rsid w:val="009900FF"/>
    <w:rsid w:val="009975A7"/>
    <w:rsid w:val="009C0637"/>
    <w:rsid w:val="009C6C57"/>
    <w:rsid w:val="009D5955"/>
    <w:rsid w:val="009E3CFB"/>
    <w:rsid w:val="009F0385"/>
    <w:rsid w:val="00A30539"/>
    <w:rsid w:val="00A323C1"/>
    <w:rsid w:val="00A36709"/>
    <w:rsid w:val="00A4713D"/>
    <w:rsid w:val="00A70DDB"/>
    <w:rsid w:val="00A8458C"/>
    <w:rsid w:val="00A84F0D"/>
    <w:rsid w:val="00A911C8"/>
    <w:rsid w:val="00AA0F7F"/>
    <w:rsid w:val="00AB314F"/>
    <w:rsid w:val="00AD0893"/>
    <w:rsid w:val="00AD2377"/>
    <w:rsid w:val="00AE466D"/>
    <w:rsid w:val="00AF26B5"/>
    <w:rsid w:val="00AF328C"/>
    <w:rsid w:val="00AF7BD2"/>
    <w:rsid w:val="00B30D92"/>
    <w:rsid w:val="00B332E3"/>
    <w:rsid w:val="00B824B4"/>
    <w:rsid w:val="00B91389"/>
    <w:rsid w:val="00B941FF"/>
    <w:rsid w:val="00BA3653"/>
    <w:rsid w:val="00BA58A3"/>
    <w:rsid w:val="00BB42EA"/>
    <w:rsid w:val="00BE03FD"/>
    <w:rsid w:val="00BE234C"/>
    <w:rsid w:val="00BE3A4F"/>
    <w:rsid w:val="00BF5998"/>
    <w:rsid w:val="00BF654C"/>
    <w:rsid w:val="00BF7DFC"/>
    <w:rsid w:val="00C01F01"/>
    <w:rsid w:val="00C24FA9"/>
    <w:rsid w:val="00C3259E"/>
    <w:rsid w:val="00C516AC"/>
    <w:rsid w:val="00C53778"/>
    <w:rsid w:val="00C65485"/>
    <w:rsid w:val="00C801D8"/>
    <w:rsid w:val="00C90767"/>
    <w:rsid w:val="00C97B83"/>
    <w:rsid w:val="00C97D42"/>
    <w:rsid w:val="00CA30A3"/>
    <w:rsid w:val="00CD7329"/>
    <w:rsid w:val="00CF1FB9"/>
    <w:rsid w:val="00D20159"/>
    <w:rsid w:val="00D2377B"/>
    <w:rsid w:val="00D42A4D"/>
    <w:rsid w:val="00D44565"/>
    <w:rsid w:val="00D53BE0"/>
    <w:rsid w:val="00D60B0E"/>
    <w:rsid w:val="00D61A2D"/>
    <w:rsid w:val="00D6790C"/>
    <w:rsid w:val="00D7129B"/>
    <w:rsid w:val="00D737ED"/>
    <w:rsid w:val="00D75603"/>
    <w:rsid w:val="00D77C8E"/>
    <w:rsid w:val="00DA619F"/>
    <w:rsid w:val="00DA6303"/>
    <w:rsid w:val="00DB2A40"/>
    <w:rsid w:val="00E2352F"/>
    <w:rsid w:val="00E51ECF"/>
    <w:rsid w:val="00E5248B"/>
    <w:rsid w:val="00E5671B"/>
    <w:rsid w:val="00E57941"/>
    <w:rsid w:val="00E66B79"/>
    <w:rsid w:val="00E67D08"/>
    <w:rsid w:val="00E775FF"/>
    <w:rsid w:val="00E82F81"/>
    <w:rsid w:val="00E93D6D"/>
    <w:rsid w:val="00EB3D6E"/>
    <w:rsid w:val="00EC7C96"/>
    <w:rsid w:val="00EC7D07"/>
    <w:rsid w:val="00ED6227"/>
    <w:rsid w:val="00EE149C"/>
    <w:rsid w:val="00EE3C76"/>
    <w:rsid w:val="00EF4606"/>
    <w:rsid w:val="00EF749F"/>
    <w:rsid w:val="00F13232"/>
    <w:rsid w:val="00F31E63"/>
    <w:rsid w:val="00F37D77"/>
    <w:rsid w:val="00F563B6"/>
    <w:rsid w:val="00F60C25"/>
    <w:rsid w:val="00F6588D"/>
    <w:rsid w:val="00F76408"/>
    <w:rsid w:val="00F765F2"/>
    <w:rsid w:val="00FB61C2"/>
    <w:rsid w:val="00FF19F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8E78E"/>
  <w15:docId w15:val="{109A5799-187B-434C-97DF-112B9BD9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485"/>
    <w:rPr>
      <w:color w:val="0000FF"/>
      <w:u w:val="single"/>
    </w:rPr>
  </w:style>
  <w:style w:type="paragraph" w:styleId="BodyText">
    <w:name w:val="Body Text"/>
    <w:basedOn w:val="Normal"/>
    <w:link w:val="BodyTextChar"/>
    <w:uiPriority w:val="1"/>
    <w:qFormat/>
    <w:rsid w:val="00E82F81"/>
    <w:pPr>
      <w:widowControl w:val="0"/>
      <w:autoSpaceDE w:val="0"/>
      <w:autoSpaceDN w:val="0"/>
      <w:spacing w:after="200" w:line="276" w:lineRule="auto"/>
      <w:ind w:left="305" w:firstLine="719"/>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82F81"/>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13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88A"/>
    <w:rPr>
      <w:sz w:val="20"/>
      <w:szCs w:val="20"/>
    </w:rPr>
  </w:style>
  <w:style w:type="character" w:styleId="FootnoteReference">
    <w:name w:val="footnote reference"/>
    <w:basedOn w:val="DefaultParagraphFont"/>
    <w:uiPriority w:val="99"/>
    <w:semiHidden/>
    <w:unhideWhenUsed/>
    <w:rsid w:val="0061388A"/>
    <w:rPr>
      <w:vertAlign w:val="superscript"/>
    </w:rPr>
  </w:style>
  <w:style w:type="paragraph" w:styleId="NoSpacing">
    <w:name w:val="No Spacing"/>
    <w:uiPriority w:val="1"/>
    <w:qFormat/>
    <w:rsid w:val="00BF5998"/>
    <w:pPr>
      <w:widowControl w:val="0"/>
      <w:autoSpaceDE w:val="0"/>
      <w:autoSpaceDN w:val="0"/>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B91389"/>
    <w:pPr>
      <w:ind w:left="720"/>
      <w:contextualSpacing/>
    </w:pPr>
  </w:style>
  <w:style w:type="character" w:styleId="UnresolvedMention">
    <w:name w:val="Unresolved Mention"/>
    <w:basedOn w:val="DefaultParagraphFont"/>
    <w:uiPriority w:val="99"/>
    <w:semiHidden/>
    <w:unhideWhenUsed/>
    <w:rsid w:val="00BF654C"/>
    <w:rPr>
      <w:color w:val="605E5C"/>
      <w:shd w:val="clear" w:color="auto" w:fill="E1DFDD"/>
    </w:rPr>
  </w:style>
  <w:style w:type="paragraph" w:styleId="Header">
    <w:name w:val="header"/>
    <w:basedOn w:val="Normal"/>
    <w:link w:val="HeaderChar"/>
    <w:uiPriority w:val="99"/>
    <w:unhideWhenUsed/>
    <w:rsid w:val="00C9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767"/>
  </w:style>
  <w:style w:type="paragraph" w:styleId="Footer">
    <w:name w:val="footer"/>
    <w:basedOn w:val="Normal"/>
    <w:link w:val="FooterChar"/>
    <w:uiPriority w:val="99"/>
    <w:unhideWhenUsed/>
    <w:rsid w:val="00C9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07541">
      <w:bodyDiv w:val="1"/>
      <w:marLeft w:val="0"/>
      <w:marRight w:val="0"/>
      <w:marTop w:val="0"/>
      <w:marBottom w:val="0"/>
      <w:divBdr>
        <w:top w:val="none" w:sz="0" w:space="0" w:color="auto"/>
        <w:left w:val="none" w:sz="0" w:space="0" w:color="auto"/>
        <w:bottom w:val="none" w:sz="0" w:space="0" w:color="auto"/>
        <w:right w:val="none" w:sz="0" w:space="0" w:color="auto"/>
      </w:divBdr>
    </w:div>
    <w:div w:id="405536989">
      <w:bodyDiv w:val="1"/>
      <w:marLeft w:val="0"/>
      <w:marRight w:val="0"/>
      <w:marTop w:val="0"/>
      <w:marBottom w:val="0"/>
      <w:divBdr>
        <w:top w:val="none" w:sz="0" w:space="0" w:color="auto"/>
        <w:left w:val="none" w:sz="0" w:space="0" w:color="auto"/>
        <w:bottom w:val="none" w:sz="0" w:space="0" w:color="auto"/>
        <w:right w:val="none" w:sz="0" w:space="0" w:color="auto"/>
      </w:divBdr>
    </w:div>
    <w:div w:id="475224384">
      <w:bodyDiv w:val="1"/>
      <w:marLeft w:val="0"/>
      <w:marRight w:val="0"/>
      <w:marTop w:val="0"/>
      <w:marBottom w:val="0"/>
      <w:divBdr>
        <w:top w:val="none" w:sz="0" w:space="0" w:color="auto"/>
        <w:left w:val="none" w:sz="0" w:space="0" w:color="auto"/>
        <w:bottom w:val="none" w:sz="0" w:space="0" w:color="auto"/>
        <w:right w:val="none" w:sz="0" w:space="0" w:color="auto"/>
      </w:divBdr>
      <w:divsChild>
        <w:div w:id="118184674">
          <w:marLeft w:val="0"/>
          <w:marRight w:val="0"/>
          <w:marTop w:val="300"/>
          <w:marBottom w:val="0"/>
          <w:divBdr>
            <w:top w:val="single" w:sz="6" w:space="8" w:color="990000"/>
            <w:left w:val="single" w:sz="6" w:space="8" w:color="990000"/>
            <w:bottom w:val="single" w:sz="6" w:space="8" w:color="990000"/>
            <w:right w:val="single" w:sz="6" w:space="8" w:color="990000"/>
          </w:divBdr>
          <w:divsChild>
            <w:div w:id="4689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9545">
      <w:bodyDiv w:val="1"/>
      <w:marLeft w:val="0"/>
      <w:marRight w:val="0"/>
      <w:marTop w:val="0"/>
      <w:marBottom w:val="0"/>
      <w:divBdr>
        <w:top w:val="none" w:sz="0" w:space="0" w:color="auto"/>
        <w:left w:val="none" w:sz="0" w:space="0" w:color="auto"/>
        <w:bottom w:val="none" w:sz="0" w:space="0" w:color="auto"/>
        <w:right w:val="none" w:sz="0" w:space="0" w:color="auto"/>
      </w:divBdr>
    </w:div>
    <w:div w:id="1871991927">
      <w:bodyDiv w:val="1"/>
      <w:marLeft w:val="0"/>
      <w:marRight w:val="0"/>
      <w:marTop w:val="0"/>
      <w:marBottom w:val="0"/>
      <w:divBdr>
        <w:top w:val="none" w:sz="0" w:space="0" w:color="auto"/>
        <w:left w:val="none" w:sz="0" w:space="0" w:color="auto"/>
        <w:bottom w:val="none" w:sz="0" w:space="0" w:color="auto"/>
        <w:right w:val="none" w:sz="0" w:space="0" w:color="auto"/>
      </w:divBdr>
    </w:div>
    <w:div w:id="1886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doi.org/10.22271/chemi.2020.v8.i5y.1056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6.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55060967932509"/>
          <c:y val="4.9217002237136528E-2"/>
          <c:w val="0.73777145015544743"/>
          <c:h val="0.65660133724160474"/>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B706-4484-89FE-3268C1964370}"/>
              </c:ext>
            </c:extLst>
          </c:dPt>
          <c:dPt>
            <c:idx val="1"/>
            <c:invertIfNegative val="0"/>
            <c:bubble3D val="0"/>
            <c:spPr>
              <a:solidFill>
                <a:srgbClr val="FFFF00"/>
              </a:solidFill>
            </c:spPr>
            <c:extLst>
              <c:ext xmlns:c16="http://schemas.microsoft.com/office/drawing/2014/chart" uri="{C3380CC4-5D6E-409C-BE32-E72D297353CC}">
                <c16:uniqueId val="{00000003-B706-4484-89FE-3268C1964370}"/>
              </c:ext>
            </c:extLst>
          </c:dPt>
          <c:dPt>
            <c:idx val="2"/>
            <c:invertIfNegative val="0"/>
            <c:bubble3D val="0"/>
            <c:spPr>
              <a:solidFill>
                <a:srgbClr val="00FF00"/>
              </a:solidFill>
            </c:spPr>
            <c:extLst>
              <c:ext xmlns:c16="http://schemas.microsoft.com/office/drawing/2014/chart" uri="{C3380CC4-5D6E-409C-BE32-E72D297353CC}">
                <c16:uniqueId val="{00000005-B706-4484-89FE-3268C1964370}"/>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Sheet2!$A$2:$A$5</c:f>
              <c:strCache>
                <c:ptCount val="3"/>
                <c:pt idx="0">
                  <c:v>&lt; 1.2</c:v>
                </c:pt>
                <c:pt idx="1">
                  <c:v>1.2 - 1.4</c:v>
                </c:pt>
                <c:pt idx="2">
                  <c:v>1.4 - 1.6</c:v>
                </c:pt>
              </c:strCache>
            </c:strRef>
          </c:cat>
          <c:val>
            <c:numRef>
              <c:f>Sheet2!$B$2:$B$5</c:f>
              <c:numCache>
                <c:formatCode>General</c:formatCode>
                <c:ptCount val="4"/>
                <c:pt idx="0">
                  <c:v>31.37</c:v>
                </c:pt>
                <c:pt idx="1">
                  <c:v>52.94</c:v>
                </c:pt>
                <c:pt idx="2">
                  <c:v>15.69</c:v>
                </c:pt>
              </c:numCache>
            </c:numRef>
          </c:val>
          <c:extLst>
            <c:ext xmlns:c16="http://schemas.microsoft.com/office/drawing/2014/chart" uri="{C3380CC4-5D6E-409C-BE32-E72D297353CC}">
              <c16:uniqueId val="{00000006-B706-4484-89FE-3268C1964370}"/>
            </c:ext>
          </c:extLst>
        </c:ser>
        <c:dLbls>
          <c:showLegendKey val="0"/>
          <c:showVal val="0"/>
          <c:showCatName val="0"/>
          <c:showSerName val="0"/>
          <c:showPercent val="0"/>
          <c:showBubbleSize val="0"/>
        </c:dLbls>
        <c:gapWidth val="150"/>
        <c:axId val="91627520"/>
        <c:axId val="91629440"/>
      </c:barChart>
      <c:catAx>
        <c:axId val="9162752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Bulk</a:t>
                </a:r>
                <a:r>
                  <a:rPr lang="en-IN" sz="1000" baseline="0">
                    <a:latin typeface="Times New Roman" panose="02020603050405020304" pitchFamily="18" charset="0"/>
                    <a:cs typeface="Times New Roman" panose="02020603050405020304" pitchFamily="18" charset="0"/>
                  </a:rPr>
                  <a:t> density (Mg m</a:t>
                </a:r>
                <a:r>
                  <a:rPr lang="en-IN" sz="1000" baseline="30000">
                    <a:latin typeface="Times New Roman" panose="02020603050405020304" pitchFamily="18" charset="0"/>
                    <a:cs typeface="Times New Roman" panose="02020603050405020304" pitchFamily="18" charset="0"/>
                  </a:rPr>
                  <a:t>-3</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9776602647916239"/>
              <c:y val="0.83916118732581113"/>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1629440"/>
        <c:crosses val="autoZero"/>
        <c:auto val="1"/>
        <c:lblAlgn val="ctr"/>
        <c:lblOffset val="100"/>
        <c:noMultiLvlLbl val="0"/>
      </c:catAx>
      <c:valAx>
        <c:axId val="9162944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 </a:t>
                </a:r>
              </a:p>
            </c:rich>
          </c:tx>
          <c:layout>
            <c:manualLayout>
              <c:xMode val="edge"/>
              <c:yMode val="edge"/>
              <c:x val="2.4758694831042764E-2"/>
              <c:y val="0.22364158859704591"/>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162752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02850515778554"/>
          <c:y val="0.10032722545195873"/>
          <c:w val="0.70096278662841571"/>
          <c:h val="0.51759384100959982"/>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2FE1-4213-8336-926B71F4C9DA}"/>
              </c:ext>
            </c:extLst>
          </c:dPt>
          <c:dPt>
            <c:idx val="1"/>
            <c:invertIfNegative val="0"/>
            <c:bubble3D val="0"/>
            <c:spPr>
              <a:solidFill>
                <a:srgbClr val="FFFF00"/>
              </a:solidFill>
            </c:spPr>
            <c:extLst>
              <c:ext xmlns:c16="http://schemas.microsoft.com/office/drawing/2014/chart" uri="{C3380CC4-5D6E-409C-BE32-E72D297353CC}">
                <c16:uniqueId val="{00000003-2FE1-4213-8336-926B71F4C9DA}"/>
              </c:ext>
            </c:extLst>
          </c:dPt>
          <c:dPt>
            <c:idx val="2"/>
            <c:invertIfNegative val="0"/>
            <c:bubble3D val="0"/>
            <c:spPr>
              <a:solidFill>
                <a:srgbClr val="00FF00"/>
              </a:solidFill>
            </c:spPr>
            <c:extLst>
              <c:ext xmlns:c16="http://schemas.microsoft.com/office/drawing/2014/chart" uri="{C3380CC4-5D6E-409C-BE32-E72D297353CC}">
                <c16:uniqueId val="{00000005-2FE1-4213-8336-926B71F4C9D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Sheet27!$A$2:$A$4</c:f>
              <c:strCache>
                <c:ptCount val="3"/>
                <c:pt idx="0">
                  <c:v>Low (&lt; 10)</c:v>
                </c:pt>
                <c:pt idx="1">
                  <c:v>Medium (10.1-24.0)</c:v>
                </c:pt>
                <c:pt idx="2">
                  <c:v>High (&gt; 24)</c:v>
                </c:pt>
              </c:strCache>
            </c:strRef>
          </c:cat>
          <c:val>
            <c:numRef>
              <c:f>Sheet27!$B$2:$B$4</c:f>
              <c:numCache>
                <c:formatCode>General</c:formatCode>
                <c:ptCount val="3"/>
                <c:pt idx="0">
                  <c:v>65</c:v>
                </c:pt>
                <c:pt idx="1">
                  <c:v>25</c:v>
                </c:pt>
                <c:pt idx="2">
                  <c:v>10</c:v>
                </c:pt>
              </c:numCache>
            </c:numRef>
          </c:val>
          <c:extLst>
            <c:ext xmlns:c16="http://schemas.microsoft.com/office/drawing/2014/chart" uri="{C3380CC4-5D6E-409C-BE32-E72D297353CC}">
              <c16:uniqueId val="{00000006-2FE1-4213-8336-926B71F4C9DA}"/>
            </c:ext>
          </c:extLst>
        </c:ser>
        <c:dLbls>
          <c:showLegendKey val="0"/>
          <c:showVal val="0"/>
          <c:showCatName val="0"/>
          <c:showSerName val="0"/>
          <c:showPercent val="0"/>
          <c:showBubbleSize val="0"/>
        </c:dLbls>
        <c:gapWidth val="150"/>
        <c:axId val="125270272"/>
        <c:axId val="125280640"/>
      </c:barChart>
      <c:catAx>
        <c:axId val="1252702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Phosphorus (kg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2380844091239513"/>
              <c:y val="0.82496719160104959"/>
            </c:manualLayout>
          </c:layout>
          <c:overlay val="0"/>
        </c:title>
        <c:numFmt formatCode="General" sourceLinked="1"/>
        <c:majorTickMark val="out"/>
        <c:minorTickMark val="none"/>
        <c:tickLblPos val="nextTo"/>
        <c:crossAx val="125280640"/>
        <c:crosses val="autoZero"/>
        <c:auto val="1"/>
        <c:lblAlgn val="ctr"/>
        <c:lblOffset val="100"/>
        <c:noMultiLvlLbl val="0"/>
      </c:catAx>
      <c:valAx>
        <c:axId val="125280640"/>
        <c:scaling>
          <c:orientation val="minMax"/>
          <c:max val="9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9855989699400799E-2"/>
              <c:y val="0.19933612553749946"/>
            </c:manualLayout>
          </c:layout>
          <c:overlay val="0"/>
        </c:title>
        <c:numFmt formatCode="General" sourceLinked="1"/>
        <c:majorTickMark val="out"/>
        <c:minorTickMark val="none"/>
        <c:tickLblPos val="nextTo"/>
        <c:crossAx val="1252702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3104720605577"/>
          <c:y val="5.7600620934056462E-2"/>
          <c:w val="0.75644528129635968"/>
          <c:h val="0.56876386467627804"/>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9221-4D9F-A297-323C3CD74822}"/>
              </c:ext>
            </c:extLst>
          </c:dPt>
          <c:dPt>
            <c:idx val="1"/>
            <c:invertIfNegative val="0"/>
            <c:bubble3D val="0"/>
            <c:spPr>
              <a:solidFill>
                <a:srgbClr val="FFFF00"/>
              </a:solidFill>
            </c:spPr>
            <c:extLst>
              <c:ext xmlns:c16="http://schemas.microsoft.com/office/drawing/2014/chart" uri="{C3380CC4-5D6E-409C-BE32-E72D297353CC}">
                <c16:uniqueId val="{00000003-9221-4D9F-A297-323C3CD74822}"/>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Sheet24!$A$2:$A$3</c:f>
              <c:strCache>
                <c:ptCount val="2"/>
                <c:pt idx="0">
                  <c:v>Low (&lt; 280)</c:v>
                </c:pt>
                <c:pt idx="1">
                  <c:v>Medium (280-560)</c:v>
                </c:pt>
              </c:strCache>
            </c:strRef>
          </c:cat>
          <c:val>
            <c:numRef>
              <c:f>Sheet24!$B$2:$B$3</c:f>
              <c:numCache>
                <c:formatCode>General</c:formatCode>
                <c:ptCount val="2"/>
                <c:pt idx="0">
                  <c:v>41.18</c:v>
                </c:pt>
                <c:pt idx="1">
                  <c:v>58.82</c:v>
                </c:pt>
              </c:numCache>
            </c:numRef>
          </c:val>
          <c:extLst>
            <c:ext xmlns:c16="http://schemas.microsoft.com/office/drawing/2014/chart" uri="{C3380CC4-5D6E-409C-BE32-E72D297353CC}">
              <c16:uniqueId val="{00000004-9221-4D9F-A297-323C3CD74822}"/>
            </c:ext>
          </c:extLst>
        </c:ser>
        <c:dLbls>
          <c:showLegendKey val="0"/>
          <c:showVal val="0"/>
          <c:showCatName val="0"/>
          <c:showSerName val="0"/>
          <c:showPercent val="0"/>
          <c:showBubbleSize val="0"/>
        </c:dLbls>
        <c:gapWidth val="150"/>
        <c:axId val="126657280"/>
        <c:axId val="126659200"/>
      </c:barChart>
      <c:catAx>
        <c:axId val="1266572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Nitrogen(kg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555560618354715"/>
              <c:y val="0.78277799936362535"/>
            </c:manualLayout>
          </c:layout>
          <c:overlay val="0"/>
        </c:title>
        <c:numFmt formatCode="General" sourceLinked="1"/>
        <c:majorTickMark val="out"/>
        <c:minorTickMark val="none"/>
        <c:tickLblPos val="nextTo"/>
        <c:crossAx val="126659200"/>
        <c:crosses val="autoZero"/>
        <c:auto val="1"/>
        <c:lblAlgn val="ctr"/>
        <c:lblOffset val="100"/>
        <c:noMultiLvlLbl val="0"/>
      </c:catAx>
      <c:valAx>
        <c:axId val="126659200"/>
        <c:scaling>
          <c:orientation val="minMax"/>
          <c:max val="9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439309216782685E-2"/>
              <c:y val="0.2138218671571164"/>
            </c:manualLayout>
          </c:layout>
          <c:overlay val="0"/>
        </c:title>
        <c:numFmt formatCode="General" sourceLinked="1"/>
        <c:majorTickMark val="out"/>
        <c:minorTickMark val="none"/>
        <c:tickLblPos val="nextTo"/>
        <c:crossAx val="1266572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7114382441338"/>
          <c:y val="9.2146035393644507E-2"/>
          <c:w val="0.76948875955722917"/>
          <c:h val="0.55015131305308196"/>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6179-4891-A0D1-037889B07A86}"/>
              </c:ext>
            </c:extLst>
          </c:dPt>
          <c:dPt>
            <c:idx val="1"/>
            <c:invertIfNegative val="0"/>
            <c:bubble3D val="0"/>
            <c:spPr>
              <a:solidFill>
                <a:srgbClr val="FFFF00"/>
              </a:solidFill>
            </c:spPr>
            <c:extLst>
              <c:ext xmlns:c16="http://schemas.microsoft.com/office/drawing/2014/chart" uri="{C3380CC4-5D6E-409C-BE32-E72D297353CC}">
                <c16:uniqueId val="{00000003-6179-4891-A0D1-037889B07A86}"/>
              </c:ext>
            </c:extLst>
          </c:dPt>
          <c:dPt>
            <c:idx val="2"/>
            <c:invertIfNegative val="0"/>
            <c:bubble3D val="0"/>
            <c:spPr>
              <a:solidFill>
                <a:srgbClr val="00FF00"/>
              </a:solidFill>
            </c:spPr>
            <c:extLst>
              <c:ext xmlns:c16="http://schemas.microsoft.com/office/drawing/2014/chart" uri="{C3380CC4-5D6E-409C-BE32-E72D297353CC}">
                <c16:uniqueId val="{00000005-6179-4891-A0D1-037889B07A8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Sheet13!$A$2:$A$4</c:f>
              <c:strCache>
                <c:ptCount val="3"/>
                <c:pt idx="0">
                  <c:v>Low (&lt; 115)</c:v>
                </c:pt>
                <c:pt idx="1">
                  <c:v>Medium (115-275)</c:v>
                </c:pt>
                <c:pt idx="2">
                  <c:v>High (&gt; 275)</c:v>
                </c:pt>
              </c:strCache>
            </c:strRef>
          </c:cat>
          <c:val>
            <c:numRef>
              <c:f>Sheet13!$B$2:$B$4</c:f>
              <c:numCache>
                <c:formatCode>General</c:formatCode>
                <c:ptCount val="3"/>
                <c:pt idx="0">
                  <c:v>13.73</c:v>
                </c:pt>
                <c:pt idx="1">
                  <c:v>56.86</c:v>
                </c:pt>
                <c:pt idx="2">
                  <c:v>29.41</c:v>
                </c:pt>
              </c:numCache>
            </c:numRef>
          </c:val>
          <c:extLst>
            <c:ext xmlns:c16="http://schemas.microsoft.com/office/drawing/2014/chart" uri="{C3380CC4-5D6E-409C-BE32-E72D297353CC}">
              <c16:uniqueId val="{00000006-6179-4891-A0D1-037889B07A86}"/>
            </c:ext>
          </c:extLst>
        </c:ser>
        <c:dLbls>
          <c:showLegendKey val="0"/>
          <c:showVal val="0"/>
          <c:showCatName val="0"/>
          <c:showSerName val="0"/>
          <c:showPercent val="0"/>
          <c:showBubbleSize val="0"/>
        </c:dLbls>
        <c:gapWidth val="150"/>
        <c:axId val="126778752"/>
        <c:axId val="126801408"/>
      </c:barChart>
      <c:catAx>
        <c:axId val="12677875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Potassium (kg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36381603885411"/>
              <c:y val="0.79247364571231815"/>
            </c:manualLayout>
          </c:layout>
          <c:overlay val="0"/>
        </c:title>
        <c:numFmt formatCode="General" sourceLinked="1"/>
        <c:majorTickMark val="out"/>
        <c:minorTickMark val="none"/>
        <c:tickLblPos val="nextTo"/>
        <c:crossAx val="126801408"/>
        <c:crosses val="autoZero"/>
        <c:auto val="1"/>
        <c:lblAlgn val="ctr"/>
        <c:lblOffset val="100"/>
        <c:noMultiLvlLbl val="0"/>
      </c:catAx>
      <c:valAx>
        <c:axId val="12680140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3472021318539514E-2"/>
              <c:y val="0.19727249183292386"/>
            </c:manualLayout>
          </c:layout>
          <c:overlay val="0"/>
        </c:title>
        <c:numFmt formatCode="General" sourceLinked="1"/>
        <c:majorTickMark val="out"/>
        <c:minorTickMark val="none"/>
        <c:tickLblPos val="nextTo"/>
        <c:crossAx val="12677875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20997375328083"/>
          <c:y val="6.2993019489585092E-2"/>
          <c:w val="0.7125118930446197"/>
          <c:h val="0.6515847137365095"/>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82F2-4453-A04E-17CD1213FDD9}"/>
              </c:ext>
            </c:extLst>
          </c:dPt>
          <c:dPt>
            <c:idx val="1"/>
            <c:invertIfNegative val="0"/>
            <c:bubble3D val="0"/>
            <c:spPr>
              <a:solidFill>
                <a:srgbClr val="00FF00"/>
              </a:solidFill>
            </c:spPr>
            <c:extLst>
              <c:ext xmlns:c16="http://schemas.microsoft.com/office/drawing/2014/chart" uri="{C3380CC4-5D6E-409C-BE32-E72D297353CC}">
                <c16:uniqueId val="{00000003-82F2-4453-A04E-17CD1213FDD9}"/>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Sheet30!$A$2:$A$3</c:f>
              <c:strCache>
                <c:ptCount val="2"/>
                <c:pt idx="0">
                  <c:v>Deficient (&lt; 120)</c:v>
                </c:pt>
                <c:pt idx="1">
                  <c:v>Adequate (&gt;120)</c:v>
                </c:pt>
              </c:strCache>
            </c:strRef>
          </c:cat>
          <c:val>
            <c:numRef>
              <c:f>Sheet30!$B$2:$B$3</c:f>
              <c:numCache>
                <c:formatCode>General</c:formatCode>
                <c:ptCount val="2"/>
                <c:pt idx="0">
                  <c:v>64.709999999999994</c:v>
                </c:pt>
                <c:pt idx="1">
                  <c:v>35.290000000000013</c:v>
                </c:pt>
              </c:numCache>
            </c:numRef>
          </c:val>
          <c:extLst>
            <c:ext xmlns:c16="http://schemas.microsoft.com/office/drawing/2014/chart" uri="{C3380CC4-5D6E-409C-BE32-E72D297353CC}">
              <c16:uniqueId val="{00000004-82F2-4453-A04E-17CD1213FDD9}"/>
            </c:ext>
          </c:extLst>
        </c:ser>
        <c:dLbls>
          <c:showLegendKey val="0"/>
          <c:showVal val="0"/>
          <c:showCatName val="0"/>
          <c:showSerName val="0"/>
          <c:showPercent val="0"/>
          <c:showBubbleSize val="0"/>
        </c:dLbls>
        <c:gapWidth val="150"/>
        <c:axId val="126830464"/>
        <c:axId val="126849024"/>
      </c:barChart>
      <c:catAx>
        <c:axId val="126830464"/>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Magnesium </a:t>
                </a:r>
                <a:r>
                  <a:rPr lang="en-IN" sz="1000" b="1" i="0" u="none" strike="noStrike" baseline="0">
                    <a:effectLst/>
                  </a:rPr>
                  <a:t>(mg kg-1)</a:t>
                </a:r>
                <a:endParaRPr lang="en-IN" sz="1000">
                  <a:latin typeface="Times New Roman" panose="02020603050405020304" pitchFamily="18" charset="0"/>
                  <a:cs typeface="Times New Roman" panose="02020603050405020304" pitchFamily="18" charset="0"/>
                </a:endParaRPr>
              </a:p>
            </c:rich>
          </c:tx>
          <c:layout>
            <c:manualLayout>
              <c:xMode val="edge"/>
              <c:yMode val="edge"/>
              <c:x val="0.24331312244506034"/>
              <c:y val="0.86159244617244435"/>
            </c:manualLayout>
          </c:layout>
          <c:overlay val="0"/>
        </c:title>
        <c:numFmt formatCode="General" sourceLinked="1"/>
        <c:majorTickMark val="out"/>
        <c:minorTickMark val="none"/>
        <c:tickLblPos val="nextTo"/>
        <c:crossAx val="126849024"/>
        <c:crosses val="autoZero"/>
        <c:auto val="1"/>
        <c:lblAlgn val="ctr"/>
        <c:lblOffset val="100"/>
        <c:noMultiLvlLbl val="0"/>
      </c:catAx>
      <c:valAx>
        <c:axId val="126849024"/>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9819107977356486E-2"/>
              <c:y val="0.19994728874658324"/>
            </c:manualLayout>
          </c:layout>
          <c:overlay val="0"/>
        </c:title>
        <c:numFmt formatCode="General" sourceLinked="1"/>
        <c:majorTickMark val="out"/>
        <c:minorTickMark val="none"/>
        <c:tickLblPos val="nextTo"/>
        <c:crossAx val="12683046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9318466064226"/>
          <c:y val="6.9827167830436382E-2"/>
          <c:w val="0.72042135672638263"/>
          <c:h val="0.64368444510473966"/>
        </c:manualLayout>
      </c:layout>
      <c:barChart>
        <c:barDir val="col"/>
        <c:grouping val="clustered"/>
        <c:varyColors val="0"/>
        <c:ser>
          <c:idx val="0"/>
          <c:order val="0"/>
          <c:tx>
            <c:v>Frequency</c:v>
          </c:tx>
          <c:spPr>
            <a:solidFill>
              <a:srgbClr val="FF0000"/>
            </a:solidFill>
          </c:spPr>
          <c:invertIfNegative val="0"/>
          <c:dPt>
            <c:idx val="1"/>
            <c:invertIfNegative val="0"/>
            <c:bubble3D val="0"/>
            <c:spPr>
              <a:solidFill>
                <a:srgbClr val="00FF00"/>
              </a:solidFill>
            </c:spPr>
            <c:extLst>
              <c:ext xmlns:c16="http://schemas.microsoft.com/office/drawing/2014/chart" uri="{C3380CC4-5D6E-409C-BE32-E72D297353CC}">
                <c16:uniqueId val="{00000001-0F2A-4A82-A7AA-E410C620B6C1}"/>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Sheet28!$A$2:$A$3</c:f>
              <c:strCache>
                <c:ptCount val="2"/>
                <c:pt idx="0">
                  <c:v>Deficient (&lt; 300)</c:v>
                </c:pt>
                <c:pt idx="1">
                  <c:v>Adequate (&gt; 300)</c:v>
                </c:pt>
              </c:strCache>
            </c:strRef>
          </c:cat>
          <c:val>
            <c:numRef>
              <c:f>Sheet28!$B$2:$B$3</c:f>
              <c:numCache>
                <c:formatCode>General</c:formatCode>
                <c:ptCount val="2"/>
                <c:pt idx="0">
                  <c:v>9.8000000000000007</c:v>
                </c:pt>
                <c:pt idx="1">
                  <c:v>90.2</c:v>
                </c:pt>
              </c:numCache>
            </c:numRef>
          </c:val>
          <c:extLst>
            <c:ext xmlns:c16="http://schemas.microsoft.com/office/drawing/2014/chart" uri="{C3380CC4-5D6E-409C-BE32-E72D297353CC}">
              <c16:uniqueId val="{00000002-0F2A-4A82-A7AA-E410C620B6C1}"/>
            </c:ext>
          </c:extLst>
        </c:ser>
        <c:dLbls>
          <c:showLegendKey val="0"/>
          <c:showVal val="0"/>
          <c:showCatName val="0"/>
          <c:showSerName val="0"/>
          <c:showPercent val="0"/>
          <c:showBubbleSize val="0"/>
        </c:dLbls>
        <c:gapWidth val="150"/>
        <c:axId val="166031360"/>
        <c:axId val="166033280"/>
      </c:barChart>
      <c:catAx>
        <c:axId val="16603136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Calcium (mg kg-1)</a:t>
                </a:r>
                <a:endParaRPr lang="en-IN" sz="1000">
                  <a:latin typeface="Times New Roman" panose="02020603050405020304" pitchFamily="18" charset="0"/>
                  <a:cs typeface="Times New Roman" panose="02020603050405020304" pitchFamily="18" charset="0"/>
                </a:endParaRPr>
              </a:p>
            </c:rich>
          </c:tx>
          <c:layout>
            <c:manualLayout>
              <c:xMode val="edge"/>
              <c:yMode val="edge"/>
              <c:x val="0.25182547303538294"/>
              <c:y val="0.87239439409696429"/>
            </c:manualLayout>
          </c:layout>
          <c:overlay val="0"/>
        </c:title>
        <c:numFmt formatCode="General" sourceLinked="1"/>
        <c:majorTickMark val="out"/>
        <c:minorTickMark val="none"/>
        <c:tickLblPos val="nextTo"/>
        <c:crossAx val="166033280"/>
        <c:crosses val="autoZero"/>
        <c:auto val="1"/>
        <c:lblAlgn val="ctr"/>
        <c:lblOffset val="100"/>
        <c:noMultiLvlLbl val="0"/>
      </c:catAx>
      <c:valAx>
        <c:axId val="166033280"/>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5794183445190156E-2"/>
              <c:y val="0.17827118308324671"/>
            </c:manualLayout>
          </c:layout>
          <c:overlay val="0"/>
        </c:title>
        <c:numFmt formatCode="General" sourceLinked="1"/>
        <c:majorTickMark val="out"/>
        <c:minorTickMark val="none"/>
        <c:tickLblPos val="nextTo"/>
        <c:crossAx val="16603136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36218584187788"/>
          <c:y val="0.1209238845144357"/>
          <c:w val="0.69158962272573066"/>
          <c:h val="0.56387211441089613"/>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602A-4CA0-B469-6F55F4C194B5}"/>
              </c:ext>
            </c:extLst>
          </c:dPt>
          <c:dPt>
            <c:idx val="1"/>
            <c:invertIfNegative val="0"/>
            <c:bubble3D val="0"/>
            <c:spPr>
              <a:solidFill>
                <a:srgbClr val="00FF00"/>
              </a:solidFill>
            </c:spPr>
            <c:extLst>
              <c:ext xmlns:c16="http://schemas.microsoft.com/office/drawing/2014/chart" uri="{C3380CC4-5D6E-409C-BE32-E72D297353CC}">
                <c16:uniqueId val="{00000003-602A-4CA0-B469-6F55F4C194B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Sheet51!$A$2:$A$3</c:f>
              <c:strCache>
                <c:ptCount val="2"/>
                <c:pt idx="0">
                  <c:v>Deficient (&lt; 5)</c:v>
                </c:pt>
                <c:pt idx="1">
                  <c:v>Adequate (&gt; 5)</c:v>
                </c:pt>
              </c:strCache>
            </c:strRef>
          </c:cat>
          <c:val>
            <c:numRef>
              <c:f>Sheet51!$B$2:$B$3</c:f>
              <c:numCache>
                <c:formatCode>General</c:formatCode>
                <c:ptCount val="2"/>
                <c:pt idx="0">
                  <c:v>33.33</c:v>
                </c:pt>
                <c:pt idx="1">
                  <c:v>66.669999999999987</c:v>
                </c:pt>
              </c:numCache>
            </c:numRef>
          </c:val>
          <c:extLst>
            <c:ext xmlns:c16="http://schemas.microsoft.com/office/drawing/2014/chart" uri="{C3380CC4-5D6E-409C-BE32-E72D297353CC}">
              <c16:uniqueId val="{00000004-602A-4CA0-B469-6F55F4C194B5}"/>
            </c:ext>
          </c:extLst>
        </c:ser>
        <c:dLbls>
          <c:showLegendKey val="0"/>
          <c:showVal val="0"/>
          <c:showCatName val="0"/>
          <c:showSerName val="0"/>
          <c:showPercent val="0"/>
          <c:showBubbleSize val="0"/>
        </c:dLbls>
        <c:gapWidth val="150"/>
        <c:axId val="166263040"/>
        <c:axId val="166691200"/>
      </c:barChart>
      <c:catAx>
        <c:axId val="16626304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Avaialable Sulphur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4158837288196142"/>
              <c:y val="0.83421084175501659"/>
            </c:manualLayout>
          </c:layout>
          <c:overlay val="0"/>
        </c:title>
        <c:numFmt formatCode="General" sourceLinked="1"/>
        <c:majorTickMark val="out"/>
        <c:minorTickMark val="none"/>
        <c:tickLblPos val="nextTo"/>
        <c:crossAx val="166691200"/>
        <c:crosses val="autoZero"/>
        <c:auto val="1"/>
        <c:lblAlgn val="ctr"/>
        <c:lblOffset val="100"/>
        <c:noMultiLvlLbl val="0"/>
      </c:catAx>
      <c:valAx>
        <c:axId val="16669120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2617588026410208E-2"/>
              <c:y val="0.27616797900262496"/>
            </c:manualLayout>
          </c:layout>
          <c:overlay val="0"/>
        </c:title>
        <c:numFmt formatCode="General" sourceLinked="1"/>
        <c:majorTickMark val="out"/>
        <c:minorTickMark val="none"/>
        <c:tickLblPos val="nextTo"/>
        <c:crossAx val="16626304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69469894330129"/>
          <c:y val="0.10675522081478957"/>
          <c:w val="0.68482939632546003"/>
          <c:h val="0.58954021372328469"/>
        </c:manualLayout>
      </c:layout>
      <c:barChart>
        <c:barDir val="col"/>
        <c:grouping val="clustered"/>
        <c:varyColors val="0"/>
        <c:ser>
          <c:idx val="0"/>
          <c:order val="0"/>
          <c:tx>
            <c:v>Frequency</c:v>
          </c:tx>
          <c:spPr>
            <a:solidFill>
              <a:srgbClr val="FF0000"/>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Sheet49!$A$2</c:f>
              <c:strCache>
                <c:ptCount val="1"/>
                <c:pt idx="0">
                  <c:v>Deficient (&lt; 0.5)</c:v>
                </c:pt>
              </c:strCache>
            </c:strRef>
          </c:cat>
          <c:val>
            <c:numRef>
              <c:f>Sheet49!$B$2</c:f>
              <c:numCache>
                <c:formatCode>General</c:formatCode>
                <c:ptCount val="1"/>
                <c:pt idx="0">
                  <c:v>100</c:v>
                </c:pt>
              </c:numCache>
            </c:numRef>
          </c:val>
          <c:extLst>
            <c:ext xmlns:c16="http://schemas.microsoft.com/office/drawing/2014/chart" uri="{C3380CC4-5D6E-409C-BE32-E72D297353CC}">
              <c16:uniqueId val="{00000000-67DF-405B-86DA-B82555C2EFBA}"/>
            </c:ext>
          </c:extLst>
        </c:ser>
        <c:dLbls>
          <c:showLegendKey val="0"/>
          <c:showVal val="0"/>
          <c:showCatName val="0"/>
          <c:showSerName val="0"/>
          <c:showPercent val="0"/>
          <c:showBubbleSize val="0"/>
        </c:dLbls>
        <c:gapWidth val="150"/>
        <c:axId val="185840384"/>
        <c:axId val="185842304"/>
      </c:barChart>
      <c:catAx>
        <c:axId val="185840384"/>
        <c:scaling>
          <c:orientation val="minMax"/>
        </c:scaling>
        <c:delete val="0"/>
        <c:axPos val="b"/>
        <c:title>
          <c:tx>
            <c:rich>
              <a:bodyPr/>
              <a:lstStyle/>
              <a:p>
                <a:pPr>
                  <a:defRPr sz="1000">
                    <a:latin typeface="Times New Roman" panose="02020603050405020304" pitchFamily="18" charset="0"/>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Boron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7912458898028"/>
              <c:y val="0.8419605361829775"/>
            </c:manualLayout>
          </c:layout>
          <c:overlay val="0"/>
        </c:title>
        <c:numFmt formatCode="General" sourceLinked="1"/>
        <c:majorTickMark val="out"/>
        <c:minorTickMark val="none"/>
        <c:tickLblPos val="nextTo"/>
        <c:spPr>
          <a:ln>
            <a:solidFill>
              <a:schemeClr val="tx1"/>
            </a:solidFill>
          </a:ln>
        </c:spPr>
        <c:crossAx val="185842304"/>
        <c:crosses val="autoZero"/>
        <c:auto val="1"/>
        <c:lblAlgn val="ctr"/>
        <c:lblOffset val="100"/>
        <c:noMultiLvlLbl val="0"/>
      </c:catAx>
      <c:valAx>
        <c:axId val="185842304"/>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9145176555532792E-2"/>
              <c:y val="0.24984959488759581"/>
            </c:manualLayout>
          </c:layout>
          <c:overlay val="0"/>
        </c:title>
        <c:numFmt formatCode="General" sourceLinked="1"/>
        <c:majorTickMark val="out"/>
        <c:minorTickMark val="none"/>
        <c:tickLblPos val="nextTo"/>
        <c:spPr>
          <a:ln>
            <a:solidFill>
              <a:schemeClr val="tx1"/>
            </a:solidFill>
          </a:ln>
        </c:spPr>
        <c:crossAx val="18584038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21285888882226"/>
          <c:y val="0.18821910799056274"/>
          <c:w val="0.70780749734527515"/>
          <c:h val="0.566044894207718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2DF3-45AF-A3F0-E6A69B1EE383}"/>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2DF3-45AF-A3F0-E6A69B1EE38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Sheet39!$A$2:$A$4</c:f>
              <c:strCache>
                <c:ptCount val="3"/>
                <c:pt idx="0">
                  <c:v>10 - 25</c:v>
                </c:pt>
                <c:pt idx="1">
                  <c:v>25 - 50</c:v>
                </c:pt>
                <c:pt idx="2">
                  <c:v>&gt; 50</c:v>
                </c:pt>
              </c:strCache>
            </c:strRef>
          </c:cat>
          <c:val>
            <c:numRef>
              <c:f>Sheet39!$B$2:$B$4</c:f>
              <c:numCache>
                <c:formatCode>General</c:formatCode>
                <c:ptCount val="3"/>
                <c:pt idx="0">
                  <c:v>41.18</c:v>
                </c:pt>
                <c:pt idx="1">
                  <c:v>56.86</c:v>
                </c:pt>
                <c:pt idx="2">
                  <c:v>1.9600000000000009</c:v>
                </c:pt>
              </c:numCache>
            </c:numRef>
          </c:val>
          <c:extLst>
            <c:ext xmlns:c16="http://schemas.microsoft.com/office/drawing/2014/chart" uri="{C3380CC4-5D6E-409C-BE32-E72D297353CC}">
              <c16:uniqueId val="{00000004-2DF3-45AF-A3F0-E6A69B1EE383}"/>
            </c:ext>
          </c:extLst>
        </c:ser>
        <c:dLbls>
          <c:showLegendKey val="0"/>
          <c:showVal val="0"/>
          <c:showCatName val="0"/>
          <c:showSerName val="0"/>
          <c:showPercent val="0"/>
          <c:showBubbleSize val="0"/>
        </c:dLbls>
        <c:gapWidth val="150"/>
        <c:axId val="186060800"/>
        <c:axId val="186062720"/>
      </c:barChart>
      <c:catAx>
        <c:axId val="18606080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Acid</a:t>
                </a:r>
                <a:r>
                  <a:rPr lang="en-IN" sz="1000" baseline="0">
                    <a:latin typeface="Times New Roman" panose="02020603050405020304" pitchFamily="18" charset="0"/>
                    <a:cs typeface="Times New Roman" panose="02020603050405020304" pitchFamily="18" charset="0"/>
                  </a:rPr>
                  <a:t> phosphatase activity (</a:t>
                </a:r>
                <a:r>
                  <a:rPr lang="en-US" sz="1000" b="1" i="0" u="none" strike="noStrike" baseline="0">
                    <a:effectLst/>
                    <a:latin typeface="Times New Roman" panose="02020603050405020304" pitchFamily="18" charset="0"/>
                    <a:cs typeface="Times New Roman" panose="02020603050405020304" pitchFamily="18" charset="0"/>
                  </a:rPr>
                  <a:t>µg p- nitro phenol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1174410450602099"/>
              <c:y val="0.85143636828789859"/>
            </c:manualLayout>
          </c:layout>
          <c:overlay val="0"/>
        </c:title>
        <c:numFmt formatCode="General" sourceLinked="1"/>
        <c:majorTickMark val="out"/>
        <c:minorTickMark val="none"/>
        <c:tickLblPos val="nextTo"/>
        <c:spPr>
          <a:ln>
            <a:solidFill>
              <a:schemeClr val="tx1"/>
            </a:solidFill>
          </a:ln>
        </c:spPr>
        <c:crossAx val="186062720"/>
        <c:crosses val="autoZero"/>
        <c:auto val="1"/>
        <c:lblAlgn val="ctr"/>
        <c:lblOffset val="100"/>
        <c:noMultiLvlLbl val="0"/>
      </c:catAx>
      <c:valAx>
        <c:axId val="18606272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0712468193384234E-2"/>
              <c:y val="0.24447842936600445"/>
            </c:manualLayout>
          </c:layout>
          <c:overlay val="0"/>
        </c:title>
        <c:numFmt formatCode="General" sourceLinked="1"/>
        <c:majorTickMark val="out"/>
        <c:minorTickMark val="none"/>
        <c:tickLblPos val="nextTo"/>
        <c:spPr>
          <a:ln>
            <a:solidFill>
              <a:schemeClr val="tx1"/>
            </a:solidFill>
          </a:ln>
        </c:spPr>
        <c:crossAx val="1860608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57027259559382"/>
          <c:y val="0.2051862144682895"/>
          <c:w val="0.64157218936844518"/>
          <c:h val="0.5559065410941275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23B5-46B2-BF1B-6F7D8767E58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Sheet37!$A$2</c:f>
              <c:strCache>
                <c:ptCount val="1"/>
                <c:pt idx="0">
                  <c:v>&lt; 75</c:v>
                </c:pt>
              </c:strCache>
            </c:strRef>
          </c:cat>
          <c:val>
            <c:numRef>
              <c:f>Sheet37!$B$2</c:f>
              <c:numCache>
                <c:formatCode>General</c:formatCode>
                <c:ptCount val="1"/>
                <c:pt idx="0">
                  <c:v>100</c:v>
                </c:pt>
              </c:numCache>
            </c:numRef>
          </c:val>
          <c:extLst>
            <c:ext xmlns:c16="http://schemas.microsoft.com/office/drawing/2014/chart" uri="{C3380CC4-5D6E-409C-BE32-E72D297353CC}">
              <c16:uniqueId val="{00000002-23B5-46B2-BF1B-6F7D8767E58A}"/>
            </c:ext>
          </c:extLst>
        </c:ser>
        <c:dLbls>
          <c:showLegendKey val="0"/>
          <c:showVal val="0"/>
          <c:showCatName val="0"/>
          <c:showSerName val="0"/>
          <c:showPercent val="0"/>
          <c:showBubbleSize val="0"/>
        </c:dLbls>
        <c:gapWidth val="150"/>
        <c:axId val="186096256"/>
        <c:axId val="186123008"/>
      </c:barChart>
      <c:catAx>
        <c:axId val="18609625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Dehydrogenase</a:t>
                </a:r>
                <a:r>
                  <a:rPr lang="en-IN" sz="1000" baseline="0">
                    <a:latin typeface="Times New Roman" panose="02020603050405020304" pitchFamily="18" charset="0"/>
                    <a:cs typeface="Times New Roman" panose="02020603050405020304" pitchFamily="18" charset="0"/>
                  </a:rPr>
                  <a:t> activity </a:t>
                </a:r>
                <a:r>
                  <a:rPr lang="en-IN" sz="1000" b="1" i="0" u="none" strike="noStrike" baseline="0">
                    <a:effectLst/>
                    <a:latin typeface="Times New Roman" panose="02020603050405020304" pitchFamily="18" charset="0"/>
                    <a:cs typeface="Times New Roman" panose="02020603050405020304" pitchFamily="18" charset="0"/>
                  </a:rPr>
                  <a:t>(</a:t>
                </a:r>
                <a:r>
                  <a:rPr lang="en-US" sz="1000" b="1" i="0" u="none" strike="noStrike" baseline="0">
                    <a:effectLst/>
                    <a:latin typeface="Times New Roman" panose="02020603050405020304" pitchFamily="18" charset="0"/>
                    <a:cs typeface="Times New Roman" panose="02020603050405020304" pitchFamily="18" charset="0"/>
                  </a:rPr>
                  <a:t>µg TPF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24h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5613536944245626"/>
              <c:y val="0.85180478314336583"/>
            </c:manualLayout>
          </c:layout>
          <c:overlay val="0"/>
        </c:title>
        <c:numFmt formatCode="General" sourceLinked="1"/>
        <c:majorTickMark val="out"/>
        <c:minorTickMark val="none"/>
        <c:tickLblPos val="nextTo"/>
        <c:spPr>
          <a:ln>
            <a:solidFill>
              <a:schemeClr val="tx1"/>
            </a:solidFill>
          </a:ln>
        </c:spPr>
        <c:crossAx val="186123008"/>
        <c:crosses val="autoZero"/>
        <c:auto val="1"/>
        <c:lblAlgn val="ctr"/>
        <c:lblOffset val="100"/>
        <c:noMultiLvlLbl val="0"/>
      </c:catAx>
      <c:valAx>
        <c:axId val="18612300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6.0857538035961327E-2"/>
              <c:y val="0.25017659829558342"/>
            </c:manualLayout>
          </c:layout>
          <c:overlay val="0"/>
        </c:title>
        <c:numFmt formatCode="General" sourceLinked="1"/>
        <c:majorTickMark val="out"/>
        <c:minorTickMark val="none"/>
        <c:tickLblPos val="nextTo"/>
        <c:spPr>
          <a:ln>
            <a:solidFill>
              <a:schemeClr val="tx1"/>
            </a:solidFill>
          </a:ln>
        </c:spPr>
        <c:crossAx val="18609625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5018829168094"/>
          <c:y val="0.16731395564402041"/>
          <c:w val="0.79869769327614626"/>
          <c:h val="0.623092429431451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39AC-49D6-BB4F-3E12CED1054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39AC-49D6-BB4F-3E12CED10545}"/>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39AC-49D6-BB4F-3E12CED1054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Sheet41!$A$2:$A$4</c:f>
              <c:strCache>
                <c:ptCount val="3"/>
                <c:pt idx="0">
                  <c:v>Poor (&lt; 50)</c:v>
                </c:pt>
                <c:pt idx="1">
                  <c:v>Medium (50-70)</c:v>
                </c:pt>
                <c:pt idx="2">
                  <c:v>Good (&gt; 70)</c:v>
                </c:pt>
              </c:strCache>
            </c:strRef>
          </c:cat>
          <c:val>
            <c:numRef>
              <c:f>Sheet41!$B$2:$B$4</c:f>
              <c:numCache>
                <c:formatCode>General</c:formatCode>
                <c:ptCount val="3"/>
                <c:pt idx="0">
                  <c:v>19.610000000000021</c:v>
                </c:pt>
                <c:pt idx="1">
                  <c:v>78.430000000000007</c:v>
                </c:pt>
                <c:pt idx="2">
                  <c:v>1.9600000000000013</c:v>
                </c:pt>
              </c:numCache>
            </c:numRef>
          </c:val>
          <c:extLst>
            <c:ext xmlns:c16="http://schemas.microsoft.com/office/drawing/2014/chart" uri="{C3380CC4-5D6E-409C-BE32-E72D297353CC}">
              <c16:uniqueId val="{00000006-39AC-49D6-BB4F-3E12CED10545}"/>
            </c:ext>
          </c:extLst>
        </c:ser>
        <c:dLbls>
          <c:showLegendKey val="0"/>
          <c:showVal val="0"/>
          <c:showCatName val="0"/>
          <c:showSerName val="0"/>
          <c:showPercent val="0"/>
          <c:showBubbleSize val="0"/>
        </c:dLbls>
        <c:gapWidth val="150"/>
        <c:axId val="186263808"/>
        <c:axId val="186298752"/>
      </c:barChart>
      <c:catAx>
        <c:axId val="186263808"/>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RSQI (%)</a:t>
                </a:r>
              </a:p>
            </c:rich>
          </c:tx>
          <c:layout>
            <c:manualLayout>
              <c:xMode val="edge"/>
              <c:yMode val="edge"/>
              <c:x val="0.48498068838956193"/>
              <c:y val="0.89790702991394356"/>
            </c:manualLayout>
          </c:layout>
          <c:overlay val="0"/>
        </c:title>
        <c:numFmt formatCode="General" sourceLinked="1"/>
        <c:majorTickMark val="out"/>
        <c:minorTickMark val="none"/>
        <c:tickLblPos val="nextTo"/>
        <c:spPr>
          <a:ln>
            <a:solidFill>
              <a:schemeClr val="tx1"/>
            </a:solidFill>
          </a:ln>
        </c:spPr>
        <c:crossAx val="186298752"/>
        <c:crosses val="autoZero"/>
        <c:auto val="1"/>
        <c:lblAlgn val="ctr"/>
        <c:lblOffset val="100"/>
        <c:noMultiLvlLbl val="0"/>
      </c:catAx>
      <c:valAx>
        <c:axId val="186298752"/>
        <c:scaling>
          <c:orientation val="minMax"/>
          <c:max val="100"/>
        </c:scaling>
        <c:delete val="0"/>
        <c:axPos val="l"/>
        <c:majorGridlines/>
        <c:title>
          <c:tx>
            <c:rich>
              <a:bodyPr/>
              <a:lstStyle/>
              <a:p>
                <a:pPr>
                  <a:defRPr sz="900"/>
                </a:pPr>
                <a:r>
                  <a:rPr lang="en-IN" sz="1200">
                    <a:latin typeface="Times New Roman" panose="02020603050405020304" pitchFamily="18" charset="0"/>
                    <a:cs typeface="Times New Roman" panose="02020603050405020304" pitchFamily="18" charset="0"/>
                  </a:rPr>
                  <a:t>%</a:t>
                </a:r>
                <a:r>
                  <a:rPr lang="en-IN" sz="1200" baseline="0">
                    <a:latin typeface="Times New Roman" panose="02020603050405020304" pitchFamily="18" charset="0"/>
                    <a:cs typeface="Times New Roman" panose="02020603050405020304" pitchFamily="18" charset="0"/>
                  </a:rPr>
                  <a:t> of samples</a:t>
                </a:r>
                <a:endParaRPr lang="en-IN" sz="1200">
                  <a:latin typeface="Times New Roman" panose="02020603050405020304" pitchFamily="18" charset="0"/>
                  <a:cs typeface="Times New Roman" panose="02020603050405020304" pitchFamily="18" charset="0"/>
                </a:endParaRPr>
              </a:p>
            </c:rich>
          </c:tx>
          <c:layout>
            <c:manualLayout>
              <c:xMode val="edge"/>
              <c:yMode val="edge"/>
              <c:x val="5.106757996713833E-2"/>
              <c:y val="0.26372703412073473"/>
            </c:manualLayout>
          </c:layout>
          <c:overlay val="0"/>
        </c:title>
        <c:numFmt formatCode="General" sourceLinked="1"/>
        <c:majorTickMark val="out"/>
        <c:minorTickMark val="none"/>
        <c:tickLblPos val="nextTo"/>
        <c:spPr>
          <a:ln>
            <a:solidFill>
              <a:schemeClr val="tx1"/>
            </a:solidFill>
          </a:ln>
        </c:spPr>
        <c:crossAx val="18626380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58032671289238"/>
          <c:y val="6.3622431811408267E-2"/>
          <c:w val="0.73880130575075953"/>
          <c:h val="0.67314047282551337"/>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DF40-4B7C-B5E6-304C574EE9D1}"/>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DF40-4B7C-B5E6-304C574EE9D1}"/>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DF40-4B7C-B5E6-304C574EE9D1}"/>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DF40-4B7C-B5E6-304C574EE9D1}"/>
              </c:ext>
            </c:extLst>
          </c:dPt>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Sheet4!$A$2:$A$5</c:f>
              <c:strCache>
                <c:ptCount val="4"/>
                <c:pt idx="0">
                  <c:v>&lt; 2.2</c:v>
                </c:pt>
                <c:pt idx="1">
                  <c:v>2.2 - 2.4</c:v>
                </c:pt>
                <c:pt idx="2">
                  <c:v>2.4 - 2.6</c:v>
                </c:pt>
                <c:pt idx="3">
                  <c:v>&gt; 2.6</c:v>
                </c:pt>
              </c:strCache>
            </c:strRef>
          </c:cat>
          <c:val>
            <c:numRef>
              <c:f>Sheet4!$B$2:$B$5</c:f>
              <c:numCache>
                <c:formatCode>General</c:formatCode>
                <c:ptCount val="4"/>
                <c:pt idx="0">
                  <c:v>25.49</c:v>
                </c:pt>
                <c:pt idx="1">
                  <c:v>29.41</c:v>
                </c:pt>
                <c:pt idx="2">
                  <c:v>35.290000000000013</c:v>
                </c:pt>
                <c:pt idx="3">
                  <c:v>9.8000000000000007</c:v>
                </c:pt>
              </c:numCache>
            </c:numRef>
          </c:val>
          <c:extLst>
            <c:ext xmlns:c16="http://schemas.microsoft.com/office/drawing/2014/chart" uri="{C3380CC4-5D6E-409C-BE32-E72D297353CC}">
              <c16:uniqueId val="{00000008-DF40-4B7C-B5E6-304C574EE9D1}"/>
            </c:ext>
          </c:extLst>
        </c:ser>
        <c:dLbls>
          <c:showLegendKey val="0"/>
          <c:showVal val="1"/>
          <c:showCatName val="0"/>
          <c:showSerName val="0"/>
          <c:showPercent val="0"/>
          <c:showBubbleSize val="0"/>
        </c:dLbls>
        <c:gapWidth val="150"/>
        <c:axId val="92803072"/>
        <c:axId val="92804992"/>
      </c:barChart>
      <c:catAx>
        <c:axId val="928030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Particle</a:t>
                </a:r>
                <a:r>
                  <a:rPr lang="en-IN" sz="1000"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29355466760684817"/>
              <c:y val="0.8509805505081100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92804992"/>
        <c:crosses val="autoZero"/>
        <c:auto val="1"/>
        <c:lblAlgn val="ctr"/>
        <c:lblOffset val="100"/>
        <c:noMultiLvlLbl val="0"/>
      </c:catAx>
      <c:valAx>
        <c:axId val="92804992"/>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6641986915814629E-2"/>
              <c:y val="0.23541557305336841"/>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928030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6299212598423"/>
          <c:y val="8.0077449335226619E-2"/>
          <c:w val="0.84970059992500935"/>
          <c:h val="0.62924701906125924"/>
        </c:manualLayout>
      </c:layout>
      <c:barChart>
        <c:barDir val="col"/>
        <c:grouping val="clustered"/>
        <c:varyColors val="0"/>
        <c:ser>
          <c:idx val="0"/>
          <c:order val="0"/>
          <c:tx>
            <c:v>Frequency</c:v>
          </c:tx>
          <c:invertIfNegative val="0"/>
          <c:dPt>
            <c:idx val="0"/>
            <c:invertIfNegative val="0"/>
            <c:bubble3D val="0"/>
            <c:spPr>
              <a:solidFill>
                <a:srgbClr val="FF3300"/>
              </a:solidFill>
            </c:spPr>
            <c:extLst>
              <c:ext xmlns:c16="http://schemas.microsoft.com/office/drawing/2014/chart" uri="{C3380CC4-5D6E-409C-BE32-E72D297353CC}">
                <c16:uniqueId val="{00000001-0990-42ED-8312-1ED09D5D7218}"/>
              </c:ext>
            </c:extLst>
          </c:dPt>
          <c:dPt>
            <c:idx val="1"/>
            <c:invertIfNegative val="0"/>
            <c:bubble3D val="0"/>
            <c:spPr>
              <a:solidFill>
                <a:srgbClr val="92D050"/>
              </a:solidFill>
            </c:spPr>
            <c:extLst>
              <c:ext xmlns:c16="http://schemas.microsoft.com/office/drawing/2014/chart" uri="{C3380CC4-5D6E-409C-BE32-E72D297353CC}">
                <c16:uniqueId val="{00000003-0990-42ED-8312-1ED09D5D7218}"/>
              </c:ext>
            </c:extLst>
          </c:dPt>
          <c:dPt>
            <c:idx val="2"/>
            <c:invertIfNegative val="0"/>
            <c:bubble3D val="0"/>
            <c:spPr>
              <a:solidFill>
                <a:srgbClr val="FFC000"/>
              </a:solidFill>
            </c:spPr>
            <c:extLst>
              <c:ext xmlns:c16="http://schemas.microsoft.com/office/drawing/2014/chart" uri="{C3380CC4-5D6E-409C-BE32-E72D297353CC}">
                <c16:uniqueId val="{00000005-0990-42ED-8312-1ED09D5D7218}"/>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7-0990-42ED-8312-1ED09D5D7218}"/>
              </c:ext>
            </c:extLst>
          </c:dPt>
          <c:dPt>
            <c:idx val="4"/>
            <c:invertIfNegative val="0"/>
            <c:bubble3D val="0"/>
            <c:spPr>
              <a:solidFill>
                <a:srgbClr val="66FFFF"/>
              </a:solidFill>
            </c:spPr>
            <c:extLst>
              <c:ext xmlns:c16="http://schemas.microsoft.com/office/drawing/2014/chart" uri="{C3380CC4-5D6E-409C-BE32-E72D297353CC}">
                <c16:uniqueId val="{00000009-0990-42ED-8312-1ED09D5D7218}"/>
              </c:ext>
            </c:extLst>
          </c:dPt>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Sheet45!$A$2:$A$7</c:f>
              <c:strCache>
                <c:ptCount val="6"/>
                <c:pt idx="0">
                  <c:v>Sandy clay loam</c:v>
                </c:pt>
                <c:pt idx="1">
                  <c:v>Sandy clay</c:v>
                </c:pt>
                <c:pt idx="2">
                  <c:v>Clay </c:v>
                </c:pt>
                <c:pt idx="3">
                  <c:v>Clay loam</c:v>
                </c:pt>
                <c:pt idx="4">
                  <c:v>Loam</c:v>
                </c:pt>
                <c:pt idx="5">
                  <c:v>Sandy loam</c:v>
                </c:pt>
              </c:strCache>
            </c:strRef>
          </c:cat>
          <c:val>
            <c:numRef>
              <c:f>Sheet45!$B$2:$B$7</c:f>
              <c:numCache>
                <c:formatCode>General</c:formatCode>
                <c:ptCount val="6"/>
                <c:pt idx="0">
                  <c:v>43.14</c:v>
                </c:pt>
                <c:pt idx="1">
                  <c:v>15.69</c:v>
                </c:pt>
                <c:pt idx="2">
                  <c:v>5.88</c:v>
                </c:pt>
                <c:pt idx="3">
                  <c:v>15.69</c:v>
                </c:pt>
                <c:pt idx="4">
                  <c:v>5.88</c:v>
                </c:pt>
                <c:pt idx="5">
                  <c:v>13.73</c:v>
                </c:pt>
              </c:numCache>
            </c:numRef>
          </c:val>
          <c:extLst>
            <c:ext xmlns:c16="http://schemas.microsoft.com/office/drawing/2014/chart" uri="{C3380CC4-5D6E-409C-BE32-E72D297353CC}">
              <c16:uniqueId val="{0000000A-0990-42ED-8312-1ED09D5D7218}"/>
            </c:ext>
          </c:extLst>
        </c:ser>
        <c:dLbls>
          <c:showLegendKey val="0"/>
          <c:showVal val="0"/>
          <c:showCatName val="0"/>
          <c:showSerName val="0"/>
          <c:showPercent val="0"/>
          <c:showBubbleSize val="0"/>
        </c:dLbls>
        <c:gapWidth val="150"/>
        <c:axId val="91708800"/>
        <c:axId val="92825088"/>
      </c:barChart>
      <c:catAx>
        <c:axId val="91708800"/>
        <c:scaling>
          <c:orientation val="minMax"/>
        </c:scaling>
        <c:delete val="0"/>
        <c:axPos val="b"/>
        <c:title>
          <c:tx>
            <c:rich>
              <a:bodyPr/>
              <a:lstStyle/>
              <a:p>
                <a:pPr>
                  <a:defRPr sz="1000" b="0"/>
                </a:pPr>
                <a:r>
                  <a:rPr lang="en-IN" sz="1000" b="0">
                    <a:latin typeface="Times New Roman" panose="02020603050405020304" pitchFamily="18" charset="0"/>
                    <a:cs typeface="Times New Roman" panose="02020603050405020304" pitchFamily="18" charset="0"/>
                  </a:rPr>
                  <a:t>Soil</a:t>
                </a:r>
                <a:r>
                  <a:rPr lang="en-IN" sz="1000" b="0" baseline="0">
                    <a:latin typeface="Times New Roman" panose="02020603050405020304" pitchFamily="18" charset="0"/>
                    <a:cs typeface="Times New Roman" panose="02020603050405020304" pitchFamily="18" charset="0"/>
                  </a:rPr>
                  <a:t> t</a:t>
                </a:r>
                <a:r>
                  <a:rPr lang="en-IN" sz="1000" b="0">
                    <a:latin typeface="Times New Roman" panose="02020603050405020304" pitchFamily="18" charset="0"/>
                    <a:cs typeface="Times New Roman" panose="02020603050405020304" pitchFamily="18" charset="0"/>
                  </a:rPr>
                  <a:t>extural</a:t>
                </a:r>
                <a:r>
                  <a:rPr lang="en-IN" sz="1000" b="0" baseline="0">
                    <a:latin typeface="Times New Roman" panose="02020603050405020304" pitchFamily="18" charset="0"/>
                    <a:cs typeface="Times New Roman" panose="02020603050405020304" pitchFamily="18" charset="0"/>
                  </a:rPr>
                  <a:t> classes </a:t>
                </a:r>
                <a:endParaRPr lang="en-IN" sz="1000" b="0">
                  <a:latin typeface="Times New Roman" panose="02020603050405020304" pitchFamily="18" charset="0"/>
                  <a:cs typeface="Times New Roman" panose="02020603050405020304" pitchFamily="18" charset="0"/>
                </a:endParaRPr>
              </a:p>
            </c:rich>
          </c:tx>
          <c:layout>
            <c:manualLayout>
              <c:xMode val="edge"/>
              <c:yMode val="edge"/>
              <c:x val="0.40788470191226162"/>
              <c:y val="0.81708577674041094"/>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2825088"/>
        <c:crosses val="autoZero"/>
        <c:auto val="1"/>
        <c:lblAlgn val="ctr"/>
        <c:lblOffset val="100"/>
        <c:noMultiLvlLbl val="0"/>
      </c:catAx>
      <c:valAx>
        <c:axId val="92825088"/>
        <c:scaling>
          <c:orientation val="minMax"/>
          <c:max val="70"/>
        </c:scaling>
        <c:delete val="0"/>
        <c:axPos val="l"/>
        <c:title>
          <c:tx>
            <c:rich>
              <a:bodyPr/>
              <a:lstStyle/>
              <a:p>
                <a:pPr>
                  <a:defRPr b="0"/>
                </a:pPr>
                <a:r>
                  <a:rPr lang="en-IN" sz="1000" b="0">
                    <a:latin typeface="Times New Roman" panose="02020603050405020304" pitchFamily="18" charset="0"/>
                    <a:cs typeface="Times New Roman" panose="02020603050405020304" pitchFamily="18" charset="0"/>
                  </a:rPr>
                  <a:t>%</a:t>
                </a:r>
                <a:r>
                  <a:rPr lang="en-IN" sz="1000" b="0" baseline="0">
                    <a:latin typeface="Times New Roman" panose="02020603050405020304" pitchFamily="18" charset="0"/>
                    <a:cs typeface="Times New Roman" panose="02020603050405020304" pitchFamily="18" charset="0"/>
                  </a:rPr>
                  <a:t> of samples</a:t>
                </a:r>
                <a:endParaRPr lang="en-IN" sz="1000" b="0">
                  <a:latin typeface="Times New Roman" panose="02020603050405020304" pitchFamily="18" charset="0"/>
                  <a:cs typeface="Times New Roman" panose="02020603050405020304" pitchFamily="18" charset="0"/>
                </a:endParaRPr>
              </a:p>
            </c:rich>
          </c:tx>
          <c:layout>
            <c:manualLayout>
              <c:xMode val="edge"/>
              <c:yMode val="edge"/>
              <c:x val="1.9047619047619067E-2"/>
              <c:y val="0.20415281423155424"/>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17088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6401147530976"/>
          <c:y val="8.0174978127734067E-2"/>
          <c:w val="0.70006561679790025"/>
          <c:h val="0.59987401574803145"/>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B51B-481F-AD04-6CEA405E2167}"/>
              </c:ext>
            </c:extLst>
          </c:dPt>
          <c:dPt>
            <c:idx val="1"/>
            <c:invertIfNegative val="0"/>
            <c:bubble3D val="0"/>
            <c:spPr>
              <a:solidFill>
                <a:srgbClr val="FFFF00"/>
              </a:solidFill>
            </c:spPr>
            <c:extLst>
              <c:ext xmlns:c16="http://schemas.microsoft.com/office/drawing/2014/chart" uri="{C3380CC4-5D6E-409C-BE32-E72D297353CC}">
                <c16:uniqueId val="{00000003-B51B-481F-AD04-6CEA405E216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Sheet11!$A$2:$A$3</c:f>
              <c:strCache>
                <c:ptCount val="2"/>
                <c:pt idx="0">
                  <c:v>&lt; 30</c:v>
                </c:pt>
                <c:pt idx="1">
                  <c:v>30 - 50</c:v>
                </c:pt>
              </c:strCache>
            </c:strRef>
          </c:cat>
          <c:val>
            <c:numRef>
              <c:f>Sheet11!$B$2:$B$3</c:f>
              <c:numCache>
                <c:formatCode>General</c:formatCode>
                <c:ptCount val="2"/>
                <c:pt idx="0">
                  <c:v>85</c:v>
                </c:pt>
                <c:pt idx="1">
                  <c:v>15</c:v>
                </c:pt>
              </c:numCache>
            </c:numRef>
          </c:val>
          <c:extLst>
            <c:ext xmlns:c16="http://schemas.microsoft.com/office/drawing/2014/chart" uri="{C3380CC4-5D6E-409C-BE32-E72D297353CC}">
              <c16:uniqueId val="{00000004-B51B-481F-AD04-6CEA405E2167}"/>
            </c:ext>
          </c:extLst>
        </c:ser>
        <c:dLbls>
          <c:showLegendKey val="0"/>
          <c:showVal val="0"/>
          <c:showCatName val="0"/>
          <c:showSerName val="0"/>
          <c:showPercent val="0"/>
          <c:showBubbleSize val="0"/>
        </c:dLbls>
        <c:gapWidth val="150"/>
        <c:axId val="92858240"/>
        <c:axId val="92876800"/>
      </c:barChart>
      <c:catAx>
        <c:axId val="92858240"/>
        <c:scaling>
          <c:orientation val="minMax"/>
        </c:scaling>
        <c:delete val="0"/>
        <c:axPos val="b"/>
        <c:title>
          <c:tx>
            <c:rich>
              <a:bodyPr/>
              <a:lstStyle/>
              <a:p>
                <a:pPr>
                  <a:defRPr sz="900"/>
                </a:pPr>
                <a:r>
                  <a:rPr lang="en-IN" sz="900">
                    <a:latin typeface="Times New Roman" panose="02020603050405020304" pitchFamily="18" charset="0"/>
                    <a:cs typeface="Times New Roman" panose="02020603050405020304" pitchFamily="18" charset="0"/>
                  </a:rPr>
                  <a:t>Water holding capacity (%)</a:t>
                </a:r>
              </a:p>
            </c:rich>
          </c:tx>
          <c:layout>
            <c:manualLayout>
              <c:xMode val="edge"/>
              <c:yMode val="edge"/>
              <c:x val="0.28011200634804401"/>
              <c:y val="0.82140848183450754"/>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2876800"/>
        <c:crosses val="autoZero"/>
        <c:auto val="1"/>
        <c:lblAlgn val="ctr"/>
        <c:lblOffset val="100"/>
        <c:noMultiLvlLbl val="0"/>
      </c:catAx>
      <c:valAx>
        <c:axId val="92876800"/>
        <c:scaling>
          <c:orientation val="minMax"/>
          <c:max val="100"/>
        </c:scaling>
        <c:delete val="0"/>
        <c:axPos val="l"/>
        <c:title>
          <c:tx>
            <c:rich>
              <a:bodyPr/>
              <a:lstStyle/>
              <a:p>
                <a:pPr>
                  <a:defRPr sz="900"/>
                </a:pPr>
                <a:r>
                  <a:rPr lang="en-IN" sz="900">
                    <a:latin typeface="Times New Roman" panose="02020603050405020304" pitchFamily="18" charset="0"/>
                    <a:cs typeface="Times New Roman" panose="02020603050405020304" pitchFamily="18" charset="0"/>
                  </a:rPr>
                  <a:t>% of samples</a:t>
                </a:r>
              </a:p>
            </c:rich>
          </c:tx>
          <c:layout>
            <c:manualLayout>
              <c:xMode val="edge"/>
              <c:yMode val="edge"/>
              <c:x val="5.3695904291033394E-2"/>
              <c:y val="0.22451890322220372"/>
            </c:manualLayout>
          </c:layout>
          <c:overlay val="0"/>
        </c:title>
        <c:numFmt formatCode="General" sourceLinked="1"/>
        <c:majorTickMark val="out"/>
        <c:minorTickMark val="none"/>
        <c:tickLblPos val="nextTo"/>
        <c:crossAx val="92858240"/>
        <c:crosses val="autoZero"/>
        <c:crossBetween val="between"/>
        <c:majorUnit val="10"/>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45421930172409"/>
          <c:y val="7.2206070395046826E-2"/>
          <c:w val="0.72162023383440799"/>
          <c:h val="0.610494220137376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59C1-4138-B370-2C0EA23F7FCA}"/>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59C1-4138-B370-2C0EA23F7FCA}"/>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59C1-4138-B370-2C0EA23F7FCA}"/>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59C1-4138-B370-2C0EA23F7FC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Sheet8!$A$2:$A$5</c:f>
              <c:strCache>
                <c:ptCount val="4"/>
                <c:pt idx="0">
                  <c:v>&lt; 10</c:v>
                </c:pt>
                <c:pt idx="1">
                  <c:v>10 - 15</c:v>
                </c:pt>
                <c:pt idx="2">
                  <c:v>15 - 25</c:v>
                </c:pt>
                <c:pt idx="3">
                  <c:v>&gt; 25</c:v>
                </c:pt>
              </c:strCache>
            </c:strRef>
          </c:cat>
          <c:val>
            <c:numRef>
              <c:f>Sheet8!$B$2:$B$5</c:f>
              <c:numCache>
                <c:formatCode>General</c:formatCode>
                <c:ptCount val="4"/>
                <c:pt idx="0">
                  <c:v>1.9600000000000009</c:v>
                </c:pt>
                <c:pt idx="1">
                  <c:v>31.37</c:v>
                </c:pt>
                <c:pt idx="2">
                  <c:v>35.290000000000013</c:v>
                </c:pt>
                <c:pt idx="3">
                  <c:v>31.37</c:v>
                </c:pt>
              </c:numCache>
            </c:numRef>
          </c:val>
          <c:extLst>
            <c:ext xmlns:c16="http://schemas.microsoft.com/office/drawing/2014/chart" uri="{C3380CC4-5D6E-409C-BE32-E72D297353CC}">
              <c16:uniqueId val="{00000008-59C1-4138-B370-2C0EA23F7FCA}"/>
            </c:ext>
          </c:extLst>
        </c:ser>
        <c:dLbls>
          <c:showLegendKey val="0"/>
          <c:showVal val="0"/>
          <c:showCatName val="0"/>
          <c:showSerName val="0"/>
          <c:showPercent val="0"/>
          <c:showBubbleSize val="0"/>
        </c:dLbls>
        <c:gapWidth val="150"/>
        <c:axId val="92947200"/>
        <c:axId val="92949120"/>
      </c:barChart>
      <c:catAx>
        <c:axId val="9294720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Soil moisture content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94174738949023"/>
              <c:y val="0.83865016872890852"/>
            </c:manualLayout>
          </c:layout>
          <c:overlay val="0"/>
        </c:title>
        <c:numFmt formatCode="General" sourceLinked="1"/>
        <c:majorTickMark val="out"/>
        <c:minorTickMark val="none"/>
        <c:tickLblPos val="nextTo"/>
        <c:spPr>
          <a:ln>
            <a:solidFill>
              <a:schemeClr val="tx1"/>
            </a:solidFill>
          </a:ln>
        </c:spPr>
        <c:crossAx val="92949120"/>
        <c:crosses val="autoZero"/>
        <c:auto val="1"/>
        <c:lblAlgn val="ctr"/>
        <c:lblOffset val="100"/>
        <c:noMultiLvlLbl val="0"/>
      </c:catAx>
      <c:valAx>
        <c:axId val="9294912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4.3531788742234546E-2"/>
              <c:y val="0.21934618749579404"/>
            </c:manualLayout>
          </c:layout>
          <c:overlay val="0"/>
        </c:title>
        <c:numFmt formatCode="General" sourceLinked="1"/>
        <c:majorTickMark val="out"/>
        <c:minorTickMark val="none"/>
        <c:tickLblPos val="nextTo"/>
        <c:spPr>
          <a:ln>
            <a:solidFill>
              <a:schemeClr val="tx1"/>
            </a:solidFill>
          </a:ln>
        </c:spPr>
        <c:crossAx val="929472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52782726976637"/>
          <c:y val="0.11299294109975386"/>
          <c:w val="0.67845163515144602"/>
          <c:h val="0.52386289949050491"/>
        </c:manualLayout>
      </c:layout>
      <c:barChart>
        <c:barDir val="col"/>
        <c:grouping val="clustered"/>
        <c:varyColors val="0"/>
        <c:ser>
          <c:idx val="0"/>
          <c:order val="0"/>
          <c:tx>
            <c:v>Frequency</c:v>
          </c:tx>
          <c:spPr>
            <a:solidFill>
              <a:srgbClr val="FFFF00"/>
            </a:solidFill>
            <a:ln>
              <a:solidFill>
                <a:schemeClr val="tx1"/>
              </a:solidFill>
            </a:ln>
          </c:spPr>
          <c:invertIfNegative val="0"/>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1-9CA2-4314-AAD7-11EC47997497}"/>
              </c:ext>
            </c:extLst>
          </c:dPt>
          <c:dPt>
            <c:idx val="2"/>
            <c:invertIfNegative val="0"/>
            <c:bubble3D val="0"/>
            <c:spPr>
              <a:solidFill>
                <a:srgbClr val="002060"/>
              </a:solidFill>
              <a:ln>
                <a:solidFill>
                  <a:schemeClr val="tx1"/>
                </a:solidFill>
              </a:ln>
            </c:spPr>
            <c:extLst>
              <c:ext xmlns:c16="http://schemas.microsoft.com/office/drawing/2014/chart" uri="{C3380CC4-5D6E-409C-BE32-E72D297353CC}">
                <c16:uniqueId val="{00000003-9CA2-4314-AAD7-11EC4799749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Sheet12!$A$2:$A$4</c:f>
              <c:strCache>
                <c:ptCount val="3"/>
                <c:pt idx="0">
                  <c:v>30 -50</c:v>
                </c:pt>
                <c:pt idx="1">
                  <c:v>50 - 70</c:v>
                </c:pt>
                <c:pt idx="2">
                  <c:v>&gt; 70</c:v>
                </c:pt>
              </c:strCache>
            </c:strRef>
          </c:cat>
          <c:val>
            <c:numRef>
              <c:f>Sheet12!$B$2:$B$4</c:f>
              <c:numCache>
                <c:formatCode>General</c:formatCode>
                <c:ptCount val="3"/>
                <c:pt idx="0">
                  <c:v>1.9600000000000009</c:v>
                </c:pt>
                <c:pt idx="1">
                  <c:v>7.84</c:v>
                </c:pt>
                <c:pt idx="2">
                  <c:v>90.2</c:v>
                </c:pt>
              </c:numCache>
            </c:numRef>
          </c:val>
          <c:extLst>
            <c:ext xmlns:c16="http://schemas.microsoft.com/office/drawing/2014/chart" uri="{C3380CC4-5D6E-409C-BE32-E72D297353CC}">
              <c16:uniqueId val="{00000004-9CA2-4314-AAD7-11EC47997497}"/>
            </c:ext>
          </c:extLst>
        </c:ser>
        <c:dLbls>
          <c:showLegendKey val="0"/>
          <c:showVal val="0"/>
          <c:showCatName val="0"/>
          <c:showSerName val="0"/>
          <c:showPercent val="0"/>
          <c:showBubbleSize val="0"/>
        </c:dLbls>
        <c:gapWidth val="150"/>
        <c:axId val="93237248"/>
        <c:axId val="93239168"/>
      </c:barChart>
      <c:catAx>
        <c:axId val="9323724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Water</a:t>
                </a:r>
                <a:r>
                  <a:rPr lang="en-IN" sz="1000" baseline="0">
                    <a:latin typeface="Times New Roman" panose="02020603050405020304" pitchFamily="18" charset="0"/>
                    <a:cs typeface="Times New Roman" panose="02020603050405020304" pitchFamily="18" charset="0"/>
                  </a:rPr>
                  <a:t> stable aggregates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8172423702511634"/>
              <c:y val="0.77980502437195365"/>
            </c:manualLayout>
          </c:layout>
          <c:overlay val="0"/>
        </c:title>
        <c:numFmt formatCode="General" sourceLinked="1"/>
        <c:majorTickMark val="out"/>
        <c:minorTickMark val="none"/>
        <c:tickLblPos val="nextTo"/>
        <c:spPr>
          <a:ln>
            <a:solidFill>
              <a:schemeClr val="tx1"/>
            </a:solidFill>
          </a:ln>
        </c:spPr>
        <c:crossAx val="93239168"/>
        <c:crosses val="autoZero"/>
        <c:auto val="1"/>
        <c:lblAlgn val="ctr"/>
        <c:lblOffset val="100"/>
        <c:noMultiLvlLbl val="0"/>
      </c:catAx>
      <c:valAx>
        <c:axId val="9323916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2988505747126436E-2"/>
              <c:y val="0.23957933093414871"/>
            </c:manualLayout>
          </c:layout>
          <c:overlay val="0"/>
        </c:title>
        <c:numFmt formatCode="General" sourceLinked="1"/>
        <c:majorTickMark val="out"/>
        <c:minorTickMark val="none"/>
        <c:tickLblPos val="nextTo"/>
        <c:spPr>
          <a:ln>
            <a:solidFill>
              <a:schemeClr val="tx1"/>
            </a:solidFill>
          </a:ln>
        </c:spPr>
        <c:crossAx val="93237248"/>
        <c:crosses val="autoZero"/>
        <c:crossBetween val="between"/>
        <c:majorUnit val="20"/>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67267994827065"/>
          <c:y val="8.8919975428603401E-2"/>
          <c:w val="0.7899184223593676"/>
          <c:h val="0.6435971674459956"/>
        </c:manualLayout>
      </c:layout>
      <c:barChart>
        <c:barDir val="col"/>
        <c:grouping val="clustered"/>
        <c:varyColors val="0"/>
        <c:ser>
          <c:idx val="0"/>
          <c:order val="0"/>
          <c:tx>
            <c:v>Frequency</c:v>
          </c:tx>
          <c:invertIfNegative val="0"/>
          <c:dPt>
            <c:idx val="0"/>
            <c:invertIfNegative val="0"/>
            <c:bubble3D val="0"/>
            <c:spPr>
              <a:solidFill>
                <a:srgbClr val="CC3300"/>
              </a:solidFill>
            </c:spPr>
            <c:extLst>
              <c:ext xmlns:c16="http://schemas.microsoft.com/office/drawing/2014/chart" uri="{C3380CC4-5D6E-409C-BE32-E72D297353CC}">
                <c16:uniqueId val="{00000001-AB3D-4299-B131-FD2211208335}"/>
              </c:ext>
            </c:extLst>
          </c:dPt>
          <c:dPt>
            <c:idx val="1"/>
            <c:invertIfNegative val="0"/>
            <c:bubble3D val="0"/>
            <c:spPr>
              <a:solidFill>
                <a:srgbClr val="990033"/>
              </a:solidFill>
            </c:spPr>
            <c:extLst>
              <c:ext xmlns:c16="http://schemas.microsoft.com/office/drawing/2014/chart" uri="{C3380CC4-5D6E-409C-BE32-E72D297353CC}">
                <c16:uniqueId val="{00000003-AB3D-4299-B131-FD2211208335}"/>
              </c:ext>
            </c:extLst>
          </c:dPt>
          <c:dPt>
            <c:idx val="2"/>
            <c:invertIfNegative val="0"/>
            <c:bubble3D val="0"/>
            <c:spPr>
              <a:solidFill>
                <a:srgbClr val="FF0000"/>
              </a:solidFill>
            </c:spPr>
            <c:extLst>
              <c:ext xmlns:c16="http://schemas.microsoft.com/office/drawing/2014/chart" uri="{C3380CC4-5D6E-409C-BE32-E72D297353CC}">
                <c16:uniqueId val="{00000005-AB3D-4299-B131-FD2211208335}"/>
              </c:ext>
            </c:extLst>
          </c:dPt>
          <c:dPt>
            <c:idx val="3"/>
            <c:invertIfNegative val="0"/>
            <c:bubble3D val="0"/>
            <c:spPr>
              <a:solidFill>
                <a:srgbClr val="FFFF00"/>
              </a:solidFill>
            </c:spPr>
            <c:extLst>
              <c:ext xmlns:c16="http://schemas.microsoft.com/office/drawing/2014/chart" uri="{C3380CC4-5D6E-409C-BE32-E72D297353CC}">
                <c16:uniqueId val="{00000007-AB3D-4299-B131-FD2211208335}"/>
              </c:ext>
            </c:extLst>
          </c:dPt>
          <c:dPt>
            <c:idx val="4"/>
            <c:invertIfNegative val="0"/>
            <c:bubble3D val="0"/>
            <c:spPr>
              <a:solidFill>
                <a:srgbClr val="00FF00"/>
              </a:solidFill>
            </c:spPr>
            <c:extLst>
              <c:ext xmlns:c16="http://schemas.microsoft.com/office/drawing/2014/chart" uri="{C3380CC4-5D6E-409C-BE32-E72D297353CC}">
                <c16:uniqueId val="{00000009-AB3D-4299-B131-FD221120833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Sheet18!$A$2:$A$6</c:f>
              <c:strCache>
                <c:ptCount val="5"/>
                <c:pt idx="0">
                  <c:v>Extremely acidic (3.51-4.50)</c:v>
                </c:pt>
                <c:pt idx="1">
                  <c:v>Very strongly acidic (4.51-5.0)</c:v>
                </c:pt>
                <c:pt idx="2">
                  <c:v>Strongly acidic (5.01-5.50)</c:v>
                </c:pt>
                <c:pt idx="3">
                  <c:v>Moderately acidic (5.51-6.0)</c:v>
                </c:pt>
                <c:pt idx="4">
                  <c:v>Slightly acidic (6.01-6.50)</c:v>
                </c:pt>
              </c:strCache>
            </c:strRef>
          </c:cat>
          <c:val>
            <c:numRef>
              <c:f>Sheet18!$B$2:$B$6</c:f>
              <c:numCache>
                <c:formatCode>General</c:formatCode>
                <c:ptCount val="5"/>
                <c:pt idx="0">
                  <c:v>3.92</c:v>
                </c:pt>
                <c:pt idx="1">
                  <c:v>17.649999999999999</c:v>
                </c:pt>
                <c:pt idx="2">
                  <c:v>45.1</c:v>
                </c:pt>
                <c:pt idx="3">
                  <c:v>29.41</c:v>
                </c:pt>
                <c:pt idx="4">
                  <c:v>3.92</c:v>
                </c:pt>
              </c:numCache>
            </c:numRef>
          </c:val>
          <c:extLst>
            <c:ext xmlns:c16="http://schemas.microsoft.com/office/drawing/2014/chart" uri="{C3380CC4-5D6E-409C-BE32-E72D297353CC}">
              <c16:uniqueId val="{0000000A-AB3D-4299-B131-FD2211208335}"/>
            </c:ext>
          </c:extLst>
        </c:ser>
        <c:dLbls>
          <c:showLegendKey val="0"/>
          <c:showVal val="0"/>
          <c:showCatName val="0"/>
          <c:showSerName val="0"/>
          <c:showPercent val="0"/>
          <c:showBubbleSize val="0"/>
        </c:dLbls>
        <c:gapWidth val="150"/>
        <c:axId val="93314432"/>
        <c:axId val="124921344"/>
      </c:barChart>
      <c:catAx>
        <c:axId val="9331443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crossAx val="124921344"/>
        <c:crosses val="autoZero"/>
        <c:auto val="1"/>
        <c:lblAlgn val="ctr"/>
        <c:lblOffset val="100"/>
        <c:noMultiLvlLbl val="0"/>
      </c:catAx>
      <c:valAx>
        <c:axId val="124921344"/>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2.5492173190581391E-2"/>
              <c:y val="0.24423960518448723"/>
            </c:manualLayout>
          </c:layout>
          <c:overlay val="0"/>
        </c:title>
        <c:numFmt formatCode="General" sourceLinked="1"/>
        <c:majorTickMark val="out"/>
        <c:minorTickMark val="none"/>
        <c:tickLblPos val="nextTo"/>
        <c:crossAx val="9331443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1831702855321"/>
          <c:y val="6.3147594355583633E-2"/>
          <c:w val="0.81608168297144668"/>
          <c:h val="0.6202699662542186"/>
        </c:manualLayout>
      </c:layout>
      <c:barChart>
        <c:barDir val="col"/>
        <c:grouping val="clustered"/>
        <c:varyColors val="0"/>
        <c:ser>
          <c:idx val="0"/>
          <c:order val="0"/>
          <c:tx>
            <c:v>Frequency</c:v>
          </c:tx>
          <c:invertIfNegative val="0"/>
          <c:dPt>
            <c:idx val="0"/>
            <c:invertIfNegative val="0"/>
            <c:bubble3D val="0"/>
            <c:spPr>
              <a:solidFill>
                <a:srgbClr val="FFFF00"/>
              </a:solidFill>
            </c:spPr>
            <c:extLst>
              <c:ext xmlns:c16="http://schemas.microsoft.com/office/drawing/2014/chart" uri="{C3380CC4-5D6E-409C-BE32-E72D297353CC}">
                <c16:uniqueId val="{00000001-54C5-4B5C-AE16-B0B59CB19367}"/>
              </c:ext>
            </c:extLst>
          </c:dPt>
          <c:dPt>
            <c:idx val="1"/>
            <c:invertIfNegative val="0"/>
            <c:bubble3D val="0"/>
            <c:spPr>
              <a:solidFill>
                <a:srgbClr val="00FF00"/>
              </a:solidFill>
            </c:spPr>
            <c:extLst>
              <c:ext xmlns:c16="http://schemas.microsoft.com/office/drawing/2014/chart" uri="{C3380CC4-5D6E-409C-BE32-E72D297353CC}">
                <c16:uniqueId val="{00000003-54C5-4B5C-AE16-B0B59CB1936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Sheet22!$A$2:$A$3</c:f>
              <c:strCache>
                <c:ptCount val="2"/>
                <c:pt idx="0">
                  <c:v>Medium (0.50-1.50)</c:v>
                </c:pt>
                <c:pt idx="1">
                  <c:v>High (&gt; 1.50)</c:v>
                </c:pt>
              </c:strCache>
            </c:strRef>
          </c:cat>
          <c:val>
            <c:numRef>
              <c:f>Sheet22!$B$2:$B$3</c:f>
              <c:numCache>
                <c:formatCode>General</c:formatCode>
                <c:ptCount val="2"/>
                <c:pt idx="0">
                  <c:v>21.57</c:v>
                </c:pt>
                <c:pt idx="1">
                  <c:v>78.430000000000007</c:v>
                </c:pt>
              </c:numCache>
            </c:numRef>
          </c:val>
          <c:extLst>
            <c:ext xmlns:c16="http://schemas.microsoft.com/office/drawing/2014/chart" uri="{C3380CC4-5D6E-409C-BE32-E72D297353CC}">
              <c16:uniqueId val="{00000004-54C5-4B5C-AE16-B0B59CB19367}"/>
            </c:ext>
          </c:extLst>
        </c:ser>
        <c:dLbls>
          <c:showLegendKey val="0"/>
          <c:showVal val="0"/>
          <c:showCatName val="0"/>
          <c:showSerName val="0"/>
          <c:showPercent val="0"/>
          <c:showBubbleSize val="0"/>
        </c:dLbls>
        <c:gapWidth val="150"/>
        <c:axId val="92927872"/>
        <c:axId val="125001728"/>
      </c:barChart>
      <c:catAx>
        <c:axId val="929278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Organic</a:t>
                </a:r>
                <a:r>
                  <a:rPr lang="en-IN" sz="1000" baseline="0">
                    <a:latin typeface="Times New Roman" panose="02020603050405020304" pitchFamily="18" charset="0"/>
                    <a:cs typeface="Times New Roman" panose="02020603050405020304" pitchFamily="18" charset="0"/>
                  </a:rPr>
                  <a:t> carbon(%)</a:t>
                </a:r>
                <a:endParaRPr lang="en-IN" sz="1000">
                  <a:latin typeface="Times New Roman" panose="02020603050405020304" pitchFamily="18" charset="0"/>
                  <a:cs typeface="Times New Roman" panose="02020603050405020304" pitchFamily="18" charset="0"/>
                </a:endParaRPr>
              </a:p>
            </c:rich>
          </c:tx>
          <c:layout>
            <c:manualLayout>
              <c:xMode val="edge"/>
              <c:yMode val="edge"/>
              <c:x val="0.32544230462038382"/>
              <c:y val="0.84857035727676899"/>
            </c:manualLayout>
          </c:layout>
          <c:overlay val="0"/>
        </c:title>
        <c:numFmt formatCode="General" sourceLinked="1"/>
        <c:majorTickMark val="out"/>
        <c:minorTickMark val="none"/>
        <c:tickLblPos val="nextTo"/>
        <c:crossAx val="125001728"/>
        <c:crosses val="autoZero"/>
        <c:auto val="1"/>
        <c:lblAlgn val="ctr"/>
        <c:lblOffset val="100"/>
        <c:noMultiLvlLbl val="0"/>
      </c:catAx>
      <c:valAx>
        <c:axId val="1250017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4844136566056407E-2"/>
              <c:y val="0.23002706825705072"/>
            </c:manualLayout>
          </c:layout>
          <c:overlay val="0"/>
        </c:title>
        <c:numFmt formatCode="General" sourceLinked="1"/>
        <c:majorTickMark val="out"/>
        <c:minorTickMark val="none"/>
        <c:tickLblPos val="nextTo"/>
        <c:crossAx val="929278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36326527078563"/>
          <c:y val="9.0797043226739607E-2"/>
          <c:w val="0.70252756338387923"/>
          <c:h val="0.58294980984519784"/>
        </c:manualLayout>
      </c:layout>
      <c:barChart>
        <c:barDir val="col"/>
        <c:grouping val="clustered"/>
        <c:varyColors val="0"/>
        <c:ser>
          <c:idx val="0"/>
          <c:order val="0"/>
          <c:tx>
            <c:v>Frequency</c:v>
          </c:tx>
          <c:spPr>
            <a:solidFill>
              <a:srgbClr val="FF0000"/>
            </a:solidFill>
          </c:spPr>
          <c:invertIfNegative val="0"/>
          <c:dLbls>
            <c:dLbl>
              <c:idx val="0"/>
              <c:layout>
                <c:manualLayout>
                  <c:x val="5.464480874316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5D-45FB-A42A-B9EE8FB9CC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Sheet20!$A$2</c:f>
              <c:strCache>
                <c:ptCount val="1"/>
                <c:pt idx="0">
                  <c:v>&lt; 1</c:v>
                </c:pt>
              </c:strCache>
            </c:strRef>
          </c:cat>
          <c:val>
            <c:numRef>
              <c:f>Sheet20!$B$2</c:f>
              <c:numCache>
                <c:formatCode>General</c:formatCode>
                <c:ptCount val="1"/>
                <c:pt idx="0">
                  <c:v>100</c:v>
                </c:pt>
              </c:numCache>
            </c:numRef>
          </c:val>
          <c:extLst>
            <c:ext xmlns:c16="http://schemas.microsoft.com/office/drawing/2014/chart" uri="{C3380CC4-5D6E-409C-BE32-E72D297353CC}">
              <c16:uniqueId val="{00000001-C95D-45FB-A42A-B9EE8FB9CCA7}"/>
            </c:ext>
          </c:extLst>
        </c:ser>
        <c:dLbls>
          <c:showLegendKey val="0"/>
          <c:showVal val="1"/>
          <c:showCatName val="0"/>
          <c:showSerName val="0"/>
          <c:showPercent val="0"/>
          <c:showBubbleSize val="0"/>
        </c:dLbls>
        <c:gapWidth val="150"/>
        <c:axId val="125013376"/>
        <c:axId val="125244928"/>
      </c:barChart>
      <c:catAx>
        <c:axId val="12501337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Electrical</a:t>
                </a:r>
                <a:r>
                  <a:rPr lang="en-IN" sz="1000" baseline="0">
                    <a:latin typeface="Times New Roman" panose="02020603050405020304" pitchFamily="18" charset="0"/>
                    <a:cs typeface="Times New Roman" panose="02020603050405020304" pitchFamily="18" charset="0"/>
                  </a:rPr>
                  <a:t> coductivity</a:t>
                </a:r>
                <a:r>
                  <a:rPr lang="en-US" sz="1000" b="1" i="0" u="none" strike="noStrike" baseline="0">
                    <a:effectLst/>
                  </a:rPr>
                  <a:t>(dSm</a:t>
                </a:r>
                <a:r>
                  <a:rPr lang="en-US" sz="1000" b="1" i="0" u="none" strike="noStrike" baseline="30000">
                    <a:effectLst/>
                  </a:rPr>
                  <a:t>-1</a:t>
                </a:r>
                <a:r>
                  <a:rPr lang="en-US" sz="1000" b="1" i="0" u="none" strike="noStrike" baseline="0">
                    <a:effectLst/>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23126144416115127"/>
              <c:y val="0.82692913385826772"/>
            </c:manualLayout>
          </c:layout>
          <c:overlay val="0"/>
        </c:title>
        <c:numFmt formatCode="General" sourceLinked="1"/>
        <c:majorTickMark val="out"/>
        <c:minorTickMark val="none"/>
        <c:tickLblPos val="nextTo"/>
        <c:crossAx val="125244928"/>
        <c:crosses val="autoZero"/>
        <c:auto val="1"/>
        <c:lblAlgn val="ctr"/>
        <c:lblOffset val="100"/>
        <c:noMultiLvlLbl val="0"/>
      </c:catAx>
      <c:valAx>
        <c:axId val="1252449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811906689233939E-2"/>
              <c:y val="0.18587521406019616"/>
            </c:manualLayout>
          </c:layout>
          <c:overlay val="0"/>
        </c:title>
        <c:numFmt formatCode="General" sourceLinked="1"/>
        <c:majorTickMark val="out"/>
        <c:minorTickMark val="none"/>
        <c:tickLblPos val="nextTo"/>
        <c:crossAx val="12501337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0.02507</cdr:x>
      <cdr:y>0.90592</cdr:y>
    </cdr:from>
    <cdr:to>
      <cdr:x>0.34824</cdr:x>
      <cdr:y>1</cdr:y>
    </cdr:to>
    <cdr:sp macro="" textlink="">
      <cdr:nvSpPr>
        <cdr:cNvPr id="3" name="Text Box 1"/>
        <cdr:cNvSpPr txBox="1"/>
      </cdr:nvSpPr>
      <cdr:spPr>
        <a:xfrm xmlns:a="http://schemas.openxmlformats.org/drawingml/2006/main">
          <a:off x="117466" y="2476504"/>
          <a:ext cx="1514505" cy="257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No</a:t>
          </a:r>
          <a:r>
            <a:rPr lang="en-US" sz="800" baseline="0">
              <a:latin typeface="Arial" panose="020B0604020202020204" pitchFamily="34" charset="0"/>
              <a:cs typeface="Arial" panose="020B0604020202020204" pitchFamily="34" charset="0"/>
            </a:rPr>
            <a:t> of samples, n = 75</a:t>
          </a:r>
          <a:endParaRPr lang="en-US" sz="8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D92C7-6545-49A9-BC67-19C2F4C6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19</Pages>
  <Words>3929</Words>
  <Characters>22397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195</cp:revision>
  <dcterms:created xsi:type="dcterms:W3CDTF">2022-03-04T03:37:00Z</dcterms:created>
  <dcterms:modified xsi:type="dcterms:W3CDTF">2026-01-27T05:46:00Z</dcterms:modified>
</cp:coreProperties>
</file>