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BC1299" w14:textId="2DAC2511" w:rsidR="00163BC4" w:rsidRPr="009562B9" w:rsidRDefault="00F43A52" w:rsidP="009562B9">
      <w:pPr>
        <w:pStyle w:val="Author"/>
        <w:spacing w:line="240" w:lineRule="auto"/>
        <w:jc w:val="left"/>
        <w:rPr>
          <w:rFonts w:ascii="Arial" w:hAnsi="Arial" w:cs="Arial"/>
          <w:bCs/>
          <w:iCs/>
          <w:kern w:val="28"/>
          <w:sz w:val="36"/>
        </w:rPr>
      </w:pPr>
      <w:r w:rsidRPr="009562B9">
        <w:rPr>
          <w:rFonts w:ascii="Arial" w:hAnsi="Arial" w:cs="Arial"/>
          <w:bCs/>
          <w:iCs/>
          <w:kern w:val="28"/>
          <w:sz w:val="36"/>
        </w:rPr>
        <w:t>Utilization</w:t>
      </w:r>
      <w:r w:rsidR="00AD3936" w:rsidRPr="009562B9">
        <w:rPr>
          <w:rFonts w:ascii="Arial" w:hAnsi="Arial" w:cs="Arial"/>
          <w:bCs/>
          <w:iCs/>
          <w:kern w:val="28"/>
          <w:sz w:val="36"/>
        </w:rPr>
        <w:t xml:space="preserve"> of Census Data for Effective</w:t>
      </w:r>
      <w:r w:rsidR="009562B9">
        <w:rPr>
          <w:rFonts w:ascii="Arial" w:hAnsi="Arial" w:cs="Arial"/>
          <w:bCs/>
          <w:iCs/>
          <w:kern w:val="28"/>
          <w:sz w:val="36"/>
        </w:rPr>
        <w:t xml:space="preserve"> </w:t>
      </w:r>
      <w:r w:rsidR="00AD3936" w:rsidRPr="009562B9">
        <w:rPr>
          <w:rFonts w:ascii="Arial" w:hAnsi="Arial" w:cs="Arial"/>
          <w:bCs/>
          <w:iCs/>
          <w:kern w:val="28"/>
          <w:sz w:val="36"/>
        </w:rPr>
        <w:t>Planning and Sustainable Development in Mali</w:t>
      </w:r>
      <w:r w:rsidR="00231920" w:rsidRPr="009562B9">
        <w:rPr>
          <w:rFonts w:ascii="Arial" w:hAnsi="Arial" w:cs="Arial"/>
          <w:bCs/>
          <w:iCs/>
          <w:kern w:val="28"/>
          <w:sz w:val="36"/>
        </w:rPr>
        <w:t xml:space="preserve"> </w:t>
      </w:r>
    </w:p>
    <w:p w14:paraId="7A2271F0" w14:textId="77777777" w:rsidR="00A258C3" w:rsidRPr="009562B9" w:rsidRDefault="00A258C3" w:rsidP="00441B6F">
      <w:pPr>
        <w:pStyle w:val="Author"/>
        <w:spacing w:line="240" w:lineRule="auto"/>
        <w:jc w:val="both"/>
        <w:rPr>
          <w:rFonts w:ascii="Arial" w:hAnsi="Arial" w:cs="Arial"/>
          <w:sz w:val="36"/>
        </w:rPr>
      </w:pPr>
    </w:p>
    <w:p w14:paraId="5C2D2B19" w14:textId="77777777" w:rsidR="00284899" w:rsidRPr="009562B9" w:rsidRDefault="00284899" w:rsidP="00DE36A6">
      <w:pPr>
        <w:pStyle w:val="Affiliation"/>
        <w:spacing w:after="0" w:line="240" w:lineRule="auto"/>
        <w:rPr>
          <w:rFonts w:ascii="Arial" w:hAnsi="Arial" w:cs="Arial"/>
          <w:i/>
        </w:rPr>
      </w:pPr>
    </w:p>
    <w:p w14:paraId="12EB35F9" w14:textId="59D1AED6" w:rsidR="00DE36A6" w:rsidRPr="009562B9" w:rsidRDefault="00DE36A6" w:rsidP="00DE36A6">
      <w:pPr>
        <w:pStyle w:val="Affiliation"/>
        <w:spacing w:after="0" w:line="240" w:lineRule="auto"/>
        <w:rPr>
          <w:rFonts w:ascii="Arial" w:hAnsi="Arial" w:cs="Arial"/>
          <w:i/>
        </w:rPr>
      </w:pPr>
      <w:r w:rsidRPr="009562B9">
        <w:rPr>
          <w:rFonts w:ascii="Arial" w:hAnsi="Arial" w:cs="Arial"/>
          <w:i/>
        </w:rPr>
        <w:t xml:space="preserve"> </w:t>
      </w:r>
    </w:p>
    <w:p w14:paraId="50A5991A" w14:textId="77777777" w:rsidR="00790ADA" w:rsidRPr="009562B9" w:rsidRDefault="00790ADA" w:rsidP="00441B6F">
      <w:pPr>
        <w:pStyle w:val="Affiliation"/>
        <w:spacing w:after="0" w:line="240" w:lineRule="auto"/>
        <w:jc w:val="both"/>
        <w:rPr>
          <w:rFonts w:ascii="Arial" w:hAnsi="Arial" w:cs="Arial"/>
        </w:rPr>
      </w:pPr>
    </w:p>
    <w:p w14:paraId="69F811FA" w14:textId="77777777" w:rsidR="00DE36A6" w:rsidRPr="009562B9" w:rsidRDefault="00DE36A6" w:rsidP="00441B6F">
      <w:pPr>
        <w:pStyle w:val="Affiliation"/>
        <w:spacing w:after="0" w:line="240" w:lineRule="auto"/>
        <w:jc w:val="both"/>
        <w:rPr>
          <w:rFonts w:ascii="Arial" w:hAnsi="Arial" w:cs="Arial"/>
        </w:rPr>
      </w:pPr>
    </w:p>
    <w:p w14:paraId="7BEF5AF3" w14:textId="77777777" w:rsidR="002C57D2" w:rsidRPr="009562B9" w:rsidRDefault="002C57D2" w:rsidP="00441B6F">
      <w:pPr>
        <w:pStyle w:val="Affiliation"/>
        <w:spacing w:after="0" w:line="240" w:lineRule="auto"/>
        <w:jc w:val="both"/>
        <w:rPr>
          <w:rFonts w:ascii="Arial" w:hAnsi="Arial" w:cs="Arial"/>
        </w:rPr>
      </w:pPr>
    </w:p>
    <w:p w14:paraId="28811AAF" w14:textId="77777777" w:rsidR="00B01FCD" w:rsidRPr="009562B9" w:rsidRDefault="001816A6" w:rsidP="00441B6F">
      <w:pPr>
        <w:pStyle w:val="Copyright"/>
        <w:spacing w:after="0" w:line="240" w:lineRule="auto"/>
        <w:jc w:val="both"/>
        <w:rPr>
          <w:rFonts w:ascii="Arial" w:hAnsi="Arial" w:cs="Arial"/>
        </w:rPr>
        <w:sectPr w:rsidR="00B01FCD" w:rsidRPr="009562B9" w:rsidSect="00BD18C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9562B9">
        <w:rPr>
          <w:rFonts w:ascii="Arial" w:hAnsi="Arial" w:cs="Arial"/>
        </w:rPr>
      </w:r>
      <w:r w:rsidRPr="009562B9">
        <w:rPr>
          <w:rFonts w:ascii="Arial" w:hAnsi="Arial" w:cs="Arial"/>
        </w:rPr>
        <w:pict w14:anchorId="6A461F09">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9562B9">
        <w:rPr>
          <w:rFonts w:ascii="Arial" w:hAnsi="Arial" w:cs="Arial"/>
        </w:rPr>
        <w:t>.</w:t>
      </w:r>
    </w:p>
    <w:p w14:paraId="7BE96F88" w14:textId="1895E0D1" w:rsidR="00B01FCD" w:rsidRPr="009562B9" w:rsidRDefault="00B01FCD" w:rsidP="00441B6F">
      <w:pPr>
        <w:pStyle w:val="AbstHead"/>
        <w:spacing w:after="0"/>
        <w:jc w:val="both"/>
        <w:rPr>
          <w:rFonts w:ascii="Arial" w:hAnsi="Arial" w:cs="Arial"/>
        </w:rPr>
      </w:pPr>
      <w:r w:rsidRPr="009562B9">
        <w:rPr>
          <w:rFonts w:ascii="Arial" w:hAnsi="Arial" w:cs="Arial"/>
        </w:rPr>
        <w:t>ABSTRACT</w:t>
      </w:r>
    </w:p>
    <w:p w14:paraId="4568AAF1" w14:textId="77777777" w:rsidR="00790ADA" w:rsidRPr="009562B9"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9562B9" w:rsidRPr="009562B9" w14:paraId="4D21C6BF" w14:textId="77777777" w:rsidTr="001E44FE">
        <w:tc>
          <w:tcPr>
            <w:tcW w:w="9576" w:type="dxa"/>
            <w:shd w:val="clear" w:color="auto" w:fill="F2F2F2"/>
          </w:tcPr>
          <w:p w14:paraId="0D172CE3" w14:textId="6CC7A901" w:rsidR="00505F06" w:rsidRPr="009562B9" w:rsidRDefault="00902ABF" w:rsidP="005B46FE">
            <w:pPr>
              <w:pStyle w:val="Body"/>
              <w:rPr>
                <w:rFonts w:ascii="Arial" w:eastAsia="Calibri" w:hAnsi="Arial" w:cs="Arial"/>
                <w:szCs w:val="22"/>
              </w:rPr>
            </w:pPr>
            <w:r w:rsidRPr="009562B9">
              <w:rPr>
                <w:rFonts w:ascii="Arial" w:eastAsia="Calibri" w:hAnsi="Arial" w:cs="Arial"/>
                <w:szCs w:val="22"/>
              </w:rPr>
              <w:t xml:space="preserve">This study aims to demonstrate the contribution of census data combined with Geographic Information System (GIS) techniques to local development planning in Mali, with a particular focus on spatial accessibility to health infrastructure in a rural context. A cross-sectional study design was adopted, integrating spatial and statistical analyses of census and geospatial data. The study was conducted in the rural commune of </w:t>
            </w:r>
            <w:proofErr w:type="spellStart"/>
            <w:r w:rsidRPr="009562B9">
              <w:rPr>
                <w:rFonts w:ascii="Arial" w:eastAsia="Calibri" w:hAnsi="Arial" w:cs="Arial"/>
                <w:szCs w:val="22"/>
              </w:rPr>
              <w:t>Kroukoto</w:t>
            </w:r>
            <w:proofErr w:type="spellEnd"/>
            <w:r w:rsidRPr="009562B9">
              <w:rPr>
                <w:rFonts w:ascii="Arial" w:eastAsia="Calibri" w:hAnsi="Arial" w:cs="Arial"/>
                <w:szCs w:val="22"/>
              </w:rPr>
              <w:t xml:space="preserve">, located in the </w:t>
            </w:r>
            <w:proofErr w:type="spellStart"/>
            <w:r w:rsidRPr="009562B9">
              <w:rPr>
                <w:rFonts w:ascii="Arial" w:eastAsia="Calibri" w:hAnsi="Arial" w:cs="Arial"/>
                <w:szCs w:val="22"/>
              </w:rPr>
              <w:t>cercle</w:t>
            </w:r>
            <w:proofErr w:type="spellEnd"/>
            <w:r w:rsidRPr="009562B9">
              <w:rPr>
                <w:rFonts w:ascii="Arial" w:eastAsia="Calibri" w:hAnsi="Arial" w:cs="Arial"/>
                <w:szCs w:val="22"/>
              </w:rPr>
              <w:t xml:space="preserve"> of </w:t>
            </w:r>
            <w:proofErr w:type="spellStart"/>
            <w:r w:rsidRPr="009562B9">
              <w:rPr>
                <w:rFonts w:ascii="Arial" w:eastAsia="Calibri" w:hAnsi="Arial" w:cs="Arial"/>
                <w:szCs w:val="22"/>
              </w:rPr>
              <w:t>Kéniéba</w:t>
            </w:r>
            <w:proofErr w:type="spellEnd"/>
            <w:r w:rsidRPr="009562B9">
              <w:rPr>
                <w:rFonts w:ascii="Arial" w:eastAsia="Calibri" w:hAnsi="Arial" w:cs="Arial"/>
                <w:szCs w:val="22"/>
              </w:rPr>
              <w:t xml:space="preserve">, </w:t>
            </w:r>
            <w:proofErr w:type="spellStart"/>
            <w:r w:rsidRPr="009562B9">
              <w:rPr>
                <w:rFonts w:ascii="Arial" w:eastAsia="Calibri" w:hAnsi="Arial" w:cs="Arial"/>
                <w:szCs w:val="22"/>
              </w:rPr>
              <w:t>Kayes</w:t>
            </w:r>
            <w:proofErr w:type="spellEnd"/>
            <w:r w:rsidRPr="009562B9">
              <w:rPr>
                <w:rFonts w:ascii="Arial" w:eastAsia="Calibri" w:hAnsi="Arial" w:cs="Arial"/>
                <w:szCs w:val="22"/>
              </w:rPr>
              <w:t xml:space="preserve"> Region, south-western Mali, covering approximately 250 km² with an estimated population of about 12,000 inhabitants. Georeferenced census data were integrated with spatial layers representing settlements, road networks, health centers, and educational facilities within a GIS environment. Distance-based accessibility modeling was applied using commonly adopted rural planning thresholds, including 5 km for access to health centers. The results indicate that approximately 65% of the population lives within 5 km of an existing community health center, while 35% remains beyond this threshold, mainly in peripheral and poorly connected areas. Spatial analysis further shows that the existing health facility serves 4,671 people across 1 village and 43 hamlets, whereas the proposed second health center would serve 5,089 people in 5 villages and 44 hamlets, with 2,331 people benefiting from overlapping service areas. These findings reveal significant spatial disparities in service accessibility linked to settlement dispersion and road connectivity. The integration of census data with GIS provides an effective decision-support tool for identifying underserved areas, improving resource allocation, and strengthening evidence-based territorial planning in rural Mali.</w:t>
            </w:r>
          </w:p>
        </w:tc>
      </w:tr>
    </w:tbl>
    <w:p w14:paraId="23D275C4" w14:textId="77777777" w:rsidR="00636EB2" w:rsidRPr="009562B9" w:rsidRDefault="00636EB2" w:rsidP="00441B6F">
      <w:pPr>
        <w:pStyle w:val="Body"/>
        <w:spacing w:after="0"/>
        <w:rPr>
          <w:rFonts w:ascii="Arial" w:hAnsi="Arial" w:cs="Arial"/>
          <w:i/>
        </w:rPr>
      </w:pPr>
    </w:p>
    <w:p w14:paraId="5BFC94A7" w14:textId="730D190C" w:rsidR="00A24E7E" w:rsidRPr="009562B9" w:rsidRDefault="00A24E7E" w:rsidP="00441B6F">
      <w:pPr>
        <w:pStyle w:val="Body"/>
        <w:spacing w:after="0"/>
        <w:rPr>
          <w:rFonts w:ascii="Arial" w:hAnsi="Arial" w:cs="Arial"/>
          <w:i/>
        </w:rPr>
      </w:pPr>
      <w:r w:rsidRPr="009562B9">
        <w:rPr>
          <w:rFonts w:ascii="Arial" w:hAnsi="Arial" w:cs="Arial"/>
          <w:i/>
        </w:rPr>
        <w:t xml:space="preserve">Keywords: </w:t>
      </w:r>
      <w:r w:rsidR="005B46FE" w:rsidRPr="009562B9">
        <w:rPr>
          <w:rFonts w:ascii="Arial" w:hAnsi="Arial" w:cs="Arial"/>
          <w:i/>
        </w:rPr>
        <w:t>Census data; Geographic Information System; Spatial accessibility; Rural planning; Mali</w:t>
      </w:r>
    </w:p>
    <w:p w14:paraId="3E19DAE0" w14:textId="77777777" w:rsidR="0024282C" w:rsidRPr="009562B9" w:rsidRDefault="0024282C" w:rsidP="00441B6F">
      <w:pPr>
        <w:pStyle w:val="Body"/>
        <w:spacing w:after="0"/>
        <w:rPr>
          <w:rFonts w:ascii="Arial" w:hAnsi="Arial" w:cs="Arial"/>
          <w:i/>
          <w:sz w:val="18"/>
        </w:rPr>
      </w:pPr>
    </w:p>
    <w:p w14:paraId="00EEA1B7" w14:textId="77777777" w:rsidR="00505F06" w:rsidRPr="009562B9" w:rsidRDefault="00505F06" w:rsidP="00441B6F">
      <w:pPr>
        <w:pStyle w:val="Body"/>
        <w:spacing w:after="0"/>
        <w:rPr>
          <w:rFonts w:ascii="Arial" w:hAnsi="Arial" w:cs="Arial"/>
          <w:i/>
        </w:rPr>
      </w:pPr>
    </w:p>
    <w:p w14:paraId="5DBE90E4" w14:textId="3719610E" w:rsidR="007F7B32" w:rsidRPr="009562B9" w:rsidRDefault="00902823" w:rsidP="00441B6F">
      <w:pPr>
        <w:pStyle w:val="AbstHead"/>
        <w:spacing w:after="0"/>
        <w:jc w:val="both"/>
        <w:rPr>
          <w:rFonts w:ascii="Arial" w:hAnsi="Arial" w:cs="Arial"/>
        </w:rPr>
      </w:pPr>
      <w:r w:rsidRPr="009562B9">
        <w:rPr>
          <w:rFonts w:ascii="Arial" w:hAnsi="Arial" w:cs="Arial"/>
        </w:rPr>
        <w:t xml:space="preserve">1. </w:t>
      </w:r>
      <w:r w:rsidR="00B01FCD" w:rsidRPr="009562B9">
        <w:rPr>
          <w:rFonts w:ascii="Arial" w:hAnsi="Arial" w:cs="Arial"/>
        </w:rPr>
        <w:t>INTRODUCTION</w:t>
      </w:r>
    </w:p>
    <w:p w14:paraId="72C9697F" w14:textId="77777777" w:rsidR="00790ADA" w:rsidRPr="009562B9" w:rsidRDefault="00790ADA" w:rsidP="00441B6F">
      <w:pPr>
        <w:pStyle w:val="AbstHead"/>
        <w:spacing w:after="0"/>
        <w:jc w:val="both"/>
        <w:rPr>
          <w:rFonts w:ascii="Arial" w:hAnsi="Arial" w:cs="Arial"/>
        </w:rPr>
      </w:pPr>
    </w:p>
    <w:p w14:paraId="2829BC74" w14:textId="3A57A3C7" w:rsidR="00B01FCD" w:rsidRPr="009562B9" w:rsidRDefault="00B36867" w:rsidP="00B90245">
      <w:pPr>
        <w:pStyle w:val="Body"/>
        <w:rPr>
          <w:rFonts w:ascii="Arial" w:hAnsi="Arial" w:cs="Arial"/>
        </w:rPr>
      </w:pPr>
      <w:r w:rsidRPr="009562B9">
        <w:rPr>
          <w:rFonts w:ascii="Arial" w:hAnsi="Arial" w:cs="Arial"/>
        </w:rPr>
        <w:t>The General Census of Population and Housing (RGPH) is the main and most reliable source of demographic and socio-economic information (</w:t>
      </w:r>
      <w:proofErr w:type="spellStart"/>
      <w:r w:rsidR="006305D6" w:rsidRPr="009562B9">
        <w:rPr>
          <w:rFonts w:ascii="Arial" w:hAnsi="Arial" w:cs="Arial"/>
        </w:rPr>
        <w:t>Kobiané</w:t>
      </w:r>
      <w:proofErr w:type="spellEnd"/>
      <w:r w:rsidR="006305D6" w:rsidRPr="009562B9">
        <w:rPr>
          <w:rFonts w:ascii="Arial" w:hAnsi="Arial" w:cs="Arial"/>
        </w:rPr>
        <w:t xml:space="preserve">, </w:t>
      </w:r>
      <w:r w:rsidR="002454B6" w:rsidRPr="009562B9">
        <w:rPr>
          <w:rFonts w:ascii="Times New Roman" w:hAnsi="Times New Roman"/>
          <w:sz w:val="24"/>
          <w:szCs w:val="24"/>
          <w:lang w:eastAsia="zh-CN"/>
        </w:rPr>
        <w:t>202</w:t>
      </w:r>
      <w:r w:rsidR="006305D6" w:rsidRPr="009562B9">
        <w:rPr>
          <w:rFonts w:ascii="Times New Roman" w:hAnsi="Times New Roman"/>
          <w:sz w:val="24"/>
          <w:szCs w:val="24"/>
          <w:lang w:eastAsia="zh-CN"/>
        </w:rPr>
        <w:t>4</w:t>
      </w:r>
      <w:r w:rsidR="002454B6" w:rsidRPr="009562B9">
        <w:rPr>
          <w:rFonts w:ascii="Times New Roman" w:hAnsi="Times New Roman"/>
          <w:sz w:val="24"/>
          <w:szCs w:val="24"/>
          <w:lang w:eastAsia="zh-CN"/>
        </w:rPr>
        <w:t>)</w:t>
      </w:r>
      <w:r w:rsidRPr="009562B9">
        <w:rPr>
          <w:rFonts w:ascii="Arial" w:hAnsi="Arial" w:cs="Arial"/>
        </w:rPr>
        <w:t xml:space="preserve">; </w:t>
      </w:r>
      <w:proofErr w:type="spellStart"/>
      <w:r w:rsidR="00294C65" w:rsidRPr="009562B9">
        <w:rPr>
          <w:rFonts w:ascii="Arial" w:hAnsi="Arial" w:cs="Arial"/>
        </w:rPr>
        <w:t>Youcef</w:t>
      </w:r>
      <w:proofErr w:type="spellEnd"/>
      <w:r w:rsidRPr="009562B9">
        <w:rPr>
          <w:rFonts w:ascii="Arial" w:hAnsi="Arial" w:cs="Arial"/>
        </w:rPr>
        <w:t>, 202</w:t>
      </w:r>
      <w:r w:rsidR="00294C65" w:rsidRPr="009562B9">
        <w:rPr>
          <w:rFonts w:ascii="Arial" w:hAnsi="Arial" w:cs="Arial"/>
        </w:rPr>
        <w:t>1</w:t>
      </w:r>
      <w:r w:rsidRPr="009562B9">
        <w:rPr>
          <w:rFonts w:ascii="Arial" w:hAnsi="Arial" w:cs="Arial"/>
        </w:rPr>
        <w:t>). These data, systematically collected at the national level, provide essential information on the size, structure and distribution of the population, as well as its socio-economic and cultural characteristics (</w:t>
      </w:r>
      <w:r w:rsidR="007D68E0" w:rsidRPr="009562B9">
        <w:rPr>
          <w:rFonts w:ascii="Arial" w:hAnsi="Arial" w:cs="Arial"/>
        </w:rPr>
        <w:t xml:space="preserve">Goodchild, </w:t>
      </w:r>
      <w:r w:rsidR="00FA1104" w:rsidRPr="009562B9">
        <w:rPr>
          <w:rFonts w:ascii="Arial" w:hAnsi="Arial" w:cs="Arial"/>
        </w:rPr>
        <w:t>2</w:t>
      </w:r>
      <w:r w:rsidR="00294C65" w:rsidRPr="009562B9">
        <w:rPr>
          <w:rFonts w:ascii="Arial" w:hAnsi="Arial" w:cs="Arial"/>
        </w:rPr>
        <w:t>009</w:t>
      </w:r>
      <w:r w:rsidRPr="009562B9">
        <w:rPr>
          <w:rFonts w:ascii="Arial" w:hAnsi="Arial" w:cs="Arial"/>
        </w:rPr>
        <w:t>). They represent an indispensable strategic tool for the planning, management and evaluation of public policies, allowing informed decision-making in the fields of education, health, infrastructure and economic development (UNDP, 202</w:t>
      </w:r>
      <w:r w:rsidR="007D68E0" w:rsidRPr="009562B9">
        <w:rPr>
          <w:rFonts w:ascii="Arial" w:hAnsi="Arial" w:cs="Arial"/>
        </w:rPr>
        <w:t>3</w:t>
      </w:r>
      <w:r w:rsidRPr="009562B9">
        <w:rPr>
          <w:rFonts w:ascii="Arial" w:hAnsi="Arial" w:cs="Arial"/>
        </w:rPr>
        <w:t>; World Bank, 2021).</w:t>
      </w:r>
      <w:r w:rsidR="00B90245" w:rsidRPr="009562B9">
        <w:rPr>
          <w:rFonts w:ascii="Arial" w:hAnsi="Arial" w:cs="Arial"/>
        </w:rPr>
        <w:t xml:space="preserve"> </w:t>
      </w:r>
      <w:r w:rsidRPr="009562B9">
        <w:rPr>
          <w:rFonts w:ascii="Arial" w:hAnsi="Arial" w:cs="Arial"/>
        </w:rPr>
        <w:t>In a context of decentralization, where local authorities are increasingly responsible for implementing public policies, the exploitation of census data is essential to identify priority needs and design strategies adapted to local realities (</w:t>
      </w:r>
      <w:proofErr w:type="spellStart"/>
      <w:r w:rsidR="00FA2AD9" w:rsidRPr="009562B9">
        <w:rPr>
          <w:rFonts w:ascii="Arial" w:hAnsi="Arial" w:cs="Arial"/>
        </w:rPr>
        <w:t>Febriandiela</w:t>
      </w:r>
      <w:proofErr w:type="spellEnd"/>
      <w:r w:rsidRPr="009562B9">
        <w:rPr>
          <w:rFonts w:ascii="Arial" w:hAnsi="Arial" w:cs="Arial"/>
        </w:rPr>
        <w:t xml:space="preserve">, </w:t>
      </w:r>
      <w:r w:rsidR="00FA2AD9" w:rsidRPr="009562B9">
        <w:rPr>
          <w:rFonts w:ascii="Arial" w:hAnsi="Arial" w:cs="Arial"/>
        </w:rPr>
        <w:t>2024</w:t>
      </w:r>
      <w:r w:rsidRPr="009562B9">
        <w:rPr>
          <w:rFonts w:ascii="Arial" w:hAnsi="Arial" w:cs="Arial"/>
        </w:rPr>
        <w:t xml:space="preserve">; </w:t>
      </w:r>
      <w:proofErr w:type="spellStart"/>
      <w:r w:rsidR="000C42BF" w:rsidRPr="009562B9">
        <w:rPr>
          <w:rFonts w:ascii="Arial" w:hAnsi="Arial" w:cs="Arial"/>
        </w:rPr>
        <w:t>Kyei</w:t>
      </w:r>
      <w:proofErr w:type="spellEnd"/>
      <w:r w:rsidRPr="009562B9">
        <w:rPr>
          <w:rFonts w:ascii="Arial" w:hAnsi="Arial" w:cs="Arial"/>
        </w:rPr>
        <w:t>, 202</w:t>
      </w:r>
      <w:r w:rsidR="000C42BF" w:rsidRPr="009562B9">
        <w:rPr>
          <w:rFonts w:ascii="Arial" w:hAnsi="Arial" w:cs="Arial"/>
        </w:rPr>
        <w:t>5</w:t>
      </w:r>
      <w:r w:rsidRPr="009562B9">
        <w:rPr>
          <w:rFonts w:ascii="Arial" w:hAnsi="Arial" w:cs="Arial"/>
        </w:rPr>
        <w:t xml:space="preserve">). However, despite the richness and precision of the data, </w:t>
      </w:r>
      <w:r w:rsidRPr="009562B9">
        <w:rPr>
          <w:rFonts w:ascii="Arial" w:hAnsi="Arial" w:cs="Arial"/>
        </w:rPr>
        <w:lastRenderedPageBreak/>
        <w:t>their exploitation often remains limited. This is mainly due to the lack of integrated systems allowing spatial analysis and geographic modeling of demographic information (</w:t>
      </w:r>
      <w:r w:rsidR="001A6CA5" w:rsidRPr="009562B9">
        <w:rPr>
          <w:rFonts w:ascii="Arial" w:hAnsi="Arial" w:cs="Arial"/>
        </w:rPr>
        <w:t>Chandran</w:t>
      </w:r>
      <w:r w:rsidRPr="009562B9">
        <w:rPr>
          <w:rFonts w:ascii="Arial" w:hAnsi="Arial" w:cs="Arial"/>
        </w:rPr>
        <w:t xml:space="preserve"> et al., 202</w:t>
      </w:r>
      <w:r w:rsidR="001A6CA5" w:rsidRPr="009562B9">
        <w:rPr>
          <w:rFonts w:ascii="Arial" w:hAnsi="Arial" w:cs="Arial"/>
        </w:rPr>
        <w:t>4</w:t>
      </w:r>
      <w:r w:rsidRPr="009562B9">
        <w:rPr>
          <w:rFonts w:ascii="Arial" w:hAnsi="Arial" w:cs="Arial"/>
        </w:rPr>
        <w:t xml:space="preserve">). Without these tools, it is difficult to visualize territorial disparities, identify under-equipped areas and effectively plan public services (Talen &amp; </w:t>
      </w:r>
      <w:proofErr w:type="spellStart"/>
      <w:r w:rsidRPr="009562B9">
        <w:rPr>
          <w:rFonts w:ascii="Arial" w:hAnsi="Arial" w:cs="Arial"/>
        </w:rPr>
        <w:t>Anselin</w:t>
      </w:r>
      <w:proofErr w:type="spellEnd"/>
      <w:r w:rsidRPr="009562B9">
        <w:rPr>
          <w:rFonts w:ascii="Arial" w:hAnsi="Arial" w:cs="Arial"/>
        </w:rPr>
        <w:t xml:space="preserve">, 1998; </w:t>
      </w:r>
      <w:proofErr w:type="spellStart"/>
      <w:r w:rsidRPr="009562B9">
        <w:rPr>
          <w:rFonts w:ascii="Arial" w:hAnsi="Arial" w:cs="Arial"/>
        </w:rPr>
        <w:t>Neutens</w:t>
      </w:r>
      <w:proofErr w:type="spellEnd"/>
      <w:r w:rsidRPr="009562B9">
        <w:rPr>
          <w:rFonts w:ascii="Arial" w:hAnsi="Arial" w:cs="Arial"/>
        </w:rPr>
        <w:t>, 2015).</w:t>
      </w:r>
      <w:r w:rsidR="00B90245" w:rsidRPr="009562B9">
        <w:rPr>
          <w:rFonts w:ascii="Arial" w:hAnsi="Arial" w:cs="Arial"/>
        </w:rPr>
        <w:t xml:space="preserve"> </w:t>
      </w:r>
      <w:r w:rsidRPr="009562B9">
        <w:rPr>
          <w:rFonts w:ascii="Arial" w:hAnsi="Arial" w:cs="Arial"/>
        </w:rPr>
        <w:t>It is in this context that the use of Geographic Information Systems (GIS) proves particularly relevant (</w:t>
      </w:r>
      <w:r w:rsidR="00AD2035" w:rsidRPr="009562B9">
        <w:rPr>
          <w:rFonts w:ascii="Arial" w:hAnsi="Arial" w:cs="Arial"/>
        </w:rPr>
        <w:t>Aliyu</w:t>
      </w:r>
      <w:r w:rsidRPr="009562B9">
        <w:rPr>
          <w:rFonts w:ascii="Arial" w:hAnsi="Arial" w:cs="Arial"/>
        </w:rPr>
        <w:t>, 20</w:t>
      </w:r>
      <w:r w:rsidR="00AD2035" w:rsidRPr="009562B9">
        <w:rPr>
          <w:rFonts w:ascii="Arial" w:hAnsi="Arial" w:cs="Arial"/>
        </w:rPr>
        <w:t>13</w:t>
      </w:r>
      <w:r w:rsidRPr="009562B9">
        <w:rPr>
          <w:rFonts w:ascii="Arial" w:hAnsi="Arial" w:cs="Arial"/>
        </w:rPr>
        <w:t xml:space="preserve">; </w:t>
      </w:r>
      <w:r w:rsidR="005F6126" w:rsidRPr="009562B9">
        <w:rPr>
          <w:rFonts w:ascii="Arial" w:hAnsi="Arial" w:cs="Arial"/>
        </w:rPr>
        <w:t>Schaller</w:t>
      </w:r>
      <w:r w:rsidRPr="009562B9">
        <w:rPr>
          <w:rFonts w:ascii="Arial" w:hAnsi="Arial" w:cs="Arial"/>
        </w:rPr>
        <w:t>, 20</w:t>
      </w:r>
      <w:r w:rsidR="005F6126" w:rsidRPr="009562B9">
        <w:rPr>
          <w:rFonts w:ascii="Arial" w:hAnsi="Arial" w:cs="Arial"/>
        </w:rPr>
        <w:t>08</w:t>
      </w:r>
      <w:r w:rsidRPr="009562B9">
        <w:rPr>
          <w:rFonts w:ascii="Arial" w:hAnsi="Arial" w:cs="Arial"/>
        </w:rPr>
        <w:t xml:space="preserve">). GIS allows to cross demographic data with spatial information, thus offering a visual and analytical representation that facilitates evidence-based decision making (Wang, 2012; Weiss et al., 2020). This approach is in line with the work of </w:t>
      </w:r>
      <w:proofErr w:type="spellStart"/>
      <w:r w:rsidRPr="009562B9">
        <w:rPr>
          <w:rFonts w:ascii="Arial" w:hAnsi="Arial" w:cs="Arial"/>
        </w:rPr>
        <w:t>Camara</w:t>
      </w:r>
      <w:proofErr w:type="spellEnd"/>
      <w:r w:rsidRPr="009562B9">
        <w:rPr>
          <w:rFonts w:ascii="Arial" w:hAnsi="Arial" w:cs="Arial"/>
        </w:rPr>
        <w:t xml:space="preserve"> et al. (202</w:t>
      </w:r>
      <w:r w:rsidR="00524386" w:rsidRPr="009562B9">
        <w:rPr>
          <w:rFonts w:ascii="Arial" w:hAnsi="Arial" w:cs="Arial"/>
        </w:rPr>
        <w:t>5</w:t>
      </w:r>
      <w:r w:rsidRPr="009562B9">
        <w:rPr>
          <w:rFonts w:ascii="Arial" w:hAnsi="Arial" w:cs="Arial"/>
        </w:rPr>
        <w:t xml:space="preserve">) on the exploitation of geospatial data from mobile laser scanning for modeling and spatial analysis, which demonstrate the potential of </w:t>
      </w:r>
      <w:proofErr w:type="spellStart"/>
      <w:r w:rsidRPr="009562B9">
        <w:rPr>
          <w:rFonts w:ascii="Arial" w:hAnsi="Arial" w:cs="Arial"/>
        </w:rPr>
        <w:t>geomatic</w:t>
      </w:r>
      <w:proofErr w:type="spellEnd"/>
      <w:r w:rsidRPr="009562B9">
        <w:rPr>
          <w:rFonts w:ascii="Arial" w:hAnsi="Arial" w:cs="Arial"/>
        </w:rPr>
        <w:t xml:space="preserve"> technologies for the fine detection of structural and spatial variations of territories.</w:t>
      </w:r>
      <w:r w:rsidR="00B90245" w:rsidRPr="009562B9">
        <w:rPr>
          <w:rFonts w:ascii="Arial" w:hAnsi="Arial" w:cs="Arial"/>
        </w:rPr>
        <w:t xml:space="preserve"> </w:t>
      </w:r>
      <w:r w:rsidRPr="009562B9">
        <w:rPr>
          <w:rFonts w:ascii="Arial" w:hAnsi="Arial" w:cs="Arial"/>
        </w:rPr>
        <w:t xml:space="preserve">This study focuses on the municipality of </w:t>
      </w:r>
      <w:proofErr w:type="spellStart"/>
      <w:r w:rsidRPr="009562B9">
        <w:rPr>
          <w:rFonts w:ascii="Arial" w:hAnsi="Arial" w:cs="Arial"/>
        </w:rPr>
        <w:t>Kroukoto</w:t>
      </w:r>
      <w:proofErr w:type="spellEnd"/>
      <w:r w:rsidRPr="009562B9">
        <w:rPr>
          <w:rFonts w:ascii="Arial" w:hAnsi="Arial" w:cs="Arial"/>
        </w:rPr>
        <w:t xml:space="preserve">, located in the region of </w:t>
      </w:r>
      <w:proofErr w:type="spellStart"/>
      <w:r w:rsidRPr="009562B9">
        <w:rPr>
          <w:rFonts w:ascii="Arial" w:hAnsi="Arial" w:cs="Arial"/>
        </w:rPr>
        <w:t>Kayes</w:t>
      </w:r>
      <w:proofErr w:type="spellEnd"/>
      <w:r w:rsidRPr="009562B9">
        <w:rPr>
          <w:rFonts w:ascii="Arial" w:hAnsi="Arial" w:cs="Arial"/>
        </w:rPr>
        <w:t>, which has specific demographic and geographical characteristics. The population is dispersed, access to infrastructure remains limited and the distribution of inhabitants varies considerably between the urban center and the peripheral areas. These particularities require a spatial analysis approach (</w:t>
      </w:r>
      <w:proofErr w:type="spellStart"/>
      <w:r w:rsidR="0035175E" w:rsidRPr="009562B9">
        <w:rPr>
          <w:rFonts w:ascii="Arial" w:hAnsi="Arial" w:cs="Arial"/>
        </w:rPr>
        <w:t>Tejaswi</w:t>
      </w:r>
      <w:proofErr w:type="spellEnd"/>
      <w:r w:rsidRPr="009562B9">
        <w:rPr>
          <w:rFonts w:ascii="Arial" w:hAnsi="Arial" w:cs="Arial"/>
        </w:rPr>
        <w:t>, 202</w:t>
      </w:r>
      <w:r w:rsidR="0035175E" w:rsidRPr="009562B9">
        <w:rPr>
          <w:rFonts w:ascii="Arial" w:hAnsi="Arial" w:cs="Arial"/>
        </w:rPr>
        <w:t>5</w:t>
      </w:r>
      <w:r w:rsidRPr="009562B9">
        <w:rPr>
          <w:rFonts w:ascii="Arial" w:hAnsi="Arial" w:cs="Arial"/>
        </w:rPr>
        <w:t xml:space="preserve">; </w:t>
      </w:r>
      <w:r w:rsidR="00A02315" w:rsidRPr="009562B9">
        <w:rPr>
          <w:rFonts w:ascii="Arial" w:hAnsi="Arial" w:cs="Arial"/>
        </w:rPr>
        <w:t>Li et al</w:t>
      </w:r>
      <w:r w:rsidRPr="009562B9">
        <w:rPr>
          <w:rFonts w:ascii="Arial" w:hAnsi="Arial" w:cs="Arial"/>
        </w:rPr>
        <w:t>, 20</w:t>
      </w:r>
      <w:r w:rsidR="00A02315" w:rsidRPr="009562B9">
        <w:rPr>
          <w:rFonts w:ascii="Arial" w:hAnsi="Arial" w:cs="Arial"/>
        </w:rPr>
        <w:t>2</w:t>
      </w:r>
      <w:r w:rsidRPr="009562B9">
        <w:rPr>
          <w:rFonts w:ascii="Arial" w:hAnsi="Arial" w:cs="Arial"/>
        </w:rPr>
        <w:t>4) in order to better understand the gaps in accessibility to infrastructure and to propose targeted interventions (</w:t>
      </w:r>
      <w:proofErr w:type="spellStart"/>
      <w:r w:rsidRPr="009562B9">
        <w:rPr>
          <w:rFonts w:ascii="Arial" w:hAnsi="Arial" w:cs="Arial"/>
        </w:rPr>
        <w:t>Guagliardo</w:t>
      </w:r>
      <w:proofErr w:type="spellEnd"/>
      <w:r w:rsidRPr="009562B9">
        <w:rPr>
          <w:rFonts w:ascii="Arial" w:hAnsi="Arial" w:cs="Arial"/>
        </w:rPr>
        <w:t>, 2004; Delamater, 2013).</w:t>
      </w:r>
      <w:r w:rsidR="00B90245" w:rsidRPr="009562B9">
        <w:rPr>
          <w:rFonts w:ascii="Arial" w:hAnsi="Arial" w:cs="Arial"/>
        </w:rPr>
        <w:t xml:space="preserve"> </w:t>
      </w:r>
      <w:r w:rsidRPr="009562B9">
        <w:rPr>
          <w:rFonts w:ascii="Arial" w:hAnsi="Arial" w:cs="Arial"/>
        </w:rPr>
        <w:t xml:space="preserve">The use of GIS in this context allows not only to produce accurate maps and analyses, but also to identify priority areas for development and local planning (Hansen, 1959; Church &amp; Marston, 2003). The integration of GIS and census data thus constitutes a pillar for territorial planning and sustainable development (Goodchild, </w:t>
      </w:r>
      <w:r w:rsidR="00506B74" w:rsidRPr="009562B9">
        <w:rPr>
          <w:rFonts w:ascii="Arial" w:hAnsi="Arial" w:cs="Arial"/>
        </w:rPr>
        <w:t>2</w:t>
      </w:r>
      <w:r w:rsidR="00294C65" w:rsidRPr="009562B9">
        <w:rPr>
          <w:rFonts w:ascii="Arial" w:hAnsi="Arial" w:cs="Arial"/>
        </w:rPr>
        <w:t>009</w:t>
      </w:r>
      <w:r w:rsidRPr="009562B9">
        <w:rPr>
          <w:rFonts w:ascii="Arial" w:hAnsi="Arial" w:cs="Arial"/>
        </w:rPr>
        <w:t>; UNDP, 2022). This approach makes it possible to identify underequipped areas, measure accessibility gaps, plan new infrastructure, and monitor the impact of public policies on the population (</w:t>
      </w:r>
      <w:proofErr w:type="spellStart"/>
      <w:r w:rsidR="00D052A8" w:rsidRPr="009562B9">
        <w:rPr>
          <w:rFonts w:ascii="Arial" w:hAnsi="Arial" w:cs="Arial"/>
        </w:rPr>
        <w:t>Tariverdi</w:t>
      </w:r>
      <w:proofErr w:type="spellEnd"/>
      <w:r w:rsidRPr="009562B9">
        <w:rPr>
          <w:rFonts w:ascii="Arial" w:hAnsi="Arial" w:cs="Arial"/>
        </w:rPr>
        <w:t xml:space="preserve"> et al., 202</w:t>
      </w:r>
      <w:r w:rsidR="00D052A8" w:rsidRPr="009562B9">
        <w:rPr>
          <w:rFonts w:ascii="Arial" w:hAnsi="Arial" w:cs="Arial"/>
        </w:rPr>
        <w:t>3</w:t>
      </w:r>
      <w:r w:rsidRPr="009562B9">
        <w:rPr>
          <w:rFonts w:ascii="Arial" w:hAnsi="Arial" w:cs="Arial"/>
        </w:rPr>
        <w:t>).</w:t>
      </w:r>
      <w:r w:rsidR="00B90245" w:rsidRPr="009562B9">
        <w:rPr>
          <w:rFonts w:ascii="Arial" w:hAnsi="Arial" w:cs="Arial"/>
        </w:rPr>
        <w:t xml:space="preserve"> </w:t>
      </w:r>
      <w:r w:rsidRPr="009562B9">
        <w:rPr>
          <w:rFonts w:ascii="Arial" w:hAnsi="Arial" w:cs="Arial"/>
        </w:rPr>
        <w:t xml:space="preserve">Several studies and institutional reports highlight the importance of this approach: </w:t>
      </w:r>
      <w:proofErr w:type="gramStart"/>
      <w:r w:rsidRPr="009562B9">
        <w:rPr>
          <w:rFonts w:ascii="Arial" w:hAnsi="Arial" w:cs="Arial"/>
        </w:rPr>
        <w:t>the</w:t>
      </w:r>
      <w:proofErr w:type="gramEnd"/>
      <w:r w:rsidRPr="009562B9">
        <w:rPr>
          <w:rFonts w:ascii="Arial" w:hAnsi="Arial" w:cs="Arial"/>
        </w:rPr>
        <w:t xml:space="preserve"> World Bank (2021) indicates that the use of GIS optimizes resource allocation and allows for better targeting of infrastructures, while the UNDP (202</w:t>
      </w:r>
      <w:r w:rsidR="00506B74" w:rsidRPr="009562B9">
        <w:rPr>
          <w:rFonts w:ascii="Arial" w:hAnsi="Arial" w:cs="Arial"/>
        </w:rPr>
        <w:t>3</w:t>
      </w:r>
      <w:r w:rsidRPr="009562B9">
        <w:rPr>
          <w:rFonts w:ascii="Arial" w:hAnsi="Arial" w:cs="Arial"/>
        </w:rPr>
        <w:t xml:space="preserve">) shows that spatial analyses contribute to reducing inequalities in access to essential services and strengthening the resilience of populations. In summary, this article proposes a methodological approach aimed at enhancing census data through GIS for the analysis of accessibility to infrastructure in the municipality of </w:t>
      </w:r>
      <w:proofErr w:type="spellStart"/>
      <w:r w:rsidRPr="009562B9">
        <w:rPr>
          <w:rFonts w:ascii="Arial" w:hAnsi="Arial" w:cs="Arial"/>
        </w:rPr>
        <w:t>Kroukoto</w:t>
      </w:r>
      <w:proofErr w:type="spellEnd"/>
      <w:r w:rsidRPr="009562B9">
        <w:rPr>
          <w:rFonts w:ascii="Arial" w:hAnsi="Arial" w:cs="Arial"/>
        </w:rPr>
        <w:t xml:space="preserve">. The objective is to demonstrate that combining demographic data and </w:t>
      </w:r>
      <w:proofErr w:type="spellStart"/>
      <w:r w:rsidRPr="009562B9">
        <w:rPr>
          <w:rFonts w:ascii="Arial" w:hAnsi="Arial" w:cs="Arial"/>
        </w:rPr>
        <w:t>geomatic</w:t>
      </w:r>
      <w:proofErr w:type="spellEnd"/>
      <w:r w:rsidRPr="009562B9">
        <w:rPr>
          <w:rFonts w:ascii="Arial" w:hAnsi="Arial" w:cs="Arial"/>
        </w:rPr>
        <w:t xml:space="preserve"> techniques constitutes a major lever for improving local planning, supporting sustainable development, and reducing territorial inequalities.</w:t>
      </w:r>
    </w:p>
    <w:p w14:paraId="642F74CC" w14:textId="77777777" w:rsidR="00790ADA" w:rsidRPr="009562B9" w:rsidRDefault="00790ADA" w:rsidP="00441B6F">
      <w:pPr>
        <w:pStyle w:val="Body"/>
        <w:spacing w:after="0"/>
        <w:rPr>
          <w:rFonts w:ascii="Arial" w:hAnsi="Arial" w:cs="Arial"/>
        </w:rPr>
      </w:pPr>
    </w:p>
    <w:p w14:paraId="2B65BBF1" w14:textId="4666E55A" w:rsidR="00790ADA" w:rsidRPr="009562B9" w:rsidRDefault="00902823" w:rsidP="00441B6F">
      <w:pPr>
        <w:pStyle w:val="AbstHead"/>
        <w:spacing w:after="0"/>
        <w:jc w:val="both"/>
        <w:rPr>
          <w:rFonts w:ascii="Arial" w:hAnsi="Arial" w:cs="Arial"/>
        </w:rPr>
      </w:pPr>
      <w:r w:rsidRPr="009562B9">
        <w:rPr>
          <w:rFonts w:ascii="Arial" w:hAnsi="Arial" w:cs="Arial"/>
        </w:rPr>
        <w:t xml:space="preserve">2. </w:t>
      </w:r>
      <w:r w:rsidR="007E2AE7" w:rsidRPr="009562B9">
        <w:rPr>
          <w:rFonts w:ascii="Arial" w:hAnsi="Arial" w:cs="Arial"/>
        </w:rPr>
        <w:t>METHODOLOGY</w:t>
      </w:r>
    </w:p>
    <w:p w14:paraId="1FEE63FF" w14:textId="77777777" w:rsidR="0051758D" w:rsidRPr="009562B9" w:rsidRDefault="0051758D" w:rsidP="00A21527">
      <w:pPr>
        <w:pStyle w:val="Body"/>
        <w:spacing w:after="0"/>
        <w:rPr>
          <w:rFonts w:ascii="Arial" w:hAnsi="Arial" w:cs="Arial"/>
        </w:rPr>
      </w:pPr>
    </w:p>
    <w:p w14:paraId="6BF39A02" w14:textId="08D23F46" w:rsidR="00A21527" w:rsidRPr="009562B9" w:rsidRDefault="0051758D" w:rsidP="00A21527">
      <w:pPr>
        <w:pStyle w:val="Body"/>
        <w:spacing w:after="0"/>
        <w:rPr>
          <w:rFonts w:ascii="Arial" w:hAnsi="Arial" w:cs="Arial"/>
        </w:rPr>
      </w:pPr>
      <w:r w:rsidRPr="009562B9">
        <w:rPr>
          <w:rFonts w:ascii="Arial" w:hAnsi="Arial" w:cs="Arial"/>
        </w:rPr>
        <w:t xml:space="preserve">This study employs a GIS-based geospatial analysis framework to evaluate spatial accessibility to health infrastructure in the rural commune of </w:t>
      </w:r>
      <w:proofErr w:type="spellStart"/>
      <w:r w:rsidRPr="009562B9">
        <w:rPr>
          <w:rFonts w:ascii="Arial" w:hAnsi="Arial" w:cs="Arial"/>
        </w:rPr>
        <w:t>Kroukoto</w:t>
      </w:r>
      <w:proofErr w:type="spellEnd"/>
      <w:r w:rsidRPr="009562B9">
        <w:rPr>
          <w:rFonts w:ascii="Arial" w:hAnsi="Arial" w:cs="Arial"/>
        </w:rPr>
        <w:t>. The methodology integrates census data, georeferenced health infrastructure, road networks, administrative boundaries, and relief information within a Geographic Information System (GIS) environment. A structured analytical workflow</w:t>
      </w:r>
      <w:r w:rsidR="005C1E65" w:rsidRPr="009562B9">
        <w:rPr>
          <w:rFonts w:ascii="Arial" w:hAnsi="Arial" w:cs="Arial"/>
        </w:rPr>
        <w:t xml:space="preserve"> </w:t>
      </w:r>
      <w:r w:rsidRPr="009562B9">
        <w:rPr>
          <w:rFonts w:ascii="Arial" w:hAnsi="Arial" w:cs="Arial"/>
        </w:rPr>
        <w:t>comprising data preprocessing, geocoding, distance-based accessibility modeling, and spatial overlay operations</w:t>
      </w:r>
      <w:r w:rsidR="005C1E65" w:rsidRPr="009562B9">
        <w:rPr>
          <w:rFonts w:ascii="Arial" w:hAnsi="Arial" w:cs="Arial"/>
        </w:rPr>
        <w:t xml:space="preserve"> </w:t>
      </w:r>
      <w:r w:rsidRPr="009562B9">
        <w:rPr>
          <w:rFonts w:ascii="Arial" w:hAnsi="Arial" w:cs="Arial"/>
        </w:rPr>
        <w:t>is implemented to ensure spatial consistency and analytical reliability. This approach enables the identification of underserved areas, quantification of population coverage, and evaluation of territorial disparities in access to healthcare services. The resulting framework provides a reproducible and decision-oriented basis for evidence-based local planning and the optimization of health infrastructure allocation. In addition, the integration of both Euclidean and network-based distance measures allows a more realistic representation of accessibility conditions in rural settings. The methodology also facilitates scenario analysis, including the assessment of alternative locations for new health facilities</w:t>
      </w:r>
      <w:r w:rsidR="00085FA7" w:rsidRPr="009562B9">
        <w:rPr>
          <w:rFonts w:ascii="Arial" w:hAnsi="Arial" w:cs="Arial"/>
        </w:rPr>
        <w:t>, as illustrated in Figure 1.</w:t>
      </w:r>
    </w:p>
    <w:p w14:paraId="222A00D2" w14:textId="77777777" w:rsidR="00D907AC" w:rsidRPr="009562B9" w:rsidRDefault="00D907AC" w:rsidP="00A21527">
      <w:pPr>
        <w:pStyle w:val="Body"/>
        <w:spacing w:after="0"/>
        <w:rPr>
          <w:rFonts w:ascii="Arial" w:hAnsi="Arial" w:cs="Arial"/>
        </w:rPr>
      </w:pPr>
    </w:p>
    <w:p w14:paraId="278CB06B" w14:textId="729C6B01" w:rsidR="0051758D" w:rsidRPr="009562B9" w:rsidRDefault="0051758D" w:rsidP="00A21527">
      <w:pPr>
        <w:pStyle w:val="Body"/>
        <w:spacing w:after="0"/>
        <w:rPr>
          <w:rFonts w:ascii="Arial" w:hAnsi="Arial" w:cs="Arial"/>
        </w:rPr>
      </w:pPr>
      <w:r w:rsidRPr="009562B9">
        <w:rPr>
          <w:rFonts w:ascii="Arial" w:hAnsi="Arial" w:cs="Arial"/>
          <w:noProof/>
        </w:rPr>
        <w:lastRenderedPageBreak/>
        <w:drawing>
          <wp:inline distT="0" distB="0" distL="0" distR="0" wp14:anchorId="7F7A41CE" wp14:editId="0EA3FA5B">
            <wp:extent cx="4715121" cy="6600825"/>
            <wp:effectExtent l="0" t="0" r="0" b="0"/>
            <wp:docPr id="1737071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0984" cy="6623032"/>
                    </a:xfrm>
                    <a:prstGeom prst="rect">
                      <a:avLst/>
                    </a:prstGeom>
                    <a:noFill/>
                  </pic:spPr>
                </pic:pic>
              </a:graphicData>
            </a:graphic>
          </wp:inline>
        </w:drawing>
      </w:r>
    </w:p>
    <w:p w14:paraId="564A5FBB" w14:textId="77777777" w:rsidR="00D907AC" w:rsidRPr="009562B9" w:rsidRDefault="00D907AC" w:rsidP="00A21527">
      <w:pPr>
        <w:pStyle w:val="Body"/>
        <w:spacing w:after="0"/>
        <w:rPr>
          <w:rFonts w:ascii="Arial" w:hAnsi="Arial" w:cs="Arial"/>
        </w:rPr>
      </w:pPr>
    </w:p>
    <w:p w14:paraId="6C623BDC" w14:textId="5CD2FD16" w:rsidR="0051758D" w:rsidRPr="009562B9" w:rsidRDefault="00750F0B" w:rsidP="00750F0B">
      <w:pPr>
        <w:pStyle w:val="Body"/>
        <w:rPr>
          <w:rFonts w:ascii="Arial" w:hAnsi="Arial" w:cs="Arial"/>
          <w:b/>
          <w:bCs/>
          <w:szCs w:val="22"/>
        </w:rPr>
      </w:pPr>
      <w:r w:rsidRPr="009562B9">
        <w:rPr>
          <w:rFonts w:ascii="Arial" w:hAnsi="Arial" w:cs="Arial"/>
          <w:b/>
          <w:bCs/>
          <w:szCs w:val="22"/>
        </w:rPr>
        <w:t>Fig</w:t>
      </w:r>
      <w:r w:rsidR="00085FA7" w:rsidRPr="009562B9">
        <w:rPr>
          <w:rFonts w:ascii="Arial" w:hAnsi="Arial" w:cs="Arial"/>
          <w:b/>
          <w:bCs/>
          <w:szCs w:val="22"/>
        </w:rPr>
        <w:t xml:space="preserve"> 1</w:t>
      </w:r>
      <w:r w:rsidRPr="009562B9">
        <w:rPr>
          <w:rFonts w:ascii="Arial" w:hAnsi="Arial" w:cs="Arial"/>
          <w:b/>
          <w:bCs/>
          <w:szCs w:val="22"/>
        </w:rPr>
        <w:t xml:space="preserve">. Flowchart of the methodological framework integrating census data and GIS for spatial accessibility analysis to health infrastructure in the rural commune of </w:t>
      </w:r>
      <w:proofErr w:type="spellStart"/>
      <w:r w:rsidRPr="009562B9">
        <w:rPr>
          <w:rFonts w:ascii="Arial" w:hAnsi="Arial" w:cs="Arial"/>
          <w:b/>
          <w:bCs/>
          <w:szCs w:val="22"/>
        </w:rPr>
        <w:t>Kroukoto</w:t>
      </w:r>
      <w:proofErr w:type="spellEnd"/>
      <w:r w:rsidRPr="009562B9">
        <w:rPr>
          <w:rFonts w:ascii="Arial" w:hAnsi="Arial" w:cs="Arial"/>
          <w:b/>
          <w:bCs/>
          <w:szCs w:val="22"/>
        </w:rPr>
        <w:t>.</w:t>
      </w:r>
    </w:p>
    <w:p w14:paraId="1507C67A" w14:textId="54A86A72" w:rsidR="002D2C6D" w:rsidRPr="009562B9" w:rsidRDefault="002D2C6D" w:rsidP="002D2C6D">
      <w:pPr>
        <w:pStyle w:val="Body"/>
        <w:spacing w:after="0"/>
        <w:rPr>
          <w:rFonts w:ascii="Arial" w:hAnsi="Arial" w:cs="Arial"/>
          <w:b/>
          <w:sz w:val="22"/>
        </w:rPr>
      </w:pPr>
      <w:r w:rsidRPr="009562B9">
        <w:rPr>
          <w:rFonts w:ascii="Arial" w:hAnsi="Arial" w:cs="Arial"/>
          <w:b/>
          <w:caps/>
          <w:sz w:val="22"/>
        </w:rPr>
        <w:t xml:space="preserve">2.1 </w:t>
      </w:r>
      <w:r w:rsidRPr="009562B9">
        <w:rPr>
          <w:rFonts w:ascii="Arial" w:hAnsi="Arial" w:cs="Arial"/>
          <w:b/>
          <w:sz w:val="22"/>
        </w:rPr>
        <w:t xml:space="preserve">Study area </w:t>
      </w:r>
      <w:r w:rsidR="00A21527" w:rsidRPr="009562B9">
        <w:rPr>
          <w:rFonts w:ascii="Arial" w:hAnsi="Arial" w:cs="Arial"/>
          <w:b/>
          <w:sz w:val="22"/>
        </w:rPr>
        <w:t>p</w:t>
      </w:r>
      <w:r w:rsidRPr="009562B9">
        <w:rPr>
          <w:rFonts w:ascii="Arial" w:hAnsi="Arial" w:cs="Arial"/>
          <w:b/>
          <w:sz w:val="22"/>
        </w:rPr>
        <w:t>resentation</w:t>
      </w:r>
    </w:p>
    <w:p w14:paraId="4E5CE334" w14:textId="77777777" w:rsidR="00AF52A6" w:rsidRPr="009562B9" w:rsidRDefault="00AF52A6" w:rsidP="002D2C6D">
      <w:pPr>
        <w:pStyle w:val="Body"/>
        <w:spacing w:after="0"/>
        <w:rPr>
          <w:rFonts w:ascii="Arial" w:hAnsi="Arial" w:cs="Arial"/>
          <w:b/>
          <w:sz w:val="22"/>
        </w:rPr>
      </w:pPr>
    </w:p>
    <w:p w14:paraId="574DB64B" w14:textId="2281182B" w:rsidR="00F17803" w:rsidRPr="009562B9" w:rsidRDefault="00A21527" w:rsidP="004309AF">
      <w:pPr>
        <w:pStyle w:val="Body"/>
        <w:rPr>
          <w:rFonts w:ascii="Arial" w:hAnsi="Arial" w:cs="Arial"/>
        </w:rPr>
      </w:pPr>
      <w:r w:rsidRPr="009562B9">
        <w:rPr>
          <w:rFonts w:ascii="Arial" w:hAnsi="Arial" w:cs="Arial"/>
        </w:rPr>
        <w:lastRenderedPageBreak/>
        <w:t xml:space="preserve">The rural commune of </w:t>
      </w:r>
      <w:proofErr w:type="spellStart"/>
      <w:r w:rsidRPr="009562B9">
        <w:rPr>
          <w:rFonts w:ascii="Arial" w:hAnsi="Arial" w:cs="Arial"/>
        </w:rPr>
        <w:t>Kroukoto</w:t>
      </w:r>
      <w:proofErr w:type="spellEnd"/>
      <w:r w:rsidRPr="009562B9">
        <w:rPr>
          <w:rFonts w:ascii="Arial" w:hAnsi="Arial" w:cs="Arial"/>
        </w:rPr>
        <w:t xml:space="preserve"> is located in the </w:t>
      </w:r>
      <w:proofErr w:type="spellStart"/>
      <w:r w:rsidRPr="009562B9">
        <w:rPr>
          <w:rFonts w:ascii="Arial" w:hAnsi="Arial" w:cs="Arial"/>
        </w:rPr>
        <w:t>cercle</w:t>
      </w:r>
      <w:proofErr w:type="spellEnd"/>
      <w:r w:rsidRPr="009562B9">
        <w:rPr>
          <w:rFonts w:ascii="Arial" w:hAnsi="Arial" w:cs="Arial"/>
        </w:rPr>
        <w:t xml:space="preserve"> of </w:t>
      </w:r>
      <w:proofErr w:type="spellStart"/>
      <w:r w:rsidRPr="009562B9">
        <w:rPr>
          <w:rFonts w:ascii="Arial" w:hAnsi="Arial" w:cs="Arial"/>
        </w:rPr>
        <w:t>Kéniéba</w:t>
      </w:r>
      <w:proofErr w:type="spellEnd"/>
      <w:r w:rsidRPr="009562B9">
        <w:rPr>
          <w:rFonts w:ascii="Arial" w:hAnsi="Arial" w:cs="Arial"/>
        </w:rPr>
        <w:t xml:space="preserve">, within the </w:t>
      </w:r>
      <w:proofErr w:type="spellStart"/>
      <w:r w:rsidRPr="009562B9">
        <w:rPr>
          <w:rFonts w:ascii="Arial" w:hAnsi="Arial" w:cs="Arial"/>
        </w:rPr>
        <w:t>Kayes</w:t>
      </w:r>
      <w:proofErr w:type="spellEnd"/>
      <w:r w:rsidRPr="009562B9">
        <w:rPr>
          <w:rFonts w:ascii="Arial" w:hAnsi="Arial" w:cs="Arial"/>
        </w:rPr>
        <w:t xml:space="preserve"> Region in south-western Mali. It covers an area of approximately 250 km²</w:t>
      </w:r>
      <w:r w:rsidR="00CE49D8" w:rsidRPr="009562B9">
        <w:rPr>
          <w:rFonts w:ascii="Arial" w:hAnsi="Arial" w:cs="Arial"/>
        </w:rPr>
        <w:t xml:space="preserve">, </w:t>
      </w:r>
      <w:r w:rsidRPr="009562B9">
        <w:rPr>
          <w:rFonts w:ascii="Arial" w:hAnsi="Arial" w:cs="Arial"/>
        </w:rPr>
        <w:t xml:space="preserve">Figure </w:t>
      </w:r>
      <w:r w:rsidR="00F17803" w:rsidRPr="009562B9">
        <w:rPr>
          <w:rFonts w:ascii="Arial" w:hAnsi="Arial" w:cs="Arial"/>
        </w:rPr>
        <w:t>2</w:t>
      </w:r>
      <w:r w:rsidRPr="009562B9">
        <w:rPr>
          <w:rFonts w:ascii="Arial" w:hAnsi="Arial" w:cs="Arial"/>
        </w:rPr>
        <w:t xml:space="preserve">. The commune is bordered by </w:t>
      </w:r>
      <w:proofErr w:type="spellStart"/>
      <w:r w:rsidRPr="009562B9">
        <w:rPr>
          <w:rFonts w:ascii="Arial" w:hAnsi="Arial" w:cs="Arial"/>
        </w:rPr>
        <w:t>Sadiola</w:t>
      </w:r>
      <w:proofErr w:type="spellEnd"/>
      <w:r w:rsidRPr="009562B9">
        <w:rPr>
          <w:rFonts w:ascii="Arial" w:hAnsi="Arial" w:cs="Arial"/>
        </w:rPr>
        <w:t xml:space="preserve"> to the north, </w:t>
      </w:r>
      <w:proofErr w:type="spellStart"/>
      <w:r w:rsidRPr="009562B9">
        <w:rPr>
          <w:rFonts w:ascii="Arial" w:hAnsi="Arial" w:cs="Arial"/>
        </w:rPr>
        <w:t>Dabia</w:t>
      </w:r>
      <w:proofErr w:type="spellEnd"/>
      <w:r w:rsidRPr="009562B9">
        <w:rPr>
          <w:rFonts w:ascii="Arial" w:hAnsi="Arial" w:cs="Arial"/>
        </w:rPr>
        <w:t xml:space="preserve"> to the south, </w:t>
      </w:r>
      <w:proofErr w:type="spellStart"/>
      <w:r w:rsidRPr="009562B9">
        <w:rPr>
          <w:rFonts w:ascii="Arial" w:hAnsi="Arial" w:cs="Arial"/>
        </w:rPr>
        <w:t>Kéniéba</w:t>
      </w:r>
      <w:proofErr w:type="spellEnd"/>
      <w:r w:rsidRPr="009562B9">
        <w:rPr>
          <w:rFonts w:ascii="Arial" w:hAnsi="Arial" w:cs="Arial"/>
        </w:rPr>
        <w:t xml:space="preserve"> to the east, a location that favors local mobility, trade, and cross-border socio-economic exchanges. </w:t>
      </w:r>
      <w:proofErr w:type="spellStart"/>
      <w:r w:rsidRPr="009562B9">
        <w:rPr>
          <w:rFonts w:ascii="Arial" w:hAnsi="Arial" w:cs="Arial"/>
        </w:rPr>
        <w:t>Kroukoto</w:t>
      </w:r>
      <w:proofErr w:type="spellEnd"/>
      <w:r w:rsidRPr="009562B9">
        <w:rPr>
          <w:rFonts w:ascii="Arial" w:hAnsi="Arial" w:cs="Arial"/>
        </w:rPr>
        <w:t xml:space="preserve"> has an estimated population of nearly 12,000 inhabitants, distributed among several villages and hamlets. The population is predominantly young and ethnically diverse, mainly composed of </w:t>
      </w:r>
      <w:proofErr w:type="spellStart"/>
      <w:r w:rsidRPr="009562B9">
        <w:rPr>
          <w:rFonts w:ascii="Arial" w:hAnsi="Arial" w:cs="Arial"/>
        </w:rPr>
        <w:t>Malinké</w:t>
      </w:r>
      <w:proofErr w:type="spellEnd"/>
      <w:r w:rsidRPr="009562B9">
        <w:rPr>
          <w:rFonts w:ascii="Arial" w:hAnsi="Arial" w:cs="Arial"/>
        </w:rPr>
        <w:t xml:space="preserve">, </w:t>
      </w:r>
      <w:proofErr w:type="spellStart"/>
      <w:r w:rsidRPr="009562B9">
        <w:rPr>
          <w:rFonts w:ascii="Arial" w:hAnsi="Arial" w:cs="Arial"/>
        </w:rPr>
        <w:t>Peulh</w:t>
      </w:r>
      <w:proofErr w:type="spellEnd"/>
      <w:r w:rsidRPr="009562B9">
        <w:rPr>
          <w:rFonts w:ascii="Arial" w:hAnsi="Arial" w:cs="Arial"/>
        </w:rPr>
        <w:t xml:space="preserve">, and </w:t>
      </w:r>
      <w:proofErr w:type="spellStart"/>
      <w:r w:rsidRPr="009562B9">
        <w:rPr>
          <w:rFonts w:ascii="Arial" w:hAnsi="Arial" w:cs="Arial"/>
        </w:rPr>
        <w:t>Khassonke</w:t>
      </w:r>
      <w:proofErr w:type="spellEnd"/>
      <w:r w:rsidRPr="009562B9">
        <w:rPr>
          <w:rFonts w:ascii="Arial" w:hAnsi="Arial" w:cs="Arial"/>
        </w:rPr>
        <w:t xml:space="preserve"> communities. Settlement patterns are largely rural, with extended family households, while population growth and mining-related migration increase pressure on land and natural resources. The commune is situated in the </w:t>
      </w:r>
      <w:proofErr w:type="spellStart"/>
      <w:r w:rsidRPr="009562B9">
        <w:rPr>
          <w:rFonts w:ascii="Arial" w:hAnsi="Arial" w:cs="Arial"/>
        </w:rPr>
        <w:t>Sudano</w:t>
      </w:r>
      <w:proofErr w:type="spellEnd"/>
      <w:r w:rsidRPr="009562B9">
        <w:rPr>
          <w:rFonts w:ascii="Arial" w:hAnsi="Arial" w:cs="Arial"/>
        </w:rPr>
        <w:t>-Sahelian climatic zone, characterized by a rainy season from June to October and a dry season from November to May. Annual rainfall ranges between 700 and 1,100 mm, supporting agricultural activities but also exposing the area to climatic variability. The landscape is generally gently undulating, with low hills and seasonal watercourses, and the vegetation is dominated by savanna woodland interspersed with cultivated and fallow lands. The local economy relies mainly on subsistence agriculture, livestock rearing, and artisanal gold mining. Crop production focuses on millet, sorghum, maize, and groundnuts, while livestock farming involves cattle, sheep, and goats. Although mining provides an important source of income, it also generates environmental and social challenges.</w:t>
      </w:r>
      <w:r w:rsidR="00B90245" w:rsidRPr="009562B9">
        <w:rPr>
          <w:rFonts w:ascii="Arial" w:hAnsi="Arial" w:cs="Arial"/>
        </w:rPr>
        <w:t xml:space="preserve"> </w:t>
      </w:r>
      <w:r w:rsidRPr="009562B9">
        <w:rPr>
          <w:rFonts w:ascii="Arial" w:hAnsi="Arial" w:cs="Arial"/>
        </w:rPr>
        <w:t xml:space="preserve">In terms of infrastructure, </w:t>
      </w:r>
      <w:proofErr w:type="spellStart"/>
      <w:r w:rsidRPr="009562B9">
        <w:rPr>
          <w:rFonts w:ascii="Arial" w:hAnsi="Arial" w:cs="Arial"/>
        </w:rPr>
        <w:t>Kroukoto</w:t>
      </w:r>
      <w:proofErr w:type="spellEnd"/>
      <w:r w:rsidRPr="009562B9">
        <w:rPr>
          <w:rFonts w:ascii="Arial" w:hAnsi="Arial" w:cs="Arial"/>
        </w:rPr>
        <w:t xml:space="preserve"> is equipped with primary schools, a community health center, and boreholes for drinking water. However, limited road infrastructure, particularly during the rainy season, restricts access to markets and basic services. Overall, </w:t>
      </w:r>
      <w:proofErr w:type="spellStart"/>
      <w:r w:rsidRPr="009562B9">
        <w:rPr>
          <w:rFonts w:ascii="Arial" w:hAnsi="Arial" w:cs="Arial"/>
        </w:rPr>
        <w:t>Kroukoto</w:t>
      </w:r>
      <w:proofErr w:type="spellEnd"/>
      <w:r w:rsidRPr="009562B9">
        <w:rPr>
          <w:rFonts w:ascii="Arial" w:hAnsi="Arial" w:cs="Arial"/>
        </w:rPr>
        <w:t xml:space="preserve"> represents a typical rural commune of south-western Mali, making it a relevant study area for analyzing land-use patterns, spatial dynamics, and socio-environmental interactions.</w:t>
      </w:r>
    </w:p>
    <w:p w14:paraId="1750728E" w14:textId="595FAB82" w:rsidR="00A42EC1" w:rsidRPr="009562B9" w:rsidRDefault="00A42EC1" w:rsidP="004309AF">
      <w:pPr>
        <w:pStyle w:val="Body"/>
        <w:rPr>
          <w:rFonts w:ascii="Arial" w:hAnsi="Arial" w:cs="Arial"/>
        </w:rPr>
      </w:pPr>
      <w:r w:rsidRPr="009562B9">
        <w:rPr>
          <w:noProof/>
        </w:rPr>
        <w:drawing>
          <wp:inline distT="0" distB="0" distL="0" distR="0" wp14:anchorId="0CDBBB5E" wp14:editId="31E58251">
            <wp:extent cx="5212080" cy="3688715"/>
            <wp:effectExtent l="0" t="0" r="0" b="0"/>
            <wp:docPr id="1719337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3688715"/>
                    </a:xfrm>
                    <a:prstGeom prst="rect">
                      <a:avLst/>
                    </a:prstGeom>
                    <a:noFill/>
                    <a:ln>
                      <a:noFill/>
                    </a:ln>
                  </pic:spPr>
                </pic:pic>
              </a:graphicData>
            </a:graphic>
          </wp:inline>
        </w:drawing>
      </w:r>
    </w:p>
    <w:p w14:paraId="4FCD71AF" w14:textId="1E8619E4" w:rsidR="00E66E10" w:rsidRPr="009562B9" w:rsidRDefault="00A21527" w:rsidP="004309AF">
      <w:pPr>
        <w:pStyle w:val="Body"/>
        <w:rPr>
          <w:rFonts w:ascii="Arial" w:hAnsi="Arial" w:cs="Arial"/>
          <w:b/>
          <w:bCs/>
          <w:szCs w:val="22"/>
        </w:rPr>
      </w:pPr>
      <w:r w:rsidRPr="009562B9">
        <w:rPr>
          <w:rFonts w:ascii="Arial" w:hAnsi="Arial" w:cs="Arial"/>
          <w:b/>
          <w:bCs/>
          <w:szCs w:val="22"/>
        </w:rPr>
        <w:t>Fig</w:t>
      </w:r>
      <w:r w:rsidR="002377B9" w:rsidRPr="009562B9">
        <w:rPr>
          <w:rFonts w:ascii="Arial" w:hAnsi="Arial" w:cs="Arial"/>
          <w:b/>
          <w:bCs/>
          <w:szCs w:val="22"/>
        </w:rPr>
        <w:t>.</w:t>
      </w:r>
      <w:r w:rsidRPr="009562B9">
        <w:rPr>
          <w:rFonts w:ascii="Arial" w:hAnsi="Arial" w:cs="Arial"/>
          <w:b/>
          <w:bCs/>
          <w:szCs w:val="22"/>
        </w:rPr>
        <w:t xml:space="preserve"> </w:t>
      </w:r>
      <w:r w:rsidR="00E474B9" w:rsidRPr="009562B9">
        <w:rPr>
          <w:rFonts w:ascii="Arial" w:hAnsi="Arial" w:cs="Arial"/>
          <w:b/>
          <w:bCs/>
          <w:szCs w:val="22"/>
        </w:rPr>
        <w:t>2</w:t>
      </w:r>
      <w:r w:rsidRPr="009562B9">
        <w:rPr>
          <w:rFonts w:ascii="Arial" w:hAnsi="Arial" w:cs="Arial"/>
          <w:b/>
          <w:bCs/>
          <w:szCs w:val="22"/>
        </w:rPr>
        <w:t xml:space="preserve">. Presentation of the rural </w:t>
      </w:r>
      <w:r w:rsidR="00FF02D0" w:rsidRPr="009562B9">
        <w:rPr>
          <w:rFonts w:ascii="Arial" w:hAnsi="Arial" w:cs="Arial"/>
          <w:b/>
          <w:bCs/>
          <w:szCs w:val="22"/>
        </w:rPr>
        <w:t>commune</w:t>
      </w:r>
      <w:r w:rsidRPr="009562B9">
        <w:rPr>
          <w:rFonts w:ascii="Arial" w:hAnsi="Arial" w:cs="Arial"/>
          <w:b/>
          <w:bCs/>
          <w:szCs w:val="22"/>
        </w:rPr>
        <w:t xml:space="preserve"> of </w:t>
      </w:r>
      <w:proofErr w:type="spellStart"/>
      <w:r w:rsidRPr="009562B9">
        <w:rPr>
          <w:rFonts w:ascii="Arial" w:hAnsi="Arial" w:cs="Arial"/>
          <w:b/>
          <w:bCs/>
          <w:szCs w:val="22"/>
        </w:rPr>
        <w:t>Kroukoto</w:t>
      </w:r>
      <w:proofErr w:type="spellEnd"/>
    </w:p>
    <w:p w14:paraId="6934DD8E" w14:textId="532D1234" w:rsidR="005062DB" w:rsidRPr="009562B9" w:rsidRDefault="005062DB" w:rsidP="005062DB">
      <w:pPr>
        <w:pStyle w:val="Body"/>
        <w:spacing w:after="0"/>
        <w:rPr>
          <w:rFonts w:ascii="Arial" w:hAnsi="Arial" w:cs="Arial"/>
        </w:rPr>
      </w:pPr>
      <w:r w:rsidRPr="009562B9">
        <w:rPr>
          <w:rFonts w:ascii="Arial" w:hAnsi="Arial" w:cs="Arial"/>
          <w:b/>
          <w:caps/>
          <w:sz w:val="22"/>
        </w:rPr>
        <w:t>2.</w:t>
      </w:r>
      <w:r w:rsidR="00F66311" w:rsidRPr="009562B9">
        <w:rPr>
          <w:rFonts w:ascii="Arial" w:hAnsi="Arial" w:cs="Arial"/>
          <w:b/>
          <w:caps/>
          <w:sz w:val="22"/>
        </w:rPr>
        <w:t>2</w:t>
      </w:r>
      <w:r w:rsidRPr="009562B9">
        <w:rPr>
          <w:rFonts w:ascii="Arial" w:hAnsi="Arial" w:cs="Arial"/>
          <w:b/>
          <w:caps/>
          <w:sz w:val="22"/>
        </w:rPr>
        <w:t xml:space="preserve"> </w:t>
      </w:r>
      <w:r w:rsidRPr="009562B9">
        <w:rPr>
          <w:rFonts w:ascii="Arial" w:hAnsi="Arial" w:cs="Arial"/>
          <w:b/>
          <w:sz w:val="22"/>
        </w:rPr>
        <w:t>Method</w:t>
      </w:r>
    </w:p>
    <w:p w14:paraId="109211AF" w14:textId="54B597C0" w:rsidR="00F66311" w:rsidRPr="009562B9" w:rsidRDefault="00F66311" w:rsidP="00F66311">
      <w:pPr>
        <w:pStyle w:val="Body"/>
        <w:rPr>
          <w:rFonts w:ascii="Arial" w:hAnsi="Arial" w:cs="Arial"/>
        </w:rPr>
      </w:pPr>
      <w:r w:rsidRPr="009562B9">
        <w:rPr>
          <w:rFonts w:ascii="Arial" w:hAnsi="Arial" w:cs="Arial"/>
        </w:rPr>
        <w:lastRenderedPageBreak/>
        <w:t>This study uses data from the General Census of Population and Housing (RGPH-5) conducted by the National Institute of Statistics (INSTAT). The datasets include administrative boundaries, enumeration units, health infrastructures, and the road network. These data provide a foundational basis for territorial planning and the management of essential public services. All datasets were integrated into a Geographic Information System (GIS) environment using Python, enabling detailed spatial analyses and the production of thematic maps that can be interpreted at multiple scales. The methodology follows a structured, stepwise approach, which ensures reliability and reproducibility of results:</w:t>
      </w:r>
    </w:p>
    <w:p w14:paraId="1FD5329E" w14:textId="0485E0D8" w:rsidR="00F66311" w:rsidRPr="009562B9" w:rsidRDefault="00F66311" w:rsidP="00F66311">
      <w:pPr>
        <w:pStyle w:val="Body"/>
        <w:spacing w:after="0"/>
        <w:rPr>
          <w:rFonts w:ascii="Arial" w:hAnsi="Arial" w:cs="Arial"/>
          <w:b/>
          <w:u w:val="single"/>
        </w:rPr>
      </w:pPr>
      <w:r w:rsidRPr="009562B9">
        <w:rPr>
          <w:rFonts w:ascii="Arial" w:hAnsi="Arial" w:cs="Arial"/>
          <w:b/>
          <w:u w:val="single"/>
        </w:rPr>
        <w:t>2.2.1 Data Sources</w:t>
      </w:r>
    </w:p>
    <w:p w14:paraId="51039D9B" w14:textId="3243EA54" w:rsidR="00F66311" w:rsidRPr="009562B9" w:rsidRDefault="00F66311" w:rsidP="00F66311">
      <w:pPr>
        <w:pStyle w:val="Body"/>
        <w:rPr>
          <w:rFonts w:ascii="Arial" w:hAnsi="Arial" w:cs="Arial"/>
        </w:rPr>
      </w:pPr>
      <w:r w:rsidRPr="009562B9">
        <w:rPr>
          <w:rFonts w:ascii="Arial" w:hAnsi="Arial" w:cs="Arial"/>
        </w:rPr>
        <w:t>The data used in this study are derived from the fifth General Census of Population and Housing (RGPH-5) conducted by the National Institute of Statistics (INSTAT) of Mali. These datasets form an up-to-date geospatial database that supports spatial analysis and local development planning by integrating demographic information with georeferenced spatial layers. As summarized in Table 1, the datasets include administrative and statistical boundaries (commune limits, villages, and enumeration sections), georeferenced health infrastructure, and the road network, which together structure the spatial framework for accessibility modeling. Population data at the locality level provide information on the spatial distribution of inhabitants, while relief data describe elevation, which influence accessibility and infrastructure planning.</w:t>
      </w:r>
      <w:r w:rsidR="00D606F7" w:rsidRPr="009562B9">
        <w:rPr>
          <w:rFonts w:ascii="Arial" w:hAnsi="Arial" w:cs="Arial"/>
        </w:rPr>
        <w:t xml:space="preserve"> </w:t>
      </w:r>
    </w:p>
    <w:p w14:paraId="12C224B8" w14:textId="77777777" w:rsidR="00F66311" w:rsidRPr="009562B9" w:rsidRDefault="00F66311" w:rsidP="00F66311">
      <w:pPr>
        <w:tabs>
          <w:tab w:val="left" w:pos="1080"/>
        </w:tabs>
        <w:jc w:val="both"/>
        <w:rPr>
          <w:rFonts w:ascii="Arial" w:hAnsi="Arial"/>
          <w:bCs/>
        </w:rPr>
      </w:pPr>
      <w:r w:rsidRPr="009562B9">
        <w:rPr>
          <w:rFonts w:ascii="Arial" w:hAnsi="Arial"/>
          <w:b/>
        </w:rPr>
        <w:t>Table 1.</w:t>
      </w:r>
      <w:r w:rsidRPr="009562B9">
        <w:rPr>
          <w:rFonts w:ascii="Arial" w:hAnsi="Arial"/>
          <w:b/>
        </w:rPr>
        <w:tab/>
      </w:r>
      <w:r w:rsidRPr="009562B9">
        <w:rPr>
          <w:rFonts w:ascii="Arial" w:hAnsi="Arial"/>
          <w:bCs/>
        </w:rPr>
        <w:t xml:space="preserve">Datasets used for infrastructure accessibility analysis in the rural commune of </w:t>
      </w:r>
      <w:proofErr w:type="spellStart"/>
      <w:r w:rsidRPr="009562B9">
        <w:rPr>
          <w:rFonts w:ascii="Arial" w:hAnsi="Arial"/>
          <w:bCs/>
        </w:rPr>
        <w:t>Kroukoto</w:t>
      </w:r>
      <w:proofErr w:type="spellEnd"/>
    </w:p>
    <w:p w14:paraId="3D075F6A" w14:textId="77777777" w:rsidR="00F66311" w:rsidRPr="009562B9" w:rsidRDefault="00F66311" w:rsidP="00F66311">
      <w:pPr>
        <w:tabs>
          <w:tab w:val="left" w:pos="1080"/>
        </w:tabs>
        <w:jc w:val="both"/>
        <w:rPr>
          <w:rFonts w:ascii="Arial" w:hAnsi="Arial"/>
          <w:bCs/>
        </w:rPr>
      </w:pP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2551"/>
        <w:gridCol w:w="928"/>
        <w:gridCol w:w="1006"/>
        <w:gridCol w:w="3456"/>
      </w:tblGrid>
      <w:tr w:rsidR="009562B9" w:rsidRPr="009562B9" w14:paraId="110D64A1" w14:textId="77777777" w:rsidTr="00EA684B">
        <w:trPr>
          <w:trHeight w:val="323"/>
        </w:trPr>
        <w:tc>
          <w:tcPr>
            <w:tcW w:w="483" w:type="dxa"/>
            <w:tcBorders>
              <w:top w:val="single" w:sz="4" w:space="0" w:color="auto"/>
              <w:bottom w:val="single" w:sz="4" w:space="0" w:color="auto"/>
            </w:tcBorders>
            <w:hideMark/>
          </w:tcPr>
          <w:p w14:paraId="5EE444AA" w14:textId="77777777" w:rsidR="00F66311" w:rsidRPr="009562B9" w:rsidRDefault="00F66311" w:rsidP="008105EA">
            <w:pPr>
              <w:jc w:val="both"/>
              <w:rPr>
                <w:rFonts w:ascii="Arial" w:hAnsi="Arial"/>
                <w:b/>
                <w:sz w:val="20"/>
                <w:szCs w:val="20"/>
              </w:rPr>
            </w:pPr>
            <w:r w:rsidRPr="009562B9">
              <w:rPr>
                <w:rFonts w:ascii="Arial" w:hAnsi="Arial"/>
                <w:b/>
                <w:sz w:val="20"/>
                <w:szCs w:val="20"/>
              </w:rPr>
              <w:t>No</w:t>
            </w:r>
          </w:p>
        </w:tc>
        <w:tc>
          <w:tcPr>
            <w:tcW w:w="2551" w:type="dxa"/>
            <w:tcBorders>
              <w:top w:val="single" w:sz="4" w:space="0" w:color="auto"/>
              <w:bottom w:val="single" w:sz="4" w:space="0" w:color="auto"/>
            </w:tcBorders>
            <w:hideMark/>
          </w:tcPr>
          <w:p w14:paraId="762B21D2" w14:textId="77777777" w:rsidR="00F66311" w:rsidRPr="009562B9" w:rsidRDefault="00F66311" w:rsidP="008105EA">
            <w:pPr>
              <w:jc w:val="both"/>
              <w:rPr>
                <w:rFonts w:ascii="Arial" w:hAnsi="Arial"/>
                <w:b/>
                <w:sz w:val="20"/>
                <w:szCs w:val="20"/>
              </w:rPr>
            </w:pPr>
            <w:r w:rsidRPr="009562B9">
              <w:rPr>
                <w:rFonts w:ascii="Arial" w:hAnsi="Arial"/>
                <w:b/>
                <w:sz w:val="20"/>
                <w:szCs w:val="20"/>
              </w:rPr>
              <w:t>Data</w:t>
            </w:r>
          </w:p>
        </w:tc>
        <w:tc>
          <w:tcPr>
            <w:tcW w:w="928" w:type="dxa"/>
            <w:tcBorders>
              <w:top w:val="single" w:sz="4" w:space="0" w:color="auto"/>
              <w:bottom w:val="single" w:sz="4" w:space="0" w:color="auto"/>
            </w:tcBorders>
            <w:hideMark/>
          </w:tcPr>
          <w:p w14:paraId="6FBD5CFD" w14:textId="77777777" w:rsidR="00F66311" w:rsidRPr="009562B9" w:rsidRDefault="00F66311" w:rsidP="008105EA">
            <w:pPr>
              <w:jc w:val="both"/>
              <w:rPr>
                <w:rFonts w:ascii="Arial" w:hAnsi="Arial"/>
                <w:b/>
                <w:sz w:val="20"/>
                <w:szCs w:val="20"/>
              </w:rPr>
            </w:pPr>
            <w:r w:rsidRPr="009562B9">
              <w:rPr>
                <w:rFonts w:ascii="Arial" w:hAnsi="Arial"/>
                <w:b/>
                <w:sz w:val="20"/>
                <w:szCs w:val="20"/>
              </w:rPr>
              <w:t>Source</w:t>
            </w:r>
          </w:p>
        </w:tc>
        <w:tc>
          <w:tcPr>
            <w:tcW w:w="1006" w:type="dxa"/>
            <w:tcBorders>
              <w:top w:val="single" w:sz="4" w:space="0" w:color="auto"/>
              <w:bottom w:val="single" w:sz="4" w:space="0" w:color="auto"/>
            </w:tcBorders>
            <w:hideMark/>
          </w:tcPr>
          <w:p w14:paraId="4EA53EBC" w14:textId="77777777" w:rsidR="00F66311" w:rsidRPr="009562B9" w:rsidRDefault="00F66311" w:rsidP="008105EA">
            <w:pPr>
              <w:jc w:val="both"/>
              <w:rPr>
                <w:rFonts w:ascii="Arial" w:hAnsi="Arial"/>
                <w:b/>
                <w:sz w:val="20"/>
                <w:szCs w:val="20"/>
              </w:rPr>
            </w:pPr>
            <w:r w:rsidRPr="009562B9">
              <w:rPr>
                <w:rFonts w:ascii="Arial" w:hAnsi="Arial"/>
                <w:b/>
                <w:sz w:val="20"/>
                <w:szCs w:val="20"/>
              </w:rPr>
              <w:t>Year</w:t>
            </w:r>
          </w:p>
        </w:tc>
        <w:tc>
          <w:tcPr>
            <w:tcW w:w="3456" w:type="dxa"/>
            <w:tcBorders>
              <w:top w:val="single" w:sz="4" w:space="0" w:color="auto"/>
              <w:bottom w:val="single" w:sz="4" w:space="0" w:color="auto"/>
            </w:tcBorders>
            <w:hideMark/>
          </w:tcPr>
          <w:p w14:paraId="346490A2" w14:textId="77777777" w:rsidR="00F66311" w:rsidRPr="009562B9" w:rsidRDefault="00F66311" w:rsidP="00EA684B">
            <w:pPr>
              <w:jc w:val="center"/>
              <w:rPr>
                <w:rFonts w:ascii="Arial" w:hAnsi="Arial"/>
                <w:b/>
                <w:sz w:val="20"/>
                <w:szCs w:val="20"/>
              </w:rPr>
            </w:pPr>
            <w:r w:rsidRPr="009562B9">
              <w:rPr>
                <w:rFonts w:ascii="Arial" w:hAnsi="Arial"/>
                <w:b/>
                <w:sz w:val="20"/>
                <w:szCs w:val="20"/>
              </w:rPr>
              <w:t>Description</w:t>
            </w:r>
          </w:p>
        </w:tc>
      </w:tr>
      <w:tr w:rsidR="009562B9" w:rsidRPr="009562B9" w14:paraId="719B00A9" w14:textId="77777777" w:rsidTr="00EA684B">
        <w:trPr>
          <w:trHeight w:val="890"/>
        </w:trPr>
        <w:tc>
          <w:tcPr>
            <w:tcW w:w="483" w:type="dxa"/>
            <w:tcBorders>
              <w:top w:val="single" w:sz="4" w:space="0" w:color="auto"/>
            </w:tcBorders>
            <w:hideMark/>
          </w:tcPr>
          <w:p w14:paraId="49DA3CCB" w14:textId="77777777" w:rsidR="00F66311" w:rsidRPr="009562B9" w:rsidRDefault="00F66311" w:rsidP="008105EA">
            <w:pPr>
              <w:jc w:val="both"/>
              <w:rPr>
                <w:rFonts w:ascii="Arial" w:hAnsi="Arial" w:cs="Arial"/>
                <w:sz w:val="20"/>
                <w:szCs w:val="20"/>
              </w:rPr>
            </w:pPr>
            <w:r w:rsidRPr="009562B9">
              <w:rPr>
                <w:rFonts w:ascii="Arial" w:hAnsi="Arial" w:cs="Arial"/>
                <w:sz w:val="20"/>
                <w:szCs w:val="20"/>
              </w:rPr>
              <w:t>1</w:t>
            </w:r>
          </w:p>
        </w:tc>
        <w:tc>
          <w:tcPr>
            <w:tcW w:w="2551" w:type="dxa"/>
            <w:tcBorders>
              <w:top w:val="single" w:sz="4" w:space="0" w:color="auto"/>
            </w:tcBorders>
            <w:hideMark/>
          </w:tcPr>
          <w:p w14:paraId="545B1C73" w14:textId="77777777" w:rsidR="00F66311" w:rsidRPr="009562B9" w:rsidRDefault="00F66311" w:rsidP="008105EA">
            <w:pPr>
              <w:jc w:val="both"/>
              <w:rPr>
                <w:rFonts w:ascii="Arial" w:hAnsi="Arial" w:cs="Arial"/>
                <w:sz w:val="20"/>
                <w:szCs w:val="20"/>
              </w:rPr>
            </w:pPr>
            <w:r w:rsidRPr="009562B9">
              <w:rPr>
                <w:rFonts w:ascii="Arial" w:hAnsi="Arial" w:cs="Arial"/>
                <w:sz w:val="20"/>
                <w:szCs w:val="20"/>
              </w:rPr>
              <w:t>Geographic entities</w:t>
            </w:r>
          </w:p>
        </w:tc>
        <w:tc>
          <w:tcPr>
            <w:tcW w:w="928" w:type="dxa"/>
            <w:tcBorders>
              <w:top w:val="single" w:sz="4" w:space="0" w:color="auto"/>
            </w:tcBorders>
            <w:hideMark/>
          </w:tcPr>
          <w:p w14:paraId="465F4669" w14:textId="77777777" w:rsidR="00F66311" w:rsidRPr="009562B9" w:rsidRDefault="00F66311" w:rsidP="008105EA">
            <w:pPr>
              <w:jc w:val="both"/>
              <w:rPr>
                <w:rFonts w:ascii="Arial" w:hAnsi="Arial" w:cs="Arial"/>
                <w:sz w:val="20"/>
                <w:szCs w:val="20"/>
              </w:rPr>
            </w:pPr>
            <w:r w:rsidRPr="009562B9">
              <w:rPr>
                <w:rFonts w:ascii="Arial" w:hAnsi="Arial" w:cs="Arial"/>
                <w:sz w:val="20"/>
                <w:szCs w:val="20"/>
              </w:rPr>
              <w:t>INSTAT</w:t>
            </w:r>
          </w:p>
        </w:tc>
        <w:tc>
          <w:tcPr>
            <w:tcW w:w="1006" w:type="dxa"/>
            <w:tcBorders>
              <w:top w:val="single" w:sz="4" w:space="0" w:color="auto"/>
            </w:tcBorders>
            <w:hideMark/>
          </w:tcPr>
          <w:p w14:paraId="501D13CB" w14:textId="77777777" w:rsidR="00F66311" w:rsidRPr="009562B9" w:rsidRDefault="00F66311" w:rsidP="008105EA">
            <w:pPr>
              <w:jc w:val="both"/>
              <w:rPr>
                <w:rFonts w:ascii="Arial" w:hAnsi="Arial" w:cs="Arial"/>
                <w:sz w:val="20"/>
                <w:szCs w:val="20"/>
              </w:rPr>
            </w:pPr>
            <w:r w:rsidRPr="009562B9">
              <w:rPr>
                <w:rFonts w:ascii="Arial" w:hAnsi="Arial" w:cs="Arial"/>
                <w:sz w:val="20"/>
                <w:szCs w:val="20"/>
              </w:rPr>
              <w:t>2019</w:t>
            </w:r>
          </w:p>
        </w:tc>
        <w:tc>
          <w:tcPr>
            <w:tcW w:w="3456" w:type="dxa"/>
            <w:tcBorders>
              <w:top w:val="single" w:sz="4" w:space="0" w:color="auto"/>
            </w:tcBorders>
            <w:hideMark/>
          </w:tcPr>
          <w:p w14:paraId="068D30EF" w14:textId="77777777" w:rsidR="00F66311" w:rsidRPr="009562B9" w:rsidRDefault="00F66311" w:rsidP="008105EA">
            <w:pPr>
              <w:jc w:val="both"/>
              <w:rPr>
                <w:rFonts w:ascii="Arial" w:hAnsi="Arial" w:cs="Arial"/>
                <w:sz w:val="20"/>
                <w:szCs w:val="20"/>
              </w:rPr>
            </w:pPr>
            <w:r w:rsidRPr="009562B9">
              <w:rPr>
                <w:rFonts w:ascii="Arial" w:hAnsi="Arial" w:cs="Arial"/>
                <w:sz w:val="20"/>
                <w:szCs w:val="20"/>
              </w:rPr>
              <w:t>Commune boundaries, villages, and enumeration section boundaries</w:t>
            </w:r>
          </w:p>
        </w:tc>
      </w:tr>
      <w:tr w:rsidR="009562B9" w:rsidRPr="009562B9" w14:paraId="4D75249E" w14:textId="77777777" w:rsidTr="00EA684B">
        <w:trPr>
          <w:trHeight w:val="630"/>
        </w:trPr>
        <w:tc>
          <w:tcPr>
            <w:tcW w:w="483" w:type="dxa"/>
            <w:hideMark/>
          </w:tcPr>
          <w:p w14:paraId="62754A4E" w14:textId="77777777" w:rsidR="00F66311" w:rsidRPr="009562B9" w:rsidRDefault="00F66311" w:rsidP="008105EA">
            <w:pPr>
              <w:jc w:val="both"/>
              <w:rPr>
                <w:rFonts w:ascii="Arial" w:hAnsi="Arial" w:cs="Arial"/>
                <w:sz w:val="20"/>
                <w:szCs w:val="20"/>
              </w:rPr>
            </w:pPr>
            <w:r w:rsidRPr="009562B9">
              <w:rPr>
                <w:rFonts w:ascii="Arial" w:hAnsi="Arial" w:cs="Arial"/>
                <w:sz w:val="20"/>
                <w:szCs w:val="20"/>
              </w:rPr>
              <w:t>2</w:t>
            </w:r>
          </w:p>
        </w:tc>
        <w:tc>
          <w:tcPr>
            <w:tcW w:w="2551" w:type="dxa"/>
            <w:hideMark/>
          </w:tcPr>
          <w:p w14:paraId="48B0765D" w14:textId="147ECD6B" w:rsidR="00F66311" w:rsidRPr="009562B9" w:rsidRDefault="00F66311" w:rsidP="008105EA">
            <w:pPr>
              <w:jc w:val="both"/>
              <w:rPr>
                <w:rFonts w:ascii="Arial" w:hAnsi="Arial" w:cs="Arial"/>
                <w:sz w:val="20"/>
                <w:szCs w:val="20"/>
              </w:rPr>
            </w:pPr>
            <w:r w:rsidRPr="009562B9">
              <w:rPr>
                <w:rFonts w:ascii="Arial" w:hAnsi="Arial" w:cs="Arial"/>
                <w:sz w:val="20"/>
                <w:szCs w:val="20"/>
              </w:rPr>
              <w:t>Health infrastructure</w:t>
            </w:r>
          </w:p>
        </w:tc>
        <w:tc>
          <w:tcPr>
            <w:tcW w:w="928" w:type="dxa"/>
            <w:hideMark/>
          </w:tcPr>
          <w:p w14:paraId="34B9BA6F" w14:textId="77777777" w:rsidR="00F66311" w:rsidRPr="009562B9" w:rsidRDefault="00F66311" w:rsidP="008105EA">
            <w:pPr>
              <w:jc w:val="both"/>
              <w:rPr>
                <w:rFonts w:ascii="Arial" w:hAnsi="Arial" w:cs="Arial"/>
                <w:sz w:val="20"/>
                <w:szCs w:val="20"/>
              </w:rPr>
            </w:pPr>
            <w:r w:rsidRPr="009562B9">
              <w:rPr>
                <w:rFonts w:ascii="Arial" w:hAnsi="Arial" w:cs="Arial"/>
                <w:sz w:val="20"/>
                <w:szCs w:val="20"/>
              </w:rPr>
              <w:t>INSTAT</w:t>
            </w:r>
          </w:p>
        </w:tc>
        <w:tc>
          <w:tcPr>
            <w:tcW w:w="1006" w:type="dxa"/>
            <w:hideMark/>
          </w:tcPr>
          <w:p w14:paraId="5431F656" w14:textId="77777777" w:rsidR="00F66311" w:rsidRPr="009562B9" w:rsidRDefault="00F66311" w:rsidP="008105EA">
            <w:pPr>
              <w:jc w:val="both"/>
              <w:rPr>
                <w:rFonts w:ascii="Arial" w:hAnsi="Arial" w:cs="Arial"/>
                <w:sz w:val="20"/>
                <w:szCs w:val="20"/>
              </w:rPr>
            </w:pPr>
            <w:r w:rsidRPr="009562B9">
              <w:rPr>
                <w:rFonts w:ascii="Arial" w:hAnsi="Arial" w:cs="Arial"/>
                <w:sz w:val="20"/>
                <w:szCs w:val="20"/>
              </w:rPr>
              <w:t>2019</w:t>
            </w:r>
          </w:p>
        </w:tc>
        <w:tc>
          <w:tcPr>
            <w:tcW w:w="3456" w:type="dxa"/>
            <w:hideMark/>
          </w:tcPr>
          <w:p w14:paraId="1BC41C0F" w14:textId="77777777" w:rsidR="00F66311" w:rsidRPr="009562B9" w:rsidRDefault="00F66311" w:rsidP="008105EA">
            <w:pPr>
              <w:jc w:val="both"/>
              <w:rPr>
                <w:rFonts w:ascii="Arial" w:hAnsi="Arial" w:cs="Arial"/>
                <w:sz w:val="20"/>
                <w:szCs w:val="20"/>
              </w:rPr>
            </w:pPr>
            <w:r w:rsidRPr="009562B9">
              <w:rPr>
                <w:rFonts w:ascii="Arial" w:hAnsi="Arial" w:cs="Arial"/>
                <w:sz w:val="20"/>
                <w:szCs w:val="20"/>
              </w:rPr>
              <w:t>Georeferenced infrastructure points</w:t>
            </w:r>
          </w:p>
        </w:tc>
      </w:tr>
      <w:tr w:rsidR="009562B9" w:rsidRPr="009562B9" w14:paraId="5CB08900" w14:textId="77777777" w:rsidTr="00EA684B">
        <w:trPr>
          <w:trHeight w:val="630"/>
        </w:trPr>
        <w:tc>
          <w:tcPr>
            <w:tcW w:w="483" w:type="dxa"/>
            <w:hideMark/>
          </w:tcPr>
          <w:p w14:paraId="220AB1F1" w14:textId="77777777" w:rsidR="00F66311" w:rsidRPr="009562B9" w:rsidRDefault="00F66311" w:rsidP="008105EA">
            <w:pPr>
              <w:jc w:val="both"/>
              <w:rPr>
                <w:rFonts w:ascii="Arial" w:hAnsi="Arial" w:cs="Arial"/>
                <w:sz w:val="20"/>
                <w:szCs w:val="20"/>
              </w:rPr>
            </w:pPr>
            <w:r w:rsidRPr="009562B9">
              <w:rPr>
                <w:rFonts w:ascii="Arial" w:hAnsi="Arial" w:cs="Arial"/>
                <w:sz w:val="20"/>
                <w:szCs w:val="20"/>
              </w:rPr>
              <w:t>3</w:t>
            </w:r>
          </w:p>
        </w:tc>
        <w:tc>
          <w:tcPr>
            <w:tcW w:w="2551" w:type="dxa"/>
            <w:hideMark/>
          </w:tcPr>
          <w:p w14:paraId="0F593DA6" w14:textId="77777777" w:rsidR="00F66311" w:rsidRPr="009562B9" w:rsidRDefault="00F66311" w:rsidP="008105EA">
            <w:pPr>
              <w:jc w:val="both"/>
              <w:rPr>
                <w:rFonts w:ascii="Arial" w:hAnsi="Arial" w:cs="Arial"/>
                <w:sz w:val="20"/>
                <w:szCs w:val="20"/>
              </w:rPr>
            </w:pPr>
            <w:r w:rsidRPr="009562B9">
              <w:rPr>
                <w:rFonts w:ascii="Arial" w:hAnsi="Arial" w:cs="Arial"/>
                <w:sz w:val="20"/>
                <w:szCs w:val="20"/>
              </w:rPr>
              <w:t>Access roads</w:t>
            </w:r>
          </w:p>
        </w:tc>
        <w:tc>
          <w:tcPr>
            <w:tcW w:w="928" w:type="dxa"/>
            <w:hideMark/>
          </w:tcPr>
          <w:p w14:paraId="6D9ECDA3" w14:textId="77777777" w:rsidR="00F66311" w:rsidRPr="009562B9" w:rsidRDefault="00F66311" w:rsidP="008105EA">
            <w:pPr>
              <w:jc w:val="both"/>
              <w:rPr>
                <w:rFonts w:ascii="Arial" w:hAnsi="Arial" w:cs="Arial"/>
                <w:sz w:val="20"/>
                <w:szCs w:val="20"/>
              </w:rPr>
            </w:pPr>
            <w:r w:rsidRPr="009562B9">
              <w:rPr>
                <w:rFonts w:ascii="Arial" w:hAnsi="Arial" w:cs="Arial"/>
                <w:sz w:val="20"/>
                <w:szCs w:val="20"/>
              </w:rPr>
              <w:t>INSTAT</w:t>
            </w:r>
          </w:p>
        </w:tc>
        <w:tc>
          <w:tcPr>
            <w:tcW w:w="1006" w:type="dxa"/>
            <w:hideMark/>
          </w:tcPr>
          <w:p w14:paraId="0043D93C" w14:textId="77777777" w:rsidR="00F66311" w:rsidRPr="009562B9" w:rsidRDefault="00F66311" w:rsidP="008105EA">
            <w:pPr>
              <w:jc w:val="both"/>
              <w:rPr>
                <w:rFonts w:ascii="Arial" w:hAnsi="Arial" w:cs="Arial"/>
                <w:sz w:val="20"/>
                <w:szCs w:val="20"/>
              </w:rPr>
            </w:pPr>
            <w:r w:rsidRPr="009562B9">
              <w:rPr>
                <w:rFonts w:ascii="Arial" w:hAnsi="Arial" w:cs="Arial"/>
                <w:sz w:val="20"/>
                <w:szCs w:val="20"/>
              </w:rPr>
              <w:t>2019</w:t>
            </w:r>
          </w:p>
        </w:tc>
        <w:tc>
          <w:tcPr>
            <w:tcW w:w="3456" w:type="dxa"/>
            <w:hideMark/>
          </w:tcPr>
          <w:p w14:paraId="45F17F61" w14:textId="77777777" w:rsidR="00F66311" w:rsidRPr="009562B9" w:rsidRDefault="00F66311" w:rsidP="008105EA">
            <w:pPr>
              <w:jc w:val="both"/>
              <w:rPr>
                <w:rFonts w:ascii="Arial" w:hAnsi="Arial" w:cs="Arial"/>
                <w:sz w:val="20"/>
                <w:szCs w:val="20"/>
              </w:rPr>
            </w:pPr>
            <w:r w:rsidRPr="009562B9">
              <w:rPr>
                <w:rFonts w:ascii="Arial" w:hAnsi="Arial" w:cs="Arial"/>
                <w:sz w:val="20"/>
                <w:szCs w:val="20"/>
              </w:rPr>
              <w:t>Road network and access routes</w:t>
            </w:r>
          </w:p>
        </w:tc>
      </w:tr>
      <w:tr w:rsidR="009562B9" w:rsidRPr="009562B9" w14:paraId="4B3FD455" w14:textId="77777777" w:rsidTr="00EA684B">
        <w:tc>
          <w:tcPr>
            <w:tcW w:w="483" w:type="dxa"/>
            <w:hideMark/>
          </w:tcPr>
          <w:p w14:paraId="7B84A847" w14:textId="77777777" w:rsidR="00F66311" w:rsidRPr="009562B9" w:rsidRDefault="00F66311" w:rsidP="008105EA">
            <w:pPr>
              <w:jc w:val="both"/>
              <w:rPr>
                <w:rFonts w:ascii="Arial" w:hAnsi="Arial" w:cs="Arial"/>
                <w:sz w:val="20"/>
                <w:szCs w:val="20"/>
              </w:rPr>
            </w:pPr>
            <w:r w:rsidRPr="009562B9">
              <w:rPr>
                <w:rFonts w:ascii="Arial" w:hAnsi="Arial" w:cs="Arial"/>
                <w:sz w:val="20"/>
                <w:szCs w:val="20"/>
              </w:rPr>
              <w:t>4</w:t>
            </w:r>
          </w:p>
        </w:tc>
        <w:tc>
          <w:tcPr>
            <w:tcW w:w="2551" w:type="dxa"/>
            <w:hideMark/>
          </w:tcPr>
          <w:p w14:paraId="2B389F7C" w14:textId="77777777" w:rsidR="00F66311" w:rsidRPr="009562B9" w:rsidRDefault="00F66311" w:rsidP="008105EA">
            <w:pPr>
              <w:jc w:val="both"/>
              <w:rPr>
                <w:rFonts w:ascii="Arial" w:hAnsi="Arial" w:cs="Arial"/>
                <w:sz w:val="20"/>
                <w:szCs w:val="20"/>
              </w:rPr>
            </w:pPr>
            <w:r w:rsidRPr="009562B9">
              <w:rPr>
                <w:rFonts w:ascii="Arial" w:hAnsi="Arial" w:cs="Arial"/>
                <w:sz w:val="20"/>
                <w:szCs w:val="20"/>
              </w:rPr>
              <w:t>Population of localities</w:t>
            </w:r>
          </w:p>
        </w:tc>
        <w:tc>
          <w:tcPr>
            <w:tcW w:w="928" w:type="dxa"/>
            <w:hideMark/>
          </w:tcPr>
          <w:p w14:paraId="364B1CE8" w14:textId="77777777" w:rsidR="00F66311" w:rsidRPr="009562B9" w:rsidRDefault="00F66311" w:rsidP="008105EA">
            <w:pPr>
              <w:jc w:val="both"/>
              <w:rPr>
                <w:rFonts w:ascii="Arial" w:hAnsi="Arial" w:cs="Arial"/>
                <w:sz w:val="20"/>
                <w:szCs w:val="20"/>
              </w:rPr>
            </w:pPr>
            <w:r w:rsidRPr="009562B9">
              <w:rPr>
                <w:rFonts w:ascii="Arial" w:hAnsi="Arial" w:cs="Arial"/>
                <w:sz w:val="20"/>
                <w:szCs w:val="20"/>
              </w:rPr>
              <w:t>INSTAT</w:t>
            </w:r>
          </w:p>
        </w:tc>
        <w:tc>
          <w:tcPr>
            <w:tcW w:w="1006" w:type="dxa"/>
            <w:hideMark/>
          </w:tcPr>
          <w:p w14:paraId="7AA0C758" w14:textId="77777777" w:rsidR="00F66311" w:rsidRPr="009562B9" w:rsidRDefault="00F66311" w:rsidP="008105EA">
            <w:pPr>
              <w:jc w:val="both"/>
              <w:rPr>
                <w:rFonts w:ascii="Arial" w:hAnsi="Arial" w:cs="Arial"/>
                <w:sz w:val="20"/>
                <w:szCs w:val="20"/>
              </w:rPr>
            </w:pPr>
            <w:r w:rsidRPr="009562B9">
              <w:rPr>
                <w:rFonts w:ascii="Arial" w:hAnsi="Arial" w:cs="Arial"/>
                <w:sz w:val="20"/>
                <w:szCs w:val="20"/>
              </w:rPr>
              <w:t>2022</w:t>
            </w:r>
          </w:p>
        </w:tc>
        <w:tc>
          <w:tcPr>
            <w:tcW w:w="3456" w:type="dxa"/>
            <w:hideMark/>
          </w:tcPr>
          <w:p w14:paraId="050C7DB9" w14:textId="77777777" w:rsidR="00F66311" w:rsidRPr="009562B9" w:rsidRDefault="00F66311" w:rsidP="008105EA">
            <w:pPr>
              <w:jc w:val="both"/>
              <w:rPr>
                <w:rFonts w:ascii="Arial" w:hAnsi="Arial" w:cs="Arial"/>
                <w:sz w:val="20"/>
                <w:szCs w:val="20"/>
              </w:rPr>
            </w:pPr>
            <w:r w:rsidRPr="009562B9">
              <w:rPr>
                <w:rFonts w:ascii="Arial" w:hAnsi="Arial" w:cs="Arial"/>
                <w:sz w:val="20"/>
                <w:szCs w:val="20"/>
              </w:rPr>
              <w:t>Spatial distribution of population from the census</w:t>
            </w:r>
          </w:p>
        </w:tc>
      </w:tr>
      <w:tr w:rsidR="00DC0994" w:rsidRPr="009562B9" w14:paraId="3322938E" w14:textId="77777777" w:rsidTr="00EA684B">
        <w:tc>
          <w:tcPr>
            <w:tcW w:w="483" w:type="dxa"/>
            <w:hideMark/>
          </w:tcPr>
          <w:p w14:paraId="6AC1AE92" w14:textId="77777777" w:rsidR="00F66311" w:rsidRPr="009562B9" w:rsidRDefault="00F66311" w:rsidP="008105EA">
            <w:pPr>
              <w:jc w:val="both"/>
              <w:rPr>
                <w:rFonts w:ascii="Arial" w:hAnsi="Arial" w:cs="Arial"/>
                <w:sz w:val="20"/>
                <w:szCs w:val="20"/>
              </w:rPr>
            </w:pPr>
            <w:r w:rsidRPr="009562B9">
              <w:rPr>
                <w:rFonts w:ascii="Arial" w:hAnsi="Arial" w:cs="Arial"/>
                <w:sz w:val="20"/>
                <w:szCs w:val="20"/>
              </w:rPr>
              <w:t>5</w:t>
            </w:r>
          </w:p>
        </w:tc>
        <w:tc>
          <w:tcPr>
            <w:tcW w:w="2551" w:type="dxa"/>
            <w:hideMark/>
          </w:tcPr>
          <w:p w14:paraId="2353143F" w14:textId="77777777" w:rsidR="00F66311" w:rsidRPr="009562B9" w:rsidRDefault="00F66311" w:rsidP="008105EA">
            <w:pPr>
              <w:jc w:val="both"/>
              <w:rPr>
                <w:rFonts w:ascii="Arial" w:hAnsi="Arial" w:cs="Arial"/>
                <w:sz w:val="20"/>
                <w:szCs w:val="20"/>
              </w:rPr>
            </w:pPr>
            <w:r w:rsidRPr="009562B9">
              <w:rPr>
                <w:rFonts w:ascii="Arial" w:hAnsi="Arial" w:cs="Arial"/>
                <w:sz w:val="20"/>
                <w:szCs w:val="20"/>
              </w:rPr>
              <w:t>Relief</w:t>
            </w:r>
          </w:p>
        </w:tc>
        <w:tc>
          <w:tcPr>
            <w:tcW w:w="928" w:type="dxa"/>
            <w:hideMark/>
          </w:tcPr>
          <w:p w14:paraId="453C7C5E" w14:textId="77777777" w:rsidR="00F66311" w:rsidRPr="009562B9" w:rsidRDefault="00F66311" w:rsidP="008105EA">
            <w:pPr>
              <w:jc w:val="both"/>
              <w:rPr>
                <w:rFonts w:ascii="Arial" w:hAnsi="Arial" w:cs="Arial"/>
                <w:sz w:val="20"/>
                <w:szCs w:val="20"/>
              </w:rPr>
            </w:pPr>
            <w:r w:rsidRPr="009562B9">
              <w:rPr>
                <w:rFonts w:ascii="Arial" w:hAnsi="Arial" w:cs="Arial"/>
                <w:sz w:val="20"/>
                <w:szCs w:val="20"/>
              </w:rPr>
              <w:t>INSTAT</w:t>
            </w:r>
          </w:p>
        </w:tc>
        <w:tc>
          <w:tcPr>
            <w:tcW w:w="1006" w:type="dxa"/>
            <w:hideMark/>
          </w:tcPr>
          <w:p w14:paraId="3C7C06ED" w14:textId="77777777" w:rsidR="00F66311" w:rsidRPr="009562B9" w:rsidRDefault="00F66311" w:rsidP="008105EA">
            <w:pPr>
              <w:jc w:val="both"/>
              <w:rPr>
                <w:rFonts w:ascii="Arial" w:hAnsi="Arial" w:cs="Arial"/>
                <w:sz w:val="20"/>
                <w:szCs w:val="20"/>
              </w:rPr>
            </w:pPr>
            <w:r w:rsidRPr="009562B9">
              <w:rPr>
                <w:rFonts w:ascii="Arial" w:hAnsi="Arial" w:cs="Arial"/>
                <w:sz w:val="20"/>
                <w:szCs w:val="20"/>
              </w:rPr>
              <w:t>2022</w:t>
            </w:r>
          </w:p>
        </w:tc>
        <w:tc>
          <w:tcPr>
            <w:tcW w:w="3456" w:type="dxa"/>
            <w:hideMark/>
          </w:tcPr>
          <w:p w14:paraId="7D2297B2" w14:textId="77777777" w:rsidR="00F66311" w:rsidRPr="009562B9" w:rsidRDefault="00F66311" w:rsidP="008105EA">
            <w:pPr>
              <w:jc w:val="both"/>
              <w:rPr>
                <w:rFonts w:ascii="Arial" w:hAnsi="Arial" w:cs="Arial"/>
                <w:sz w:val="20"/>
                <w:szCs w:val="20"/>
              </w:rPr>
            </w:pPr>
            <w:r w:rsidRPr="009562B9">
              <w:rPr>
                <w:rFonts w:ascii="Arial" w:hAnsi="Arial" w:cs="Arial"/>
                <w:sz w:val="20"/>
                <w:szCs w:val="20"/>
              </w:rPr>
              <w:t>Distribution of elevation</w:t>
            </w:r>
          </w:p>
        </w:tc>
      </w:tr>
    </w:tbl>
    <w:p w14:paraId="50838D38" w14:textId="77777777" w:rsidR="00F66311" w:rsidRPr="009562B9" w:rsidRDefault="00F66311" w:rsidP="00DC0994">
      <w:pPr>
        <w:jc w:val="both"/>
        <w:rPr>
          <w:rFonts w:ascii="Arial" w:hAnsi="Arial" w:cs="Arial"/>
        </w:rPr>
      </w:pPr>
    </w:p>
    <w:p w14:paraId="61CD86FE" w14:textId="1F5A850C" w:rsidR="00F66311" w:rsidRPr="009562B9" w:rsidRDefault="00F66311" w:rsidP="00F66311">
      <w:pPr>
        <w:pStyle w:val="Body"/>
        <w:rPr>
          <w:rFonts w:ascii="Arial" w:hAnsi="Arial" w:cs="Arial"/>
        </w:rPr>
      </w:pPr>
      <w:r w:rsidRPr="009562B9">
        <w:rPr>
          <w:rFonts w:ascii="Arial" w:hAnsi="Arial" w:cs="Arial"/>
        </w:rPr>
        <w:t xml:space="preserve">These datasets were integrated into a GIS environment using QGIS software, allowing management, visualization, and spatial analysis of information. </w:t>
      </w:r>
      <w:r w:rsidR="006C14EF" w:rsidRPr="009562B9">
        <w:rPr>
          <w:rFonts w:ascii="Arial" w:hAnsi="Arial" w:cs="Arial"/>
        </w:rPr>
        <w:t>GIS</w:t>
      </w:r>
      <w:r w:rsidRPr="009562B9">
        <w:rPr>
          <w:rFonts w:ascii="Arial" w:hAnsi="Arial" w:cs="Arial"/>
        </w:rPr>
        <w:t xml:space="preserve"> play</w:t>
      </w:r>
      <w:r w:rsidR="006C14EF" w:rsidRPr="009562B9">
        <w:rPr>
          <w:rFonts w:ascii="Arial" w:hAnsi="Arial" w:cs="Arial"/>
        </w:rPr>
        <w:t>s</w:t>
      </w:r>
      <w:r w:rsidRPr="009562B9">
        <w:rPr>
          <w:rFonts w:ascii="Arial" w:hAnsi="Arial" w:cs="Arial"/>
        </w:rPr>
        <w:t xml:space="preserve"> a key role in structuring and representing spatial data, offering powerful tools for territorial modeling and decision-making. The integration of census and geospatial data enables the analysis of service accessibility, identification of territorial disparities, and informed planning of infrastructure and social services.</w:t>
      </w:r>
    </w:p>
    <w:p w14:paraId="3A20FDF8" w14:textId="77777777" w:rsidR="00277CAE" w:rsidRPr="009562B9" w:rsidRDefault="00277CAE" w:rsidP="00277CAE">
      <w:pPr>
        <w:spacing w:before="100" w:beforeAutospacing="1" w:after="100" w:afterAutospacing="1"/>
        <w:jc w:val="both"/>
        <w:rPr>
          <w:rFonts w:ascii="Arial" w:hAnsi="Arial" w:cs="Arial"/>
          <w:b/>
          <w:u w:val="single"/>
        </w:rPr>
      </w:pPr>
      <w:r w:rsidRPr="009562B9">
        <w:rPr>
          <w:rFonts w:ascii="Arial" w:hAnsi="Arial" w:cs="Arial"/>
          <w:b/>
          <w:u w:val="single"/>
        </w:rPr>
        <w:t xml:space="preserve">2.2.1 </w:t>
      </w:r>
      <w:r w:rsidR="00F66311" w:rsidRPr="009562B9">
        <w:rPr>
          <w:rFonts w:ascii="Arial" w:hAnsi="Arial" w:cs="Arial"/>
          <w:b/>
          <w:u w:val="single"/>
        </w:rPr>
        <w:t>Data preprocessing</w:t>
      </w:r>
    </w:p>
    <w:p w14:paraId="4EBD11E2" w14:textId="6B4E4364" w:rsidR="00F66311" w:rsidRPr="009562B9" w:rsidRDefault="00103CE9" w:rsidP="00277CAE">
      <w:pPr>
        <w:spacing w:before="100" w:beforeAutospacing="1" w:after="100" w:afterAutospacing="1"/>
        <w:jc w:val="both"/>
        <w:rPr>
          <w:rFonts w:ascii="Arial" w:hAnsi="Arial" w:cs="Arial"/>
        </w:rPr>
      </w:pPr>
      <w:r w:rsidRPr="009562B9">
        <w:rPr>
          <w:rFonts w:ascii="Arial" w:hAnsi="Arial" w:cs="Arial"/>
        </w:rPr>
        <w:t xml:space="preserve">Before conducting spatial analyses, all datasets underwent careful preprocessing to ensure accuracy, consistency, and reliability. This process involved correcting topological errors, such as gaps between adjacent boundaries, overlapping polygons, and disconnected road segments, which could otherwise distort distance calculations and population coverage. Duplicate features, which may occur during data collection or digitization, were identified and </w:t>
      </w:r>
      <w:r w:rsidRPr="009562B9">
        <w:rPr>
          <w:rFonts w:ascii="Arial" w:hAnsi="Arial" w:cs="Arial"/>
        </w:rPr>
        <w:lastRenderedPageBreak/>
        <w:t>removed to prevent overestimation of service availability and avoid statistical bias. In addition, all spatial layers were harmonized to a common coordinate reference system (WGS 84 / UTM Zone 29) to ensure correct alignment and accurate measurement of distances, areas, and spatial relationships. These preprocessing steps are critical because the quality of input data directly influences the accuracy of GIS analyses and accessibility modeling. By addressing errors, eliminating inconsistencies, and standardizing projections, the datasets became reliable and ready for detailed spatial modeling, enabling precise calculations of distances to infrastructure, identification of underserved areas, and the generation of meaningful thematic maps for local planning and decision-making</w:t>
      </w:r>
      <w:r w:rsidR="00F66311" w:rsidRPr="009562B9">
        <w:rPr>
          <w:rFonts w:ascii="Arial" w:hAnsi="Arial" w:cs="Arial"/>
        </w:rPr>
        <w:t>.</w:t>
      </w:r>
    </w:p>
    <w:p w14:paraId="0B962A13" w14:textId="77777777" w:rsidR="00B96964" w:rsidRPr="009562B9" w:rsidRDefault="002A1DD2" w:rsidP="00F66311">
      <w:pPr>
        <w:spacing w:before="100" w:beforeAutospacing="1" w:after="100" w:afterAutospacing="1"/>
        <w:rPr>
          <w:rFonts w:ascii="Arial" w:hAnsi="Arial" w:cs="Arial"/>
          <w:b/>
          <w:u w:val="single"/>
        </w:rPr>
      </w:pPr>
      <w:r w:rsidRPr="009562B9">
        <w:rPr>
          <w:rFonts w:ascii="Arial" w:hAnsi="Arial" w:cs="Arial"/>
          <w:b/>
          <w:u w:val="single"/>
        </w:rPr>
        <w:t>2.2.2</w:t>
      </w:r>
      <w:r w:rsidR="00F66311" w:rsidRPr="009562B9">
        <w:rPr>
          <w:rFonts w:ascii="Arial" w:hAnsi="Arial" w:cs="Arial"/>
          <w:b/>
          <w:u w:val="single"/>
        </w:rPr>
        <w:t xml:space="preserve"> Geocoding of infrastructures</w:t>
      </w:r>
    </w:p>
    <w:p w14:paraId="4663E47E" w14:textId="7682A1A2" w:rsidR="00F66311" w:rsidRPr="009562B9" w:rsidRDefault="005964E5" w:rsidP="004E74C3">
      <w:pPr>
        <w:spacing w:before="100" w:beforeAutospacing="1" w:after="100" w:afterAutospacing="1"/>
        <w:jc w:val="both"/>
        <w:rPr>
          <w:rFonts w:ascii="Arial" w:hAnsi="Arial" w:cs="Arial"/>
        </w:rPr>
      </w:pPr>
      <w:r w:rsidRPr="009562B9">
        <w:rPr>
          <w:rFonts w:ascii="Arial" w:hAnsi="Arial" w:cs="Arial"/>
        </w:rPr>
        <w:t xml:space="preserve">Geocoding is the process of converting descriptive location information of infrastructure into precise geographic coordinates for use in a GIS environment. In this study, each health center was geocoded using field GPS surveys, high-resolution satellite imagery, and the Malian geocoding system, which includes administrative identifiers such as region, </w:t>
      </w:r>
      <w:proofErr w:type="spellStart"/>
      <w:r w:rsidRPr="009562B9">
        <w:rPr>
          <w:rFonts w:ascii="Arial" w:hAnsi="Arial" w:cs="Arial"/>
        </w:rPr>
        <w:t>cercle</w:t>
      </w:r>
      <w:proofErr w:type="spellEnd"/>
      <w:r w:rsidRPr="009562B9">
        <w:rPr>
          <w:rFonts w:ascii="Arial" w:hAnsi="Arial" w:cs="Arial"/>
        </w:rPr>
        <w:t>, commune, and locality codes, in addition to longitude and latitude coordinates. This system ensures that every infrastructure point is uniquely identified and accurately located within the administrative hierarchy of Mali. Once geocoded, the infrastructure points were integrated into the GIS database, enabling spatial analysis relative to population settlements, road networks, and other layers. This process supports accessibility modeling, allows for the verification and updating of infrastructure inventories, and provides reliable data to assist local authorities in planning interventions and allocating resources effectively.</w:t>
      </w:r>
    </w:p>
    <w:p w14:paraId="01C343CF" w14:textId="77777777" w:rsidR="00E85D87" w:rsidRPr="009562B9" w:rsidRDefault="00D87B6B" w:rsidP="00E85D87">
      <w:pPr>
        <w:spacing w:before="100" w:beforeAutospacing="1" w:after="100" w:afterAutospacing="1"/>
        <w:jc w:val="both"/>
        <w:rPr>
          <w:rFonts w:ascii="Arial" w:hAnsi="Arial" w:cs="Arial"/>
          <w:b/>
          <w:u w:val="single"/>
        </w:rPr>
      </w:pPr>
      <w:r w:rsidRPr="009562B9">
        <w:rPr>
          <w:rFonts w:ascii="Arial" w:hAnsi="Arial" w:cs="Arial"/>
          <w:b/>
          <w:u w:val="single"/>
        </w:rPr>
        <w:t>2.2.3</w:t>
      </w:r>
      <w:r w:rsidR="00F66311" w:rsidRPr="009562B9">
        <w:rPr>
          <w:rFonts w:ascii="Arial" w:hAnsi="Arial" w:cs="Arial"/>
          <w:b/>
          <w:u w:val="single"/>
        </w:rPr>
        <w:t xml:space="preserve"> Euclidean distance and network-based distance calculations</w:t>
      </w:r>
    </w:p>
    <w:p w14:paraId="7EB14E8A" w14:textId="77777777" w:rsidR="00E85D87" w:rsidRPr="009562B9" w:rsidRDefault="00E85D87" w:rsidP="00E85D87">
      <w:pPr>
        <w:spacing w:before="100" w:beforeAutospacing="1" w:after="100" w:afterAutospacing="1"/>
        <w:jc w:val="both"/>
        <w:rPr>
          <w:rFonts w:ascii="Arial" w:hAnsi="Arial" w:cs="Arial"/>
        </w:rPr>
      </w:pPr>
      <w:r w:rsidRPr="009562B9">
        <w:rPr>
          <w:rFonts w:ascii="Arial" w:hAnsi="Arial" w:cs="Arial"/>
        </w:rPr>
        <w:t>Accessibility from residential areas to infrastructures was assessed using two complementary methods to provide a thorough understanding of service reach and potential constraints.</w:t>
      </w:r>
    </w:p>
    <w:p w14:paraId="5C5B9541" w14:textId="18E77515" w:rsidR="00E85D87" w:rsidRPr="009562B9" w:rsidRDefault="00E85D87" w:rsidP="00E85D87">
      <w:pPr>
        <w:pStyle w:val="ListParagraph"/>
        <w:numPr>
          <w:ilvl w:val="0"/>
          <w:numId w:val="34"/>
        </w:numPr>
        <w:spacing w:before="100" w:beforeAutospacing="1" w:after="100" w:afterAutospacing="1"/>
        <w:jc w:val="both"/>
        <w:rPr>
          <w:rFonts w:ascii="Times New Roman" w:hAnsi="Times New Roman"/>
          <w:sz w:val="24"/>
          <w:szCs w:val="24"/>
          <w:lang w:eastAsia="zh-CN"/>
        </w:rPr>
      </w:pPr>
      <w:r w:rsidRPr="009562B9">
        <w:rPr>
          <w:rFonts w:ascii="Arial" w:hAnsi="Arial" w:cs="Arial"/>
          <w:b/>
          <w:bCs/>
        </w:rPr>
        <w:t xml:space="preserve">Euclidean distance: </w:t>
      </w:r>
      <w:r w:rsidRPr="009562B9">
        <w:rPr>
          <w:rFonts w:ascii="Arial" w:hAnsi="Arial" w:cs="Arial"/>
        </w:rPr>
        <w:t xml:space="preserve">This method calculates the straight-line distance between each residential point </w:t>
      </w:r>
      <w:r w:rsidRPr="009562B9">
        <w:rPr>
          <w:rFonts w:ascii="Cambria Math" w:hAnsi="Cambria Math" w:cs="Cambria Math"/>
        </w:rPr>
        <w:t>𝑖</w:t>
      </w:r>
      <w:r w:rsidRPr="009562B9">
        <w:rPr>
          <w:rFonts w:ascii="Arial" w:hAnsi="Arial" w:cs="Arial"/>
        </w:rPr>
        <w:t xml:space="preserve"> and infrastructure point </w:t>
      </w:r>
      <w:r w:rsidRPr="009562B9">
        <w:rPr>
          <w:rFonts w:ascii="Cambria Math" w:hAnsi="Cambria Math" w:cs="Cambria Math"/>
        </w:rPr>
        <w:t>𝑗</w:t>
      </w:r>
      <w:r w:rsidRPr="009562B9">
        <w:rPr>
          <w:rFonts w:ascii="Arial" w:hAnsi="Arial" w:cs="Arial"/>
        </w:rPr>
        <w:t xml:space="preserve">, using the </w:t>
      </w:r>
      <w:r w:rsidR="00392DD5" w:rsidRPr="009562B9">
        <w:rPr>
          <w:rFonts w:ascii="Arial" w:hAnsi="Arial" w:cs="Arial"/>
        </w:rPr>
        <w:t>following equation</w:t>
      </w:r>
      <w:r w:rsidRPr="009562B9">
        <w:rPr>
          <w:rFonts w:ascii="Arial" w:hAnsi="Arial" w:cs="Arial"/>
        </w:rPr>
        <w:t>:</w:t>
      </w:r>
    </w:p>
    <w:p w14:paraId="2AA0B057" w14:textId="77777777" w:rsidR="00E85D87" w:rsidRPr="009562B9" w:rsidRDefault="00E85D87" w:rsidP="00E85D87">
      <w:pPr>
        <w:pStyle w:val="ListParagraph"/>
        <w:spacing w:before="100" w:beforeAutospacing="1" w:after="100" w:afterAutospacing="1"/>
        <w:jc w:val="both"/>
        <w:rPr>
          <w:rFonts w:ascii="Times New Roman" w:hAnsi="Times New Roman"/>
          <w:sz w:val="24"/>
          <w:szCs w:val="24"/>
          <w:lang w:eastAsia="zh-CN"/>
        </w:rPr>
      </w:pPr>
    </w:p>
    <w:p w14:paraId="3086E330" w14:textId="77777777" w:rsidR="00E85D87" w:rsidRPr="009562B9" w:rsidRDefault="001816A6" w:rsidP="00E85D87">
      <w:pPr>
        <w:pStyle w:val="ListParagraph"/>
        <w:spacing w:before="100" w:beforeAutospacing="1" w:after="100" w:afterAutospacing="1"/>
        <w:jc w:val="both"/>
        <w:rPr>
          <w:rFonts w:ascii="Cambria Math" w:hAnsi="Cambria Math"/>
          <w:sz w:val="24"/>
          <w:szCs w:val="24"/>
          <w:lang w:eastAsia="zh-CN"/>
        </w:rPr>
      </w:pPr>
      <m:oMathPara>
        <m:oMath>
          <m:sSub>
            <m:sSubPr>
              <m:ctrlPr>
                <w:rPr>
                  <w:rFonts w:ascii="Cambria Math" w:hAnsi="Cambria Math" w:cs="Arial"/>
                </w:rPr>
              </m:ctrlPr>
            </m:sSubPr>
            <m:e>
              <m:r>
                <w:rPr>
                  <w:rFonts w:ascii="Cambria Math" w:hAnsi="Cambria Math" w:cs="Arial"/>
                </w:rPr>
                <m:t>D</m:t>
              </m:r>
            </m:e>
            <m:sub>
              <m:r>
                <w:rPr>
                  <w:rFonts w:ascii="Cambria Math" w:hAnsi="Cambria Math" w:cs="Arial"/>
                </w:rPr>
                <m:t>i</m:t>
              </m:r>
            </m:sub>
          </m:sSub>
          <m:r>
            <m:rPr>
              <m:sty m:val="p"/>
            </m:rPr>
            <w:rPr>
              <w:rFonts w:ascii="Cambria Math" w:hAnsi="Cambria Math" w:cs="Arial"/>
            </w:rPr>
            <m:t>=</m:t>
          </m:r>
          <m:r>
            <m:rPr>
              <m:sty m:val="p"/>
            </m:rPr>
            <w:rPr>
              <w:rFonts w:ascii="Cambria Math" w:hAnsi="Cambria Math"/>
              <w:sz w:val="24"/>
              <w:szCs w:val="24"/>
              <w:lang w:eastAsia="zh-CN"/>
            </w:rPr>
            <m:t>min</m:t>
          </m:r>
          <m:r>
            <w:rPr>
              <w:rFonts w:ascii="Cambria Math" w:hAnsi="Cambria Math"/>
              <w:sz w:val="24"/>
              <w:szCs w:val="24"/>
              <w:lang w:eastAsia="zh-CN"/>
            </w:rPr>
            <m:t>⁡</m:t>
          </m:r>
          <m:rad>
            <m:radPr>
              <m:degHide m:val="1"/>
              <m:ctrlPr>
                <w:rPr>
                  <w:rFonts w:ascii="Cambria Math" w:hAnsi="Cambria Math"/>
                  <w:sz w:val="24"/>
                  <w:szCs w:val="24"/>
                  <w:lang w:eastAsia="zh-CN"/>
                </w:rPr>
              </m:ctrlPr>
            </m:radPr>
            <m:deg/>
            <m:e>
              <m:d>
                <m:dPr>
                  <m:endChr m:val=""/>
                  <m:ctrlPr>
                    <w:rPr>
                      <w:rFonts w:ascii="Cambria Math" w:hAnsi="Cambria Math"/>
                      <w:sz w:val="24"/>
                      <w:szCs w:val="24"/>
                      <w:lang w:eastAsia="zh-CN"/>
                    </w:rPr>
                  </m:ctrlPr>
                </m:dPr>
                <m:e>
                  <m:sSub>
                    <m:sSubPr>
                      <m:ctrlPr>
                        <w:rPr>
                          <w:rFonts w:ascii="Cambria Math" w:hAnsi="Cambria Math"/>
                          <w:sz w:val="24"/>
                          <w:szCs w:val="24"/>
                          <w:lang w:eastAsia="zh-CN"/>
                        </w:rPr>
                      </m:ctrlPr>
                    </m:sSubPr>
                    <m:e>
                      <m:r>
                        <w:rPr>
                          <w:rFonts w:ascii="Cambria Math" w:hAnsi="Cambria Math"/>
                          <w:sz w:val="24"/>
                          <w:szCs w:val="24"/>
                          <w:lang w:eastAsia="zh-CN"/>
                        </w:rPr>
                        <m:t>x</m:t>
                      </m:r>
                    </m:e>
                    <m:sub>
                      <m:r>
                        <w:rPr>
                          <w:rFonts w:ascii="Cambria Math" w:hAnsi="Cambria Math"/>
                          <w:sz w:val="24"/>
                          <w:szCs w:val="24"/>
                          <w:lang w:eastAsia="zh-CN"/>
                        </w:rPr>
                        <m:t>i</m:t>
                      </m:r>
                    </m:sub>
                  </m:sSub>
                  <m: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x</m:t>
                      </m:r>
                    </m:e>
                    <m:sub>
                      <m:r>
                        <w:rPr>
                          <w:rFonts w:ascii="Cambria Math" w:hAnsi="Cambria Math"/>
                          <w:sz w:val="24"/>
                          <w:szCs w:val="24"/>
                          <w:lang w:eastAsia="zh-CN"/>
                        </w:rPr>
                        <m:t>j</m:t>
                      </m:r>
                    </m:sub>
                  </m:sSub>
                  <m:sSup>
                    <m:sSupPr>
                      <m:ctrlPr>
                        <w:rPr>
                          <w:rFonts w:ascii="Cambria Math" w:hAnsi="Cambria Math"/>
                          <w:sz w:val="24"/>
                          <w:szCs w:val="24"/>
                          <w:lang w:eastAsia="zh-CN"/>
                        </w:rPr>
                      </m:ctrlPr>
                    </m:sSupPr>
                    <m:e>
                      <m:r>
                        <w:rPr>
                          <w:rFonts w:ascii="Cambria Math" w:hAnsi="Cambria Math"/>
                          <w:sz w:val="24"/>
                          <w:szCs w:val="24"/>
                          <w:lang w:eastAsia="zh-CN"/>
                        </w:rPr>
                        <m:t>)</m:t>
                      </m:r>
                    </m:e>
                    <m:sup>
                      <m:r>
                        <w:rPr>
                          <w:rFonts w:ascii="Cambria Math" w:hAnsi="Cambria Math"/>
                          <w:sz w:val="24"/>
                          <w:szCs w:val="24"/>
                          <w:lang w:eastAsia="zh-CN"/>
                        </w:rPr>
                        <m:t>2</m:t>
                      </m:r>
                    </m:sup>
                  </m:sSup>
                  <m: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y</m:t>
                      </m:r>
                    </m:e>
                    <m:sub>
                      <m:r>
                        <w:rPr>
                          <w:rFonts w:ascii="Cambria Math" w:hAnsi="Cambria Math"/>
                          <w:sz w:val="24"/>
                          <w:szCs w:val="24"/>
                          <w:lang w:eastAsia="zh-CN"/>
                        </w:rPr>
                        <m:t>i</m:t>
                      </m:r>
                    </m:sub>
                  </m:sSub>
                  <m: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y</m:t>
                      </m:r>
                    </m:e>
                    <m:sub>
                      <m:r>
                        <w:rPr>
                          <w:rFonts w:ascii="Cambria Math" w:hAnsi="Cambria Math"/>
                          <w:sz w:val="24"/>
                          <w:szCs w:val="24"/>
                          <w:lang w:eastAsia="zh-CN"/>
                        </w:rPr>
                        <m:t>j</m:t>
                      </m:r>
                    </m:sub>
                  </m:sSub>
                  <m:sSup>
                    <m:sSupPr>
                      <m:ctrlPr>
                        <w:rPr>
                          <w:rFonts w:ascii="Cambria Math" w:hAnsi="Cambria Math"/>
                          <w:sz w:val="24"/>
                          <w:szCs w:val="24"/>
                          <w:lang w:eastAsia="zh-CN"/>
                        </w:rPr>
                      </m:ctrlPr>
                    </m:sSupPr>
                    <m:e>
                      <m:r>
                        <w:rPr>
                          <w:rFonts w:ascii="Cambria Math" w:hAnsi="Cambria Math"/>
                          <w:sz w:val="24"/>
                          <w:szCs w:val="24"/>
                          <w:lang w:eastAsia="zh-CN"/>
                        </w:rPr>
                        <m:t>)</m:t>
                      </m:r>
                    </m:e>
                    <m:sup>
                      <m:r>
                        <w:rPr>
                          <w:rFonts w:ascii="Cambria Math" w:hAnsi="Cambria Math"/>
                          <w:sz w:val="24"/>
                          <w:szCs w:val="24"/>
                          <w:lang w:eastAsia="zh-CN"/>
                        </w:rPr>
                        <m:t>2</m:t>
                      </m:r>
                    </m:sup>
                  </m:sSup>
                </m:e>
              </m:d>
            </m:e>
          </m:rad>
        </m:oMath>
      </m:oMathPara>
    </w:p>
    <w:p w14:paraId="4FDA2DB3" w14:textId="51D6EA20" w:rsidR="00F66311" w:rsidRPr="009562B9" w:rsidRDefault="00E85D87" w:rsidP="00E85D87">
      <w:pPr>
        <w:spacing w:before="100" w:beforeAutospacing="1" w:after="100" w:afterAutospacing="1"/>
        <w:jc w:val="both"/>
        <w:rPr>
          <w:rFonts w:ascii="Arial" w:hAnsi="Arial" w:cs="Arial"/>
        </w:rPr>
      </w:pPr>
      <w:r w:rsidRPr="009562B9">
        <w:rPr>
          <w:rFonts w:ascii="Arial" w:hAnsi="Arial" w:cs="Arial"/>
        </w:rPr>
        <w:t xml:space="preserve">where </w:t>
      </w:r>
      <w:r w:rsidRPr="009562B9">
        <w:rPr>
          <w:rFonts w:ascii="Cambria Math" w:hAnsi="Cambria Math" w:cs="Cambria Math"/>
        </w:rPr>
        <w:t>𝐷𝑖</w:t>
      </w:r>
      <w:r w:rsidRPr="009562B9">
        <w:rPr>
          <w:rFonts w:ascii="Arial" w:hAnsi="Arial" w:cs="Arial"/>
        </w:rPr>
        <w:t xml:space="preserve"> represents the minimum straight-line distance between the residential location and the nearest infrastructure. Euclidean distance is a simple and widely used approach in geographic studies because it provides a quick estimate of proximity without considering specific travel routes or obstacles. It is particularly useful for identifying general patterns of accessibility and for highlighting areas that are potentially far from essential services. However, Euclidean distance assumes that people can move directly in a straight line, which is often unrealistic in rural or complex terrains.</w:t>
      </w:r>
    </w:p>
    <w:p w14:paraId="63AF4890" w14:textId="77777777" w:rsidR="0048600A" w:rsidRPr="009562B9" w:rsidRDefault="00E85D87" w:rsidP="00E85D87">
      <w:pPr>
        <w:pStyle w:val="ListParagraph"/>
        <w:numPr>
          <w:ilvl w:val="0"/>
          <w:numId w:val="34"/>
        </w:numPr>
        <w:spacing w:before="100" w:beforeAutospacing="1" w:after="100" w:afterAutospacing="1"/>
        <w:jc w:val="both"/>
        <w:rPr>
          <w:rFonts w:ascii="Arial" w:hAnsi="Arial" w:cs="Arial"/>
          <w:b/>
          <w:bCs/>
        </w:rPr>
      </w:pPr>
      <w:r w:rsidRPr="009562B9">
        <w:rPr>
          <w:rFonts w:ascii="Arial" w:hAnsi="Arial" w:cs="Arial"/>
          <w:b/>
          <w:bCs/>
        </w:rPr>
        <w:t xml:space="preserve">Road network distance: </w:t>
      </w:r>
      <w:r w:rsidRPr="009562B9">
        <w:rPr>
          <w:rFonts w:ascii="Arial" w:hAnsi="Arial" w:cs="Arial"/>
        </w:rPr>
        <w:t xml:space="preserve">To obtain a more realistic measure of accessibility, distances were also calculated along the actual road network, </w:t>
      </w:r>
      <w:proofErr w:type="gramStart"/>
      <w:r w:rsidRPr="009562B9">
        <w:rPr>
          <w:rFonts w:ascii="Arial" w:hAnsi="Arial" w:cs="Arial"/>
        </w:rPr>
        <w:t>taking into account</w:t>
      </w:r>
      <w:proofErr w:type="gramEnd"/>
      <w:r w:rsidRPr="009562B9">
        <w:rPr>
          <w:rFonts w:ascii="Arial" w:hAnsi="Arial" w:cs="Arial"/>
        </w:rPr>
        <w:t xml:space="preserve"> the connectivity, layout, and length of roads. This method reflects the true travel paths that residents must follow to reach services, including detours, road conditions, and the presence of natural or man-made obstacles. Network-based distance is especially important in rural areas like </w:t>
      </w:r>
      <w:proofErr w:type="spellStart"/>
      <w:r w:rsidRPr="009562B9">
        <w:rPr>
          <w:rFonts w:ascii="Arial" w:hAnsi="Arial" w:cs="Arial"/>
        </w:rPr>
        <w:t>Kroukoto</w:t>
      </w:r>
      <w:proofErr w:type="spellEnd"/>
      <w:r w:rsidRPr="009562B9">
        <w:rPr>
          <w:rFonts w:ascii="Arial" w:hAnsi="Arial" w:cs="Arial"/>
        </w:rPr>
        <w:t xml:space="preserve">, where terrain variability, </w:t>
      </w:r>
      <w:r w:rsidRPr="009562B9">
        <w:rPr>
          <w:rFonts w:ascii="Arial" w:hAnsi="Arial" w:cs="Arial"/>
        </w:rPr>
        <w:lastRenderedPageBreak/>
        <w:t>limited road infrastructure, and seasonal accessibility constraints can significantly influence travel times and service reach.</w:t>
      </w:r>
    </w:p>
    <w:p w14:paraId="3865FC20" w14:textId="0E8F858C" w:rsidR="00F66311" w:rsidRPr="009562B9" w:rsidRDefault="00E85D87" w:rsidP="009F49CF">
      <w:pPr>
        <w:pStyle w:val="Body"/>
        <w:spacing w:after="0"/>
        <w:rPr>
          <w:rFonts w:ascii="Arial" w:hAnsi="Arial" w:cs="Arial"/>
        </w:rPr>
      </w:pPr>
      <w:r w:rsidRPr="009562B9">
        <w:rPr>
          <w:rFonts w:ascii="Arial" w:hAnsi="Arial" w:cs="Arial"/>
        </w:rPr>
        <w:t>By combining these two approaches, the analysis captures both the theoretical proximity (Euclidean distance) and the practical accessibility (network</w:t>
      </w:r>
      <w:r w:rsidR="006C14EF" w:rsidRPr="009562B9">
        <w:rPr>
          <w:rFonts w:ascii="Arial" w:hAnsi="Arial" w:cs="Arial"/>
        </w:rPr>
        <w:t xml:space="preserve"> </w:t>
      </w:r>
      <w:r w:rsidRPr="009562B9">
        <w:rPr>
          <w:rFonts w:ascii="Arial" w:hAnsi="Arial" w:cs="Arial"/>
        </w:rPr>
        <w:t xml:space="preserve">based </w:t>
      </w:r>
      <w:r w:rsidR="006C14EF" w:rsidRPr="009562B9">
        <w:rPr>
          <w:rFonts w:ascii="Arial" w:hAnsi="Arial" w:cs="Arial"/>
        </w:rPr>
        <w:t xml:space="preserve">on </w:t>
      </w:r>
      <w:r w:rsidRPr="009562B9">
        <w:rPr>
          <w:rFonts w:ascii="Arial" w:hAnsi="Arial" w:cs="Arial"/>
        </w:rPr>
        <w:t>distance) to infrastructures. This dual method allows for a comprehensive assessment of spatial accessibility, identifying well-served areas, underserved localities, and locations where interventions such as new roads or facilities may be required. Moreover, it provides planners with insights into spatial inequalities in access to health and educational services, supporting evidence-based decision-making for equitable resource allocation and strategic infrastructure development.</w:t>
      </w:r>
    </w:p>
    <w:p w14:paraId="029471E6" w14:textId="77777777" w:rsidR="009F49CF" w:rsidRPr="009562B9" w:rsidRDefault="009F49CF" w:rsidP="009F49CF">
      <w:pPr>
        <w:pStyle w:val="Body"/>
        <w:spacing w:after="0"/>
        <w:rPr>
          <w:rFonts w:ascii="Arial" w:hAnsi="Arial" w:cs="Arial"/>
        </w:rPr>
      </w:pPr>
    </w:p>
    <w:p w14:paraId="23931169" w14:textId="7DC7E508" w:rsidR="005062DB" w:rsidRPr="009562B9" w:rsidRDefault="00C92053" w:rsidP="00C92053">
      <w:pPr>
        <w:pStyle w:val="Head1"/>
        <w:spacing w:after="0"/>
        <w:jc w:val="both"/>
        <w:rPr>
          <w:rFonts w:ascii="Arial" w:hAnsi="Arial" w:cs="Arial"/>
        </w:rPr>
      </w:pPr>
      <w:r w:rsidRPr="009562B9">
        <w:rPr>
          <w:rFonts w:ascii="Arial" w:hAnsi="Arial" w:cs="Arial"/>
        </w:rPr>
        <w:t xml:space="preserve">3. </w:t>
      </w:r>
      <w:r w:rsidR="00365345" w:rsidRPr="009562B9">
        <w:rPr>
          <w:rFonts w:ascii="Arial" w:hAnsi="Arial" w:cs="Arial"/>
        </w:rPr>
        <w:t>Results</w:t>
      </w:r>
    </w:p>
    <w:p w14:paraId="15DD5DF5" w14:textId="77777777" w:rsidR="00B90245" w:rsidRPr="009562B9" w:rsidRDefault="00B90245" w:rsidP="00441B6F">
      <w:pPr>
        <w:pStyle w:val="Body"/>
        <w:spacing w:after="0"/>
        <w:rPr>
          <w:rFonts w:ascii="Arial" w:hAnsi="Arial" w:cs="Arial"/>
        </w:rPr>
      </w:pPr>
    </w:p>
    <w:p w14:paraId="53F241CC" w14:textId="78D419B8" w:rsidR="007F1DE3" w:rsidRPr="009562B9" w:rsidRDefault="007F1DE3" w:rsidP="00441B6F">
      <w:pPr>
        <w:pStyle w:val="Body"/>
        <w:spacing w:after="0"/>
        <w:rPr>
          <w:rFonts w:ascii="Arial" w:hAnsi="Arial" w:cs="Arial"/>
        </w:rPr>
      </w:pPr>
      <w:r w:rsidRPr="009562B9">
        <w:rPr>
          <w:rFonts w:ascii="Arial" w:hAnsi="Arial" w:cs="Arial"/>
        </w:rPr>
        <w:t xml:space="preserve">Evaluating spatial accessibility to health infrastructures is critical for identifying underserved areas and supporting evidence-based local planning. In </w:t>
      </w:r>
      <w:proofErr w:type="spellStart"/>
      <w:r w:rsidRPr="009562B9">
        <w:rPr>
          <w:rFonts w:ascii="Arial" w:hAnsi="Arial" w:cs="Arial"/>
        </w:rPr>
        <w:t>Kroukoto</w:t>
      </w:r>
      <w:proofErr w:type="spellEnd"/>
      <w:r w:rsidRPr="009562B9">
        <w:rPr>
          <w:rFonts w:ascii="Arial" w:hAnsi="Arial" w:cs="Arial"/>
        </w:rPr>
        <w:t xml:space="preserve">, where settlements are widely dispersed and terrain varies, both distance and road connectivity significantly influence access to services. This experiment uses GIS-based modeling to assess accessibility to </w:t>
      </w:r>
      <w:r w:rsidR="005374BB" w:rsidRPr="009562B9">
        <w:rPr>
          <w:rFonts w:ascii="Arial" w:hAnsi="Arial" w:cs="Arial"/>
        </w:rPr>
        <w:t>1</w:t>
      </w:r>
      <w:r w:rsidRPr="009562B9">
        <w:rPr>
          <w:rFonts w:ascii="Arial" w:hAnsi="Arial" w:cs="Arial"/>
        </w:rPr>
        <w:t xml:space="preserve"> community health centers (CSCOM). Accessibility was analyzed using distance and road network approaches, applying thresholds of 5 km for health centers, in line with national and international standards. The analysis provides a detailed understanding of service coverage, highlights areas with limited access, and informs potential interventions, including the planning of a second health center to improve equity and reduce territorial disparities.</w:t>
      </w:r>
    </w:p>
    <w:p w14:paraId="70B7239F" w14:textId="77777777" w:rsidR="007F1DE3" w:rsidRPr="009562B9" w:rsidRDefault="007F1DE3" w:rsidP="00441B6F">
      <w:pPr>
        <w:pStyle w:val="Body"/>
        <w:spacing w:after="0"/>
        <w:rPr>
          <w:rFonts w:ascii="Arial" w:hAnsi="Arial" w:cs="Arial"/>
        </w:rPr>
      </w:pPr>
    </w:p>
    <w:p w14:paraId="4E8A5565" w14:textId="1CD1D0A3" w:rsidR="00AA74E0" w:rsidRPr="009562B9" w:rsidRDefault="00DA5BD5" w:rsidP="00441B6F">
      <w:pPr>
        <w:pStyle w:val="Body"/>
        <w:spacing w:after="0"/>
        <w:rPr>
          <w:rFonts w:ascii="Arial" w:hAnsi="Arial" w:cs="Arial"/>
        </w:rPr>
      </w:pPr>
      <w:r w:rsidRPr="009562B9">
        <w:rPr>
          <w:rFonts w:ascii="Arial" w:hAnsi="Arial" w:cs="Arial"/>
          <w:b/>
          <w:u w:val="single"/>
        </w:rPr>
        <w:t>3</w:t>
      </w:r>
      <w:r w:rsidR="00AA74E0" w:rsidRPr="009562B9">
        <w:rPr>
          <w:rFonts w:ascii="Arial" w:hAnsi="Arial" w:cs="Arial"/>
          <w:b/>
          <w:u w:val="single"/>
        </w:rPr>
        <w:t xml:space="preserve">.1 </w:t>
      </w:r>
      <w:r w:rsidRPr="009562B9">
        <w:rPr>
          <w:rFonts w:ascii="Arial" w:hAnsi="Arial" w:cs="Arial"/>
          <w:b/>
          <w:u w:val="single"/>
        </w:rPr>
        <w:t xml:space="preserve">Modeling of </w:t>
      </w:r>
      <w:r w:rsidR="004A5681" w:rsidRPr="009562B9">
        <w:rPr>
          <w:rFonts w:ascii="Arial" w:hAnsi="Arial" w:cs="Arial"/>
          <w:b/>
          <w:u w:val="single"/>
        </w:rPr>
        <w:t>s</w:t>
      </w:r>
      <w:r w:rsidRPr="009562B9">
        <w:rPr>
          <w:rFonts w:ascii="Arial" w:hAnsi="Arial" w:cs="Arial"/>
          <w:b/>
          <w:u w:val="single"/>
        </w:rPr>
        <w:t xml:space="preserve">patial </w:t>
      </w:r>
      <w:r w:rsidR="004A5681" w:rsidRPr="009562B9">
        <w:rPr>
          <w:rFonts w:ascii="Arial" w:hAnsi="Arial" w:cs="Arial"/>
          <w:b/>
          <w:u w:val="single"/>
        </w:rPr>
        <w:t>a</w:t>
      </w:r>
      <w:r w:rsidRPr="009562B9">
        <w:rPr>
          <w:rFonts w:ascii="Arial" w:hAnsi="Arial" w:cs="Arial"/>
          <w:b/>
          <w:u w:val="single"/>
        </w:rPr>
        <w:t>ccessibility to</w:t>
      </w:r>
      <w:r w:rsidR="004A5681" w:rsidRPr="009562B9">
        <w:rPr>
          <w:rFonts w:ascii="Arial" w:hAnsi="Arial" w:cs="Arial"/>
          <w:b/>
          <w:u w:val="single"/>
        </w:rPr>
        <w:t xml:space="preserve"> i</w:t>
      </w:r>
      <w:r w:rsidRPr="009562B9">
        <w:rPr>
          <w:rFonts w:ascii="Arial" w:hAnsi="Arial" w:cs="Arial"/>
          <w:b/>
          <w:u w:val="single"/>
        </w:rPr>
        <w:t>nfrastructure</w:t>
      </w:r>
    </w:p>
    <w:p w14:paraId="2BFAD969" w14:textId="77777777" w:rsidR="00505F06" w:rsidRPr="009562B9" w:rsidRDefault="00505F06" w:rsidP="00441B6F">
      <w:pPr>
        <w:pStyle w:val="Body"/>
        <w:spacing w:after="0"/>
        <w:rPr>
          <w:rFonts w:ascii="Arial" w:hAnsi="Arial" w:cs="Arial"/>
        </w:rPr>
      </w:pPr>
    </w:p>
    <w:p w14:paraId="3D27230A" w14:textId="16334913" w:rsidR="007F29F3" w:rsidRPr="009562B9" w:rsidRDefault="007F29F3" w:rsidP="007F29F3">
      <w:pPr>
        <w:pStyle w:val="Body"/>
        <w:rPr>
          <w:rFonts w:ascii="Arial" w:hAnsi="Arial" w:cs="Arial"/>
        </w:rPr>
      </w:pPr>
      <w:r w:rsidRPr="009562B9">
        <w:rPr>
          <w:rFonts w:ascii="Arial" w:hAnsi="Arial" w:cs="Arial"/>
        </w:rPr>
        <w:t xml:space="preserve">The municipality of </w:t>
      </w:r>
      <w:proofErr w:type="spellStart"/>
      <w:r w:rsidRPr="009562B9">
        <w:rPr>
          <w:rFonts w:ascii="Arial" w:hAnsi="Arial" w:cs="Arial"/>
        </w:rPr>
        <w:t>Kroukoto</w:t>
      </w:r>
      <w:proofErr w:type="spellEnd"/>
      <w:r w:rsidRPr="009562B9">
        <w:rPr>
          <w:rFonts w:ascii="Arial" w:hAnsi="Arial" w:cs="Arial"/>
        </w:rPr>
        <w:t xml:space="preserve"> is served by 12 primary schools and </w:t>
      </w:r>
      <w:r w:rsidR="005B1F64" w:rsidRPr="009562B9">
        <w:rPr>
          <w:rFonts w:ascii="Arial" w:hAnsi="Arial" w:cs="Arial"/>
        </w:rPr>
        <w:t xml:space="preserve">1 </w:t>
      </w:r>
      <w:r w:rsidRPr="009562B9">
        <w:rPr>
          <w:rFonts w:ascii="Arial" w:hAnsi="Arial" w:cs="Arial"/>
        </w:rPr>
        <w:t xml:space="preserve">community health centers (CSCOMs). To evaluate how effectively these </w:t>
      </w:r>
      <w:proofErr w:type="gramStart"/>
      <w:r w:rsidRPr="009562B9">
        <w:rPr>
          <w:rFonts w:ascii="Arial" w:hAnsi="Arial" w:cs="Arial"/>
        </w:rPr>
        <w:t>infrastructures</w:t>
      </w:r>
      <w:proofErr w:type="gramEnd"/>
      <w:r w:rsidRPr="009562B9">
        <w:rPr>
          <w:rFonts w:ascii="Arial" w:hAnsi="Arial" w:cs="Arial"/>
        </w:rPr>
        <w:t xml:space="preserve"> serve the population, spatial accessibility analyses were conducted using GIS data. Accessibility was modeled using both straight-line (Euclidean) distances and road network-based distances, applying distance thresholds aligned with national and international standards: 5 km for health centers. These thresholds follow operational recommendations from the World Health Organization and global accessibility mapping practices (Weiss et al., 2020). Using GIS modeling, it was possible to identify underserved areas, quantify population coverage, and evaluate spatial disparities in access to basic social services (</w:t>
      </w:r>
      <w:proofErr w:type="spellStart"/>
      <w:r w:rsidRPr="009562B9">
        <w:rPr>
          <w:rFonts w:ascii="Arial" w:hAnsi="Arial" w:cs="Arial"/>
        </w:rPr>
        <w:t>Neutens</w:t>
      </w:r>
      <w:proofErr w:type="spellEnd"/>
      <w:r w:rsidRPr="009562B9">
        <w:rPr>
          <w:rFonts w:ascii="Arial" w:hAnsi="Arial" w:cs="Arial"/>
        </w:rPr>
        <w:t xml:space="preserve">, 2015). Areas were classified according to their accessibility levels into low, medium, and good categories, using reference distances of 5 km and 10 km. Thematic maps were generated to visualize the spatial distribution of infrastructure, highlighting gaps and under-served localities. Summary tables quantified the population within each accessibility category, enabling a clearer understanding of territorial disparities. This methodological approach, drawing on </w:t>
      </w:r>
      <w:proofErr w:type="spellStart"/>
      <w:r w:rsidR="00BD2B40" w:rsidRPr="009562B9">
        <w:rPr>
          <w:rFonts w:ascii="Arial" w:hAnsi="Arial" w:cs="Arial"/>
        </w:rPr>
        <w:t>Tariverdi</w:t>
      </w:r>
      <w:proofErr w:type="spellEnd"/>
      <w:r w:rsidR="00BD2B40" w:rsidRPr="009562B9">
        <w:rPr>
          <w:rFonts w:ascii="Arial" w:hAnsi="Arial" w:cs="Arial"/>
        </w:rPr>
        <w:t xml:space="preserve"> </w:t>
      </w:r>
      <w:r w:rsidRPr="009562B9">
        <w:rPr>
          <w:rFonts w:ascii="Arial" w:hAnsi="Arial" w:cs="Arial"/>
        </w:rPr>
        <w:t>et al. (202</w:t>
      </w:r>
      <w:r w:rsidR="00BD2B40" w:rsidRPr="009562B9">
        <w:rPr>
          <w:rFonts w:ascii="Arial" w:hAnsi="Arial" w:cs="Arial"/>
        </w:rPr>
        <w:t>3</w:t>
      </w:r>
      <w:r w:rsidRPr="009562B9">
        <w:rPr>
          <w:rFonts w:ascii="Arial" w:hAnsi="Arial" w:cs="Arial"/>
        </w:rPr>
        <w:t>), transforms statistical and geospatial data into actionable information for decision-making. It provides a spatial perspective on inequalities, offering support for evidence-based planning and resource allocation.</w:t>
      </w:r>
    </w:p>
    <w:p w14:paraId="51736331" w14:textId="5C11A8E9" w:rsidR="00AA74E0" w:rsidRPr="009562B9" w:rsidRDefault="000F2BD7" w:rsidP="00441B6F">
      <w:pPr>
        <w:pStyle w:val="Body"/>
        <w:spacing w:after="0"/>
        <w:rPr>
          <w:rFonts w:ascii="Arial" w:hAnsi="Arial" w:cs="Arial"/>
          <w:b/>
          <w:u w:val="single"/>
        </w:rPr>
      </w:pPr>
      <w:r w:rsidRPr="009562B9">
        <w:rPr>
          <w:rFonts w:ascii="Arial" w:hAnsi="Arial" w:cs="Arial"/>
          <w:b/>
          <w:u w:val="single"/>
        </w:rPr>
        <w:t>3</w:t>
      </w:r>
      <w:r w:rsidR="00AA74E0" w:rsidRPr="009562B9">
        <w:rPr>
          <w:rFonts w:ascii="Arial" w:hAnsi="Arial" w:cs="Arial"/>
          <w:b/>
          <w:u w:val="single"/>
        </w:rPr>
        <w:t xml:space="preserve">.1.1 </w:t>
      </w:r>
      <w:r w:rsidR="00794369" w:rsidRPr="009562B9">
        <w:rPr>
          <w:rFonts w:ascii="Arial" w:hAnsi="Arial" w:cs="Arial"/>
          <w:b/>
          <w:u w:val="single"/>
        </w:rPr>
        <w:t>Spatial distribution of localities</w:t>
      </w:r>
    </w:p>
    <w:p w14:paraId="52B124AB" w14:textId="77777777" w:rsidR="00790ADA" w:rsidRPr="009562B9" w:rsidRDefault="00790ADA" w:rsidP="00441B6F">
      <w:pPr>
        <w:pStyle w:val="Body"/>
        <w:spacing w:after="0"/>
        <w:rPr>
          <w:rFonts w:ascii="Arial" w:hAnsi="Arial" w:cs="Arial"/>
        </w:rPr>
      </w:pPr>
    </w:p>
    <w:p w14:paraId="05E1E574" w14:textId="1C4FAF7E" w:rsidR="00794369" w:rsidRPr="009562B9" w:rsidRDefault="00ED21E9" w:rsidP="00441B6F">
      <w:pPr>
        <w:pStyle w:val="Body"/>
        <w:spacing w:after="0"/>
        <w:rPr>
          <w:rFonts w:ascii="Arial" w:hAnsi="Arial" w:cs="Arial"/>
        </w:rPr>
      </w:pPr>
      <w:r w:rsidRPr="009562B9">
        <w:rPr>
          <w:rFonts w:ascii="Arial" w:hAnsi="Arial" w:cs="Arial"/>
        </w:rPr>
        <w:t xml:space="preserve">Figure </w:t>
      </w:r>
      <w:r w:rsidR="00F70276" w:rsidRPr="009562B9">
        <w:rPr>
          <w:rFonts w:ascii="Arial" w:hAnsi="Arial" w:cs="Arial"/>
        </w:rPr>
        <w:t>3</w:t>
      </w:r>
      <w:r w:rsidRPr="009562B9">
        <w:rPr>
          <w:rFonts w:ascii="Arial" w:hAnsi="Arial" w:cs="Arial"/>
        </w:rPr>
        <w:t xml:space="preserve"> illustrates the spatial arrangement of localities in </w:t>
      </w:r>
      <w:proofErr w:type="spellStart"/>
      <w:r w:rsidRPr="009562B9">
        <w:rPr>
          <w:rFonts w:ascii="Arial" w:hAnsi="Arial" w:cs="Arial"/>
        </w:rPr>
        <w:t>Kroukoto</w:t>
      </w:r>
      <w:proofErr w:type="spellEnd"/>
      <w:r w:rsidRPr="009562B9">
        <w:rPr>
          <w:rFonts w:ascii="Arial" w:hAnsi="Arial" w:cs="Arial"/>
        </w:rPr>
        <w:t xml:space="preserve"> relative to key socio-community service centers, including the CSCOM. The map reveals that the mother locality nearest to these infrastructures is approximately 15 km away, while most villages and hamlets are situated more than 20 km from these services. This spatial pattern highlights the limited accessibility faced by a large portion of the population and underscores the necessity of strengthening health infrastructure coverage across the commune.</w:t>
      </w:r>
    </w:p>
    <w:p w14:paraId="132A430C" w14:textId="77777777" w:rsidR="00AF52A6" w:rsidRPr="009562B9" w:rsidRDefault="00AF52A6" w:rsidP="00441B6F">
      <w:pPr>
        <w:pStyle w:val="Body"/>
        <w:spacing w:after="0"/>
        <w:rPr>
          <w:rFonts w:ascii="Arial" w:hAnsi="Arial" w:cs="Arial"/>
        </w:rPr>
      </w:pPr>
    </w:p>
    <w:p w14:paraId="1ED4FB34" w14:textId="19B672AB" w:rsidR="00A400B8" w:rsidRPr="009562B9" w:rsidRDefault="004D462D" w:rsidP="00AF52A6">
      <w:pPr>
        <w:pStyle w:val="Body"/>
        <w:spacing w:after="0"/>
        <w:rPr>
          <w:rFonts w:ascii="Arial" w:hAnsi="Arial" w:cs="Arial"/>
          <w:b/>
          <w:bCs/>
          <w:szCs w:val="22"/>
        </w:rPr>
      </w:pPr>
      <w:r w:rsidRPr="009562B9">
        <w:rPr>
          <w:rFonts w:ascii="Arial" w:hAnsi="Arial" w:cs="Arial"/>
          <w:b/>
          <w:bCs/>
          <w:noProof/>
          <w:szCs w:val="22"/>
        </w:rPr>
        <w:drawing>
          <wp:inline distT="0" distB="0" distL="0" distR="0" wp14:anchorId="41684331" wp14:editId="2A54FE8F">
            <wp:extent cx="5487035" cy="4972685"/>
            <wp:effectExtent l="0" t="0" r="0" b="0"/>
            <wp:docPr id="11916635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7035" cy="4972685"/>
                    </a:xfrm>
                    <a:prstGeom prst="rect">
                      <a:avLst/>
                    </a:prstGeom>
                    <a:noFill/>
                  </pic:spPr>
                </pic:pic>
              </a:graphicData>
            </a:graphic>
          </wp:inline>
        </w:drawing>
      </w:r>
    </w:p>
    <w:p w14:paraId="40591597" w14:textId="77777777" w:rsidR="00A400B8" w:rsidRPr="009562B9" w:rsidRDefault="00A400B8" w:rsidP="00AF52A6">
      <w:pPr>
        <w:pStyle w:val="Body"/>
        <w:spacing w:after="0"/>
        <w:rPr>
          <w:rFonts w:ascii="Arial" w:hAnsi="Arial" w:cs="Arial"/>
          <w:b/>
          <w:bCs/>
          <w:szCs w:val="22"/>
        </w:rPr>
      </w:pPr>
    </w:p>
    <w:p w14:paraId="72F59DE7" w14:textId="2829C44B" w:rsidR="007022EC" w:rsidRPr="009562B9" w:rsidRDefault="007022EC" w:rsidP="00AF52A6">
      <w:pPr>
        <w:pStyle w:val="Body"/>
        <w:spacing w:after="0"/>
        <w:rPr>
          <w:rFonts w:ascii="Arial" w:hAnsi="Arial" w:cs="Arial"/>
          <w:b/>
          <w:bCs/>
          <w:szCs w:val="22"/>
        </w:rPr>
      </w:pPr>
      <w:r w:rsidRPr="009562B9">
        <w:rPr>
          <w:rFonts w:ascii="Arial" w:hAnsi="Arial" w:cs="Arial"/>
          <w:b/>
          <w:bCs/>
          <w:szCs w:val="22"/>
        </w:rPr>
        <w:t>Fig.</w:t>
      </w:r>
      <w:r w:rsidR="00F70276" w:rsidRPr="009562B9">
        <w:rPr>
          <w:rFonts w:ascii="Arial" w:hAnsi="Arial" w:cs="Arial"/>
          <w:b/>
          <w:bCs/>
          <w:szCs w:val="22"/>
        </w:rPr>
        <w:t>3</w:t>
      </w:r>
      <w:r w:rsidRPr="009562B9">
        <w:rPr>
          <w:rFonts w:ascii="Arial" w:hAnsi="Arial" w:cs="Arial"/>
          <w:b/>
          <w:bCs/>
          <w:szCs w:val="22"/>
        </w:rPr>
        <w:t xml:space="preserve">. </w:t>
      </w:r>
      <w:r w:rsidR="000D4322" w:rsidRPr="009562B9">
        <w:rPr>
          <w:rFonts w:ascii="Arial" w:hAnsi="Arial" w:cs="Arial"/>
          <w:b/>
          <w:bCs/>
          <w:szCs w:val="22"/>
        </w:rPr>
        <w:t>S</w:t>
      </w:r>
      <w:r w:rsidR="00392DD5" w:rsidRPr="009562B9">
        <w:rPr>
          <w:rFonts w:ascii="Arial" w:hAnsi="Arial" w:cs="Arial"/>
          <w:b/>
          <w:bCs/>
          <w:szCs w:val="22"/>
        </w:rPr>
        <w:t xml:space="preserve">patial </w:t>
      </w:r>
      <w:r w:rsidR="002377B9" w:rsidRPr="009562B9">
        <w:rPr>
          <w:rFonts w:ascii="Arial" w:hAnsi="Arial" w:cs="Arial"/>
          <w:b/>
          <w:bCs/>
          <w:szCs w:val="22"/>
        </w:rPr>
        <w:t>distribution</w:t>
      </w:r>
      <w:r w:rsidR="00392DD5" w:rsidRPr="009562B9">
        <w:rPr>
          <w:rFonts w:ascii="Arial" w:hAnsi="Arial" w:cs="Arial"/>
          <w:b/>
          <w:bCs/>
          <w:szCs w:val="22"/>
        </w:rPr>
        <w:t xml:space="preserve"> of localities in </w:t>
      </w:r>
      <w:proofErr w:type="spellStart"/>
      <w:r w:rsidR="00392DD5" w:rsidRPr="009562B9">
        <w:rPr>
          <w:rFonts w:ascii="Arial" w:hAnsi="Arial" w:cs="Arial"/>
          <w:b/>
          <w:bCs/>
          <w:szCs w:val="22"/>
        </w:rPr>
        <w:t>Kroukoto</w:t>
      </w:r>
      <w:proofErr w:type="spellEnd"/>
      <w:r w:rsidR="00392DD5" w:rsidRPr="009562B9">
        <w:rPr>
          <w:rFonts w:ascii="Arial" w:hAnsi="Arial" w:cs="Arial"/>
          <w:b/>
          <w:bCs/>
          <w:szCs w:val="22"/>
        </w:rPr>
        <w:t xml:space="preserve"> </w:t>
      </w:r>
      <w:r w:rsidR="002377B9" w:rsidRPr="009562B9">
        <w:rPr>
          <w:rFonts w:ascii="Arial" w:hAnsi="Arial" w:cs="Arial"/>
          <w:b/>
          <w:bCs/>
          <w:szCs w:val="22"/>
        </w:rPr>
        <w:t>commune</w:t>
      </w:r>
    </w:p>
    <w:p w14:paraId="5D6A140E" w14:textId="77777777" w:rsidR="00AF52A6" w:rsidRPr="009562B9" w:rsidRDefault="00AF52A6" w:rsidP="00AF52A6">
      <w:pPr>
        <w:autoSpaceDE w:val="0"/>
        <w:autoSpaceDN w:val="0"/>
        <w:adjustRightInd w:val="0"/>
        <w:jc w:val="both"/>
        <w:rPr>
          <w:rFonts w:ascii="Arial" w:hAnsi="Arial" w:cs="Arial"/>
          <w:b/>
          <w:bCs/>
          <w:szCs w:val="22"/>
        </w:rPr>
      </w:pPr>
    </w:p>
    <w:p w14:paraId="063C10A8" w14:textId="469EC358" w:rsidR="00F31363" w:rsidRPr="009562B9" w:rsidRDefault="00A400B8" w:rsidP="00186547">
      <w:pPr>
        <w:pStyle w:val="Body"/>
        <w:spacing w:after="0"/>
        <w:rPr>
          <w:rFonts w:ascii="Arial" w:hAnsi="Arial" w:cs="Arial"/>
        </w:rPr>
      </w:pPr>
      <w:r w:rsidRPr="009562B9">
        <w:rPr>
          <w:rFonts w:ascii="Arial" w:hAnsi="Arial" w:cs="Arial"/>
        </w:rPr>
        <w:t>Figure</w:t>
      </w:r>
      <w:r w:rsidR="008D64D3" w:rsidRPr="009562B9">
        <w:rPr>
          <w:rFonts w:ascii="Arial" w:hAnsi="Arial" w:cs="Arial"/>
        </w:rPr>
        <w:t xml:space="preserve"> </w:t>
      </w:r>
      <w:r w:rsidR="00F70276" w:rsidRPr="009562B9">
        <w:rPr>
          <w:rFonts w:ascii="Arial" w:hAnsi="Arial" w:cs="Arial"/>
        </w:rPr>
        <w:t>4</w:t>
      </w:r>
      <w:r w:rsidR="008D64D3" w:rsidRPr="009562B9">
        <w:rPr>
          <w:rFonts w:ascii="Arial" w:hAnsi="Arial" w:cs="Arial"/>
        </w:rPr>
        <w:t xml:space="preserve"> presents a spatial accessibility analysis of community health services in the municipality of </w:t>
      </w:r>
      <w:proofErr w:type="spellStart"/>
      <w:r w:rsidR="008D64D3" w:rsidRPr="009562B9">
        <w:rPr>
          <w:rFonts w:ascii="Arial" w:hAnsi="Arial" w:cs="Arial"/>
        </w:rPr>
        <w:t>Kroukoto</w:t>
      </w:r>
      <w:proofErr w:type="spellEnd"/>
      <w:r w:rsidR="008D64D3" w:rsidRPr="009562B9">
        <w:rPr>
          <w:rFonts w:ascii="Arial" w:hAnsi="Arial" w:cs="Arial"/>
        </w:rPr>
        <w:t>. Accessibility was assessed using distance thresholds consistent with international standards, with good accessibility defined within 5 km of the existing CSCOM, moderate accessibility between 5 and 10 km, and low accessibility beyond 10 km. The analysis further incorporates altitude constraints, showing that settlements located at higher elevations (above approximately 300–400 m) experience reduced effective accessibility due to rugged terrain and limited road connectivity, even when geographically closer to the health center. These findings reveal pronounced territorial disparities and support the need to strengthen health infrastructure coverage, including the establishment of an additional community health center to improve equitable access.</w:t>
      </w:r>
    </w:p>
    <w:p w14:paraId="35EC1B3B" w14:textId="08D1C99B" w:rsidR="00186547" w:rsidRPr="009562B9" w:rsidRDefault="006C2888" w:rsidP="008D64D3">
      <w:pPr>
        <w:pStyle w:val="Body"/>
        <w:spacing w:after="0"/>
        <w:rPr>
          <w:rFonts w:ascii="Arial" w:hAnsi="Arial" w:cs="Arial"/>
        </w:rPr>
      </w:pPr>
      <w:r w:rsidRPr="009562B9">
        <w:rPr>
          <w:rFonts w:ascii="Arial" w:hAnsi="Arial" w:cs="Arial"/>
          <w:noProof/>
        </w:rPr>
        <w:lastRenderedPageBreak/>
        <w:drawing>
          <wp:inline distT="0" distB="0" distL="0" distR="0" wp14:anchorId="2BFB60AF" wp14:editId="689908BF">
            <wp:extent cx="5260340" cy="4672076"/>
            <wp:effectExtent l="0" t="0" r="0" b="0"/>
            <wp:docPr id="18771705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5281" cy="4676464"/>
                    </a:xfrm>
                    <a:prstGeom prst="rect">
                      <a:avLst/>
                    </a:prstGeom>
                    <a:noFill/>
                  </pic:spPr>
                </pic:pic>
              </a:graphicData>
            </a:graphic>
          </wp:inline>
        </w:drawing>
      </w:r>
    </w:p>
    <w:p w14:paraId="44ABFE6D" w14:textId="77777777" w:rsidR="00A400B8" w:rsidRPr="009562B9" w:rsidRDefault="00A400B8" w:rsidP="00AF52A6">
      <w:pPr>
        <w:autoSpaceDE w:val="0"/>
        <w:autoSpaceDN w:val="0"/>
        <w:adjustRightInd w:val="0"/>
        <w:jc w:val="both"/>
        <w:rPr>
          <w:rFonts w:ascii="Arial" w:hAnsi="Arial" w:cs="Arial"/>
          <w:b/>
          <w:bCs/>
          <w:szCs w:val="22"/>
        </w:rPr>
      </w:pPr>
    </w:p>
    <w:p w14:paraId="1B2A84A7" w14:textId="74E8EA23" w:rsidR="008D64D3" w:rsidRPr="009562B9" w:rsidRDefault="007022EC" w:rsidP="00AF52A6">
      <w:pPr>
        <w:autoSpaceDE w:val="0"/>
        <w:autoSpaceDN w:val="0"/>
        <w:adjustRightInd w:val="0"/>
        <w:jc w:val="both"/>
        <w:rPr>
          <w:rFonts w:ascii="Arial" w:hAnsi="Arial" w:cs="Arial"/>
          <w:b/>
          <w:bCs/>
          <w:szCs w:val="22"/>
        </w:rPr>
      </w:pPr>
      <w:r w:rsidRPr="009562B9">
        <w:rPr>
          <w:rFonts w:ascii="Arial" w:hAnsi="Arial" w:cs="Arial"/>
          <w:b/>
          <w:bCs/>
          <w:szCs w:val="22"/>
        </w:rPr>
        <w:t>Fig.</w:t>
      </w:r>
      <w:r w:rsidR="00F70276" w:rsidRPr="009562B9">
        <w:rPr>
          <w:rFonts w:ascii="Arial" w:hAnsi="Arial" w:cs="Arial"/>
          <w:b/>
          <w:bCs/>
          <w:szCs w:val="22"/>
        </w:rPr>
        <w:t>4</w:t>
      </w:r>
      <w:r w:rsidRPr="009562B9">
        <w:rPr>
          <w:rFonts w:ascii="Arial" w:hAnsi="Arial" w:cs="Arial"/>
          <w:b/>
          <w:bCs/>
          <w:szCs w:val="22"/>
        </w:rPr>
        <w:t>.</w:t>
      </w:r>
      <w:r w:rsidR="00EA1569" w:rsidRPr="009562B9">
        <w:rPr>
          <w:rFonts w:ascii="Arial" w:hAnsi="Arial" w:cs="Arial"/>
          <w:b/>
          <w:bCs/>
          <w:szCs w:val="22"/>
        </w:rPr>
        <w:t xml:space="preserve"> spatial accessibility analysis</w:t>
      </w:r>
    </w:p>
    <w:p w14:paraId="28F654AD" w14:textId="77777777" w:rsidR="003B0AD2" w:rsidRPr="009562B9" w:rsidRDefault="003B0AD2" w:rsidP="00813752">
      <w:pPr>
        <w:pStyle w:val="Body"/>
        <w:spacing w:after="0"/>
        <w:rPr>
          <w:rFonts w:ascii="Arial" w:hAnsi="Arial" w:cs="Arial"/>
          <w:b/>
          <w:u w:val="single"/>
        </w:rPr>
      </w:pPr>
    </w:p>
    <w:p w14:paraId="23E279EC" w14:textId="78CD1DF3" w:rsidR="003B0AD2" w:rsidRPr="009562B9" w:rsidRDefault="00AA1D00" w:rsidP="00813752">
      <w:pPr>
        <w:pStyle w:val="Body"/>
        <w:spacing w:after="0"/>
        <w:rPr>
          <w:rFonts w:ascii="Arial" w:hAnsi="Arial" w:cs="Arial"/>
          <w:b/>
          <w:u w:val="single"/>
        </w:rPr>
      </w:pPr>
      <w:r w:rsidRPr="009562B9">
        <w:rPr>
          <w:rFonts w:ascii="Arial" w:hAnsi="Arial" w:cs="Arial"/>
          <w:b/>
          <w:u w:val="single"/>
        </w:rPr>
        <w:t>3</w:t>
      </w:r>
      <w:r w:rsidR="003B0AD2" w:rsidRPr="009562B9">
        <w:rPr>
          <w:rFonts w:ascii="Arial" w:hAnsi="Arial" w:cs="Arial"/>
          <w:b/>
          <w:u w:val="single"/>
        </w:rPr>
        <w:t>.1.2 Spatial Accessibility Model Description</w:t>
      </w:r>
    </w:p>
    <w:p w14:paraId="512B5FF8" w14:textId="77777777" w:rsidR="00F90C5B" w:rsidRPr="009562B9" w:rsidRDefault="00F90C5B" w:rsidP="00813752">
      <w:pPr>
        <w:pStyle w:val="Body"/>
        <w:spacing w:after="0"/>
        <w:rPr>
          <w:rFonts w:ascii="Arial" w:hAnsi="Arial" w:cs="Arial"/>
        </w:rPr>
      </w:pPr>
    </w:p>
    <w:p w14:paraId="52A9AAA6" w14:textId="5E3EEBD4" w:rsidR="003B0AD2" w:rsidRPr="009562B9" w:rsidRDefault="00F90C5B" w:rsidP="00813752">
      <w:pPr>
        <w:pStyle w:val="Body"/>
        <w:spacing w:after="0"/>
        <w:rPr>
          <w:rFonts w:ascii="Arial" w:hAnsi="Arial" w:cs="Arial"/>
        </w:rPr>
      </w:pPr>
      <w:r w:rsidRPr="009562B9">
        <w:rPr>
          <w:rFonts w:ascii="Arial" w:hAnsi="Arial" w:cs="Arial"/>
        </w:rPr>
        <w:t xml:space="preserve">The spatial accessibility model was developed using </w:t>
      </w:r>
      <w:r w:rsidR="00330F20" w:rsidRPr="009562B9">
        <w:rPr>
          <w:rFonts w:ascii="Arial" w:hAnsi="Arial" w:cs="Arial"/>
        </w:rPr>
        <w:t xml:space="preserve">Python </w:t>
      </w:r>
      <w:r w:rsidR="00ED729D" w:rsidRPr="009562B9">
        <w:rPr>
          <w:rFonts w:ascii="Arial" w:hAnsi="Arial" w:cs="Arial"/>
        </w:rPr>
        <w:t>p</w:t>
      </w:r>
      <w:r w:rsidR="00330F20" w:rsidRPr="009562B9">
        <w:rPr>
          <w:rFonts w:ascii="Arial" w:hAnsi="Arial" w:cs="Arial"/>
        </w:rPr>
        <w:t>rogram</w:t>
      </w:r>
      <w:r w:rsidRPr="009562B9">
        <w:rPr>
          <w:rFonts w:ascii="Arial" w:hAnsi="Arial" w:cs="Arial"/>
        </w:rPr>
        <w:t xml:space="preserve"> to evaluate healthcare service coverage and to identify an optimal location for a new community health center in the rural commune of </w:t>
      </w:r>
      <w:proofErr w:type="spellStart"/>
      <w:r w:rsidRPr="009562B9">
        <w:rPr>
          <w:rFonts w:ascii="Arial" w:hAnsi="Arial" w:cs="Arial"/>
        </w:rPr>
        <w:t>Kroukoto</w:t>
      </w:r>
      <w:proofErr w:type="spellEnd"/>
      <w:r w:rsidRPr="009562B9">
        <w:rPr>
          <w:rFonts w:ascii="Arial" w:hAnsi="Arial" w:cs="Arial"/>
        </w:rPr>
        <w:t xml:space="preserve"> (</w:t>
      </w:r>
      <w:proofErr w:type="spellStart"/>
      <w:r w:rsidRPr="009562B9">
        <w:rPr>
          <w:rFonts w:ascii="Arial" w:hAnsi="Arial" w:cs="Arial"/>
        </w:rPr>
        <w:t>cercle</w:t>
      </w:r>
      <w:proofErr w:type="spellEnd"/>
      <w:r w:rsidRPr="009562B9">
        <w:rPr>
          <w:rFonts w:ascii="Arial" w:hAnsi="Arial" w:cs="Arial"/>
        </w:rPr>
        <w:t xml:space="preserve"> of </w:t>
      </w:r>
      <w:proofErr w:type="spellStart"/>
      <w:r w:rsidRPr="009562B9">
        <w:rPr>
          <w:rFonts w:ascii="Arial" w:hAnsi="Arial" w:cs="Arial"/>
        </w:rPr>
        <w:t>Kéniéba</w:t>
      </w:r>
      <w:proofErr w:type="spellEnd"/>
      <w:r w:rsidRPr="009562B9">
        <w:rPr>
          <w:rFonts w:ascii="Arial" w:hAnsi="Arial" w:cs="Arial"/>
        </w:rPr>
        <w:t xml:space="preserve">, </w:t>
      </w:r>
      <w:proofErr w:type="spellStart"/>
      <w:r w:rsidRPr="009562B9">
        <w:rPr>
          <w:rFonts w:ascii="Arial" w:hAnsi="Arial" w:cs="Arial"/>
        </w:rPr>
        <w:t>Kayes</w:t>
      </w:r>
      <w:proofErr w:type="spellEnd"/>
      <w:r w:rsidRPr="009562B9">
        <w:rPr>
          <w:rFonts w:ascii="Arial" w:hAnsi="Arial" w:cs="Arial"/>
        </w:rPr>
        <w:t xml:space="preserve"> region). The model integrates spatial data on health facilities, transportation networks, population distribution, and administrative boundaries through a sequence of distance-based and overlay operations. The analytical framework is supported by explicit mathematical formulations to ensure transparency and reproducibility.</w:t>
      </w:r>
    </w:p>
    <w:p w14:paraId="62248D78" w14:textId="77777777" w:rsidR="003B0AD2" w:rsidRPr="009562B9" w:rsidRDefault="003B0AD2" w:rsidP="00813752">
      <w:pPr>
        <w:pStyle w:val="Body"/>
        <w:spacing w:after="0"/>
        <w:rPr>
          <w:rFonts w:ascii="Arial" w:hAnsi="Arial" w:cs="Arial"/>
        </w:rPr>
      </w:pPr>
    </w:p>
    <w:p w14:paraId="4031123F" w14:textId="75F620B5" w:rsidR="00F90C5B" w:rsidRPr="009562B9" w:rsidRDefault="00AA1D00" w:rsidP="00AA1D00">
      <w:pPr>
        <w:pStyle w:val="Body"/>
        <w:spacing w:after="0"/>
        <w:rPr>
          <w:rFonts w:ascii="Arial" w:hAnsi="Arial" w:cs="Arial"/>
          <w:i/>
        </w:rPr>
      </w:pPr>
      <w:r w:rsidRPr="009562B9">
        <w:rPr>
          <w:rFonts w:ascii="Arial" w:hAnsi="Arial" w:cs="Arial"/>
          <w:i/>
        </w:rPr>
        <w:t>3.1.2.</w:t>
      </w:r>
      <w:r w:rsidR="00F90C5B" w:rsidRPr="009562B9">
        <w:rPr>
          <w:rFonts w:ascii="Arial" w:hAnsi="Arial" w:cs="Arial"/>
          <w:i/>
        </w:rPr>
        <w:t>1 Definition of Healthcare Service Areas</w:t>
      </w:r>
    </w:p>
    <w:p w14:paraId="3B9E9591" w14:textId="77777777" w:rsidR="00AA1D00" w:rsidRPr="009562B9" w:rsidRDefault="00AA1D00" w:rsidP="00AA1D00">
      <w:pPr>
        <w:pStyle w:val="Body"/>
        <w:spacing w:after="0"/>
        <w:rPr>
          <w:rFonts w:ascii="Arial" w:hAnsi="Arial" w:cs="Arial"/>
          <w:i/>
        </w:rPr>
      </w:pPr>
    </w:p>
    <w:p w14:paraId="3595DE9E" w14:textId="4F78B9F8" w:rsidR="00F90C5B" w:rsidRPr="009562B9" w:rsidRDefault="00F90C5B" w:rsidP="00F90C5B">
      <w:pPr>
        <w:pStyle w:val="Body"/>
        <w:spacing w:after="0"/>
        <w:rPr>
          <w:rFonts w:ascii="Arial" w:hAnsi="Arial" w:cs="Arial"/>
        </w:rPr>
      </w:pPr>
      <w:r w:rsidRPr="009562B9">
        <w:rPr>
          <w:rFonts w:ascii="Arial" w:hAnsi="Arial" w:cs="Arial"/>
        </w:rPr>
        <w:t xml:space="preserve">Healthcare accessibility is modeled using a fixed-distance threshold approach. For each health center </w:t>
      </w:r>
      <m:oMath>
        <m:sSub>
          <m:sSubPr>
            <m:ctrlPr>
              <w:rPr>
                <w:rFonts w:ascii="Cambria Math" w:hAnsi="Cambria Math" w:cs="Arial"/>
              </w:rPr>
            </m:ctrlPr>
          </m:sSubPr>
          <m:e>
            <m:r>
              <w:rPr>
                <w:rFonts w:ascii="Cambria Math" w:hAnsi="Cambria Math" w:cs="Arial"/>
              </w:rPr>
              <m:t>h</m:t>
            </m:r>
          </m:e>
          <m:sub>
            <m:r>
              <w:rPr>
                <w:rFonts w:ascii="Cambria Math" w:hAnsi="Cambria Math" w:cs="Arial"/>
              </w:rPr>
              <m:t>i</m:t>
            </m:r>
          </m:sub>
        </m:sSub>
      </m:oMath>
      <w:r w:rsidRPr="009562B9">
        <w:rPr>
          <w:rFonts w:ascii="Arial" w:hAnsi="Arial" w:cs="Arial"/>
        </w:rPr>
        <w:t xml:space="preserve">, a service area </w:t>
      </w:r>
      <m:oMath>
        <m:sSub>
          <m:sSubPr>
            <m:ctrlPr>
              <w:rPr>
                <w:rFonts w:ascii="Cambria Math" w:hAnsi="Cambria Math" w:cs="Arial"/>
              </w:rPr>
            </m:ctrlPr>
          </m:sSubPr>
          <m:e>
            <m:r>
              <w:rPr>
                <w:rFonts w:ascii="Cambria Math" w:hAnsi="Cambria Math" w:cs="Arial"/>
              </w:rPr>
              <m:t>A</m:t>
            </m:r>
          </m:e>
          <m:sub>
            <m:r>
              <w:rPr>
                <w:rFonts w:ascii="Cambria Math" w:hAnsi="Cambria Math" w:cs="Arial"/>
              </w:rPr>
              <m:t>i</m:t>
            </m:r>
          </m:sub>
        </m:sSub>
      </m:oMath>
      <w:r w:rsidRPr="009562B9">
        <w:rPr>
          <w:rFonts w:ascii="Arial" w:hAnsi="Arial" w:cs="Arial"/>
        </w:rPr>
        <w:t>is defined as:</w:t>
      </w:r>
    </w:p>
    <w:p w14:paraId="518A242C" w14:textId="77777777" w:rsidR="00F90C5B" w:rsidRPr="009562B9" w:rsidRDefault="001816A6" w:rsidP="00F90C5B">
      <w:pPr>
        <w:rPr>
          <w:rFonts w:ascii="Times New Roman" w:hAnsi="Times New Roman"/>
          <w:sz w:val="24"/>
          <w:szCs w:val="24"/>
          <w:lang w:eastAsia="zh-CN"/>
        </w:rPr>
      </w:pPr>
      <m:oMathPara>
        <m:oMath>
          <m:sSub>
            <m:sSubPr>
              <m:ctrlPr>
                <w:rPr>
                  <w:rFonts w:ascii="Cambria Math" w:hAnsi="Cambria Math"/>
                  <w:sz w:val="24"/>
                  <w:szCs w:val="24"/>
                  <w:lang w:eastAsia="zh-CN"/>
                </w:rPr>
              </m:ctrlPr>
            </m:sSubPr>
            <m:e>
              <m:r>
                <w:rPr>
                  <w:rFonts w:ascii="Cambria Math" w:hAnsi="Cambria Math"/>
                  <w:sz w:val="24"/>
                  <w:szCs w:val="24"/>
                  <w:lang w:eastAsia="zh-CN"/>
                </w:rPr>
                <m:t>A</m:t>
              </m:r>
            </m:e>
            <m:sub>
              <m:r>
                <w:rPr>
                  <w:rFonts w:ascii="Cambria Math" w:hAnsi="Cambria Math"/>
                  <w:sz w:val="24"/>
                  <w:szCs w:val="24"/>
                  <w:lang w:eastAsia="zh-CN"/>
                </w:rPr>
                <m:t>i</m:t>
              </m:r>
            </m:sub>
          </m:sSub>
          <m:r>
            <w:rPr>
              <w:rFonts w:ascii="Cambria Math" w:hAnsi="Cambria Math"/>
              <w:sz w:val="24"/>
              <w:szCs w:val="24"/>
              <w:lang w:eastAsia="zh-CN"/>
            </w:rPr>
            <m:t>={x∈</m:t>
          </m:r>
          <m:sSup>
            <m:sSupPr>
              <m:ctrlPr>
                <w:rPr>
                  <w:rFonts w:ascii="Cambria Math" w:hAnsi="Cambria Math"/>
                  <w:sz w:val="24"/>
                  <w:szCs w:val="24"/>
                  <w:lang w:eastAsia="zh-CN"/>
                </w:rPr>
              </m:ctrlPr>
            </m:sSupPr>
            <m:e>
              <m:r>
                <m:rPr>
                  <m:scr m:val="double-struck"/>
                  <m:sty m:val="p"/>
                </m:rPr>
                <w:rPr>
                  <w:rFonts w:ascii="Cambria Math" w:hAnsi="Cambria Math"/>
                  <w:sz w:val="24"/>
                  <w:szCs w:val="24"/>
                  <w:lang w:eastAsia="zh-CN"/>
                </w:rPr>
                <m:t>R</m:t>
              </m:r>
            </m:e>
            <m:sup>
              <m:r>
                <w:rPr>
                  <w:rFonts w:ascii="Cambria Math" w:hAnsi="Cambria Math"/>
                  <w:sz w:val="24"/>
                  <w:szCs w:val="24"/>
                  <w:lang w:eastAsia="zh-CN"/>
                </w:rPr>
                <m:t>2</m:t>
              </m:r>
            </m:sup>
          </m:sSup>
          <m:r>
            <w:rPr>
              <w:rFonts w:ascii="Cambria Math" w:hAnsi="Cambria Math"/>
              <w:sz w:val="24"/>
              <w:szCs w:val="24"/>
              <w:lang w:eastAsia="zh-CN"/>
            </w:rPr>
            <m:t>∣d(x,</m:t>
          </m:r>
          <m:sSub>
            <m:sSubPr>
              <m:ctrlPr>
                <w:rPr>
                  <w:rFonts w:ascii="Cambria Math" w:hAnsi="Cambria Math"/>
                  <w:sz w:val="24"/>
                  <w:szCs w:val="24"/>
                  <w:lang w:eastAsia="zh-CN"/>
                </w:rPr>
              </m:ctrlPr>
            </m:sSubPr>
            <m:e>
              <m:r>
                <w:rPr>
                  <w:rFonts w:ascii="Cambria Math" w:hAnsi="Cambria Math"/>
                  <w:sz w:val="24"/>
                  <w:szCs w:val="24"/>
                  <w:lang w:eastAsia="zh-CN"/>
                </w:rPr>
                <m:t>h</m:t>
              </m:r>
            </m:e>
            <m:sub>
              <m:r>
                <w:rPr>
                  <w:rFonts w:ascii="Cambria Math" w:hAnsi="Cambria Math"/>
                  <w:sz w:val="24"/>
                  <w:szCs w:val="24"/>
                  <w:lang w:eastAsia="zh-CN"/>
                </w:rPr>
                <m:t>i</m:t>
              </m:r>
            </m:sub>
          </m:sSub>
          <m:r>
            <w:rPr>
              <w:rFonts w:ascii="Cambria Math" w:hAnsi="Cambria Math"/>
              <w:sz w:val="24"/>
              <w:szCs w:val="24"/>
              <w:lang w:eastAsia="zh-CN"/>
            </w:rPr>
            <m:t>)≤D}</m:t>
          </m:r>
          <m:r>
            <m:rPr>
              <m:sty m:val="p"/>
            </m:rPr>
            <w:rPr>
              <w:rFonts w:ascii="Cambria Math" w:hAnsi="Cambria Math"/>
              <w:sz w:val="24"/>
              <w:szCs w:val="24"/>
              <w:lang w:eastAsia="zh-CN"/>
            </w:rPr>
            <w:br/>
          </m:r>
        </m:oMath>
      </m:oMathPara>
    </w:p>
    <w:p w14:paraId="3B9A7E7B" w14:textId="77777777" w:rsidR="00F90C5B" w:rsidRPr="009562B9" w:rsidRDefault="00F90C5B" w:rsidP="00F90C5B">
      <w:pPr>
        <w:pStyle w:val="Body"/>
        <w:spacing w:after="0"/>
        <w:rPr>
          <w:rFonts w:ascii="Arial" w:hAnsi="Arial" w:cs="Arial"/>
        </w:rPr>
      </w:pPr>
      <w:r w:rsidRPr="009562B9">
        <w:rPr>
          <w:rFonts w:ascii="Arial" w:hAnsi="Arial" w:cs="Arial"/>
        </w:rPr>
        <w:t xml:space="preserve">where </w:t>
      </w:r>
      <m:oMath>
        <m:r>
          <w:rPr>
            <w:rFonts w:ascii="Cambria Math" w:hAnsi="Cambria Math" w:cs="Arial"/>
          </w:rPr>
          <m:t>d</m:t>
        </m:r>
        <m:r>
          <m:rPr>
            <m:sty m:val="p"/>
          </m:rPr>
          <w:rPr>
            <w:rFonts w:ascii="Cambria Math" w:hAnsi="Cambria Math" w:cs="Arial"/>
          </w:rPr>
          <m:t>(</m:t>
        </m:r>
        <m:r>
          <w:rPr>
            <w:rFonts w:ascii="Cambria Math" w:hAnsi="Cambria Math" w:cs="Arial"/>
          </w:rPr>
          <m:t>x</m:t>
        </m:r>
        <m:r>
          <m:rPr>
            <m:sty m:val="p"/>
          </m:rPr>
          <w:rPr>
            <w:rFonts w:ascii="Cambria Math" w:hAnsi="Cambria Math" w:cs="Arial"/>
          </w:rPr>
          <m:t>,</m:t>
        </m:r>
        <m:sSub>
          <m:sSubPr>
            <m:ctrlPr>
              <w:rPr>
                <w:rFonts w:ascii="Cambria Math" w:hAnsi="Cambria Math" w:cs="Arial"/>
              </w:rPr>
            </m:ctrlPr>
          </m:sSubPr>
          <m:e>
            <m:r>
              <w:rPr>
                <w:rFonts w:ascii="Cambria Math" w:hAnsi="Cambria Math" w:cs="Arial"/>
              </w:rPr>
              <m:t>h</m:t>
            </m:r>
          </m:e>
          <m:sub>
            <m:r>
              <w:rPr>
                <w:rFonts w:ascii="Cambria Math" w:hAnsi="Cambria Math" w:cs="Arial"/>
              </w:rPr>
              <m:t>i</m:t>
            </m:r>
          </m:sub>
        </m:sSub>
        <m:r>
          <m:rPr>
            <m:sty m:val="p"/>
          </m:rPr>
          <w:rPr>
            <w:rFonts w:ascii="Cambria Math" w:hAnsi="Cambria Math" w:cs="Arial"/>
          </w:rPr>
          <m:t>)</m:t>
        </m:r>
      </m:oMath>
      <w:r w:rsidRPr="009562B9">
        <w:rPr>
          <w:rFonts w:ascii="Arial" w:hAnsi="Arial" w:cs="Arial"/>
        </w:rPr>
        <w:t xml:space="preserve">denotes the Euclidean distance between location </w:t>
      </w:r>
      <m:oMath>
        <m:r>
          <w:rPr>
            <w:rFonts w:ascii="Cambria Math" w:hAnsi="Cambria Math" w:cs="Arial"/>
          </w:rPr>
          <m:t>x</m:t>
        </m:r>
      </m:oMath>
      <w:r w:rsidRPr="009562B9">
        <w:rPr>
          <w:rFonts w:ascii="Arial" w:hAnsi="Arial" w:cs="Arial"/>
        </w:rPr>
        <w:t xml:space="preserve">and health center </w:t>
      </w:r>
      <m:oMath>
        <m:sSub>
          <m:sSubPr>
            <m:ctrlPr>
              <w:rPr>
                <w:rFonts w:ascii="Cambria Math" w:hAnsi="Cambria Math" w:cs="Arial"/>
              </w:rPr>
            </m:ctrlPr>
          </m:sSubPr>
          <m:e>
            <m:r>
              <w:rPr>
                <w:rFonts w:ascii="Cambria Math" w:hAnsi="Cambria Math" w:cs="Arial"/>
              </w:rPr>
              <m:t>h</m:t>
            </m:r>
          </m:e>
          <m:sub>
            <m:r>
              <w:rPr>
                <w:rFonts w:ascii="Cambria Math" w:hAnsi="Cambria Math" w:cs="Arial"/>
              </w:rPr>
              <m:t>i</m:t>
            </m:r>
          </m:sub>
        </m:sSub>
      </m:oMath>
      <w:r w:rsidRPr="009562B9">
        <w:rPr>
          <w:rFonts w:ascii="Arial" w:hAnsi="Arial" w:cs="Arial"/>
        </w:rPr>
        <w:t xml:space="preserve">, and </w:t>
      </w:r>
      <m:oMath>
        <m:r>
          <w:rPr>
            <w:rFonts w:ascii="Cambria Math" w:hAnsi="Cambria Math" w:cs="Arial"/>
          </w:rPr>
          <m:t>D</m:t>
        </m:r>
        <m:r>
          <m:rPr>
            <m:sty m:val="p"/>
          </m:rPr>
          <w:rPr>
            <w:rFonts w:ascii="Cambria Math" w:hAnsi="Cambria Math" w:cs="Arial"/>
          </w:rPr>
          <m:t>=20</m:t>
        </m:r>
      </m:oMath>
      <w:r w:rsidRPr="009562B9">
        <w:rPr>
          <w:rFonts w:ascii="Arial" w:hAnsi="Arial" w:cs="Arial"/>
        </w:rPr>
        <w:t xml:space="preserve">km represents the maximum acceptable travel distance for accessing primary </w:t>
      </w:r>
      <w:r w:rsidRPr="009562B9">
        <w:rPr>
          <w:rFonts w:ascii="Arial" w:hAnsi="Arial" w:cs="Arial"/>
        </w:rPr>
        <w:lastRenderedPageBreak/>
        <w:t>healthcare services in rural contexts. This formulation corresponds to the Buffer operation applied to health facility locations.</w:t>
      </w:r>
    </w:p>
    <w:p w14:paraId="0DEF926E" w14:textId="77777777" w:rsidR="00AA1D00" w:rsidRPr="009562B9" w:rsidRDefault="00AA1D00" w:rsidP="00F90C5B">
      <w:pPr>
        <w:pStyle w:val="Body"/>
        <w:spacing w:after="0"/>
        <w:rPr>
          <w:rFonts w:ascii="Arial" w:hAnsi="Arial" w:cs="Arial"/>
        </w:rPr>
      </w:pPr>
    </w:p>
    <w:p w14:paraId="6603FD25" w14:textId="22F1F4CA" w:rsidR="00F90C5B" w:rsidRPr="009562B9" w:rsidRDefault="00AA1D00" w:rsidP="00AA1D00">
      <w:pPr>
        <w:pStyle w:val="Body"/>
        <w:spacing w:after="0"/>
        <w:rPr>
          <w:rFonts w:ascii="Arial" w:hAnsi="Arial" w:cs="Arial"/>
          <w:i/>
        </w:rPr>
      </w:pPr>
      <w:r w:rsidRPr="009562B9">
        <w:rPr>
          <w:rFonts w:ascii="Arial" w:hAnsi="Arial" w:cs="Arial"/>
          <w:i/>
        </w:rPr>
        <w:t>3.1.2.</w:t>
      </w:r>
      <w:r w:rsidR="00F90C5B" w:rsidRPr="009562B9">
        <w:rPr>
          <w:rFonts w:ascii="Arial" w:hAnsi="Arial" w:cs="Arial"/>
          <w:i/>
        </w:rPr>
        <w:t>2 Transportation Network Influence</w:t>
      </w:r>
    </w:p>
    <w:p w14:paraId="7BEEFC4D" w14:textId="77777777" w:rsidR="00AA1D00" w:rsidRPr="009562B9" w:rsidRDefault="00AA1D00" w:rsidP="00AA1D00">
      <w:pPr>
        <w:pStyle w:val="Body"/>
        <w:spacing w:after="0"/>
        <w:rPr>
          <w:rFonts w:ascii="Arial" w:hAnsi="Arial" w:cs="Arial"/>
          <w:i/>
        </w:rPr>
      </w:pPr>
    </w:p>
    <w:p w14:paraId="4213618A" w14:textId="77777777" w:rsidR="00F90C5B" w:rsidRPr="009562B9" w:rsidRDefault="00F90C5B" w:rsidP="00F90C5B">
      <w:pPr>
        <w:pStyle w:val="Body"/>
        <w:spacing w:after="0"/>
        <w:rPr>
          <w:rFonts w:ascii="Arial" w:hAnsi="Arial" w:cs="Arial"/>
        </w:rPr>
      </w:pPr>
      <w:r w:rsidRPr="009562B9">
        <w:rPr>
          <w:rFonts w:ascii="Arial" w:hAnsi="Arial" w:cs="Arial"/>
        </w:rPr>
        <w:t xml:space="preserve">To account for the role of transportation infrastructure in accessibility, road segments </w:t>
      </w:r>
      <m:oMath>
        <m:sSub>
          <m:sSubPr>
            <m:ctrlPr>
              <w:rPr>
                <w:rFonts w:ascii="Cambria Math" w:hAnsi="Cambria Math" w:cs="Arial"/>
              </w:rPr>
            </m:ctrlPr>
          </m:sSubPr>
          <m:e>
            <m:r>
              <w:rPr>
                <w:rFonts w:ascii="Cambria Math" w:hAnsi="Cambria Math" w:cs="Arial"/>
              </w:rPr>
              <m:t>r</m:t>
            </m:r>
          </m:e>
          <m:sub>
            <m:r>
              <w:rPr>
                <w:rFonts w:ascii="Cambria Math" w:hAnsi="Cambria Math" w:cs="Arial"/>
              </w:rPr>
              <m:t>j</m:t>
            </m:r>
          </m:sub>
        </m:sSub>
      </m:oMath>
      <w:r w:rsidRPr="009562B9">
        <w:rPr>
          <w:rFonts w:ascii="Arial" w:hAnsi="Arial" w:cs="Arial"/>
        </w:rPr>
        <w:t>are incorporated into the model. Areas influenced by the road network are defined as:</w:t>
      </w:r>
    </w:p>
    <w:p w14:paraId="7C91B097" w14:textId="77777777" w:rsidR="00F90C5B" w:rsidRPr="009562B9" w:rsidRDefault="00F90C5B" w:rsidP="00F90C5B">
      <w:pPr>
        <w:rPr>
          <w:rFonts w:ascii="Times New Roman" w:hAnsi="Times New Roman"/>
          <w:sz w:val="24"/>
          <w:szCs w:val="24"/>
          <w:lang w:eastAsia="zh-CN"/>
        </w:rPr>
      </w:pPr>
      <m:oMathPara>
        <m:oMath>
          <m:r>
            <w:rPr>
              <w:rFonts w:ascii="Cambria Math" w:hAnsi="Cambria Math"/>
              <w:sz w:val="24"/>
              <w:szCs w:val="24"/>
              <w:lang w:eastAsia="zh-CN"/>
            </w:rPr>
            <m:t>R=</m:t>
          </m:r>
          <m:nary>
            <m:naryPr>
              <m:chr m:val="⋃"/>
              <m:limLoc m:val="undOvr"/>
              <m:grow m:val="1"/>
              <m:ctrlPr>
                <w:rPr>
                  <w:rFonts w:ascii="Cambria Math" w:hAnsi="Cambria Math"/>
                  <w:sz w:val="24"/>
                  <w:szCs w:val="24"/>
                  <w:lang w:eastAsia="zh-CN"/>
                </w:rPr>
              </m:ctrlPr>
            </m:naryPr>
            <m:sub>
              <m:r>
                <w:rPr>
                  <w:rFonts w:ascii="Cambria Math" w:hAnsi="Cambria Math"/>
                  <w:sz w:val="24"/>
                  <w:szCs w:val="24"/>
                  <w:lang w:eastAsia="zh-CN"/>
                </w:rPr>
                <m:t>j=1</m:t>
              </m:r>
            </m:sub>
            <m:sup>
              <m:r>
                <w:rPr>
                  <w:rFonts w:ascii="Cambria Math" w:hAnsi="Cambria Math"/>
                  <w:sz w:val="24"/>
                  <w:szCs w:val="24"/>
                  <w:lang w:eastAsia="zh-CN"/>
                </w:rPr>
                <m:t>n</m:t>
              </m:r>
            </m:sup>
            <m:e>
              <m:r>
                <w:rPr>
                  <w:rFonts w:ascii="Cambria Math" w:hAnsi="Cambria Math"/>
                  <w:sz w:val="24"/>
                  <w:szCs w:val="24"/>
                  <w:lang w:eastAsia="zh-CN"/>
                </w:rPr>
                <m:t>{x∈</m:t>
              </m:r>
            </m:e>
          </m:nary>
          <m:sSup>
            <m:sSupPr>
              <m:ctrlPr>
                <w:rPr>
                  <w:rFonts w:ascii="Cambria Math" w:hAnsi="Cambria Math"/>
                  <w:sz w:val="24"/>
                  <w:szCs w:val="24"/>
                  <w:lang w:eastAsia="zh-CN"/>
                </w:rPr>
              </m:ctrlPr>
            </m:sSupPr>
            <m:e>
              <m:r>
                <m:rPr>
                  <m:scr m:val="double-struck"/>
                  <m:sty m:val="p"/>
                </m:rPr>
                <w:rPr>
                  <w:rFonts w:ascii="Cambria Math" w:hAnsi="Cambria Math"/>
                  <w:sz w:val="24"/>
                  <w:szCs w:val="24"/>
                  <w:lang w:eastAsia="zh-CN"/>
                </w:rPr>
                <m:t>R</m:t>
              </m:r>
            </m:e>
            <m:sup>
              <m:r>
                <w:rPr>
                  <w:rFonts w:ascii="Cambria Math" w:hAnsi="Cambria Math"/>
                  <w:sz w:val="24"/>
                  <w:szCs w:val="24"/>
                  <w:lang w:eastAsia="zh-CN"/>
                </w:rPr>
                <m:t>2</m:t>
              </m:r>
            </m:sup>
          </m:sSup>
          <m:r>
            <w:rPr>
              <w:rFonts w:ascii="Cambria Math" w:hAnsi="Cambria Math"/>
              <w:sz w:val="24"/>
              <w:szCs w:val="24"/>
              <w:lang w:eastAsia="zh-CN"/>
            </w:rPr>
            <m:t>∣d(x,</m:t>
          </m:r>
          <m:sSub>
            <m:sSubPr>
              <m:ctrlPr>
                <w:rPr>
                  <w:rFonts w:ascii="Cambria Math" w:hAnsi="Cambria Math"/>
                  <w:sz w:val="24"/>
                  <w:szCs w:val="24"/>
                  <w:lang w:eastAsia="zh-CN"/>
                </w:rPr>
              </m:ctrlPr>
            </m:sSubPr>
            <m:e>
              <m:r>
                <w:rPr>
                  <w:rFonts w:ascii="Cambria Math" w:hAnsi="Cambria Math"/>
                  <w:sz w:val="24"/>
                  <w:szCs w:val="24"/>
                  <w:lang w:eastAsia="zh-CN"/>
                </w:rPr>
                <m:t>r</m:t>
              </m:r>
            </m:e>
            <m:sub>
              <m:r>
                <w:rPr>
                  <w:rFonts w:ascii="Cambria Math" w:hAnsi="Cambria Math"/>
                  <w:sz w:val="24"/>
                  <w:szCs w:val="24"/>
                  <w:lang w:eastAsia="zh-CN"/>
                </w:rPr>
                <m:t>j</m:t>
              </m:r>
            </m:sub>
          </m:sSub>
          <m: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r</m:t>
              </m:r>
            </m:sub>
          </m:sSub>
          <m:r>
            <w:rPr>
              <w:rFonts w:ascii="Cambria Math" w:hAnsi="Cambria Math"/>
              <w:sz w:val="24"/>
              <w:szCs w:val="24"/>
              <w:lang w:eastAsia="zh-CN"/>
            </w:rPr>
            <m:t>}</m:t>
          </m:r>
          <m:r>
            <m:rPr>
              <m:sty m:val="p"/>
            </m:rPr>
            <w:rPr>
              <w:rFonts w:ascii="Cambria Math" w:hAnsi="Cambria Math"/>
              <w:sz w:val="24"/>
              <w:szCs w:val="24"/>
              <w:lang w:eastAsia="zh-CN"/>
            </w:rPr>
            <w:br/>
          </m:r>
        </m:oMath>
      </m:oMathPara>
    </w:p>
    <w:p w14:paraId="7C30794D" w14:textId="77777777" w:rsidR="00F90C5B" w:rsidRPr="009562B9" w:rsidRDefault="00F90C5B" w:rsidP="00F90C5B">
      <w:pPr>
        <w:pStyle w:val="Body"/>
        <w:spacing w:after="0"/>
        <w:rPr>
          <w:rFonts w:ascii="Arial" w:hAnsi="Arial" w:cs="Arial"/>
        </w:rPr>
      </w:pPr>
      <w:r w:rsidRPr="009562B9">
        <w:rPr>
          <w:rFonts w:ascii="Arial" w:hAnsi="Arial" w:cs="Arial"/>
        </w:rPr>
        <w:t xml:space="preserve">where </w:t>
      </w:r>
      <m:oMath>
        <m:sSub>
          <m:sSubPr>
            <m:ctrlPr>
              <w:rPr>
                <w:rFonts w:ascii="Cambria Math" w:hAnsi="Cambria Math" w:cs="Arial"/>
              </w:rPr>
            </m:ctrlPr>
          </m:sSubPr>
          <m:e>
            <m:r>
              <w:rPr>
                <w:rFonts w:ascii="Cambria Math" w:hAnsi="Cambria Math" w:cs="Arial"/>
              </w:rPr>
              <m:t>d</m:t>
            </m:r>
          </m:e>
          <m:sub>
            <m:r>
              <w:rPr>
                <w:rFonts w:ascii="Cambria Math" w:hAnsi="Cambria Math" w:cs="Arial"/>
              </w:rPr>
              <m:t>r</m:t>
            </m:r>
          </m:sub>
        </m:sSub>
      </m:oMath>
      <w:r w:rsidRPr="009562B9">
        <w:rPr>
          <w:rFonts w:ascii="Arial" w:hAnsi="Arial" w:cs="Arial"/>
        </w:rPr>
        <w:t xml:space="preserve">is the buffer distance around roads (5 </w:t>
      </w:r>
      <w:proofErr w:type="gramStart"/>
      <w:r w:rsidRPr="009562B9">
        <w:rPr>
          <w:rFonts w:ascii="Arial" w:hAnsi="Arial" w:cs="Arial"/>
        </w:rPr>
        <w:t>km).</w:t>
      </w:r>
      <w:proofErr w:type="gramEnd"/>
      <w:r w:rsidRPr="009562B9">
        <w:rPr>
          <w:rFonts w:ascii="Arial" w:hAnsi="Arial" w:cs="Arial"/>
        </w:rPr>
        <w:t xml:space="preserve"> This step reflects enhanced accessibility along transport corridors and is implemented through </w:t>
      </w:r>
      <w:r w:rsidRPr="009562B9">
        <w:rPr>
          <w:rFonts w:ascii="Arial" w:hAnsi="Arial" w:cs="Arial"/>
          <w:i/>
          <w:iCs/>
        </w:rPr>
        <w:t>Route</w:t>
      </w:r>
      <w:r w:rsidRPr="009562B9">
        <w:rPr>
          <w:rFonts w:ascii="Arial" w:hAnsi="Arial" w:cs="Arial"/>
        </w:rPr>
        <w:t xml:space="preserve"> and </w:t>
      </w:r>
      <w:r w:rsidRPr="009562B9">
        <w:rPr>
          <w:rFonts w:ascii="Arial" w:hAnsi="Arial" w:cs="Arial"/>
          <w:i/>
          <w:iCs/>
        </w:rPr>
        <w:t>Buffer</w:t>
      </w:r>
      <w:r w:rsidRPr="009562B9">
        <w:rPr>
          <w:rFonts w:ascii="Arial" w:hAnsi="Arial" w:cs="Arial"/>
        </w:rPr>
        <w:t xml:space="preserve"> tools.</w:t>
      </w:r>
    </w:p>
    <w:p w14:paraId="0B6D1DFD" w14:textId="77777777" w:rsidR="00F90C5B" w:rsidRPr="009562B9" w:rsidRDefault="00F90C5B" w:rsidP="00813752">
      <w:pPr>
        <w:pStyle w:val="Body"/>
        <w:spacing w:after="0"/>
        <w:rPr>
          <w:rFonts w:ascii="Arial" w:hAnsi="Arial" w:cs="Arial"/>
          <w:b/>
          <w:u w:val="single"/>
        </w:rPr>
      </w:pPr>
    </w:p>
    <w:p w14:paraId="3F06371F" w14:textId="1B974844" w:rsidR="00F90C5B" w:rsidRPr="009562B9" w:rsidRDefault="0044305F" w:rsidP="0044305F">
      <w:pPr>
        <w:pStyle w:val="Body"/>
        <w:spacing w:after="0"/>
        <w:rPr>
          <w:rFonts w:ascii="Arial" w:hAnsi="Arial" w:cs="Arial"/>
          <w:i/>
        </w:rPr>
      </w:pPr>
      <w:r w:rsidRPr="009562B9">
        <w:rPr>
          <w:rFonts w:ascii="Arial" w:hAnsi="Arial" w:cs="Arial"/>
          <w:i/>
        </w:rPr>
        <w:t>3.1.2.</w:t>
      </w:r>
      <w:r w:rsidR="00F90C5B" w:rsidRPr="009562B9">
        <w:rPr>
          <w:rFonts w:ascii="Arial" w:hAnsi="Arial" w:cs="Arial"/>
          <w:i/>
        </w:rPr>
        <w:t>3 Identification of Underserved Areas</w:t>
      </w:r>
    </w:p>
    <w:p w14:paraId="515C65D8" w14:textId="77777777" w:rsidR="0044305F" w:rsidRPr="009562B9" w:rsidRDefault="0044305F" w:rsidP="0044305F">
      <w:pPr>
        <w:pStyle w:val="Body"/>
        <w:spacing w:after="0"/>
        <w:rPr>
          <w:rFonts w:ascii="Arial" w:hAnsi="Arial" w:cs="Arial"/>
          <w:i/>
        </w:rPr>
      </w:pPr>
    </w:p>
    <w:p w14:paraId="6C7D79B9" w14:textId="77777777" w:rsidR="00F90C5B" w:rsidRPr="009562B9" w:rsidRDefault="00F90C5B" w:rsidP="00F90C5B">
      <w:pPr>
        <w:pStyle w:val="Body"/>
        <w:spacing w:after="0"/>
        <w:rPr>
          <w:rFonts w:ascii="Arial" w:hAnsi="Arial" w:cs="Arial"/>
        </w:rPr>
      </w:pPr>
      <w:r w:rsidRPr="009562B9">
        <w:rPr>
          <w:rFonts w:ascii="Arial" w:hAnsi="Arial" w:cs="Arial"/>
        </w:rPr>
        <w:t xml:space="preserve">Areas already served by the existing health center are excluded to identify priority zones for new infrastructure. The underserved area </w:t>
      </w:r>
      <m:oMath>
        <m:r>
          <w:rPr>
            <w:rFonts w:ascii="Cambria Math" w:hAnsi="Cambria Math" w:cs="Arial"/>
          </w:rPr>
          <m:t>U</m:t>
        </m:r>
      </m:oMath>
      <w:r w:rsidRPr="009562B9">
        <w:rPr>
          <w:rFonts w:ascii="Arial" w:hAnsi="Arial" w:cs="Arial"/>
        </w:rPr>
        <w:t>is defined as:</w:t>
      </w:r>
    </w:p>
    <w:p w14:paraId="24B3A9C4" w14:textId="77777777" w:rsidR="00F90C5B" w:rsidRPr="009562B9" w:rsidRDefault="00F90C5B" w:rsidP="00F90C5B">
      <w:pPr>
        <w:rPr>
          <w:rFonts w:ascii="Times New Roman" w:hAnsi="Times New Roman"/>
          <w:sz w:val="24"/>
          <w:szCs w:val="24"/>
          <w:lang w:eastAsia="zh-CN"/>
        </w:rPr>
      </w:pPr>
      <m:oMathPara>
        <m:oMath>
          <m:r>
            <w:rPr>
              <w:rFonts w:ascii="Cambria Math" w:hAnsi="Cambria Math"/>
              <w:sz w:val="24"/>
              <w:szCs w:val="24"/>
              <w:lang w:eastAsia="zh-CN"/>
            </w:rPr>
            <m:t>U=</m:t>
          </m:r>
          <m:sSub>
            <m:sSubPr>
              <m:ctrlPr>
                <w:rPr>
                  <w:rFonts w:ascii="Cambria Math" w:hAnsi="Cambria Math"/>
                  <w:sz w:val="24"/>
                  <w:szCs w:val="24"/>
                  <w:lang w:eastAsia="zh-CN"/>
                </w:rPr>
              </m:ctrlPr>
            </m:sSubPr>
            <m:e>
              <m:r>
                <w:rPr>
                  <w:rFonts w:ascii="Cambria Math" w:hAnsi="Cambria Math"/>
                  <w:sz w:val="24"/>
                  <w:szCs w:val="24"/>
                  <w:lang w:eastAsia="zh-CN"/>
                </w:rPr>
                <m:t>A</m:t>
              </m:r>
            </m:e>
            <m:sub>
              <m:r>
                <m:rPr>
                  <m:nor/>
                </m:rPr>
                <w:rPr>
                  <w:rFonts w:ascii="Times New Roman" w:hAnsi="Times New Roman"/>
                  <w:sz w:val="24"/>
                  <w:szCs w:val="24"/>
                  <w:lang w:eastAsia="zh-CN"/>
                </w:rPr>
                <m:t>potential</m:t>
              </m:r>
            </m:sub>
          </m:sSub>
          <m: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A</m:t>
              </m:r>
            </m:e>
            <m:sub>
              <m:r>
                <m:rPr>
                  <m:nor/>
                </m:rPr>
                <w:rPr>
                  <w:rFonts w:ascii="Times New Roman" w:hAnsi="Times New Roman"/>
                  <w:sz w:val="24"/>
                  <w:szCs w:val="24"/>
                  <w:lang w:eastAsia="zh-CN"/>
                </w:rPr>
                <m:t>existing</m:t>
              </m:r>
            </m:sub>
          </m:sSub>
          <m:r>
            <m:rPr>
              <m:sty m:val="p"/>
            </m:rPr>
            <w:rPr>
              <w:rFonts w:ascii="Cambria Math" w:hAnsi="Cambria Math"/>
              <w:sz w:val="24"/>
              <w:szCs w:val="24"/>
              <w:lang w:eastAsia="zh-CN"/>
            </w:rPr>
            <w:br/>
          </m:r>
        </m:oMath>
      </m:oMathPara>
    </w:p>
    <w:p w14:paraId="1B848BE9" w14:textId="77777777" w:rsidR="00F90C5B" w:rsidRPr="009562B9" w:rsidRDefault="00F90C5B" w:rsidP="00F90C5B">
      <w:pPr>
        <w:pStyle w:val="Body"/>
        <w:spacing w:after="0"/>
        <w:rPr>
          <w:rFonts w:ascii="Arial" w:hAnsi="Arial" w:cs="Arial"/>
        </w:rPr>
      </w:pPr>
      <w:r w:rsidRPr="009562B9">
        <w:rPr>
          <w:rFonts w:ascii="Arial" w:hAnsi="Arial" w:cs="Arial"/>
        </w:rPr>
        <w:t xml:space="preserve">where </w:t>
      </w:r>
      <m:oMath>
        <m:sSub>
          <m:sSubPr>
            <m:ctrlPr>
              <w:rPr>
                <w:rFonts w:ascii="Cambria Math" w:hAnsi="Cambria Math" w:cs="Arial"/>
              </w:rPr>
            </m:ctrlPr>
          </m:sSubPr>
          <m:e>
            <m:r>
              <w:rPr>
                <w:rFonts w:ascii="Cambria Math" w:hAnsi="Cambria Math" w:cs="Arial"/>
              </w:rPr>
              <m:t>A</m:t>
            </m:r>
          </m:e>
          <m:sub>
            <m:r>
              <m:rPr>
                <m:nor/>
              </m:rPr>
              <w:rPr>
                <w:rFonts w:ascii="Arial" w:hAnsi="Arial" w:cs="Arial"/>
              </w:rPr>
              <m:t>existing</m:t>
            </m:r>
          </m:sub>
        </m:sSub>
      </m:oMath>
      <w:r w:rsidRPr="009562B9">
        <w:rPr>
          <w:rFonts w:ascii="Arial" w:hAnsi="Arial" w:cs="Arial"/>
        </w:rPr>
        <w:t xml:space="preserve">and </w:t>
      </w:r>
      <m:oMath>
        <m:sSub>
          <m:sSubPr>
            <m:ctrlPr>
              <w:rPr>
                <w:rFonts w:ascii="Cambria Math" w:hAnsi="Cambria Math" w:cs="Arial"/>
              </w:rPr>
            </m:ctrlPr>
          </m:sSubPr>
          <m:e>
            <m:r>
              <w:rPr>
                <w:rFonts w:ascii="Cambria Math" w:hAnsi="Cambria Math" w:cs="Arial"/>
              </w:rPr>
              <m:t>A</m:t>
            </m:r>
          </m:e>
          <m:sub>
            <m:r>
              <m:rPr>
                <m:nor/>
              </m:rPr>
              <w:rPr>
                <w:rFonts w:ascii="Arial" w:hAnsi="Arial" w:cs="Arial"/>
              </w:rPr>
              <m:t>potential</m:t>
            </m:r>
          </m:sub>
        </m:sSub>
      </m:oMath>
      <w:r w:rsidRPr="009562B9">
        <w:rPr>
          <w:rFonts w:ascii="Arial" w:hAnsi="Arial" w:cs="Arial"/>
        </w:rPr>
        <w:t>represent the service areas of the existing and proposed health centers, respectively. This spatial subtraction is performed using the Erase tool.</w:t>
      </w:r>
    </w:p>
    <w:p w14:paraId="2D052995" w14:textId="77777777" w:rsidR="00F90C5B" w:rsidRPr="009562B9" w:rsidRDefault="00F90C5B" w:rsidP="00813752">
      <w:pPr>
        <w:pStyle w:val="Body"/>
        <w:spacing w:after="0"/>
        <w:rPr>
          <w:rFonts w:ascii="Arial" w:hAnsi="Arial" w:cs="Arial"/>
          <w:b/>
          <w:u w:val="single"/>
        </w:rPr>
      </w:pPr>
    </w:p>
    <w:p w14:paraId="7186960E" w14:textId="2993D7F8" w:rsidR="00F90C5B" w:rsidRPr="009562B9" w:rsidRDefault="0044305F" w:rsidP="0044305F">
      <w:pPr>
        <w:pStyle w:val="Body"/>
        <w:spacing w:after="0"/>
        <w:rPr>
          <w:rFonts w:ascii="Arial" w:hAnsi="Arial" w:cs="Arial"/>
          <w:i/>
        </w:rPr>
      </w:pPr>
      <w:r w:rsidRPr="009562B9">
        <w:rPr>
          <w:rFonts w:ascii="Arial" w:hAnsi="Arial" w:cs="Arial"/>
          <w:i/>
        </w:rPr>
        <w:t>3.1.2.</w:t>
      </w:r>
      <w:r w:rsidR="00F90C5B" w:rsidRPr="009562B9">
        <w:rPr>
          <w:rFonts w:ascii="Arial" w:hAnsi="Arial" w:cs="Arial"/>
          <w:i/>
        </w:rPr>
        <w:t>4. Selection of Population within Accessible Zones</w:t>
      </w:r>
    </w:p>
    <w:p w14:paraId="654B72D9" w14:textId="77777777" w:rsidR="0044305F" w:rsidRPr="009562B9" w:rsidRDefault="0044305F" w:rsidP="0044305F">
      <w:pPr>
        <w:pStyle w:val="Body"/>
        <w:spacing w:after="0"/>
        <w:rPr>
          <w:rFonts w:ascii="Arial" w:hAnsi="Arial" w:cs="Arial"/>
          <w:i/>
        </w:rPr>
      </w:pPr>
    </w:p>
    <w:p w14:paraId="53378767" w14:textId="77777777" w:rsidR="00F90C5B" w:rsidRPr="009562B9" w:rsidRDefault="00F90C5B" w:rsidP="00F90C5B">
      <w:pPr>
        <w:pStyle w:val="Body"/>
        <w:spacing w:after="0"/>
        <w:rPr>
          <w:rFonts w:ascii="Arial" w:hAnsi="Arial" w:cs="Arial"/>
        </w:rPr>
      </w:pPr>
      <w:r w:rsidRPr="009562B9">
        <w:rPr>
          <w:rFonts w:ascii="Arial" w:hAnsi="Arial" w:cs="Arial"/>
        </w:rPr>
        <w:t>Population settlements (villages and hamlets) are selected if they fall within the defined accessibility areas:</w:t>
      </w:r>
    </w:p>
    <w:p w14:paraId="14525F0D" w14:textId="77777777" w:rsidR="00F90C5B" w:rsidRPr="009562B9" w:rsidRDefault="001816A6" w:rsidP="00F90C5B">
      <w:pPr>
        <w:rPr>
          <w:rFonts w:ascii="Times New Roman" w:hAnsi="Times New Roman"/>
          <w:sz w:val="24"/>
          <w:szCs w:val="24"/>
          <w:lang w:eastAsia="zh-CN"/>
        </w:rPr>
      </w:pPr>
      <m:oMathPara>
        <m:oMath>
          <m:sSub>
            <m:sSubPr>
              <m:ctrlPr>
                <w:rPr>
                  <w:rFonts w:ascii="Cambria Math" w:hAnsi="Cambria Math"/>
                  <w:sz w:val="24"/>
                  <w:szCs w:val="24"/>
                  <w:lang w:eastAsia="zh-CN"/>
                </w:rPr>
              </m:ctrlPr>
            </m:sSubPr>
            <m:e>
              <m:r>
                <w:rPr>
                  <w:rFonts w:ascii="Cambria Math" w:hAnsi="Cambria Math"/>
                  <w:sz w:val="24"/>
                  <w:szCs w:val="24"/>
                  <w:lang w:eastAsia="zh-CN"/>
                </w:rPr>
                <m:t>p</m:t>
              </m:r>
            </m:e>
            <m:sub>
              <m:r>
                <w:rPr>
                  <w:rFonts w:ascii="Cambria Math" w:hAnsi="Cambria Math"/>
                  <w:sz w:val="24"/>
                  <w:szCs w:val="24"/>
                  <w:lang w:eastAsia="zh-CN"/>
                </w:rPr>
                <m:t>k</m:t>
              </m:r>
            </m:sub>
          </m:sSub>
          <m: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P</m:t>
              </m:r>
            </m:e>
            <m:sub>
              <m:r>
                <m:rPr>
                  <m:nor/>
                </m:rPr>
                <w:rPr>
                  <w:rFonts w:ascii="Times New Roman" w:hAnsi="Times New Roman"/>
                  <w:sz w:val="24"/>
                  <w:szCs w:val="24"/>
                  <w:lang w:eastAsia="zh-CN"/>
                </w:rPr>
                <m:t>acc</m:t>
              </m:r>
            </m:sub>
          </m:sSub>
          <m:r>
            <m:rPr>
              <m:nor/>
            </m:rPr>
            <w:rPr>
              <w:rFonts w:ascii="Times New Roman" w:hAnsi="Times New Roman"/>
              <w:sz w:val="24"/>
              <w:szCs w:val="24"/>
              <w:lang w:eastAsia="zh-CN"/>
            </w:rPr>
            <m:t>  </m:t>
          </m:r>
          <m:r>
            <w:rPr>
              <w:rFonts w:ascii="Cambria Math" w:hAnsi="Cambria Math"/>
              <w:sz w:val="24"/>
              <w:szCs w:val="24"/>
              <w:lang w:eastAsia="zh-CN"/>
            </w:rPr>
            <m:t>⟺</m:t>
          </m:r>
          <m:r>
            <m:rPr>
              <m:nor/>
            </m:rPr>
            <w:rPr>
              <w:rFonts w:ascii="Times New Roman" w:hAnsi="Times New Roman"/>
              <w:sz w:val="24"/>
              <w:szCs w:val="24"/>
              <w:lang w:eastAsia="zh-CN"/>
            </w:rPr>
            <m:t>  </m:t>
          </m:r>
          <m:sSub>
            <m:sSubPr>
              <m:ctrlPr>
                <w:rPr>
                  <w:rFonts w:ascii="Cambria Math" w:hAnsi="Cambria Math"/>
                  <w:sz w:val="24"/>
                  <w:szCs w:val="24"/>
                  <w:lang w:eastAsia="zh-CN"/>
                </w:rPr>
              </m:ctrlPr>
            </m:sSubPr>
            <m:e>
              <m:r>
                <w:rPr>
                  <w:rFonts w:ascii="Cambria Math" w:hAnsi="Cambria Math"/>
                  <w:sz w:val="24"/>
                  <w:szCs w:val="24"/>
                  <w:lang w:eastAsia="zh-CN"/>
                </w:rPr>
                <m:t>p</m:t>
              </m:r>
            </m:e>
            <m:sub>
              <m:r>
                <w:rPr>
                  <w:rFonts w:ascii="Cambria Math" w:hAnsi="Cambria Math"/>
                  <w:sz w:val="24"/>
                  <w:szCs w:val="24"/>
                  <w:lang w:eastAsia="zh-CN"/>
                </w:rPr>
                <m:t>k</m:t>
              </m:r>
            </m:sub>
          </m:sSub>
          <m: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A</m:t>
              </m:r>
            </m:e>
            <m:sub>
              <m:r>
                <w:rPr>
                  <w:rFonts w:ascii="Cambria Math" w:hAnsi="Cambria Math"/>
                  <w:sz w:val="24"/>
                  <w:szCs w:val="24"/>
                  <w:lang w:eastAsia="zh-CN"/>
                </w:rPr>
                <m:t>i</m:t>
              </m:r>
            </m:sub>
          </m:sSub>
          <m:r>
            <m:rPr>
              <m:sty m:val="p"/>
            </m:rPr>
            <w:rPr>
              <w:rFonts w:ascii="Cambria Math" w:hAnsi="Cambria Math"/>
              <w:sz w:val="24"/>
              <w:szCs w:val="24"/>
              <w:lang w:eastAsia="zh-CN"/>
            </w:rPr>
            <m:t>≠∅</m:t>
          </m:r>
          <m:r>
            <m:rPr>
              <m:sty m:val="p"/>
            </m:rPr>
            <w:rPr>
              <w:rFonts w:ascii="Cambria Math" w:hAnsi="Cambria Math"/>
              <w:sz w:val="24"/>
              <w:szCs w:val="24"/>
              <w:lang w:eastAsia="zh-CN"/>
            </w:rPr>
            <w:br/>
          </m:r>
        </m:oMath>
      </m:oMathPara>
    </w:p>
    <w:p w14:paraId="37152707" w14:textId="5695D486" w:rsidR="00F90C5B" w:rsidRPr="009562B9" w:rsidRDefault="00F90C5B" w:rsidP="00F90C5B">
      <w:pPr>
        <w:pStyle w:val="Body"/>
        <w:spacing w:after="0"/>
        <w:rPr>
          <w:rFonts w:ascii="Arial" w:hAnsi="Arial" w:cs="Arial"/>
        </w:rPr>
      </w:pPr>
      <w:r w:rsidRPr="009562B9">
        <w:rPr>
          <w:rFonts w:ascii="Arial" w:hAnsi="Arial" w:cs="Arial"/>
        </w:rPr>
        <w:t xml:space="preserve">where </w:t>
      </w:r>
      <m:oMath>
        <m:sSub>
          <m:sSubPr>
            <m:ctrlPr>
              <w:rPr>
                <w:rFonts w:ascii="Cambria Math" w:hAnsi="Cambria Math" w:cs="Arial"/>
              </w:rPr>
            </m:ctrlPr>
          </m:sSubPr>
          <m:e>
            <m:r>
              <w:rPr>
                <w:rFonts w:ascii="Cambria Math" w:hAnsi="Cambria Math" w:cs="Arial"/>
              </w:rPr>
              <m:t>p</m:t>
            </m:r>
          </m:e>
          <m:sub>
            <m:r>
              <w:rPr>
                <w:rFonts w:ascii="Cambria Math" w:hAnsi="Cambria Math" w:cs="Arial"/>
              </w:rPr>
              <m:t>k</m:t>
            </m:r>
          </m:sub>
        </m:sSub>
      </m:oMath>
      <w:r w:rsidRPr="009562B9">
        <w:rPr>
          <w:rFonts w:ascii="Arial" w:hAnsi="Arial" w:cs="Arial"/>
        </w:rPr>
        <w:t xml:space="preserve">denotes a population settlement and </w:t>
      </w:r>
      <m:oMath>
        <m:sSub>
          <m:sSubPr>
            <m:ctrlPr>
              <w:rPr>
                <w:rFonts w:ascii="Cambria Math" w:hAnsi="Cambria Math" w:cs="Arial"/>
              </w:rPr>
            </m:ctrlPr>
          </m:sSubPr>
          <m:e>
            <m:r>
              <w:rPr>
                <w:rFonts w:ascii="Cambria Math" w:hAnsi="Cambria Math" w:cs="Arial"/>
              </w:rPr>
              <m:t>P</m:t>
            </m:r>
          </m:e>
          <m:sub>
            <m:r>
              <m:rPr>
                <m:nor/>
              </m:rPr>
              <w:rPr>
                <w:rFonts w:ascii="Arial" w:hAnsi="Arial" w:cs="Arial"/>
              </w:rPr>
              <m:t>acc</m:t>
            </m:r>
          </m:sub>
        </m:sSub>
      </m:oMath>
      <w:r w:rsidRPr="009562B9">
        <w:rPr>
          <w:rFonts w:ascii="Arial" w:hAnsi="Arial" w:cs="Arial"/>
        </w:rPr>
        <w:t xml:space="preserve">is the set of settlements with healthcare access. This operation corresponds to the </w:t>
      </w:r>
      <w:r w:rsidRPr="009562B9">
        <w:rPr>
          <w:rFonts w:ascii="Arial" w:hAnsi="Arial" w:cs="Arial"/>
          <w:i/>
          <w:iCs/>
        </w:rPr>
        <w:t>Clip</w:t>
      </w:r>
      <w:r w:rsidRPr="009562B9">
        <w:rPr>
          <w:rFonts w:ascii="Arial" w:hAnsi="Arial" w:cs="Arial"/>
        </w:rPr>
        <w:t xml:space="preserve"> and </w:t>
      </w:r>
      <w:r w:rsidRPr="009562B9">
        <w:rPr>
          <w:rFonts w:ascii="Arial" w:hAnsi="Arial" w:cs="Arial"/>
          <w:i/>
          <w:iCs/>
        </w:rPr>
        <w:t>Select Layer</w:t>
      </w:r>
      <w:r w:rsidRPr="009562B9">
        <w:rPr>
          <w:rFonts w:ascii="Arial" w:hAnsi="Arial" w:cs="Arial"/>
        </w:rPr>
        <w:t xml:space="preserve"> </w:t>
      </w:r>
      <w:proofErr w:type="gramStart"/>
      <w:r w:rsidRPr="009562B9">
        <w:rPr>
          <w:rFonts w:ascii="Arial" w:hAnsi="Arial" w:cs="Arial"/>
        </w:rPr>
        <w:t>By</w:t>
      </w:r>
      <w:proofErr w:type="gramEnd"/>
      <w:r w:rsidRPr="009562B9">
        <w:rPr>
          <w:rFonts w:ascii="Arial" w:hAnsi="Arial" w:cs="Arial"/>
        </w:rPr>
        <w:t xml:space="preserve"> </w:t>
      </w:r>
      <w:r w:rsidRPr="009562B9">
        <w:rPr>
          <w:rFonts w:ascii="Arial" w:hAnsi="Arial" w:cs="Arial"/>
          <w:i/>
          <w:iCs/>
        </w:rPr>
        <w:t>Attribute</w:t>
      </w:r>
      <w:r w:rsidRPr="009562B9">
        <w:rPr>
          <w:rFonts w:ascii="Arial" w:hAnsi="Arial" w:cs="Arial"/>
        </w:rPr>
        <w:t xml:space="preserve"> steps in Model.</w:t>
      </w:r>
    </w:p>
    <w:p w14:paraId="7A94A33C" w14:textId="77777777" w:rsidR="00F90C5B" w:rsidRPr="009562B9" w:rsidRDefault="00F90C5B" w:rsidP="00813752">
      <w:pPr>
        <w:pStyle w:val="Body"/>
        <w:spacing w:after="0"/>
        <w:rPr>
          <w:rFonts w:ascii="Arial" w:hAnsi="Arial" w:cs="Arial"/>
          <w:b/>
          <w:u w:val="single"/>
        </w:rPr>
      </w:pPr>
    </w:p>
    <w:p w14:paraId="2C2BF84B" w14:textId="07C30600" w:rsidR="00F90C5B" w:rsidRPr="009562B9" w:rsidRDefault="0044305F" w:rsidP="0044305F">
      <w:pPr>
        <w:pStyle w:val="Body"/>
        <w:spacing w:after="0"/>
        <w:rPr>
          <w:rFonts w:ascii="Arial" w:hAnsi="Arial" w:cs="Arial"/>
          <w:i/>
        </w:rPr>
      </w:pPr>
      <w:r w:rsidRPr="009562B9">
        <w:rPr>
          <w:rFonts w:ascii="Arial" w:hAnsi="Arial" w:cs="Arial"/>
          <w:i/>
        </w:rPr>
        <w:t>3.1.2.</w:t>
      </w:r>
      <w:r w:rsidR="00F90C5B" w:rsidRPr="009562B9">
        <w:rPr>
          <w:rFonts w:ascii="Arial" w:hAnsi="Arial" w:cs="Arial"/>
          <w:i/>
        </w:rPr>
        <w:t>5 Population Coverage Estimation</w:t>
      </w:r>
    </w:p>
    <w:p w14:paraId="60E3426A" w14:textId="77777777" w:rsidR="0044305F" w:rsidRPr="009562B9" w:rsidRDefault="0044305F" w:rsidP="0044305F">
      <w:pPr>
        <w:pStyle w:val="Body"/>
        <w:spacing w:after="0"/>
        <w:rPr>
          <w:rFonts w:ascii="Arial" w:hAnsi="Arial" w:cs="Arial"/>
          <w:i/>
        </w:rPr>
      </w:pPr>
    </w:p>
    <w:p w14:paraId="2DE12DE3" w14:textId="77777777" w:rsidR="00F90C5B" w:rsidRPr="009562B9" w:rsidRDefault="00F90C5B" w:rsidP="00F90C5B">
      <w:pPr>
        <w:pStyle w:val="Body"/>
        <w:spacing w:after="0"/>
        <w:rPr>
          <w:rFonts w:ascii="Arial" w:hAnsi="Arial" w:cs="Arial"/>
        </w:rPr>
      </w:pPr>
      <w:r w:rsidRPr="009562B9">
        <w:rPr>
          <w:rFonts w:ascii="Arial" w:hAnsi="Arial" w:cs="Arial"/>
        </w:rPr>
        <w:t>The population served by each health center is computed as:</w:t>
      </w:r>
    </w:p>
    <w:p w14:paraId="32AA32BC" w14:textId="77777777" w:rsidR="00F90C5B" w:rsidRPr="009562B9" w:rsidRDefault="00F90C5B" w:rsidP="00F90C5B">
      <w:pPr>
        <w:rPr>
          <w:rFonts w:ascii="Times New Roman" w:hAnsi="Times New Roman"/>
          <w:sz w:val="24"/>
          <w:szCs w:val="24"/>
          <w:lang w:eastAsia="zh-CN"/>
        </w:rPr>
      </w:pPr>
      <m:oMathPara>
        <m:oMath>
          <m:r>
            <w:rPr>
              <w:rFonts w:ascii="Cambria Math" w:hAnsi="Cambria Math"/>
              <w:sz w:val="24"/>
              <w:szCs w:val="24"/>
              <w:lang w:eastAsia="zh-CN"/>
            </w:rPr>
            <m:t>Po</m:t>
          </m:r>
          <m:sSub>
            <m:sSubPr>
              <m:ctrlPr>
                <w:rPr>
                  <w:rFonts w:ascii="Cambria Math" w:hAnsi="Cambria Math"/>
                  <w:sz w:val="24"/>
                  <w:szCs w:val="24"/>
                  <w:lang w:eastAsia="zh-CN"/>
                </w:rPr>
              </m:ctrlPr>
            </m:sSubPr>
            <m:e>
              <m:r>
                <w:rPr>
                  <w:rFonts w:ascii="Cambria Math" w:hAnsi="Cambria Math"/>
                  <w:sz w:val="24"/>
                  <w:szCs w:val="24"/>
                  <w:lang w:eastAsia="zh-CN"/>
                </w:rPr>
                <m:t>p</m:t>
              </m:r>
            </m:e>
            <m:sub>
              <m:r>
                <w:rPr>
                  <w:rFonts w:ascii="Cambria Math" w:hAnsi="Cambria Math"/>
                  <w:sz w:val="24"/>
                  <w:szCs w:val="24"/>
                  <w:lang w:eastAsia="zh-CN"/>
                </w:rPr>
                <m:t>i</m:t>
              </m:r>
            </m:sub>
          </m:sSub>
          <m:r>
            <w:rPr>
              <w:rFonts w:ascii="Cambria Math" w:hAnsi="Cambria Math"/>
              <w:sz w:val="24"/>
              <w:szCs w:val="24"/>
              <w:lang w:eastAsia="zh-CN"/>
            </w:rPr>
            <m:t>=</m:t>
          </m:r>
          <m:nary>
            <m:naryPr>
              <m:chr m:val="∑"/>
              <m:limLoc m:val="undOvr"/>
              <m:grow m:val="1"/>
              <m:ctrlPr>
                <w:rPr>
                  <w:rFonts w:ascii="Cambria Math" w:hAnsi="Cambria Math"/>
                  <w:sz w:val="24"/>
                  <w:szCs w:val="24"/>
                  <w:lang w:eastAsia="zh-CN"/>
                </w:rPr>
              </m:ctrlPr>
            </m:naryPr>
            <m:sub>
              <m:r>
                <w:rPr>
                  <w:rFonts w:ascii="Cambria Math" w:hAnsi="Cambria Math"/>
                  <w:sz w:val="24"/>
                  <w:szCs w:val="24"/>
                  <w:lang w:eastAsia="zh-CN"/>
                </w:rPr>
                <m:t>k=1</m:t>
              </m:r>
            </m:sub>
            <m:sup>
              <m:r>
                <w:rPr>
                  <w:rFonts w:ascii="Cambria Math" w:hAnsi="Cambria Math"/>
                  <w:sz w:val="24"/>
                  <w:szCs w:val="24"/>
                  <w:lang w:eastAsia="zh-CN"/>
                </w:rPr>
                <m:t>m</m:t>
              </m:r>
            </m:sup>
            <m:e>
              <m:sSub>
                <m:sSubPr>
                  <m:ctrlPr>
                    <w:rPr>
                      <w:rFonts w:ascii="Cambria Math" w:hAnsi="Cambria Math"/>
                      <w:sz w:val="24"/>
                      <w:szCs w:val="24"/>
                      <w:lang w:eastAsia="zh-CN"/>
                    </w:rPr>
                  </m:ctrlPr>
                </m:sSubPr>
                <m:e>
                  <m:r>
                    <w:rPr>
                      <w:rFonts w:ascii="Cambria Math" w:hAnsi="Cambria Math"/>
                      <w:sz w:val="24"/>
                      <w:szCs w:val="24"/>
                      <w:lang w:eastAsia="zh-CN"/>
                    </w:rPr>
                    <m:t>P</m:t>
                  </m:r>
                </m:e>
                <m:sub>
                  <m:r>
                    <w:rPr>
                      <w:rFonts w:ascii="Cambria Math" w:hAnsi="Cambria Math"/>
                      <w:sz w:val="24"/>
                      <w:szCs w:val="24"/>
                      <w:lang w:eastAsia="zh-CN"/>
                    </w:rPr>
                    <m:t>k</m:t>
                  </m:r>
                </m:sub>
              </m:sSub>
            </m:e>
          </m:nary>
          <m:r>
            <w:rPr>
              <w:rFonts w:ascii="Cambria Math" w:hAnsi="Cambria Math"/>
              <w:sz w:val="24"/>
              <w:szCs w:val="24"/>
              <w:lang w:eastAsia="zh-CN"/>
            </w:rPr>
            <m:t>⋅I(</m:t>
          </m:r>
          <m:sSub>
            <m:sSubPr>
              <m:ctrlPr>
                <w:rPr>
                  <w:rFonts w:ascii="Cambria Math" w:hAnsi="Cambria Math"/>
                  <w:sz w:val="24"/>
                  <w:szCs w:val="24"/>
                  <w:lang w:eastAsia="zh-CN"/>
                </w:rPr>
              </m:ctrlPr>
            </m:sSubPr>
            <m:e>
              <m:r>
                <w:rPr>
                  <w:rFonts w:ascii="Cambria Math" w:hAnsi="Cambria Math"/>
                  <w:sz w:val="24"/>
                  <w:szCs w:val="24"/>
                  <w:lang w:eastAsia="zh-CN"/>
                </w:rPr>
                <m:t>p</m:t>
              </m:r>
            </m:e>
            <m:sub>
              <m:r>
                <w:rPr>
                  <w:rFonts w:ascii="Cambria Math" w:hAnsi="Cambria Math"/>
                  <w:sz w:val="24"/>
                  <w:szCs w:val="24"/>
                  <w:lang w:eastAsia="zh-CN"/>
                </w:rPr>
                <m:t>k</m:t>
              </m:r>
            </m:sub>
          </m:sSub>
          <m: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A</m:t>
              </m:r>
            </m:e>
            <m:sub>
              <m:r>
                <w:rPr>
                  <w:rFonts w:ascii="Cambria Math" w:hAnsi="Cambria Math"/>
                  <w:sz w:val="24"/>
                  <w:szCs w:val="24"/>
                  <w:lang w:eastAsia="zh-CN"/>
                </w:rPr>
                <m:t>i</m:t>
              </m:r>
            </m:sub>
          </m:sSub>
          <m:r>
            <w:rPr>
              <w:rFonts w:ascii="Cambria Math" w:hAnsi="Cambria Math"/>
              <w:sz w:val="24"/>
              <w:szCs w:val="24"/>
              <w:lang w:eastAsia="zh-CN"/>
            </w:rPr>
            <m:t>)</m:t>
          </m:r>
          <m:r>
            <m:rPr>
              <m:sty m:val="p"/>
            </m:rPr>
            <w:rPr>
              <w:rFonts w:ascii="Cambria Math" w:hAnsi="Cambria Math"/>
              <w:sz w:val="24"/>
              <w:szCs w:val="24"/>
              <w:lang w:eastAsia="zh-CN"/>
            </w:rPr>
            <w:br/>
          </m:r>
        </m:oMath>
      </m:oMathPara>
    </w:p>
    <w:p w14:paraId="466924E6" w14:textId="77777777" w:rsidR="00F90C5B" w:rsidRPr="009562B9" w:rsidRDefault="00F90C5B" w:rsidP="00F90C5B">
      <w:pPr>
        <w:pStyle w:val="Body"/>
        <w:spacing w:after="0"/>
        <w:rPr>
          <w:rFonts w:ascii="Arial" w:hAnsi="Arial" w:cs="Arial"/>
        </w:rPr>
      </w:pPr>
      <w:r w:rsidRPr="009562B9">
        <w:rPr>
          <w:rFonts w:ascii="Arial" w:hAnsi="Arial" w:cs="Arial"/>
        </w:rPr>
        <w:t xml:space="preserve">where </w:t>
      </w:r>
      <m:oMath>
        <m:sSub>
          <m:sSubPr>
            <m:ctrlPr>
              <w:rPr>
                <w:rFonts w:ascii="Cambria Math" w:hAnsi="Cambria Math" w:cs="Arial"/>
              </w:rPr>
            </m:ctrlPr>
          </m:sSubPr>
          <m:e>
            <m:r>
              <w:rPr>
                <w:rFonts w:ascii="Cambria Math" w:hAnsi="Cambria Math" w:cs="Arial"/>
              </w:rPr>
              <m:t>P</m:t>
            </m:r>
          </m:e>
          <m:sub>
            <m:r>
              <w:rPr>
                <w:rFonts w:ascii="Cambria Math" w:hAnsi="Cambria Math" w:cs="Arial"/>
              </w:rPr>
              <m:t>k</m:t>
            </m:r>
          </m:sub>
        </m:sSub>
      </m:oMath>
      <w:r w:rsidRPr="009562B9">
        <w:rPr>
          <w:rFonts w:ascii="Arial" w:hAnsi="Arial" w:cs="Arial"/>
        </w:rPr>
        <w:t xml:space="preserve">is the population of settlement </w:t>
      </w:r>
      <m:oMath>
        <m:r>
          <w:rPr>
            <w:rFonts w:ascii="Cambria Math" w:hAnsi="Cambria Math" w:cs="Arial"/>
          </w:rPr>
          <m:t>k</m:t>
        </m:r>
      </m:oMath>
      <w:r w:rsidRPr="009562B9">
        <w:rPr>
          <w:rFonts w:ascii="Arial" w:hAnsi="Arial" w:cs="Arial"/>
        </w:rPr>
        <w:t xml:space="preserve">and </w:t>
      </w:r>
      <m:oMath>
        <m:r>
          <w:rPr>
            <w:rFonts w:ascii="Cambria Math" w:hAnsi="Cambria Math" w:cs="Arial"/>
          </w:rPr>
          <m:t>I</m:t>
        </m:r>
        <m:r>
          <m:rPr>
            <m:sty m:val="p"/>
          </m:rPr>
          <w:rPr>
            <w:rFonts w:ascii="Cambria Math" w:hAnsi="Cambria Math" w:cs="Arial"/>
          </w:rPr>
          <m:t>(⋅)</m:t>
        </m:r>
      </m:oMath>
      <w:r w:rsidRPr="009562B9">
        <w:rPr>
          <w:rFonts w:ascii="Arial" w:hAnsi="Arial" w:cs="Arial"/>
        </w:rPr>
        <w:t>is an indicator function equal to 1 when the condition is satisfied and 0 otherwise. These calculations were automated and validated using Python scripts.</w:t>
      </w:r>
    </w:p>
    <w:p w14:paraId="62911DBB" w14:textId="77777777" w:rsidR="003B0AD2" w:rsidRPr="009562B9" w:rsidRDefault="003B0AD2" w:rsidP="00813752">
      <w:pPr>
        <w:pStyle w:val="Body"/>
        <w:spacing w:after="0"/>
        <w:rPr>
          <w:rFonts w:ascii="Arial" w:hAnsi="Arial" w:cs="Arial"/>
          <w:b/>
          <w:u w:val="single"/>
        </w:rPr>
      </w:pPr>
    </w:p>
    <w:p w14:paraId="07FA6B9A" w14:textId="4BF71218" w:rsidR="00F90C5B" w:rsidRPr="009562B9" w:rsidRDefault="0044305F" w:rsidP="0044305F">
      <w:pPr>
        <w:pStyle w:val="Body"/>
        <w:spacing w:after="0"/>
        <w:rPr>
          <w:rFonts w:ascii="Arial" w:hAnsi="Arial" w:cs="Arial"/>
          <w:i/>
        </w:rPr>
      </w:pPr>
      <w:r w:rsidRPr="009562B9">
        <w:rPr>
          <w:rFonts w:ascii="Arial" w:hAnsi="Arial" w:cs="Arial"/>
          <w:i/>
        </w:rPr>
        <w:t>3.1.2.</w:t>
      </w:r>
      <w:r w:rsidR="00F90C5B" w:rsidRPr="009562B9">
        <w:rPr>
          <w:rFonts w:ascii="Arial" w:hAnsi="Arial" w:cs="Arial"/>
          <w:i/>
        </w:rPr>
        <w:t>6 Overlapping Service Areas</w:t>
      </w:r>
    </w:p>
    <w:p w14:paraId="66D22631" w14:textId="77777777" w:rsidR="0044305F" w:rsidRPr="009562B9" w:rsidRDefault="0044305F" w:rsidP="0044305F">
      <w:pPr>
        <w:pStyle w:val="Body"/>
        <w:spacing w:after="0"/>
        <w:rPr>
          <w:rFonts w:ascii="Arial" w:hAnsi="Arial" w:cs="Arial"/>
          <w:i/>
        </w:rPr>
      </w:pPr>
    </w:p>
    <w:p w14:paraId="2CFEB0EA" w14:textId="77777777" w:rsidR="00F90C5B" w:rsidRPr="009562B9" w:rsidRDefault="00F90C5B" w:rsidP="00F90C5B">
      <w:pPr>
        <w:pStyle w:val="Body"/>
        <w:spacing w:after="0"/>
        <w:rPr>
          <w:rFonts w:ascii="Arial" w:hAnsi="Arial" w:cs="Arial"/>
        </w:rPr>
      </w:pPr>
      <w:r w:rsidRPr="009562B9">
        <w:rPr>
          <w:rFonts w:ascii="Arial" w:hAnsi="Arial" w:cs="Arial"/>
        </w:rPr>
        <w:t>Zones benefiting from dual healthcare access are defined by the intersection of service areas:</w:t>
      </w:r>
    </w:p>
    <w:p w14:paraId="3FB8DC5D" w14:textId="1B7C7E93" w:rsidR="00F90C5B" w:rsidRPr="009562B9" w:rsidRDefault="001816A6" w:rsidP="009310F8">
      <w:pPr>
        <w:rPr>
          <w:rFonts w:ascii="Arial" w:hAnsi="Arial" w:cs="Arial"/>
        </w:rPr>
      </w:pPr>
      <m:oMathPara>
        <m:oMath>
          <m:sSub>
            <m:sSubPr>
              <m:ctrlPr>
                <w:rPr>
                  <w:rFonts w:ascii="Cambria Math" w:hAnsi="Cambria Math"/>
                  <w:sz w:val="24"/>
                  <w:szCs w:val="24"/>
                  <w:lang w:eastAsia="zh-CN"/>
                </w:rPr>
              </m:ctrlPr>
            </m:sSubPr>
            <m:e>
              <m:r>
                <w:rPr>
                  <w:rFonts w:ascii="Cambria Math" w:hAnsi="Cambria Math"/>
                  <w:sz w:val="24"/>
                  <w:szCs w:val="24"/>
                  <w:lang w:eastAsia="zh-CN"/>
                </w:rPr>
                <m:t>A</m:t>
              </m:r>
            </m:e>
            <m:sub>
              <m:r>
                <m:rPr>
                  <m:nor/>
                </m:rPr>
                <w:rPr>
                  <w:rFonts w:ascii="Times New Roman" w:hAnsi="Times New Roman"/>
                  <w:sz w:val="24"/>
                  <w:szCs w:val="24"/>
                  <w:lang w:eastAsia="zh-CN"/>
                </w:rPr>
                <m:t>overlap</m:t>
              </m:r>
            </m:sub>
          </m:sSub>
          <m: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A</m:t>
              </m:r>
            </m:e>
            <m:sub>
              <m:r>
                <m:rPr>
                  <m:nor/>
                </m:rPr>
                <w:rPr>
                  <w:rFonts w:ascii="Times New Roman" w:hAnsi="Times New Roman"/>
                  <w:sz w:val="24"/>
                  <w:szCs w:val="24"/>
                  <w:lang w:eastAsia="zh-CN"/>
                </w:rPr>
                <m:t>existing</m:t>
              </m:r>
            </m:sub>
          </m:sSub>
          <m: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A</m:t>
              </m:r>
            </m:e>
            <m:sub>
              <m:r>
                <m:rPr>
                  <m:nor/>
                </m:rPr>
                <w:rPr>
                  <w:rFonts w:ascii="Times New Roman" w:hAnsi="Times New Roman"/>
                  <w:sz w:val="24"/>
                  <w:szCs w:val="24"/>
                  <w:lang w:eastAsia="zh-CN"/>
                </w:rPr>
                <m:t>new</m:t>
              </m:r>
            </m:sub>
          </m:sSub>
          <m:r>
            <m:rPr>
              <m:sty m:val="p"/>
            </m:rPr>
            <w:rPr>
              <w:rFonts w:ascii="Cambria Math" w:hAnsi="Cambria Math"/>
              <w:sz w:val="24"/>
              <w:szCs w:val="24"/>
              <w:lang w:eastAsia="zh-CN"/>
            </w:rPr>
            <w:br/>
          </m:r>
        </m:oMath>
      </m:oMathPara>
      <w:r w:rsidR="00F90C5B" w:rsidRPr="009562B9">
        <w:rPr>
          <w:rFonts w:ascii="Arial" w:hAnsi="Arial" w:cs="Arial"/>
        </w:rPr>
        <w:t>and the corresponding population is:</w:t>
      </w:r>
    </w:p>
    <w:p w14:paraId="5D0BF853" w14:textId="29429134" w:rsidR="00F90C5B" w:rsidRPr="009562B9" w:rsidRDefault="00F90C5B" w:rsidP="00813752">
      <w:pPr>
        <w:pStyle w:val="Body"/>
        <w:spacing w:after="0"/>
        <w:rPr>
          <w:rFonts w:ascii="Arial" w:hAnsi="Arial" w:cs="Arial"/>
          <w:b/>
          <w:u w:val="single"/>
        </w:rPr>
      </w:pPr>
      <m:oMathPara>
        <m:oMath>
          <m:r>
            <w:rPr>
              <w:rFonts w:ascii="Cambria Math" w:hAnsi="Cambria Math"/>
              <w:sz w:val="24"/>
              <w:szCs w:val="24"/>
              <w:lang w:eastAsia="zh-CN"/>
            </w:rPr>
            <w:lastRenderedPageBreak/>
            <m:t>Po</m:t>
          </m:r>
          <m:sSub>
            <m:sSubPr>
              <m:ctrlPr>
                <w:rPr>
                  <w:rFonts w:ascii="Cambria Math" w:hAnsi="Cambria Math"/>
                  <w:sz w:val="24"/>
                  <w:szCs w:val="24"/>
                  <w:lang w:eastAsia="zh-CN"/>
                </w:rPr>
              </m:ctrlPr>
            </m:sSubPr>
            <m:e>
              <m:r>
                <w:rPr>
                  <w:rFonts w:ascii="Cambria Math" w:hAnsi="Cambria Math"/>
                  <w:sz w:val="24"/>
                  <w:szCs w:val="24"/>
                  <w:lang w:eastAsia="zh-CN"/>
                </w:rPr>
                <m:t>p</m:t>
              </m:r>
            </m:e>
            <m:sub>
              <m:r>
                <m:rPr>
                  <m:nor/>
                </m:rPr>
                <w:rPr>
                  <w:rFonts w:ascii="Times New Roman" w:hAnsi="Times New Roman"/>
                  <w:sz w:val="24"/>
                  <w:szCs w:val="24"/>
                  <w:lang w:eastAsia="zh-CN"/>
                </w:rPr>
                <m:t>overlap</m:t>
              </m:r>
            </m:sub>
          </m:sSub>
          <m:r>
            <w:rPr>
              <w:rFonts w:ascii="Cambria Math" w:hAnsi="Cambria Math"/>
              <w:sz w:val="24"/>
              <w:szCs w:val="24"/>
              <w:lang w:eastAsia="zh-CN"/>
            </w:rPr>
            <m:t>=</m:t>
          </m:r>
          <m:nary>
            <m:naryPr>
              <m:chr m:val="∑"/>
              <m:limLoc m:val="undOvr"/>
              <m:grow m:val="1"/>
              <m:ctrlPr>
                <w:rPr>
                  <w:rFonts w:ascii="Cambria Math" w:hAnsi="Cambria Math"/>
                  <w:sz w:val="24"/>
                  <w:szCs w:val="24"/>
                  <w:lang w:eastAsia="zh-CN"/>
                </w:rPr>
              </m:ctrlPr>
            </m:naryPr>
            <m:sub>
              <m:r>
                <w:rPr>
                  <w:rFonts w:ascii="Cambria Math" w:hAnsi="Cambria Math"/>
                  <w:sz w:val="24"/>
                  <w:szCs w:val="24"/>
                  <w:lang w:eastAsia="zh-CN"/>
                </w:rPr>
                <m:t>k=1</m:t>
              </m:r>
            </m:sub>
            <m:sup>
              <m:r>
                <w:rPr>
                  <w:rFonts w:ascii="Cambria Math" w:hAnsi="Cambria Math"/>
                  <w:sz w:val="24"/>
                  <w:szCs w:val="24"/>
                  <w:lang w:eastAsia="zh-CN"/>
                </w:rPr>
                <m:t>m</m:t>
              </m:r>
            </m:sup>
            <m:e>
              <m:sSub>
                <m:sSubPr>
                  <m:ctrlPr>
                    <w:rPr>
                      <w:rFonts w:ascii="Cambria Math" w:hAnsi="Cambria Math"/>
                      <w:sz w:val="24"/>
                      <w:szCs w:val="24"/>
                      <w:lang w:eastAsia="zh-CN"/>
                    </w:rPr>
                  </m:ctrlPr>
                </m:sSubPr>
                <m:e>
                  <m:r>
                    <w:rPr>
                      <w:rFonts w:ascii="Cambria Math" w:hAnsi="Cambria Math"/>
                      <w:sz w:val="24"/>
                      <w:szCs w:val="24"/>
                      <w:lang w:eastAsia="zh-CN"/>
                    </w:rPr>
                    <m:t>P</m:t>
                  </m:r>
                </m:e>
                <m:sub>
                  <m:r>
                    <w:rPr>
                      <w:rFonts w:ascii="Cambria Math" w:hAnsi="Cambria Math"/>
                      <w:sz w:val="24"/>
                      <w:szCs w:val="24"/>
                      <w:lang w:eastAsia="zh-CN"/>
                    </w:rPr>
                    <m:t>k</m:t>
                  </m:r>
                </m:sub>
              </m:sSub>
            </m:e>
          </m:nary>
          <m:r>
            <w:rPr>
              <w:rFonts w:ascii="Cambria Math" w:hAnsi="Cambria Math"/>
              <w:sz w:val="24"/>
              <w:szCs w:val="24"/>
              <w:lang w:eastAsia="zh-CN"/>
            </w:rPr>
            <m:t>⋅I(</m:t>
          </m:r>
          <m:sSub>
            <m:sSubPr>
              <m:ctrlPr>
                <w:rPr>
                  <w:rFonts w:ascii="Cambria Math" w:hAnsi="Cambria Math"/>
                  <w:sz w:val="24"/>
                  <w:szCs w:val="24"/>
                  <w:lang w:eastAsia="zh-CN"/>
                </w:rPr>
              </m:ctrlPr>
            </m:sSubPr>
            <m:e>
              <m:r>
                <w:rPr>
                  <w:rFonts w:ascii="Cambria Math" w:hAnsi="Cambria Math"/>
                  <w:sz w:val="24"/>
                  <w:szCs w:val="24"/>
                  <w:lang w:eastAsia="zh-CN"/>
                </w:rPr>
                <m:t>p</m:t>
              </m:r>
            </m:e>
            <m:sub>
              <m:r>
                <w:rPr>
                  <w:rFonts w:ascii="Cambria Math" w:hAnsi="Cambria Math"/>
                  <w:sz w:val="24"/>
                  <w:szCs w:val="24"/>
                  <w:lang w:eastAsia="zh-CN"/>
                </w:rPr>
                <m:t>k</m:t>
              </m:r>
            </m:sub>
          </m:sSub>
          <m: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A</m:t>
              </m:r>
            </m:e>
            <m:sub>
              <m:r>
                <m:rPr>
                  <m:nor/>
                </m:rPr>
                <w:rPr>
                  <w:rFonts w:ascii="Times New Roman" w:hAnsi="Times New Roman"/>
                  <w:sz w:val="24"/>
                  <w:szCs w:val="24"/>
                  <w:lang w:eastAsia="zh-CN"/>
                </w:rPr>
                <m:t>overlap</m:t>
              </m:r>
            </m:sub>
          </m:sSub>
          <m:r>
            <w:rPr>
              <w:rFonts w:ascii="Cambria Math" w:hAnsi="Cambria Math"/>
              <w:sz w:val="24"/>
              <w:szCs w:val="24"/>
              <w:lang w:eastAsia="zh-CN"/>
            </w:rPr>
            <m:t>)</m:t>
          </m:r>
          <m:r>
            <m:rPr>
              <m:sty m:val="p"/>
            </m:rPr>
            <w:rPr>
              <w:rFonts w:ascii="Cambria Math" w:hAnsi="Cambria Math"/>
              <w:sz w:val="24"/>
              <w:szCs w:val="24"/>
              <w:lang w:eastAsia="zh-CN"/>
            </w:rPr>
            <w:br/>
          </m:r>
        </m:oMath>
      </m:oMathPara>
    </w:p>
    <w:p w14:paraId="79B1305D" w14:textId="5C16DDD3" w:rsidR="0059081A" w:rsidRPr="009562B9" w:rsidRDefault="0044305F" w:rsidP="0044305F">
      <w:pPr>
        <w:pStyle w:val="Body"/>
        <w:spacing w:after="0"/>
        <w:rPr>
          <w:rFonts w:ascii="Arial" w:hAnsi="Arial" w:cs="Arial"/>
          <w:i/>
        </w:rPr>
      </w:pPr>
      <w:r w:rsidRPr="009562B9">
        <w:rPr>
          <w:rFonts w:ascii="Arial" w:hAnsi="Arial" w:cs="Arial"/>
          <w:i/>
        </w:rPr>
        <w:t>3.1.2.</w:t>
      </w:r>
      <w:r w:rsidR="0059081A" w:rsidRPr="009562B9">
        <w:rPr>
          <w:rFonts w:ascii="Arial" w:hAnsi="Arial" w:cs="Arial"/>
          <w:i/>
        </w:rPr>
        <w:t>7 Optimal Location Determination Using Mean Center</w:t>
      </w:r>
    </w:p>
    <w:p w14:paraId="2F3E0730" w14:textId="77777777" w:rsidR="0044305F" w:rsidRPr="009562B9" w:rsidRDefault="0044305F" w:rsidP="0044305F">
      <w:pPr>
        <w:pStyle w:val="Body"/>
        <w:spacing w:after="0"/>
        <w:rPr>
          <w:rFonts w:ascii="Arial" w:hAnsi="Arial" w:cs="Arial"/>
          <w:i/>
        </w:rPr>
      </w:pPr>
    </w:p>
    <w:p w14:paraId="1D995AE5" w14:textId="77777777" w:rsidR="0059081A" w:rsidRPr="009562B9" w:rsidRDefault="0059081A" w:rsidP="00980CA0">
      <w:pPr>
        <w:pStyle w:val="Body"/>
        <w:spacing w:after="0"/>
        <w:rPr>
          <w:rFonts w:ascii="Arial" w:hAnsi="Arial" w:cs="Arial"/>
        </w:rPr>
      </w:pPr>
      <w:r w:rsidRPr="009562B9">
        <w:rPr>
          <w:rFonts w:ascii="Arial" w:hAnsi="Arial" w:cs="Arial"/>
        </w:rPr>
        <w:t>The optimal location for the new health center is determined using a population-weighted mean center:</w:t>
      </w:r>
    </w:p>
    <w:p w14:paraId="1F40C774" w14:textId="77777777" w:rsidR="0059081A" w:rsidRPr="009562B9" w:rsidRDefault="0059081A" w:rsidP="0059081A">
      <w:pPr>
        <w:rPr>
          <w:rFonts w:ascii="Times New Roman" w:hAnsi="Times New Roman"/>
          <w:sz w:val="24"/>
          <w:szCs w:val="24"/>
          <w:lang w:eastAsia="zh-CN"/>
        </w:rPr>
      </w:pPr>
      <m:oMathPara>
        <m:oMath>
          <m:r>
            <w:rPr>
              <w:rFonts w:ascii="Cambria Math" w:hAnsi="Cambria Math"/>
              <w:sz w:val="24"/>
              <w:szCs w:val="24"/>
              <w:lang w:eastAsia="zh-CN"/>
            </w:rPr>
            <m:t>(</m:t>
          </m:r>
          <m:acc>
            <m:accPr>
              <m:chr m:val="ˉ"/>
              <m:ctrlPr>
                <w:rPr>
                  <w:rFonts w:ascii="Cambria Math" w:hAnsi="Cambria Math"/>
                  <w:sz w:val="24"/>
                  <w:szCs w:val="24"/>
                  <w:lang w:eastAsia="zh-CN"/>
                </w:rPr>
              </m:ctrlPr>
            </m:accPr>
            <m:e>
              <m:r>
                <w:rPr>
                  <w:rFonts w:ascii="Cambria Math" w:hAnsi="Cambria Math"/>
                  <w:sz w:val="24"/>
                  <w:szCs w:val="24"/>
                  <w:lang w:eastAsia="zh-CN"/>
                </w:rPr>
                <m:t>x</m:t>
              </m:r>
            </m:e>
          </m:acc>
          <m:r>
            <w:rPr>
              <w:rFonts w:ascii="Cambria Math" w:hAnsi="Cambria Math"/>
              <w:sz w:val="24"/>
              <w:szCs w:val="24"/>
              <w:lang w:eastAsia="zh-CN"/>
            </w:rPr>
            <m:t>,</m:t>
          </m:r>
          <m:acc>
            <m:accPr>
              <m:chr m:val="ˉ"/>
              <m:ctrlPr>
                <w:rPr>
                  <w:rFonts w:ascii="Cambria Math" w:hAnsi="Cambria Math"/>
                  <w:sz w:val="24"/>
                  <w:szCs w:val="24"/>
                  <w:lang w:eastAsia="zh-CN"/>
                </w:rPr>
              </m:ctrlPr>
            </m:accPr>
            <m:e>
              <m:r>
                <w:rPr>
                  <w:rFonts w:ascii="Cambria Math" w:hAnsi="Cambria Math"/>
                  <w:sz w:val="24"/>
                  <w:szCs w:val="24"/>
                  <w:lang w:eastAsia="zh-CN"/>
                </w:rPr>
                <m:t>y</m:t>
              </m:r>
            </m:e>
          </m:acc>
          <m:r>
            <w:rPr>
              <w:rFonts w:ascii="Cambria Math" w:hAnsi="Cambria Math"/>
              <w:sz w:val="24"/>
              <w:szCs w:val="24"/>
              <w:lang w:eastAsia="zh-CN"/>
            </w:rPr>
            <m:t>)=</m:t>
          </m:r>
          <m:d>
            <m:dPr>
              <m:sepChr m:val=","/>
              <m:ctrlPr>
                <w:rPr>
                  <w:rFonts w:ascii="Cambria Math" w:hAnsi="Cambria Math"/>
                  <w:sz w:val="24"/>
                  <w:szCs w:val="24"/>
                  <w:lang w:eastAsia="zh-CN"/>
                </w:rPr>
              </m:ctrlPr>
            </m:dPr>
            <m:e>
              <m:f>
                <m:fPr>
                  <m:ctrlPr>
                    <w:rPr>
                      <w:rFonts w:ascii="Cambria Math" w:hAnsi="Cambria Math"/>
                      <w:sz w:val="24"/>
                      <w:szCs w:val="24"/>
                      <w:lang w:eastAsia="zh-CN"/>
                    </w:rPr>
                  </m:ctrlPr>
                </m:fPr>
                <m:num>
                  <m:nary>
                    <m:naryPr>
                      <m:chr m:val="∑"/>
                      <m:limLoc m:val="undOvr"/>
                      <m:grow m:val="1"/>
                      <m:ctrlPr>
                        <w:rPr>
                          <w:rFonts w:ascii="Cambria Math" w:hAnsi="Cambria Math"/>
                          <w:sz w:val="24"/>
                          <w:szCs w:val="24"/>
                          <w:lang w:eastAsia="zh-CN"/>
                        </w:rPr>
                      </m:ctrlPr>
                    </m:naryPr>
                    <m:sub>
                      <m:r>
                        <w:rPr>
                          <w:rFonts w:ascii="Cambria Math" w:hAnsi="Cambria Math"/>
                          <w:sz w:val="24"/>
                          <w:szCs w:val="24"/>
                          <w:lang w:eastAsia="zh-CN"/>
                        </w:rPr>
                        <m:t>k=1</m:t>
                      </m:r>
                    </m:sub>
                    <m:sup>
                      <m:r>
                        <w:rPr>
                          <w:rFonts w:ascii="Cambria Math" w:hAnsi="Cambria Math"/>
                          <w:sz w:val="24"/>
                          <w:szCs w:val="24"/>
                          <w:lang w:eastAsia="zh-CN"/>
                        </w:rPr>
                        <m:t>m</m:t>
                      </m:r>
                    </m:sup>
                    <m:e>
                      <m:sSub>
                        <m:sSubPr>
                          <m:ctrlPr>
                            <w:rPr>
                              <w:rFonts w:ascii="Cambria Math" w:hAnsi="Cambria Math"/>
                              <w:sz w:val="24"/>
                              <w:szCs w:val="24"/>
                              <w:lang w:eastAsia="zh-CN"/>
                            </w:rPr>
                          </m:ctrlPr>
                        </m:sSubPr>
                        <m:e>
                          <m:r>
                            <w:rPr>
                              <w:rFonts w:ascii="Cambria Math" w:hAnsi="Cambria Math"/>
                              <w:sz w:val="24"/>
                              <w:szCs w:val="24"/>
                              <w:lang w:eastAsia="zh-CN"/>
                            </w:rPr>
                            <m:t>w</m:t>
                          </m:r>
                        </m:e>
                        <m:sub>
                          <m:r>
                            <w:rPr>
                              <w:rFonts w:ascii="Cambria Math" w:hAnsi="Cambria Math"/>
                              <w:sz w:val="24"/>
                              <w:szCs w:val="24"/>
                              <w:lang w:eastAsia="zh-CN"/>
                            </w:rPr>
                            <m:t>k</m:t>
                          </m:r>
                        </m:sub>
                      </m:sSub>
                    </m:e>
                  </m:nary>
                  <m:sSub>
                    <m:sSubPr>
                      <m:ctrlPr>
                        <w:rPr>
                          <w:rFonts w:ascii="Cambria Math" w:hAnsi="Cambria Math"/>
                          <w:sz w:val="24"/>
                          <w:szCs w:val="24"/>
                          <w:lang w:eastAsia="zh-CN"/>
                        </w:rPr>
                      </m:ctrlPr>
                    </m:sSubPr>
                    <m:e>
                      <m:r>
                        <w:rPr>
                          <w:rFonts w:ascii="Cambria Math" w:hAnsi="Cambria Math"/>
                          <w:sz w:val="24"/>
                          <w:szCs w:val="24"/>
                          <w:lang w:eastAsia="zh-CN"/>
                        </w:rPr>
                        <m:t>x</m:t>
                      </m:r>
                    </m:e>
                    <m:sub>
                      <m:r>
                        <w:rPr>
                          <w:rFonts w:ascii="Cambria Math" w:hAnsi="Cambria Math"/>
                          <w:sz w:val="24"/>
                          <w:szCs w:val="24"/>
                          <w:lang w:eastAsia="zh-CN"/>
                        </w:rPr>
                        <m:t>k</m:t>
                      </m:r>
                    </m:sub>
                  </m:sSub>
                </m:num>
                <m:den>
                  <m:nary>
                    <m:naryPr>
                      <m:chr m:val="∑"/>
                      <m:limLoc m:val="undOvr"/>
                      <m:grow m:val="1"/>
                      <m:ctrlPr>
                        <w:rPr>
                          <w:rFonts w:ascii="Cambria Math" w:hAnsi="Cambria Math"/>
                          <w:sz w:val="24"/>
                          <w:szCs w:val="24"/>
                          <w:lang w:eastAsia="zh-CN"/>
                        </w:rPr>
                      </m:ctrlPr>
                    </m:naryPr>
                    <m:sub>
                      <m:r>
                        <w:rPr>
                          <w:rFonts w:ascii="Cambria Math" w:hAnsi="Cambria Math"/>
                          <w:sz w:val="24"/>
                          <w:szCs w:val="24"/>
                          <w:lang w:eastAsia="zh-CN"/>
                        </w:rPr>
                        <m:t>k=1</m:t>
                      </m:r>
                    </m:sub>
                    <m:sup>
                      <m:r>
                        <w:rPr>
                          <w:rFonts w:ascii="Cambria Math" w:hAnsi="Cambria Math"/>
                          <w:sz w:val="24"/>
                          <w:szCs w:val="24"/>
                          <w:lang w:eastAsia="zh-CN"/>
                        </w:rPr>
                        <m:t>m</m:t>
                      </m:r>
                    </m:sup>
                    <m:e>
                      <m:sSub>
                        <m:sSubPr>
                          <m:ctrlPr>
                            <w:rPr>
                              <w:rFonts w:ascii="Cambria Math" w:hAnsi="Cambria Math"/>
                              <w:sz w:val="24"/>
                              <w:szCs w:val="24"/>
                              <w:lang w:eastAsia="zh-CN"/>
                            </w:rPr>
                          </m:ctrlPr>
                        </m:sSubPr>
                        <m:e>
                          <m:r>
                            <w:rPr>
                              <w:rFonts w:ascii="Cambria Math" w:hAnsi="Cambria Math"/>
                              <w:sz w:val="24"/>
                              <w:szCs w:val="24"/>
                              <w:lang w:eastAsia="zh-CN"/>
                            </w:rPr>
                            <m:t>w</m:t>
                          </m:r>
                        </m:e>
                        <m:sub>
                          <m:r>
                            <w:rPr>
                              <w:rFonts w:ascii="Cambria Math" w:hAnsi="Cambria Math"/>
                              <w:sz w:val="24"/>
                              <w:szCs w:val="24"/>
                              <w:lang w:eastAsia="zh-CN"/>
                            </w:rPr>
                            <m:t>k</m:t>
                          </m:r>
                        </m:sub>
                      </m:sSub>
                    </m:e>
                  </m:nary>
                </m:den>
              </m:f>
            </m:e>
            <m:e>
              <m:f>
                <m:fPr>
                  <m:ctrlPr>
                    <w:rPr>
                      <w:rFonts w:ascii="Cambria Math" w:hAnsi="Cambria Math"/>
                      <w:sz w:val="24"/>
                      <w:szCs w:val="24"/>
                      <w:lang w:eastAsia="zh-CN"/>
                    </w:rPr>
                  </m:ctrlPr>
                </m:fPr>
                <m:num>
                  <m:nary>
                    <m:naryPr>
                      <m:chr m:val="∑"/>
                      <m:limLoc m:val="undOvr"/>
                      <m:grow m:val="1"/>
                      <m:ctrlPr>
                        <w:rPr>
                          <w:rFonts w:ascii="Cambria Math" w:hAnsi="Cambria Math"/>
                          <w:sz w:val="24"/>
                          <w:szCs w:val="24"/>
                          <w:lang w:eastAsia="zh-CN"/>
                        </w:rPr>
                      </m:ctrlPr>
                    </m:naryPr>
                    <m:sub>
                      <m:r>
                        <w:rPr>
                          <w:rFonts w:ascii="Cambria Math" w:hAnsi="Cambria Math"/>
                          <w:sz w:val="24"/>
                          <w:szCs w:val="24"/>
                          <w:lang w:eastAsia="zh-CN"/>
                        </w:rPr>
                        <m:t>k=1</m:t>
                      </m:r>
                    </m:sub>
                    <m:sup>
                      <m:r>
                        <w:rPr>
                          <w:rFonts w:ascii="Cambria Math" w:hAnsi="Cambria Math"/>
                          <w:sz w:val="24"/>
                          <w:szCs w:val="24"/>
                          <w:lang w:eastAsia="zh-CN"/>
                        </w:rPr>
                        <m:t>m</m:t>
                      </m:r>
                    </m:sup>
                    <m:e>
                      <m:sSub>
                        <m:sSubPr>
                          <m:ctrlPr>
                            <w:rPr>
                              <w:rFonts w:ascii="Cambria Math" w:hAnsi="Cambria Math"/>
                              <w:sz w:val="24"/>
                              <w:szCs w:val="24"/>
                              <w:lang w:eastAsia="zh-CN"/>
                            </w:rPr>
                          </m:ctrlPr>
                        </m:sSubPr>
                        <m:e>
                          <m:r>
                            <w:rPr>
                              <w:rFonts w:ascii="Cambria Math" w:hAnsi="Cambria Math"/>
                              <w:sz w:val="24"/>
                              <w:szCs w:val="24"/>
                              <w:lang w:eastAsia="zh-CN"/>
                            </w:rPr>
                            <m:t>w</m:t>
                          </m:r>
                        </m:e>
                        <m:sub>
                          <m:r>
                            <w:rPr>
                              <w:rFonts w:ascii="Cambria Math" w:hAnsi="Cambria Math"/>
                              <w:sz w:val="24"/>
                              <w:szCs w:val="24"/>
                              <w:lang w:eastAsia="zh-CN"/>
                            </w:rPr>
                            <m:t>k</m:t>
                          </m:r>
                        </m:sub>
                      </m:sSub>
                    </m:e>
                  </m:nary>
                  <m:sSub>
                    <m:sSubPr>
                      <m:ctrlPr>
                        <w:rPr>
                          <w:rFonts w:ascii="Cambria Math" w:hAnsi="Cambria Math"/>
                          <w:sz w:val="24"/>
                          <w:szCs w:val="24"/>
                          <w:lang w:eastAsia="zh-CN"/>
                        </w:rPr>
                      </m:ctrlPr>
                    </m:sSubPr>
                    <m:e>
                      <m:r>
                        <w:rPr>
                          <w:rFonts w:ascii="Cambria Math" w:hAnsi="Cambria Math"/>
                          <w:sz w:val="24"/>
                          <w:szCs w:val="24"/>
                          <w:lang w:eastAsia="zh-CN"/>
                        </w:rPr>
                        <m:t>y</m:t>
                      </m:r>
                    </m:e>
                    <m:sub>
                      <m:r>
                        <w:rPr>
                          <w:rFonts w:ascii="Cambria Math" w:hAnsi="Cambria Math"/>
                          <w:sz w:val="24"/>
                          <w:szCs w:val="24"/>
                          <w:lang w:eastAsia="zh-CN"/>
                        </w:rPr>
                        <m:t>k</m:t>
                      </m:r>
                    </m:sub>
                  </m:sSub>
                </m:num>
                <m:den>
                  <m:nary>
                    <m:naryPr>
                      <m:chr m:val="∑"/>
                      <m:limLoc m:val="undOvr"/>
                      <m:grow m:val="1"/>
                      <m:ctrlPr>
                        <w:rPr>
                          <w:rFonts w:ascii="Cambria Math" w:hAnsi="Cambria Math"/>
                          <w:sz w:val="24"/>
                          <w:szCs w:val="24"/>
                          <w:lang w:eastAsia="zh-CN"/>
                        </w:rPr>
                      </m:ctrlPr>
                    </m:naryPr>
                    <m:sub>
                      <m:r>
                        <w:rPr>
                          <w:rFonts w:ascii="Cambria Math" w:hAnsi="Cambria Math"/>
                          <w:sz w:val="24"/>
                          <w:szCs w:val="24"/>
                          <w:lang w:eastAsia="zh-CN"/>
                        </w:rPr>
                        <m:t>k=1</m:t>
                      </m:r>
                    </m:sub>
                    <m:sup>
                      <m:r>
                        <w:rPr>
                          <w:rFonts w:ascii="Cambria Math" w:hAnsi="Cambria Math"/>
                          <w:sz w:val="24"/>
                          <w:szCs w:val="24"/>
                          <w:lang w:eastAsia="zh-CN"/>
                        </w:rPr>
                        <m:t>m</m:t>
                      </m:r>
                    </m:sup>
                    <m:e>
                      <m:sSub>
                        <m:sSubPr>
                          <m:ctrlPr>
                            <w:rPr>
                              <w:rFonts w:ascii="Cambria Math" w:hAnsi="Cambria Math"/>
                              <w:sz w:val="24"/>
                              <w:szCs w:val="24"/>
                              <w:lang w:eastAsia="zh-CN"/>
                            </w:rPr>
                          </m:ctrlPr>
                        </m:sSubPr>
                        <m:e>
                          <m:r>
                            <w:rPr>
                              <w:rFonts w:ascii="Cambria Math" w:hAnsi="Cambria Math"/>
                              <w:sz w:val="24"/>
                              <w:szCs w:val="24"/>
                              <w:lang w:eastAsia="zh-CN"/>
                            </w:rPr>
                            <m:t>w</m:t>
                          </m:r>
                        </m:e>
                        <m:sub>
                          <m:r>
                            <w:rPr>
                              <w:rFonts w:ascii="Cambria Math" w:hAnsi="Cambria Math"/>
                              <w:sz w:val="24"/>
                              <w:szCs w:val="24"/>
                              <w:lang w:eastAsia="zh-CN"/>
                            </w:rPr>
                            <m:t>k</m:t>
                          </m:r>
                        </m:sub>
                      </m:sSub>
                    </m:e>
                  </m:nary>
                </m:den>
              </m:f>
            </m:e>
          </m:d>
          <m:r>
            <m:rPr>
              <m:sty m:val="p"/>
            </m:rPr>
            <w:rPr>
              <w:rFonts w:ascii="Cambria Math" w:hAnsi="Cambria Math"/>
              <w:sz w:val="24"/>
              <w:szCs w:val="24"/>
              <w:lang w:eastAsia="zh-CN"/>
            </w:rPr>
            <w:br/>
          </m:r>
        </m:oMath>
      </m:oMathPara>
    </w:p>
    <w:p w14:paraId="133072D4" w14:textId="77777777" w:rsidR="0059081A" w:rsidRPr="009562B9" w:rsidRDefault="0059081A" w:rsidP="00980CA0">
      <w:pPr>
        <w:pStyle w:val="Body"/>
        <w:spacing w:after="0"/>
        <w:rPr>
          <w:rFonts w:ascii="Arial" w:hAnsi="Arial" w:cs="Arial"/>
        </w:rPr>
      </w:pPr>
      <w:r w:rsidRPr="009562B9">
        <w:rPr>
          <w:rFonts w:ascii="Arial" w:hAnsi="Arial" w:cs="Arial"/>
        </w:rPr>
        <w:t xml:space="preserve">where </w:t>
      </w:r>
      <m:oMath>
        <m:d>
          <m:dPr>
            <m:sepChr m:val=","/>
            <m:ctrlPr>
              <w:rPr>
                <w:rFonts w:ascii="Cambria Math" w:hAnsi="Cambria Math" w:cs="Arial"/>
              </w:rPr>
            </m:ctrlPr>
          </m:dPr>
          <m:e>
            <m:sSub>
              <m:sSubPr>
                <m:ctrlPr>
                  <w:rPr>
                    <w:rFonts w:ascii="Cambria Math" w:hAnsi="Cambria Math" w:cs="Arial"/>
                  </w:rPr>
                </m:ctrlPr>
              </m:sSubPr>
              <m:e>
                <m:r>
                  <w:rPr>
                    <w:rFonts w:ascii="Cambria Math" w:hAnsi="Cambria Math" w:cs="Arial"/>
                  </w:rPr>
                  <m:t>x</m:t>
                </m:r>
              </m:e>
              <m:sub>
                <m:r>
                  <w:rPr>
                    <w:rFonts w:ascii="Cambria Math" w:hAnsi="Cambria Math" w:cs="Arial"/>
                  </w:rPr>
                  <m:t>k</m:t>
                </m:r>
              </m:sub>
            </m:sSub>
          </m:e>
          <m:e>
            <m:sSub>
              <m:sSubPr>
                <m:ctrlPr>
                  <w:rPr>
                    <w:rFonts w:ascii="Cambria Math" w:hAnsi="Cambria Math" w:cs="Arial"/>
                  </w:rPr>
                </m:ctrlPr>
              </m:sSubPr>
              <m:e>
                <m:r>
                  <w:rPr>
                    <w:rFonts w:ascii="Cambria Math" w:hAnsi="Cambria Math" w:cs="Arial"/>
                  </w:rPr>
                  <m:t>y</m:t>
                </m:r>
              </m:e>
              <m:sub>
                <m:r>
                  <w:rPr>
                    <w:rFonts w:ascii="Cambria Math" w:hAnsi="Cambria Math" w:cs="Arial"/>
                  </w:rPr>
                  <m:t>k</m:t>
                </m:r>
              </m:sub>
            </m:sSub>
          </m:e>
        </m:d>
      </m:oMath>
      <w:r w:rsidRPr="009562B9">
        <w:rPr>
          <w:rFonts w:ascii="Arial" w:hAnsi="Arial" w:cs="Arial"/>
        </w:rPr>
        <w:t xml:space="preserve">are the coordinates of settlement </w:t>
      </w:r>
      <m:oMath>
        <m:r>
          <w:rPr>
            <w:rFonts w:ascii="Cambria Math" w:hAnsi="Cambria Math" w:cs="Arial"/>
          </w:rPr>
          <m:t>k</m:t>
        </m:r>
      </m:oMath>
      <w:r w:rsidRPr="009562B9">
        <w:rPr>
          <w:rFonts w:ascii="Arial" w:hAnsi="Arial" w:cs="Arial"/>
        </w:rPr>
        <w:t xml:space="preserve">, and </w:t>
      </w:r>
      <m:oMath>
        <m:sSub>
          <m:sSubPr>
            <m:ctrlPr>
              <w:rPr>
                <w:rFonts w:ascii="Cambria Math" w:hAnsi="Cambria Math" w:cs="Arial"/>
              </w:rPr>
            </m:ctrlPr>
          </m:sSubPr>
          <m:e>
            <m:r>
              <w:rPr>
                <w:rFonts w:ascii="Cambria Math" w:hAnsi="Cambria Math" w:cs="Arial"/>
              </w:rPr>
              <m:t>w</m:t>
            </m:r>
          </m:e>
          <m:sub>
            <m:r>
              <w:rPr>
                <w:rFonts w:ascii="Cambria Math" w:hAnsi="Cambria Math" w:cs="Arial"/>
              </w:rPr>
              <m:t>k</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P</m:t>
            </m:r>
          </m:e>
          <m:sub>
            <m:r>
              <w:rPr>
                <w:rFonts w:ascii="Cambria Math" w:hAnsi="Cambria Math" w:cs="Arial"/>
              </w:rPr>
              <m:t>k</m:t>
            </m:r>
          </m:sub>
        </m:sSub>
      </m:oMath>
      <w:r w:rsidRPr="009562B9">
        <w:rPr>
          <w:rFonts w:ascii="Arial" w:hAnsi="Arial" w:cs="Arial"/>
        </w:rPr>
        <w:t xml:space="preserve">represents population </w:t>
      </w:r>
      <w:proofErr w:type="gramStart"/>
      <w:r w:rsidRPr="009562B9">
        <w:rPr>
          <w:rFonts w:ascii="Arial" w:hAnsi="Arial" w:cs="Arial"/>
        </w:rPr>
        <w:t>weights.</w:t>
      </w:r>
      <w:proofErr w:type="gramEnd"/>
      <w:r w:rsidRPr="009562B9">
        <w:rPr>
          <w:rFonts w:ascii="Arial" w:hAnsi="Arial" w:cs="Arial"/>
        </w:rPr>
        <w:t xml:space="preserve"> This step ensures equitable spatial positioning of the proposed health center and corresponds to the </w:t>
      </w:r>
      <w:r w:rsidRPr="009562B9">
        <w:rPr>
          <w:rFonts w:ascii="Arial" w:hAnsi="Arial" w:cs="Arial"/>
          <w:i/>
          <w:iCs/>
        </w:rPr>
        <w:t>Mean Center</w:t>
      </w:r>
      <w:r w:rsidRPr="009562B9">
        <w:rPr>
          <w:rFonts w:ascii="Arial" w:hAnsi="Arial" w:cs="Arial"/>
        </w:rPr>
        <w:t xml:space="preserve"> tool.</w:t>
      </w:r>
    </w:p>
    <w:p w14:paraId="603037BB" w14:textId="77777777" w:rsidR="00F90C5B" w:rsidRPr="009562B9" w:rsidRDefault="00F90C5B" w:rsidP="00813752">
      <w:pPr>
        <w:pStyle w:val="Body"/>
        <w:spacing w:after="0"/>
        <w:rPr>
          <w:rFonts w:ascii="Arial" w:hAnsi="Arial" w:cs="Arial"/>
          <w:b/>
          <w:u w:val="single"/>
        </w:rPr>
      </w:pPr>
    </w:p>
    <w:p w14:paraId="5AA4DB22" w14:textId="6F997326" w:rsidR="00980CA0" w:rsidRPr="009562B9" w:rsidRDefault="0044305F" w:rsidP="0044305F">
      <w:pPr>
        <w:pStyle w:val="Body"/>
        <w:spacing w:after="0"/>
        <w:rPr>
          <w:rFonts w:ascii="Arial" w:hAnsi="Arial" w:cs="Arial"/>
          <w:i/>
        </w:rPr>
      </w:pPr>
      <w:r w:rsidRPr="009562B9">
        <w:rPr>
          <w:rFonts w:ascii="Arial" w:hAnsi="Arial" w:cs="Arial"/>
          <w:i/>
        </w:rPr>
        <w:t>3.1.2.</w:t>
      </w:r>
      <w:r w:rsidR="00980CA0" w:rsidRPr="009562B9">
        <w:rPr>
          <w:rFonts w:ascii="Arial" w:hAnsi="Arial" w:cs="Arial"/>
          <w:i/>
        </w:rPr>
        <w:t>8. Proximity Analysis</w:t>
      </w:r>
    </w:p>
    <w:p w14:paraId="5D32C0E3" w14:textId="77777777" w:rsidR="0044305F" w:rsidRPr="009562B9" w:rsidRDefault="0044305F" w:rsidP="0044305F">
      <w:pPr>
        <w:pStyle w:val="Body"/>
        <w:spacing w:after="0"/>
        <w:rPr>
          <w:rFonts w:ascii="Arial" w:hAnsi="Arial" w:cs="Arial"/>
          <w:i/>
        </w:rPr>
      </w:pPr>
    </w:p>
    <w:p w14:paraId="01779760" w14:textId="77777777" w:rsidR="00980CA0" w:rsidRPr="009562B9" w:rsidRDefault="00980CA0" w:rsidP="00980CA0">
      <w:pPr>
        <w:pStyle w:val="Body"/>
        <w:spacing w:after="0"/>
        <w:rPr>
          <w:rFonts w:ascii="Arial" w:hAnsi="Arial" w:cs="Arial"/>
        </w:rPr>
      </w:pPr>
      <w:r w:rsidRPr="009562B9">
        <w:rPr>
          <w:rFonts w:ascii="Arial" w:hAnsi="Arial" w:cs="Arial"/>
        </w:rPr>
        <w:t>Finally, the minimum distance from each settlement to the nearest health facility is calculated as:</w:t>
      </w:r>
    </w:p>
    <w:p w14:paraId="63F6E031" w14:textId="1D9F61FC" w:rsidR="00980CA0" w:rsidRPr="009562B9" w:rsidRDefault="001816A6" w:rsidP="00980CA0">
      <w:pPr>
        <w:rPr>
          <w:rFonts w:ascii="Times New Roman" w:hAnsi="Times New Roman"/>
          <w:sz w:val="24"/>
          <w:szCs w:val="24"/>
          <w:lang w:eastAsia="zh-CN"/>
        </w:rPr>
      </w:pPr>
      <m:oMathPara>
        <m:oMath>
          <m:sSub>
            <m:sSubPr>
              <m:ctrlPr>
                <w:rPr>
                  <w:rFonts w:ascii="Cambria Math" w:hAnsi="Cambria Math"/>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k</m:t>
              </m:r>
            </m:sub>
          </m:sSub>
          <m:r>
            <w:rPr>
              <w:rFonts w:ascii="Cambria Math" w:hAnsi="Cambria Math"/>
              <w:sz w:val="24"/>
              <w:szCs w:val="24"/>
              <w:lang w:eastAsia="zh-CN"/>
            </w:rPr>
            <m:t>=</m:t>
          </m:r>
          <m:limLow>
            <m:limLowPr>
              <m:ctrlPr>
                <w:rPr>
                  <w:rFonts w:ascii="Cambria Math" w:hAnsi="Cambria Math"/>
                  <w:sz w:val="24"/>
                  <w:szCs w:val="24"/>
                  <w:lang w:eastAsia="zh-CN"/>
                </w:rPr>
              </m:ctrlPr>
            </m:limLowPr>
            <m:e>
              <m:r>
                <m:rPr>
                  <m:sty m:val="p"/>
                </m:rPr>
                <w:rPr>
                  <w:rFonts w:ascii="Cambria Math" w:hAnsi="Cambria Math"/>
                  <w:sz w:val="24"/>
                  <w:szCs w:val="24"/>
                  <w:lang w:eastAsia="zh-CN"/>
                </w:rPr>
                <m:t>min</m:t>
              </m:r>
              <m:r>
                <w:rPr>
                  <w:rFonts w:ascii="Cambria Math" w:hAnsi="Cambria Math"/>
                  <w:sz w:val="24"/>
                  <w:szCs w:val="24"/>
                  <w:lang w:eastAsia="zh-CN"/>
                </w:rPr>
                <m:t>⁡</m:t>
              </m:r>
            </m:e>
            <m:lim>
              <m:r>
                <w:rPr>
                  <w:rFonts w:ascii="Cambria Math" w:hAnsi="Cambria Math"/>
                  <w:sz w:val="24"/>
                  <w:szCs w:val="24"/>
                  <w:lang w:eastAsia="zh-CN"/>
                </w:rPr>
                <m:t>i</m:t>
              </m:r>
            </m:lim>
          </m:limLow>
          <m:r>
            <w:rPr>
              <w:rFonts w:ascii="Cambria Math" w:hAnsi="Cambria Math"/>
              <w:sz w:val="24"/>
              <w:szCs w:val="24"/>
              <w:lang w:eastAsia="zh-CN"/>
            </w:rPr>
            <m:t>d(</m:t>
          </m:r>
          <m:sSub>
            <m:sSubPr>
              <m:ctrlPr>
                <w:rPr>
                  <w:rFonts w:ascii="Cambria Math" w:hAnsi="Cambria Math"/>
                  <w:sz w:val="24"/>
                  <w:szCs w:val="24"/>
                  <w:lang w:eastAsia="zh-CN"/>
                </w:rPr>
              </m:ctrlPr>
            </m:sSubPr>
            <m:e>
              <m:r>
                <w:rPr>
                  <w:rFonts w:ascii="Cambria Math" w:hAnsi="Cambria Math"/>
                  <w:sz w:val="24"/>
                  <w:szCs w:val="24"/>
                  <w:lang w:eastAsia="zh-CN"/>
                </w:rPr>
                <m:t>p</m:t>
              </m:r>
            </m:e>
            <m:sub>
              <m:r>
                <w:rPr>
                  <w:rFonts w:ascii="Cambria Math" w:hAnsi="Cambria Math"/>
                  <w:sz w:val="24"/>
                  <w:szCs w:val="24"/>
                  <w:lang w:eastAsia="zh-CN"/>
                </w:rPr>
                <m:t>k</m:t>
              </m:r>
            </m:sub>
          </m:sSub>
          <m:r>
            <w:rPr>
              <w:rFonts w:ascii="Cambria Math" w:hAnsi="Cambria Math"/>
              <w:sz w:val="24"/>
              <w:szCs w:val="24"/>
              <w:lang w:eastAsia="zh-CN"/>
            </w:rPr>
            <m:t>,</m:t>
          </m:r>
          <m:sSub>
            <m:sSubPr>
              <m:ctrlPr>
                <w:rPr>
                  <w:rFonts w:ascii="Cambria Math" w:hAnsi="Cambria Math"/>
                  <w:sz w:val="24"/>
                  <w:szCs w:val="24"/>
                  <w:lang w:eastAsia="zh-CN"/>
                </w:rPr>
              </m:ctrlPr>
            </m:sSubPr>
            <m:e>
              <m:r>
                <w:rPr>
                  <w:rFonts w:ascii="Cambria Math" w:hAnsi="Cambria Math"/>
                  <w:sz w:val="24"/>
                  <w:szCs w:val="24"/>
                  <w:lang w:eastAsia="zh-CN"/>
                </w:rPr>
                <m:t>h</m:t>
              </m:r>
            </m:e>
            <m:sub>
              <m:r>
                <w:rPr>
                  <w:rFonts w:ascii="Cambria Math" w:hAnsi="Cambria Math"/>
                  <w:sz w:val="24"/>
                  <w:szCs w:val="24"/>
                  <w:lang w:eastAsia="zh-CN"/>
                </w:rPr>
                <m:t>i</m:t>
              </m:r>
            </m:sub>
          </m:sSub>
          <m:r>
            <w:rPr>
              <w:rFonts w:ascii="Cambria Math" w:hAnsi="Cambria Math"/>
              <w:sz w:val="24"/>
              <w:szCs w:val="24"/>
              <w:lang w:eastAsia="zh-CN"/>
            </w:rPr>
            <m:t>)</m:t>
          </m:r>
          <m:r>
            <m:rPr>
              <m:sty m:val="p"/>
            </m:rPr>
            <w:rPr>
              <w:rFonts w:ascii="Cambria Math" w:hAnsi="Cambria Math"/>
              <w:sz w:val="24"/>
              <w:szCs w:val="24"/>
              <w:lang w:eastAsia="zh-CN"/>
            </w:rPr>
            <w:br/>
          </m:r>
        </m:oMath>
      </m:oMathPara>
    </w:p>
    <w:p w14:paraId="600B95A1" w14:textId="77777777" w:rsidR="0044305F" w:rsidRPr="009562B9" w:rsidRDefault="00980CA0" w:rsidP="00980CA0">
      <w:pPr>
        <w:pStyle w:val="Body"/>
        <w:spacing w:after="0"/>
        <w:rPr>
          <w:rFonts w:ascii="Arial" w:hAnsi="Arial" w:cs="Arial"/>
        </w:rPr>
      </w:pPr>
      <w:r w:rsidRPr="009562B9">
        <w:rPr>
          <w:rFonts w:ascii="Arial" w:hAnsi="Arial" w:cs="Arial"/>
        </w:rPr>
        <w:t>This proximity evaluation is implemented using the Near tool to assess relative accessibility improvement</w:t>
      </w:r>
    </w:p>
    <w:p w14:paraId="7E7CFA95" w14:textId="59E5CD8E" w:rsidR="00980CA0" w:rsidRPr="009562B9" w:rsidRDefault="00980CA0" w:rsidP="00980CA0">
      <w:pPr>
        <w:pStyle w:val="Body"/>
        <w:spacing w:after="0"/>
        <w:rPr>
          <w:rFonts w:ascii="Arial" w:hAnsi="Arial" w:cs="Arial"/>
        </w:rPr>
      </w:pPr>
      <w:r w:rsidRPr="009562B9">
        <w:rPr>
          <w:rFonts w:ascii="Arial" w:hAnsi="Arial" w:cs="Arial"/>
        </w:rPr>
        <w:t>By combining GIS-based spatial operations with explicit mathematical formulations, the proposed model provides a robust, reproducible, and decision-oriented framework for healthcare accessibility analysis. The results support strategic planning by identifying underserved areas, quantifying population coverage, and optimizing the spatial allocation of new health infrastructure to reduce territorial inequalities.</w:t>
      </w:r>
    </w:p>
    <w:p w14:paraId="47151289" w14:textId="77777777" w:rsidR="0059081A" w:rsidRPr="009562B9" w:rsidRDefault="0059081A" w:rsidP="00813752">
      <w:pPr>
        <w:pStyle w:val="Body"/>
        <w:spacing w:after="0"/>
        <w:rPr>
          <w:rFonts w:ascii="Arial" w:hAnsi="Arial" w:cs="Arial"/>
          <w:b/>
          <w:u w:val="single"/>
        </w:rPr>
      </w:pPr>
    </w:p>
    <w:p w14:paraId="2F407F23" w14:textId="18DFBB16" w:rsidR="007022EC" w:rsidRPr="009562B9" w:rsidRDefault="0044305F" w:rsidP="00813752">
      <w:pPr>
        <w:pStyle w:val="Body"/>
        <w:spacing w:after="0"/>
        <w:rPr>
          <w:rFonts w:ascii="Arial" w:hAnsi="Arial" w:cs="Arial"/>
          <w:b/>
          <w:u w:val="single"/>
        </w:rPr>
      </w:pPr>
      <w:r w:rsidRPr="009562B9">
        <w:rPr>
          <w:rFonts w:ascii="Arial" w:hAnsi="Arial" w:cs="Arial"/>
          <w:b/>
          <w:u w:val="single"/>
        </w:rPr>
        <w:t>3</w:t>
      </w:r>
      <w:r w:rsidR="00813752" w:rsidRPr="009562B9">
        <w:rPr>
          <w:rFonts w:ascii="Arial" w:hAnsi="Arial" w:cs="Arial"/>
          <w:b/>
          <w:u w:val="single"/>
        </w:rPr>
        <w:t>.1.</w:t>
      </w:r>
      <w:r w:rsidRPr="009562B9">
        <w:rPr>
          <w:rFonts w:ascii="Arial" w:hAnsi="Arial" w:cs="Arial"/>
          <w:b/>
          <w:u w:val="single"/>
        </w:rPr>
        <w:t>3</w:t>
      </w:r>
      <w:r w:rsidR="00813752" w:rsidRPr="009562B9">
        <w:rPr>
          <w:rFonts w:ascii="Arial" w:hAnsi="Arial" w:cs="Arial"/>
          <w:b/>
          <w:u w:val="single"/>
        </w:rPr>
        <w:t xml:space="preserve"> </w:t>
      </w:r>
      <w:r w:rsidR="00980CA0" w:rsidRPr="009562B9">
        <w:rPr>
          <w:rFonts w:ascii="Arial" w:hAnsi="Arial" w:cs="Arial"/>
          <w:b/>
          <w:u w:val="single"/>
        </w:rPr>
        <w:t xml:space="preserve">Model Application: </w:t>
      </w:r>
      <w:r w:rsidR="00813752" w:rsidRPr="009562B9">
        <w:rPr>
          <w:rFonts w:ascii="Arial" w:hAnsi="Arial" w:cs="Arial"/>
          <w:b/>
          <w:u w:val="single"/>
        </w:rPr>
        <w:t xml:space="preserve">Spatial analysis of the project to install a second health </w:t>
      </w:r>
    </w:p>
    <w:p w14:paraId="27F00F6C" w14:textId="77777777" w:rsidR="007022EC" w:rsidRPr="009562B9" w:rsidRDefault="007022EC" w:rsidP="00441B6F">
      <w:pPr>
        <w:pStyle w:val="Head1"/>
        <w:spacing w:after="0"/>
        <w:jc w:val="both"/>
        <w:rPr>
          <w:rFonts w:ascii="Arial" w:hAnsi="Arial" w:cs="Arial"/>
        </w:rPr>
      </w:pPr>
    </w:p>
    <w:p w14:paraId="443EC8A8" w14:textId="7B9DA96D" w:rsidR="007A25BC" w:rsidRPr="009562B9" w:rsidRDefault="007A25BC" w:rsidP="007A25BC">
      <w:pPr>
        <w:pStyle w:val="Body"/>
        <w:spacing w:after="0"/>
        <w:rPr>
          <w:rFonts w:ascii="Arial" w:hAnsi="Arial" w:cs="Arial"/>
        </w:rPr>
      </w:pPr>
      <w:r w:rsidRPr="009562B9">
        <w:rPr>
          <w:rFonts w:ascii="Arial" w:hAnsi="Arial" w:cs="Arial"/>
        </w:rPr>
        <w:t xml:space="preserve">Figure </w:t>
      </w:r>
      <w:r w:rsidR="00F70276" w:rsidRPr="009562B9">
        <w:rPr>
          <w:rFonts w:ascii="Arial" w:hAnsi="Arial" w:cs="Arial"/>
        </w:rPr>
        <w:t>5</w:t>
      </w:r>
      <w:r w:rsidRPr="009562B9">
        <w:rPr>
          <w:rFonts w:ascii="Arial" w:hAnsi="Arial" w:cs="Arial"/>
        </w:rPr>
        <w:t xml:space="preserve"> presents the rural commune of </w:t>
      </w:r>
      <w:proofErr w:type="spellStart"/>
      <w:r w:rsidRPr="009562B9">
        <w:rPr>
          <w:rFonts w:ascii="Arial" w:hAnsi="Arial" w:cs="Arial"/>
        </w:rPr>
        <w:t>Kroukoto</w:t>
      </w:r>
      <w:proofErr w:type="spellEnd"/>
      <w:r w:rsidRPr="009562B9">
        <w:rPr>
          <w:rFonts w:ascii="Arial" w:hAnsi="Arial" w:cs="Arial"/>
        </w:rPr>
        <w:t xml:space="preserve">, located in the </w:t>
      </w:r>
      <w:proofErr w:type="spellStart"/>
      <w:r w:rsidRPr="009562B9">
        <w:rPr>
          <w:rFonts w:ascii="Arial" w:hAnsi="Arial" w:cs="Arial"/>
        </w:rPr>
        <w:t>c</w:t>
      </w:r>
      <w:r w:rsidR="006E4FB9" w:rsidRPr="009562B9">
        <w:rPr>
          <w:rFonts w:ascii="Arial" w:hAnsi="Arial" w:cs="Arial"/>
        </w:rPr>
        <w:t>e</w:t>
      </w:r>
      <w:r w:rsidRPr="009562B9">
        <w:rPr>
          <w:rFonts w:ascii="Arial" w:hAnsi="Arial" w:cs="Arial"/>
        </w:rPr>
        <w:t>rcle</w:t>
      </w:r>
      <w:proofErr w:type="spellEnd"/>
      <w:r w:rsidRPr="009562B9">
        <w:rPr>
          <w:rFonts w:ascii="Arial" w:hAnsi="Arial" w:cs="Arial"/>
        </w:rPr>
        <w:t xml:space="preserve"> of </w:t>
      </w:r>
      <w:proofErr w:type="spellStart"/>
      <w:r w:rsidRPr="009562B9">
        <w:rPr>
          <w:rFonts w:ascii="Arial" w:hAnsi="Arial" w:cs="Arial"/>
        </w:rPr>
        <w:t>Kéniéba</w:t>
      </w:r>
      <w:proofErr w:type="spellEnd"/>
      <w:r w:rsidRPr="009562B9">
        <w:rPr>
          <w:rFonts w:ascii="Arial" w:hAnsi="Arial" w:cs="Arial"/>
        </w:rPr>
        <w:t xml:space="preserve"> (</w:t>
      </w:r>
      <w:proofErr w:type="spellStart"/>
      <w:r w:rsidRPr="009562B9">
        <w:rPr>
          <w:rFonts w:ascii="Arial" w:hAnsi="Arial" w:cs="Arial"/>
        </w:rPr>
        <w:t>Kayes</w:t>
      </w:r>
      <w:proofErr w:type="spellEnd"/>
      <w:r w:rsidRPr="009562B9">
        <w:rPr>
          <w:rFonts w:ascii="Arial" w:hAnsi="Arial" w:cs="Arial"/>
        </w:rPr>
        <w:t xml:space="preserve"> region), as part of the project to install a second health center. The spatial analysis highlights two main localities: </w:t>
      </w:r>
      <w:proofErr w:type="spellStart"/>
      <w:r w:rsidRPr="009562B9">
        <w:rPr>
          <w:rFonts w:ascii="Arial" w:hAnsi="Arial" w:cs="Arial"/>
        </w:rPr>
        <w:t>Kroukoto</w:t>
      </w:r>
      <w:proofErr w:type="spellEnd"/>
      <w:r w:rsidRPr="009562B9">
        <w:rPr>
          <w:rFonts w:ascii="Arial" w:hAnsi="Arial" w:cs="Arial"/>
        </w:rPr>
        <w:t xml:space="preserve">, which houses the old health infrastructure, and </w:t>
      </w:r>
      <w:proofErr w:type="spellStart"/>
      <w:r w:rsidRPr="009562B9">
        <w:rPr>
          <w:rFonts w:ascii="Arial" w:hAnsi="Arial" w:cs="Arial"/>
        </w:rPr>
        <w:t>Dombaya</w:t>
      </w:r>
      <w:proofErr w:type="spellEnd"/>
      <w:r w:rsidRPr="009562B9">
        <w:rPr>
          <w:rFonts w:ascii="Arial" w:hAnsi="Arial" w:cs="Arial"/>
        </w:rPr>
        <w:t xml:space="preserve">, designated to host the new. Around each center, a radius of 20 km has been drawn in order to delimit the health coverage area. The choice of </w:t>
      </w:r>
      <w:proofErr w:type="spellStart"/>
      <w:r w:rsidRPr="009562B9">
        <w:rPr>
          <w:rFonts w:ascii="Arial" w:hAnsi="Arial" w:cs="Arial"/>
        </w:rPr>
        <w:t>Dombaya</w:t>
      </w:r>
      <w:proofErr w:type="spellEnd"/>
      <w:r w:rsidRPr="009562B9">
        <w:rPr>
          <w:rFonts w:ascii="Arial" w:hAnsi="Arial" w:cs="Arial"/>
        </w:rPr>
        <w:t xml:space="preserve"> for the new establishment allows to extend the coverage towards the southwest of the municipality, until then less served. According to calculations using the Python programming language, the new infrastructure covers about 5,089 people in 5 villages and 44 hamlets, while the old one in </w:t>
      </w:r>
      <w:proofErr w:type="spellStart"/>
      <w:r w:rsidRPr="009562B9">
        <w:rPr>
          <w:rFonts w:ascii="Arial" w:hAnsi="Arial" w:cs="Arial"/>
        </w:rPr>
        <w:t>Kroukoto</w:t>
      </w:r>
      <w:proofErr w:type="spellEnd"/>
      <w:r w:rsidRPr="009562B9">
        <w:rPr>
          <w:rFonts w:ascii="Arial" w:hAnsi="Arial" w:cs="Arial"/>
        </w:rPr>
        <w:t xml:space="preserve"> serves 4,671 people from 1 village and 43 hamlets. An intersection area between the two departments has also been identified, comprising 2,331 people living in 2 villages and 22 hamlets, thus benefiting from dual access to care. This spatial distribution shows that the new facility will contribute to better health accessibility and a reduction in territorial inequalities in terms of health coverage within the municipality.</w:t>
      </w:r>
    </w:p>
    <w:p w14:paraId="149A31EF" w14:textId="0E292256" w:rsidR="00934627" w:rsidRPr="009562B9" w:rsidRDefault="00934627" w:rsidP="004309AF">
      <w:pPr>
        <w:pStyle w:val="Head1"/>
        <w:spacing w:after="0"/>
        <w:jc w:val="both"/>
        <w:rPr>
          <w:rFonts w:ascii="Arial" w:hAnsi="Arial" w:cs="Arial"/>
        </w:rPr>
      </w:pPr>
    </w:p>
    <w:p w14:paraId="34A53DA7" w14:textId="2BD47587" w:rsidR="00934627" w:rsidRPr="009562B9" w:rsidRDefault="00934627" w:rsidP="00C25EEE">
      <w:pPr>
        <w:autoSpaceDE w:val="0"/>
        <w:autoSpaceDN w:val="0"/>
        <w:adjustRightInd w:val="0"/>
        <w:jc w:val="both"/>
        <w:rPr>
          <w:rFonts w:ascii="Arial" w:hAnsi="Arial" w:cs="Arial"/>
          <w:b/>
          <w:bCs/>
          <w:noProof/>
          <w:szCs w:val="22"/>
        </w:rPr>
      </w:pPr>
    </w:p>
    <w:p w14:paraId="569BFA49" w14:textId="77777777" w:rsidR="00E53BD8" w:rsidRPr="009562B9" w:rsidRDefault="00E53BD8" w:rsidP="00C25EEE">
      <w:pPr>
        <w:autoSpaceDE w:val="0"/>
        <w:autoSpaceDN w:val="0"/>
        <w:adjustRightInd w:val="0"/>
        <w:jc w:val="both"/>
        <w:rPr>
          <w:rFonts w:ascii="Arial" w:hAnsi="Arial" w:cs="Arial"/>
          <w:b/>
          <w:bCs/>
          <w:noProof/>
          <w:szCs w:val="22"/>
        </w:rPr>
      </w:pPr>
    </w:p>
    <w:p w14:paraId="2CE18C28" w14:textId="77777777" w:rsidR="00E53BD8" w:rsidRPr="009562B9" w:rsidRDefault="00E53BD8" w:rsidP="00C25EEE">
      <w:pPr>
        <w:autoSpaceDE w:val="0"/>
        <w:autoSpaceDN w:val="0"/>
        <w:adjustRightInd w:val="0"/>
        <w:jc w:val="both"/>
        <w:rPr>
          <w:rFonts w:ascii="Arial" w:hAnsi="Arial" w:cs="Arial"/>
          <w:b/>
          <w:bCs/>
          <w:noProof/>
          <w:szCs w:val="22"/>
        </w:rPr>
      </w:pPr>
    </w:p>
    <w:p w14:paraId="7F1E4316" w14:textId="0C1E3686" w:rsidR="00E53BD8" w:rsidRPr="009562B9" w:rsidRDefault="00E53BD8" w:rsidP="00C25EEE">
      <w:pPr>
        <w:autoSpaceDE w:val="0"/>
        <w:autoSpaceDN w:val="0"/>
        <w:adjustRightInd w:val="0"/>
        <w:jc w:val="both"/>
        <w:rPr>
          <w:rFonts w:ascii="Arial" w:hAnsi="Arial" w:cs="Arial"/>
          <w:b/>
          <w:bCs/>
          <w:noProof/>
          <w:szCs w:val="22"/>
        </w:rPr>
      </w:pPr>
    </w:p>
    <w:p w14:paraId="7988EF8A" w14:textId="3B314EC0" w:rsidR="00E53BD8" w:rsidRPr="009562B9" w:rsidRDefault="00E53BD8" w:rsidP="00C25EEE">
      <w:pPr>
        <w:autoSpaceDE w:val="0"/>
        <w:autoSpaceDN w:val="0"/>
        <w:adjustRightInd w:val="0"/>
        <w:jc w:val="both"/>
        <w:rPr>
          <w:rFonts w:ascii="Arial" w:hAnsi="Arial" w:cs="Arial"/>
          <w:b/>
          <w:bCs/>
          <w:noProof/>
          <w:szCs w:val="22"/>
        </w:rPr>
      </w:pPr>
    </w:p>
    <w:p w14:paraId="1C5FD2BD" w14:textId="6C405323" w:rsidR="00E53BD8" w:rsidRPr="009562B9" w:rsidRDefault="00E53BD8" w:rsidP="00C25EEE">
      <w:pPr>
        <w:autoSpaceDE w:val="0"/>
        <w:autoSpaceDN w:val="0"/>
        <w:adjustRightInd w:val="0"/>
        <w:jc w:val="both"/>
        <w:rPr>
          <w:rFonts w:ascii="Arial" w:hAnsi="Arial" w:cs="Arial"/>
          <w:b/>
          <w:bCs/>
          <w:szCs w:val="22"/>
        </w:rPr>
      </w:pPr>
      <w:r w:rsidRPr="009562B9">
        <w:rPr>
          <w:rFonts w:ascii="Arial" w:hAnsi="Arial" w:cs="Arial"/>
          <w:b/>
          <w:bCs/>
          <w:noProof/>
          <w:szCs w:val="22"/>
        </w:rPr>
        <w:lastRenderedPageBreak/>
        <w:drawing>
          <wp:inline distT="0" distB="0" distL="0" distR="0" wp14:anchorId="49E823ED" wp14:editId="21644869">
            <wp:extent cx="5207000" cy="3066529"/>
            <wp:effectExtent l="0" t="0" r="0" b="0"/>
            <wp:docPr id="9676764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1357" cy="3074984"/>
                    </a:xfrm>
                    <a:prstGeom prst="rect">
                      <a:avLst/>
                    </a:prstGeom>
                    <a:noFill/>
                  </pic:spPr>
                </pic:pic>
              </a:graphicData>
            </a:graphic>
          </wp:inline>
        </w:drawing>
      </w:r>
    </w:p>
    <w:p w14:paraId="623F684F" w14:textId="5CC927BB" w:rsidR="00000C9F" w:rsidRPr="009562B9" w:rsidRDefault="00513692" w:rsidP="00C25EEE">
      <w:pPr>
        <w:autoSpaceDE w:val="0"/>
        <w:autoSpaceDN w:val="0"/>
        <w:adjustRightInd w:val="0"/>
        <w:jc w:val="both"/>
        <w:rPr>
          <w:rFonts w:ascii="Arial" w:hAnsi="Arial" w:cs="Arial"/>
          <w:b/>
          <w:bCs/>
          <w:szCs w:val="22"/>
        </w:rPr>
      </w:pPr>
      <w:r w:rsidRPr="009562B9">
        <w:rPr>
          <w:rFonts w:ascii="Arial" w:hAnsi="Arial" w:cs="Arial"/>
          <w:b/>
          <w:bCs/>
          <w:szCs w:val="22"/>
        </w:rPr>
        <w:t xml:space="preserve">Fig </w:t>
      </w:r>
      <w:r w:rsidR="00F70276" w:rsidRPr="009562B9">
        <w:rPr>
          <w:rFonts w:ascii="Arial" w:hAnsi="Arial" w:cs="Arial"/>
          <w:b/>
          <w:bCs/>
          <w:szCs w:val="22"/>
        </w:rPr>
        <w:t>5</w:t>
      </w:r>
      <w:r w:rsidRPr="009562B9">
        <w:rPr>
          <w:rFonts w:ascii="Arial" w:hAnsi="Arial" w:cs="Arial"/>
          <w:b/>
          <w:bCs/>
          <w:szCs w:val="22"/>
        </w:rPr>
        <w:t xml:space="preserve">. Spatial analysis of the project to install a second health in the </w:t>
      </w:r>
      <w:r w:rsidR="006665E5" w:rsidRPr="009562B9">
        <w:rPr>
          <w:rFonts w:ascii="Arial" w:hAnsi="Arial" w:cs="Arial"/>
          <w:b/>
          <w:bCs/>
          <w:szCs w:val="22"/>
        </w:rPr>
        <w:t>commune of</w:t>
      </w:r>
      <w:r w:rsidRPr="009562B9">
        <w:rPr>
          <w:rFonts w:ascii="Arial" w:hAnsi="Arial" w:cs="Arial"/>
          <w:b/>
          <w:bCs/>
          <w:szCs w:val="22"/>
        </w:rPr>
        <w:t xml:space="preserve"> </w:t>
      </w:r>
      <w:proofErr w:type="spellStart"/>
      <w:r w:rsidRPr="009562B9">
        <w:rPr>
          <w:rFonts w:ascii="Arial" w:hAnsi="Arial" w:cs="Arial"/>
          <w:b/>
          <w:bCs/>
          <w:szCs w:val="22"/>
        </w:rPr>
        <w:t>Kroukoto</w:t>
      </w:r>
      <w:proofErr w:type="spellEnd"/>
    </w:p>
    <w:p w14:paraId="7ECD8E06" w14:textId="77777777" w:rsidR="00843321" w:rsidRPr="009562B9" w:rsidRDefault="00843321" w:rsidP="00C25EEE">
      <w:pPr>
        <w:autoSpaceDE w:val="0"/>
        <w:autoSpaceDN w:val="0"/>
        <w:adjustRightInd w:val="0"/>
        <w:jc w:val="both"/>
        <w:rPr>
          <w:rFonts w:ascii="Arial" w:hAnsi="Arial" w:cs="Arial"/>
          <w:b/>
          <w:bCs/>
          <w:szCs w:val="22"/>
        </w:rPr>
      </w:pPr>
    </w:p>
    <w:p w14:paraId="3580FE51" w14:textId="56C78DF9" w:rsidR="000F2BD7" w:rsidRPr="009562B9" w:rsidRDefault="000F2BD7" w:rsidP="00441B6F">
      <w:pPr>
        <w:pStyle w:val="Head1"/>
        <w:spacing w:after="0"/>
        <w:jc w:val="both"/>
        <w:rPr>
          <w:rFonts w:ascii="Arial" w:hAnsi="Arial" w:cs="Arial"/>
        </w:rPr>
      </w:pPr>
      <w:bookmarkStart w:id="0" w:name="OLE_LINK3"/>
      <w:r w:rsidRPr="009562B9">
        <w:rPr>
          <w:rFonts w:ascii="Times New Roman" w:hAnsi="Times New Roman"/>
        </w:rPr>
        <w:t>4. Discussion</w:t>
      </w:r>
    </w:p>
    <w:p w14:paraId="7CDB7C40" w14:textId="77777777" w:rsidR="006B5D75" w:rsidRPr="009562B9" w:rsidRDefault="006B5D75" w:rsidP="006B5D75">
      <w:pPr>
        <w:pStyle w:val="Body"/>
        <w:spacing w:after="0"/>
        <w:rPr>
          <w:rFonts w:ascii="Arial" w:hAnsi="Arial" w:cs="Arial"/>
        </w:rPr>
      </w:pPr>
    </w:p>
    <w:p w14:paraId="3198D0AC" w14:textId="33CF55E1" w:rsidR="00084AC4" w:rsidRPr="009562B9" w:rsidRDefault="00084AC4" w:rsidP="00084AC4">
      <w:pPr>
        <w:pStyle w:val="Body"/>
        <w:rPr>
          <w:rFonts w:ascii="Arial" w:hAnsi="Arial" w:cs="Arial"/>
        </w:rPr>
      </w:pPr>
      <w:r w:rsidRPr="009562B9">
        <w:rPr>
          <w:rFonts w:ascii="Arial" w:hAnsi="Arial" w:cs="Arial"/>
        </w:rPr>
        <w:t xml:space="preserve">The accessibility patterns observed in </w:t>
      </w:r>
      <w:proofErr w:type="spellStart"/>
      <w:r w:rsidRPr="009562B9">
        <w:rPr>
          <w:rFonts w:ascii="Arial" w:hAnsi="Arial" w:cs="Arial"/>
        </w:rPr>
        <w:t>Kroukoto</w:t>
      </w:r>
      <w:proofErr w:type="spellEnd"/>
      <w:r w:rsidRPr="009562B9">
        <w:rPr>
          <w:rFonts w:ascii="Arial" w:hAnsi="Arial" w:cs="Arial"/>
        </w:rPr>
        <w:t xml:space="preserve"> commune reveal a clear spatial contrast between central and peripheral areas with respect to health services. While central zones benefit from relatively better access to health facilities, peripheral and low-density areas remain significantly underserved. This spatial imbalance indicates that the distribution of health infrastructure is strongly influenced by settlement patterns and transportation networks, thereby reinforcing existing territorial inequalities in access to basic healthcare services. These findings are consistent with previous studies demonstrating that spatial accessibility is largely determined by territorial configuration, infrastructure distribution, and road network quality (</w:t>
      </w:r>
      <w:proofErr w:type="spellStart"/>
      <w:r w:rsidRPr="009562B9">
        <w:rPr>
          <w:rFonts w:ascii="Arial" w:hAnsi="Arial" w:cs="Arial"/>
        </w:rPr>
        <w:t>Neutens</w:t>
      </w:r>
      <w:proofErr w:type="spellEnd"/>
      <w:r w:rsidRPr="009562B9">
        <w:rPr>
          <w:rFonts w:ascii="Arial" w:hAnsi="Arial" w:cs="Arial"/>
        </w:rPr>
        <w:t xml:space="preserve">, 2015; Wang, 2012). In rural contexts, distance continues to represent a major barrier to healthcare access. The proportion of the population located beyond 5 km from a health center in this study aligns with observations reported by Weiss et al. (2020) for rural areas of sub-Saharan Africa, supporting the relevance of distance-based thresholds for evaluating healthcare accessibility. The results further highlight the effectiveness of GIS-based analysis in identifying spatial disparities that may not be evident through non-spatial indicators. By integrating census data with the spatial distribution of health facilities, the approach enables a detailed assessment of underserved areas. Similar conclusions were reached by Delamater (2013) and Talen and </w:t>
      </w:r>
      <w:proofErr w:type="spellStart"/>
      <w:r w:rsidRPr="009562B9">
        <w:rPr>
          <w:rFonts w:ascii="Arial" w:hAnsi="Arial" w:cs="Arial"/>
        </w:rPr>
        <w:t>Anselin</w:t>
      </w:r>
      <w:proofErr w:type="spellEnd"/>
      <w:r w:rsidRPr="009562B9">
        <w:rPr>
          <w:rFonts w:ascii="Arial" w:hAnsi="Arial" w:cs="Arial"/>
        </w:rPr>
        <w:t xml:space="preserve"> (1998), who emphasized that spatial equity in public service provision requires explicitly spatial analytical frameworks. From a planning perspective, the accessibility maps generated in this study provide valuable decision-support tools for local authorities. They facilitate the prioritization of health infrastructure investments and contribute to more efficient allocation of limited public resources. This approach is consistent with evidence-based governance frameworks promoted by international organizations, which advocate for the systematic use of geospatial information in public policy and territorial planning (UNDP, 202</w:t>
      </w:r>
      <w:r w:rsidR="00AE4119" w:rsidRPr="009562B9">
        <w:rPr>
          <w:rFonts w:ascii="Arial" w:hAnsi="Arial" w:cs="Arial"/>
        </w:rPr>
        <w:t>3</w:t>
      </w:r>
      <w:r w:rsidRPr="009562B9">
        <w:rPr>
          <w:rFonts w:ascii="Arial" w:hAnsi="Arial" w:cs="Arial"/>
        </w:rPr>
        <w:t xml:space="preserve">). Moreover, comparisons with other rural municipalities in the </w:t>
      </w:r>
      <w:proofErr w:type="spellStart"/>
      <w:r w:rsidRPr="009562B9">
        <w:rPr>
          <w:rFonts w:ascii="Arial" w:hAnsi="Arial" w:cs="Arial"/>
        </w:rPr>
        <w:t>Kayes</w:t>
      </w:r>
      <w:proofErr w:type="spellEnd"/>
      <w:r w:rsidRPr="009562B9">
        <w:rPr>
          <w:rFonts w:ascii="Arial" w:hAnsi="Arial" w:cs="Arial"/>
        </w:rPr>
        <w:t xml:space="preserve"> region reveal significant regional disparities in healthcare accessibility, largely driven by differences in population density, infrastructure quality, and financial capacity. Despite these contributions, several limitations should be </w:t>
      </w:r>
      <w:r w:rsidRPr="009562B9">
        <w:rPr>
          <w:rFonts w:ascii="Arial" w:hAnsi="Arial" w:cs="Arial"/>
        </w:rPr>
        <w:lastRenderedPageBreak/>
        <w:t>acknowledged. The accessibility assessment relied primarily on distance-based measures and did not account for travel time, transport availability, or seasonal variability. Future research could enhance the robustness of the analysis by incorporating mobility models, road condition data, and temporal accessibility metrics. In addition, the integration of remote sensing data could support more frequent updates of local spatial databases, further strengthening the role of GIS in healthcare planning (Goodchild, 200</w:t>
      </w:r>
      <w:r w:rsidR="003C3D53" w:rsidRPr="009562B9">
        <w:rPr>
          <w:rFonts w:ascii="Arial" w:hAnsi="Arial" w:cs="Arial"/>
        </w:rPr>
        <w:t>9</w:t>
      </w:r>
      <w:r w:rsidRPr="009562B9">
        <w:rPr>
          <w:rFonts w:ascii="Arial" w:hAnsi="Arial" w:cs="Arial"/>
        </w:rPr>
        <w:t xml:space="preserve">; </w:t>
      </w:r>
      <w:proofErr w:type="spellStart"/>
      <w:r w:rsidRPr="009562B9">
        <w:rPr>
          <w:rFonts w:ascii="Arial" w:hAnsi="Arial" w:cs="Arial"/>
        </w:rPr>
        <w:t>Bivand</w:t>
      </w:r>
      <w:proofErr w:type="spellEnd"/>
      <w:r w:rsidRPr="009562B9">
        <w:rPr>
          <w:rFonts w:ascii="Arial" w:hAnsi="Arial" w:cs="Arial"/>
        </w:rPr>
        <w:t xml:space="preserve"> et al., 2023</w:t>
      </w:r>
      <w:r w:rsidR="00294C65" w:rsidRPr="009562B9">
        <w:rPr>
          <w:rFonts w:ascii="Arial" w:hAnsi="Arial" w:cs="Arial"/>
        </w:rPr>
        <w:t xml:space="preserve">; </w:t>
      </w:r>
      <w:proofErr w:type="spellStart"/>
      <w:r w:rsidR="00294C65" w:rsidRPr="009562B9">
        <w:rPr>
          <w:rFonts w:ascii="Arial" w:hAnsi="Arial" w:cs="Arial"/>
        </w:rPr>
        <w:t>Arpitha</w:t>
      </w:r>
      <w:proofErr w:type="spellEnd"/>
      <w:r w:rsidR="00AD53D4" w:rsidRPr="009562B9">
        <w:rPr>
          <w:rFonts w:ascii="Arial" w:hAnsi="Arial" w:cs="Arial"/>
        </w:rPr>
        <w:t xml:space="preserve"> et al., 2024</w:t>
      </w:r>
      <w:r w:rsidRPr="009562B9">
        <w:rPr>
          <w:rFonts w:ascii="Arial" w:hAnsi="Arial" w:cs="Arial"/>
        </w:rPr>
        <w:t>).</w:t>
      </w:r>
    </w:p>
    <w:p w14:paraId="62942896" w14:textId="4EE86D92" w:rsidR="00000C9F" w:rsidRPr="009562B9" w:rsidRDefault="00084AC4" w:rsidP="00084AC4">
      <w:pPr>
        <w:pStyle w:val="Body"/>
        <w:spacing w:after="0"/>
        <w:rPr>
          <w:rFonts w:ascii="Arial" w:hAnsi="Arial" w:cs="Arial"/>
        </w:rPr>
      </w:pPr>
      <w:r w:rsidRPr="009562B9">
        <w:rPr>
          <w:rFonts w:ascii="Arial" w:hAnsi="Arial" w:cs="Arial"/>
        </w:rPr>
        <w:t>Overall, this study confirms the relevance of GIS</w:t>
      </w:r>
      <w:r w:rsidR="008B5CAE" w:rsidRPr="009562B9">
        <w:rPr>
          <w:rFonts w:ascii="Arial" w:hAnsi="Arial" w:cs="Arial"/>
        </w:rPr>
        <w:t xml:space="preserve"> </w:t>
      </w:r>
      <w:r w:rsidRPr="009562B9">
        <w:rPr>
          <w:rFonts w:ascii="Arial" w:hAnsi="Arial" w:cs="Arial"/>
        </w:rPr>
        <w:t>based</w:t>
      </w:r>
      <w:r w:rsidR="008B5CAE" w:rsidRPr="009562B9">
        <w:rPr>
          <w:rFonts w:ascii="Arial" w:hAnsi="Arial" w:cs="Arial"/>
        </w:rPr>
        <w:t xml:space="preserve"> on the</w:t>
      </w:r>
      <w:r w:rsidRPr="009562B9">
        <w:rPr>
          <w:rFonts w:ascii="Arial" w:hAnsi="Arial" w:cs="Arial"/>
        </w:rPr>
        <w:t xml:space="preserve"> accessibility analysis as a robust tool for diagnosing spatial inequalities in healthcare access and supporting more equitable territorial planning in rural contexts.</w:t>
      </w:r>
    </w:p>
    <w:bookmarkEnd w:id="0"/>
    <w:p w14:paraId="76695E11" w14:textId="77777777" w:rsidR="00790ADA" w:rsidRPr="009562B9" w:rsidRDefault="00790ADA" w:rsidP="00441B6F">
      <w:pPr>
        <w:pStyle w:val="Body"/>
        <w:spacing w:after="0"/>
        <w:rPr>
          <w:rFonts w:ascii="Arial" w:hAnsi="Arial" w:cs="Arial"/>
        </w:rPr>
      </w:pPr>
    </w:p>
    <w:p w14:paraId="5D08B9F0" w14:textId="3FE46A07" w:rsidR="00843321" w:rsidRPr="009562B9" w:rsidRDefault="00843321" w:rsidP="00843321">
      <w:pPr>
        <w:pStyle w:val="Head1"/>
        <w:spacing w:after="0"/>
        <w:jc w:val="both"/>
        <w:rPr>
          <w:rFonts w:ascii="Times New Roman" w:hAnsi="Times New Roman"/>
        </w:rPr>
      </w:pPr>
      <w:r w:rsidRPr="009562B9">
        <w:rPr>
          <w:rFonts w:ascii="Times New Roman" w:hAnsi="Times New Roman"/>
        </w:rPr>
        <w:t>5. CONCLUSION</w:t>
      </w:r>
    </w:p>
    <w:p w14:paraId="02146BDA" w14:textId="77777777" w:rsidR="00843321" w:rsidRPr="009562B9" w:rsidRDefault="00843321" w:rsidP="00843321">
      <w:pPr>
        <w:pStyle w:val="Head1"/>
        <w:spacing w:after="0"/>
        <w:jc w:val="both"/>
        <w:rPr>
          <w:rFonts w:ascii="Times New Roman" w:hAnsi="Times New Roman"/>
        </w:rPr>
      </w:pPr>
    </w:p>
    <w:p w14:paraId="60D936A5" w14:textId="49724032" w:rsidR="00843321" w:rsidRPr="009562B9" w:rsidRDefault="00843321" w:rsidP="00FF4AB2">
      <w:pPr>
        <w:pStyle w:val="ReferHead"/>
        <w:spacing w:after="0"/>
        <w:jc w:val="both"/>
        <w:rPr>
          <w:rFonts w:ascii="Arial" w:hAnsi="Arial" w:cs="Arial"/>
          <w:b w:val="0"/>
          <w:caps w:val="0"/>
          <w:sz w:val="20"/>
        </w:rPr>
      </w:pPr>
      <w:r w:rsidRPr="009562B9">
        <w:rPr>
          <w:rFonts w:ascii="Arial" w:hAnsi="Arial" w:cs="Arial"/>
          <w:b w:val="0"/>
          <w:caps w:val="0"/>
          <w:sz w:val="20"/>
        </w:rPr>
        <w:t xml:space="preserve">The integrated exploitation of census data and GIS analysis tools constitutes a strategic lever for territorial planning based on evidence and oriented towards sustainable development. The study conducted in the municipality of </w:t>
      </w:r>
      <w:proofErr w:type="spellStart"/>
      <w:r w:rsidRPr="009562B9">
        <w:rPr>
          <w:rFonts w:ascii="Arial" w:hAnsi="Arial" w:cs="Arial"/>
          <w:b w:val="0"/>
          <w:caps w:val="0"/>
          <w:sz w:val="20"/>
        </w:rPr>
        <w:t>Kroukoto</w:t>
      </w:r>
      <w:proofErr w:type="spellEnd"/>
      <w:r w:rsidRPr="009562B9">
        <w:rPr>
          <w:rFonts w:ascii="Arial" w:hAnsi="Arial" w:cs="Arial"/>
          <w:b w:val="0"/>
          <w:caps w:val="0"/>
          <w:sz w:val="20"/>
        </w:rPr>
        <w:t xml:space="preserve"> demonstrates the relevance of this approach to identify under-equipped areas, measure spatial disparities</w:t>
      </w:r>
      <w:r w:rsidR="00B430C4" w:rsidRPr="009562B9">
        <w:rPr>
          <w:rFonts w:ascii="Arial" w:hAnsi="Arial" w:cs="Arial"/>
          <w:b w:val="0"/>
          <w:caps w:val="0"/>
          <w:sz w:val="20"/>
        </w:rPr>
        <w:t>,</w:t>
      </w:r>
      <w:r w:rsidRPr="009562B9">
        <w:rPr>
          <w:rFonts w:ascii="Arial" w:hAnsi="Arial" w:cs="Arial"/>
          <w:b w:val="0"/>
          <w:caps w:val="0"/>
          <w:sz w:val="20"/>
        </w:rPr>
        <w:t xml:space="preserve"> and guide public decision-making in an objective and efficient manner. By combining demographic, geographical</w:t>
      </w:r>
      <w:r w:rsidR="00B430C4" w:rsidRPr="009562B9">
        <w:rPr>
          <w:rFonts w:ascii="Arial" w:hAnsi="Arial" w:cs="Arial"/>
          <w:b w:val="0"/>
          <w:caps w:val="0"/>
          <w:sz w:val="20"/>
        </w:rPr>
        <w:t>,</w:t>
      </w:r>
      <w:r w:rsidRPr="009562B9">
        <w:rPr>
          <w:rFonts w:ascii="Arial" w:hAnsi="Arial" w:cs="Arial"/>
          <w:b w:val="0"/>
          <w:caps w:val="0"/>
          <w:sz w:val="20"/>
        </w:rPr>
        <w:t xml:space="preserve"> and infrastructural dimensions, this approach strengthens the capacity of local authorities to plan, prioritize</w:t>
      </w:r>
      <w:r w:rsidR="00B430C4" w:rsidRPr="009562B9">
        <w:rPr>
          <w:rFonts w:ascii="Arial" w:hAnsi="Arial" w:cs="Arial"/>
          <w:b w:val="0"/>
          <w:caps w:val="0"/>
          <w:sz w:val="20"/>
        </w:rPr>
        <w:t>,</w:t>
      </w:r>
      <w:r w:rsidRPr="009562B9">
        <w:rPr>
          <w:rFonts w:ascii="Arial" w:hAnsi="Arial" w:cs="Arial"/>
          <w:b w:val="0"/>
          <w:caps w:val="0"/>
          <w:sz w:val="20"/>
        </w:rPr>
        <w:t xml:space="preserve"> and evaluate development interventions. The generalization of this methodology to all municipalities in Mali would promote a more equitable distribution of resources and better accessibility to basic social services, while supporting the implementation of national decentralization and territorial development policies. Finally, the systematic integration of GIS into local planning processes would contribute to establishing a more transparent, participatory, and resilient territorial governance in the face of sustainable development challenges.</w:t>
      </w:r>
    </w:p>
    <w:p w14:paraId="3F15AC9C" w14:textId="3D8BAC79" w:rsidR="00F84764" w:rsidRPr="009562B9" w:rsidRDefault="00F84764" w:rsidP="00FF4AB2">
      <w:pPr>
        <w:pStyle w:val="ReferHead"/>
        <w:spacing w:after="0"/>
        <w:jc w:val="both"/>
        <w:rPr>
          <w:rFonts w:ascii="Arial" w:hAnsi="Arial" w:cs="Arial"/>
          <w:b w:val="0"/>
          <w:caps w:val="0"/>
          <w:sz w:val="20"/>
        </w:rPr>
      </w:pPr>
    </w:p>
    <w:p w14:paraId="32646298" w14:textId="50272361" w:rsidR="00F84764" w:rsidRPr="009562B9" w:rsidRDefault="00F84764" w:rsidP="00FF4AB2">
      <w:pPr>
        <w:pStyle w:val="ReferHead"/>
        <w:spacing w:after="0"/>
        <w:jc w:val="both"/>
        <w:rPr>
          <w:rFonts w:ascii="Arial" w:hAnsi="Arial" w:cs="Arial"/>
          <w:caps w:val="0"/>
          <w:sz w:val="20"/>
        </w:rPr>
      </w:pPr>
    </w:p>
    <w:p w14:paraId="61468833" w14:textId="77777777" w:rsidR="00E474B9" w:rsidRPr="009562B9" w:rsidRDefault="00E474B9" w:rsidP="00E474B9">
      <w:pPr>
        <w:pStyle w:val="NoSpacing"/>
        <w:rPr>
          <w:rFonts w:ascii="Arial" w:hAnsi="Arial" w:cs="Arial"/>
          <w:b/>
        </w:rPr>
      </w:pPr>
      <w:bookmarkStart w:id="1" w:name="_Hlk198031404"/>
      <w:r w:rsidRPr="009562B9">
        <w:rPr>
          <w:rFonts w:ascii="Arial" w:hAnsi="Arial" w:cs="Arial"/>
          <w:b/>
        </w:rPr>
        <w:t>Disclaimer (Artificial intelligence)</w:t>
      </w:r>
    </w:p>
    <w:p w14:paraId="69E3E970" w14:textId="77777777" w:rsidR="00E474B9" w:rsidRPr="009562B9" w:rsidRDefault="00E474B9" w:rsidP="00E474B9">
      <w:pPr>
        <w:pStyle w:val="NoSpacing"/>
        <w:rPr>
          <w:rFonts w:ascii="Arial" w:hAnsi="Arial" w:cs="Arial"/>
        </w:rPr>
      </w:pPr>
    </w:p>
    <w:p w14:paraId="677F5084" w14:textId="77777777" w:rsidR="00E474B9" w:rsidRPr="009562B9" w:rsidRDefault="00E474B9" w:rsidP="00E474B9">
      <w:pPr>
        <w:pStyle w:val="NoSpacing"/>
        <w:rPr>
          <w:rFonts w:ascii="Arial" w:hAnsi="Arial" w:cs="Arial"/>
        </w:rPr>
      </w:pPr>
      <w:r w:rsidRPr="009562B9">
        <w:rPr>
          <w:rFonts w:ascii="Arial" w:hAnsi="Arial" w:cs="Arial"/>
        </w:rPr>
        <w:t>Author(s) hereby declare that NO generative AI technologies such as Large Language Models (</w:t>
      </w:r>
      <w:proofErr w:type="spellStart"/>
      <w:r w:rsidRPr="009562B9">
        <w:rPr>
          <w:rFonts w:ascii="Arial" w:hAnsi="Arial" w:cs="Arial"/>
        </w:rPr>
        <w:t>ChatGPT</w:t>
      </w:r>
      <w:proofErr w:type="spellEnd"/>
      <w:r w:rsidRPr="009562B9">
        <w:rPr>
          <w:rFonts w:ascii="Arial" w:hAnsi="Arial" w:cs="Arial"/>
        </w:rPr>
        <w:t xml:space="preserve">, COPILOT, etc.) and text-to-image generators have been used during the writing or editing of this manuscript. </w:t>
      </w:r>
    </w:p>
    <w:p w14:paraId="1A40C833" w14:textId="77777777" w:rsidR="00E474B9" w:rsidRPr="009562B9" w:rsidRDefault="00E474B9" w:rsidP="00E474B9">
      <w:pPr>
        <w:pStyle w:val="NoSpacing"/>
        <w:rPr>
          <w:rFonts w:ascii="Arial" w:hAnsi="Arial" w:cs="Arial"/>
        </w:rPr>
      </w:pPr>
      <w:bookmarkStart w:id="2" w:name="_GoBack"/>
      <w:bookmarkEnd w:id="1"/>
      <w:bookmarkEnd w:id="2"/>
    </w:p>
    <w:p w14:paraId="424D03C0" w14:textId="77777777" w:rsidR="00E474B9" w:rsidRPr="009562B9" w:rsidRDefault="00E474B9" w:rsidP="00E474B9">
      <w:pPr>
        <w:pStyle w:val="NoSpacing"/>
        <w:rPr>
          <w:rFonts w:ascii="Arial" w:hAnsi="Arial" w:cs="Arial"/>
        </w:rPr>
      </w:pPr>
    </w:p>
    <w:p w14:paraId="1F95B192" w14:textId="77777777" w:rsidR="00E474B9" w:rsidRPr="009562B9" w:rsidRDefault="00E474B9" w:rsidP="00E474B9">
      <w:pPr>
        <w:pStyle w:val="NoSpacing"/>
        <w:rPr>
          <w:rFonts w:ascii="Arial" w:hAnsi="Arial" w:cs="Arial"/>
        </w:rPr>
      </w:pPr>
    </w:p>
    <w:p w14:paraId="088528FE" w14:textId="199BF7CD" w:rsidR="00F84764" w:rsidRPr="009562B9" w:rsidRDefault="00F84764" w:rsidP="00FF4AB2">
      <w:pPr>
        <w:pStyle w:val="ReferHead"/>
        <w:spacing w:after="0"/>
        <w:jc w:val="both"/>
        <w:rPr>
          <w:rFonts w:ascii="Arial" w:hAnsi="Arial" w:cs="Arial"/>
          <w:b w:val="0"/>
          <w:caps w:val="0"/>
          <w:sz w:val="20"/>
        </w:rPr>
      </w:pPr>
    </w:p>
    <w:p w14:paraId="411FF9AF" w14:textId="77777777" w:rsidR="00843321" w:rsidRPr="009562B9" w:rsidRDefault="00843321" w:rsidP="00FF4AB2">
      <w:pPr>
        <w:pStyle w:val="ReferHead"/>
        <w:spacing w:after="0"/>
        <w:jc w:val="both"/>
        <w:rPr>
          <w:rFonts w:ascii="Arial" w:hAnsi="Arial" w:cs="Arial"/>
          <w:b w:val="0"/>
          <w:caps w:val="0"/>
          <w:sz w:val="20"/>
        </w:rPr>
      </w:pPr>
    </w:p>
    <w:p w14:paraId="46798F82" w14:textId="77777777" w:rsidR="009C2189" w:rsidRPr="009562B9" w:rsidRDefault="009C2189" w:rsidP="00DC00A0">
      <w:pPr>
        <w:pStyle w:val="ReferHead"/>
        <w:spacing w:after="0"/>
        <w:jc w:val="both"/>
        <w:rPr>
          <w:rFonts w:ascii="Arial" w:hAnsi="Arial" w:cs="Arial"/>
        </w:rPr>
      </w:pPr>
    </w:p>
    <w:p w14:paraId="38DD8A4E" w14:textId="4A7D5D85" w:rsidR="00DC00A0" w:rsidRPr="009562B9" w:rsidRDefault="00DC00A0" w:rsidP="00DC00A0">
      <w:pPr>
        <w:pStyle w:val="ReferHead"/>
        <w:spacing w:after="0"/>
        <w:jc w:val="both"/>
        <w:rPr>
          <w:rFonts w:ascii="Arial" w:hAnsi="Arial" w:cs="Arial"/>
        </w:rPr>
      </w:pPr>
      <w:r w:rsidRPr="009562B9">
        <w:rPr>
          <w:rFonts w:ascii="Arial" w:hAnsi="Arial" w:cs="Arial"/>
        </w:rPr>
        <w:t>Reference</w:t>
      </w:r>
    </w:p>
    <w:p w14:paraId="7E586F0A" w14:textId="77777777" w:rsidR="00F7694B" w:rsidRPr="009562B9" w:rsidRDefault="00F7694B" w:rsidP="00F7694B">
      <w:pPr>
        <w:pStyle w:val="Body"/>
        <w:spacing w:after="0"/>
        <w:rPr>
          <w:rFonts w:ascii="Arial" w:hAnsi="Arial" w:cs="Arial"/>
          <w:lang w:val="fr-ML"/>
        </w:rPr>
      </w:pPr>
      <w:r w:rsidRPr="009562B9">
        <w:rPr>
          <w:rFonts w:ascii="Arial" w:hAnsi="Arial" w:cs="Arial"/>
        </w:rPr>
        <w:t xml:space="preserve"> 1.</w:t>
      </w:r>
      <w:r w:rsidRPr="009562B9">
        <w:rPr>
          <w:rFonts w:ascii="Arial" w:hAnsi="Arial" w:cs="Arial"/>
        </w:rPr>
        <w:tab/>
      </w:r>
      <w:proofErr w:type="spellStart"/>
      <w:r w:rsidRPr="009562B9">
        <w:rPr>
          <w:rFonts w:ascii="Arial" w:hAnsi="Arial" w:cs="Arial"/>
        </w:rPr>
        <w:t>Kobiané</w:t>
      </w:r>
      <w:proofErr w:type="spellEnd"/>
      <w:r w:rsidRPr="009562B9">
        <w:rPr>
          <w:rFonts w:ascii="Arial" w:hAnsi="Arial" w:cs="Arial"/>
        </w:rPr>
        <w:t xml:space="preserve">, J.F., Lee, M., &amp; Marcoux, R. (2024). Census Across Africa: Using Census Data for Policy and Planning. </w:t>
      </w:r>
      <w:r w:rsidRPr="009562B9">
        <w:rPr>
          <w:rFonts w:ascii="Arial" w:hAnsi="Arial" w:cs="Arial"/>
          <w:lang w:val="fr-ML"/>
        </w:rPr>
        <w:t xml:space="preserve">Population Bulletin, 78(1). Population Reference Bureau. </w:t>
      </w:r>
      <w:proofErr w:type="spellStart"/>
      <w:r w:rsidRPr="009562B9">
        <w:rPr>
          <w:rFonts w:ascii="Arial" w:hAnsi="Arial" w:cs="Arial"/>
          <w:lang w:val="fr-ML"/>
        </w:rPr>
        <w:t>Retrieved</w:t>
      </w:r>
      <w:proofErr w:type="spellEnd"/>
      <w:r w:rsidRPr="009562B9">
        <w:rPr>
          <w:rFonts w:ascii="Arial" w:hAnsi="Arial" w:cs="Arial"/>
          <w:lang w:val="fr-ML"/>
        </w:rPr>
        <w:t xml:space="preserve"> </w:t>
      </w:r>
      <w:proofErr w:type="spellStart"/>
      <w:r w:rsidRPr="009562B9">
        <w:rPr>
          <w:rFonts w:ascii="Arial" w:hAnsi="Arial" w:cs="Arial"/>
          <w:lang w:val="fr-ML"/>
        </w:rPr>
        <w:t>from</w:t>
      </w:r>
      <w:proofErr w:type="spellEnd"/>
      <w:r w:rsidRPr="009562B9">
        <w:rPr>
          <w:rFonts w:ascii="Arial" w:hAnsi="Arial" w:cs="Arial"/>
          <w:lang w:val="fr-ML"/>
        </w:rPr>
        <w:t xml:space="preserve"> https://www.prb.org/wp-content/uploads/2024/08/07.31.24-Population-Bulletin-African-Census-508.pdf.</w:t>
      </w:r>
    </w:p>
    <w:p w14:paraId="21A8C846" w14:textId="77777777" w:rsidR="00F7694B" w:rsidRPr="009562B9" w:rsidRDefault="00F7694B" w:rsidP="00F7694B">
      <w:pPr>
        <w:pStyle w:val="Body"/>
        <w:spacing w:after="0"/>
        <w:rPr>
          <w:rFonts w:ascii="Arial" w:hAnsi="Arial" w:cs="Arial"/>
        </w:rPr>
      </w:pPr>
      <w:r w:rsidRPr="009562B9">
        <w:rPr>
          <w:rFonts w:ascii="Arial" w:hAnsi="Arial" w:cs="Arial"/>
        </w:rPr>
        <w:t>2.</w:t>
      </w:r>
      <w:r w:rsidRPr="009562B9">
        <w:rPr>
          <w:rFonts w:ascii="Arial" w:hAnsi="Arial" w:cs="Arial"/>
        </w:rPr>
        <w:tab/>
      </w:r>
      <w:proofErr w:type="spellStart"/>
      <w:r w:rsidRPr="009562B9">
        <w:rPr>
          <w:rFonts w:ascii="Arial" w:hAnsi="Arial" w:cs="Arial"/>
        </w:rPr>
        <w:t>Youcef</w:t>
      </w:r>
      <w:proofErr w:type="spellEnd"/>
      <w:r w:rsidRPr="009562B9">
        <w:rPr>
          <w:rFonts w:ascii="Arial" w:hAnsi="Arial" w:cs="Arial"/>
        </w:rPr>
        <w:t>, K.</w:t>
      </w:r>
      <w:proofErr w:type="gramStart"/>
      <w:r w:rsidRPr="009562B9">
        <w:rPr>
          <w:rFonts w:ascii="Arial" w:hAnsi="Arial" w:cs="Arial"/>
        </w:rPr>
        <w:t xml:space="preserve">;  </w:t>
      </w:r>
      <w:proofErr w:type="spellStart"/>
      <w:r w:rsidRPr="009562B9">
        <w:rPr>
          <w:rFonts w:ascii="Arial" w:hAnsi="Arial" w:cs="Arial"/>
        </w:rPr>
        <w:t>Boukerch</w:t>
      </w:r>
      <w:proofErr w:type="spellEnd"/>
      <w:proofErr w:type="gramEnd"/>
      <w:r w:rsidRPr="009562B9">
        <w:rPr>
          <w:rFonts w:ascii="Arial" w:hAnsi="Arial" w:cs="Arial"/>
        </w:rPr>
        <w:t xml:space="preserve">, </w:t>
      </w:r>
      <w:proofErr w:type="spellStart"/>
      <w:r w:rsidRPr="009562B9">
        <w:rPr>
          <w:rFonts w:ascii="Arial" w:hAnsi="Arial" w:cs="Arial"/>
        </w:rPr>
        <w:t>Issam</w:t>
      </w:r>
      <w:proofErr w:type="spellEnd"/>
      <w:r w:rsidRPr="009562B9">
        <w:rPr>
          <w:rFonts w:ascii="Arial" w:hAnsi="Arial" w:cs="Arial"/>
        </w:rPr>
        <w:t xml:space="preserve">;  </w:t>
      </w:r>
      <w:proofErr w:type="spellStart"/>
      <w:r w:rsidRPr="009562B9">
        <w:rPr>
          <w:rFonts w:ascii="Arial" w:hAnsi="Arial" w:cs="Arial"/>
        </w:rPr>
        <w:t>Hocine</w:t>
      </w:r>
      <w:proofErr w:type="spellEnd"/>
      <w:r w:rsidRPr="009562B9">
        <w:rPr>
          <w:rFonts w:ascii="Arial" w:hAnsi="Arial" w:cs="Arial"/>
        </w:rPr>
        <w:t xml:space="preserve">, I;  </w:t>
      </w:r>
      <w:proofErr w:type="spellStart"/>
      <w:r w:rsidRPr="009562B9">
        <w:rPr>
          <w:rFonts w:ascii="Arial" w:hAnsi="Arial" w:cs="Arial"/>
        </w:rPr>
        <w:t>Benabdelkader</w:t>
      </w:r>
      <w:proofErr w:type="spellEnd"/>
      <w:r w:rsidRPr="009562B9">
        <w:rPr>
          <w:rFonts w:ascii="Arial" w:hAnsi="Arial" w:cs="Arial"/>
        </w:rPr>
        <w:t xml:space="preserve">, A.. (2021). The setting up of a </w:t>
      </w:r>
      <w:proofErr w:type="spellStart"/>
      <w:r w:rsidRPr="009562B9">
        <w:rPr>
          <w:rFonts w:ascii="Arial" w:hAnsi="Arial" w:cs="Arial"/>
        </w:rPr>
        <w:t>gis</w:t>
      </w:r>
      <w:proofErr w:type="spellEnd"/>
      <w:r w:rsidRPr="009562B9">
        <w:rPr>
          <w:rFonts w:ascii="Arial" w:hAnsi="Arial" w:cs="Arial"/>
        </w:rPr>
        <w:t xml:space="preserve"> for the general population and housing census. The International Archives of the Photogrammetry, Remote Sensing and Spatial Information Sciences. XLIII-B4-2021. 313-319. 10.5194/isprs-archives-XLIII-B4-2021-313-2021.</w:t>
      </w:r>
    </w:p>
    <w:p w14:paraId="6317DFCC" w14:textId="77777777" w:rsidR="00F7694B" w:rsidRPr="009562B9" w:rsidRDefault="00F7694B" w:rsidP="00F7694B">
      <w:pPr>
        <w:pStyle w:val="Body"/>
        <w:spacing w:after="0"/>
        <w:rPr>
          <w:rFonts w:ascii="Arial" w:hAnsi="Arial" w:cs="Arial"/>
        </w:rPr>
      </w:pPr>
      <w:r w:rsidRPr="009562B9">
        <w:rPr>
          <w:rFonts w:ascii="Arial" w:hAnsi="Arial" w:cs="Arial"/>
        </w:rPr>
        <w:t>3.</w:t>
      </w:r>
      <w:r w:rsidRPr="009562B9">
        <w:rPr>
          <w:rFonts w:ascii="Arial" w:hAnsi="Arial" w:cs="Arial"/>
        </w:rPr>
        <w:tab/>
        <w:t>Goodchild M.F.  (2009) Geographic information systems and science: today and tomorrow, Annals of GIS, 15:1, 3-9, https://doi.org/10.1080/19475680903250715.</w:t>
      </w:r>
    </w:p>
    <w:p w14:paraId="25F1820F" w14:textId="77777777" w:rsidR="00F7694B" w:rsidRPr="009562B9" w:rsidRDefault="00F7694B" w:rsidP="00F7694B">
      <w:pPr>
        <w:pStyle w:val="Body"/>
        <w:spacing w:after="0"/>
        <w:rPr>
          <w:rFonts w:ascii="Arial" w:hAnsi="Arial" w:cs="Arial"/>
        </w:rPr>
      </w:pPr>
      <w:r w:rsidRPr="009562B9">
        <w:rPr>
          <w:rFonts w:ascii="Arial" w:hAnsi="Arial" w:cs="Arial"/>
        </w:rPr>
        <w:lastRenderedPageBreak/>
        <w:t>4.</w:t>
      </w:r>
      <w:r w:rsidRPr="009562B9">
        <w:rPr>
          <w:rFonts w:ascii="Arial" w:hAnsi="Arial" w:cs="Arial"/>
        </w:rPr>
        <w:tab/>
        <w:t xml:space="preserve">United Nations Development </w:t>
      </w:r>
      <w:proofErr w:type="spellStart"/>
      <w:r w:rsidRPr="009562B9">
        <w:rPr>
          <w:rFonts w:ascii="Arial" w:hAnsi="Arial" w:cs="Arial"/>
        </w:rPr>
        <w:t>Programme</w:t>
      </w:r>
      <w:proofErr w:type="spellEnd"/>
      <w:r w:rsidRPr="009562B9">
        <w:rPr>
          <w:rFonts w:ascii="Arial" w:hAnsi="Arial" w:cs="Arial"/>
        </w:rPr>
        <w:t xml:space="preserve"> (UNDP). (2023). Africa Sustainable Development Report 2022. New York: United Nations Development </w:t>
      </w:r>
      <w:proofErr w:type="spellStart"/>
      <w:r w:rsidRPr="009562B9">
        <w:rPr>
          <w:rFonts w:ascii="Arial" w:hAnsi="Arial" w:cs="Arial"/>
        </w:rPr>
        <w:t>Programme</w:t>
      </w:r>
      <w:proofErr w:type="spellEnd"/>
      <w:r w:rsidRPr="009562B9">
        <w:rPr>
          <w:rFonts w:ascii="Arial" w:hAnsi="Arial" w:cs="Arial"/>
        </w:rPr>
        <w:t>. Retrieved from https://www.undp.org/sites/g/files/zskgke326/files/2023-06/asdr_2022-en-full_report-final.pdf.</w:t>
      </w:r>
    </w:p>
    <w:p w14:paraId="3D1730F9" w14:textId="77777777" w:rsidR="00F7694B" w:rsidRPr="009562B9" w:rsidRDefault="00F7694B" w:rsidP="00F7694B">
      <w:pPr>
        <w:pStyle w:val="Body"/>
        <w:spacing w:after="0"/>
        <w:rPr>
          <w:rFonts w:ascii="Arial" w:hAnsi="Arial" w:cs="Arial"/>
          <w:lang w:val="fr-ML"/>
        </w:rPr>
      </w:pPr>
      <w:r w:rsidRPr="009562B9">
        <w:rPr>
          <w:rFonts w:ascii="Arial" w:hAnsi="Arial" w:cs="Arial"/>
        </w:rPr>
        <w:t>5.</w:t>
      </w:r>
      <w:r w:rsidRPr="009562B9">
        <w:rPr>
          <w:rFonts w:ascii="Arial" w:hAnsi="Arial" w:cs="Arial"/>
        </w:rPr>
        <w:tab/>
        <w:t xml:space="preserve">World Bank (Banque </w:t>
      </w:r>
      <w:proofErr w:type="spellStart"/>
      <w:r w:rsidRPr="009562B9">
        <w:rPr>
          <w:rFonts w:ascii="Arial" w:hAnsi="Arial" w:cs="Arial"/>
        </w:rPr>
        <w:t>Mondiale</w:t>
      </w:r>
      <w:proofErr w:type="spellEnd"/>
      <w:r w:rsidRPr="009562B9">
        <w:rPr>
          <w:rFonts w:ascii="Arial" w:hAnsi="Arial" w:cs="Arial"/>
        </w:rPr>
        <w:t xml:space="preserve">). (2021). World Development Report 2021: Data for Better Lives. </w:t>
      </w:r>
      <w:r w:rsidRPr="009562B9">
        <w:rPr>
          <w:rFonts w:ascii="Arial" w:hAnsi="Arial" w:cs="Arial"/>
          <w:lang w:val="fr-ML"/>
        </w:rPr>
        <w:t xml:space="preserve">Washington, </w:t>
      </w:r>
      <w:proofErr w:type="gramStart"/>
      <w:r w:rsidRPr="009562B9">
        <w:rPr>
          <w:rFonts w:ascii="Arial" w:hAnsi="Arial" w:cs="Arial"/>
          <w:lang w:val="fr-ML"/>
        </w:rPr>
        <w:t>DC:</w:t>
      </w:r>
      <w:proofErr w:type="gramEnd"/>
      <w:r w:rsidRPr="009562B9">
        <w:rPr>
          <w:rFonts w:ascii="Arial" w:hAnsi="Arial" w:cs="Arial"/>
          <w:lang w:val="fr-ML"/>
        </w:rPr>
        <w:t xml:space="preserve"> The World Bank.</w:t>
      </w:r>
    </w:p>
    <w:p w14:paraId="3DBE8AC9" w14:textId="77777777" w:rsidR="00F7694B" w:rsidRPr="009562B9" w:rsidRDefault="00F7694B" w:rsidP="00F7694B">
      <w:pPr>
        <w:pStyle w:val="Body"/>
        <w:spacing w:after="0"/>
        <w:rPr>
          <w:rFonts w:ascii="Arial" w:hAnsi="Arial" w:cs="Arial"/>
        </w:rPr>
      </w:pPr>
      <w:r w:rsidRPr="009562B9">
        <w:rPr>
          <w:rFonts w:ascii="Arial" w:hAnsi="Arial" w:cs="Arial"/>
          <w:lang w:val="fr-ML"/>
        </w:rPr>
        <w:t>6.</w:t>
      </w:r>
      <w:r w:rsidRPr="009562B9">
        <w:rPr>
          <w:rFonts w:ascii="Arial" w:hAnsi="Arial" w:cs="Arial"/>
          <w:lang w:val="fr-ML"/>
        </w:rPr>
        <w:tab/>
      </w:r>
      <w:proofErr w:type="spellStart"/>
      <w:r w:rsidRPr="009562B9">
        <w:rPr>
          <w:rFonts w:ascii="Arial" w:hAnsi="Arial" w:cs="Arial"/>
          <w:lang w:val="fr-ML"/>
        </w:rPr>
        <w:t>Febriandiela</w:t>
      </w:r>
      <w:proofErr w:type="spellEnd"/>
      <w:r w:rsidRPr="009562B9">
        <w:rPr>
          <w:rFonts w:ascii="Arial" w:hAnsi="Arial" w:cs="Arial"/>
          <w:lang w:val="fr-ML"/>
        </w:rPr>
        <w:t xml:space="preserve">, Fifi ; </w:t>
      </w:r>
      <w:proofErr w:type="spellStart"/>
      <w:r w:rsidRPr="009562B9">
        <w:rPr>
          <w:rFonts w:ascii="Arial" w:hAnsi="Arial" w:cs="Arial"/>
          <w:lang w:val="fr-ML"/>
        </w:rPr>
        <w:t>Frinaldi</w:t>
      </w:r>
      <w:proofErr w:type="spellEnd"/>
      <w:r w:rsidRPr="009562B9">
        <w:rPr>
          <w:rFonts w:ascii="Arial" w:hAnsi="Arial" w:cs="Arial"/>
          <w:lang w:val="fr-ML"/>
        </w:rPr>
        <w:t xml:space="preserve">, </w:t>
      </w:r>
      <w:proofErr w:type="spellStart"/>
      <w:r w:rsidRPr="009562B9">
        <w:rPr>
          <w:rFonts w:ascii="Arial" w:hAnsi="Arial" w:cs="Arial"/>
          <w:lang w:val="fr-ML"/>
        </w:rPr>
        <w:t>Aldri</w:t>
      </w:r>
      <w:proofErr w:type="spellEnd"/>
      <w:r w:rsidRPr="009562B9">
        <w:rPr>
          <w:rFonts w:ascii="Arial" w:hAnsi="Arial" w:cs="Arial"/>
          <w:lang w:val="fr-ML"/>
        </w:rPr>
        <w:t xml:space="preserve"> ; </w:t>
      </w:r>
      <w:proofErr w:type="spellStart"/>
      <w:r w:rsidRPr="009562B9">
        <w:rPr>
          <w:rFonts w:ascii="Arial" w:hAnsi="Arial" w:cs="Arial"/>
          <w:lang w:val="fr-ML"/>
        </w:rPr>
        <w:t>Magriasti</w:t>
      </w:r>
      <w:proofErr w:type="spellEnd"/>
      <w:r w:rsidRPr="009562B9">
        <w:rPr>
          <w:rFonts w:ascii="Arial" w:hAnsi="Arial" w:cs="Arial"/>
          <w:lang w:val="fr-ML"/>
        </w:rPr>
        <w:t xml:space="preserve">, </w:t>
      </w:r>
      <w:proofErr w:type="spellStart"/>
      <w:r w:rsidRPr="009562B9">
        <w:rPr>
          <w:rFonts w:ascii="Arial" w:hAnsi="Arial" w:cs="Arial"/>
          <w:lang w:val="fr-ML"/>
        </w:rPr>
        <w:t>Lince</w:t>
      </w:r>
      <w:proofErr w:type="spellEnd"/>
      <w:r w:rsidRPr="009562B9">
        <w:rPr>
          <w:rFonts w:ascii="Arial" w:hAnsi="Arial" w:cs="Arial"/>
          <w:lang w:val="fr-ML"/>
        </w:rPr>
        <w:t xml:space="preserve">. </w:t>
      </w:r>
      <w:r w:rsidRPr="009562B9">
        <w:rPr>
          <w:rFonts w:ascii="Arial" w:hAnsi="Arial" w:cs="Arial"/>
        </w:rPr>
        <w:t xml:space="preserve">(2024). Critical Analysis of Decentralization Theory in the Context of Local Government: A Literature Review. </w:t>
      </w:r>
      <w:proofErr w:type="spellStart"/>
      <w:proofErr w:type="gramStart"/>
      <w:r w:rsidRPr="009562B9">
        <w:rPr>
          <w:rFonts w:ascii="Arial" w:hAnsi="Arial" w:cs="Arial"/>
        </w:rPr>
        <w:t>Adabi</w:t>
      </w:r>
      <w:proofErr w:type="spellEnd"/>
      <w:r w:rsidRPr="009562B9">
        <w:rPr>
          <w:rFonts w:ascii="Arial" w:hAnsi="Arial" w:cs="Arial"/>
        </w:rPr>
        <w:t xml:space="preserve"> :</w:t>
      </w:r>
      <w:proofErr w:type="gramEnd"/>
      <w:r w:rsidRPr="009562B9">
        <w:rPr>
          <w:rFonts w:ascii="Arial" w:hAnsi="Arial" w:cs="Arial"/>
        </w:rPr>
        <w:t xml:space="preserve"> Journal of Public Administration and Business. 11. 1-13. 10.62066/</w:t>
      </w:r>
      <w:proofErr w:type="gramStart"/>
      <w:r w:rsidRPr="009562B9">
        <w:rPr>
          <w:rFonts w:ascii="Arial" w:hAnsi="Arial" w:cs="Arial"/>
        </w:rPr>
        <w:t>jpab.v</w:t>
      </w:r>
      <w:proofErr w:type="gramEnd"/>
      <w:r w:rsidRPr="009562B9">
        <w:rPr>
          <w:rFonts w:ascii="Arial" w:hAnsi="Arial" w:cs="Arial"/>
        </w:rPr>
        <w:t>11i1.13.</w:t>
      </w:r>
    </w:p>
    <w:p w14:paraId="51DF220D" w14:textId="77777777" w:rsidR="00F7694B" w:rsidRPr="009562B9" w:rsidRDefault="00F7694B" w:rsidP="00F7694B">
      <w:pPr>
        <w:pStyle w:val="Body"/>
        <w:spacing w:after="0"/>
        <w:rPr>
          <w:rFonts w:ascii="Arial" w:hAnsi="Arial" w:cs="Arial"/>
        </w:rPr>
      </w:pPr>
      <w:r w:rsidRPr="009562B9">
        <w:rPr>
          <w:rFonts w:ascii="Arial" w:hAnsi="Arial" w:cs="Arial"/>
        </w:rPr>
        <w:t>7.</w:t>
      </w:r>
      <w:r w:rsidRPr="009562B9">
        <w:rPr>
          <w:rFonts w:ascii="Arial" w:hAnsi="Arial" w:cs="Arial"/>
        </w:rPr>
        <w:tab/>
      </w:r>
      <w:proofErr w:type="spellStart"/>
      <w:r w:rsidRPr="009562B9">
        <w:rPr>
          <w:rFonts w:ascii="Arial" w:hAnsi="Arial" w:cs="Arial"/>
        </w:rPr>
        <w:t>Kyei</w:t>
      </w:r>
      <w:proofErr w:type="spellEnd"/>
      <w:r w:rsidRPr="009562B9">
        <w:rPr>
          <w:rFonts w:ascii="Arial" w:hAnsi="Arial" w:cs="Arial"/>
        </w:rPr>
        <w:t xml:space="preserve">, Emmanuel. (2025). Assessing the impact of decentralization on local governance, service delivery and community development. </w:t>
      </w:r>
    </w:p>
    <w:p w14:paraId="782A2F2D" w14:textId="77777777" w:rsidR="00F7694B" w:rsidRPr="009562B9" w:rsidRDefault="00F7694B" w:rsidP="00F7694B">
      <w:pPr>
        <w:pStyle w:val="Body"/>
        <w:spacing w:after="0"/>
        <w:rPr>
          <w:rFonts w:ascii="Arial" w:hAnsi="Arial" w:cs="Arial"/>
        </w:rPr>
      </w:pPr>
      <w:r w:rsidRPr="009562B9">
        <w:rPr>
          <w:rFonts w:ascii="Arial" w:hAnsi="Arial" w:cs="Arial"/>
        </w:rPr>
        <w:t>8.</w:t>
      </w:r>
      <w:r w:rsidRPr="009562B9">
        <w:rPr>
          <w:rFonts w:ascii="Arial" w:hAnsi="Arial" w:cs="Arial"/>
        </w:rPr>
        <w:tab/>
        <w:t>Chandran, A., Roy, P. Applications of geographical information system and spatial analysis in Indian health research: a systematic review. BMC Health Serv Res 24, 1448 (2024). https://doi.org/10.1186/s12913-024-11837-9.</w:t>
      </w:r>
    </w:p>
    <w:p w14:paraId="0560C51E" w14:textId="77777777" w:rsidR="00F7694B" w:rsidRPr="009562B9" w:rsidRDefault="00F7694B" w:rsidP="00F7694B">
      <w:pPr>
        <w:pStyle w:val="Body"/>
        <w:spacing w:after="0"/>
        <w:rPr>
          <w:rFonts w:ascii="Arial" w:hAnsi="Arial" w:cs="Arial"/>
          <w:lang w:val="fr-ML"/>
        </w:rPr>
      </w:pPr>
      <w:r w:rsidRPr="009562B9">
        <w:rPr>
          <w:rFonts w:ascii="Arial" w:hAnsi="Arial" w:cs="Arial"/>
        </w:rPr>
        <w:t>9.</w:t>
      </w:r>
      <w:r w:rsidRPr="009562B9">
        <w:rPr>
          <w:rFonts w:ascii="Arial" w:hAnsi="Arial" w:cs="Arial"/>
        </w:rPr>
        <w:tab/>
        <w:t xml:space="preserve">Talen, E., &amp; </w:t>
      </w:r>
      <w:proofErr w:type="spellStart"/>
      <w:r w:rsidRPr="009562B9">
        <w:rPr>
          <w:rFonts w:ascii="Arial" w:hAnsi="Arial" w:cs="Arial"/>
        </w:rPr>
        <w:t>Anselin</w:t>
      </w:r>
      <w:proofErr w:type="spellEnd"/>
      <w:r w:rsidRPr="009562B9">
        <w:rPr>
          <w:rFonts w:ascii="Arial" w:hAnsi="Arial" w:cs="Arial"/>
        </w:rPr>
        <w:t xml:space="preserve">, L. (1998). Assessing spatial equity: An evaluation of measures of accessibility to public playgrounds. </w:t>
      </w:r>
      <w:proofErr w:type="spellStart"/>
      <w:r w:rsidRPr="009562B9">
        <w:rPr>
          <w:rFonts w:ascii="Arial" w:hAnsi="Arial" w:cs="Arial"/>
          <w:lang w:val="fr-ML"/>
        </w:rPr>
        <w:t>Environment</w:t>
      </w:r>
      <w:proofErr w:type="spellEnd"/>
      <w:r w:rsidRPr="009562B9">
        <w:rPr>
          <w:rFonts w:ascii="Arial" w:hAnsi="Arial" w:cs="Arial"/>
          <w:lang w:val="fr-ML"/>
        </w:rPr>
        <w:t xml:space="preserve"> and Planning A, 30(4), 595–613. https://doi.org/10.1068/a300595</w:t>
      </w:r>
    </w:p>
    <w:p w14:paraId="6C76B56F" w14:textId="77777777" w:rsidR="00F7694B" w:rsidRPr="009562B9" w:rsidRDefault="00F7694B" w:rsidP="00F7694B">
      <w:pPr>
        <w:pStyle w:val="Body"/>
        <w:spacing w:after="0"/>
        <w:rPr>
          <w:rFonts w:ascii="Arial" w:hAnsi="Arial" w:cs="Arial"/>
        </w:rPr>
      </w:pPr>
      <w:r w:rsidRPr="009562B9">
        <w:rPr>
          <w:rFonts w:ascii="Arial" w:hAnsi="Arial" w:cs="Arial"/>
        </w:rPr>
        <w:t>10.</w:t>
      </w:r>
      <w:r w:rsidRPr="009562B9">
        <w:rPr>
          <w:rFonts w:ascii="Arial" w:hAnsi="Arial" w:cs="Arial"/>
        </w:rPr>
        <w:tab/>
      </w:r>
      <w:proofErr w:type="spellStart"/>
      <w:r w:rsidRPr="009562B9">
        <w:rPr>
          <w:rFonts w:ascii="Arial" w:hAnsi="Arial" w:cs="Arial"/>
        </w:rPr>
        <w:t>Neutens</w:t>
      </w:r>
      <w:proofErr w:type="spellEnd"/>
      <w:r w:rsidRPr="009562B9">
        <w:rPr>
          <w:rFonts w:ascii="Arial" w:hAnsi="Arial" w:cs="Arial"/>
        </w:rPr>
        <w:t xml:space="preserve">, T. (2015). Accessibility, equity and health care: review and research directions for transport geographers. Journal of Transport Geography, 43, 14–24. </w:t>
      </w:r>
      <w:proofErr w:type="gramStart"/>
      <w:r w:rsidRPr="009562B9">
        <w:rPr>
          <w:rFonts w:ascii="Arial" w:hAnsi="Arial" w:cs="Arial"/>
        </w:rPr>
        <w:t>doi:10.1016/j.jtrangeo</w:t>
      </w:r>
      <w:proofErr w:type="gramEnd"/>
      <w:r w:rsidRPr="009562B9">
        <w:rPr>
          <w:rFonts w:ascii="Arial" w:hAnsi="Arial" w:cs="Arial"/>
        </w:rPr>
        <w:t>.2014.12.006.</w:t>
      </w:r>
    </w:p>
    <w:p w14:paraId="211B639B" w14:textId="77777777" w:rsidR="00F7694B" w:rsidRPr="009562B9" w:rsidRDefault="00F7694B" w:rsidP="00F7694B">
      <w:pPr>
        <w:pStyle w:val="Body"/>
        <w:spacing w:after="0"/>
        <w:rPr>
          <w:rFonts w:ascii="Arial" w:hAnsi="Arial" w:cs="Arial"/>
        </w:rPr>
      </w:pPr>
      <w:r w:rsidRPr="009562B9">
        <w:rPr>
          <w:rFonts w:ascii="Arial" w:hAnsi="Arial" w:cs="Arial"/>
        </w:rPr>
        <w:t>11.</w:t>
      </w:r>
      <w:r w:rsidRPr="009562B9">
        <w:rPr>
          <w:rFonts w:ascii="Arial" w:hAnsi="Arial" w:cs="Arial"/>
        </w:rPr>
        <w:tab/>
        <w:t>Aliyu, Mansur Muhammad. (2013). Relevance of Geographic Information Systems (GIS) and Remote Sensing (RS) to Environmental Education: A Panacea for Sustainable Development in Nigeria. Academic Journal of Interdisciplinary Studies. 2. 10.5901/</w:t>
      </w:r>
      <w:proofErr w:type="gramStart"/>
      <w:r w:rsidRPr="009562B9">
        <w:rPr>
          <w:rFonts w:ascii="Arial" w:hAnsi="Arial" w:cs="Arial"/>
        </w:rPr>
        <w:t>ajis.2013.v</w:t>
      </w:r>
      <w:proofErr w:type="gramEnd"/>
      <w:r w:rsidRPr="009562B9">
        <w:rPr>
          <w:rFonts w:ascii="Arial" w:hAnsi="Arial" w:cs="Arial"/>
        </w:rPr>
        <w:t>2n10p75.</w:t>
      </w:r>
    </w:p>
    <w:p w14:paraId="32C8E396" w14:textId="77777777" w:rsidR="00F7694B" w:rsidRPr="009562B9" w:rsidRDefault="00F7694B" w:rsidP="00F7694B">
      <w:pPr>
        <w:pStyle w:val="Body"/>
        <w:spacing w:after="0"/>
        <w:rPr>
          <w:rFonts w:ascii="Arial" w:hAnsi="Arial" w:cs="Arial"/>
        </w:rPr>
      </w:pPr>
      <w:r w:rsidRPr="009562B9">
        <w:rPr>
          <w:rFonts w:ascii="Arial" w:hAnsi="Arial" w:cs="Arial"/>
        </w:rPr>
        <w:t>12.</w:t>
      </w:r>
      <w:r w:rsidRPr="009562B9">
        <w:rPr>
          <w:rFonts w:ascii="Arial" w:hAnsi="Arial" w:cs="Arial"/>
        </w:rPr>
        <w:tab/>
        <w:t>Schaller, Joerg; Mattos, Cristina. (2008). GIS Model Applications for Sustainable Development and Environmental Planning at the Regional Level. 10.1007/978-90-481-2899-0_4.</w:t>
      </w:r>
    </w:p>
    <w:p w14:paraId="5FCFC6C2" w14:textId="77777777" w:rsidR="00F7694B" w:rsidRPr="009562B9" w:rsidRDefault="00F7694B" w:rsidP="00F7694B">
      <w:pPr>
        <w:pStyle w:val="Body"/>
        <w:spacing w:after="0"/>
        <w:rPr>
          <w:rFonts w:ascii="Arial" w:hAnsi="Arial" w:cs="Arial"/>
        </w:rPr>
      </w:pPr>
      <w:r w:rsidRPr="009562B9">
        <w:rPr>
          <w:rFonts w:ascii="Arial" w:hAnsi="Arial" w:cs="Arial"/>
        </w:rPr>
        <w:t>13.</w:t>
      </w:r>
      <w:r w:rsidRPr="009562B9">
        <w:rPr>
          <w:rFonts w:ascii="Arial" w:hAnsi="Arial" w:cs="Arial"/>
        </w:rPr>
        <w:tab/>
        <w:t>Wang, F. (2012). Measurement, optimization, and impact of health care accessibility: A methodological review. Annals of the Association of American Geographers, 102(5), 1104–1112. https://doi.org/10.1080/00045608.2012.657146</w:t>
      </w:r>
    </w:p>
    <w:p w14:paraId="4108F571" w14:textId="77777777" w:rsidR="00F7694B" w:rsidRPr="009562B9" w:rsidRDefault="00F7694B" w:rsidP="00F7694B">
      <w:pPr>
        <w:pStyle w:val="Body"/>
        <w:spacing w:after="0"/>
        <w:rPr>
          <w:rFonts w:ascii="Arial" w:hAnsi="Arial" w:cs="Arial"/>
          <w:lang w:val="fr-ML"/>
        </w:rPr>
      </w:pPr>
      <w:r w:rsidRPr="009562B9">
        <w:rPr>
          <w:rFonts w:ascii="Arial" w:hAnsi="Arial" w:cs="Arial"/>
        </w:rPr>
        <w:t>14.</w:t>
      </w:r>
      <w:r w:rsidRPr="009562B9">
        <w:rPr>
          <w:rFonts w:ascii="Arial" w:hAnsi="Arial" w:cs="Arial"/>
        </w:rPr>
        <w:tab/>
        <w:t xml:space="preserve">Weiss, D. J., Nelson, A., Vargas-Ruiz, C. A., et al. (2020). Global maps of travel time to healthcare facilities. </w:t>
      </w:r>
      <w:r w:rsidRPr="009562B9">
        <w:rPr>
          <w:rFonts w:ascii="Arial" w:hAnsi="Arial" w:cs="Arial"/>
          <w:lang w:val="fr-ML"/>
        </w:rPr>
        <w:t xml:space="preserve">Nature </w:t>
      </w:r>
      <w:proofErr w:type="spellStart"/>
      <w:r w:rsidRPr="009562B9">
        <w:rPr>
          <w:rFonts w:ascii="Arial" w:hAnsi="Arial" w:cs="Arial"/>
          <w:lang w:val="fr-ML"/>
        </w:rPr>
        <w:t>Medicine</w:t>
      </w:r>
      <w:proofErr w:type="spellEnd"/>
      <w:r w:rsidRPr="009562B9">
        <w:rPr>
          <w:rFonts w:ascii="Arial" w:hAnsi="Arial" w:cs="Arial"/>
          <w:lang w:val="fr-ML"/>
        </w:rPr>
        <w:t>, 26, 1835–1848. https://doi.org/10.1038/s41591-020-1059-1</w:t>
      </w:r>
    </w:p>
    <w:p w14:paraId="0FBCB849" w14:textId="77777777" w:rsidR="00F7694B" w:rsidRPr="009562B9" w:rsidRDefault="00F7694B" w:rsidP="00F7694B">
      <w:pPr>
        <w:pStyle w:val="Body"/>
        <w:spacing w:after="0"/>
        <w:rPr>
          <w:rFonts w:ascii="Arial" w:hAnsi="Arial" w:cs="Arial"/>
        </w:rPr>
      </w:pPr>
      <w:r w:rsidRPr="009562B9">
        <w:rPr>
          <w:rFonts w:ascii="Arial" w:hAnsi="Arial" w:cs="Arial"/>
          <w:lang w:val="fr-ML"/>
        </w:rPr>
        <w:t>15.</w:t>
      </w:r>
      <w:r w:rsidRPr="009562B9">
        <w:rPr>
          <w:rFonts w:ascii="Arial" w:hAnsi="Arial" w:cs="Arial"/>
          <w:lang w:val="fr-ML"/>
        </w:rPr>
        <w:tab/>
        <w:t xml:space="preserve">Camara, Mahamadou ; </w:t>
      </w:r>
      <w:proofErr w:type="spellStart"/>
      <w:r w:rsidRPr="009562B9">
        <w:rPr>
          <w:rFonts w:ascii="Arial" w:hAnsi="Arial" w:cs="Arial"/>
          <w:lang w:val="fr-ML"/>
        </w:rPr>
        <w:t>Bengaly</w:t>
      </w:r>
      <w:proofErr w:type="spellEnd"/>
      <w:r w:rsidRPr="009562B9">
        <w:rPr>
          <w:rFonts w:ascii="Arial" w:hAnsi="Arial" w:cs="Arial"/>
          <w:lang w:val="fr-ML"/>
        </w:rPr>
        <w:t xml:space="preserve">, Souleymane ; Coulibaly, Oumar. </w:t>
      </w:r>
      <w:r w:rsidRPr="009562B9">
        <w:rPr>
          <w:rFonts w:ascii="Arial" w:hAnsi="Arial" w:cs="Arial"/>
        </w:rPr>
        <w:t>(2025). A Semi-Automated Geographic Information System Approach for Pre-Census Mapping. Journal of Geography Environment and Earth Science International. 29. 12-26. 10.9734/</w:t>
      </w:r>
      <w:proofErr w:type="spellStart"/>
      <w:r w:rsidRPr="009562B9">
        <w:rPr>
          <w:rFonts w:ascii="Arial" w:hAnsi="Arial" w:cs="Arial"/>
        </w:rPr>
        <w:t>jgeesi</w:t>
      </w:r>
      <w:proofErr w:type="spellEnd"/>
      <w:r w:rsidRPr="009562B9">
        <w:rPr>
          <w:rFonts w:ascii="Arial" w:hAnsi="Arial" w:cs="Arial"/>
        </w:rPr>
        <w:t>/2025/v29i11965.</w:t>
      </w:r>
    </w:p>
    <w:p w14:paraId="55F67FE4" w14:textId="77777777" w:rsidR="00F7694B" w:rsidRPr="009562B9" w:rsidRDefault="00F7694B" w:rsidP="00F7694B">
      <w:pPr>
        <w:pStyle w:val="Body"/>
        <w:spacing w:after="0"/>
        <w:rPr>
          <w:rFonts w:ascii="Arial" w:hAnsi="Arial" w:cs="Arial"/>
        </w:rPr>
      </w:pPr>
      <w:r w:rsidRPr="009562B9">
        <w:rPr>
          <w:rFonts w:ascii="Arial" w:hAnsi="Arial" w:cs="Arial"/>
        </w:rPr>
        <w:t>16.</w:t>
      </w:r>
      <w:r w:rsidRPr="009562B9">
        <w:rPr>
          <w:rFonts w:ascii="Arial" w:hAnsi="Arial" w:cs="Arial"/>
        </w:rPr>
        <w:tab/>
      </w:r>
      <w:proofErr w:type="spellStart"/>
      <w:r w:rsidRPr="009562B9">
        <w:rPr>
          <w:rFonts w:ascii="Arial" w:hAnsi="Arial" w:cs="Arial"/>
        </w:rPr>
        <w:t>Tejaswi</w:t>
      </w:r>
      <w:proofErr w:type="spellEnd"/>
      <w:r w:rsidRPr="009562B9">
        <w:rPr>
          <w:rFonts w:ascii="Arial" w:hAnsi="Arial" w:cs="Arial"/>
        </w:rPr>
        <w:t>, N H. (2025). Assessing the Spatial Distribution and Infrastructure Gaps in Udaipur's Commercial Centers Using GIS and URDPFI Norms. Journal of advance and future research. 3. 42. 10.56975/</w:t>
      </w:r>
      <w:proofErr w:type="gramStart"/>
      <w:r w:rsidRPr="009562B9">
        <w:rPr>
          <w:rFonts w:ascii="Arial" w:hAnsi="Arial" w:cs="Arial"/>
        </w:rPr>
        <w:t>jaafr.v</w:t>
      </w:r>
      <w:proofErr w:type="gramEnd"/>
      <w:r w:rsidRPr="009562B9">
        <w:rPr>
          <w:rFonts w:ascii="Arial" w:hAnsi="Arial" w:cs="Arial"/>
        </w:rPr>
        <w:t>3i12.501758.</w:t>
      </w:r>
    </w:p>
    <w:p w14:paraId="6C953095" w14:textId="77777777" w:rsidR="00F7694B" w:rsidRPr="009562B9" w:rsidRDefault="00F7694B" w:rsidP="00F7694B">
      <w:pPr>
        <w:pStyle w:val="Body"/>
        <w:spacing w:after="0"/>
        <w:rPr>
          <w:rFonts w:ascii="Arial" w:hAnsi="Arial" w:cs="Arial"/>
        </w:rPr>
      </w:pPr>
      <w:r w:rsidRPr="009562B9">
        <w:rPr>
          <w:rFonts w:ascii="Arial" w:hAnsi="Arial" w:cs="Arial"/>
        </w:rPr>
        <w:t>17.</w:t>
      </w:r>
      <w:r w:rsidRPr="009562B9">
        <w:rPr>
          <w:rFonts w:ascii="Arial" w:hAnsi="Arial" w:cs="Arial"/>
        </w:rPr>
        <w:tab/>
        <w:t>Li, H., Zhang, J., Shan, Y., Wang, G., Tian, Q., Wang, J., &amp; Ma, H. (2024). Study on Spatial Distribution Dispersion Evaluation and Driving Forces of Rural Settlements in the Yellow River Basin. Land, 13(8), 1181. https://doi.org/10.3390/land13081181</w:t>
      </w:r>
    </w:p>
    <w:p w14:paraId="3275AD68" w14:textId="77777777" w:rsidR="00F7694B" w:rsidRPr="009562B9" w:rsidRDefault="00F7694B" w:rsidP="00F7694B">
      <w:pPr>
        <w:pStyle w:val="Body"/>
        <w:spacing w:after="0"/>
        <w:rPr>
          <w:rFonts w:ascii="Arial" w:hAnsi="Arial" w:cs="Arial"/>
        </w:rPr>
      </w:pPr>
      <w:r w:rsidRPr="009562B9">
        <w:rPr>
          <w:rFonts w:ascii="Arial" w:hAnsi="Arial" w:cs="Arial"/>
        </w:rPr>
        <w:t>18.</w:t>
      </w:r>
      <w:r w:rsidRPr="009562B9">
        <w:rPr>
          <w:rFonts w:ascii="Arial" w:hAnsi="Arial" w:cs="Arial"/>
        </w:rPr>
        <w:tab/>
      </w:r>
      <w:proofErr w:type="spellStart"/>
      <w:r w:rsidRPr="009562B9">
        <w:rPr>
          <w:rFonts w:ascii="Arial" w:hAnsi="Arial" w:cs="Arial"/>
        </w:rPr>
        <w:t>Guagliardo</w:t>
      </w:r>
      <w:proofErr w:type="spellEnd"/>
      <w:r w:rsidRPr="009562B9">
        <w:rPr>
          <w:rFonts w:ascii="Arial" w:hAnsi="Arial" w:cs="Arial"/>
        </w:rPr>
        <w:t xml:space="preserve">, M. F. (2004). Spatial accessibility of primary care: Concepts, methods and challenges. International Journal of Health </w:t>
      </w:r>
      <w:proofErr w:type="spellStart"/>
      <w:r w:rsidRPr="009562B9">
        <w:rPr>
          <w:rFonts w:ascii="Arial" w:hAnsi="Arial" w:cs="Arial"/>
        </w:rPr>
        <w:t>Geographics</w:t>
      </w:r>
      <w:proofErr w:type="spellEnd"/>
      <w:r w:rsidRPr="009562B9">
        <w:rPr>
          <w:rFonts w:ascii="Arial" w:hAnsi="Arial" w:cs="Arial"/>
        </w:rPr>
        <w:t>, 3(1), 3. https://doi.org/10.1186/1476-072X-3-3</w:t>
      </w:r>
    </w:p>
    <w:p w14:paraId="678A2A33" w14:textId="77777777" w:rsidR="00F7694B" w:rsidRPr="009562B9" w:rsidRDefault="00F7694B" w:rsidP="00F7694B">
      <w:pPr>
        <w:pStyle w:val="Body"/>
        <w:spacing w:after="0"/>
        <w:rPr>
          <w:rFonts w:ascii="Arial" w:hAnsi="Arial" w:cs="Arial"/>
        </w:rPr>
      </w:pPr>
      <w:r w:rsidRPr="009562B9">
        <w:rPr>
          <w:rFonts w:ascii="Arial" w:hAnsi="Arial" w:cs="Arial"/>
        </w:rPr>
        <w:t>19.</w:t>
      </w:r>
      <w:r w:rsidRPr="009562B9">
        <w:rPr>
          <w:rFonts w:ascii="Arial" w:hAnsi="Arial" w:cs="Arial"/>
        </w:rPr>
        <w:tab/>
        <w:t xml:space="preserve">Delamater, P. L. (2013). Spatial accessibility in </w:t>
      </w:r>
      <w:proofErr w:type="spellStart"/>
      <w:r w:rsidRPr="009562B9">
        <w:rPr>
          <w:rFonts w:ascii="Arial" w:hAnsi="Arial" w:cs="Arial"/>
        </w:rPr>
        <w:t>suboptimally</w:t>
      </w:r>
      <w:proofErr w:type="spellEnd"/>
      <w:r w:rsidRPr="009562B9">
        <w:rPr>
          <w:rFonts w:ascii="Arial" w:hAnsi="Arial" w:cs="Arial"/>
        </w:rPr>
        <w:t xml:space="preserve"> configured health care systems. Health &amp; Place, 24, 45–52. https://doi.org/10.1016/j.healthplace.2013.08.003</w:t>
      </w:r>
    </w:p>
    <w:p w14:paraId="3A81C1F1" w14:textId="77777777" w:rsidR="00F7694B" w:rsidRPr="009562B9" w:rsidRDefault="00F7694B" w:rsidP="00F7694B">
      <w:pPr>
        <w:pStyle w:val="Body"/>
        <w:spacing w:after="0"/>
        <w:rPr>
          <w:rFonts w:ascii="Arial" w:hAnsi="Arial" w:cs="Arial"/>
        </w:rPr>
      </w:pPr>
      <w:r w:rsidRPr="009562B9">
        <w:rPr>
          <w:rFonts w:ascii="Arial" w:hAnsi="Arial" w:cs="Arial"/>
        </w:rPr>
        <w:t>20.</w:t>
      </w:r>
      <w:r w:rsidRPr="009562B9">
        <w:rPr>
          <w:rFonts w:ascii="Arial" w:hAnsi="Arial" w:cs="Arial"/>
        </w:rPr>
        <w:tab/>
        <w:t>Hansen, W. G. (1959). How accessibility shapes land use. Journal of the American Institute of Planners, 25(2), 73–76. https://doi.org/10.1080/01944365908978307</w:t>
      </w:r>
    </w:p>
    <w:p w14:paraId="1EFA051B" w14:textId="77777777" w:rsidR="00F7694B" w:rsidRPr="009562B9" w:rsidRDefault="00F7694B" w:rsidP="00F7694B">
      <w:pPr>
        <w:pStyle w:val="Body"/>
        <w:spacing w:after="0"/>
        <w:rPr>
          <w:rFonts w:ascii="Arial" w:hAnsi="Arial" w:cs="Arial"/>
        </w:rPr>
      </w:pPr>
      <w:r w:rsidRPr="009562B9">
        <w:rPr>
          <w:rFonts w:ascii="Arial" w:hAnsi="Arial" w:cs="Arial"/>
        </w:rPr>
        <w:t>21.</w:t>
      </w:r>
      <w:r w:rsidRPr="009562B9">
        <w:rPr>
          <w:rFonts w:ascii="Arial" w:hAnsi="Arial" w:cs="Arial"/>
        </w:rPr>
        <w:tab/>
        <w:t>Church, R. L., &amp; Marston, J. R. (2003). Measuring accessibility for people with a disability. Geographical Analysis, 35(1), 83–96. https://doi.org/10.1111/j.1538-4632.2003.tb01102.x</w:t>
      </w:r>
    </w:p>
    <w:p w14:paraId="78A2AC61" w14:textId="77777777" w:rsidR="00F7694B" w:rsidRPr="009562B9" w:rsidRDefault="00F7694B" w:rsidP="00F7694B">
      <w:pPr>
        <w:pStyle w:val="Body"/>
        <w:spacing w:after="0"/>
        <w:rPr>
          <w:rFonts w:ascii="Arial" w:hAnsi="Arial" w:cs="Arial"/>
          <w:lang w:val="fr-ML"/>
        </w:rPr>
      </w:pPr>
      <w:r w:rsidRPr="009562B9">
        <w:rPr>
          <w:rFonts w:ascii="Arial" w:hAnsi="Arial" w:cs="Arial"/>
        </w:rPr>
        <w:lastRenderedPageBreak/>
        <w:t>22.</w:t>
      </w:r>
      <w:r w:rsidRPr="009562B9">
        <w:rPr>
          <w:rFonts w:ascii="Arial" w:hAnsi="Arial" w:cs="Arial"/>
        </w:rPr>
        <w:tab/>
      </w:r>
      <w:proofErr w:type="spellStart"/>
      <w:r w:rsidRPr="009562B9">
        <w:rPr>
          <w:rFonts w:ascii="Arial" w:hAnsi="Arial" w:cs="Arial"/>
        </w:rPr>
        <w:t>Tariverdi</w:t>
      </w:r>
      <w:proofErr w:type="spellEnd"/>
      <w:r w:rsidRPr="009562B9">
        <w:rPr>
          <w:rFonts w:ascii="Arial" w:hAnsi="Arial" w:cs="Arial"/>
        </w:rPr>
        <w:t xml:space="preserve">, </w:t>
      </w:r>
      <w:proofErr w:type="spellStart"/>
      <w:r w:rsidRPr="009562B9">
        <w:rPr>
          <w:rFonts w:ascii="Arial" w:hAnsi="Arial" w:cs="Arial"/>
        </w:rPr>
        <w:t>Mersedeh</w:t>
      </w:r>
      <w:proofErr w:type="spellEnd"/>
      <w:r w:rsidRPr="009562B9">
        <w:rPr>
          <w:rFonts w:ascii="Arial" w:hAnsi="Arial" w:cs="Arial"/>
        </w:rPr>
        <w:t xml:space="preserve">; Nunez-del-Prado, Miguel; </w:t>
      </w:r>
      <w:proofErr w:type="spellStart"/>
      <w:r w:rsidRPr="009562B9">
        <w:rPr>
          <w:rFonts w:ascii="Arial" w:hAnsi="Arial" w:cs="Arial"/>
        </w:rPr>
        <w:t>Leonova</w:t>
      </w:r>
      <w:proofErr w:type="spellEnd"/>
      <w:r w:rsidRPr="009562B9">
        <w:rPr>
          <w:rFonts w:ascii="Arial" w:hAnsi="Arial" w:cs="Arial"/>
        </w:rPr>
        <w:t xml:space="preserve">, </w:t>
      </w:r>
      <w:proofErr w:type="spellStart"/>
      <w:r w:rsidRPr="009562B9">
        <w:rPr>
          <w:rFonts w:ascii="Arial" w:hAnsi="Arial" w:cs="Arial"/>
        </w:rPr>
        <w:t>Nadezda</w:t>
      </w:r>
      <w:proofErr w:type="spellEnd"/>
      <w:r w:rsidRPr="009562B9">
        <w:rPr>
          <w:rFonts w:ascii="Arial" w:hAnsi="Arial" w:cs="Arial"/>
        </w:rPr>
        <w:t xml:space="preserve">; Rentschler, Jun. (2023). Measuring accessibility to public services and infrastructure criticality for disasters risk management. </w:t>
      </w:r>
      <w:r w:rsidRPr="009562B9">
        <w:rPr>
          <w:rFonts w:ascii="Arial" w:hAnsi="Arial" w:cs="Arial"/>
          <w:lang w:val="fr-ML"/>
        </w:rPr>
        <w:t>Scientific Reports. 13. 1569. 10.1038/s41598-023-28460-z.</w:t>
      </w:r>
    </w:p>
    <w:p w14:paraId="13BC01B2" w14:textId="77777777" w:rsidR="00F7694B" w:rsidRPr="009562B9" w:rsidRDefault="00F7694B" w:rsidP="00F7694B">
      <w:pPr>
        <w:pStyle w:val="Body"/>
        <w:spacing w:after="0"/>
        <w:rPr>
          <w:rFonts w:ascii="Arial" w:hAnsi="Arial" w:cs="Arial"/>
        </w:rPr>
      </w:pPr>
      <w:r w:rsidRPr="009562B9">
        <w:rPr>
          <w:rFonts w:ascii="Arial" w:hAnsi="Arial" w:cs="Arial"/>
        </w:rPr>
        <w:t>23.</w:t>
      </w:r>
      <w:r w:rsidRPr="009562B9">
        <w:rPr>
          <w:rFonts w:ascii="Arial" w:hAnsi="Arial" w:cs="Arial"/>
        </w:rPr>
        <w:tab/>
        <w:t xml:space="preserve">Ying Tu, Bin Chen, </w:t>
      </w:r>
      <w:proofErr w:type="spellStart"/>
      <w:r w:rsidRPr="009562B9">
        <w:rPr>
          <w:rFonts w:ascii="Arial" w:hAnsi="Arial" w:cs="Arial"/>
        </w:rPr>
        <w:t>Chuan</w:t>
      </w:r>
      <w:proofErr w:type="spellEnd"/>
      <w:r w:rsidRPr="009562B9">
        <w:rPr>
          <w:rFonts w:ascii="Arial" w:hAnsi="Arial" w:cs="Arial"/>
        </w:rPr>
        <w:t xml:space="preserve"> Liao, </w:t>
      </w:r>
      <w:proofErr w:type="spellStart"/>
      <w:r w:rsidRPr="009562B9">
        <w:rPr>
          <w:rFonts w:ascii="Arial" w:hAnsi="Arial" w:cs="Arial"/>
        </w:rPr>
        <w:t>Shengbiao</w:t>
      </w:r>
      <w:proofErr w:type="spellEnd"/>
      <w:r w:rsidRPr="009562B9">
        <w:rPr>
          <w:rFonts w:ascii="Arial" w:hAnsi="Arial" w:cs="Arial"/>
        </w:rPr>
        <w:t xml:space="preserve"> Wu, </w:t>
      </w:r>
      <w:proofErr w:type="spellStart"/>
      <w:r w:rsidRPr="009562B9">
        <w:rPr>
          <w:rFonts w:ascii="Arial" w:hAnsi="Arial" w:cs="Arial"/>
        </w:rPr>
        <w:t>Jiafu</w:t>
      </w:r>
      <w:proofErr w:type="spellEnd"/>
      <w:r w:rsidRPr="009562B9">
        <w:rPr>
          <w:rFonts w:ascii="Arial" w:hAnsi="Arial" w:cs="Arial"/>
        </w:rPr>
        <w:t xml:space="preserve"> An, Chen Lin, Peng Gong, Bin Chen, Hong Wei; Bing </w:t>
      </w:r>
      <w:proofErr w:type="gramStart"/>
      <w:r w:rsidRPr="009562B9">
        <w:rPr>
          <w:rFonts w:ascii="Arial" w:hAnsi="Arial" w:cs="Arial"/>
        </w:rPr>
        <w:t>Xu.(</w:t>
      </w:r>
      <w:proofErr w:type="gramEnd"/>
      <w:r w:rsidRPr="009562B9">
        <w:rPr>
          <w:rFonts w:ascii="Arial" w:hAnsi="Arial" w:cs="Arial"/>
        </w:rPr>
        <w:t xml:space="preserve">2025). Inequality in infrastructure access and its association with health disparities. Nat Hum </w:t>
      </w:r>
      <w:proofErr w:type="spellStart"/>
      <w:r w:rsidRPr="009562B9">
        <w:rPr>
          <w:rFonts w:ascii="Arial" w:hAnsi="Arial" w:cs="Arial"/>
        </w:rPr>
        <w:t>Behav</w:t>
      </w:r>
      <w:proofErr w:type="spellEnd"/>
      <w:r w:rsidRPr="009562B9">
        <w:rPr>
          <w:rFonts w:ascii="Arial" w:hAnsi="Arial" w:cs="Arial"/>
        </w:rPr>
        <w:t xml:space="preserve"> 9, 1669–</w:t>
      </w:r>
      <w:proofErr w:type="gramStart"/>
      <w:r w:rsidRPr="009562B9">
        <w:rPr>
          <w:rFonts w:ascii="Arial" w:hAnsi="Arial" w:cs="Arial"/>
        </w:rPr>
        <w:t>1682 .</w:t>
      </w:r>
      <w:proofErr w:type="gramEnd"/>
      <w:r w:rsidRPr="009562B9">
        <w:rPr>
          <w:rFonts w:ascii="Arial" w:hAnsi="Arial" w:cs="Arial"/>
        </w:rPr>
        <w:t xml:space="preserve"> https://doi.org/10.1038/s41562-025-02208-3.</w:t>
      </w:r>
    </w:p>
    <w:p w14:paraId="5C4BE3F0" w14:textId="2E99D844" w:rsidR="00F7694B" w:rsidRPr="009562B9" w:rsidRDefault="00F7694B" w:rsidP="00F7694B">
      <w:pPr>
        <w:pStyle w:val="Body"/>
        <w:spacing w:after="0"/>
        <w:rPr>
          <w:rFonts w:ascii="Arial" w:hAnsi="Arial" w:cs="Arial"/>
          <w:lang w:val="fr-ML"/>
        </w:rPr>
      </w:pPr>
      <w:r w:rsidRPr="009562B9">
        <w:rPr>
          <w:rFonts w:ascii="Arial" w:hAnsi="Arial" w:cs="Arial"/>
        </w:rPr>
        <w:t>24.</w:t>
      </w:r>
      <w:r w:rsidRPr="009562B9">
        <w:rPr>
          <w:rFonts w:ascii="Arial" w:hAnsi="Arial" w:cs="Arial"/>
        </w:rPr>
        <w:tab/>
      </w:r>
      <w:proofErr w:type="spellStart"/>
      <w:r w:rsidRPr="009562B9">
        <w:rPr>
          <w:rFonts w:ascii="Arial" w:hAnsi="Arial" w:cs="Arial"/>
        </w:rPr>
        <w:t>Arpitha</w:t>
      </w:r>
      <w:proofErr w:type="spellEnd"/>
      <w:r w:rsidRPr="009562B9">
        <w:rPr>
          <w:rFonts w:ascii="Arial" w:hAnsi="Arial" w:cs="Arial"/>
        </w:rPr>
        <w:t xml:space="preserve">, G A; A.L., </w:t>
      </w:r>
      <w:proofErr w:type="spellStart"/>
      <w:r w:rsidRPr="009562B9">
        <w:rPr>
          <w:rFonts w:ascii="Arial" w:hAnsi="Arial" w:cs="Arial"/>
        </w:rPr>
        <w:t>Choodarathnakara</w:t>
      </w:r>
      <w:proofErr w:type="spellEnd"/>
      <w:r w:rsidRPr="009562B9">
        <w:rPr>
          <w:rFonts w:ascii="Arial" w:hAnsi="Arial" w:cs="Arial"/>
        </w:rPr>
        <w:t xml:space="preserve">; G S, </w:t>
      </w:r>
      <w:proofErr w:type="spellStart"/>
      <w:r w:rsidRPr="009562B9">
        <w:rPr>
          <w:rFonts w:ascii="Arial" w:hAnsi="Arial" w:cs="Arial"/>
        </w:rPr>
        <w:t>Sinchana</w:t>
      </w:r>
      <w:proofErr w:type="spellEnd"/>
      <w:r w:rsidRPr="009562B9">
        <w:rPr>
          <w:rFonts w:ascii="Arial" w:hAnsi="Arial" w:cs="Arial"/>
        </w:rPr>
        <w:t xml:space="preserve">. (2024). Landslides: A Review from the Southern Western Ghats of India. </w:t>
      </w:r>
      <w:r w:rsidRPr="009562B9">
        <w:rPr>
          <w:rFonts w:ascii="Arial" w:hAnsi="Arial" w:cs="Arial"/>
          <w:lang w:val="fr-ML"/>
        </w:rPr>
        <w:t xml:space="preserve">Journal Of The </w:t>
      </w:r>
      <w:proofErr w:type="spellStart"/>
      <w:r w:rsidRPr="009562B9">
        <w:rPr>
          <w:rFonts w:ascii="Arial" w:hAnsi="Arial" w:cs="Arial"/>
          <w:lang w:val="fr-ML"/>
        </w:rPr>
        <w:t>Geological</w:t>
      </w:r>
      <w:proofErr w:type="spellEnd"/>
      <w:r w:rsidRPr="009562B9">
        <w:rPr>
          <w:rFonts w:ascii="Arial" w:hAnsi="Arial" w:cs="Arial"/>
          <w:lang w:val="fr-ML"/>
        </w:rPr>
        <w:t xml:space="preserve"> Society Of </w:t>
      </w:r>
      <w:proofErr w:type="spellStart"/>
      <w:r w:rsidRPr="009562B9">
        <w:rPr>
          <w:rFonts w:ascii="Arial" w:hAnsi="Arial" w:cs="Arial"/>
          <w:lang w:val="fr-ML"/>
        </w:rPr>
        <w:t>India</w:t>
      </w:r>
      <w:proofErr w:type="spellEnd"/>
      <w:r w:rsidRPr="009562B9">
        <w:rPr>
          <w:rFonts w:ascii="Arial" w:hAnsi="Arial" w:cs="Arial"/>
          <w:lang w:val="fr-ML"/>
        </w:rPr>
        <w:t>. 100. 1443-1456. 10.17491/</w:t>
      </w:r>
      <w:proofErr w:type="spellStart"/>
      <w:r w:rsidRPr="009562B9">
        <w:rPr>
          <w:rFonts w:ascii="Arial" w:hAnsi="Arial" w:cs="Arial"/>
          <w:lang w:val="fr-ML"/>
        </w:rPr>
        <w:t>jgsi</w:t>
      </w:r>
      <w:proofErr w:type="spellEnd"/>
      <w:r w:rsidRPr="009562B9">
        <w:rPr>
          <w:rFonts w:ascii="Arial" w:hAnsi="Arial" w:cs="Arial"/>
          <w:lang w:val="fr-ML"/>
        </w:rPr>
        <w:t xml:space="preserve">/2024/173999. </w:t>
      </w:r>
    </w:p>
    <w:p w14:paraId="18A267B2" w14:textId="77777777" w:rsidR="00F7694B" w:rsidRPr="009562B9" w:rsidRDefault="00F7694B" w:rsidP="00F7694B">
      <w:pPr>
        <w:pStyle w:val="Body"/>
        <w:spacing w:after="0"/>
        <w:rPr>
          <w:rFonts w:ascii="Arial" w:hAnsi="Arial" w:cs="Arial"/>
        </w:rPr>
      </w:pPr>
    </w:p>
    <w:p w14:paraId="6AD70B96" w14:textId="77777777" w:rsidR="00F7694B" w:rsidRPr="009562B9" w:rsidRDefault="00F7694B" w:rsidP="00F7694B">
      <w:pPr>
        <w:pStyle w:val="Body"/>
        <w:spacing w:after="0"/>
        <w:rPr>
          <w:rFonts w:ascii="Arial" w:hAnsi="Arial" w:cs="Arial"/>
        </w:rPr>
      </w:pPr>
    </w:p>
    <w:p w14:paraId="3AB1FFDA" w14:textId="621D6166" w:rsidR="00F7694B" w:rsidRPr="009562B9" w:rsidRDefault="00F7694B" w:rsidP="00F7694B">
      <w:pPr>
        <w:pStyle w:val="Body"/>
        <w:spacing w:after="0"/>
        <w:rPr>
          <w:rFonts w:ascii="Arial" w:hAnsi="Arial" w:cs="Arial"/>
        </w:rPr>
        <w:sectPr w:rsidR="00F7694B" w:rsidRPr="009562B9" w:rsidSect="00BD18CF">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59B12DA8" w14:textId="77777777" w:rsidR="00B01FCD" w:rsidRPr="009562B9" w:rsidRDefault="00B01FCD" w:rsidP="004C4DC3">
      <w:pPr>
        <w:pStyle w:val="Appendix"/>
        <w:spacing w:after="0"/>
        <w:jc w:val="both"/>
        <w:rPr>
          <w:rFonts w:ascii="Arial" w:hAnsi="Arial" w:cs="Arial"/>
          <w:b w:val="0"/>
        </w:rPr>
      </w:pPr>
    </w:p>
    <w:sectPr w:rsidR="00B01FCD" w:rsidRPr="009562B9" w:rsidSect="00BD18C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86A4F3" w14:textId="77777777" w:rsidR="001816A6" w:rsidRDefault="001816A6" w:rsidP="00C37E61">
      <w:r>
        <w:separator/>
      </w:r>
    </w:p>
  </w:endnote>
  <w:endnote w:type="continuationSeparator" w:id="0">
    <w:p w14:paraId="11D8EF06" w14:textId="77777777" w:rsidR="001816A6" w:rsidRDefault="001816A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38E66" w14:textId="77777777" w:rsidR="000A7701" w:rsidRDefault="000A77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00120" w14:textId="77777777" w:rsidR="000A7701" w:rsidRDefault="000A77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90C0B" w14:textId="77777777" w:rsidR="009E048A" w:rsidRDefault="009E048A">
    <w:pPr>
      <w:pStyle w:val="Footer"/>
      <w:rPr>
        <w:rFonts w:ascii="Arial" w:hAnsi="Arial" w:cs="Arial"/>
        <w:sz w:val="16"/>
      </w:rPr>
    </w:pPr>
  </w:p>
  <w:p w14:paraId="7CCFF4DC"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0F18738" w14:textId="77777777" w:rsidR="009E048A" w:rsidRDefault="009E048A">
    <w:pPr>
      <w:pStyle w:val="Footer"/>
      <w:rPr>
        <w:rFonts w:ascii="Arial" w:hAnsi="Arial" w:cs="Arial"/>
        <w:sz w:val="16"/>
      </w:rPr>
    </w:pPr>
  </w:p>
  <w:p w14:paraId="5CDD4D61" w14:textId="222907F3"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2DFA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62DE93" w14:textId="77777777" w:rsidR="001816A6" w:rsidRDefault="001816A6" w:rsidP="00C37E61">
      <w:r>
        <w:separator/>
      </w:r>
    </w:p>
  </w:footnote>
  <w:footnote w:type="continuationSeparator" w:id="0">
    <w:p w14:paraId="2EC8B413" w14:textId="77777777" w:rsidR="001816A6" w:rsidRDefault="001816A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E2D84" w14:textId="12947440" w:rsidR="000A7701" w:rsidRDefault="001816A6">
    <w:pPr>
      <w:pStyle w:val="Header"/>
    </w:pPr>
    <w:r>
      <w:rPr>
        <w:noProof/>
      </w:rPr>
      <w:pict w14:anchorId="4EAE5F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95162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0FBF7" w14:textId="3A72CC57" w:rsidR="000A7701" w:rsidRDefault="001816A6">
    <w:pPr>
      <w:pStyle w:val="Header"/>
    </w:pPr>
    <w:r>
      <w:rPr>
        <w:noProof/>
      </w:rPr>
      <w:pict w14:anchorId="654C47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95162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6627C" w14:textId="422D5BDC" w:rsidR="00296529" w:rsidRPr="00296529" w:rsidRDefault="001816A6" w:rsidP="00296529">
    <w:pPr>
      <w:ind w:left="2160"/>
      <w:jc w:val="center"/>
      <w:rPr>
        <w:rFonts w:ascii="Times New Roman" w:eastAsia="Calibri" w:hAnsi="Times New Roman"/>
        <w:i/>
        <w:sz w:val="18"/>
        <w:szCs w:val="22"/>
      </w:rPr>
    </w:pPr>
    <w:r>
      <w:rPr>
        <w:noProof/>
      </w:rPr>
      <w:pict w14:anchorId="7027CE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95162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A9D0EC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64DD3E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2C7CB7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5D5800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A9E5B4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81F68B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8D879" w14:textId="6E74F7F0" w:rsidR="000A7701" w:rsidRDefault="001816A6">
    <w:pPr>
      <w:pStyle w:val="Header"/>
    </w:pPr>
    <w:r>
      <w:rPr>
        <w:noProof/>
      </w:rPr>
      <w:pict w14:anchorId="0EE47B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95162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372E7" w14:textId="275C8831" w:rsidR="000A7701" w:rsidRDefault="001816A6">
    <w:pPr>
      <w:pStyle w:val="Header"/>
    </w:pPr>
    <w:r>
      <w:rPr>
        <w:noProof/>
      </w:rPr>
      <w:pict w14:anchorId="4EAEEA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95163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29736" w14:textId="2070850F" w:rsidR="000A7701" w:rsidRDefault="001816A6">
    <w:pPr>
      <w:pStyle w:val="Header"/>
    </w:pPr>
    <w:r>
      <w:rPr>
        <w:noProof/>
      </w:rPr>
      <w:pict w14:anchorId="27F5EC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95162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3B5B80"/>
    <w:multiLevelType w:val="hybridMultilevel"/>
    <w:tmpl w:val="EE6A0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7F0ABC"/>
    <w:multiLevelType w:val="hybridMultilevel"/>
    <w:tmpl w:val="1BF03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07938"/>
    <w:multiLevelType w:val="multilevel"/>
    <w:tmpl w:val="758AC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644766"/>
    <w:multiLevelType w:val="multilevel"/>
    <w:tmpl w:val="BFDE3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33115F6"/>
    <w:multiLevelType w:val="multilevel"/>
    <w:tmpl w:val="44B2D1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30"/>
  </w:num>
  <w:num w:numId="10">
    <w:abstractNumId w:val="2"/>
  </w:num>
  <w:num w:numId="11">
    <w:abstractNumId w:val="23"/>
  </w:num>
  <w:num w:numId="12">
    <w:abstractNumId w:val="3"/>
  </w:num>
  <w:num w:numId="13">
    <w:abstractNumId w:val="21"/>
  </w:num>
  <w:num w:numId="14">
    <w:abstractNumId w:val="9"/>
  </w:num>
  <w:num w:numId="15">
    <w:abstractNumId w:val="26"/>
  </w:num>
  <w:num w:numId="16">
    <w:abstractNumId w:val="5"/>
  </w:num>
  <w:num w:numId="17">
    <w:abstractNumId w:val="27"/>
  </w:num>
  <w:num w:numId="18">
    <w:abstractNumId w:val="15"/>
  </w:num>
  <w:num w:numId="19">
    <w:abstractNumId w:val="33"/>
  </w:num>
  <w:num w:numId="20">
    <w:abstractNumId w:val="12"/>
  </w:num>
  <w:num w:numId="21">
    <w:abstractNumId w:val="10"/>
  </w:num>
  <w:num w:numId="22">
    <w:abstractNumId w:val="14"/>
  </w:num>
  <w:num w:numId="23">
    <w:abstractNumId w:val="24"/>
  </w:num>
  <w:num w:numId="24">
    <w:abstractNumId w:val="31"/>
  </w:num>
  <w:num w:numId="25">
    <w:abstractNumId w:val="4"/>
  </w:num>
  <w:num w:numId="26">
    <w:abstractNumId w:val="20"/>
  </w:num>
  <w:num w:numId="27">
    <w:abstractNumId w:val="25"/>
  </w:num>
  <w:num w:numId="28">
    <w:abstractNumId w:val="32"/>
  </w:num>
  <w:num w:numId="29">
    <w:abstractNumId w:val="29"/>
  </w:num>
  <w:num w:numId="30">
    <w:abstractNumId w:val="11"/>
  </w:num>
  <w:num w:numId="31">
    <w:abstractNumId w:val="18"/>
  </w:num>
  <w:num w:numId="32">
    <w:abstractNumId w:val="22"/>
  </w:num>
  <w:num w:numId="33">
    <w:abstractNumId w:val="7"/>
  </w:num>
  <w:num w:numId="34">
    <w:abstractNumId w:val="16"/>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C9F"/>
    <w:rsid w:val="00000F8F"/>
    <w:rsid w:val="00003915"/>
    <w:rsid w:val="00013A42"/>
    <w:rsid w:val="00013A8E"/>
    <w:rsid w:val="00021B96"/>
    <w:rsid w:val="00026F2D"/>
    <w:rsid w:val="00030174"/>
    <w:rsid w:val="00036DAD"/>
    <w:rsid w:val="00037D7D"/>
    <w:rsid w:val="0004579C"/>
    <w:rsid w:val="000472EB"/>
    <w:rsid w:val="00047D0F"/>
    <w:rsid w:val="00054D80"/>
    <w:rsid w:val="0005586B"/>
    <w:rsid w:val="00055DDB"/>
    <w:rsid w:val="000807CD"/>
    <w:rsid w:val="00084AC4"/>
    <w:rsid w:val="00085FA7"/>
    <w:rsid w:val="00091BA4"/>
    <w:rsid w:val="000A47FA"/>
    <w:rsid w:val="000A65D3"/>
    <w:rsid w:val="000A6FC6"/>
    <w:rsid w:val="000A7701"/>
    <w:rsid w:val="000B1E33"/>
    <w:rsid w:val="000C42BF"/>
    <w:rsid w:val="000D4322"/>
    <w:rsid w:val="000D689F"/>
    <w:rsid w:val="000E140F"/>
    <w:rsid w:val="000E47F7"/>
    <w:rsid w:val="000E5382"/>
    <w:rsid w:val="000E7B7B"/>
    <w:rsid w:val="000E7D62"/>
    <w:rsid w:val="000F2BD7"/>
    <w:rsid w:val="000F7AA1"/>
    <w:rsid w:val="0010014D"/>
    <w:rsid w:val="00103357"/>
    <w:rsid w:val="00103CE9"/>
    <w:rsid w:val="00120B6B"/>
    <w:rsid w:val="00123C9F"/>
    <w:rsid w:val="00126190"/>
    <w:rsid w:val="00130F17"/>
    <w:rsid w:val="001320BF"/>
    <w:rsid w:val="001566D4"/>
    <w:rsid w:val="00163BC4"/>
    <w:rsid w:val="001816A6"/>
    <w:rsid w:val="00186547"/>
    <w:rsid w:val="00191062"/>
    <w:rsid w:val="00192B72"/>
    <w:rsid w:val="001A29D8"/>
    <w:rsid w:val="001A5CAA"/>
    <w:rsid w:val="001A6CA5"/>
    <w:rsid w:val="001B03D2"/>
    <w:rsid w:val="001B0427"/>
    <w:rsid w:val="001D133A"/>
    <w:rsid w:val="001D18C7"/>
    <w:rsid w:val="001D3A51"/>
    <w:rsid w:val="001E10D2"/>
    <w:rsid w:val="001E25B4"/>
    <w:rsid w:val="001E44FE"/>
    <w:rsid w:val="001F04A6"/>
    <w:rsid w:val="001F58E5"/>
    <w:rsid w:val="00200595"/>
    <w:rsid w:val="00204835"/>
    <w:rsid w:val="0020631C"/>
    <w:rsid w:val="0022041B"/>
    <w:rsid w:val="00231920"/>
    <w:rsid w:val="0023195C"/>
    <w:rsid w:val="002377B9"/>
    <w:rsid w:val="0024282C"/>
    <w:rsid w:val="00243B00"/>
    <w:rsid w:val="002454B6"/>
    <w:rsid w:val="002460DC"/>
    <w:rsid w:val="00250985"/>
    <w:rsid w:val="002556F6"/>
    <w:rsid w:val="00276DD6"/>
    <w:rsid w:val="00277CAE"/>
    <w:rsid w:val="00283105"/>
    <w:rsid w:val="00284899"/>
    <w:rsid w:val="00284C4C"/>
    <w:rsid w:val="00287E68"/>
    <w:rsid w:val="00294C65"/>
    <w:rsid w:val="00295EAC"/>
    <w:rsid w:val="00296529"/>
    <w:rsid w:val="002A0141"/>
    <w:rsid w:val="002A1DD2"/>
    <w:rsid w:val="002A7382"/>
    <w:rsid w:val="002B05C6"/>
    <w:rsid w:val="002B27FB"/>
    <w:rsid w:val="002B685A"/>
    <w:rsid w:val="002B718A"/>
    <w:rsid w:val="002C28EF"/>
    <w:rsid w:val="002C4374"/>
    <w:rsid w:val="002C57D2"/>
    <w:rsid w:val="002D2C6D"/>
    <w:rsid w:val="002D5B48"/>
    <w:rsid w:val="002E0D56"/>
    <w:rsid w:val="002E1C39"/>
    <w:rsid w:val="002F02B4"/>
    <w:rsid w:val="002F2B7E"/>
    <w:rsid w:val="002F5A69"/>
    <w:rsid w:val="002F6CA3"/>
    <w:rsid w:val="00300D1D"/>
    <w:rsid w:val="003065EE"/>
    <w:rsid w:val="00306690"/>
    <w:rsid w:val="00315186"/>
    <w:rsid w:val="00330F20"/>
    <w:rsid w:val="0033343E"/>
    <w:rsid w:val="00334089"/>
    <w:rsid w:val="003512C2"/>
    <w:rsid w:val="0035175E"/>
    <w:rsid w:val="00353767"/>
    <w:rsid w:val="0036281B"/>
    <w:rsid w:val="00364EB0"/>
    <w:rsid w:val="00365345"/>
    <w:rsid w:val="0036770E"/>
    <w:rsid w:val="00371FB6"/>
    <w:rsid w:val="003727EA"/>
    <w:rsid w:val="003763C1"/>
    <w:rsid w:val="00376BBE"/>
    <w:rsid w:val="00376D81"/>
    <w:rsid w:val="00386A0A"/>
    <w:rsid w:val="003900E9"/>
    <w:rsid w:val="0039224F"/>
    <w:rsid w:val="00392DD5"/>
    <w:rsid w:val="003937E7"/>
    <w:rsid w:val="003A0480"/>
    <w:rsid w:val="003A36FE"/>
    <w:rsid w:val="003A43A4"/>
    <w:rsid w:val="003A7E18"/>
    <w:rsid w:val="003B0AD2"/>
    <w:rsid w:val="003B30FE"/>
    <w:rsid w:val="003C096F"/>
    <w:rsid w:val="003C3D53"/>
    <w:rsid w:val="003C4C86"/>
    <w:rsid w:val="003C6258"/>
    <w:rsid w:val="003D72AF"/>
    <w:rsid w:val="003E2904"/>
    <w:rsid w:val="003E2FBA"/>
    <w:rsid w:val="003F2282"/>
    <w:rsid w:val="00401927"/>
    <w:rsid w:val="0041027F"/>
    <w:rsid w:val="00412475"/>
    <w:rsid w:val="00423789"/>
    <w:rsid w:val="004309AF"/>
    <w:rsid w:val="004327C2"/>
    <w:rsid w:val="00440F43"/>
    <w:rsid w:val="00441B6F"/>
    <w:rsid w:val="0044305F"/>
    <w:rsid w:val="00446221"/>
    <w:rsid w:val="00450E62"/>
    <w:rsid w:val="004539DB"/>
    <w:rsid w:val="0045528B"/>
    <w:rsid w:val="0045671F"/>
    <w:rsid w:val="00471A80"/>
    <w:rsid w:val="00473B17"/>
    <w:rsid w:val="00480933"/>
    <w:rsid w:val="0048600A"/>
    <w:rsid w:val="004A5681"/>
    <w:rsid w:val="004C4A1D"/>
    <w:rsid w:val="004C4DC3"/>
    <w:rsid w:val="004D305E"/>
    <w:rsid w:val="004D4277"/>
    <w:rsid w:val="004D462D"/>
    <w:rsid w:val="004E5AFC"/>
    <w:rsid w:val="004E74C3"/>
    <w:rsid w:val="004F5880"/>
    <w:rsid w:val="004F6195"/>
    <w:rsid w:val="004F7CC7"/>
    <w:rsid w:val="00502516"/>
    <w:rsid w:val="00503F3C"/>
    <w:rsid w:val="005047A1"/>
    <w:rsid w:val="00505F06"/>
    <w:rsid w:val="005062DB"/>
    <w:rsid w:val="00506828"/>
    <w:rsid w:val="005069BA"/>
    <w:rsid w:val="00506B74"/>
    <w:rsid w:val="00513692"/>
    <w:rsid w:val="0051758D"/>
    <w:rsid w:val="00524386"/>
    <w:rsid w:val="0053056E"/>
    <w:rsid w:val="005374BB"/>
    <w:rsid w:val="00554FDA"/>
    <w:rsid w:val="00564413"/>
    <w:rsid w:val="0058282C"/>
    <w:rsid w:val="005835B3"/>
    <w:rsid w:val="0059081A"/>
    <w:rsid w:val="0059189A"/>
    <w:rsid w:val="005964E5"/>
    <w:rsid w:val="005A753C"/>
    <w:rsid w:val="005B1F64"/>
    <w:rsid w:val="005B4169"/>
    <w:rsid w:val="005B46FE"/>
    <w:rsid w:val="005B6FEB"/>
    <w:rsid w:val="005C1E65"/>
    <w:rsid w:val="005C784C"/>
    <w:rsid w:val="005D17F6"/>
    <w:rsid w:val="005E3F03"/>
    <w:rsid w:val="005E4D01"/>
    <w:rsid w:val="005E5539"/>
    <w:rsid w:val="005F6126"/>
    <w:rsid w:val="00602BF5"/>
    <w:rsid w:val="00617FDD"/>
    <w:rsid w:val="006305D6"/>
    <w:rsid w:val="00633032"/>
    <w:rsid w:val="00633614"/>
    <w:rsid w:val="00633F68"/>
    <w:rsid w:val="00636E6C"/>
    <w:rsid w:val="00636EB2"/>
    <w:rsid w:val="006375B8"/>
    <w:rsid w:val="00640A4D"/>
    <w:rsid w:val="0066510A"/>
    <w:rsid w:val="006665E5"/>
    <w:rsid w:val="00673F9F"/>
    <w:rsid w:val="00686953"/>
    <w:rsid w:val="00687DEA"/>
    <w:rsid w:val="00687E67"/>
    <w:rsid w:val="0069141D"/>
    <w:rsid w:val="006967F7"/>
    <w:rsid w:val="006A2425"/>
    <w:rsid w:val="006A250C"/>
    <w:rsid w:val="006A4A98"/>
    <w:rsid w:val="006B21D3"/>
    <w:rsid w:val="006B28A7"/>
    <w:rsid w:val="006B57D0"/>
    <w:rsid w:val="006B5D75"/>
    <w:rsid w:val="006B67BF"/>
    <w:rsid w:val="006C14EF"/>
    <w:rsid w:val="006C2888"/>
    <w:rsid w:val="006C5F4A"/>
    <w:rsid w:val="006C6E7D"/>
    <w:rsid w:val="006D30FF"/>
    <w:rsid w:val="006D4F65"/>
    <w:rsid w:val="006D6940"/>
    <w:rsid w:val="006E4FB9"/>
    <w:rsid w:val="006F11EC"/>
    <w:rsid w:val="006F12A8"/>
    <w:rsid w:val="006F4ADC"/>
    <w:rsid w:val="0070082C"/>
    <w:rsid w:val="00700C68"/>
    <w:rsid w:val="00700EC1"/>
    <w:rsid w:val="007022EC"/>
    <w:rsid w:val="00710EB5"/>
    <w:rsid w:val="007205EC"/>
    <w:rsid w:val="00720DF7"/>
    <w:rsid w:val="00722C4D"/>
    <w:rsid w:val="0072483D"/>
    <w:rsid w:val="00731959"/>
    <w:rsid w:val="007326F6"/>
    <w:rsid w:val="0073692E"/>
    <w:rsid w:val="007369E6"/>
    <w:rsid w:val="00746E59"/>
    <w:rsid w:val="00750F0B"/>
    <w:rsid w:val="00754C9A"/>
    <w:rsid w:val="0075599A"/>
    <w:rsid w:val="00761D52"/>
    <w:rsid w:val="0076509F"/>
    <w:rsid w:val="007768F9"/>
    <w:rsid w:val="0077749E"/>
    <w:rsid w:val="00790ADA"/>
    <w:rsid w:val="0079171F"/>
    <w:rsid w:val="00794369"/>
    <w:rsid w:val="007A25BC"/>
    <w:rsid w:val="007A2C9A"/>
    <w:rsid w:val="007A7673"/>
    <w:rsid w:val="007B3714"/>
    <w:rsid w:val="007C4DA8"/>
    <w:rsid w:val="007C6D9A"/>
    <w:rsid w:val="007D2288"/>
    <w:rsid w:val="007D68E0"/>
    <w:rsid w:val="007E088F"/>
    <w:rsid w:val="007E1555"/>
    <w:rsid w:val="007E2AE7"/>
    <w:rsid w:val="007E3C90"/>
    <w:rsid w:val="007E4F00"/>
    <w:rsid w:val="007F0B02"/>
    <w:rsid w:val="007F1DE3"/>
    <w:rsid w:val="007F29F3"/>
    <w:rsid w:val="007F7B32"/>
    <w:rsid w:val="00801F28"/>
    <w:rsid w:val="00803016"/>
    <w:rsid w:val="00804BC2"/>
    <w:rsid w:val="00813752"/>
    <w:rsid w:val="00813805"/>
    <w:rsid w:val="0081431A"/>
    <w:rsid w:val="00814844"/>
    <w:rsid w:val="008209D9"/>
    <w:rsid w:val="00821080"/>
    <w:rsid w:val="00827B3B"/>
    <w:rsid w:val="008318AF"/>
    <w:rsid w:val="0083216F"/>
    <w:rsid w:val="00832A99"/>
    <w:rsid w:val="00843321"/>
    <w:rsid w:val="0084380E"/>
    <w:rsid w:val="00860000"/>
    <w:rsid w:val="008634C4"/>
    <w:rsid w:val="00863BD3"/>
    <w:rsid w:val="008641ED"/>
    <w:rsid w:val="00866D66"/>
    <w:rsid w:val="008671C6"/>
    <w:rsid w:val="008741A4"/>
    <w:rsid w:val="00875803"/>
    <w:rsid w:val="00881045"/>
    <w:rsid w:val="008902DC"/>
    <w:rsid w:val="00896014"/>
    <w:rsid w:val="008B3189"/>
    <w:rsid w:val="008B459E"/>
    <w:rsid w:val="008B5CAE"/>
    <w:rsid w:val="008D64D3"/>
    <w:rsid w:val="008E11C3"/>
    <w:rsid w:val="008E13AE"/>
    <w:rsid w:val="008E1506"/>
    <w:rsid w:val="008E2141"/>
    <w:rsid w:val="008E52D0"/>
    <w:rsid w:val="008E6545"/>
    <w:rsid w:val="008E682A"/>
    <w:rsid w:val="008E710C"/>
    <w:rsid w:val="008F3CD0"/>
    <w:rsid w:val="008F43BB"/>
    <w:rsid w:val="008F43F2"/>
    <w:rsid w:val="008F69D6"/>
    <w:rsid w:val="008F6A35"/>
    <w:rsid w:val="00902823"/>
    <w:rsid w:val="00902ABF"/>
    <w:rsid w:val="00906818"/>
    <w:rsid w:val="0091147E"/>
    <w:rsid w:val="00915CA6"/>
    <w:rsid w:val="009203E8"/>
    <w:rsid w:val="00926754"/>
    <w:rsid w:val="00927834"/>
    <w:rsid w:val="009310F8"/>
    <w:rsid w:val="00932F6D"/>
    <w:rsid w:val="00934627"/>
    <w:rsid w:val="009500A6"/>
    <w:rsid w:val="009562B9"/>
    <w:rsid w:val="00957C18"/>
    <w:rsid w:val="0096288C"/>
    <w:rsid w:val="00964175"/>
    <w:rsid w:val="009659BA"/>
    <w:rsid w:val="009701B3"/>
    <w:rsid w:val="00980CA0"/>
    <w:rsid w:val="00981730"/>
    <w:rsid w:val="00983040"/>
    <w:rsid w:val="00991DDF"/>
    <w:rsid w:val="009A20C2"/>
    <w:rsid w:val="009B3FB9"/>
    <w:rsid w:val="009B4F8B"/>
    <w:rsid w:val="009C2189"/>
    <w:rsid w:val="009C2465"/>
    <w:rsid w:val="009C3118"/>
    <w:rsid w:val="009D35A0"/>
    <w:rsid w:val="009D7EB7"/>
    <w:rsid w:val="009D7FFB"/>
    <w:rsid w:val="009E048A"/>
    <w:rsid w:val="009E08E9"/>
    <w:rsid w:val="009E3DB9"/>
    <w:rsid w:val="009E6E35"/>
    <w:rsid w:val="009F0EDA"/>
    <w:rsid w:val="009F256F"/>
    <w:rsid w:val="009F49CF"/>
    <w:rsid w:val="00A02315"/>
    <w:rsid w:val="00A02B6C"/>
    <w:rsid w:val="00A03B96"/>
    <w:rsid w:val="00A05B19"/>
    <w:rsid w:val="00A1134E"/>
    <w:rsid w:val="00A14D11"/>
    <w:rsid w:val="00A21527"/>
    <w:rsid w:val="00A2195B"/>
    <w:rsid w:val="00A24E7E"/>
    <w:rsid w:val="00A258C3"/>
    <w:rsid w:val="00A347C0"/>
    <w:rsid w:val="00A35CAE"/>
    <w:rsid w:val="00A37818"/>
    <w:rsid w:val="00A400B8"/>
    <w:rsid w:val="00A4040B"/>
    <w:rsid w:val="00A42EC1"/>
    <w:rsid w:val="00A51431"/>
    <w:rsid w:val="00A539AD"/>
    <w:rsid w:val="00A54D7B"/>
    <w:rsid w:val="00A639EA"/>
    <w:rsid w:val="00A7675A"/>
    <w:rsid w:val="00A94063"/>
    <w:rsid w:val="00A961A4"/>
    <w:rsid w:val="00AA1D00"/>
    <w:rsid w:val="00AA6219"/>
    <w:rsid w:val="00AA74E0"/>
    <w:rsid w:val="00AB703F"/>
    <w:rsid w:val="00AC6BB8"/>
    <w:rsid w:val="00AD2035"/>
    <w:rsid w:val="00AD349E"/>
    <w:rsid w:val="00AD38B6"/>
    <w:rsid w:val="00AD3936"/>
    <w:rsid w:val="00AD53D4"/>
    <w:rsid w:val="00AD6F65"/>
    <w:rsid w:val="00AE008F"/>
    <w:rsid w:val="00AE4119"/>
    <w:rsid w:val="00AE5EB8"/>
    <w:rsid w:val="00AF52A6"/>
    <w:rsid w:val="00B002D3"/>
    <w:rsid w:val="00B01FCD"/>
    <w:rsid w:val="00B04F6E"/>
    <w:rsid w:val="00B05A7C"/>
    <w:rsid w:val="00B12A18"/>
    <w:rsid w:val="00B1776C"/>
    <w:rsid w:val="00B248F5"/>
    <w:rsid w:val="00B36867"/>
    <w:rsid w:val="00B430C4"/>
    <w:rsid w:val="00B501F9"/>
    <w:rsid w:val="00B51F01"/>
    <w:rsid w:val="00B52583"/>
    <w:rsid w:val="00B52896"/>
    <w:rsid w:val="00B5673F"/>
    <w:rsid w:val="00B74EE0"/>
    <w:rsid w:val="00B75239"/>
    <w:rsid w:val="00B758A0"/>
    <w:rsid w:val="00B90245"/>
    <w:rsid w:val="00B9386B"/>
    <w:rsid w:val="00B95236"/>
    <w:rsid w:val="00B96964"/>
    <w:rsid w:val="00B96BD9"/>
    <w:rsid w:val="00BA1B01"/>
    <w:rsid w:val="00BA2641"/>
    <w:rsid w:val="00BB1843"/>
    <w:rsid w:val="00BB37AA"/>
    <w:rsid w:val="00BC04C7"/>
    <w:rsid w:val="00BC53A0"/>
    <w:rsid w:val="00BC59DC"/>
    <w:rsid w:val="00BD18CF"/>
    <w:rsid w:val="00BD2B40"/>
    <w:rsid w:val="00BD561F"/>
    <w:rsid w:val="00BE62AD"/>
    <w:rsid w:val="00BE66CE"/>
    <w:rsid w:val="00BF121F"/>
    <w:rsid w:val="00BF1F80"/>
    <w:rsid w:val="00C13FBE"/>
    <w:rsid w:val="00C166EF"/>
    <w:rsid w:val="00C17EB0"/>
    <w:rsid w:val="00C25EEE"/>
    <w:rsid w:val="00C27F5F"/>
    <w:rsid w:val="00C30A0F"/>
    <w:rsid w:val="00C37E61"/>
    <w:rsid w:val="00C43B60"/>
    <w:rsid w:val="00C53D8C"/>
    <w:rsid w:val="00C55EF3"/>
    <w:rsid w:val="00C65670"/>
    <w:rsid w:val="00C66995"/>
    <w:rsid w:val="00C70F1B"/>
    <w:rsid w:val="00C71A47"/>
    <w:rsid w:val="00C71B82"/>
    <w:rsid w:val="00C7464C"/>
    <w:rsid w:val="00C8185B"/>
    <w:rsid w:val="00C85588"/>
    <w:rsid w:val="00C8773F"/>
    <w:rsid w:val="00C92053"/>
    <w:rsid w:val="00CD3D7C"/>
    <w:rsid w:val="00CD6755"/>
    <w:rsid w:val="00CD6856"/>
    <w:rsid w:val="00CD7FA9"/>
    <w:rsid w:val="00CE0089"/>
    <w:rsid w:val="00CE49D8"/>
    <w:rsid w:val="00CE793C"/>
    <w:rsid w:val="00CF193C"/>
    <w:rsid w:val="00CF471F"/>
    <w:rsid w:val="00D00262"/>
    <w:rsid w:val="00D02BC8"/>
    <w:rsid w:val="00D052A8"/>
    <w:rsid w:val="00D173F1"/>
    <w:rsid w:val="00D236E4"/>
    <w:rsid w:val="00D31695"/>
    <w:rsid w:val="00D33D47"/>
    <w:rsid w:val="00D43736"/>
    <w:rsid w:val="00D47A31"/>
    <w:rsid w:val="00D56FC1"/>
    <w:rsid w:val="00D57396"/>
    <w:rsid w:val="00D606F7"/>
    <w:rsid w:val="00D72C71"/>
    <w:rsid w:val="00D74CB0"/>
    <w:rsid w:val="00D7600E"/>
    <w:rsid w:val="00D8295D"/>
    <w:rsid w:val="00D867A1"/>
    <w:rsid w:val="00D87918"/>
    <w:rsid w:val="00D87B6B"/>
    <w:rsid w:val="00D907AC"/>
    <w:rsid w:val="00D91707"/>
    <w:rsid w:val="00DA5BD5"/>
    <w:rsid w:val="00DA7A4E"/>
    <w:rsid w:val="00DB20DD"/>
    <w:rsid w:val="00DB438A"/>
    <w:rsid w:val="00DC00A0"/>
    <w:rsid w:val="00DC0994"/>
    <w:rsid w:val="00DC2A65"/>
    <w:rsid w:val="00DE094F"/>
    <w:rsid w:val="00DE15F0"/>
    <w:rsid w:val="00DE36A6"/>
    <w:rsid w:val="00DE5663"/>
    <w:rsid w:val="00DE6328"/>
    <w:rsid w:val="00DE78AA"/>
    <w:rsid w:val="00DF3632"/>
    <w:rsid w:val="00DF369B"/>
    <w:rsid w:val="00DF6BF9"/>
    <w:rsid w:val="00E0064E"/>
    <w:rsid w:val="00E00CC4"/>
    <w:rsid w:val="00E0395C"/>
    <w:rsid w:val="00E0424B"/>
    <w:rsid w:val="00E053D0"/>
    <w:rsid w:val="00E05E2A"/>
    <w:rsid w:val="00E07348"/>
    <w:rsid w:val="00E13464"/>
    <w:rsid w:val="00E15994"/>
    <w:rsid w:val="00E16EDC"/>
    <w:rsid w:val="00E21065"/>
    <w:rsid w:val="00E3078F"/>
    <w:rsid w:val="00E3114E"/>
    <w:rsid w:val="00E31A70"/>
    <w:rsid w:val="00E35B02"/>
    <w:rsid w:val="00E474B9"/>
    <w:rsid w:val="00E53BD8"/>
    <w:rsid w:val="00E6163D"/>
    <w:rsid w:val="00E66496"/>
    <w:rsid w:val="00E66B35"/>
    <w:rsid w:val="00E66E10"/>
    <w:rsid w:val="00E769F6"/>
    <w:rsid w:val="00E8407C"/>
    <w:rsid w:val="00E84F3C"/>
    <w:rsid w:val="00E85D87"/>
    <w:rsid w:val="00E9223D"/>
    <w:rsid w:val="00EA012C"/>
    <w:rsid w:val="00EA1569"/>
    <w:rsid w:val="00EA1EAA"/>
    <w:rsid w:val="00EA684B"/>
    <w:rsid w:val="00EC6A55"/>
    <w:rsid w:val="00ED0288"/>
    <w:rsid w:val="00ED21E9"/>
    <w:rsid w:val="00ED729D"/>
    <w:rsid w:val="00EE4E17"/>
    <w:rsid w:val="00EE52CB"/>
    <w:rsid w:val="00EE6C7A"/>
    <w:rsid w:val="00EF581D"/>
    <w:rsid w:val="00EF73B1"/>
    <w:rsid w:val="00EF7FD8"/>
    <w:rsid w:val="00F06F59"/>
    <w:rsid w:val="00F141D3"/>
    <w:rsid w:val="00F17803"/>
    <w:rsid w:val="00F17988"/>
    <w:rsid w:val="00F30574"/>
    <w:rsid w:val="00F31363"/>
    <w:rsid w:val="00F34D6E"/>
    <w:rsid w:val="00F4072D"/>
    <w:rsid w:val="00F43A52"/>
    <w:rsid w:val="00F43C88"/>
    <w:rsid w:val="00F469F0"/>
    <w:rsid w:val="00F53273"/>
    <w:rsid w:val="00F55FC7"/>
    <w:rsid w:val="00F563A1"/>
    <w:rsid w:val="00F66311"/>
    <w:rsid w:val="00F70276"/>
    <w:rsid w:val="00F73217"/>
    <w:rsid w:val="00F755E4"/>
    <w:rsid w:val="00F7694B"/>
    <w:rsid w:val="00F77D02"/>
    <w:rsid w:val="00F84764"/>
    <w:rsid w:val="00F90C5B"/>
    <w:rsid w:val="00FA1104"/>
    <w:rsid w:val="00FA2AD9"/>
    <w:rsid w:val="00FA522C"/>
    <w:rsid w:val="00FA6904"/>
    <w:rsid w:val="00FB03D1"/>
    <w:rsid w:val="00FB1564"/>
    <w:rsid w:val="00FB3A86"/>
    <w:rsid w:val="00FD2E2A"/>
    <w:rsid w:val="00FD36C8"/>
    <w:rsid w:val="00FE1262"/>
    <w:rsid w:val="00FE47AF"/>
    <w:rsid w:val="00FE62B1"/>
    <w:rsid w:val="00FF02D0"/>
    <w:rsid w:val="00FF4A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6EDA667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03915"/>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980CA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F90C5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59"/>
    <w:rsid w:val="003727EA"/>
    <w:rPr>
      <w:rFonts w:ascii="Cambria" w:eastAsia="MS Mincho"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5D87"/>
    <w:pPr>
      <w:ind w:left="720"/>
      <w:contextualSpacing/>
    </w:pPr>
  </w:style>
  <w:style w:type="character" w:customStyle="1" w:styleId="Heading3Char">
    <w:name w:val="Heading 3 Char"/>
    <w:basedOn w:val="DefaultParagraphFont"/>
    <w:link w:val="Heading3"/>
    <w:semiHidden/>
    <w:rsid w:val="00F90C5B"/>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semiHidden/>
    <w:rsid w:val="00980CA0"/>
    <w:rPr>
      <w:rFonts w:asciiTheme="majorHAnsi" w:eastAsiaTheme="majorEastAsia" w:hAnsiTheme="majorHAnsi" w:cstheme="majorBidi"/>
      <w:color w:val="365F91" w:themeColor="accent1" w:themeShade="BF"/>
      <w:sz w:val="26"/>
      <w:szCs w:val="26"/>
    </w:rPr>
  </w:style>
  <w:style w:type="character" w:styleId="PlaceholderText">
    <w:name w:val="Placeholder Text"/>
    <w:basedOn w:val="DefaultParagraphFont"/>
    <w:uiPriority w:val="99"/>
    <w:semiHidden/>
    <w:rsid w:val="006C14EF"/>
    <w:rPr>
      <w:color w:val="666666"/>
    </w:rPr>
  </w:style>
  <w:style w:type="paragraph" w:styleId="NoSpacing">
    <w:name w:val="No Spacing"/>
    <w:uiPriority w:val="1"/>
    <w:qFormat/>
    <w:rsid w:val="00E474B9"/>
    <w:rPr>
      <w:rFonts w:asciiTheme="minorHAnsi" w:eastAsiaTheme="minorHAnsi" w:hAnsiTheme="minorHAnsi" w:cstheme="minorBidi"/>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DD7C6-D628-4918-91DE-DE5952F04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2704</TotalTime>
  <Pages>15</Pages>
  <Words>5376</Words>
  <Characters>30649</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35954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1158</cp:lastModifiedBy>
  <cp:revision>663</cp:revision>
  <cp:lastPrinted>2026-01-16T10:11:00Z</cp:lastPrinted>
  <dcterms:created xsi:type="dcterms:W3CDTF">2014-10-25T14:34:00Z</dcterms:created>
  <dcterms:modified xsi:type="dcterms:W3CDTF">2026-01-17T07:08:00Z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df5260cb-a773-443f-9783-7d806ea00f7b</vt:lpwstr>
  </property>
</Properties>
</file>