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F260F6" w14:textId="77777777" w:rsidR="005C07DA" w:rsidRDefault="004172AA">
      <w:pPr>
        <w:jc w:val="both"/>
        <w:rPr>
          <w:rFonts w:ascii="Arial" w:eastAsia="Arial" w:hAnsi="Arial" w:cs="Arial"/>
          <w:b/>
          <w:bCs/>
          <w:sz w:val="20"/>
          <w:szCs w:val="20"/>
        </w:rPr>
      </w:pPr>
      <w:r>
        <w:rPr>
          <w:rFonts w:ascii="Arial" w:eastAsia="Arial" w:hAnsi="Arial" w:cs="Arial"/>
          <w:b/>
          <w:bCs/>
          <w:sz w:val="20"/>
          <w:szCs w:val="20"/>
        </w:rPr>
        <w:t>Predictive Analytics for Improving Project Delivery Efficiency in Construction and Infrastructure Management</w:t>
      </w:r>
    </w:p>
    <w:p w14:paraId="36F74245" w14:textId="77777777" w:rsidR="005C07DA" w:rsidRDefault="005C07DA">
      <w:pPr>
        <w:jc w:val="center"/>
        <w:rPr>
          <w:rFonts w:ascii="Arial" w:eastAsia="Arial" w:hAnsi="Arial" w:cs="Arial"/>
          <w:b/>
          <w:bCs/>
          <w:sz w:val="20"/>
          <w:szCs w:val="20"/>
        </w:rPr>
      </w:pPr>
    </w:p>
    <w:p w14:paraId="46B6353F" w14:textId="77777777" w:rsidR="005C07DA" w:rsidRDefault="004172AA">
      <w:pPr>
        <w:jc w:val="both"/>
        <w:rPr>
          <w:rFonts w:ascii="Arial" w:eastAsia="Arial" w:hAnsi="Arial" w:cs="Arial"/>
          <w:b/>
          <w:bCs/>
          <w:sz w:val="20"/>
          <w:szCs w:val="20"/>
        </w:rPr>
      </w:pPr>
      <w:r>
        <w:rPr>
          <w:rFonts w:ascii="Arial" w:eastAsia="Arial" w:hAnsi="Arial" w:cs="Arial"/>
          <w:b/>
          <w:bCs/>
          <w:sz w:val="20"/>
          <w:szCs w:val="20"/>
        </w:rPr>
        <w:t>Abstract</w:t>
      </w:r>
    </w:p>
    <w:p w14:paraId="7CB33E61" w14:textId="559CB50D" w:rsidR="00866F07" w:rsidRPr="00866F07" w:rsidRDefault="00866F07">
      <w:pPr>
        <w:jc w:val="both"/>
        <w:rPr>
          <w:rFonts w:ascii="Arial" w:eastAsia="Arial" w:hAnsi="Arial" w:cs="Arial"/>
          <w:color w:val="00B050"/>
          <w:sz w:val="20"/>
          <w:szCs w:val="20"/>
        </w:rPr>
      </w:pPr>
      <w:r w:rsidRPr="00866F07">
        <w:rPr>
          <w:rFonts w:ascii="Arial" w:eastAsia="Arial" w:hAnsi="Arial" w:cs="Arial"/>
          <w:color w:val="00B050"/>
          <w:sz w:val="20"/>
          <w:szCs w:val="20"/>
        </w:rPr>
        <w:t>Construction and infrastructure projects continue to experience unmanaged risks, schedule delays and persistent cost overruns, despite advances in digital tools. This scoping review examines the application of predictive analytics to forecast project delays, performance outcomes and risks in real infrastructure and construction settings. Using a PCC-framed question and a PRISMA-</w:t>
      </w:r>
      <w:proofErr w:type="spellStart"/>
      <w:r w:rsidRPr="00866F07">
        <w:rPr>
          <w:rFonts w:ascii="Arial" w:eastAsia="Arial" w:hAnsi="Arial" w:cs="Arial"/>
          <w:color w:val="00B050"/>
          <w:sz w:val="20"/>
          <w:szCs w:val="20"/>
        </w:rPr>
        <w:t>ScR</w:t>
      </w:r>
      <w:proofErr w:type="spellEnd"/>
      <w:r w:rsidRPr="00866F07">
        <w:rPr>
          <w:rFonts w:ascii="Arial" w:eastAsia="Arial" w:hAnsi="Arial" w:cs="Arial"/>
          <w:color w:val="00B050"/>
          <w:sz w:val="20"/>
          <w:szCs w:val="20"/>
        </w:rPr>
        <w:t xml:space="preserve">-guided process, studies published between 2015 and 2025 were identified in the ASCE Library and Scopus. These were then charted and screened in duplicate using a </w:t>
      </w:r>
      <w:r w:rsidRPr="00866F07">
        <w:rPr>
          <w:rFonts w:ascii="Arial" w:eastAsia="Arial" w:hAnsi="Arial" w:cs="Arial"/>
          <w:color w:val="00B050"/>
          <w:sz w:val="20"/>
          <w:szCs w:val="20"/>
        </w:rPr>
        <w:t>standardized</w:t>
      </w:r>
      <w:r w:rsidRPr="00866F07">
        <w:rPr>
          <w:rFonts w:ascii="Arial" w:eastAsia="Arial" w:hAnsi="Arial" w:cs="Arial"/>
          <w:color w:val="00B050"/>
          <w:sz w:val="20"/>
          <w:szCs w:val="20"/>
        </w:rPr>
        <w:t xml:space="preserve"> template. Nineteen empirical studies were synthesized, covering urban roads, marine works, tunnels, highways, prefabricated construction and buildings, in both developed and developing contexts. These models include artificial neural networks, support vector machines, </w:t>
      </w:r>
      <w:r w:rsidRPr="00866F07">
        <w:rPr>
          <w:rFonts w:ascii="Arial" w:eastAsia="Arial" w:hAnsi="Arial" w:cs="Arial"/>
          <w:color w:val="00B050"/>
          <w:sz w:val="20"/>
          <w:szCs w:val="20"/>
        </w:rPr>
        <w:t>metaheuristic-optimized hybrids, tree-based ensembles, regression baselines, and gradient boosting</w:t>
      </w:r>
      <w:r w:rsidRPr="00866F07">
        <w:rPr>
          <w:rFonts w:ascii="Arial" w:eastAsia="Arial" w:hAnsi="Arial" w:cs="Arial"/>
          <w:color w:val="00B050"/>
          <w:sz w:val="20"/>
          <w:szCs w:val="20"/>
        </w:rPr>
        <w:t xml:space="preserve">, which have been validated against risk </w:t>
      </w:r>
      <w:proofErr w:type="spellStart"/>
      <w:proofErr w:type="gramStart"/>
      <w:r w:rsidRPr="00866F07">
        <w:rPr>
          <w:rFonts w:ascii="Arial" w:eastAsia="Arial" w:hAnsi="Arial" w:cs="Arial"/>
          <w:color w:val="00B050"/>
          <w:sz w:val="20"/>
          <w:szCs w:val="20"/>
        </w:rPr>
        <w:t>outcomes,project</w:t>
      </w:r>
      <w:proofErr w:type="spellEnd"/>
      <w:proofErr w:type="gramEnd"/>
      <w:r w:rsidRPr="00866F07">
        <w:rPr>
          <w:rFonts w:ascii="Arial" w:eastAsia="Arial" w:hAnsi="Arial" w:cs="Arial"/>
          <w:color w:val="00B050"/>
          <w:sz w:val="20"/>
          <w:szCs w:val="20"/>
        </w:rPr>
        <w:t xml:space="preserve">-level cost and schedule. Across most use cases, hybrid and machine learning models outperform conventional regression; however, deployment is constrained by integration with existing project controls, </w:t>
      </w:r>
      <w:r w:rsidRPr="00866F07">
        <w:rPr>
          <w:rFonts w:ascii="Arial" w:eastAsia="Arial" w:hAnsi="Arial" w:cs="Arial"/>
          <w:color w:val="00B050"/>
          <w:sz w:val="20"/>
          <w:szCs w:val="20"/>
        </w:rPr>
        <w:t>organizational</w:t>
      </w:r>
      <w:r w:rsidRPr="00866F07">
        <w:rPr>
          <w:rFonts w:ascii="Arial" w:eastAsia="Arial" w:hAnsi="Arial" w:cs="Arial"/>
          <w:color w:val="00B050"/>
          <w:sz w:val="20"/>
          <w:szCs w:val="20"/>
        </w:rPr>
        <w:t xml:space="preserve"> capabilities and data quality. This review proposes a thematic structure that links model families to decision use cases, consolidates dispersed evidence, and highlights priorities for data governance, validation, and system integration. These insights offer a practical roadmap for project </w:t>
      </w:r>
      <w:r w:rsidRPr="00866F07">
        <w:rPr>
          <w:rFonts w:ascii="Arial" w:eastAsia="Arial" w:hAnsi="Arial" w:cs="Arial"/>
          <w:color w:val="00B050"/>
          <w:sz w:val="20"/>
          <w:szCs w:val="20"/>
        </w:rPr>
        <w:t>organizations</w:t>
      </w:r>
      <w:r w:rsidRPr="00866F07">
        <w:rPr>
          <w:rFonts w:ascii="Arial" w:eastAsia="Arial" w:hAnsi="Arial" w:cs="Arial"/>
          <w:color w:val="00B050"/>
          <w:sz w:val="20"/>
          <w:szCs w:val="20"/>
        </w:rPr>
        <w:t xml:space="preserve"> and researchers seeking to embed predictive analytics in infrastructure management and mainstream construction.</w:t>
      </w:r>
    </w:p>
    <w:p w14:paraId="559699F1" w14:textId="7069B2BB" w:rsidR="005C07DA" w:rsidRDefault="004172AA">
      <w:pPr>
        <w:jc w:val="both"/>
        <w:rPr>
          <w:rFonts w:ascii="Arial" w:eastAsia="Arial" w:hAnsi="Arial" w:cs="Arial"/>
          <w:sz w:val="20"/>
          <w:szCs w:val="20"/>
        </w:rPr>
      </w:pPr>
      <w:r>
        <w:rPr>
          <w:rFonts w:ascii="Arial" w:eastAsia="Arial" w:hAnsi="Arial" w:cs="Arial"/>
          <w:b/>
          <w:bCs/>
          <w:sz w:val="20"/>
          <w:szCs w:val="20"/>
        </w:rPr>
        <w:t>Keywords:</w:t>
      </w:r>
      <w:r>
        <w:rPr>
          <w:rFonts w:ascii="Arial" w:eastAsia="Arial" w:hAnsi="Arial" w:cs="Arial"/>
          <w:sz w:val="20"/>
          <w:szCs w:val="20"/>
        </w:rPr>
        <w:t xml:space="preserve"> Predictive analytics, Construction project management, Machine learning, Cost and schedule performance,</w:t>
      </w:r>
      <w:r w:rsidR="00866F07">
        <w:rPr>
          <w:rFonts w:ascii="Arial" w:eastAsia="Arial" w:hAnsi="Arial" w:cs="Arial"/>
          <w:sz w:val="20"/>
          <w:szCs w:val="20"/>
        </w:rPr>
        <w:t xml:space="preserve"> </w:t>
      </w:r>
      <w:r>
        <w:rPr>
          <w:rFonts w:ascii="Arial" w:eastAsia="Arial" w:hAnsi="Arial" w:cs="Arial"/>
          <w:sz w:val="20"/>
          <w:szCs w:val="20"/>
        </w:rPr>
        <w:t xml:space="preserve">Risk forecasting. </w:t>
      </w:r>
    </w:p>
    <w:p w14:paraId="0D9C8E1E" w14:textId="77777777" w:rsidR="005C07DA" w:rsidRDefault="004172AA">
      <w:pPr>
        <w:jc w:val="both"/>
        <w:rPr>
          <w:rFonts w:ascii="Arial" w:eastAsia="Arial" w:hAnsi="Arial" w:cs="Arial"/>
          <w:b/>
          <w:bCs/>
          <w:sz w:val="20"/>
          <w:szCs w:val="20"/>
        </w:rPr>
      </w:pPr>
      <w:r>
        <w:rPr>
          <w:rFonts w:ascii="Arial" w:eastAsia="Arial" w:hAnsi="Arial" w:cs="Arial"/>
          <w:b/>
          <w:bCs/>
          <w:sz w:val="20"/>
          <w:szCs w:val="20"/>
        </w:rPr>
        <w:t>Introduction</w:t>
      </w:r>
    </w:p>
    <w:p w14:paraId="4A04C706" w14:textId="77777777" w:rsidR="005C07DA" w:rsidRDefault="004172AA">
      <w:pPr>
        <w:numPr>
          <w:ilvl w:val="1"/>
          <w:numId w:val="1"/>
        </w:num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b/>
          <w:bCs/>
          <w:color w:val="000000"/>
          <w:sz w:val="20"/>
          <w:szCs w:val="20"/>
        </w:rPr>
        <w:t>Problem and context/background</w:t>
      </w:r>
    </w:p>
    <w:p w14:paraId="34541EE0" w14:textId="50A7B16B" w:rsidR="005C07DA" w:rsidRDefault="004172AA">
      <w:pPr>
        <w:jc w:val="both"/>
        <w:rPr>
          <w:rFonts w:ascii="Arial" w:eastAsia="Arial" w:hAnsi="Arial" w:cs="Arial"/>
          <w:sz w:val="20"/>
          <w:szCs w:val="20"/>
        </w:rPr>
      </w:pPr>
      <w:r>
        <w:rPr>
          <w:rFonts w:ascii="Arial" w:eastAsia="Arial" w:hAnsi="Arial" w:cs="Arial"/>
          <w:sz w:val="20"/>
          <w:szCs w:val="20"/>
        </w:rPr>
        <w:t xml:space="preserve">Construction and infrastructure projects have been shown to underpin economic growth, service delivery and climate-resilient development. However, such projects are persistently </w:t>
      </w:r>
      <w:r w:rsidR="00711A89">
        <w:rPr>
          <w:rFonts w:ascii="Arial" w:eastAsia="Arial" w:hAnsi="Arial" w:cs="Arial"/>
          <w:sz w:val="20"/>
          <w:szCs w:val="20"/>
        </w:rPr>
        <w:t>characterized</w:t>
      </w:r>
      <w:r>
        <w:rPr>
          <w:rFonts w:ascii="Arial" w:eastAsia="Arial" w:hAnsi="Arial" w:cs="Arial"/>
          <w:sz w:val="20"/>
          <w:szCs w:val="20"/>
        </w:rPr>
        <w:t xml:space="preserve"> by cost overruns, schedule slippages and unresolved risk exposure. Recent evidence from Ghana demonstrates that overruns and delays in major infrastructure schemes are not isolated events but systemic, raising questions about whether misallocated resources or binding financial constraints are the dominant drivers (Precious, 2025). A global synthesis of cost overrun factors reveals entrenched performance problems, with recurring categories spanning client-related, contractor-related, design, contractual and external risks across regions and project types (Afana et al., 2024; Enrica et al., 2021). Multi-country analyses of delay causation further demonstrate that the relative importance of these drivers varies by project typology and institutional setting, complicating </w:t>
      </w:r>
      <w:r w:rsidR="00711A89">
        <w:rPr>
          <w:rFonts w:ascii="Arial" w:eastAsia="Arial" w:hAnsi="Arial" w:cs="Arial"/>
          <w:sz w:val="20"/>
          <w:szCs w:val="20"/>
        </w:rPr>
        <w:t>generalization</w:t>
      </w:r>
      <w:r>
        <w:rPr>
          <w:rFonts w:ascii="Arial" w:eastAsia="Arial" w:hAnsi="Arial" w:cs="Arial"/>
          <w:sz w:val="20"/>
          <w:szCs w:val="20"/>
        </w:rPr>
        <w:t xml:space="preserve"> and transfer of lessons (Zagia et al., 2025). At the project level, stakeholder perceptions of risk frequency and impact are often divergent, and multi-criteria analyses reveal that poorly shared information and misaligned incentives amplify cost overrun risks (</w:t>
      </w:r>
      <w:proofErr w:type="spellStart"/>
      <w:r>
        <w:rPr>
          <w:rFonts w:ascii="Arial" w:eastAsia="Arial" w:hAnsi="Arial" w:cs="Arial"/>
          <w:sz w:val="20"/>
          <w:szCs w:val="20"/>
        </w:rPr>
        <w:t>Abdelalim</w:t>
      </w:r>
      <w:proofErr w:type="spellEnd"/>
      <w:r>
        <w:rPr>
          <w:rFonts w:ascii="Arial" w:eastAsia="Arial" w:hAnsi="Arial" w:cs="Arial"/>
          <w:sz w:val="20"/>
          <w:szCs w:val="20"/>
        </w:rPr>
        <w:t xml:space="preserve"> et al., 2025).</w:t>
      </w:r>
    </w:p>
    <w:p w14:paraId="1A314E38" w14:textId="6B93D0EF" w:rsidR="005C07DA" w:rsidRDefault="004172AA">
      <w:pPr>
        <w:jc w:val="both"/>
        <w:rPr>
          <w:rFonts w:ascii="Arial" w:eastAsia="Arial" w:hAnsi="Arial" w:cs="Arial"/>
          <w:sz w:val="20"/>
          <w:szCs w:val="20"/>
        </w:rPr>
      </w:pPr>
      <w:r>
        <w:rPr>
          <w:rFonts w:ascii="Arial" w:eastAsia="Arial" w:hAnsi="Arial" w:cs="Arial"/>
          <w:sz w:val="20"/>
          <w:szCs w:val="20"/>
        </w:rPr>
        <w:t xml:space="preserve">Historically, the management of project risk and performance has been undertaken through the </w:t>
      </w:r>
      <w:r w:rsidR="00711A89">
        <w:rPr>
          <w:rFonts w:ascii="Arial" w:eastAsia="Arial" w:hAnsi="Arial" w:cs="Arial"/>
          <w:sz w:val="20"/>
          <w:szCs w:val="20"/>
        </w:rPr>
        <w:t>utilization</w:t>
      </w:r>
      <w:r>
        <w:rPr>
          <w:rFonts w:ascii="Arial" w:eastAsia="Arial" w:hAnsi="Arial" w:cs="Arial"/>
          <w:sz w:val="20"/>
          <w:szCs w:val="20"/>
        </w:rPr>
        <w:t xml:space="preserve"> of deterministic cost estimation, critical path scheduling and qualitative risk registers. However, a review of the extant literature on construction cost estimation methods reveals that traditional statistical techniques frequently underperform in complex, data-rich environments and struggle to capture non-linear interactions </w:t>
      </w:r>
      <w:r>
        <w:rPr>
          <w:rFonts w:ascii="Arial" w:eastAsia="Arial" w:hAnsi="Arial" w:cs="Arial"/>
          <w:sz w:val="20"/>
          <w:szCs w:val="20"/>
        </w:rPr>
        <w:lastRenderedPageBreak/>
        <w:t>among risk factors (</w:t>
      </w:r>
      <w:proofErr w:type="spellStart"/>
      <w:r>
        <w:rPr>
          <w:rFonts w:ascii="Arial" w:eastAsia="Arial" w:hAnsi="Arial" w:cs="Arial"/>
          <w:sz w:val="20"/>
          <w:szCs w:val="20"/>
        </w:rPr>
        <w:t>Tayefeh</w:t>
      </w:r>
      <w:proofErr w:type="spellEnd"/>
      <w:r>
        <w:rPr>
          <w:rFonts w:ascii="Arial" w:eastAsia="Arial" w:hAnsi="Arial" w:cs="Arial"/>
          <w:sz w:val="20"/>
          <w:szCs w:val="20"/>
        </w:rPr>
        <w:t xml:space="preserve"> Hashemi et al., 2020). A review of literature on the use of machine learning algorithms in </w:t>
      </w:r>
      <w:r w:rsidR="00711A89">
        <w:rPr>
          <w:rFonts w:ascii="Arial" w:eastAsia="Arial" w:hAnsi="Arial" w:cs="Arial"/>
          <w:sz w:val="20"/>
          <w:szCs w:val="20"/>
        </w:rPr>
        <w:t>predicting construction cost has shown a growing use of different models,</w:t>
      </w:r>
      <w:r>
        <w:rPr>
          <w:rFonts w:ascii="Arial" w:eastAsia="Arial" w:hAnsi="Arial" w:cs="Arial"/>
          <w:sz w:val="20"/>
          <w:szCs w:val="20"/>
        </w:rPr>
        <w:t xml:space="preserve"> including neural networks, tree-based models, and hybrid approaches. However, the review has also shown </w:t>
      </w:r>
      <w:r w:rsidR="00711A89">
        <w:rPr>
          <w:rFonts w:ascii="Arial" w:eastAsia="Arial" w:hAnsi="Arial" w:cs="Arial"/>
          <w:sz w:val="20"/>
          <w:szCs w:val="20"/>
        </w:rPr>
        <w:t xml:space="preserve">a </w:t>
      </w:r>
      <w:r>
        <w:rPr>
          <w:rFonts w:ascii="Arial" w:eastAsia="Arial" w:hAnsi="Arial" w:cs="Arial"/>
          <w:sz w:val="20"/>
          <w:szCs w:val="20"/>
        </w:rPr>
        <w:t>lack of cohesion in the models used regarding the design, inputs, and validation. As of now, because of the lack of cohesion in the models used, the prediction techniques have evolved</w:t>
      </w:r>
      <w:r w:rsidR="00711A89">
        <w:rPr>
          <w:rFonts w:ascii="Arial" w:eastAsia="Arial" w:hAnsi="Arial" w:cs="Arial"/>
          <w:sz w:val="20"/>
          <w:szCs w:val="20"/>
        </w:rPr>
        <w:t>, but still have little to no use in the decision-making process of the construction projects, where they are</w:t>
      </w:r>
      <w:r>
        <w:rPr>
          <w:rFonts w:ascii="Arial" w:eastAsia="Arial" w:hAnsi="Arial" w:cs="Arial"/>
          <w:sz w:val="20"/>
          <w:szCs w:val="20"/>
        </w:rPr>
        <w:t xml:space="preserve"> needed. </w:t>
      </w:r>
    </w:p>
    <w:p w14:paraId="709281D3" w14:textId="53B367EC" w:rsidR="005C07DA" w:rsidRDefault="004172AA">
      <w:pPr>
        <w:jc w:val="both"/>
        <w:rPr>
          <w:rFonts w:ascii="Arial" w:eastAsia="Arial" w:hAnsi="Arial" w:cs="Arial"/>
          <w:sz w:val="20"/>
          <w:szCs w:val="20"/>
        </w:rPr>
      </w:pPr>
      <w:r>
        <w:rPr>
          <w:rFonts w:ascii="Arial" w:eastAsia="Arial" w:hAnsi="Arial" w:cs="Arial"/>
          <w:sz w:val="20"/>
          <w:szCs w:val="20"/>
        </w:rPr>
        <w:t xml:space="preserve">At the same time, the construction sector is also being rapidly digitalized. The digitalization of the construction sector has also presented some data-driven construction project delivery. Building information modelling, sensor networks, and enterprise resource planning (ERP) systems, as well as on-site mobile tools, are generating a lot of varied data. The conceptual and empirical literature on "big data-driven construction" suggests that the streams of data can be effectively governed (Li et al., 2023). The data can be integrated in a way that allows projects to be forecast, risks to be assessed and managed, and projects to be controlled in a </w:t>
      </w:r>
      <w:r w:rsidR="00711A89">
        <w:rPr>
          <w:rFonts w:ascii="Arial" w:eastAsia="Arial" w:hAnsi="Arial" w:cs="Arial"/>
          <w:sz w:val="20"/>
          <w:szCs w:val="20"/>
        </w:rPr>
        <w:t>flexible way</w:t>
      </w:r>
      <w:r>
        <w:rPr>
          <w:rFonts w:ascii="Arial" w:eastAsia="Arial" w:hAnsi="Arial" w:cs="Arial"/>
          <w:sz w:val="20"/>
          <w:szCs w:val="20"/>
        </w:rPr>
        <w:t>. The construction project management literature, especially in the areas of architecture and engineering, suggests there are countless potential uses of big data and artificial intelligence. This is also the case in the design, construction, and operational planning. The literature also notes that there are siloed implementations of data and artificial intelligence, and that there have been persistent issues regarding the quality of the data (Zabala-Vargas et al., 2023).</w:t>
      </w:r>
    </w:p>
    <w:p w14:paraId="3F8B606E" w14:textId="296B48E0" w:rsidR="005C07DA" w:rsidRDefault="004172AA">
      <w:pPr>
        <w:jc w:val="both"/>
        <w:rPr>
          <w:rFonts w:ascii="Arial" w:eastAsia="Arial" w:hAnsi="Arial" w:cs="Arial"/>
          <w:sz w:val="20"/>
          <w:szCs w:val="20"/>
        </w:rPr>
      </w:pPr>
      <w:r>
        <w:rPr>
          <w:rFonts w:ascii="Arial" w:eastAsia="Arial" w:hAnsi="Arial" w:cs="Arial"/>
          <w:sz w:val="20"/>
          <w:szCs w:val="20"/>
        </w:rPr>
        <w:t xml:space="preserve">More generally, the analyses of big data in different sectors, and the predictive analytics that accompany them, illustrate the opportunities available for improving </w:t>
      </w:r>
      <w:r w:rsidR="00711A89">
        <w:rPr>
          <w:rFonts w:ascii="Arial" w:eastAsia="Arial" w:hAnsi="Arial" w:cs="Arial"/>
          <w:sz w:val="20"/>
          <w:szCs w:val="20"/>
        </w:rPr>
        <w:t>decision-making</w:t>
      </w:r>
      <w:r>
        <w:rPr>
          <w:rFonts w:ascii="Arial" w:eastAsia="Arial" w:hAnsi="Arial" w:cs="Arial"/>
          <w:sz w:val="20"/>
          <w:szCs w:val="20"/>
        </w:rPr>
        <w:t xml:space="preserve"> through real-time insight, discovery of new patterns, and the ability to foresee and act proactively (Mahajan, 2021; </w:t>
      </w:r>
      <w:proofErr w:type="spellStart"/>
      <w:r>
        <w:rPr>
          <w:rFonts w:ascii="Arial" w:eastAsia="Arial" w:hAnsi="Arial" w:cs="Arial"/>
          <w:sz w:val="20"/>
          <w:szCs w:val="20"/>
        </w:rPr>
        <w:t>Jamarani</w:t>
      </w:r>
      <w:proofErr w:type="spellEnd"/>
      <w:r>
        <w:rPr>
          <w:rFonts w:ascii="Arial" w:eastAsia="Arial" w:hAnsi="Arial" w:cs="Arial"/>
          <w:sz w:val="20"/>
          <w:szCs w:val="20"/>
        </w:rPr>
        <w:t xml:space="preserve"> et al., 2024). However, there is little in the way of synthesis or consolidation of empirical studies in the construction and infrastructure management field that incorporate predictive analytics to model and forecast cost, time, and risk in actual projects. </w:t>
      </w:r>
      <w:r w:rsidR="009A78CE" w:rsidRPr="009A78CE">
        <w:rPr>
          <w:rFonts w:ascii="Arial" w:eastAsia="Arial" w:hAnsi="Arial" w:cs="Arial"/>
          <w:color w:val="00B050"/>
          <w:sz w:val="20"/>
          <w:szCs w:val="20"/>
        </w:rPr>
        <w:t xml:space="preserve">The existing secondary literature on data analytics and AI in construction largely takes a broad, lifecycle-wide perspective or </w:t>
      </w:r>
      <w:r w:rsidR="00711A89">
        <w:rPr>
          <w:rFonts w:ascii="Arial" w:eastAsia="Arial" w:hAnsi="Arial" w:cs="Arial"/>
          <w:color w:val="00B050"/>
          <w:sz w:val="20"/>
          <w:szCs w:val="20"/>
        </w:rPr>
        <w:t xml:space="preserve">is </w:t>
      </w:r>
      <w:r w:rsidR="009A78CE" w:rsidRPr="009A78CE">
        <w:rPr>
          <w:rFonts w:ascii="Arial" w:eastAsia="Arial" w:hAnsi="Arial" w:cs="Arial"/>
          <w:color w:val="00B050"/>
          <w:sz w:val="20"/>
          <w:szCs w:val="20"/>
        </w:rPr>
        <w:t xml:space="preserve">technology-oriented. While reviews of artificial intelligence in project management and construction catalogue a variety of applications, from facilities management to design </w:t>
      </w:r>
      <w:r w:rsidR="00711A89">
        <w:rPr>
          <w:rFonts w:ascii="Arial" w:eastAsia="Arial" w:hAnsi="Arial" w:cs="Arial"/>
          <w:color w:val="00B050"/>
          <w:sz w:val="20"/>
          <w:szCs w:val="20"/>
        </w:rPr>
        <w:t>optimization, they only briefly mention validated predictive models for schedule, risk forecasting</w:t>
      </w:r>
      <w:r w:rsidR="009A78CE" w:rsidRPr="009A78CE">
        <w:rPr>
          <w:rFonts w:ascii="Arial" w:eastAsia="Arial" w:hAnsi="Arial" w:cs="Arial"/>
          <w:color w:val="00B050"/>
          <w:sz w:val="20"/>
          <w:szCs w:val="20"/>
        </w:rPr>
        <w:t xml:space="preserve"> and project-level cost (Pan &amp; Zhang, 2021; Abioye et al., 2021). Similarly, systematic and scoping reviews of AI across the construction value chain </w:t>
      </w:r>
      <w:r w:rsidR="00711A89">
        <w:rPr>
          <w:rFonts w:ascii="Arial" w:eastAsia="Arial" w:hAnsi="Arial" w:cs="Arial"/>
          <w:color w:val="00B050"/>
          <w:sz w:val="20"/>
          <w:szCs w:val="20"/>
        </w:rPr>
        <w:t>emphasize</w:t>
      </w:r>
      <w:r w:rsidR="009A78CE" w:rsidRPr="009A78CE">
        <w:rPr>
          <w:rFonts w:ascii="Arial" w:eastAsia="Arial" w:hAnsi="Arial" w:cs="Arial"/>
          <w:color w:val="00B050"/>
          <w:sz w:val="20"/>
          <w:szCs w:val="20"/>
        </w:rPr>
        <w:t xml:space="preserve"> barriers and opportunities, but do not systematically map input structures, validation practices, model families, or decision uses in empirical project settings (Bang &amp; Olsson, 2022; </w:t>
      </w:r>
      <w:proofErr w:type="spellStart"/>
      <w:r w:rsidR="009A78CE" w:rsidRPr="009A78CE">
        <w:rPr>
          <w:rFonts w:ascii="Arial" w:eastAsia="Arial" w:hAnsi="Arial" w:cs="Arial"/>
          <w:color w:val="00B050"/>
          <w:sz w:val="20"/>
          <w:szCs w:val="20"/>
        </w:rPr>
        <w:t>Egwim</w:t>
      </w:r>
      <w:proofErr w:type="spellEnd"/>
      <w:r w:rsidR="009A78CE" w:rsidRPr="009A78CE">
        <w:rPr>
          <w:rFonts w:ascii="Arial" w:eastAsia="Arial" w:hAnsi="Arial" w:cs="Arial"/>
          <w:color w:val="00B050"/>
          <w:sz w:val="20"/>
          <w:szCs w:val="20"/>
        </w:rPr>
        <w:t xml:space="preserve"> et al., 2023; Datta et al., 2024). While evidence on adoption challenges highlights stakeholder and </w:t>
      </w:r>
      <w:r w:rsidR="00711A89">
        <w:rPr>
          <w:rFonts w:ascii="Arial" w:eastAsia="Arial" w:hAnsi="Arial" w:cs="Arial"/>
          <w:color w:val="00B050"/>
          <w:sz w:val="20"/>
          <w:szCs w:val="20"/>
        </w:rPr>
        <w:t>organizational</w:t>
      </w:r>
      <w:r w:rsidR="009A78CE" w:rsidRPr="009A78CE">
        <w:rPr>
          <w:rFonts w:ascii="Arial" w:eastAsia="Arial" w:hAnsi="Arial" w:cs="Arial"/>
          <w:color w:val="00B050"/>
          <w:sz w:val="20"/>
          <w:szCs w:val="20"/>
        </w:rPr>
        <w:t xml:space="preserve"> factors, it does not explicitly link these to the deployment and design of predictive models for project delivery efficiency (</w:t>
      </w:r>
      <w:proofErr w:type="spellStart"/>
      <w:r w:rsidR="009A78CE" w:rsidRPr="009A78CE">
        <w:rPr>
          <w:rFonts w:ascii="Arial" w:eastAsia="Arial" w:hAnsi="Arial" w:cs="Arial"/>
          <w:color w:val="00B050"/>
          <w:sz w:val="20"/>
          <w:szCs w:val="20"/>
        </w:rPr>
        <w:t>Regona</w:t>
      </w:r>
      <w:proofErr w:type="spellEnd"/>
      <w:r w:rsidR="009A78CE" w:rsidRPr="009A78CE">
        <w:rPr>
          <w:rFonts w:ascii="Arial" w:eastAsia="Arial" w:hAnsi="Arial" w:cs="Arial"/>
          <w:color w:val="00B050"/>
          <w:sz w:val="20"/>
          <w:szCs w:val="20"/>
        </w:rPr>
        <w:t xml:space="preserve"> et al., 2022; </w:t>
      </w:r>
      <w:proofErr w:type="spellStart"/>
      <w:r w:rsidR="009A78CE" w:rsidRPr="009A78CE">
        <w:rPr>
          <w:rFonts w:ascii="Arial" w:eastAsia="Arial" w:hAnsi="Arial" w:cs="Arial"/>
          <w:color w:val="00B050"/>
          <w:sz w:val="20"/>
          <w:szCs w:val="20"/>
        </w:rPr>
        <w:t>Wuni</w:t>
      </w:r>
      <w:proofErr w:type="spellEnd"/>
      <w:r w:rsidR="009A78CE" w:rsidRPr="009A78CE">
        <w:rPr>
          <w:rFonts w:ascii="Arial" w:eastAsia="Arial" w:hAnsi="Arial" w:cs="Arial"/>
          <w:color w:val="00B050"/>
          <w:sz w:val="20"/>
          <w:szCs w:val="20"/>
        </w:rPr>
        <w:t xml:space="preserve">, 2025; </w:t>
      </w:r>
      <w:proofErr w:type="spellStart"/>
      <w:r w:rsidR="009A78CE" w:rsidRPr="009A78CE">
        <w:rPr>
          <w:rFonts w:ascii="Arial" w:eastAsia="Arial" w:hAnsi="Arial" w:cs="Arial"/>
          <w:color w:val="00B050"/>
          <w:sz w:val="20"/>
          <w:szCs w:val="20"/>
        </w:rPr>
        <w:t>Njama</w:t>
      </w:r>
      <w:proofErr w:type="spellEnd"/>
      <w:r w:rsidR="009A78CE" w:rsidRPr="009A78CE">
        <w:rPr>
          <w:rFonts w:ascii="Arial" w:eastAsia="Arial" w:hAnsi="Arial" w:cs="Arial"/>
          <w:color w:val="00B050"/>
          <w:sz w:val="20"/>
          <w:szCs w:val="20"/>
        </w:rPr>
        <w:t>-Abang, 2025). This scoping review addresses this gap by focusing specifically on empirical applications of predictive analytics to real infrastructure and construction projects, providing a structured baseline against which emerging digital twin and hybrid predictive systems can be assessed.</w:t>
      </w:r>
    </w:p>
    <w:p w14:paraId="60FF41A3" w14:textId="77777777" w:rsidR="005C07DA" w:rsidRDefault="004172AA">
      <w:pPr>
        <w:numPr>
          <w:ilvl w:val="1"/>
          <w:numId w:val="1"/>
        </w:num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b/>
          <w:bCs/>
          <w:color w:val="000000"/>
          <w:sz w:val="20"/>
          <w:szCs w:val="20"/>
        </w:rPr>
        <w:t>Scope of Review</w:t>
      </w:r>
    </w:p>
    <w:p w14:paraId="3B85F6B6" w14:textId="438A4195" w:rsidR="005C07DA" w:rsidRDefault="004172AA">
      <w:pPr>
        <w:jc w:val="both"/>
        <w:rPr>
          <w:rFonts w:ascii="Arial" w:eastAsia="Arial" w:hAnsi="Arial" w:cs="Arial"/>
          <w:sz w:val="20"/>
          <w:szCs w:val="20"/>
        </w:rPr>
      </w:pPr>
      <w:r>
        <w:rPr>
          <w:rFonts w:ascii="Arial" w:eastAsia="Arial" w:hAnsi="Arial" w:cs="Arial"/>
          <w:sz w:val="20"/>
          <w:szCs w:val="20"/>
        </w:rPr>
        <w:t xml:space="preserve">This scoping review looks at the applications of predictive analytics to cost, schedule and risk outcomes in the construction and infrastructure sector. This research looks at peer-reviewed research from 2015 to 2025 and provides an assessment of the construction, transportation, </w:t>
      </w:r>
      <w:r w:rsidR="00711A89">
        <w:rPr>
          <w:rFonts w:ascii="Arial" w:eastAsia="Arial" w:hAnsi="Arial" w:cs="Arial"/>
          <w:sz w:val="20"/>
          <w:szCs w:val="20"/>
        </w:rPr>
        <w:t>tunnelling, marine, and modular issues</w:t>
      </w:r>
      <w:r>
        <w:rPr>
          <w:rFonts w:ascii="Arial" w:eastAsia="Arial" w:hAnsi="Arial" w:cs="Arial"/>
          <w:sz w:val="20"/>
          <w:szCs w:val="20"/>
        </w:rPr>
        <w:t xml:space="preserve"> projects, including the development, validation, and application of statistical, machine learning and hybrid models and actual project data. This review is limited to studies that provide metrics from actual project delivery and therefore excludes studies that are only conceptual, qualitative, or purely laboratory-based. The review identifies the current potential, contextual constraints, and data-driven project delivery </w:t>
      </w:r>
      <w:r>
        <w:rPr>
          <w:rFonts w:ascii="Arial" w:eastAsia="Arial" w:hAnsi="Arial" w:cs="Arial"/>
          <w:sz w:val="20"/>
          <w:szCs w:val="20"/>
        </w:rPr>
        <w:lastRenderedPageBreak/>
        <w:t>integration issues, and these are based on the analysis of the characteristics of the studies and the studies’ thematic analysis.</w:t>
      </w:r>
    </w:p>
    <w:p w14:paraId="1D567E8F" w14:textId="77777777" w:rsidR="005C07DA" w:rsidRDefault="004172AA">
      <w:pPr>
        <w:numPr>
          <w:ilvl w:val="1"/>
          <w:numId w:val="1"/>
        </w:num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b/>
          <w:bCs/>
          <w:color w:val="000000"/>
          <w:sz w:val="20"/>
          <w:szCs w:val="20"/>
        </w:rPr>
        <w:t>Aim and Specific Objectives</w:t>
      </w:r>
    </w:p>
    <w:p w14:paraId="6EB9A25C" w14:textId="67551488" w:rsidR="005C07DA" w:rsidRDefault="004172AA">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sz w:val="20"/>
          <w:szCs w:val="20"/>
        </w:rPr>
        <w:t>This study aims to conduct a detailed analysis and assessment of the available literature on the use of predictive analytics models in construction and infrastructure management. More specifically, the purpose of this review is to determine the use of models in the estimation of costs, timelines, and risks of a project, and to assess how this functionality improves the efficiency of project delivery</w:t>
      </w:r>
      <w:r>
        <w:rPr>
          <w:rFonts w:ascii="Arial" w:eastAsia="Arial" w:hAnsi="Arial" w:cs="Arial"/>
          <w:color w:val="000000"/>
          <w:sz w:val="20"/>
          <w:szCs w:val="20"/>
        </w:rPr>
        <w:t>.</w:t>
      </w:r>
    </w:p>
    <w:p w14:paraId="62969B01" w14:textId="77777777" w:rsidR="005C07DA" w:rsidRDefault="004172AA">
      <w:pPr>
        <w:pBdr>
          <w:top w:val="nil"/>
          <w:left w:val="nil"/>
          <w:bottom w:val="nil"/>
          <w:right w:val="nil"/>
          <w:between w:val="nil"/>
        </w:pBdr>
        <w:spacing w:line="240" w:lineRule="auto"/>
        <w:jc w:val="both"/>
        <w:rPr>
          <w:rFonts w:ascii="Arial" w:eastAsia="Arial" w:hAnsi="Arial" w:cs="Arial"/>
          <w:b/>
          <w:bCs/>
          <w:color w:val="000000"/>
          <w:sz w:val="20"/>
          <w:szCs w:val="20"/>
        </w:rPr>
      </w:pPr>
      <w:r>
        <w:rPr>
          <w:rFonts w:ascii="Arial" w:eastAsia="Arial" w:hAnsi="Arial" w:cs="Arial"/>
          <w:b/>
          <w:bCs/>
          <w:color w:val="000000"/>
          <w:sz w:val="20"/>
          <w:szCs w:val="20"/>
        </w:rPr>
        <w:t>Specific Objectives</w:t>
      </w:r>
    </w:p>
    <w:p w14:paraId="46C571AB" w14:textId="77777777" w:rsidR="005C07DA" w:rsidRDefault="004172AA">
      <w:pPr>
        <w:numPr>
          <w:ilvl w:val="0"/>
          <w:numId w:val="2"/>
        </w:num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Describe the methodological and contextual characteristics of empirical studies applying predictive analytics to construction and infrastructure projects, including project types, data sources, outcome measures and model families.</w:t>
      </w:r>
    </w:p>
    <w:p w14:paraId="1FA69413" w14:textId="21A3D1E8" w:rsidR="005C07DA" w:rsidRDefault="00EC4597">
      <w:pPr>
        <w:numPr>
          <w:ilvl w:val="0"/>
          <w:numId w:val="2"/>
        </w:num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Synthesize</w:t>
      </w:r>
      <w:r w:rsidR="004172AA">
        <w:rPr>
          <w:rFonts w:ascii="Arial" w:eastAsia="Arial" w:hAnsi="Arial" w:cs="Arial"/>
          <w:color w:val="000000"/>
          <w:sz w:val="20"/>
          <w:szCs w:val="20"/>
        </w:rPr>
        <w:t xml:space="preserve"> reported results into thematic domains covering predictive cost, investment and contingency modelling; forecasting time delays and schedule performance; and data structures, modelling strategies and integration challenges.</w:t>
      </w:r>
    </w:p>
    <w:p w14:paraId="548B6668" w14:textId="77777777" w:rsidR="005C07DA" w:rsidRDefault="004172AA">
      <w:pPr>
        <w:numPr>
          <w:ilvl w:val="0"/>
          <w:numId w:val="2"/>
        </w:num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Identify cross-cutting methodological, data and implementation gaps, and to derive implications for integrating predictive analytics into construction project management practice and future research agendas. </w:t>
      </w:r>
    </w:p>
    <w:p w14:paraId="02E484E4" w14:textId="77777777" w:rsidR="005C07DA" w:rsidRDefault="004172AA">
      <w:pPr>
        <w:jc w:val="both"/>
        <w:rPr>
          <w:rFonts w:ascii="Arial" w:eastAsia="Arial" w:hAnsi="Arial" w:cs="Arial"/>
          <w:b/>
          <w:bCs/>
          <w:sz w:val="20"/>
          <w:szCs w:val="20"/>
        </w:rPr>
      </w:pPr>
      <w:r>
        <w:rPr>
          <w:rFonts w:ascii="Arial" w:eastAsia="Arial" w:hAnsi="Arial" w:cs="Arial"/>
          <w:b/>
          <w:bCs/>
          <w:sz w:val="20"/>
          <w:szCs w:val="20"/>
        </w:rPr>
        <w:t>2. Methodology</w:t>
      </w:r>
    </w:p>
    <w:p w14:paraId="13CAE1E4" w14:textId="77777777" w:rsidR="005C07DA" w:rsidRDefault="004172AA">
      <w:pPr>
        <w:jc w:val="both"/>
        <w:rPr>
          <w:rFonts w:ascii="Arial" w:eastAsia="Arial" w:hAnsi="Arial" w:cs="Arial"/>
          <w:b/>
          <w:bCs/>
          <w:sz w:val="20"/>
          <w:szCs w:val="20"/>
        </w:rPr>
      </w:pPr>
      <w:r>
        <w:rPr>
          <w:rFonts w:ascii="Arial" w:eastAsia="Arial" w:hAnsi="Arial" w:cs="Arial"/>
          <w:b/>
          <w:bCs/>
          <w:sz w:val="20"/>
          <w:szCs w:val="20"/>
        </w:rPr>
        <w:t>2.1 Design and Reporting Standards</w:t>
      </w:r>
    </w:p>
    <w:p w14:paraId="6948B11C" w14:textId="77E8212A" w:rsidR="005C07DA" w:rsidRDefault="004172AA">
      <w:pPr>
        <w:jc w:val="both"/>
        <w:rPr>
          <w:rFonts w:ascii="Arial" w:eastAsia="Arial" w:hAnsi="Arial" w:cs="Arial"/>
          <w:sz w:val="20"/>
          <w:szCs w:val="20"/>
        </w:rPr>
      </w:pPr>
      <w:r>
        <w:rPr>
          <w:rFonts w:ascii="Arial" w:eastAsia="Arial" w:hAnsi="Arial" w:cs="Arial"/>
          <w:sz w:val="20"/>
          <w:szCs w:val="20"/>
        </w:rPr>
        <w:t xml:space="preserve">The present review employs a scoping review methodology structured by the Population–Concept–Context (PCC) framework, with the aim of mapping the breadth and characteristics of predictive analytics applications for forecasting project risks, delays, and performance outcomes in construction and infrastructure management. </w:t>
      </w:r>
      <w:r w:rsidR="00866F07" w:rsidRPr="00866F07">
        <w:rPr>
          <w:rFonts w:ascii="Arial" w:eastAsia="Arial" w:hAnsi="Arial" w:cs="Arial"/>
          <w:color w:val="00B050"/>
          <w:sz w:val="20"/>
          <w:szCs w:val="20"/>
        </w:rPr>
        <w:t xml:space="preserve">The methodological approach followed the standard stages of a scoping review: identifying the research question, identifying relevant studies, selecting studies, charting data, and collating, </w:t>
      </w:r>
      <w:proofErr w:type="spellStart"/>
      <w:r w:rsidR="00866F07" w:rsidRPr="00866F07">
        <w:rPr>
          <w:rFonts w:ascii="Arial" w:eastAsia="Arial" w:hAnsi="Arial" w:cs="Arial"/>
          <w:color w:val="00B050"/>
          <w:sz w:val="20"/>
          <w:szCs w:val="20"/>
        </w:rPr>
        <w:t>summarising</w:t>
      </w:r>
      <w:proofErr w:type="spellEnd"/>
      <w:r w:rsidR="00866F07" w:rsidRPr="00866F07">
        <w:rPr>
          <w:rFonts w:ascii="Arial" w:eastAsia="Arial" w:hAnsi="Arial" w:cs="Arial"/>
          <w:color w:val="00B050"/>
          <w:sz w:val="20"/>
          <w:szCs w:val="20"/>
        </w:rPr>
        <w:t>, and reporting results. This structure provides a transparent and reproducible framework for mapping the implementation of predictive analytics across diverse project contexts.</w:t>
      </w:r>
      <w:r w:rsidR="00EC4597">
        <w:rPr>
          <w:rFonts w:ascii="Arial" w:eastAsia="Arial" w:hAnsi="Arial" w:cs="Arial"/>
          <w:color w:val="00B050"/>
          <w:sz w:val="20"/>
          <w:szCs w:val="20"/>
        </w:rPr>
        <w:t xml:space="preserve"> </w:t>
      </w:r>
      <w:proofErr w:type="gramStart"/>
      <w:r>
        <w:rPr>
          <w:rFonts w:ascii="Arial" w:eastAsia="Arial" w:hAnsi="Arial" w:cs="Arial"/>
          <w:sz w:val="20"/>
          <w:szCs w:val="20"/>
        </w:rPr>
        <w:t>The</w:t>
      </w:r>
      <w:proofErr w:type="gramEnd"/>
      <w:r>
        <w:rPr>
          <w:rFonts w:ascii="Arial" w:eastAsia="Arial" w:hAnsi="Arial" w:cs="Arial"/>
          <w:sz w:val="20"/>
          <w:szCs w:val="20"/>
        </w:rPr>
        <w:t xml:space="preserve"> reporting of this study adheres to the PRISMA extension for Scoping Reviews (PRISMA-</w:t>
      </w:r>
      <w:proofErr w:type="spellStart"/>
      <w:r>
        <w:rPr>
          <w:rFonts w:ascii="Arial" w:eastAsia="Arial" w:hAnsi="Arial" w:cs="Arial"/>
          <w:sz w:val="20"/>
          <w:szCs w:val="20"/>
        </w:rPr>
        <w:t>ScR</w:t>
      </w:r>
      <w:proofErr w:type="spellEnd"/>
      <w:r>
        <w:rPr>
          <w:rFonts w:ascii="Arial" w:eastAsia="Arial" w:hAnsi="Arial" w:cs="Arial"/>
          <w:sz w:val="20"/>
          <w:szCs w:val="20"/>
        </w:rPr>
        <w:t xml:space="preserve">), encompassing the </w:t>
      </w:r>
      <w:r w:rsidR="00EC4597">
        <w:rPr>
          <w:rFonts w:ascii="Arial" w:eastAsia="Arial" w:hAnsi="Arial" w:cs="Arial"/>
          <w:sz w:val="20"/>
          <w:szCs w:val="20"/>
        </w:rPr>
        <w:t>utilization</w:t>
      </w:r>
      <w:r>
        <w:rPr>
          <w:rFonts w:ascii="Arial" w:eastAsia="Arial" w:hAnsi="Arial" w:cs="Arial"/>
          <w:sz w:val="20"/>
          <w:szCs w:val="20"/>
        </w:rPr>
        <w:t xml:space="preserve"> of a flow diagram and the transparent documentation of selection decisions. No protocol registration was undertaken. In accordance with the scoping aim to describe and classify evidence rather than estimate pooled effects, no formal risk-of-bias or critical appraisal was performed. The methodological safeguards employed in this study encompass explicit eligibility criteria, a multi-database strategy, dual screening, and </w:t>
      </w:r>
      <w:r w:rsidR="00EC4597">
        <w:rPr>
          <w:rFonts w:ascii="Arial" w:eastAsia="Arial" w:hAnsi="Arial" w:cs="Arial"/>
          <w:sz w:val="20"/>
          <w:szCs w:val="20"/>
        </w:rPr>
        <w:t>standardized</w:t>
      </w:r>
      <w:r>
        <w:rPr>
          <w:rFonts w:ascii="Arial" w:eastAsia="Arial" w:hAnsi="Arial" w:cs="Arial"/>
          <w:sz w:val="20"/>
          <w:szCs w:val="20"/>
        </w:rPr>
        <w:t xml:space="preserve"> data charting.</w:t>
      </w:r>
    </w:p>
    <w:p w14:paraId="24BF6261" w14:textId="77777777" w:rsidR="005C07DA" w:rsidRDefault="004172AA">
      <w:pPr>
        <w:jc w:val="both"/>
        <w:rPr>
          <w:rFonts w:ascii="Arial" w:eastAsia="Arial" w:hAnsi="Arial" w:cs="Arial"/>
          <w:b/>
          <w:bCs/>
          <w:sz w:val="20"/>
          <w:szCs w:val="20"/>
        </w:rPr>
      </w:pPr>
      <w:r>
        <w:rPr>
          <w:rFonts w:ascii="Arial" w:eastAsia="Arial" w:hAnsi="Arial" w:cs="Arial"/>
          <w:b/>
          <w:bCs/>
          <w:sz w:val="20"/>
          <w:szCs w:val="20"/>
        </w:rPr>
        <w:t>2.2 Eligibility Criteria</w:t>
      </w:r>
    </w:p>
    <w:p w14:paraId="5D2DE998" w14:textId="63207594" w:rsidR="005C07DA" w:rsidRDefault="00EC4597">
      <w:pPr>
        <w:jc w:val="both"/>
        <w:rPr>
          <w:rFonts w:ascii="Arial" w:eastAsia="Arial" w:hAnsi="Arial" w:cs="Arial"/>
          <w:sz w:val="20"/>
          <w:szCs w:val="20"/>
        </w:rPr>
      </w:pPr>
      <w:r w:rsidRPr="00EC4597">
        <w:rPr>
          <w:rFonts w:ascii="Arial" w:eastAsia="Arial" w:hAnsi="Arial" w:cs="Arial"/>
          <w:color w:val="00B050"/>
          <w:sz w:val="20"/>
          <w:szCs w:val="20"/>
        </w:rPr>
        <w:t>Real-world infrastructure and construction projects were included in the study</w:t>
      </w:r>
      <w:r>
        <w:rPr>
          <w:rFonts w:ascii="Arial" w:eastAsia="Arial" w:hAnsi="Arial" w:cs="Arial"/>
          <w:color w:val="00B050"/>
          <w:sz w:val="20"/>
          <w:szCs w:val="20"/>
        </w:rPr>
        <w:t xml:space="preserve">, where predictive analytics models had been validated and developed </w:t>
      </w:r>
      <w:r w:rsidRPr="00EC4597">
        <w:rPr>
          <w:rFonts w:ascii="Arial" w:eastAsia="Arial" w:hAnsi="Arial" w:cs="Arial"/>
          <w:color w:val="00B050"/>
          <w:sz w:val="20"/>
          <w:szCs w:val="20"/>
        </w:rPr>
        <w:t>for project delivery outcomes. Studies lacking sufficient methodological detail or predictive models, empirical project-level data, and performance metrics for extraction were excluded. An extensive screening process was undertaken to confirm that each included paper met the PCC definitions and fell within the 2015–2025 timeframe, as well as satisfying the study design requirements.</w:t>
      </w:r>
      <w:r>
        <w:rPr>
          <w:rFonts w:ascii="Arial" w:eastAsia="Arial" w:hAnsi="Arial" w:cs="Arial"/>
          <w:color w:val="00B050"/>
          <w:sz w:val="20"/>
          <w:szCs w:val="20"/>
        </w:rPr>
        <w:t xml:space="preserve"> </w:t>
      </w:r>
      <w:r w:rsidR="004172AA">
        <w:rPr>
          <w:rFonts w:ascii="Arial" w:eastAsia="Arial" w:hAnsi="Arial" w:cs="Arial"/>
          <w:sz w:val="20"/>
          <w:szCs w:val="20"/>
        </w:rPr>
        <w:t xml:space="preserve">The present study incorporated peer-reviewed empirical studies in which predictive </w:t>
      </w:r>
      <w:r w:rsidR="004172AA">
        <w:rPr>
          <w:rFonts w:ascii="Arial" w:eastAsia="Arial" w:hAnsi="Arial" w:cs="Arial"/>
          <w:sz w:val="20"/>
          <w:szCs w:val="20"/>
        </w:rPr>
        <w:lastRenderedPageBreak/>
        <w:t xml:space="preserve">models (statistical, machine learning, or simulation-based) were trained and tested on actual construction or infrastructure project data to forecast cost, time, risk, or closely related performance endpoints at </w:t>
      </w:r>
      <w:r>
        <w:rPr>
          <w:rFonts w:ascii="Arial" w:eastAsia="Arial" w:hAnsi="Arial" w:cs="Arial"/>
          <w:sz w:val="20"/>
          <w:szCs w:val="20"/>
        </w:rPr>
        <w:t xml:space="preserve">the </w:t>
      </w:r>
      <w:r w:rsidR="004172AA">
        <w:rPr>
          <w:rFonts w:ascii="Arial" w:eastAsia="Arial" w:hAnsi="Arial" w:cs="Arial"/>
          <w:sz w:val="20"/>
          <w:szCs w:val="20"/>
        </w:rPr>
        <w:t xml:space="preserve">project level. </w:t>
      </w:r>
      <w:r w:rsidRPr="00EC4597">
        <w:rPr>
          <w:rFonts w:ascii="Arial" w:eastAsia="Arial" w:hAnsi="Arial" w:cs="Arial"/>
          <w:color w:val="00B050"/>
          <w:sz w:val="20"/>
          <w:szCs w:val="20"/>
        </w:rPr>
        <w:t xml:space="preserve">Table 1 </w:t>
      </w:r>
      <w:proofErr w:type="spellStart"/>
      <w:r w:rsidRPr="00EC4597">
        <w:rPr>
          <w:rFonts w:ascii="Arial" w:eastAsia="Arial" w:hAnsi="Arial" w:cs="Arial"/>
          <w:color w:val="00B050"/>
          <w:sz w:val="20"/>
          <w:szCs w:val="20"/>
        </w:rPr>
        <w:t>summarises</w:t>
      </w:r>
      <w:proofErr w:type="spellEnd"/>
      <w:r w:rsidRPr="00EC4597">
        <w:rPr>
          <w:rFonts w:ascii="Arial" w:eastAsia="Arial" w:hAnsi="Arial" w:cs="Arial"/>
          <w:color w:val="00B050"/>
          <w:sz w:val="20"/>
          <w:szCs w:val="20"/>
        </w:rPr>
        <w:t xml:space="preserve"> the population, concept and context criteria that informed the decisions about which studies to include in the review.</w:t>
      </w:r>
    </w:p>
    <w:p w14:paraId="45675B90" w14:textId="77777777" w:rsidR="005C07DA" w:rsidRDefault="004172AA">
      <w:pPr>
        <w:jc w:val="center"/>
        <w:rPr>
          <w:rFonts w:ascii="Arial" w:eastAsia="Arial" w:hAnsi="Arial" w:cs="Arial"/>
          <w:b/>
          <w:bCs/>
          <w:sz w:val="20"/>
          <w:szCs w:val="20"/>
        </w:rPr>
      </w:pPr>
      <w:r>
        <w:rPr>
          <w:rFonts w:ascii="Arial" w:eastAsia="Arial" w:hAnsi="Arial" w:cs="Arial"/>
          <w:b/>
          <w:bCs/>
          <w:sz w:val="20"/>
          <w:szCs w:val="20"/>
        </w:rPr>
        <w:t>Table 1 Eligibility Criteria according to the PCC Framework</w:t>
      </w:r>
    </w:p>
    <w:tbl>
      <w:tblPr>
        <w:tblStyle w:val="a4"/>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0"/>
        <w:gridCol w:w="3376"/>
        <w:gridCol w:w="3104"/>
      </w:tblGrid>
      <w:tr w:rsidR="005C07DA" w14:paraId="7685FCD8" w14:textId="77777777">
        <w:tc>
          <w:tcPr>
            <w:tcW w:w="2870" w:type="dxa"/>
          </w:tcPr>
          <w:p w14:paraId="29307A02" w14:textId="77777777" w:rsidR="005C07DA" w:rsidRDefault="004172AA">
            <w:pPr>
              <w:jc w:val="both"/>
              <w:rPr>
                <w:rFonts w:ascii="Arial" w:eastAsia="Arial" w:hAnsi="Arial" w:cs="Arial"/>
                <w:b/>
                <w:bCs/>
                <w:sz w:val="20"/>
                <w:szCs w:val="20"/>
              </w:rPr>
            </w:pPr>
            <w:r>
              <w:rPr>
                <w:rFonts w:ascii="Arial" w:eastAsia="Arial" w:hAnsi="Arial" w:cs="Arial"/>
                <w:b/>
                <w:bCs/>
                <w:sz w:val="20"/>
                <w:szCs w:val="20"/>
              </w:rPr>
              <w:t>Item</w:t>
            </w:r>
          </w:p>
        </w:tc>
        <w:tc>
          <w:tcPr>
            <w:tcW w:w="3376" w:type="dxa"/>
          </w:tcPr>
          <w:p w14:paraId="43C55846" w14:textId="77777777" w:rsidR="005C07DA" w:rsidRDefault="004172AA">
            <w:pPr>
              <w:jc w:val="both"/>
              <w:rPr>
                <w:rFonts w:ascii="Arial" w:eastAsia="Arial" w:hAnsi="Arial" w:cs="Arial"/>
                <w:b/>
                <w:bCs/>
                <w:sz w:val="20"/>
                <w:szCs w:val="20"/>
              </w:rPr>
            </w:pPr>
            <w:r>
              <w:rPr>
                <w:rFonts w:ascii="Arial" w:eastAsia="Arial" w:hAnsi="Arial" w:cs="Arial"/>
                <w:b/>
                <w:bCs/>
                <w:sz w:val="20"/>
                <w:szCs w:val="20"/>
              </w:rPr>
              <w:t>Inclusion criteria</w:t>
            </w:r>
          </w:p>
        </w:tc>
        <w:tc>
          <w:tcPr>
            <w:tcW w:w="3104" w:type="dxa"/>
          </w:tcPr>
          <w:p w14:paraId="04D83C17" w14:textId="77777777" w:rsidR="005C07DA" w:rsidRDefault="004172AA">
            <w:pPr>
              <w:jc w:val="both"/>
              <w:rPr>
                <w:rFonts w:ascii="Arial" w:eastAsia="Arial" w:hAnsi="Arial" w:cs="Arial"/>
                <w:b/>
                <w:bCs/>
                <w:sz w:val="20"/>
                <w:szCs w:val="20"/>
              </w:rPr>
            </w:pPr>
            <w:r>
              <w:rPr>
                <w:rFonts w:ascii="Arial" w:eastAsia="Arial" w:hAnsi="Arial" w:cs="Arial"/>
                <w:b/>
                <w:bCs/>
                <w:sz w:val="20"/>
                <w:szCs w:val="20"/>
              </w:rPr>
              <w:t>Exclusion criteria</w:t>
            </w:r>
          </w:p>
        </w:tc>
      </w:tr>
      <w:tr w:rsidR="005C07DA" w14:paraId="21BD85BA" w14:textId="77777777">
        <w:tc>
          <w:tcPr>
            <w:tcW w:w="2870" w:type="dxa"/>
          </w:tcPr>
          <w:p w14:paraId="0D41D70B" w14:textId="77777777" w:rsidR="005C07DA" w:rsidRDefault="004172AA">
            <w:pPr>
              <w:jc w:val="both"/>
              <w:rPr>
                <w:rFonts w:ascii="Arial" w:eastAsia="Arial" w:hAnsi="Arial" w:cs="Arial"/>
                <w:b/>
                <w:bCs/>
                <w:sz w:val="20"/>
                <w:szCs w:val="20"/>
              </w:rPr>
            </w:pPr>
            <w:r>
              <w:rPr>
                <w:rFonts w:ascii="Arial" w:eastAsia="Arial" w:hAnsi="Arial" w:cs="Arial"/>
                <w:b/>
                <w:bCs/>
                <w:sz w:val="20"/>
                <w:szCs w:val="20"/>
              </w:rPr>
              <w:t>Population</w:t>
            </w:r>
          </w:p>
        </w:tc>
        <w:tc>
          <w:tcPr>
            <w:tcW w:w="3376" w:type="dxa"/>
          </w:tcPr>
          <w:p w14:paraId="31E37C1E" w14:textId="77777777" w:rsidR="005C07DA" w:rsidRDefault="004172AA">
            <w:pPr>
              <w:jc w:val="both"/>
              <w:rPr>
                <w:rFonts w:ascii="Arial" w:eastAsia="Arial" w:hAnsi="Arial" w:cs="Arial"/>
                <w:sz w:val="20"/>
                <w:szCs w:val="20"/>
              </w:rPr>
            </w:pPr>
            <w:r>
              <w:rPr>
                <w:rFonts w:ascii="Arial" w:eastAsia="Arial" w:hAnsi="Arial" w:cs="Arial"/>
                <w:sz w:val="20"/>
                <w:szCs w:val="20"/>
              </w:rPr>
              <w:t>Real-world construction or infrastructure projects of any type (e.g. buildings, roads, highways, tunnels, bridges, marine works, prefabricated systems), in any country and income setting.</w:t>
            </w:r>
          </w:p>
        </w:tc>
        <w:tc>
          <w:tcPr>
            <w:tcW w:w="3104" w:type="dxa"/>
          </w:tcPr>
          <w:p w14:paraId="7F1D4A6F" w14:textId="77777777" w:rsidR="005C07DA" w:rsidRDefault="004172AA">
            <w:pPr>
              <w:jc w:val="both"/>
              <w:rPr>
                <w:rFonts w:ascii="Arial" w:eastAsia="Arial" w:hAnsi="Arial" w:cs="Arial"/>
                <w:sz w:val="20"/>
                <w:szCs w:val="20"/>
              </w:rPr>
            </w:pPr>
            <w:r>
              <w:rPr>
                <w:rFonts w:ascii="Arial" w:eastAsia="Arial" w:hAnsi="Arial" w:cs="Arial"/>
                <w:sz w:val="20"/>
                <w:szCs w:val="20"/>
              </w:rPr>
              <w:t>Laboratory-only or synthetic projects; purely simulated or hypothetical projects without calibration to real project data; student/educational projects not executed in practice.</w:t>
            </w:r>
          </w:p>
        </w:tc>
      </w:tr>
      <w:tr w:rsidR="005C07DA" w14:paraId="561F57C2" w14:textId="77777777">
        <w:tc>
          <w:tcPr>
            <w:tcW w:w="2870" w:type="dxa"/>
          </w:tcPr>
          <w:p w14:paraId="7EBFFEB8" w14:textId="77777777" w:rsidR="005C07DA" w:rsidRDefault="004172AA">
            <w:pPr>
              <w:jc w:val="both"/>
              <w:rPr>
                <w:rFonts w:ascii="Arial" w:eastAsia="Arial" w:hAnsi="Arial" w:cs="Arial"/>
                <w:b/>
                <w:bCs/>
                <w:sz w:val="20"/>
                <w:szCs w:val="20"/>
              </w:rPr>
            </w:pPr>
            <w:r>
              <w:rPr>
                <w:rFonts w:ascii="Arial" w:eastAsia="Arial" w:hAnsi="Arial" w:cs="Arial"/>
                <w:b/>
                <w:bCs/>
                <w:sz w:val="20"/>
                <w:szCs w:val="20"/>
              </w:rPr>
              <w:t>Concept</w:t>
            </w:r>
          </w:p>
        </w:tc>
        <w:tc>
          <w:tcPr>
            <w:tcW w:w="3376" w:type="dxa"/>
          </w:tcPr>
          <w:p w14:paraId="269BC3FE" w14:textId="77777777" w:rsidR="005C07DA" w:rsidRDefault="004172AA">
            <w:pPr>
              <w:jc w:val="both"/>
              <w:rPr>
                <w:rFonts w:ascii="Arial" w:eastAsia="Arial" w:hAnsi="Arial" w:cs="Arial"/>
                <w:sz w:val="20"/>
                <w:szCs w:val="20"/>
              </w:rPr>
            </w:pPr>
            <w:r>
              <w:rPr>
                <w:rFonts w:ascii="Arial" w:eastAsia="Arial" w:hAnsi="Arial" w:cs="Arial"/>
                <w:sz w:val="20"/>
                <w:szCs w:val="20"/>
              </w:rPr>
              <w:t>Predictive analytics models (e.g. regression, machine learning, hybrid or simulation) used to forecast project-level outcomes related to cost (cost, cost overrun, contingency, investment), time (duration, delay, schedule slippage), or risk/performance (risk occurrence, productivity, claims, engineering services overruns). Models must be trained on actual project data and report at least one performance or benchmarking metric (e.g. MAE, RMSE, MAPE, R², accuracy, kappa).</w:t>
            </w:r>
          </w:p>
        </w:tc>
        <w:tc>
          <w:tcPr>
            <w:tcW w:w="3104" w:type="dxa"/>
          </w:tcPr>
          <w:p w14:paraId="40BAB786" w14:textId="77777777" w:rsidR="005C07DA" w:rsidRDefault="004172AA">
            <w:pPr>
              <w:jc w:val="both"/>
              <w:rPr>
                <w:rFonts w:ascii="Arial" w:eastAsia="Arial" w:hAnsi="Arial" w:cs="Arial"/>
                <w:sz w:val="20"/>
                <w:szCs w:val="20"/>
              </w:rPr>
            </w:pPr>
            <w:r>
              <w:rPr>
                <w:rFonts w:ascii="Arial" w:eastAsia="Arial" w:hAnsi="Arial" w:cs="Arial"/>
                <w:sz w:val="20"/>
                <w:szCs w:val="20"/>
              </w:rPr>
              <w:t>Studies without a predictive component (descriptive analytics only, dashboards without forecasting); qualitative management studies; conceptual/editorial pieces; models with no performance evaluation or comparison.</w:t>
            </w:r>
          </w:p>
        </w:tc>
      </w:tr>
      <w:tr w:rsidR="005C07DA" w14:paraId="5BA694D4" w14:textId="77777777">
        <w:tc>
          <w:tcPr>
            <w:tcW w:w="2870" w:type="dxa"/>
          </w:tcPr>
          <w:p w14:paraId="0B76A3A4" w14:textId="77777777" w:rsidR="005C07DA" w:rsidRDefault="004172AA">
            <w:pPr>
              <w:jc w:val="both"/>
              <w:rPr>
                <w:rFonts w:ascii="Arial" w:eastAsia="Arial" w:hAnsi="Arial" w:cs="Arial"/>
                <w:b/>
                <w:bCs/>
                <w:sz w:val="20"/>
                <w:szCs w:val="20"/>
              </w:rPr>
            </w:pPr>
            <w:r>
              <w:rPr>
                <w:rFonts w:ascii="Arial" w:eastAsia="Arial" w:hAnsi="Arial" w:cs="Arial"/>
                <w:b/>
                <w:bCs/>
                <w:sz w:val="20"/>
                <w:szCs w:val="20"/>
              </w:rPr>
              <w:t>Context</w:t>
            </w:r>
          </w:p>
        </w:tc>
        <w:tc>
          <w:tcPr>
            <w:tcW w:w="3376" w:type="dxa"/>
          </w:tcPr>
          <w:p w14:paraId="61708F36" w14:textId="77777777" w:rsidR="005C07DA" w:rsidRDefault="004172AA">
            <w:pPr>
              <w:jc w:val="both"/>
              <w:rPr>
                <w:rFonts w:ascii="Arial" w:eastAsia="Arial" w:hAnsi="Arial" w:cs="Arial"/>
                <w:sz w:val="20"/>
                <w:szCs w:val="20"/>
              </w:rPr>
            </w:pPr>
            <w:r>
              <w:rPr>
                <w:rFonts w:ascii="Arial" w:eastAsia="Arial" w:hAnsi="Arial" w:cs="Arial"/>
                <w:sz w:val="20"/>
                <w:szCs w:val="20"/>
              </w:rPr>
              <w:t>Construction and infrastructure management settings across the project lifecycle (planning, design, construction, handover) in public or private sectors.</w:t>
            </w:r>
          </w:p>
        </w:tc>
        <w:tc>
          <w:tcPr>
            <w:tcW w:w="3104" w:type="dxa"/>
          </w:tcPr>
          <w:p w14:paraId="3632F325" w14:textId="77777777" w:rsidR="005C07DA" w:rsidRDefault="004172AA">
            <w:pPr>
              <w:jc w:val="both"/>
              <w:rPr>
                <w:rFonts w:ascii="Arial" w:eastAsia="Arial" w:hAnsi="Arial" w:cs="Arial"/>
                <w:sz w:val="20"/>
                <w:szCs w:val="20"/>
              </w:rPr>
            </w:pPr>
            <w:r>
              <w:rPr>
                <w:rFonts w:ascii="Arial" w:eastAsia="Arial" w:hAnsi="Arial" w:cs="Arial"/>
                <w:sz w:val="20"/>
                <w:szCs w:val="20"/>
              </w:rPr>
              <w:t>Predictive analytics applied outside project or infrastructure contexts (e.g. manufacturing, healthcare, finance, pure asset-level models without project delivery outcomes).</w:t>
            </w:r>
          </w:p>
        </w:tc>
      </w:tr>
      <w:tr w:rsidR="005C07DA" w14:paraId="55109B0F" w14:textId="77777777">
        <w:tc>
          <w:tcPr>
            <w:tcW w:w="2870" w:type="dxa"/>
          </w:tcPr>
          <w:p w14:paraId="20A8604F" w14:textId="77777777" w:rsidR="005C07DA" w:rsidRDefault="004172AA">
            <w:pPr>
              <w:jc w:val="both"/>
              <w:rPr>
                <w:rFonts w:ascii="Arial" w:eastAsia="Arial" w:hAnsi="Arial" w:cs="Arial"/>
                <w:b/>
                <w:bCs/>
                <w:sz w:val="20"/>
                <w:szCs w:val="20"/>
              </w:rPr>
            </w:pPr>
            <w:r>
              <w:rPr>
                <w:rFonts w:ascii="Arial" w:eastAsia="Arial" w:hAnsi="Arial" w:cs="Arial"/>
                <w:b/>
                <w:bCs/>
                <w:sz w:val="20"/>
                <w:szCs w:val="20"/>
              </w:rPr>
              <w:t>Study Designs</w:t>
            </w:r>
          </w:p>
        </w:tc>
        <w:tc>
          <w:tcPr>
            <w:tcW w:w="3376" w:type="dxa"/>
          </w:tcPr>
          <w:p w14:paraId="768381A0" w14:textId="77777777" w:rsidR="005C07DA" w:rsidRDefault="004172AA">
            <w:pPr>
              <w:jc w:val="both"/>
              <w:rPr>
                <w:rFonts w:ascii="Arial" w:eastAsia="Arial" w:hAnsi="Arial" w:cs="Arial"/>
                <w:sz w:val="20"/>
                <w:szCs w:val="20"/>
              </w:rPr>
            </w:pPr>
            <w:r>
              <w:rPr>
                <w:rFonts w:ascii="Arial" w:eastAsia="Arial" w:hAnsi="Arial" w:cs="Arial"/>
                <w:sz w:val="20"/>
                <w:szCs w:val="20"/>
              </w:rPr>
              <w:t>Empirical case study designs, retrospective analyses of project datasets, observational studies, and implementation/effectiveness studies in which predictive models are developed and tested on real project data.</w:t>
            </w:r>
          </w:p>
        </w:tc>
        <w:tc>
          <w:tcPr>
            <w:tcW w:w="3104" w:type="dxa"/>
          </w:tcPr>
          <w:p w14:paraId="2E10C98B" w14:textId="77777777" w:rsidR="005C07DA" w:rsidRDefault="004172AA">
            <w:pPr>
              <w:jc w:val="both"/>
              <w:rPr>
                <w:rFonts w:ascii="Arial" w:eastAsia="Arial" w:hAnsi="Arial" w:cs="Arial"/>
                <w:sz w:val="20"/>
                <w:szCs w:val="20"/>
              </w:rPr>
            </w:pPr>
            <w:r>
              <w:rPr>
                <w:rFonts w:ascii="Arial" w:eastAsia="Arial" w:hAnsi="Arial" w:cs="Arial"/>
                <w:sz w:val="20"/>
                <w:szCs w:val="20"/>
              </w:rPr>
              <w:t>Review papers, editorials, letters, protocols without results, opinion pieces, and non-peer-reviewed preprints.</w:t>
            </w:r>
          </w:p>
        </w:tc>
      </w:tr>
      <w:tr w:rsidR="005C07DA" w14:paraId="2C23CBCE" w14:textId="77777777">
        <w:tc>
          <w:tcPr>
            <w:tcW w:w="2870" w:type="dxa"/>
          </w:tcPr>
          <w:p w14:paraId="791965D0" w14:textId="77777777" w:rsidR="005C07DA" w:rsidRDefault="004172AA">
            <w:pPr>
              <w:jc w:val="both"/>
              <w:rPr>
                <w:rFonts w:ascii="Arial" w:eastAsia="Arial" w:hAnsi="Arial" w:cs="Arial"/>
                <w:b/>
                <w:bCs/>
                <w:sz w:val="20"/>
                <w:szCs w:val="20"/>
              </w:rPr>
            </w:pPr>
            <w:r>
              <w:rPr>
                <w:rFonts w:ascii="Arial" w:eastAsia="Arial" w:hAnsi="Arial" w:cs="Arial"/>
                <w:b/>
                <w:bCs/>
                <w:sz w:val="20"/>
                <w:szCs w:val="20"/>
              </w:rPr>
              <w:t>Outcomes</w:t>
            </w:r>
          </w:p>
        </w:tc>
        <w:tc>
          <w:tcPr>
            <w:tcW w:w="3376" w:type="dxa"/>
          </w:tcPr>
          <w:p w14:paraId="5E63D4D2" w14:textId="77777777" w:rsidR="005C07DA" w:rsidRDefault="005C07DA">
            <w:pPr>
              <w:widowControl w:val="0"/>
              <w:pBdr>
                <w:top w:val="nil"/>
                <w:left w:val="nil"/>
                <w:bottom w:val="nil"/>
                <w:right w:val="nil"/>
                <w:between w:val="nil"/>
              </w:pBdr>
              <w:spacing w:line="276" w:lineRule="auto"/>
              <w:rPr>
                <w:rFonts w:ascii="Arial" w:eastAsia="Arial" w:hAnsi="Arial" w:cs="Arial"/>
                <w:b/>
                <w:bCs/>
                <w:sz w:val="20"/>
                <w:szCs w:val="20"/>
              </w:rPr>
            </w:pPr>
          </w:p>
          <w:tbl>
            <w:tblPr>
              <w:tblStyle w:val="a5"/>
              <w:tblW w:w="96" w:type="dxa"/>
              <w:tblInd w:w="0" w:type="dxa"/>
              <w:tblLayout w:type="fixed"/>
              <w:tblLook w:val="0400" w:firstRow="0" w:lastRow="0" w:firstColumn="0" w:lastColumn="0" w:noHBand="0" w:noVBand="1"/>
            </w:tblPr>
            <w:tblGrid>
              <w:gridCol w:w="96"/>
            </w:tblGrid>
            <w:tr w:rsidR="005C07DA" w14:paraId="0D509E3A" w14:textId="77777777">
              <w:tc>
                <w:tcPr>
                  <w:tcW w:w="96" w:type="dxa"/>
                  <w:vAlign w:val="center"/>
                </w:tcPr>
                <w:p w14:paraId="36E86AA9" w14:textId="77777777" w:rsidR="005C07DA" w:rsidRDefault="005C07DA">
                  <w:pPr>
                    <w:spacing w:after="0" w:line="240" w:lineRule="auto"/>
                    <w:jc w:val="both"/>
                    <w:rPr>
                      <w:rFonts w:ascii="Arial" w:eastAsia="Arial" w:hAnsi="Arial" w:cs="Arial"/>
                      <w:sz w:val="20"/>
                      <w:szCs w:val="20"/>
                    </w:rPr>
                  </w:pPr>
                </w:p>
              </w:tc>
            </w:tr>
          </w:tbl>
          <w:p w14:paraId="68D2DFD3" w14:textId="77777777" w:rsidR="005C07DA" w:rsidRDefault="005C07DA">
            <w:pPr>
              <w:widowControl w:val="0"/>
              <w:pBdr>
                <w:top w:val="nil"/>
                <w:left w:val="nil"/>
                <w:bottom w:val="nil"/>
                <w:right w:val="nil"/>
                <w:between w:val="nil"/>
              </w:pBdr>
              <w:spacing w:line="276" w:lineRule="auto"/>
              <w:rPr>
                <w:rFonts w:ascii="Arial" w:eastAsia="Arial" w:hAnsi="Arial" w:cs="Arial"/>
                <w:sz w:val="20"/>
                <w:szCs w:val="20"/>
              </w:rPr>
            </w:pPr>
          </w:p>
          <w:tbl>
            <w:tblPr>
              <w:tblStyle w:val="a6"/>
              <w:tblW w:w="3160" w:type="dxa"/>
              <w:tblInd w:w="0" w:type="dxa"/>
              <w:tblLayout w:type="fixed"/>
              <w:tblLook w:val="0400" w:firstRow="0" w:lastRow="0" w:firstColumn="0" w:lastColumn="0" w:noHBand="0" w:noVBand="1"/>
            </w:tblPr>
            <w:tblGrid>
              <w:gridCol w:w="3160"/>
            </w:tblGrid>
            <w:tr w:rsidR="005C07DA" w14:paraId="737069BE" w14:textId="77777777">
              <w:tc>
                <w:tcPr>
                  <w:tcW w:w="3160" w:type="dxa"/>
                  <w:vAlign w:val="center"/>
                </w:tcPr>
                <w:p w14:paraId="7CE189CD" w14:textId="77777777" w:rsidR="005C07DA" w:rsidRDefault="004172AA">
                  <w:pPr>
                    <w:spacing w:after="0" w:line="240" w:lineRule="auto"/>
                    <w:jc w:val="both"/>
                    <w:rPr>
                      <w:rFonts w:ascii="Arial" w:eastAsia="Arial" w:hAnsi="Arial" w:cs="Arial"/>
                      <w:sz w:val="20"/>
                      <w:szCs w:val="20"/>
                    </w:rPr>
                  </w:pPr>
                  <w:r>
                    <w:rPr>
                      <w:rFonts w:ascii="Arial" w:eastAsia="Arial" w:hAnsi="Arial" w:cs="Arial"/>
                      <w:sz w:val="20"/>
                      <w:szCs w:val="20"/>
                    </w:rPr>
                    <w:t>Narrative reviews, systematic reviews, editorials, letters, protocols without results, and conference abstracts without full text.</w:t>
                  </w:r>
                </w:p>
              </w:tc>
            </w:tr>
          </w:tbl>
          <w:p w14:paraId="3A9589FF" w14:textId="77777777" w:rsidR="005C07DA" w:rsidRDefault="005C07DA">
            <w:pPr>
              <w:jc w:val="both"/>
              <w:rPr>
                <w:rFonts w:ascii="Arial" w:eastAsia="Arial" w:hAnsi="Arial" w:cs="Arial"/>
                <w:sz w:val="20"/>
                <w:szCs w:val="20"/>
              </w:rPr>
            </w:pPr>
          </w:p>
        </w:tc>
        <w:tc>
          <w:tcPr>
            <w:tcW w:w="3104" w:type="dxa"/>
          </w:tcPr>
          <w:p w14:paraId="15DBCBBD" w14:textId="77777777" w:rsidR="005C07DA" w:rsidRDefault="004172AA">
            <w:pPr>
              <w:jc w:val="both"/>
              <w:rPr>
                <w:rFonts w:ascii="Arial" w:eastAsia="Arial" w:hAnsi="Arial" w:cs="Arial"/>
                <w:sz w:val="20"/>
                <w:szCs w:val="20"/>
              </w:rPr>
            </w:pPr>
            <w:r>
              <w:rPr>
                <w:rFonts w:ascii="Arial" w:eastAsia="Arial" w:hAnsi="Arial" w:cs="Arial"/>
                <w:sz w:val="20"/>
                <w:szCs w:val="20"/>
              </w:rPr>
              <w:t>Outcomes unrelated to project delivery efficiency (e.g. purely algorithmic benchmarks with no linkage to cost/time/risk outcomes; laboratory-only technical metrics).</w:t>
            </w:r>
          </w:p>
        </w:tc>
      </w:tr>
      <w:tr w:rsidR="005C07DA" w14:paraId="59A9F4DB" w14:textId="77777777">
        <w:tc>
          <w:tcPr>
            <w:tcW w:w="2870" w:type="dxa"/>
          </w:tcPr>
          <w:p w14:paraId="744E75E0" w14:textId="77777777" w:rsidR="005C07DA" w:rsidRDefault="004172AA">
            <w:pPr>
              <w:jc w:val="both"/>
              <w:rPr>
                <w:rFonts w:ascii="Arial" w:eastAsia="Arial" w:hAnsi="Arial" w:cs="Arial"/>
                <w:b/>
                <w:bCs/>
                <w:sz w:val="20"/>
                <w:szCs w:val="20"/>
              </w:rPr>
            </w:pPr>
            <w:r>
              <w:rPr>
                <w:rFonts w:ascii="Arial" w:eastAsia="Arial" w:hAnsi="Arial" w:cs="Arial"/>
                <w:b/>
                <w:bCs/>
                <w:sz w:val="20"/>
                <w:szCs w:val="20"/>
              </w:rPr>
              <w:lastRenderedPageBreak/>
              <w:t>Publication Features</w:t>
            </w:r>
          </w:p>
        </w:tc>
        <w:tc>
          <w:tcPr>
            <w:tcW w:w="3376" w:type="dxa"/>
          </w:tcPr>
          <w:p w14:paraId="010CFCA1" w14:textId="77777777" w:rsidR="005C07DA" w:rsidRDefault="004172AA">
            <w:pPr>
              <w:jc w:val="both"/>
              <w:rPr>
                <w:rFonts w:ascii="Arial" w:eastAsia="Arial" w:hAnsi="Arial" w:cs="Arial"/>
                <w:sz w:val="20"/>
                <w:szCs w:val="20"/>
              </w:rPr>
            </w:pPr>
            <w:r>
              <w:rPr>
                <w:rFonts w:ascii="Arial" w:eastAsia="Arial" w:hAnsi="Arial" w:cs="Arial"/>
                <w:sz w:val="20"/>
                <w:szCs w:val="20"/>
              </w:rPr>
              <w:t>Peer-reviewed journal articles in English, 2020–2025.</w:t>
            </w:r>
          </w:p>
        </w:tc>
        <w:tc>
          <w:tcPr>
            <w:tcW w:w="3104" w:type="dxa"/>
          </w:tcPr>
          <w:p w14:paraId="6A444F7A" w14:textId="4601913A" w:rsidR="005C07DA" w:rsidRDefault="004172AA">
            <w:pPr>
              <w:jc w:val="both"/>
              <w:rPr>
                <w:rFonts w:ascii="Arial" w:eastAsia="Arial" w:hAnsi="Arial" w:cs="Arial"/>
                <w:sz w:val="20"/>
                <w:szCs w:val="20"/>
              </w:rPr>
            </w:pPr>
            <w:r>
              <w:rPr>
                <w:rFonts w:ascii="Arial" w:eastAsia="Arial" w:hAnsi="Arial" w:cs="Arial"/>
                <w:sz w:val="20"/>
                <w:szCs w:val="20"/>
              </w:rPr>
              <w:t xml:space="preserve">Preprints, theses, grey literature, non-English, or outside </w:t>
            </w:r>
            <w:r w:rsidR="00711A89">
              <w:rPr>
                <w:rFonts w:ascii="Arial" w:eastAsia="Arial" w:hAnsi="Arial" w:cs="Arial"/>
                <w:sz w:val="20"/>
                <w:szCs w:val="20"/>
              </w:rPr>
              <w:t xml:space="preserve">the </w:t>
            </w:r>
            <w:r>
              <w:rPr>
                <w:rFonts w:ascii="Arial" w:eastAsia="Arial" w:hAnsi="Arial" w:cs="Arial"/>
                <w:sz w:val="20"/>
                <w:szCs w:val="20"/>
              </w:rPr>
              <w:t>timeframe.</w:t>
            </w:r>
          </w:p>
        </w:tc>
      </w:tr>
    </w:tbl>
    <w:p w14:paraId="68234C53" w14:textId="77777777" w:rsidR="005C07DA" w:rsidRDefault="005C07DA">
      <w:pPr>
        <w:jc w:val="both"/>
        <w:rPr>
          <w:rFonts w:ascii="Arial" w:eastAsia="Arial" w:hAnsi="Arial" w:cs="Arial"/>
          <w:sz w:val="20"/>
          <w:szCs w:val="20"/>
        </w:rPr>
      </w:pPr>
    </w:p>
    <w:p w14:paraId="2D33F308" w14:textId="77777777" w:rsidR="005C07DA" w:rsidRDefault="004172AA">
      <w:pPr>
        <w:jc w:val="both"/>
        <w:rPr>
          <w:rFonts w:ascii="Arial" w:eastAsia="Arial" w:hAnsi="Arial" w:cs="Arial"/>
          <w:b/>
          <w:bCs/>
          <w:sz w:val="20"/>
          <w:szCs w:val="20"/>
        </w:rPr>
      </w:pPr>
      <w:r>
        <w:rPr>
          <w:rFonts w:ascii="Arial" w:eastAsia="Arial" w:hAnsi="Arial" w:cs="Arial"/>
          <w:b/>
          <w:bCs/>
          <w:sz w:val="20"/>
          <w:szCs w:val="20"/>
        </w:rPr>
        <w:t>2.3 Information Sources</w:t>
      </w:r>
    </w:p>
    <w:p w14:paraId="3CFF3C71" w14:textId="560027AD" w:rsidR="005C07DA" w:rsidRDefault="004172AA">
      <w:pPr>
        <w:jc w:val="both"/>
        <w:rPr>
          <w:rFonts w:ascii="Arial" w:eastAsia="Arial" w:hAnsi="Arial" w:cs="Arial"/>
          <w:sz w:val="20"/>
          <w:szCs w:val="20"/>
        </w:rPr>
      </w:pPr>
      <w:r>
        <w:rPr>
          <w:rFonts w:ascii="Arial" w:eastAsia="Arial" w:hAnsi="Arial" w:cs="Arial"/>
          <w:sz w:val="20"/>
          <w:szCs w:val="20"/>
        </w:rPr>
        <w:t xml:space="preserve">The retrieval process was restricted to peer-reviewed literature indexed in two databases selected for their coverage of civil engineering, construction management, and analytics: The ASCE Library and Scopus. It is evident that no grey literature sources were consulted in the course of the research. Furthermore, the search was not supplemented by hand-searching of conference proceedings or </w:t>
      </w:r>
      <w:r w:rsidR="00711A89">
        <w:rPr>
          <w:rFonts w:ascii="Arial" w:eastAsia="Arial" w:hAnsi="Arial" w:cs="Arial"/>
          <w:sz w:val="20"/>
          <w:szCs w:val="20"/>
        </w:rPr>
        <w:t>organizational</w:t>
      </w:r>
      <w:r>
        <w:rPr>
          <w:rFonts w:ascii="Arial" w:eastAsia="Arial" w:hAnsi="Arial" w:cs="Arial"/>
          <w:sz w:val="20"/>
          <w:szCs w:val="20"/>
        </w:rPr>
        <w:t xml:space="preserve"> reports. The exportation of all records to a reference manager was undertaken for the purpose of de-duplication. Subsequently, dual independent screening was conducted at the title/abstract and full-text stages, with discrepancies resolved through consensus.</w:t>
      </w:r>
    </w:p>
    <w:p w14:paraId="26BEA048" w14:textId="77777777" w:rsidR="005C07DA" w:rsidRDefault="004172AA">
      <w:pPr>
        <w:jc w:val="both"/>
        <w:rPr>
          <w:rFonts w:ascii="Arial" w:eastAsia="Arial" w:hAnsi="Arial" w:cs="Arial"/>
          <w:b/>
          <w:bCs/>
          <w:sz w:val="20"/>
          <w:szCs w:val="20"/>
        </w:rPr>
      </w:pPr>
      <w:r>
        <w:rPr>
          <w:rFonts w:ascii="Arial" w:eastAsia="Arial" w:hAnsi="Arial" w:cs="Arial"/>
          <w:b/>
          <w:bCs/>
          <w:sz w:val="20"/>
          <w:szCs w:val="20"/>
        </w:rPr>
        <w:t>2.4 Search Strategy</w:t>
      </w:r>
    </w:p>
    <w:p w14:paraId="7A17ACD7" w14:textId="28900EBE" w:rsidR="005C07DA" w:rsidRDefault="004172AA">
      <w:pPr>
        <w:jc w:val="both"/>
        <w:rPr>
          <w:rFonts w:ascii="Arial" w:eastAsia="Arial" w:hAnsi="Arial" w:cs="Arial"/>
          <w:sz w:val="20"/>
          <w:szCs w:val="20"/>
        </w:rPr>
      </w:pPr>
      <w:r>
        <w:rPr>
          <w:rFonts w:ascii="Arial" w:eastAsia="Arial" w:hAnsi="Arial" w:cs="Arial"/>
          <w:sz w:val="20"/>
          <w:szCs w:val="20"/>
        </w:rPr>
        <w:t xml:space="preserve">A series of database-specific strategies </w:t>
      </w:r>
      <w:r w:rsidR="00711A89">
        <w:rPr>
          <w:rFonts w:ascii="Arial" w:eastAsia="Arial" w:hAnsi="Arial" w:cs="Arial"/>
          <w:sz w:val="20"/>
          <w:szCs w:val="20"/>
        </w:rPr>
        <w:t>was</w:t>
      </w:r>
      <w:r>
        <w:rPr>
          <w:rFonts w:ascii="Arial" w:eastAsia="Arial" w:hAnsi="Arial" w:cs="Arial"/>
          <w:sz w:val="20"/>
          <w:szCs w:val="20"/>
        </w:rPr>
        <w:t xml:space="preserve"> developed, combining controlled terms (where available) and free-text keywords for the PCC elements (construction/infrastructure projects; predictive analytics; project cost, time and risk outcomes), with a focus on sensitivity over specificity. Using the filters available, results were confined to English peer-reviewed journal articles between 2015 and 2025. An attempt was made to capture the refinement of the strategies to achieve the retrieval of relevant studies across the different types of projects and families of models. A comprehensive account of the search strings is illustrated in Table 2</w:t>
      </w:r>
      <w:r w:rsidR="00711A89">
        <w:rPr>
          <w:rFonts w:ascii="Arial" w:eastAsia="Arial" w:hAnsi="Arial" w:cs="Arial"/>
          <w:sz w:val="20"/>
          <w:szCs w:val="20"/>
        </w:rPr>
        <w:t>,</w:t>
      </w:r>
      <w:r>
        <w:rPr>
          <w:rFonts w:ascii="Arial" w:eastAsia="Arial" w:hAnsi="Arial" w:cs="Arial"/>
          <w:sz w:val="20"/>
          <w:szCs w:val="20"/>
        </w:rPr>
        <w:t xml:space="preserve"> which describes the sets of search terms individually used for each of the databases.</w:t>
      </w:r>
    </w:p>
    <w:p w14:paraId="794EA744" w14:textId="77777777" w:rsidR="005C07DA" w:rsidRDefault="004172AA">
      <w:pPr>
        <w:jc w:val="center"/>
        <w:rPr>
          <w:rFonts w:ascii="Arial" w:eastAsia="Arial" w:hAnsi="Arial" w:cs="Arial"/>
          <w:sz w:val="20"/>
          <w:szCs w:val="20"/>
        </w:rPr>
      </w:pPr>
      <w:r>
        <w:rPr>
          <w:rFonts w:ascii="Arial" w:eastAsia="Arial" w:hAnsi="Arial" w:cs="Arial"/>
          <w:b/>
          <w:bCs/>
          <w:sz w:val="20"/>
          <w:szCs w:val="20"/>
        </w:rPr>
        <w:t>Table 2 Search String</w:t>
      </w:r>
    </w:p>
    <w:tbl>
      <w:tblPr>
        <w:tblStyle w:val="a7"/>
        <w:tblW w:w="9360" w:type="dxa"/>
        <w:tblInd w:w="0" w:type="dxa"/>
        <w:tblBorders>
          <w:top w:val="nil"/>
          <w:bottom w:val="nil"/>
          <w:insideH w:val="single" w:sz="4" w:space="0" w:color="000000"/>
        </w:tblBorders>
        <w:tblLayout w:type="fixed"/>
        <w:tblLook w:val="04A0" w:firstRow="1" w:lastRow="0" w:firstColumn="1" w:lastColumn="0" w:noHBand="0" w:noVBand="1"/>
      </w:tblPr>
      <w:tblGrid>
        <w:gridCol w:w="4610"/>
        <w:gridCol w:w="4750"/>
      </w:tblGrid>
      <w:tr w:rsidR="005C07DA" w14:paraId="331C3FA0" w14:textId="77777777" w:rsidTr="005C07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0" w:type="dxa"/>
            <w:tcBorders>
              <w:bottom w:val="nil"/>
            </w:tcBorders>
          </w:tcPr>
          <w:p w14:paraId="5973E2F3" w14:textId="77777777" w:rsidR="005C07DA" w:rsidRDefault="004172AA">
            <w:pPr>
              <w:jc w:val="both"/>
              <w:rPr>
                <w:rFonts w:ascii="Arial" w:eastAsia="Arial" w:hAnsi="Arial" w:cs="Arial"/>
                <w:sz w:val="20"/>
                <w:szCs w:val="20"/>
              </w:rPr>
            </w:pPr>
            <w:r>
              <w:rPr>
                <w:rFonts w:ascii="Arial" w:eastAsia="Arial" w:hAnsi="Arial" w:cs="Arial"/>
                <w:b w:val="0"/>
                <w:bCs w:val="0"/>
                <w:sz w:val="20"/>
                <w:szCs w:val="20"/>
              </w:rPr>
              <w:t>Database</w:t>
            </w:r>
          </w:p>
        </w:tc>
        <w:tc>
          <w:tcPr>
            <w:tcW w:w="4750" w:type="dxa"/>
            <w:tcBorders>
              <w:bottom w:val="nil"/>
            </w:tcBorders>
          </w:tcPr>
          <w:p w14:paraId="4DD658DF" w14:textId="77777777" w:rsidR="005C07DA" w:rsidRDefault="004172AA">
            <w:pPr>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b w:val="0"/>
                <w:bCs w:val="0"/>
                <w:sz w:val="20"/>
                <w:szCs w:val="20"/>
              </w:rPr>
              <w:t>Search String</w:t>
            </w:r>
          </w:p>
        </w:tc>
      </w:tr>
      <w:tr w:rsidR="005C07DA" w14:paraId="3EFA535C" w14:textId="77777777" w:rsidTr="005C07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0" w:type="dxa"/>
            <w:tcBorders>
              <w:top w:val="nil"/>
              <w:bottom w:val="nil"/>
            </w:tcBorders>
          </w:tcPr>
          <w:p w14:paraId="5DC1A415" w14:textId="77777777" w:rsidR="005C07DA" w:rsidRDefault="004172AA">
            <w:pPr>
              <w:jc w:val="both"/>
              <w:rPr>
                <w:rFonts w:ascii="Arial" w:eastAsia="Arial" w:hAnsi="Arial" w:cs="Arial"/>
                <w:sz w:val="20"/>
                <w:szCs w:val="20"/>
              </w:rPr>
            </w:pPr>
            <w:r>
              <w:rPr>
                <w:rFonts w:ascii="Arial" w:eastAsia="Arial" w:hAnsi="Arial" w:cs="Arial"/>
                <w:sz w:val="20"/>
                <w:szCs w:val="20"/>
              </w:rPr>
              <w:t>ASCE Library</w:t>
            </w:r>
          </w:p>
        </w:tc>
        <w:tc>
          <w:tcPr>
            <w:tcW w:w="4750" w:type="dxa"/>
            <w:tcBorders>
              <w:top w:val="nil"/>
              <w:bottom w:val="nil"/>
            </w:tcBorders>
          </w:tcPr>
          <w:p w14:paraId="68C093FE" w14:textId="77777777" w:rsidR="005C07DA" w:rsidRDefault="004172AA">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(("predictive analytics" OR "machine learning" OR "artificial intelligence" OR "data analytics") AND (construction OR "infrastructure project*" OR "civil engineering project*") AND (risk OR delay OR schedule* OR "time overrun*" OR "cost overrun*" OR contingency OR performance)) Filters: Journal articles; English; 2015–2025.</w:t>
            </w:r>
          </w:p>
        </w:tc>
      </w:tr>
      <w:tr w:rsidR="005C07DA" w14:paraId="3A47DF40" w14:textId="77777777" w:rsidTr="005C07DA">
        <w:tc>
          <w:tcPr>
            <w:cnfStyle w:val="001000000000" w:firstRow="0" w:lastRow="0" w:firstColumn="1" w:lastColumn="0" w:oddVBand="0" w:evenVBand="0" w:oddHBand="0" w:evenHBand="0" w:firstRowFirstColumn="0" w:firstRowLastColumn="0" w:lastRowFirstColumn="0" w:lastRowLastColumn="0"/>
            <w:tcW w:w="4610" w:type="dxa"/>
          </w:tcPr>
          <w:p w14:paraId="245CD354" w14:textId="77777777" w:rsidR="005C07DA" w:rsidRDefault="004172AA">
            <w:pPr>
              <w:jc w:val="both"/>
              <w:rPr>
                <w:rFonts w:ascii="Arial" w:eastAsia="Arial" w:hAnsi="Arial" w:cs="Arial"/>
                <w:sz w:val="20"/>
                <w:szCs w:val="20"/>
              </w:rPr>
            </w:pPr>
            <w:r>
              <w:rPr>
                <w:rFonts w:ascii="Arial" w:eastAsia="Arial" w:hAnsi="Arial" w:cs="Arial"/>
                <w:sz w:val="20"/>
                <w:szCs w:val="20"/>
              </w:rPr>
              <w:t>Scopus</w:t>
            </w:r>
          </w:p>
        </w:tc>
        <w:tc>
          <w:tcPr>
            <w:tcW w:w="4750" w:type="dxa"/>
          </w:tcPr>
          <w:p w14:paraId="18240E5E" w14:textId="77777777" w:rsidR="005C07DA" w:rsidRDefault="004172AA">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(TITLE-ABS-KEY("predictive analytics" OR "machine learning" OR "artificial intelligence" OR "data analytics") AND TITLE-ABS-KEY(construction OR "infrastructure project*" OR "civil engineering project*") AND TITLE-ABS-KEY(risk OR delay OR schedule* OR "time overrun*" OR "cost overrun*" OR contingency OR performance)) AND (LIMIT-TO(DOCTYPE, "</w:t>
            </w:r>
            <w:proofErr w:type="spellStart"/>
            <w:r>
              <w:rPr>
                <w:rFonts w:ascii="Arial" w:eastAsia="Arial" w:hAnsi="Arial" w:cs="Arial"/>
                <w:sz w:val="20"/>
                <w:szCs w:val="20"/>
              </w:rPr>
              <w:t>ar</w:t>
            </w:r>
            <w:proofErr w:type="spellEnd"/>
            <w:r>
              <w:rPr>
                <w:rFonts w:ascii="Arial" w:eastAsia="Arial" w:hAnsi="Arial" w:cs="Arial"/>
                <w:sz w:val="20"/>
                <w:szCs w:val="20"/>
              </w:rPr>
              <w:t>")) AND (LIMIT-TO(LANGUAGE, "English")) AND (PUBYEAR &gt; 2014 AND PUBYEAR &lt; 2026).</w:t>
            </w:r>
          </w:p>
        </w:tc>
      </w:tr>
    </w:tbl>
    <w:p w14:paraId="724C6F71" w14:textId="77777777" w:rsidR="005C07DA" w:rsidRDefault="005C07DA">
      <w:pPr>
        <w:jc w:val="both"/>
        <w:rPr>
          <w:rFonts w:ascii="Arial" w:eastAsia="Arial" w:hAnsi="Arial" w:cs="Arial"/>
          <w:sz w:val="20"/>
          <w:szCs w:val="20"/>
        </w:rPr>
      </w:pPr>
    </w:p>
    <w:p w14:paraId="795C300B" w14:textId="77777777" w:rsidR="005C07DA" w:rsidRDefault="004172AA">
      <w:pPr>
        <w:jc w:val="both"/>
        <w:rPr>
          <w:rFonts w:ascii="Arial" w:eastAsia="Arial" w:hAnsi="Arial" w:cs="Arial"/>
          <w:b/>
          <w:bCs/>
          <w:sz w:val="20"/>
          <w:szCs w:val="20"/>
        </w:rPr>
      </w:pPr>
      <w:r>
        <w:rPr>
          <w:rFonts w:ascii="Arial" w:eastAsia="Arial" w:hAnsi="Arial" w:cs="Arial"/>
          <w:b/>
          <w:bCs/>
          <w:sz w:val="20"/>
          <w:szCs w:val="20"/>
        </w:rPr>
        <w:t>2.5 Data Extraction and Synthesis</w:t>
      </w:r>
    </w:p>
    <w:p w14:paraId="60AC08B6" w14:textId="6DE9BB18" w:rsidR="005C07DA" w:rsidRDefault="004172AA">
      <w:pPr>
        <w:jc w:val="both"/>
        <w:rPr>
          <w:rFonts w:ascii="Arial" w:eastAsia="Arial" w:hAnsi="Arial" w:cs="Arial"/>
          <w:sz w:val="20"/>
          <w:szCs w:val="20"/>
        </w:rPr>
      </w:pPr>
      <w:r>
        <w:rPr>
          <w:rFonts w:ascii="Arial" w:eastAsia="Arial" w:hAnsi="Arial" w:cs="Arial"/>
          <w:sz w:val="20"/>
          <w:szCs w:val="20"/>
        </w:rPr>
        <w:t xml:space="preserve">The data charting process </w:t>
      </w:r>
      <w:r w:rsidR="00711A89">
        <w:rPr>
          <w:rFonts w:ascii="Arial" w:eastAsia="Arial" w:hAnsi="Arial" w:cs="Arial"/>
          <w:sz w:val="20"/>
          <w:szCs w:val="20"/>
        </w:rPr>
        <w:t>utilized a standardized</w:t>
      </w:r>
      <w:r>
        <w:rPr>
          <w:rFonts w:ascii="Arial" w:eastAsia="Arial" w:hAnsi="Arial" w:cs="Arial"/>
          <w:sz w:val="20"/>
          <w:szCs w:val="20"/>
        </w:rPr>
        <w:t xml:space="preserve"> template that was initially evaluated through a trial subset of studies and subsequently refined. The following variables were extracted: bibliographic details (author, </w:t>
      </w:r>
      <w:r>
        <w:rPr>
          <w:rFonts w:ascii="Arial" w:eastAsia="Arial" w:hAnsi="Arial" w:cs="Arial"/>
          <w:sz w:val="20"/>
          <w:szCs w:val="20"/>
        </w:rPr>
        <w:lastRenderedPageBreak/>
        <w:t>year, journal); country/region and project type; prediction focus (cost, time/delay, risk/contingency, productivity/performance); data source and sample characteristics; predictive technique(s) employed (e.g. Random Forest, ANN, SVM, gradient boosting, regression, hybrid/metaheuristic models); key input variables or feature groups; validation approaches and performance metrics; and main findings and implications for project delivery efficiency.</w:t>
      </w:r>
    </w:p>
    <w:p w14:paraId="41B64FC0" w14:textId="559AB46A" w:rsidR="00EC4597" w:rsidRPr="00EC4597" w:rsidRDefault="00EC4597">
      <w:pPr>
        <w:jc w:val="both"/>
        <w:rPr>
          <w:rFonts w:ascii="Arial" w:eastAsia="Arial" w:hAnsi="Arial" w:cs="Arial"/>
          <w:color w:val="00B050"/>
          <w:sz w:val="20"/>
          <w:szCs w:val="20"/>
        </w:rPr>
      </w:pPr>
      <w:r w:rsidRPr="00EC4597">
        <w:rPr>
          <w:rFonts w:ascii="Arial" w:eastAsia="Arial" w:hAnsi="Arial" w:cs="Arial"/>
          <w:color w:val="00B050"/>
          <w:sz w:val="20"/>
          <w:szCs w:val="20"/>
        </w:rPr>
        <w:t xml:space="preserve">The synthesis was mapping-oriented and descriptive, rather than estimating effects. A numerical summary was produced, encompassing counts by year of publication, geographical location (developed versus developing contexts), model family, project type, and focus of outcomes. For each study, the </w:t>
      </w:r>
      <w:r w:rsidR="0042770E">
        <w:rPr>
          <w:rFonts w:ascii="Arial" w:eastAsia="Arial" w:hAnsi="Arial" w:cs="Arial"/>
          <w:color w:val="00B050"/>
          <w:sz w:val="20"/>
          <w:szCs w:val="20"/>
        </w:rPr>
        <w:t>validation strategy, reported metrics and baseline comparators</w:t>
      </w:r>
      <w:r w:rsidRPr="00EC4597">
        <w:rPr>
          <w:rFonts w:ascii="Arial" w:eastAsia="Arial" w:hAnsi="Arial" w:cs="Arial"/>
          <w:color w:val="00B050"/>
          <w:sz w:val="20"/>
          <w:szCs w:val="20"/>
        </w:rPr>
        <w:t xml:space="preserve"> were recorded, as were instances where hybrid models or machine learning outperformed other conventional benchmarks or regression. Due to the heterogeneity of evaluation metrics and input variables, project types, no statistical pooling of effect sizes or formal meta-analysis</w:t>
      </w:r>
      <w:r w:rsidR="0042770E">
        <w:rPr>
          <w:rFonts w:ascii="Arial" w:eastAsia="Arial" w:hAnsi="Arial" w:cs="Arial"/>
          <w:color w:val="00B050"/>
          <w:sz w:val="20"/>
          <w:szCs w:val="20"/>
        </w:rPr>
        <w:t xml:space="preserve"> </w:t>
      </w:r>
      <w:r w:rsidRPr="00EC4597">
        <w:rPr>
          <w:rFonts w:ascii="Arial" w:eastAsia="Arial" w:hAnsi="Arial" w:cs="Arial"/>
          <w:color w:val="00B050"/>
          <w:sz w:val="20"/>
          <w:szCs w:val="20"/>
        </w:rPr>
        <w:t>was attempted. Instead, the studies were grouped into three themes derived inductively: predictive cost modelling, investment and contingency modelling; forecasting time delays and schedule performance; and data structures, modelling strategies and integration challenges. These themes structure the 'Results' section and underpin the comparative analysis in the 'Discussion'.</w:t>
      </w:r>
    </w:p>
    <w:p w14:paraId="4EE30D78" w14:textId="7ABD0D5B" w:rsidR="005C07DA" w:rsidRDefault="004172AA">
      <w:pPr>
        <w:jc w:val="both"/>
        <w:rPr>
          <w:rFonts w:ascii="Arial" w:eastAsia="Arial" w:hAnsi="Arial" w:cs="Arial"/>
          <w:b/>
          <w:bCs/>
          <w:sz w:val="20"/>
          <w:szCs w:val="20"/>
        </w:rPr>
      </w:pPr>
      <w:r>
        <w:rPr>
          <w:rFonts w:ascii="Arial" w:eastAsia="Arial" w:hAnsi="Arial" w:cs="Arial"/>
          <w:b/>
          <w:bCs/>
          <w:sz w:val="20"/>
          <w:szCs w:val="20"/>
        </w:rPr>
        <w:t>3.0 Result</w:t>
      </w:r>
    </w:p>
    <w:p w14:paraId="778887FC" w14:textId="77777777" w:rsidR="005C07DA" w:rsidRDefault="004172AA">
      <w:pPr>
        <w:jc w:val="both"/>
        <w:rPr>
          <w:rFonts w:ascii="Arial" w:eastAsia="Arial" w:hAnsi="Arial" w:cs="Arial"/>
          <w:b/>
          <w:bCs/>
          <w:sz w:val="20"/>
          <w:szCs w:val="20"/>
        </w:rPr>
      </w:pPr>
      <w:r>
        <w:rPr>
          <w:rFonts w:ascii="Arial" w:eastAsia="Arial" w:hAnsi="Arial" w:cs="Arial"/>
          <w:b/>
          <w:bCs/>
          <w:sz w:val="20"/>
          <w:szCs w:val="20"/>
        </w:rPr>
        <w:t>3.1 Screening and selection.</w:t>
      </w:r>
    </w:p>
    <w:p w14:paraId="4BD5D51E" w14:textId="264BF7DA" w:rsidR="005C07DA" w:rsidRDefault="004172AA">
      <w:pPr>
        <w:jc w:val="both"/>
        <w:rPr>
          <w:rFonts w:ascii="Arial" w:eastAsia="Arial" w:hAnsi="Arial" w:cs="Arial"/>
          <w:sz w:val="20"/>
          <w:szCs w:val="20"/>
        </w:rPr>
      </w:pPr>
      <w:r>
        <w:rPr>
          <w:rFonts w:ascii="Arial" w:eastAsia="Arial" w:hAnsi="Arial" w:cs="Arial"/>
          <w:sz w:val="20"/>
          <w:szCs w:val="20"/>
        </w:rPr>
        <w:t xml:space="preserve">The database search yielded 496 records, of which 249 duplicates were removed, leaving 247 unique records. After title–abstract screening against the criteria above, 80 papers were retained for full-text assessment. Sixty-two papers were excluded at this stage (Reason 1 – narrative reviews, systematic reviews, editorials, letters, protocols without results, and conference abstracts without full text = 32; Reason 2 – laboratory-only or synthetic projects, purely simulated or hypothetical projects without calibration to real project data, and student/educational projects not executed in practice = 12; Reason 3 – studies without a predictive component, descriptive analytics only or dashboards without forecasting, qualitative management studies, conceptual/editorial pieces, and models with no performance evaluation or comparison = 11; Reason 4 – preprints, theses, grey literature, non-English publications, or studies outside the timeframe = 7). Finally, 18 studies met all criteria and were </w:t>
      </w:r>
      <w:r w:rsidR="00711A89">
        <w:rPr>
          <w:rFonts w:ascii="Arial" w:eastAsia="Arial" w:hAnsi="Arial" w:cs="Arial"/>
          <w:sz w:val="20"/>
          <w:szCs w:val="20"/>
        </w:rPr>
        <w:t>synthesized</w:t>
      </w:r>
      <w:r>
        <w:rPr>
          <w:rFonts w:ascii="Arial" w:eastAsia="Arial" w:hAnsi="Arial" w:cs="Arial"/>
          <w:sz w:val="20"/>
          <w:szCs w:val="20"/>
        </w:rPr>
        <w:t xml:space="preserve"> (Fig. 1).</w:t>
      </w:r>
    </w:p>
    <w:p w14:paraId="655DC26D" w14:textId="77777777" w:rsidR="005C07DA" w:rsidRDefault="005C07DA">
      <w:pPr>
        <w:jc w:val="both"/>
        <w:rPr>
          <w:rFonts w:ascii="Arial" w:eastAsia="Arial" w:hAnsi="Arial" w:cs="Arial"/>
          <w:sz w:val="20"/>
          <w:szCs w:val="20"/>
        </w:rPr>
      </w:pPr>
    </w:p>
    <w:p w14:paraId="58F8CA54" w14:textId="77777777" w:rsidR="005C07DA" w:rsidRDefault="004172AA">
      <w:pPr>
        <w:jc w:val="both"/>
        <w:rPr>
          <w:rFonts w:ascii="Arial" w:eastAsia="Arial" w:hAnsi="Arial" w:cs="Arial"/>
          <w:sz w:val="20"/>
          <w:szCs w:val="20"/>
        </w:rPr>
      </w:pPr>
      <w:r>
        <w:rPr>
          <w:rFonts w:ascii="Arial" w:eastAsia="Arial" w:hAnsi="Arial" w:cs="Arial"/>
          <w:noProof/>
          <w:sz w:val="20"/>
          <w:szCs w:val="20"/>
        </w:rPr>
        <w:lastRenderedPageBreak/>
        <w:drawing>
          <wp:inline distT="0" distB="0" distL="0" distR="0" wp14:anchorId="6B91EFD0" wp14:editId="58A9DCF9">
            <wp:extent cx="4857808" cy="3436697"/>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857808" cy="3436697"/>
                    </a:xfrm>
                    <a:prstGeom prst="rect">
                      <a:avLst/>
                    </a:prstGeom>
                    <a:ln/>
                  </pic:spPr>
                </pic:pic>
              </a:graphicData>
            </a:graphic>
          </wp:inline>
        </w:drawing>
      </w:r>
    </w:p>
    <w:p w14:paraId="5B76E695" w14:textId="4DA995AB" w:rsidR="005C07DA" w:rsidRDefault="004172AA">
      <w:pPr>
        <w:jc w:val="center"/>
        <w:rPr>
          <w:rFonts w:ascii="Arial" w:eastAsia="Arial" w:hAnsi="Arial" w:cs="Arial"/>
          <w:b/>
          <w:bCs/>
          <w:sz w:val="20"/>
          <w:szCs w:val="20"/>
        </w:rPr>
      </w:pPr>
      <w:r>
        <w:rPr>
          <w:rFonts w:ascii="Arial" w:eastAsia="Arial" w:hAnsi="Arial" w:cs="Arial"/>
          <w:b/>
          <w:bCs/>
          <w:sz w:val="20"/>
          <w:szCs w:val="20"/>
        </w:rPr>
        <w:t xml:space="preserve">Figure 1: </w:t>
      </w:r>
      <w:r w:rsidR="00223074" w:rsidRPr="00223074">
        <w:rPr>
          <w:rFonts w:ascii="Arial" w:eastAsia="Arial" w:hAnsi="Arial" w:cs="Arial"/>
          <w:b/>
          <w:bCs/>
          <w:sz w:val="20"/>
          <w:szCs w:val="20"/>
        </w:rPr>
        <w:t>PRISMA-</w:t>
      </w:r>
      <w:proofErr w:type="spellStart"/>
      <w:r w:rsidR="00223074" w:rsidRPr="00223074">
        <w:rPr>
          <w:rFonts w:ascii="Arial" w:eastAsia="Arial" w:hAnsi="Arial" w:cs="Arial"/>
          <w:b/>
          <w:bCs/>
          <w:sz w:val="20"/>
          <w:szCs w:val="20"/>
        </w:rPr>
        <w:t>ScR</w:t>
      </w:r>
      <w:proofErr w:type="spellEnd"/>
      <w:r w:rsidR="00223074" w:rsidRPr="00223074">
        <w:rPr>
          <w:rFonts w:ascii="Arial" w:eastAsia="Arial" w:hAnsi="Arial" w:cs="Arial"/>
          <w:b/>
          <w:bCs/>
          <w:sz w:val="20"/>
          <w:szCs w:val="20"/>
        </w:rPr>
        <w:t xml:space="preserve"> flow diagram of study selection.</w:t>
      </w:r>
    </w:p>
    <w:p w14:paraId="7B78DBCF" w14:textId="77777777" w:rsidR="005C07DA" w:rsidRDefault="004172AA">
      <w:pPr>
        <w:jc w:val="both"/>
        <w:rPr>
          <w:rFonts w:ascii="Arial" w:eastAsia="Arial" w:hAnsi="Arial" w:cs="Arial"/>
          <w:b/>
          <w:bCs/>
          <w:sz w:val="20"/>
          <w:szCs w:val="20"/>
        </w:rPr>
      </w:pPr>
      <w:r>
        <w:rPr>
          <w:rFonts w:ascii="Arial" w:eastAsia="Arial" w:hAnsi="Arial" w:cs="Arial"/>
          <w:b/>
          <w:bCs/>
          <w:sz w:val="20"/>
          <w:szCs w:val="20"/>
        </w:rPr>
        <w:t>3.2 Summary of Study Characteristics</w:t>
      </w:r>
    </w:p>
    <w:p w14:paraId="669593CD" w14:textId="57EA4574" w:rsidR="005C07DA" w:rsidRDefault="00223074">
      <w:pPr>
        <w:jc w:val="both"/>
        <w:rPr>
          <w:rFonts w:ascii="Arial" w:eastAsia="Arial" w:hAnsi="Arial" w:cs="Arial"/>
          <w:sz w:val="20"/>
          <w:szCs w:val="20"/>
        </w:rPr>
      </w:pPr>
      <w:r w:rsidRPr="00223074">
        <w:rPr>
          <w:rFonts w:ascii="Arial" w:eastAsia="Arial" w:hAnsi="Arial" w:cs="Arial"/>
          <w:color w:val="00B050"/>
          <w:sz w:val="20"/>
          <w:szCs w:val="20"/>
        </w:rPr>
        <w:t xml:space="preserve">The 19 included studies (see Table 3) span the period from 2015 to 2025 and cover a wide range of project types, including high-rise residential projects, marine works, public buildings, highways, prefabricated concrete buildings, tunnels, and urban roads. These projects were carried out in </w:t>
      </w:r>
      <w:r>
        <w:rPr>
          <w:rFonts w:ascii="Arial" w:eastAsia="Arial" w:hAnsi="Arial" w:cs="Arial"/>
          <w:color w:val="00B050"/>
          <w:sz w:val="20"/>
          <w:szCs w:val="20"/>
        </w:rPr>
        <w:t xml:space="preserve">Jordan, Iran, China, Serbia, </w:t>
      </w:r>
      <w:r w:rsidRPr="00223074">
        <w:rPr>
          <w:rFonts w:ascii="Arial" w:eastAsia="Arial" w:hAnsi="Arial" w:cs="Arial"/>
          <w:color w:val="00B050"/>
          <w:sz w:val="20"/>
          <w:szCs w:val="20"/>
        </w:rPr>
        <w:t>Ethiopia,</w:t>
      </w:r>
      <w:r>
        <w:rPr>
          <w:rFonts w:ascii="Arial" w:eastAsia="Arial" w:hAnsi="Arial" w:cs="Arial"/>
          <w:color w:val="00B050"/>
          <w:sz w:val="20"/>
          <w:szCs w:val="20"/>
        </w:rPr>
        <w:t xml:space="preserve"> </w:t>
      </w:r>
      <w:r w:rsidRPr="00223074">
        <w:rPr>
          <w:rFonts w:ascii="Arial" w:eastAsia="Arial" w:hAnsi="Arial" w:cs="Arial"/>
          <w:color w:val="00B050"/>
          <w:sz w:val="20"/>
          <w:szCs w:val="20"/>
        </w:rPr>
        <w:t>Florida (USA), and other locations.</w:t>
      </w:r>
      <w:r>
        <w:rPr>
          <w:rFonts w:ascii="Arial" w:eastAsia="Arial" w:hAnsi="Arial" w:cs="Arial"/>
          <w:color w:val="00B050"/>
          <w:sz w:val="20"/>
          <w:szCs w:val="20"/>
        </w:rPr>
        <w:t xml:space="preserve"> </w:t>
      </w:r>
      <w:r w:rsidR="004172AA">
        <w:rPr>
          <w:rFonts w:ascii="Arial" w:eastAsia="Arial" w:hAnsi="Arial" w:cs="Arial"/>
          <w:sz w:val="20"/>
          <w:szCs w:val="20"/>
        </w:rPr>
        <w:t xml:space="preserve">The majority of these studies </w:t>
      </w:r>
      <w:r>
        <w:rPr>
          <w:rFonts w:ascii="Arial" w:eastAsia="Arial" w:hAnsi="Arial" w:cs="Arial"/>
          <w:sz w:val="20"/>
          <w:szCs w:val="20"/>
        </w:rPr>
        <w:t>utilize retrospective organizational</w:t>
      </w:r>
      <w:r w:rsidR="004172AA">
        <w:rPr>
          <w:rFonts w:ascii="Arial" w:eastAsia="Arial" w:hAnsi="Arial" w:cs="Arial"/>
          <w:sz w:val="20"/>
          <w:szCs w:val="20"/>
        </w:rPr>
        <w:t xml:space="preserve"> or project-level datasets, such as company cost records, BIM </w:t>
      </w:r>
      <w:proofErr w:type="spellStart"/>
      <w:r w:rsidR="004172AA">
        <w:rPr>
          <w:rFonts w:ascii="Arial" w:eastAsia="Arial" w:hAnsi="Arial" w:cs="Arial"/>
          <w:sz w:val="20"/>
          <w:szCs w:val="20"/>
        </w:rPr>
        <w:t>labour</w:t>
      </w:r>
      <w:proofErr w:type="spellEnd"/>
      <w:r w:rsidR="004172AA">
        <w:rPr>
          <w:rFonts w:ascii="Arial" w:eastAsia="Arial" w:hAnsi="Arial" w:cs="Arial"/>
          <w:sz w:val="20"/>
          <w:szCs w:val="20"/>
        </w:rPr>
        <w:t xml:space="preserve"> logs and government bid archives, or structured questionnaires designed to capture delay factors and project attributes. The outcomes of this study cluster around three main areas: (</w:t>
      </w:r>
      <w:proofErr w:type="spellStart"/>
      <w:r w:rsidR="004172AA">
        <w:rPr>
          <w:rFonts w:ascii="Arial" w:eastAsia="Arial" w:hAnsi="Arial" w:cs="Arial"/>
          <w:sz w:val="20"/>
          <w:szCs w:val="20"/>
        </w:rPr>
        <w:t>i</w:t>
      </w:r>
      <w:proofErr w:type="spellEnd"/>
      <w:r w:rsidR="004172AA">
        <w:rPr>
          <w:rFonts w:ascii="Arial" w:eastAsia="Arial" w:hAnsi="Arial" w:cs="Arial"/>
          <w:sz w:val="20"/>
          <w:szCs w:val="20"/>
        </w:rPr>
        <w:t xml:space="preserve">) cost or investment estimation, (ii) time/delay or duration prediction and (iii) cost-contingency or overrun risk. The predominant approach is machine learning rather than purely statistical, with frequent use of Artificial Neural Networks, Random Forests, Support Vector Machines, </w:t>
      </w:r>
      <w:proofErr w:type="spellStart"/>
      <w:r w:rsidR="004172AA">
        <w:rPr>
          <w:rFonts w:ascii="Arial" w:eastAsia="Arial" w:hAnsi="Arial" w:cs="Arial"/>
          <w:sz w:val="20"/>
          <w:szCs w:val="20"/>
        </w:rPr>
        <w:t>XGBoost</w:t>
      </w:r>
      <w:proofErr w:type="spellEnd"/>
      <w:r w:rsidR="004172AA">
        <w:rPr>
          <w:rFonts w:ascii="Arial" w:eastAsia="Arial" w:hAnsi="Arial" w:cs="Arial"/>
          <w:sz w:val="20"/>
          <w:szCs w:val="20"/>
        </w:rPr>
        <w:t xml:space="preserve">, Gaussian Process Regression, GRNN, and stacked ensembles. Several studies embed metaheuristic </w:t>
      </w:r>
      <w:r>
        <w:rPr>
          <w:rFonts w:ascii="Arial" w:eastAsia="Arial" w:hAnsi="Arial" w:cs="Arial"/>
          <w:sz w:val="20"/>
          <w:szCs w:val="20"/>
        </w:rPr>
        <w:t>optimizers</w:t>
      </w:r>
      <w:r w:rsidR="004172AA">
        <w:rPr>
          <w:rFonts w:ascii="Arial" w:eastAsia="Arial" w:hAnsi="Arial" w:cs="Arial"/>
          <w:sz w:val="20"/>
          <w:szCs w:val="20"/>
        </w:rPr>
        <w:t xml:space="preserve"> (e.g. Snake Optimizer, Genetic Algorithms, Bird Swarm, Grey Wolf) for feature selection or hyper-parameter tuning. The validation process predominantly employs train–test splits and error metrics (MAE, RMSE, MAPE, R², accuracy, kappa), with restricted external validation across projects and limited </w:t>
      </w:r>
      <w:r>
        <w:rPr>
          <w:rFonts w:ascii="Arial" w:eastAsia="Arial" w:hAnsi="Arial" w:cs="Arial"/>
          <w:sz w:val="20"/>
          <w:szCs w:val="20"/>
        </w:rPr>
        <w:t>multi-organization</w:t>
      </w:r>
      <w:r w:rsidR="004172AA">
        <w:rPr>
          <w:rFonts w:ascii="Arial" w:eastAsia="Arial" w:hAnsi="Arial" w:cs="Arial"/>
          <w:sz w:val="20"/>
          <w:szCs w:val="20"/>
        </w:rPr>
        <w:t xml:space="preserve"> benchmarking.</w:t>
      </w:r>
    </w:p>
    <w:p w14:paraId="13540634" w14:textId="77777777" w:rsidR="005C07DA" w:rsidRDefault="004172AA">
      <w:pPr>
        <w:jc w:val="both"/>
        <w:rPr>
          <w:rFonts w:ascii="Arial" w:eastAsia="Arial" w:hAnsi="Arial" w:cs="Arial"/>
          <w:b/>
          <w:bCs/>
          <w:sz w:val="20"/>
          <w:szCs w:val="20"/>
        </w:rPr>
      </w:pPr>
      <w:r>
        <w:rPr>
          <w:rFonts w:ascii="Arial" w:eastAsia="Arial" w:hAnsi="Arial" w:cs="Arial"/>
          <w:b/>
          <w:bCs/>
          <w:sz w:val="20"/>
          <w:szCs w:val="20"/>
        </w:rPr>
        <w:t>3.3 Thematic analysis</w:t>
      </w:r>
    </w:p>
    <w:p w14:paraId="197EAD7E" w14:textId="77777777" w:rsidR="005C07DA" w:rsidRDefault="004172AA">
      <w:pPr>
        <w:jc w:val="both"/>
        <w:rPr>
          <w:rFonts w:ascii="Arial" w:eastAsia="Arial" w:hAnsi="Arial" w:cs="Arial"/>
          <w:b/>
          <w:bCs/>
          <w:sz w:val="20"/>
          <w:szCs w:val="20"/>
        </w:rPr>
      </w:pPr>
      <w:r>
        <w:rPr>
          <w:rFonts w:ascii="Arial" w:eastAsia="Arial" w:hAnsi="Arial" w:cs="Arial"/>
          <w:b/>
          <w:bCs/>
          <w:sz w:val="20"/>
          <w:szCs w:val="20"/>
        </w:rPr>
        <w:t>Theme 1: Predictive Cost, Investment and Contingency Modelling</w:t>
      </w:r>
    </w:p>
    <w:p w14:paraId="2BD281E2" w14:textId="77777777" w:rsidR="005C07DA" w:rsidRDefault="004172AA">
      <w:pPr>
        <w:jc w:val="both"/>
        <w:rPr>
          <w:rFonts w:ascii="Arial" w:eastAsia="Arial" w:hAnsi="Arial" w:cs="Arial"/>
          <w:sz w:val="20"/>
          <w:szCs w:val="20"/>
        </w:rPr>
      </w:pPr>
      <w:r>
        <w:rPr>
          <w:rFonts w:ascii="Arial" w:eastAsia="Arial" w:hAnsi="Arial" w:cs="Arial"/>
          <w:sz w:val="20"/>
          <w:szCs w:val="20"/>
        </w:rPr>
        <w:t xml:space="preserve">The findings of the present study indicate that, in comparison with conventional methodologies, predictive analytics consistently enhances the estimation of construction costs, investment needs and contingencies across the included studies. Hyper-parameter-tuned neural networks have been shown to accurately </w:t>
      </w:r>
      <w:r>
        <w:rPr>
          <w:rFonts w:ascii="Arial" w:eastAsia="Arial" w:hAnsi="Arial" w:cs="Arial"/>
          <w:sz w:val="20"/>
          <w:szCs w:val="20"/>
        </w:rPr>
        <w:lastRenderedPageBreak/>
        <w:t xml:space="preserve">predict time and cost overruns using numerical project data, thereby demonstrating strong goodness-of-fit and error reduction for completed projects in Jordan (Al </w:t>
      </w:r>
      <w:proofErr w:type="spellStart"/>
      <w:r>
        <w:rPr>
          <w:rFonts w:ascii="Arial" w:eastAsia="Arial" w:hAnsi="Arial" w:cs="Arial"/>
          <w:sz w:val="20"/>
          <w:szCs w:val="20"/>
        </w:rPr>
        <w:t>mnaseer</w:t>
      </w:r>
      <w:proofErr w:type="spellEnd"/>
      <w:r>
        <w:rPr>
          <w:rFonts w:ascii="Arial" w:eastAsia="Arial" w:hAnsi="Arial" w:cs="Arial"/>
          <w:sz w:val="20"/>
          <w:szCs w:val="20"/>
        </w:rPr>
        <w:t xml:space="preserve"> et al., 2023). The BP network has been enhanced through the implementation of the Snake algorithm and Boruta feature selection, thereby facilitating enhanced early cost prediction for Chinese real-estate projects by pruning indicators to a more concise, informative subset (Cui &amp; Xia, 2023). Random Forest models have repeatedly been shown to outperform ANN and SVM models in terms of conceptual highway cost prediction in Ethiopia (</w:t>
      </w:r>
      <w:proofErr w:type="spellStart"/>
      <w:r>
        <w:rPr>
          <w:rFonts w:ascii="Arial" w:eastAsia="Arial" w:hAnsi="Arial" w:cs="Arial"/>
          <w:sz w:val="20"/>
          <w:szCs w:val="20"/>
        </w:rPr>
        <w:t>Meharie</w:t>
      </w:r>
      <w:proofErr w:type="spellEnd"/>
      <w:r>
        <w:rPr>
          <w:rFonts w:ascii="Arial" w:eastAsia="Arial" w:hAnsi="Arial" w:cs="Arial"/>
          <w:sz w:val="20"/>
          <w:szCs w:val="20"/>
        </w:rPr>
        <w:t xml:space="preserve"> &amp; Shaik, 2020) and for cost contingency estimation in Florida transportation projects (</w:t>
      </w:r>
      <w:proofErr w:type="spellStart"/>
      <w:r>
        <w:rPr>
          <w:rFonts w:ascii="Arial" w:eastAsia="Arial" w:hAnsi="Arial" w:cs="Arial"/>
          <w:sz w:val="20"/>
          <w:szCs w:val="20"/>
        </w:rPr>
        <w:t>Nindartin</w:t>
      </w:r>
      <w:proofErr w:type="spellEnd"/>
      <w:r>
        <w:rPr>
          <w:rFonts w:ascii="Arial" w:eastAsia="Arial" w:hAnsi="Arial" w:cs="Arial"/>
          <w:sz w:val="20"/>
          <w:szCs w:val="20"/>
        </w:rPr>
        <w:t xml:space="preserve"> et al., 2025). In the latter case, an SMOGN-enhanced RF model has revealed project amount, duration and location to be critical drivers.</w:t>
      </w:r>
    </w:p>
    <w:p w14:paraId="45CD7D0A" w14:textId="0CD00FF6" w:rsidR="005C07DA" w:rsidRDefault="004172AA">
      <w:pPr>
        <w:jc w:val="both"/>
        <w:rPr>
          <w:rFonts w:ascii="Arial" w:eastAsia="Arial" w:hAnsi="Arial" w:cs="Arial"/>
          <w:sz w:val="20"/>
          <w:szCs w:val="20"/>
        </w:rPr>
      </w:pPr>
      <w:r>
        <w:rPr>
          <w:rFonts w:ascii="Arial" w:eastAsia="Arial" w:hAnsi="Arial" w:cs="Arial"/>
          <w:sz w:val="20"/>
          <w:szCs w:val="20"/>
        </w:rPr>
        <w:t xml:space="preserve">The refinement of cost prediction is achieved through the application of domain-specific feature engineering. A hybrid RF and linear regression model, built on BIM cost-breakdown structures and effective floor area, has been shown to reduce </w:t>
      </w:r>
      <w:proofErr w:type="spellStart"/>
      <w:r>
        <w:rPr>
          <w:rFonts w:ascii="Arial" w:eastAsia="Arial" w:hAnsi="Arial" w:cs="Arial"/>
          <w:sz w:val="20"/>
          <w:szCs w:val="20"/>
        </w:rPr>
        <w:t>labour</w:t>
      </w:r>
      <w:proofErr w:type="spellEnd"/>
      <w:r>
        <w:rPr>
          <w:rFonts w:ascii="Arial" w:eastAsia="Arial" w:hAnsi="Arial" w:cs="Arial"/>
          <w:sz w:val="20"/>
          <w:szCs w:val="20"/>
        </w:rPr>
        <w:t>-cost estimation error for Taiwanese BIM projects (Huang &amp; Hsieh, 2020). The integration of macroeconomic indices with project variables, facilitated by deep feature learning using a DBM–SoftMax architecture in conjunction with BPNN or SVM, has been demonstrated to substantially reduce cost-estimation errors for mid-rise buildings (</w:t>
      </w:r>
      <w:proofErr w:type="spellStart"/>
      <w:r>
        <w:rPr>
          <w:rFonts w:ascii="Arial" w:eastAsia="Arial" w:hAnsi="Arial" w:cs="Arial"/>
          <w:sz w:val="20"/>
          <w:szCs w:val="20"/>
        </w:rPr>
        <w:t>Rafiei</w:t>
      </w:r>
      <w:proofErr w:type="spellEnd"/>
      <w:r>
        <w:rPr>
          <w:rFonts w:ascii="Arial" w:eastAsia="Arial" w:hAnsi="Arial" w:cs="Arial"/>
          <w:sz w:val="20"/>
          <w:szCs w:val="20"/>
        </w:rPr>
        <w:t xml:space="preserve"> &amp; Adeli, 2018). As Yan et al. (2022) demonstrate, </w:t>
      </w:r>
      <w:proofErr w:type="spellStart"/>
      <w:r>
        <w:rPr>
          <w:rFonts w:ascii="Arial" w:eastAsia="Arial" w:hAnsi="Arial" w:cs="Arial"/>
          <w:sz w:val="20"/>
          <w:szCs w:val="20"/>
        </w:rPr>
        <w:t>XGBoost</w:t>
      </w:r>
      <w:proofErr w:type="spellEnd"/>
      <w:r>
        <w:rPr>
          <w:rFonts w:ascii="Arial" w:eastAsia="Arial" w:hAnsi="Arial" w:cs="Arial"/>
          <w:sz w:val="20"/>
          <w:szCs w:val="20"/>
        </w:rPr>
        <w:t xml:space="preserve">-based models for prefabricated concrete buildings incorporate AHP-derived indices and quantify uncertainty, thereby improving investment estimation and interpretability. </w:t>
      </w:r>
      <w:r w:rsidR="00711A89">
        <w:rPr>
          <w:rFonts w:ascii="Arial" w:eastAsia="Arial" w:hAnsi="Arial" w:cs="Arial"/>
          <w:sz w:val="20"/>
          <w:szCs w:val="20"/>
        </w:rPr>
        <w:t>Metaheuristic-optimized</w:t>
      </w:r>
      <w:r>
        <w:rPr>
          <w:rFonts w:ascii="Arial" w:eastAsia="Arial" w:hAnsi="Arial" w:cs="Arial"/>
          <w:sz w:val="20"/>
          <w:szCs w:val="20"/>
        </w:rPr>
        <w:t xml:space="preserve"> Random Forest systems have been shown to achieve extremely low relative error for contractor cost prediction, following index compression to a manageable subset (Zheng et al., 2023). Collectively, these applications demonstrate that robust feature selection, ensemble learning and </w:t>
      </w:r>
      <w:proofErr w:type="spellStart"/>
      <w:r>
        <w:rPr>
          <w:rFonts w:ascii="Arial" w:eastAsia="Arial" w:hAnsi="Arial" w:cs="Arial"/>
          <w:sz w:val="20"/>
          <w:szCs w:val="20"/>
        </w:rPr>
        <w:t>optimisation</w:t>
      </w:r>
      <w:proofErr w:type="spellEnd"/>
      <w:r>
        <w:rPr>
          <w:rFonts w:ascii="Arial" w:eastAsia="Arial" w:hAnsi="Arial" w:cs="Arial"/>
          <w:sz w:val="20"/>
          <w:szCs w:val="20"/>
        </w:rPr>
        <w:t xml:space="preserve"> techniques facilitate more reliable budgeting, contingency setting and investment planning across building, transport and </w:t>
      </w:r>
      <w:proofErr w:type="spellStart"/>
      <w:r>
        <w:rPr>
          <w:rFonts w:ascii="Arial" w:eastAsia="Arial" w:hAnsi="Arial" w:cs="Arial"/>
          <w:sz w:val="20"/>
          <w:szCs w:val="20"/>
        </w:rPr>
        <w:t>industrialised</w:t>
      </w:r>
      <w:proofErr w:type="spellEnd"/>
      <w:r>
        <w:rPr>
          <w:rFonts w:ascii="Arial" w:eastAsia="Arial" w:hAnsi="Arial" w:cs="Arial"/>
          <w:sz w:val="20"/>
          <w:szCs w:val="20"/>
        </w:rPr>
        <w:t xml:space="preserve"> construction contexts.</w:t>
      </w:r>
    </w:p>
    <w:p w14:paraId="7742BC79" w14:textId="77777777" w:rsidR="005C07DA" w:rsidRDefault="004172AA">
      <w:pPr>
        <w:jc w:val="both"/>
        <w:rPr>
          <w:rFonts w:ascii="Arial" w:eastAsia="Arial" w:hAnsi="Arial" w:cs="Arial"/>
          <w:b/>
          <w:bCs/>
          <w:sz w:val="20"/>
          <w:szCs w:val="20"/>
        </w:rPr>
      </w:pPr>
      <w:r>
        <w:rPr>
          <w:rFonts w:ascii="Arial" w:eastAsia="Arial" w:hAnsi="Arial" w:cs="Arial"/>
          <w:b/>
          <w:bCs/>
          <w:sz w:val="20"/>
          <w:szCs w:val="20"/>
        </w:rPr>
        <w:t>Theme 2: Forecasting Time Delays and Schedule Performance</w:t>
      </w:r>
    </w:p>
    <w:p w14:paraId="564577F9" w14:textId="4F63FBA2" w:rsidR="005C07DA" w:rsidRDefault="004172AA">
      <w:pPr>
        <w:jc w:val="both"/>
        <w:rPr>
          <w:rFonts w:ascii="Arial" w:eastAsia="Arial" w:hAnsi="Arial" w:cs="Arial"/>
          <w:sz w:val="20"/>
          <w:szCs w:val="20"/>
        </w:rPr>
      </w:pPr>
      <w:r>
        <w:rPr>
          <w:rFonts w:ascii="Arial" w:eastAsia="Arial" w:hAnsi="Arial" w:cs="Arial"/>
          <w:sz w:val="20"/>
          <w:szCs w:val="20"/>
        </w:rPr>
        <w:t xml:space="preserve">A secondary cluster of studies focuses on the prediction of time delays and schedule performance, often </w:t>
      </w:r>
      <w:proofErr w:type="spellStart"/>
      <w:r>
        <w:rPr>
          <w:rFonts w:ascii="Arial" w:eastAsia="Arial" w:hAnsi="Arial" w:cs="Arial"/>
          <w:sz w:val="20"/>
          <w:szCs w:val="20"/>
        </w:rPr>
        <w:t>conceptualising</w:t>
      </w:r>
      <w:proofErr w:type="spellEnd"/>
      <w:r>
        <w:rPr>
          <w:rFonts w:ascii="Arial" w:eastAsia="Arial" w:hAnsi="Arial" w:cs="Arial"/>
          <w:sz w:val="20"/>
          <w:szCs w:val="20"/>
        </w:rPr>
        <w:t xml:space="preserve"> delay as a classification or regression problem over projects for which empirical observations are available. Ensemble-of-ensemble architectures combining bagging, boosting, tree-based methods and Naïve Bayes achieve high accuracy, precision and recall for delay classification, thereby demonstrating superior performance in comparison to single algorithms when modelling complex delay patterns (</w:t>
      </w:r>
      <w:proofErr w:type="spellStart"/>
      <w:r>
        <w:rPr>
          <w:rFonts w:ascii="Arial" w:eastAsia="Arial" w:hAnsi="Arial" w:cs="Arial"/>
          <w:sz w:val="20"/>
          <w:szCs w:val="20"/>
        </w:rPr>
        <w:t>Egwim</w:t>
      </w:r>
      <w:proofErr w:type="spellEnd"/>
      <w:r>
        <w:rPr>
          <w:rFonts w:ascii="Arial" w:eastAsia="Arial" w:hAnsi="Arial" w:cs="Arial"/>
          <w:sz w:val="20"/>
          <w:szCs w:val="20"/>
        </w:rPr>
        <w:t xml:space="preserve"> et al., 2021). </w:t>
      </w:r>
      <w:proofErr w:type="spellStart"/>
      <w:r>
        <w:rPr>
          <w:rFonts w:ascii="Arial" w:eastAsia="Arial" w:hAnsi="Arial" w:cs="Arial"/>
          <w:sz w:val="20"/>
          <w:szCs w:val="20"/>
        </w:rPr>
        <w:t>Gondia</w:t>
      </w:r>
      <w:proofErr w:type="spellEnd"/>
      <w:r>
        <w:rPr>
          <w:rFonts w:ascii="Arial" w:eastAsia="Arial" w:hAnsi="Arial" w:cs="Arial"/>
          <w:sz w:val="20"/>
          <w:szCs w:val="20"/>
        </w:rPr>
        <w:t xml:space="preserve"> et al. (2020) found that naïve Bayes classifiers built on multivariate histories of project performance and delay sources outperform decision trees in predicting delay extent. This supports </w:t>
      </w:r>
      <w:r w:rsidR="00711A89">
        <w:rPr>
          <w:rFonts w:ascii="Arial" w:eastAsia="Arial" w:hAnsi="Arial" w:cs="Arial"/>
          <w:sz w:val="20"/>
          <w:szCs w:val="20"/>
        </w:rPr>
        <w:t xml:space="preserve">a </w:t>
      </w:r>
      <w:r>
        <w:rPr>
          <w:rFonts w:ascii="Arial" w:eastAsia="Arial" w:hAnsi="Arial" w:cs="Arial"/>
          <w:sz w:val="20"/>
          <w:szCs w:val="20"/>
        </w:rPr>
        <w:t>more objective delay-risk analysis.</w:t>
      </w:r>
    </w:p>
    <w:p w14:paraId="42187BC6" w14:textId="32F644F5" w:rsidR="005C07DA" w:rsidRDefault="004172AA">
      <w:pPr>
        <w:jc w:val="both"/>
        <w:rPr>
          <w:rFonts w:ascii="Arial" w:eastAsia="Arial" w:hAnsi="Arial" w:cs="Arial"/>
          <w:sz w:val="20"/>
          <w:szCs w:val="20"/>
        </w:rPr>
      </w:pPr>
      <w:r>
        <w:rPr>
          <w:rFonts w:ascii="Arial" w:eastAsia="Arial" w:hAnsi="Arial" w:cs="Arial"/>
          <w:sz w:val="20"/>
          <w:szCs w:val="20"/>
        </w:rPr>
        <w:t xml:space="preserve">A machine-learning framework for public building projects in Ethiopia has been developed to validate classical time–cost and time–floor models. The framework has been shown to demonstrate that Random Forest, </w:t>
      </w:r>
      <w:proofErr w:type="spellStart"/>
      <w:r>
        <w:rPr>
          <w:rFonts w:ascii="Arial" w:eastAsia="Arial" w:hAnsi="Arial" w:cs="Arial"/>
          <w:sz w:val="20"/>
          <w:szCs w:val="20"/>
        </w:rPr>
        <w:t>XGBoost</w:t>
      </w:r>
      <w:proofErr w:type="spellEnd"/>
      <w:r>
        <w:rPr>
          <w:rFonts w:ascii="Arial" w:eastAsia="Arial" w:hAnsi="Arial" w:cs="Arial"/>
          <w:sz w:val="20"/>
          <w:szCs w:val="20"/>
        </w:rPr>
        <w:t xml:space="preserve"> and related algorithms provide superior early-duration predictions once additional influencing factors have been incorporated (</w:t>
      </w:r>
      <w:proofErr w:type="spellStart"/>
      <w:r>
        <w:rPr>
          <w:rFonts w:ascii="Arial" w:eastAsia="Arial" w:hAnsi="Arial" w:cs="Arial"/>
          <w:sz w:val="20"/>
          <w:szCs w:val="20"/>
        </w:rPr>
        <w:t>Debero</w:t>
      </w:r>
      <w:proofErr w:type="spellEnd"/>
      <w:r>
        <w:rPr>
          <w:rFonts w:ascii="Arial" w:eastAsia="Arial" w:hAnsi="Arial" w:cs="Arial"/>
          <w:sz w:val="20"/>
          <w:szCs w:val="20"/>
        </w:rPr>
        <w:t xml:space="preserve"> &amp; </w:t>
      </w:r>
      <w:proofErr w:type="spellStart"/>
      <w:r>
        <w:rPr>
          <w:rFonts w:ascii="Arial" w:eastAsia="Arial" w:hAnsi="Arial" w:cs="Arial"/>
          <w:sz w:val="20"/>
          <w:szCs w:val="20"/>
        </w:rPr>
        <w:t>Sinesilassie</w:t>
      </w:r>
      <w:proofErr w:type="spellEnd"/>
      <w:r>
        <w:rPr>
          <w:rFonts w:ascii="Arial" w:eastAsia="Arial" w:hAnsi="Arial" w:cs="Arial"/>
          <w:sz w:val="20"/>
          <w:szCs w:val="20"/>
        </w:rPr>
        <w:t xml:space="preserve">, 2024). In the domain of marine construction, General Regression Neural Networks (GRNNs) that have been trained on 43 delay factors across nine categories have been shown to outperform Support Vector Machine (SVM) and Tree Boost models (Nassar &amp; Elbisy, 2024). This finding suggests that flexible non-parametric architectures are capable of capturing highly </w:t>
      </w:r>
      <w:proofErr w:type="spellStart"/>
      <w:r>
        <w:rPr>
          <w:rFonts w:ascii="Arial" w:eastAsia="Arial" w:hAnsi="Arial" w:cs="Arial"/>
          <w:sz w:val="20"/>
          <w:szCs w:val="20"/>
        </w:rPr>
        <w:t>specialised</w:t>
      </w:r>
      <w:proofErr w:type="spellEnd"/>
      <w:r>
        <w:rPr>
          <w:rFonts w:ascii="Arial" w:eastAsia="Arial" w:hAnsi="Arial" w:cs="Arial"/>
          <w:sz w:val="20"/>
          <w:szCs w:val="20"/>
        </w:rPr>
        <w:t xml:space="preserve"> marine risks with greater effectiveness. A hybrid Random Forest–Genetic Algorithm classifier for general construction projects attains very high accuracy and kappa statistics when predicting delay risk, thus confirming the benefit of metaheuristic </w:t>
      </w:r>
      <w:proofErr w:type="spellStart"/>
      <w:r>
        <w:rPr>
          <w:rFonts w:ascii="Arial" w:eastAsia="Arial" w:hAnsi="Arial" w:cs="Arial"/>
          <w:sz w:val="20"/>
          <w:szCs w:val="20"/>
        </w:rPr>
        <w:t>optimisation</w:t>
      </w:r>
      <w:proofErr w:type="spellEnd"/>
      <w:r>
        <w:rPr>
          <w:rFonts w:ascii="Arial" w:eastAsia="Arial" w:hAnsi="Arial" w:cs="Arial"/>
          <w:sz w:val="20"/>
          <w:szCs w:val="20"/>
        </w:rPr>
        <w:t xml:space="preserve"> for schedule-risk modelling (Yaseen et al., 2020). Evidence from urban road projects indicates that time prediction remains more challenging than cost prediction, with </w:t>
      </w:r>
      <w:r w:rsidR="00711A89">
        <w:rPr>
          <w:rFonts w:ascii="Arial" w:eastAsia="Arial" w:hAnsi="Arial" w:cs="Arial"/>
          <w:sz w:val="20"/>
          <w:szCs w:val="20"/>
        </w:rPr>
        <w:t xml:space="preserve">a </w:t>
      </w:r>
      <w:r>
        <w:rPr>
          <w:rFonts w:ascii="Arial" w:eastAsia="Arial" w:hAnsi="Arial" w:cs="Arial"/>
          <w:sz w:val="20"/>
          <w:szCs w:val="20"/>
        </w:rPr>
        <w:t xml:space="preserve">higher mean absolute percentage error (MAPE) for duration, </w:t>
      </w:r>
      <w:r>
        <w:rPr>
          <w:rFonts w:ascii="Arial" w:eastAsia="Arial" w:hAnsi="Arial" w:cs="Arial"/>
          <w:sz w:val="20"/>
          <w:szCs w:val="20"/>
        </w:rPr>
        <w:lastRenderedPageBreak/>
        <w:t>even when support vector machine (SVM) models are employed (</w:t>
      </w:r>
      <w:proofErr w:type="spellStart"/>
      <w:r>
        <w:rPr>
          <w:rFonts w:ascii="Arial" w:eastAsia="Arial" w:hAnsi="Arial" w:cs="Arial"/>
          <w:sz w:val="20"/>
          <w:szCs w:val="20"/>
        </w:rPr>
        <w:t>Peško</w:t>
      </w:r>
      <w:proofErr w:type="spellEnd"/>
      <w:r>
        <w:rPr>
          <w:rFonts w:ascii="Arial" w:eastAsia="Arial" w:hAnsi="Arial" w:cs="Arial"/>
          <w:sz w:val="20"/>
          <w:szCs w:val="20"/>
        </w:rPr>
        <w:t xml:space="preserve"> et al., 2017). Collectively, these findings suggest that predictive analytics have the capacity to facilitate the development of reliable delay-risk warning systems. However, there is increased unpredictability within the scheduling forecasting</w:t>
      </w:r>
      <w:r w:rsidR="00711A89">
        <w:rPr>
          <w:rFonts w:ascii="Arial" w:eastAsia="Arial" w:hAnsi="Arial" w:cs="Arial"/>
          <w:sz w:val="20"/>
          <w:szCs w:val="20"/>
        </w:rPr>
        <w:t>,</w:t>
      </w:r>
      <w:r>
        <w:rPr>
          <w:rFonts w:ascii="Arial" w:eastAsia="Arial" w:hAnsi="Arial" w:cs="Arial"/>
          <w:sz w:val="20"/>
          <w:szCs w:val="20"/>
        </w:rPr>
        <w:t xml:space="preserve"> concerning the cost forecasting as well.</w:t>
      </w:r>
    </w:p>
    <w:p w14:paraId="40513F7C" w14:textId="77777777" w:rsidR="005C07DA" w:rsidRDefault="004172AA">
      <w:pPr>
        <w:jc w:val="both"/>
        <w:rPr>
          <w:rFonts w:ascii="Arial" w:eastAsia="Arial" w:hAnsi="Arial" w:cs="Arial"/>
          <w:b/>
          <w:bCs/>
          <w:sz w:val="20"/>
          <w:szCs w:val="20"/>
        </w:rPr>
      </w:pPr>
      <w:r>
        <w:rPr>
          <w:rFonts w:ascii="Arial" w:eastAsia="Arial" w:hAnsi="Arial" w:cs="Arial"/>
          <w:b/>
          <w:bCs/>
          <w:sz w:val="20"/>
          <w:szCs w:val="20"/>
        </w:rPr>
        <w:t>Theme 3: Data Structures, Modelling Strategies and Integration Challenges</w:t>
      </w:r>
    </w:p>
    <w:p w14:paraId="07FD48C0" w14:textId="04D9C174" w:rsidR="005C07DA" w:rsidRDefault="004172AA">
      <w:pPr>
        <w:jc w:val="both"/>
        <w:rPr>
          <w:rFonts w:ascii="Arial" w:eastAsia="Arial" w:hAnsi="Arial" w:cs="Arial"/>
          <w:sz w:val="20"/>
          <w:szCs w:val="20"/>
        </w:rPr>
      </w:pPr>
      <w:r>
        <w:rPr>
          <w:rFonts w:ascii="Arial" w:eastAsia="Arial" w:hAnsi="Arial" w:cs="Arial"/>
          <w:sz w:val="20"/>
          <w:szCs w:val="20"/>
        </w:rPr>
        <w:t>The synthesis of the findings of these studies exemplifies the argument that the effectiveness of the model is the result of not just the way that the information is organized and how the attributes are engineered, but also the careful choice of the methods employed. Cost and delay models consistently rely on carefully selected indicators. These indicators are derived from six key building cost drivers in a small BPNN study (Jiang, 2020) and 18 engineering features reduced to 10 Boruta-selected predictors in an improved BP network (Cui &amp; Xia, 2023). In the context of contingency and investment models, systematic index systems have been identified as enablers. Such systems include FDOT bid descriptors for transport projects (</w:t>
      </w:r>
      <w:proofErr w:type="spellStart"/>
      <w:r>
        <w:rPr>
          <w:rFonts w:ascii="Arial" w:eastAsia="Arial" w:hAnsi="Arial" w:cs="Arial"/>
          <w:sz w:val="20"/>
          <w:szCs w:val="20"/>
        </w:rPr>
        <w:t>Nindartin</w:t>
      </w:r>
      <w:proofErr w:type="spellEnd"/>
      <w:r>
        <w:rPr>
          <w:rFonts w:ascii="Arial" w:eastAsia="Arial" w:hAnsi="Arial" w:cs="Arial"/>
          <w:sz w:val="20"/>
          <w:szCs w:val="20"/>
        </w:rPr>
        <w:t xml:space="preserve"> et al., 2025), cost-significance indices and AHP-derived indices for prefabricated concrete buildings (Yan et al., 2022), and 14 secondary cost indices compressed to 11 in an RF–Bird Swarm framework (Zheng et al., 2023). These systems facilitate the translation of complex project realities into machine-readable structures.</w:t>
      </w:r>
    </w:p>
    <w:p w14:paraId="1ADC92EB" w14:textId="467D27CC" w:rsidR="005C07DA" w:rsidRDefault="004172AA">
      <w:pPr>
        <w:jc w:val="both"/>
        <w:rPr>
          <w:rFonts w:ascii="Arial" w:eastAsia="Arial" w:hAnsi="Arial" w:cs="Arial"/>
          <w:sz w:val="20"/>
          <w:szCs w:val="20"/>
        </w:rPr>
        <w:sectPr w:rsidR="005C07DA">
          <w:headerReference w:type="even" r:id="rId10"/>
          <w:headerReference w:type="default" r:id="rId11"/>
          <w:footerReference w:type="even" r:id="rId12"/>
          <w:footerReference w:type="default" r:id="rId13"/>
          <w:headerReference w:type="first" r:id="rId14"/>
          <w:footerReference w:type="first" r:id="rId15"/>
          <w:pgSz w:w="12240" w:h="15840"/>
          <w:pgMar w:top="1797" w:right="1440" w:bottom="1797" w:left="1440" w:header="720" w:footer="720" w:gutter="0"/>
          <w:pgNumType w:start="1"/>
          <w:cols w:space="720"/>
        </w:sectPr>
      </w:pPr>
      <w:r>
        <w:rPr>
          <w:rFonts w:ascii="Arial" w:eastAsia="Arial" w:hAnsi="Arial" w:cs="Arial"/>
          <w:sz w:val="20"/>
          <w:szCs w:val="20"/>
        </w:rPr>
        <w:t xml:space="preserve">Methodologically, there is a clear trend towards the use of ensembles, deep feature learning and metaheuristic </w:t>
      </w:r>
      <w:r w:rsidR="00711A89">
        <w:rPr>
          <w:rFonts w:ascii="Arial" w:eastAsia="Arial" w:hAnsi="Arial" w:cs="Arial"/>
          <w:sz w:val="20"/>
          <w:szCs w:val="20"/>
        </w:rPr>
        <w:t>optimization</w:t>
      </w:r>
      <w:r>
        <w:rPr>
          <w:rFonts w:ascii="Arial" w:eastAsia="Arial" w:hAnsi="Arial" w:cs="Arial"/>
          <w:sz w:val="20"/>
          <w:szCs w:val="20"/>
        </w:rPr>
        <w:t xml:space="preserve">. Random Forest is frequently </w:t>
      </w:r>
      <w:proofErr w:type="spellStart"/>
      <w:r>
        <w:rPr>
          <w:rFonts w:ascii="Arial" w:eastAsia="Arial" w:hAnsi="Arial" w:cs="Arial"/>
          <w:sz w:val="20"/>
          <w:szCs w:val="20"/>
        </w:rPr>
        <w:t>favoured</w:t>
      </w:r>
      <w:proofErr w:type="spellEnd"/>
      <w:r>
        <w:rPr>
          <w:rFonts w:ascii="Arial" w:eastAsia="Arial" w:hAnsi="Arial" w:cs="Arial"/>
          <w:sz w:val="20"/>
          <w:szCs w:val="20"/>
        </w:rPr>
        <w:t xml:space="preserve"> for its predictive strength and ability to highlight influential variables in models of contingency, BIM </w:t>
      </w:r>
      <w:proofErr w:type="spellStart"/>
      <w:r>
        <w:rPr>
          <w:rFonts w:ascii="Arial" w:eastAsia="Arial" w:hAnsi="Arial" w:cs="Arial"/>
          <w:sz w:val="20"/>
          <w:szCs w:val="20"/>
        </w:rPr>
        <w:t>labour</w:t>
      </w:r>
      <w:proofErr w:type="spellEnd"/>
      <w:r>
        <w:rPr>
          <w:rFonts w:ascii="Arial" w:eastAsia="Arial" w:hAnsi="Arial" w:cs="Arial"/>
          <w:sz w:val="20"/>
          <w:szCs w:val="20"/>
        </w:rPr>
        <w:t xml:space="preserve"> and engineering services overrun (Huang &amp; Hsieh, 2020; </w:t>
      </w:r>
      <w:proofErr w:type="spellStart"/>
      <w:r>
        <w:rPr>
          <w:rFonts w:ascii="Arial" w:eastAsia="Arial" w:hAnsi="Arial" w:cs="Arial"/>
          <w:sz w:val="20"/>
          <w:szCs w:val="20"/>
        </w:rPr>
        <w:t>Shoar</w:t>
      </w:r>
      <w:proofErr w:type="spellEnd"/>
      <w:r>
        <w:rPr>
          <w:rFonts w:ascii="Arial" w:eastAsia="Arial" w:hAnsi="Arial" w:cs="Arial"/>
          <w:sz w:val="20"/>
          <w:szCs w:val="20"/>
        </w:rPr>
        <w:t xml:space="preserve"> et al., 2022; </w:t>
      </w:r>
      <w:proofErr w:type="spellStart"/>
      <w:r>
        <w:rPr>
          <w:rFonts w:ascii="Arial" w:eastAsia="Arial" w:hAnsi="Arial" w:cs="Arial"/>
          <w:sz w:val="20"/>
          <w:szCs w:val="20"/>
        </w:rPr>
        <w:t>Nindartin</w:t>
      </w:r>
      <w:proofErr w:type="spellEnd"/>
      <w:r>
        <w:rPr>
          <w:rFonts w:ascii="Arial" w:eastAsia="Arial" w:hAnsi="Arial" w:cs="Arial"/>
          <w:sz w:val="20"/>
          <w:szCs w:val="20"/>
        </w:rPr>
        <w:t xml:space="preserve"> et al., 2025). Deep Boltzmann Machines have been shown to enhance the representation of macroeconomic factors (</w:t>
      </w:r>
      <w:proofErr w:type="spellStart"/>
      <w:r>
        <w:rPr>
          <w:rFonts w:ascii="Arial" w:eastAsia="Arial" w:hAnsi="Arial" w:cs="Arial"/>
          <w:sz w:val="20"/>
          <w:szCs w:val="20"/>
        </w:rPr>
        <w:t>Rafiei</w:t>
      </w:r>
      <w:proofErr w:type="spellEnd"/>
      <w:r>
        <w:rPr>
          <w:rFonts w:ascii="Arial" w:eastAsia="Arial" w:hAnsi="Arial" w:cs="Arial"/>
          <w:sz w:val="20"/>
          <w:szCs w:val="20"/>
        </w:rPr>
        <w:t xml:space="preserve"> &amp; Adeli, 2018), while </w:t>
      </w:r>
      <w:r w:rsidR="00711A89">
        <w:rPr>
          <w:rFonts w:ascii="Arial" w:eastAsia="Arial" w:hAnsi="Arial" w:cs="Arial"/>
          <w:sz w:val="20"/>
          <w:szCs w:val="20"/>
        </w:rPr>
        <w:t>optimization</w:t>
      </w:r>
      <w:r>
        <w:rPr>
          <w:rFonts w:ascii="Arial" w:eastAsia="Arial" w:hAnsi="Arial" w:cs="Arial"/>
          <w:sz w:val="20"/>
          <w:szCs w:val="20"/>
        </w:rPr>
        <w:t xml:space="preserve"> algorithms such as Grey Wolf, Genetic Algorithms, Snake Optimizer and Bird Swarm have been employed to systematically tune model parameters (</w:t>
      </w:r>
      <w:proofErr w:type="spellStart"/>
      <w:r>
        <w:rPr>
          <w:rFonts w:ascii="Arial" w:eastAsia="Arial" w:hAnsi="Arial" w:cs="Arial"/>
          <w:sz w:val="20"/>
          <w:szCs w:val="20"/>
        </w:rPr>
        <w:t>Mahmoodzadeh</w:t>
      </w:r>
      <w:proofErr w:type="spellEnd"/>
      <w:r>
        <w:rPr>
          <w:rFonts w:ascii="Arial" w:eastAsia="Arial" w:hAnsi="Arial" w:cs="Arial"/>
          <w:sz w:val="20"/>
          <w:szCs w:val="20"/>
        </w:rPr>
        <w:t xml:space="preserve"> et al., 2022; Yaseen et al., 2020; Cui &amp; Xia, 2023; Zheng et al., 2023). Concurrently, a significant proportion of studies rely on relatively limited datasets, often comprising a single </w:t>
      </w:r>
      <w:r w:rsidR="00711A89">
        <w:rPr>
          <w:rFonts w:ascii="Arial" w:eastAsia="Arial" w:hAnsi="Arial" w:cs="Arial"/>
          <w:sz w:val="20"/>
          <w:szCs w:val="20"/>
        </w:rPr>
        <w:t>organization</w:t>
      </w:r>
      <w:r>
        <w:rPr>
          <w:rFonts w:ascii="Arial" w:eastAsia="Arial" w:hAnsi="Arial" w:cs="Arial"/>
          <w:sz w:val="20"/>
          <w:szCs w:val="20"/>
        </w:rPr>
        <w:t xml:space="preserve">, and the majority of these reports focus on model development and validation rather than comprehensive integration into enterprise project management systems. This imbalance suggests a technical readiness for predictive analytics, but also points to data-availability, scalability and </w:t>
      </w:r>
      <w:r w:rsidR="00711A89">
        <w:rPr>
          <w:rFonts w:ascii="Arial" w:eastAsia="Arial" w:hAnsi="Arial" w:cs="Arial"/>
          <w:sz w:val="20"/>
          <w:szCs w:val="20"/>
        </w:rPr>
        <w:t>organizational-adoption</w:t>
      </w:r>
      <w:r>
        <w:rPr>
          <w:rFonts w:ascii="Arial" w:eastAsia="Arial" w:hAnsi="Arial" w:cs="Arial"/>
          <w:sz w:val="20"/>
          <w:szCs w:val="20"/>
        </w:rPr>
        <w:t xml:space="preserve"> challenges that must be addressed before such models can systematically transform construction project delivery.</w:t>
      </w:r>
    </w:p>
    <w:p w14:paraId="1AFCF872" w14:textId="77777777" w:rsidR="005C07DA" w:rsidRDefault="004172AA">
      <w:pPr>
        <w:jc w:val="center"/>
        <w:rPr>
          <w:rFonts w:ascii="Arial" w:eastAsia="Arial" w:hAnsi="Arial" w:cs="Arial"/>
          <w:b/>
          <w:bCs/>
          <w:sz w:val="20"/>
          <w:szCs w:val="20"/>
        </w:rPr>
      </w:pPr>
      <w:r>
        <w:rPr>
          <w:rFonts w:ascii="Arial" w:eastAsia="Arial" w:hAnsi="Arial" w:cs="Arial"/>
          <w:b/>
          <w:bCs/>
          <w:sz w:val="20"/>
          <w:szCs w:val="20"/>
        </w:rPr>
        <w:lastRenderedPageBreak/>
        <w:t>Table 3: Data Extraction Table for Included Studies</w:t>
      </w:r>
    </w:p>
    <w:tbl>
      <w:tblPr>
        <w:tblStyle w:val="a8"/>
        <w:tblW w:w="15168" w:type="dxa"/>
        <w:tblInd w:w="-1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5"/>
        <w:gridCol w:w="1594"/>
        <w:gridCol w:w="1606"/>
        <w:gridCol w:w="1621"/>
        <w:gridCol w:w="1613"/>
        <w:gridCol w:w="2105"/>
        <w:gridCol w:w="1671"/>
        <w:gridCol w:w="3083"/>
      </w:tblGrid>
      <w:tr w:rsidR="005C07DA" w14:paraId="3A60D19C" w14:textId="77777777">
        <w:tc>
          <w:tcPr>
            <w:tcW w:w="1875" w:type="dxa"/>
          </w:tcPr>
          <w:p w14:paraId="75D3F44B" w14:textId="77777777" w:rsidR="005C07DA" w:rsidRDefault="004172AA">
            <w:pPr>
              <w:jc w:val="both"/>
              <w:rPr>
                <w:rFonts w:ascii="Arial" w:eastAsia="Arial" w:hAnsi="Arial" w:cs="Arial"/>
                <w:sz w:val="20"/>
                <w:szCs w:val="20"/>
              </w:rPr>
            </w:pPr>
            <w:r>
              <w:rPr>
                <w:rFonts w:ascii="Arial" w:eastAsia="Arial" w:hAnsi="Arial" w:cs="Arial"/>
                <w:sz w:val="20"/>
                <w:szCs w:val="20"/>
              </w:rPr>
              <w:t>Study ID</w:t>
            </w:r>
          </w:p>
        </w:tc>
        <w:tc>
          <w:tcPr>
            <w:tcW w:w="1594" w:type="dxa"/>
          </w:tcPr>
          <w:p w14:paraId="5F4FDB01" w14:textId="77777777" w:rsidR="005C07DA" w:rsidRDefault="004172AA">
            <w:pPr>
              <w:jc w:val="both"/>
              <w:rPr>
                <w:rFonts w:ascii="Arial" w:eastAsia="Arial" w:hAnsi="Arial" w:cs="Arial"/>
                <w:sz w:val="20"/>
                <w:szCs w:val="20"/>
              </w:rPr>
            </w:pPr>
            <w:r>
              <w:rPr>
                <w:rFonts w:ascii="Arial" w:eastAsia="Arial" w:hAnsi="Arial" w:cs="Arial"/>
                <w:sz w:val="20"/>
                <w:szCs w:val="20"/>
              </w:rPr>
              <w:t>Country / context &amp; project type</w:t>
            </w:r>
          </w:p>
        </w:tc>
        <w:tc>
          <w:tcPr>
            <w:tcW w:w="1606" w:type="dxa"/>
          </w:tcPr>
          <w:p w14:paraId="159195A6" w14:textId="77777777" w:rsidR="005C07DA" w:rsidRDefault="004172AA">
            <w:pPr>
              <w:jc w:val="both"/>
              <w:rPr>
                <w:rFonts w:ascii="Arial" w:eastAsia="Arial" w:hAnsi="Arial" w:cs="Arial"/>
                <w:sz w:val="20"/>
                <w:szCs w:val="20"/>
              </w:rPr>
            </w:pPr>
            <w:r>
              <w:rPr>
                <w:rFonts w:ascii="Arial" w:eastAsia="Arial" w:hAnsi="Arial" w:cs="Arial"/>
                <w:sz w:val="20"/>
                <w:szCs w:val="20"/>
              </w:rPr>
              <w:t>Prediction focus</w:t>
            </w:r>
          </w:p>
        </w:tc>
        <w:tc>
          <w:tcPr>
            <w:tcW w:w="1621" w:type="dxa"/>
          </w:tcPr>
          <w:p w14:paraId="0D26C472" w14:textId="77777777" w:rsidR="005C07DA" w:rsidRDefault="004172AA">
            <w:pPr>
              <w:jc w:val="both"/>
              <w:rPr>
                <w:rFonts w:ascii="Arial" w:eastAsia="Arial" w:hAnsi="Arial" w:cs="Arial"/>
                <w:sz w:val="20"/>
                <w:szCs w:val="20"/>
              </w:rPr>
            </w:pPr>
            <w:r>
              <w:rPr>
                <w:rFonts w:ascii="Arial" w:eastAsia="Arial" w:hAnsi="Arial" w:cs="Arial"/>
                <w:sz w:val="20"/>
                <w:szCs w:val="20"/>
              </w:rPr>
              <w:t>Data source &amp; sample</w:t>
            </w:r>
          </w:p>
        </w:tc>
        <w:tc>
          <w:tcPr>
            <w:tcW w:w="1613" w:type="dxa"/>
          </w:tcPr>
          <w:p w14:paraId="234AF34D" w14:textId="77777777" w:rsidR="005C07DA" w:rsidRDefault="004172AA">
            <w:pPr>
              <w:jc w:val="both"/>
              <w:rPr>
                <w:rFonts w:ascii="Arial" w:eastAsia="Arial" w:hAnsi="Arial" w:cs="Arial"/>
                <w:sz w:val="20"/>
                <w:szCs w:val="20"/>
              </w:rPr>
            </w:pPr>
            <w:r>
              <w:rPr>
                <w:rFonts w:ascii="Arial" w:eastAsia="Arial" w:hAnsi="Arial" w:cs="Arial"/>
                <w:sz w:val="20"/>
                <w:szCs w:val="20"/>
              </w:rPr>
              <w:t>Predictive technique(s)</w:t>
            </w:r>
          </w:p>
        </w:tc>
        <w:tc>
          <w:tcPr>
            <w:tcW w:w="2105" w:type="dxa"/>
          </w:tcPr>
          <w:p w14:paraId="0D64990F" w14:textId="77777777" w:rsidR="005C07DA" w:rsidRDefault="004172AA">
            <w:pPr>
              <w:jc w:val="both"/>
              <w:rPr>
                <w:rFonts w:ascii="Arial" w:eastAsia="Arial" w:hAnsi="Arial" w:cs="Arial"/>
                <w:sz w:val="20"/>
                <w:szCs w:val="20"/>
              </w:rPr>
            </w:pPr>
            <w:r>
              <w:rPr>
                <w:rFonts w:ascii="Arial" w:eastAsia="Arial" w:hAnsi="Arial" w:cs="Arial"/>
                <w:sz w:val="20"/>
                <w:szCs w:val="20"/>
              </w:rPr>
              <w:t>Key input variables / feature groups</w:t>
            </w:r>
          </w:p>
        </w:tc>
        <w:tc>
          <w:tcPr>
            <w:tcW w:w="1671" w:type="dxa"/>
          </w:tcPr>
          <w:p w14:paraId="67507DE2" w14:textId="77777777" w:rsidR="005C07DA" w:rsidRDefault="004172AA">
            <w:pPr>
              <w:jc w:val="both"/>
              <w:rPr>
                <w:rFonts w:ascii="Arial" w:eastAsia="Arial" w:hAnsi="Arial" w:cs="Arial"/>
                <w:sz w:val="20"/>
                <w:szCs w:val="20"/>
              </w:rPr>
            </w:pPr>
            <w:r>
              <w:rPr>
                <w:rFonts w:ascii="Arial" w:eastAsia="Arial" w:hAnsi="Arial" w:cs="Arial"/>
                <w:sz w:val="20"/>
                <w:szCs w:val="20"/>
              </w:rPr>
              <w:t>Model performance / validation (headline)</w:t>
            </w:r>
          </w:p>
        </w:tc>
        <w:tc>
          <w:tcPr>
            <w:tcW w:w="3083" w:type="dxa"/>
          </w:tcPr>
          <w:p w14:paraId="15FA321A" w14:textId="77777777" w:rsidR="005C07DA" w:rsidRDefault="004172AA">
            <w:pPr>
              <w:jc w:val="both"/>
              <w:rPr>
                <w:rFonts w:ascii="Arial" w:eastAsia="Arial" w:hAnsi="Arial" w:cs="Arial"/>
                <w:sz w:val="20"/>
                <w:szCs w:val="20"/>
              </w:rPr>
            </w:pPr>
            <w:r>
              <w:rPr>
                <w:rFonts w:ascii="Arial" w:eastAsia="Arial" w:hAnsi="Arial" w:cs="Arial"/>
                <w:sz w:val="20"/>
                <w:szCs w:val="20"/>
              </w:rPr>
              <w:t>Main findings &amp; implications for project delivery efficiency</w:t>
            </w:r>
          </w:p>
        </w:tc>
      </w:tr>
      <w:tr w:rsidR="005C07DA" w14:paraId="34862F17" w14:textId="77777777">
        <w:tc>
          <w:tcPr>
            <w:tcW w:w="1875" w:type="dxa"/>
          </w:tcPr>
          <w:p w14:paraId="2F56100F" w14:textId="77777777" w:rsidR="005C07DA" w:rsidRDefault="004172AA">
            <w:pPr>
              <w:jc w:val="both"/>
              <w:rPr>
                <w:rFonts w:ascii="Arial" w:eastAsia="Arial" w:hAnsi="Arial" w:cs="Arial"/>
                <w:sz w:val="20"/>
                <w:szCs w:val="20"/>
              </w:rPr>
            </w:pPr>
            <w:r>
              <w:rPr>
                <w:rFonts w:ascii="Arial" w:eastAsia="Arial" w:hAnsi="Arial" w:cs="Arial"/>
                <w:sz w:val="20"/>
                <w:szCs w:val="20"/>
              </w:rPr>
              <w:t xml:space="preserve">Al </w:t>
            </w:r>
            <w:proofErr w:type="spellStart"/>
            <w:r>
              <w:rPr>
                <w:rFonts w:ascii="Arial" w:eastAsia="Arial" w:hAnsi="Arial" w:cs="Arial"/>
                <w:sz w:val="20"/>
                <w:szCs w:val="20"/>
              </w:rPr>
              <w:t>mnaseer</w:t>
            </w:r>
            <w:proofErr w:type="spellEnd"/>
            <w:r>
              <w:rPr>
                <w:rFonts w:ascii="Arial" w:eastAsia="Arial" w:hAnsi="Arial" w:cs="Arial"/>
                <w:sz w:val="20"/>
                <w:szCs w:val="20"/>
              </w:rPr>
              <w:t xml:space="preserve"> et al., 2023</w:t>
            </w:r>
          </w:p>
        </w:tc>
        <w:tc>
          <w:tcPr>
            <w:tcW w:w="1594" w:type="dxa"/>
          </w:tcPr>
          <w:p w14:paraId="13B2E6BE" w14:textId="77777777" w:rsidR="005C07DA" w:rsidRDefault="004172AA">
            <w:pPr>
              <w:jc w:val="both"/>
              <w:rPr>
                <w:rFonts w:ascii="Arial" w:eastAsia="Arial" w:hAnsi="Arial" w:cs="Arial"/>
                <w:sz w:val="20"/>
                <w:szCs w:val="20"/>
              </w:rPr>
            </w:pPr>
            <w:r>
              <w:rPr>
                <w:rFonts w:ascii="Arial" w:eastAsia="Arial" w:hAnsi="Arial" w:cs="Arial"/>
                <w:sz w:val="20"/>
                <w:szCs w:val="20"/>
              </w:rPr>
              <w:t>Jordan; mixed construction projects (191 projects, 2011–2021)</w:t>
            </w:r>
          </w:p>
        </w:tc>
        <w:tc>
          <w:tcPr>
            <w:tcW w:w="1606" w:type="dxa"/>
          </w:tcPr>
          <w:p w14:paraId="514AD1F3" w14:textId="77777777" w:rsidR="005C07DA" w:rsidRDefault="004172AA">
            <w:pPr>
              <w:jc w:val="both"/>
              <w:rPr>
                <w:rFonts w:ascii="Arial" w:eastAsia="Arial" w:hAnsi="Arial" w:cs="Arial"/>
                <w:sz w:val="20"/>
                <w:szCs w:val="20"/>
              </w:rPr>
            </w:pPr>
            <w:r>
              <w:rPr>
                <w:rFonts w:ascii="Arial" w:eastAsia="Arial" w:hAnsi="Arial" w:cs="Arial"/>
                <w:sz w:val="20"/>
                <w:szCs w:val="20"/>
              </w:rPr>
              <w:t>Time and cost overruns</w:t>
            </w:r>
          </w:p>
        </w:tc>
        <w:tc>
          <w:tcPr>
            <w:tcW w:w="1621" w:type="dxa"/>
          </w:tcPr>
          <w:p w14:paraId="3E6549B1" w14:textId="77777777" w:rsidR="005C07DA" w:rsidRDefault="004172AA">
            <w:pPr>
              <w:jc w:val="both"/>
              <w:rPr>
                <w:rFonts w:ascii="Arial" w:eastAsia="Arial" w:hAnsi="Arial" w:cs="Arial"/>
                <w:sz w:val="20"/>
                <w:szCs w:val="20"/>
              </w:rPr>
            </w:pPr>
            <w:r>
              <w:rPr>
                <w:rFonts w:ascii="Arial" w:eastAsia="Arial" w:hAnsi="Arial" w:cs="Arial"/>
                <w:sz w:val="20"/>
                <w:szCs w:val="20"/>
              </w:rPr>
              <w:t>Historical cost and schedule data from 191 completed projects</w:t>
            </w:r>
          </w:p>
        </w:tc>
        <w:tc>
          <w:tcPr>
            <w:tcW w:w="1613" w:type="dxa"/>
          </w:tcPr>
          <w:p w14:paraId="4EC8F327" w14:textId="77777777" w:rsidR="005C07DA" w:rsidRDefault="004172AA">
            <w:pPr>
              <w:jc w:val="both"/>
              <w:rPr>
                <w:rFonts w:ascii="Arial" w:eastAsia="Arial" w:hAnsi="Arial" w:cs="Arial"/>
                <w:sz w:val="20"/>
                <w:szCs w:val="20"/>
              </w:rPr>
            </w:pPr>
            <w:r>
              <w:rPr>
                <w:rFonts w:ascii="Arial" w:eastAsia="Arial" w:hAnsi="Arial" w:cs="Arial"/>
                <w:sz w:val="20"/>
                <w:szCs w:val="20"/>
              </w:rPr>
              <w:t xml:space="preserve">Artificial Neural Network (ANN) with Tabu Search hyper-parameter </w:t>
            </w:r>
            <w:proofErr w:type="spellStart"/>
            <w:r>
              <w:rPr>
                <w:rFonts w:ascii="Arial" w:eastAsia="Arial" w:hAnsi="Arial" w:cs="Arial"/>
                <w:sz w:val="20"/>
                <w:szCs w:val="20"/>
              </w:rPr>
              <w:t>optimisation</w:t>
            </w:r>
            <w:proofErr w:type="spellEnd"/>
          </w:p>
        </w:tc>
        <w:tc>
          <w:tcPr>
            <w:tcW w:w="2105" w:type="dxa"/>
          </w:tcPr>
          <w:p w14:paraId="0E24EF92" w14:textId="77777777" w:rsidR="005C07DA" w:rsidRDefault="004172AA">
            <w:pPr>
              <w:jc w:val="both"/>
              <w:rPr>
                <w:rFonts w:ascii="Arial" w:eastAsia="Arial" w:hAnsi="Arial" w:cs="Arial"/>
                <w:sz w:val="20"/>
                <w:szCs w:val="20"/>
              </w:rPr>
            </w:pPr>
            <w:r>
              <w:rPr>
                <w:rFonts w:ascii="Arial" w:eastAsia="Arial" w:hAnsi="Arial" w:cs="Arial"/>
                <w:sz w:val="20"/>
                <w:szCs w:val="20"/>
              </w:rPr>
              <w:t>Project-level numerical indicators driving time and cost overrun (engineering and contextual factors)</w:t>
            </w:r>
          </w:p>
        </w:tc>
        <w:tc>
          <w:tcPr>
            <w:tcW w:w="1671" w:type="dxa"/>
          </w:tcPr>
          <w:p w14:paraId="3A0763B2" w14:textId="77777777" w:rsidR="005C07DA" w:rsidRDefault="00000000">
            <w:pPr>
              <w:jc w:val="both"/>
              <w:rPr>
                <w:rFonts w:ascii="Arial" w:eastAsia="Arial" w:hAnsi="Arial" w:cs="Arial"/>
                <w:sz w:val="20"/>
                <w:szCs w:val="20"/>
              </w:rPr>
            </w:pPr>
            <w:sdt>
              <w:sdtPr>
                <w:tag w:val="goog_rdk_0"/>
                <w:id w:val="-9486323"/>
              </w:sdtPr>
              <w:sdtContent>
                <w:r w:rsidR="004172AA">
                  <w:rPr>
                    <w:rFonts w:ascii="Arial Unicode MS" w:eastAsia="Arial Unicode MS" w:hAnsi="Arial Unicode MS" w:cs="Arial Unicode MS"/>
                    <w:sz w:val="20"/>
                    <w:szCs w:val="20"/>
                  </w:rPr>
                  <w:t>ANN + Tabu Search achieved R² ≈ 0.94 for both time and cost overrun; MAE ≈ 0.057 (cost) and 21.7 (time); accuracy ≈ 92%</w:t>
                </w:r>
              </w:sdtContent>
            </w:sdt>
          </w:p>
        </w:tc>
        <w:tc>
          <w:tcPr>
            <w:tcW w:w="3083" w:type="dxa"/>
          </w:tcPr>
          <w:p w14:paraId="48886B38" w14:textId="77777777" w:rsidR="005C07DA" w:rsidRDefault="004172AA">
            <w:pPr>
              <w:jc w:val="both"/>
              <w:rPr>
                <w:rFonts w:ascii="Arial" w:eastAsia="Arial" w:hAnsi="Arial" w:cs="Arial"/>
                <w:sz w:val="20"/>
                <w:szCs w:val="20"/>
              </w:rPr>
            </w:pPr>
            <w:proofErr w:type="spellStart"/>
            <w:r>
              <w:rPr>
                <w:rFonts w:ascii="Arial" w:eastAsia="Arial" w:hAnsi="Arial" w:cs="Arial"/>
                <w:sz w:val="20"/>
                <w:szCs w:val="20"/>
              </w:rPr>
              <w:t>Optimised</w:t>
            </w:r>
            <w:proofErr w:type="spellEnd"/>
            <w:r>
              <w:rPr>
                <w:rFonts w:ascii="Arial" w:eastAsia="Arial" w:hAnsi="Arial" w:cs="Arial"/>
                <w:sz w:val="20"/>
                <w:szCs w:val="20"/>
              </w:rPr>
              <w:t xml:space="preserve"> ANN accurately predicts early cost and schedule overruns, supporting early design decisions and improving the reliability of project delivery planning.</w:t>
            </w:r>
          </w:p>
        </w:tc>
      </w:tr>
      <w:tr w:rsidR="005C07DA" w14:paraId="17A910FD" w14:textId="77777777">
        <w:tc>
          <w:tcPr>
            <w:tcW w:w="1875" w:type="dxa"/>
          </w:tcPr>
          <w:p w14:paraId="1AC966D7" w14:textId="77777777" w:rsidR="005C07DA" w:rsidRDefault="004172AA">
            <w:pPr>
              <w:jc w:val="both"/>
              <w:rPr>
                <w:rFonts w:ascii="Arial" w:eastAsia="Arial" w:hAnsi="Arial" w:cs="Arial"/>
                <w:sz w:val="20"/>
                <w:szCs w:val="20"/>
              </w:rPr>
            </w:pPr>
            <w:r>
              <w:rPr>
                <w:rFonts w:ascii="Arial" w:eastAsia="Arial" w:hAnsi="Arial" w:cs="Arial"/>
                <w:sz w:val="20"/>
                <w:szCs w:val="20"/>
              </w:rPr>
              <w:t>Cui &amp; Xia, 2023</w:t>
            </w:r>
          </w:p>
        </w:tc>
        <w:tc>
          <w:tcPr>
            <w:tcW w:w="1594" w:type="dxa"/>
          </w:tcPr>
          <w:p w14:paraId="3B7B05A5" w14:textId="77777777" w:rsidR="005C07DA" w:rsidRDefault="004172AA">
            <w:pPr>
              <w:jc w:val="both"/>
              <w:rPr>
                <w:rFonts w:ascii="Arial" w:eastAsia="Arial" w:hAnsi="Arial" w:cs="Arial"/>
                <w:sz w:val="20"/>
                <w:szCs w:val="20"/>
              </w:rPr>
            </w:pPr>
            <w:r>
              <w:rPr>
                <w:rFonts w:ascii="Arial" w:eastAsia="Arial" w:hAnsi="Arial" w:cs="Arial"/>
                <w:sz w:val="20"/>
                <w:szCs w:val="20"/>
              </w:rPr>
              <w:t>China; real-estate construction projects (Shandong Tianqi Real Estate Group)</w:t>
            </w:r>
          </w:p>
        </w:tc>
        <w:tc>
          <w:tcPr>
            <w:tcW w:w="1606" w:type="dxa"/>
          </w:tcPr>
          <w:p w14:paraId="799465FA" w14:textId="77777777" w:rsidR="005C07DA" w:rsidRDefault="004172AA">
            <w:pPr>
              <w:jc w:val="both"/>
              <w:rPr>
                <w:rFonts w:ascii="Arial" w:eastAsia="Arial" w:hAnsi="Arial" w:cs="Arial"/>
                <w:sz w:val="20"/>
                <w:szCs w:val="20"/>
              </w:rPr>
            </w:pPr>
            <w:r>
              <w:rPr>
                <w:rFonts w:ascii="Arial" w:eastAsia="Arial" w:hAnsi="Arial" w:cs="Arial"/>
                <w:sz w:val="20"/>
                <w:szCs w:val="20"/>
              </w:rPr>
              <w:t>Construction cost prediction (early-stage)</w:t>
            </w:r>
          </w:p>
        </w:tc>
        <w:tc>
          <w:tcPr>
            <w:tcW w:w="1621" w:type="dxa"/>
          </w:tcPr>
          <w:p w14:paraId="4D191C42" w14:textId="77777777" w:rsidR="005C07DA" w:rsidRDefault="004172AA">
            <w:pPr>
              <w:jc w:val="both"/>
              <w:rPr>
                <w:rFonts w:ascii="Arial" w:eastAsia="Arial" w:hAnsi="Arial" w:cs="Arial"/>
                <w:sz w:val="20"/>
                <w:szCs w:val="20"/>
              </w:rPr>
            </w:pPr>
            <w:r>
              <w:rPr>
                <w:rFonts w:ascii="Arial" w:eastAsia="Arial" w:hAnsi="Arial" w:cs="Arial"/>
                <w:sz w:val="20"/>
                <w:szCs w:val="20"/>
              </w:rPr>
              <w:t>Cost data from 50 completed construction projects, clustered into three categories</w:t>
            </w:r>
          </w:p>
        </w:tc>
        <w:tc>
          <w:tcPr>
            <w:tcW w:w="1613" w:type="dxa"/>
          </w:tcPr>
          <w:p w14:paraId="575DF44E" w14:textId="77777777" w:rsidR="005C07DA" w:rsidRDefault="004172AA">
            <w:pPr>
              <w:jc w:val="both"/>
              <w:rPr>
                <w:rFonts w:ascii="Arial" w:eastAsia="Arial" w:hAnsi="Arial" w:cs="Arial"/>
                <w:sz w:val="20"/>
                <w:szCs w:val="20"/>
              </w:rPr>
            </w:pPr>
            <w:r>
              <w:rPr>
                <w:rFonts w:ascii="Arial" w:eastAsia="Arial" w:hAnsi="Arial" w:cs="Arial"/>
                <w:sz w:val="20"/>
                <w:szCs w:val="20"/>
              </w:rPr>
              <w:t>Improved BP neural network (SO–BP) with Snake Optimizer and Boruta feature selection</w:t>
            </w:r>
          </w:p>
        </w:tc>
        <w:tc>
          <w:tcPr>
            <w:tcW w:w="2105" w:type="dxa"/>
          </w:tcPr>
          <w:p w14:paraId="4A72367E" w14:textId="77777777" w:rsidR="005C07DA" w:rsidRDefault="004172AA">
            <w:pPr>
              <w:jc w:val="both"/>
              <w:rPr>
                <w:rFonts w:ascii="Arial" w:eastAsia="Arial" w:hAnsi="Arial" w:cs="Arial"/>
                <w:sz w:val="20"/>
                <w:szCs w:val="20"/>
              </w:rPr>
            </w:pPr>
            <w:r>
              <w:rPr>
                <w:rFonts w:ascii="Arial" w:eastAsia="Arial" w:hAnsi="Arial" w:cs="Arial"/>
                <w:sz w:val="20"/>
                <w:szCs w:val="20"/>
              </w:rPr>
              <w:t>18 initial engineering indicators reduced to 10 key features (e.g. scale, structural/technical characteristics)</w:t>
            </w:r>
          </w:p>
        </w:tc>
        <w:tc>
          <w:tcPr>
            <w:tcW w:w="1671" w:type="dxa"/>
          </w:tcPr>
          <w:p w14:paraId="1AA157AB" w14:textId="77777777" w:rsidR="005C07DA" w:rsidRDefault="004172AA">
            <w:pPr>
              <w:jc w:val="both"/>
              <w:rPr>
                <w:rFonts w:ascii="Arial" w:eastAsia="Arial" w:hAnsi="Arial" w:cs="Arial"/>
                <w:sz w:val="20"/>
                <w:szCs w:val="20"/>
              </w:rPr>
            </w:pPr>
            <w:r>
              <w:rPr>
                <w:rFonts w:ascii="Arial" w:eastAsia="Arial" w:hAnsi="Arial" w:cs="Arial"/>
                <w:sz w:val="20"/>
                <w:szCs w:val="20"/>
              </w:rPr>
              <w:t xml:space="preserve">SO–BP outperforms standard BP and PSO–BP in accuracy, stability and </w:t>
            </w:r>
            <w:proofErr w:type="spellStart"/>
            <w:r>
              <w:rPr>
                <w:rFonts w:ascii="Arial" w:eastAsia="Arial" w:hAnsi="Arial" w:cs="Arial"/>
                <w:sz w:val="20"/>
                <w:szCs w:val="20"/>
              </w:rPr>
              <w:t>generalisation</w:t>
            </w:r>
            <w:proofErr w:type="spellEnd"/>
          </w:p>
        </w:tc>
        <w:tc>
          <w:tcPr>
            <w:tcW w:w="3083" w:type="dxa"/>
          </w:tcPr>
          <w:p w14:paraId="3AACF112" w14:textId="77777777" w:rsidR="005C07DA" w:rsidRDefault="004172AA">
            <w:pPr>
              <w:jc w:val="both"/>
              <w:rPr>
                <w:rFonts w:ascii="Arial" w:eastAsia="Arial" w:hAnsi="Arial" w:cs="Arial"/>
                <w:sz w:val="20"/>
                <w:szCs w:val="20"/>
              </w:rPr>
            </w:pPr>
            <w:r>
              <w:rPr>
                <w:rFonts w:ascii="Arial" w:eastAsia="Arial" w:hAnsi="Arial" w:cs="Arial"/>
                <w:sz w:val="20"/>
                <w:szCs w:val="20"/>
              </w:rPr>
              <w:t>Metaheuristic-</w:t>
            </w:r>
            <w:proofErr w:type="spellStart"/>
            <w:r>
              <w:rPr>
                <w:rFonts w:ascii="Arial" w:eastAsia="Arial" w:hAnsi="Arial" w:cs="Arial"/>
                <w:sz w:val="20"/>
                <w:szCs w:val="20"/>
              </w:rPr>
              <w:t>optimised</w:t>
            </w:r>
            <w:proofErr w:type="spellEnd"/>
            <w:r>
              <w:rPr>
                <w:rFonts w:ascii="Arial" w:eastAsia="Arial" w:hAnsi="Arial" w:cs="Arial"/>
                <w:sz w:val="20"/>
                <w:szCs w:val="20"/>
              </w:rPr>
              <w:t xml:space="preserve"> NN with feature selection yields more reliable early cost estimates, informing feasibility studies and design-option screening.</w:t>
            </w:r>
          </w:p>
        </w:tc>
      </w:tr>
      <w:tr w:rsidR="005C07DA" w14:paraId="3223CA2B" w14:textId="77777777">
        <w:tc>
          <w:tcPr>
            <w:tcW w:w="1875" w:type="dxa"/>
          </w:tcPr>
          <w:p w14:paraId="4BFD7E65" w14:textId="77777777" w:rsidR="005C07DA" w:rsidRDefault="004172AA">
            <w:pPr>
              <w:jc w:val="both"/>
              <w:rPr>
                <w:rFonts w:ascii="Arial" w:eastAsia="Arial" w:hAnsi="Arial" w:cs="Arial"/>
                <w:sz w:val="20"/>
                <w:szCs w:val="20"/>
              </w:rPr>
            </w:pPr>
            <w:proofErr w:type="spellStart"/>
            <w:r>
              <w:rPr>
                <w:rFonts w:ascii="Arial" w:eastAsia="Arial" w:hAnsi="Arial" w:cs="Arial"/>
                <w:sz w:val="20"/>
                <w:szCs w:val="20"/>
              </w:rPr>
              <w:t>Debero</w:t>
            </w:r>
            <w:proofErr w:type="spellEnd"/>
            <w:r>
              <w:rPr>
                <w:rFonts w:ascii="Arial" w:eastAsia="Arial" w:hAnsi="Arial" w:cs="Arial"/>
                <w:sz w:val="20"/>
                <w:szCs w:val="20"/>
              </w:rPr>
              <w:t xml:space="preserve"> &amp; </w:t>
            </w:r>
            <w:proofErr w:type="spellStart"/>
            <w:r>
              <w:rPr>
                <w:rFonts w:ascii="Arial" w:eastAsia="Arial" w:hAnsi="Arial" w:cs="Arial"/>
                <w:sz w:val="20"/>
                <w:szCs w:val="20"/>
              </w:rPr>
              <w:t>Sinesilassie</w:t>
            </w:r>
            <w:proofErr w:type="spellEnd"/>
            <w:r>
              <w:rPr>
                <w:rFonts w:ascii="Arial" w:eastAsia="Arial" w:hAnsi="Arial" w:cs="Arial"/>
                <w:sz w:val="20"/>
                <w:szCs w:val="20"/>
              </w:rPr>
              <w:t>, 2024</w:t>
            </w:r>
          </w:p>
        </w:tc>
        <w:tc>
          <w:tcPr>
            <w:tcW w:w="1594" w:type="dxa"/>
          </w:tcPr>
          <w:p w14:paraId="56E6C347" w14:textId="77777777" w:rsidR="005C07DA" w:rsidRDefault="004172AA">
            <w:pPr>
              <w:jc w:val="both"/>
              <w:rPr>
                <w:rFonts w:ascii="Arial" w:eastAsia="Arial" w:hAnsi="Arial" w:cs="Arial"/>
                <w:sz w:val="20"/>
                <w:szCs w:val="20"/>
              </w:rPr>
            </w:pPr>
            <w:r>
              <w:rPr>
                <w:rFonts w:ascii="Arial" w:eastAsia="Arial" w:hAnsi="Arial" w:cs="Arial"/>
                <w:sz w:val="20"/>
                <w:szCs w:val="20"/>
              </w:rPr>
              <w:t>Ethiopia; public building projects (Hadiya Zone, Hosanna)</w:t>
            </w:r>
          </w:p>
        </w:tc>
        <w:tc>
          <w:tcPr>
            <w:tcW w:w="1606" w:type="dxa"/>
          </w:tcPr>
          <w:p w14:paraId="6DDE6BC8" w14:textId="77777777" w:rsidR="005C07DA" w:rsidRDefault="004172AA">
            <w:pPr>
              <w:jc w:val="both"/>
              <w:rPr>
                <w:rFonts w:ascii="Arial" w:eastAsia="Arial" w:hAnsi="Arial" w:cs="Arial"/>
                <w:sz w:val="20"/>
                <w:szCs w:val="20"/>
              </w:rPr>
            </w:pPr>
            <w:r>
              <w:rPr>
                <w:rFonts w:ascii="Arial" w:eastAsia="Arial" w:hAnsi="Arial" w:cs="Arial"/>
                <w:sz w:val="20"/>
                <w:szCs w:val="20"/>
              </w:rPr>
              <w:t>Contract duration / time overrun; early project duration</w:t>
            </w:r>
          </w:p>
        </w:tc>
        <w:tc>
          <w:tcPr>
            <w:tcW w:w="1621" w:type="dxa"/>
          </w:tcPr>
          <w:p w14:paraId="08D9D491" w14:textId="77777777" w:rsidR="005C07DA" w:rsidRDefault="004172AA">
            <w:pPr>
              <w:jc w:val="both"/>
              <w:rPr>
                <w:rFonts w:ascii="Arial" w:eastAsia="Arial" w:hAnsi="Arial" w:cs="Arial"/>
                <w:sz w:val="20"/>
                <w:szCs w:val="20"/>
              </w:rPr>
            </w:pPr>
            <w:r>
              <w:rPr>
                <w:rFonts w:ascii="Arial" w:eastAsia="Arial" w:hAnsi="Arial" w:cs="Arial"/>
                <w:sz w:val="20"/>
                <w:szCs w:val="20"/>
              </w:rPr>
              <w:t>Questionnaire-based project data for selected public buildings</w:t>
            </w:r>
          </w:p>
        </w:tc>
        <w:tc>
          <w:tcPr>
            <w:tcW w:w="1613" w:type="dxa"/>
          </w:tcPr>
          <w:p w14:paraId="27BC6A5C" w14:textId="77777777" w:rsidR="005C07DA" w:rsidRDefault="004172AA">
            <w:pPr>
              <w:jc w:val="both"/>
              <w:rPr>
                <w:rFonts w:ascii="Arial" w:eastAsia="Arial" w:hAnsi="Arial" w:cs="Arial"/>
                <w:sz w:val="20"/>
                <w:szCs w:val="20"/>
              </w:rPr>
            </w:pPr>
            <w:r>
              <w:rPr>
                <w:rFonts w:ascii="Arial" w:eastAsia="Arial" w:hAnsi="Arial" w:cs="Arial"/>
                <w:sz w:val="20"/>
                <w:szCs w:val="20"/>
              </w:rPr>
              <w:t xml:space="preserve">Linear regression (time–cost and time–floor models) and ML models (RF, </w:t>
            </w:r>
            <w:proofErr w:type="spellStart"/>
            <w:r>
              <w:rPr>
                <w:rFonts w:ascii="Arial" w:eastAsia="Arial" w:hAnsi="Arial" w:cs="Arial"/>
                <w:sz w:val="20"/>
                <w:szCs w:val="20"/>
              </w:rPr>
              <w:t>XGBoost</w:t>
            </w:r>
            <w:proofErr w:type="spellEnd"/>
            <w:r>
              <w:rPr>
                <w:rFonts w:ascii="Arial" w:eastAsia="Arial" w:hAnsi="Arial" w:cs="Arial"/>
                <w:sz w:val="20"/>
                <w:szCs w:val="20"/>
              </w:rPr>
              <w:t>, decision tree, KNN, polynomial regression)</w:t>
            </w:r>
          </w:p>
        </w:tc>
        <w:tc>
          <w:tcPr>
            <w:tcW w:w="2105" w:type="dxa"/>
          </w:tcPr>
          <w:p w14:paraId="0249214B" w14:textId="77777777" w:rsidR="005C07DA" w:rsidRDefault="004172AA">
            <w:pPr>
              <w:jc w:val="both"/>
              <w:rPr>
                <w:rFonts w:ascii="Arial" w:eastAsia="Arial" w:hAnsi="Arial" w:cs="Arial"/>
                <w:sz w:val="20"/>
                <w:szCs w:val="20"/>
              </w:rPr>
            </w:pPr>
            <w:r>
              <w:rPr>
                <w:rFonts w:ascii="Arial" w:eastAsia="Arial" w:hAnsi="Arial" w:cs="Arial"/>
                <w:sz w:val="20"/>
                <w:szCs w:val="20"/>
              </w:rPr>
              <w:t>Cost, floor area, and additional project-influencing factors (project characteristics and management variables)</w:t>
            </w:r>
          </w:p>
        </w:tc>
        <w:tc>
          <w:tcPr>
            <w:tcW w:w="1671" w:type="dxa"/>
          </w:tcPr>
          <w:p w14:paraId="4A8EF3DE" w14:textId="77777777" w:rsidR="005C07DA" w:rsidRDefault="004172AA">
            <w:pPr>
              <w:jc w:val="both"/>
              <w:rPr>
                <w:rFonts w:ascii="Arial" w:eastAsia="Arial" w:hAnsi="Arial" w:cs="Arial"/>
                <w:sz w:val="20"/>
                <w:szCs w:val="20"/>
              </w:rPr>
            </w:pPr>
            <w:r>
              <w:rPr>
                <w:rFonts w:ascii="Arial" w:eastAsia="Arial" w:hAnsi="Arial" w:cs="Arial"/>
                <w:sz w:val="20"/>
                <w:szCs w:val="20"/>
              </w:rPr>
              <w:t>ML models (especially RF/</w:t>
            </w:r>
            <w:proofErr w:type="spellStart"/>
            <w:r>
              <w:rPr>
                <w:rFonts w:ascii="Arial" w:eastAsia="Arial" w:hAnsi="Arial" w:cs="Arial"/>
                <w:sz w:val="20"/>
                <w:szCs w:val="20"/>
              </w:rPr>
              <w:t>XGBoost</w:t>
            </w:r>
            <w:proofErr w:type="spellEnd"/>
            <w:r>
              <w:rPr>
                <w:rFonts w:ascii="Arial" w:eastAsia="Arial" w:hAnsi="Arial" w:cs="Arial"/>
                <w:sz w:val="20"/>
                <w:szCs w:val="20"/>
              </w:rPr>
              <w:t>) outperform classical time–cost and time–floor regressions</w:t>
            </w:r>
          </w:p>
        </w:tc>
        <w:tc>
          <w:tcPr>
            <w:tcW w:w="3083" w:type="dxa"/>
          </w:tcPr>
          <w:p w14:paraId="692E5946" w14:textId="77777777" w:rsidR="005C07DA" w:rsidRDefault="004172AA">
            <w:pPr>
              <w:jc w:val="both"/>
              <w:rPr>
                <w:rFonts w:ascii="Arial" w:eastAsia="Arial" w:hAnsi="Arial" w:cs="Arial"/>
                <w:sz w:val="20"/>
                <w:szCs w:val="20"/>
              </w:rPr>
            </w:pPr>
            <w:r>
              <w:rPr>
                <w:rFonts w:ascii="Arial" w:eastAsia="Arial" w:hAnsi="Arial" w:cs="Arial"/>
                <w:sz w:val="20"/>
                <w:szCs w:val="20"/>
              </w:rPr>
              <w:t>Validates classical time models and shows ML alternatives can better predict construction time, supporting proactive schedule planning and mitigation of time overruns.</w:t>
            </w:r>
          </w:p>
        </w:tc>
      </w:tr>
      <w:tr w:rsidR="005C07DA" w14:paraId="331D1C0F" w14:textId="77777777">
        <w:tc>
          <w:tcPr>
            <w:tcW w:w="1875" w:type="dxa"/>
          </w:tcPr>
          <w:p w14:paraId="220F9124" w14:textId="77777777" w:rsidR="005C07DA" w:rsidRDefault="004172AA">
            <w:pPr>
              <w:jc w:val="both"/>
              <w:rPr>
                <w:rFonts w:ascii="Arial" w:eastAsia="Arial" w:hAnsi="Arial" w:cs="Arial"/>
                <w:sz w:val="20"/>
                <w:szCs w:val="20"/>
              </w:rPr>
            </w:pPr>
            <w:proofErr w:type="spellStart"/>
            <w:r>
              <w:rPr>
                <w:rFonts w:ascii="Arial" w:eastAsia="Arial" w:hAnsi="Arial" w:cs="Arial"/>
                <w:sz w:val="20"/>
                <w:szCs w:val="20"/>
              </w:rPr>
              <w:t>Egwim</w:t>
            </w:r>
            <w:proofErr w:type="spellEnd"/>
            <w:r>
              <w:rPr>
                <w:rFonts w:ascii="Arial" w:eastAsia="Arial" w:hAnsi="Arial" w:cs="Arial"/>
                <w:sz w:val="20"/>
                <w:szCs w:val="20"/>
              </w:rPr>
              <w:t xml:space="preserve"> et al., 2021</w:t>
            </w:r>
          </w:p>
        </w:tc>
        <w:tc>
          <w:tcPr>
            <w:tcW w:w="1594" w:type="dxa"/>
          </w:tcPr>
          <w:p w14:paraId="4A3FCA6D" w14:textId="77777777" w:rsidR="005C07DA" w:rsidRDefault="004172AA">
            <w:pPr>
              <w:jc w:val="both"/>
              <w:rPr>
                <w:rFonts w:ascii="Arial" w:eastAsia="Arial" w:hAnsi="Arial" w:cs="Arial"/>
                <w:sz w:val="20"/>
                <w:szCs w:val="20"/>
              </w:rPr>
            </w:pPr>
            <w:r>
              <w:rPr>
                <w:rFonts w:ascii="Arial" w:eastAsia="Arial" w:hAnsi="Arial" w:cs="Arial"/>
                <w:sz w:val="20"/>
                <w:szCs w:val="20"/>
              </w:rPr>
              <w:t>General construction projects (country not explicitly stated)</w:t>
            </w:r>
          </w:p>
        </w:tc>
        <w:tc>
          <w:tcPr>
            <w:tcW w:w="1606" w:type="dxa"/>
          </w:tcPr>
          <w:p w14:paraId="0C4581DB" w14:textId="77777777" w:rsidR="005C07DA" w:rsidRDefault="004172AA">
            <w:pPr>
              <w:jc w:val="both"/>
              <w:rPr>
                <w:rFonts w:ascii="Arial" w:eastAsia="Arial" w:hAnsi="Arial" w:cs="Arial"/>
                <w:sz w:val="20"/>
                <w:szCs w:val="20"/>
              </w:rPr>
            </w:pPr>
            <w:r>
              <w:rPr>
                <w:rFonts w:ascii="Arial" w:eastAsia="Arial" w:hAnsi="Arial" w:cs="Arial"/>
                <w:sz w:val="20"/>
                <w:szCs w:val="20"/>
              </w:rPr>
              <w:t>Project delay prediction (extent of delay)</w:t>
            </w:r>
          </w:p>
        </w:tc>
        <w:tc>
          <w:tcPr>
            <w:tcW w:w="1621" w:type="dxa"/>
          </w:tcPr>
          <w:p w14:paraId="61936242" w14:textId="77777777" w:rsidR="005C07DA" w:rsidRDefault="004172AA">
            <w:pPr>
              <w:jc w:val="both"/>
              <w:rPr>
                <w:rFonts w:ascii="Arial" w:eastAsia="Arial" w:hAnsi="Arial" w:cs="Arial"/>
                <w:sz w:val="20"/>
                <w:szCs w:val="20"/>
              </w:rPr>
            </w:pPr>
            <w:r>
              <w:rPr>
                <w:rFonts w:ascii="Arial" w:eastAsia="Arial" w:hAnsi="Arial" w:cs="Arial"/>
                <w:sz w:val="20"/>
                <w:szCs w:val="20"/>
              </w:rPr>
              <w:t>Expert-derived delay factors and quantitative survey data from previous projects</w:t>
            </w:r>
          </w:p>
        </w:tc>
        <w:tc>
          <w:tcPr>
            <w:tcW w:w="1613" w:type="dxa"/>
          </w:tcPr>
          <w:p w14:paraId="6E2D648D" w14:textId="77777777" w:rsidR="005C07DA" w:rsidRDefault="004172AA">
            <w:pPr>
              <w:jc w:val="both"/>
              <w:rPr>
                <w:rFonts w:ascii="Arial" w:eastAsia="Arial" w:hAnsi="Arial" w:cs="Arial"/>
                <w:sz w:val="20"/>
                <w:szCs w:val="20"/>
              </w:rPr>
            </w:pPr>
            <w:r>
              <w:rPr>
                <w:rFonts w:ascii="Arial" w:eastAsia="Arial" w:hAnsi="Arial" w:cs="Arial"/>
                <w:sz w:val="20"/>
                <w:szCs w:val="20"/>
              </w:rPr>
              <w:t xml:space="preserve">Ensemble ML algorithms (bagging, boosting, Naïve Bayes) and stacking “ensemble of </w:t>
            </w:r>
            <w:r>
              <w:rPr>
                <w:rFonts w:ascii="Arial" w:eastAsia="Arial" w:hAnsi="Arial" w:cs="Arial"/>
                <w:sz w:val="20"/>
                <w:szCs w:val="20"/>
              </w:rPr>
              <w:lastRenderedPageBreak/>
              <w:t xml:space="preserve">ensembles” combining DT, RF, Extra Trees, AdaBoost, GBM, </w:t>
            </w:r>
            <w:proofErr w:type="spellStart"/>
            <w:r>
              <w:rPr>
                <w:rFonts w:ascii="Arial" w:eastAsia="Arial" w:hAnsi="Arial" w:cs="Arial"/>
                <w:sz w:val="20"/>
                <w:szCs w:val="20"/>
              </w:rPr>
              <w:t>XGBoost</w:t>
            </w:r>
            <w:proofErr w:type="spellEnd"/>
            <w:r>
              <w:rPr>
                <w:rFonts w:ascii="Arial" w:eastAsia="Arial" w:hAnsi="Arial" w:cs="Arial"/>
                <w:sz w:val="20"/>
                <w:szCs w:val="20"/>
              </w:rPr>
              <w:t>, NB</w:t>
            </w:r>
          </w:p>
        </w:tc>
        <w:tc>
          <w:tcPr>
            <w:tcW w:w="2105" w:type="dxa"/>
          </w:tcPr>
          <w:p w14:paraId="5E77689C" w14:textId="77777777" w:rsidR="005C07DA" w:rsidRDefault="004172AA">
            <w:pPr>
              <w:jc w:val="both"/>
              <w:rPr>
                <w:rFonts w:ascii="Arial" w:eastAsia="Arial" w:hAnsi="Arial" w:cs="Arial"/>
                <w:sz w:val="20"/>
                <w:szCs w:val="20"/>
              </w:rPr>
            </w:pPr>
            <w:r>
              <w:rPr>
                <w:rFonts w:ascii="Arial" w:eastAsia="Arial" w:hAnsi="Arial" w:cs="Arial"/>
                <w:sz w:val="20"/>
                <w:szCs w:val="20"/>
              </w:rPr>
              <w:lastRenderedPageBreak/>
              <w:t>Quantified impacts of known delay sources (risk factors from literature and expert survey)</w:t>
            </w:r>
          </w:p>
        </w:tc>
        <w:tc>
          <w:tcPr>
            <w:tcW w:w="1671" w:type="dxa"/>
          </w:tcPr>
          <w:p w14:paraId="25F51E63" w14:textId="77777777" w:rsidR="005C07DA" w:rsidRDefault="004172AA">
            <w:pPr>
              <w:jc w:val="both"/>
              <w:rPr>
                <w:rFonts w:ascii="Arial" w:eastAsia="Arial" w:hAnsi="Arial" w:cs="Arial"/>
                <w:sz w:val="20"/>
                <w:szCs w:val="20"/>
              </w:rPr>
            </w:pPr>
            <w:r>
              <w:rPr>
                <w:rFonts w:ascii="Arial" w:eastAsia="Arial" w:hAnsi="Arial" w:cs="Arial"/>
                <w:sz w:val="20"/>
                <w:szCs w:val="20"/>
              </w:rPr>
              <w:t xml:space="preserve">High performance across accuracy, precision, recall, F1 and ROC AUC, with </w:t>
            </w:r>
            <w:r>
              <w:rPr>
                <w:rFonts w:ascii="Arial" w:eastAsia="Arial" w:hAnsi="Arial" w:cs="Arial"/>
                <w:sz w:val="20"/>
                <w:szCs w:val="20"/>
              </w:rPr>
              <w:lastRenderedPageBreak/>
              <w:t>stacking model outperforming single algorithms</w:t>
            </w:r>
          </w:p>
        </w:tc>
        <w:tc>
          <w:tcPr>
            <w:tcW w:w="3083" w:type="dxa"/>
          </w:tcPr>
          <w:p w14:paraId="479B7D27" w14:textId="77777777" w:rsidR="005C07DA" w:rsidRDefault="004172AA">
            <w:pPr>
              <w:jc w:val="both"/>
              <w:rPr>
                <w:rFonts w:ascii="Arial" w:eastAsia="Arial" w:hAnsi="Arial" w:cs="Arial"/>
                <w:sz w:val="20"/>
                <w:szCs w:val="20"/>
              </w:rPr>
            </w:pPr>
            <w:r>
              <w:rPr>
                <w:rFonts w:ascii="Arial" w:eastAsia="Arial" w:hAnsi="Arial" w:cs="Arial"/>
                <w:sz w:val="20"/>
                <w:szCs w:val="20"/>
              </w:rPr>
              <w:lastRenderedPageBreak/>
              <w:t>Stacked ensembles substantially improve delay prediction, enabling earlier flagging of high-risk projects and supporting data-driven delay-mitigation strategies.</w:t>
            </w:r>
          </w:p>
        </w:tc>
      </w:tr>
      <w:tr w:rsidR="005C07DA" w14:paraId="3C59F3BE" w14:textId="77777777">
        <w:tc>
          <w:tcPr>
            <w:tcW w:w="1875" w:type="dxa"/>
          </w:tcPr>
          <w:p w14:paraId="7ECA2B96" w14:textId="77777777" w:rsidR="005C07DA" w:rsidRDefault="004172AA">
            <w:pPr>
              <w:jc w:val="both"/>
              <w:rPr>
                <w:rFonts w:ascii="Arial" w:eastAsia="Arial" w:hAnsi="Arial" w:cs="Arial"/>
                <w:sz w:val="20"/>
                <w:szCs w:val="20"/>
              </w:rPr>
            </w:pPr>
            <w:proofErr w:type="spellStart"/>
            <w:r>
              <w:rPr>
                <w:rFonts w:ascii="Arial" w:eastAsia="Arial" w:hAnsi="Arial" w:cs="Arial"/>
                <w:sz w:val="20"/>
                <w:szCs w:val="20"/>
              </w:rPr>
              <w:t>Gondia</w:t>
            </w:r>
            <w:proofErr w:type="spellEnd"/>
            <w:r>
              <w:rPr>
                <w:rFonts w:ascii="Arial" w:eastAsia="Arial" w:hAnsi="Arial" w:cs="Arial"/>
                <w:sz w:val="20"/>
                <w:szCs w:val="20"/>
              </w:rPr>
              <w:t xml:space="preserve"> et al., 2020</w:t>
            </w:r>
          </w:p>
        </w:tc>
        <w:tc>
          <w:tcPr>
            <w:tcW w:w="1594" w:type="dxa"/>
          </w:tcPr>
          <w:p w14:paraId="2CF705EA" w14:textId="77777777" w:rsidR="005C07DA" w:rsidRDefault="004172AA">
            <w:pPr>
              <w:jc w:val="both"/>
              <w:rPr>
                <w:rFonts w:ascii="Arial" w:eastAsia="Arial" w:hAnsi="Arial" w:cs="Arial"/>
                <w:sz w:val="20"/>
                <w:szCs w:val="20"/>
              </w:rPr>
            </w:pPr>
            <w:r>
              <w:rPr>
                <w:rFonts w:ascii="Arial" w:eastAsia="Arial" w:hAnsi="Arial" w:cs="Arial"/>
                <w:sz w:val="20"/>
                <w:szCs w:val="20"/>
              </w:rPr>
              <w:t>Construction projects; multivariate dataset of past projects</w:t>
            </w:r>
          </w:p>
        </w:tc>
        <w:tc>
          <w:tcPr>
            <w:tcW w:w="1606" w:type="dxa"/>
          </w:tcPr>
          <w:p w14:paraId="1BAAB58E" w14:textId="77777777" w:rsidR="005C07DA" w:rsidRDefault="004172AA">
            <w:pPr>
              <w:jc w:val="both"/>
              <w:rPr>
                <w:rFonts w:ascii="Arial" w:eastAsia="Arial" w:hAnsi="Arial" w:cs="Arial"/>
                <w:sz w:val="20"/>
                <w:szCs w:val="20"/>
              </w:rPr>
            </w:pPr>
            <w:r>
              <w:rPr>
                <w:rFonts w:ascii="Arial" w:eastAsia="Arial" w:hAnsi="Arial" w:cs="Arial"/>
                <w:sz w:val="20"/>
                <w:szCs w:val="20"/>
              </w:rPr>
              <w:t>Delay risk prediction (delay extent classes)</w:t>
            </w:r>
          </w:p>
        </w:tc>
        <w:tc>
          <w:tcPr>
            <w:tcW w:w="1621" w:type="dxa"/>
          </w:tcPr>
          <w:p w14:paraId="7F03D05D" w14:textId="77777777" w:rsidR="005C07DA" w:rsidRDefault="004172AA">
            <w:pPr>
              <w:jc w:val="both"/>
              <w:rPr>
                <w:rFonts w:ascii="Arial" w:eastAsia="Arial" w:hAnsi="Arial" w:cs="Arial"/>
                <w:sz w:val="20"/>
                <w:szCs w:val="20"/>
              </w:rPr>
            </w:pPr>
            <w:r>
              <w:rPr>
                <w:rFonts w:ascii="Arial" w:eastAsia="Arial" w:hAnsi="Arial" w:cs="Arial"/>
                <w:sz w:val="20"/>
                <w:szCs w:val="20"/>
              </w:rPr>
              <w:t>Multivariate data of prior projects’ time performance and delay-inducing risk sources</w:t>
            </w:r>
          </w:p>
        </w:tc>
        <w:tc>
          <w:tcPr>
            <w:tcW w:w="1613" w:type="dxa"/>
          </w:tcPr>
          <w:p w14:paraId="505D8070" w14:textId="77777777" w:rsidR="005C07DA" w:rsidRDefault="004172AA">
            <w:pPr>
              <w:jc w:val="both"/>
              <w:rPr>
                <w:rFonts w:ascii="Arial" w:eastAsia="Arial" w:hAnsi="Arial" w:cs="Arial"/>
                <w:sz w:val="20"/>
                <w:szCs w:val="20"/>
              </w:rPr>
            </w:pPr>
            <w:r>
              <w:rPr>
                <w:rFonts w:ascii="Arial" w:eastAsia="Arial" w:hAnsi="Arial" w:cs="Arial"/>
                <w:sz w:val="20"/>
                <w:szCs w:val="20"/>
              </w:rPr>
              <w:t>Decision tree and naïve Bayes classification models</w:t>
            </w:r>
          </w:p>
        </w:tc>
        <w:tc>
          <w:tcPr>
            <w:tcW w:w="2105" w:type="dxa"/>
          </w:tcPr>
          <w:p w14:paraId="2E151DE2" w14:textId="77777777" w:rsidR="005C07DA" w:rsidRDefault="004172AA">
            <w:pPr>
              <w:jc w:val="both"/>
              <w:rPr>
                <w:rFonts w:ascii="Arial" w:eastAsia="Arial" w:hAnsi="Arial" w:cs="Arial"/>
                <w:sz w:val="20"/>
                <w:szCs w:val="20"/>
              </w:rPr>
            </w:pPr>
            <w:r>
              <w:rPr>
                <w:rFonts w:ascii="Arial" w:eastAsia="Arial" w:hAnsi="Arial" w:cs="Arial"/>
                <w:sz w:val="20"/>
                <w:szCs w:val="20"/>
              </w:rPr>
              <w:t>Catalogued delay risk factors (contract, management, external, design, etc.) with interdependencies explored via EDA</w:t>
            </w:r>
          </w:p>
        </w:tc>
        <w:tc>
          <w:tcPr>
            <w:tcW w:w="1671" w:type="dxa"/>
          </w:tcPr>
          <w:p w14:paraId="7B282EBB" w14:textId="77777777" w:rsidR="005C07DA" w:rsidRDefault="004172AA">
            <w:pPr>
              <w:jc w:val="both"/>
              <w:rPr>
                <w:rFonts w:ascii="Arial" w:eastAsia="Arial" w:hAnsi="Arial" w:cs="Arial"/>
                <w:sz w:val="20"/>
                <w:szCs w:val="20"/>
              </w:rPr>
            </w:pPr>
            <w:r>
              <w:rPr>
                <w:rFonts w:ascii="Arial" w:eastAsia="Arial" w:hAnsi="Arial" w:cs="Arial"/>
                <w:sz w:val="20"/>
                <w:szCs w:val="20"/>
              </w:rPr>
              <w:t>Cross-validation shows naïve Bayes outperforms decision tree on prediction metrics</w:t>
            </w:r>
          </w:p>
        </w:tc>
        <w:tc>
          <w:tcPr>
            <w:tcW w:w="3083" w:type="dxa"/>
          </w:tcPr>
          <w:p w14:paraId="4F95AEA6" w14:textId="77777777" w:rsidR="005C07DA" w:rsidRDefault="004172AA">
            <w:pPr>
              <w:jc w:val="both"/>
              <w:rPr>
                <w:rFonts w:ascii="Arial" w:eastAsia="Arial" w:hAnsi="Arial" w:cs="Arial"/>
                <w:sz w:val="20"/>
                <w:szCs w:val="20"/>
              </w:rPr>
            </w:pPr>
            <w:r>
              <w:rPr>
                <w:rFonts w:ascii="Arial" w:eastAsia="Arial" w:hAnsi="Arial" w:cs="Arial"/>
                <w:sz w:val="20"/>
                <w:szCs w:val="20"/>
              </w:rPr>
              <w:t>Even simple ML classifiers can support delay-risk analysis in complex construction systems, enhancing proactive risk management and decision-making.</w:t>
            </w:r>
          </w:p>
        </w:tc>
      </w:tr>
      <w:tr w:rsidR="005C07DA" w14:paraId="5E752F52" w14:textId="77777777">
        <w:tc>
          <w:tcPr>
            <w:tcW w:w="1875" w:type="dxa"/>
          </w:tcPr>
          <w:p w14:paraId="61E886E7" w14:textId="77777777" w:rsidR="005C07DA" w:rsidRDefault="004172AA">
            <w:pPr>
              <w:jc w:val="both"/>
              <w:rPr>
                <w:rFonts w:ascii="Arial" w:eastAsia="Arial" w:hAnsi="Arial" w:cs="Arial"/>
                <w:sz w:val="20"/>
                <w:szCs w:val="20"/>
              </w:rPr>
            </w:pPr>
            <w:r>
              <w:rPr>
                <w:rFonts w:ascii="Arial" w:eastAsia="Arial" w:hAnsi="Arial" w:cs="Arial"/>
                <w:sz w:val="20"/>
                <w:szCs w:val="20"/>
              </w:rPr>
              <w:t>Huang &amp; Hsieh, 2020</w:t>
            </w:r>
          </w:p>
        </w:tc>
        <w:tc>
          <w:tcPr>
            <w:tcW w:w="1594" w:type="dxa"/>
          </w:tcPr>
          <w:p w14:paraId="308C45AD" w14:textId="77777777" w:rsidR="005C07DA" w:rsidRDefault="004172AA">
            <w:pPr>
              <w:jc w:val="both"/>
              <w:rPr>
                <w:rFonts w:ascii="Arial" w:eastAsia="Arial" w:hAnsi="Arial" w:cs="Arial"/>
                <w:sz w:val="20"/>
                <w:szCs w:val="20"/>
              </w:rPr>
            </w:pPr>
            <w:r>
              <w:rPr>
                <w:rFonts w:ascii="Arial" w:eastAsia="Arial" w:hAnsi="Arial" w:cs="Arial"/>
                <w:sz w:val="20"/>
                <w:szCs w:val="20"/>
              </w:rPr>
              <w:t>Taiwan; BIM projects from a leading construction company (19 projects)</w:t>
            </w:r>
          </w:p>
        </w:tc>
        <w:tc>
          <w:tcPr>
            <w:tcW w:w="1606" w:type="dxa"/>
          </w:tcPr>
          <w:p w14:paraId="1059DE0F" w14:textId="77777777" w:rsidR="005C07DA" w:rsidRDefault="004172AA">
            <w:pPr>
              <w:jc w:val="both"/>
              <w:rPr>
                <w:rFonts w:ascii="Arial" w:eastAsia="Arial" w:hAnsi="Arial" w:cs="Arial"/>
                <w:sz w:val="20"/>
                <w:szCs w:val="20"/>
              </w:rPr>
            </w:pPr>
            <w:r>
              <w:rPr>
                <w:rFonts w:ascii="Arial" w:eastAsia="Arial" w:hAnsi="Arial" w:cs="Arial"/>
                <w:sz w:val="20"/>
                <w:szCs w:val="20"/>
              </w:rPr>
              <w:t xml:space="preserve">BIM </w:t>
            </w:r>
            <w:proofErr w:type="spellStart"/>
            <w:r>
              <w:rPr>
                <w:rFonts w:ascii="Arial" w:eastAsia="Arial" w:hAnsi="Arial" w:cs="Arial"/>
                <w:sz w:val="20"/>
                <w:szCs w:val="20"/>
              </w:rPr>
              <w:t>labour</w:t>
            </w:r>
            <w:proofErr w:type="spellEnd"/>
            <w:r>
              <w:rPr>
                <w:rFonts w:ascii="Arial" w:eastAsia="Arial" w:hAnsi="Arial" w:cs="Arial"/>
                <w:sz w:val="20"/>
                <w:szCs w:val="20"/>
              </w:rPr>
              <w:t xml:space="preserve"> cost prediction</w:t>
            </w:r>
          </w:p>
        </w:tc>
        <w:tc>
          <w:tcPr>
            <w:tcW w:w="1621" w:type="dxa"/>
          </w:tcPr>
          <w:p w14:paraId="62A8A19D" w14:textId="77777777" w:rsidR="005C07DA" w:rsidRDefault="004172AA">
            <w:pPr>
              <w:jc w:val="both"/>
              <w:rPr>
                <w:rFonts w:ascii="Arial" w:eastAsia="Arial" w:hAnsi="Arial" w:cs="Arial"/>
                <w:sz w:val="20"/>
                <w:szCs w:val="20"/>
              </w:rPr>
            </w:pPr>
            <w:r>
              <w:rPr>
                <w:rFonts w:ascii="Arial" w:eastAsia="Arial" w:hAnsi="Arial" w:cs="Arial"/>
                <w:sz w:val="20"/>
                <w:szCs w:val="20"/>
              </w:rPr>
              <w:t xml:space="preserve">Historical BIM </w:t>
            </w:r>
            <w:proofErr w:type="spellStart"/>
            <w:r>
              <w:rPr>
                <w:rFonts w:ascii="Arial" w:eastAsia="Arial" w:hAnsi="Arial" w:cs="Arial"/>
                <w:sz w:val="20"/>
                <w:szCs w:val="20"/>
              </w:rPr>
              <w:t>labour</w:t>
            </w:r>
            <w:proofErr w:type="spellEnd"/>
            <w:r>
              <w:rPr>
                <w:rFonts w:ascii="Arial" w:eastAsia="Arial" w:hAnsi="Arial" w:cs="Arial"/>
                <w:sz w:val="20"/>
                <w:szCs w:val="20"/>
              </w:rPr>
              <w:t xml:space="preserve"> cost data from 19 completed BIM projects</w:t>
            </w:r>
          </w:p>
        </w:tc>
        <w:tc>
          <w:tcPr>
            <w:tcW w:w="1613" w:type="dxa"/>
          </w:tcPr>
          <w:p w14:paraId="7A4CFEC4" w14:textId="77777777" w:rsidR="005C07DA" w:rsidRDefault="004172AA">
            <w:pPr>
              <w:jc w:val="both"/>
              <w:rPr>
                <w:rFonts w:ascii="Arial" w:eastAsia="Arial" w:hAnsi="Arial" w:cs="Arial"/>
                <w:sz w:val="20"/>
                <w:szCs w:val="20"/>
              </w:rPr>
            </w:pPr>
            <w:r>
              <w:rPr>
                <w:rFonts w:ascii="Arial" w:eastAsia="Arial" w:hAnsi="Arial" w:cs="Arial"/>
                <w:sz w:val="20"/>
                <w:szCs w:val="20"/>
              </w:rPr>
              <w:t>Hybrid Random Forest (RF) + Simple Linear Regression (SLR) under CRISP-DM framework; clustering used</w:t>
            </w:r>
          </w:p>
        </w:tc>
        <w:tc>
          <w:tcPr>
            <w:tcW w:w="2105" w:type="dxa"/>
          </w:tcPr>
          <w:p w14:paraId="76D69345" w14:textId="77777777" w:rsidR="005C07DA" w:rsidRDefault="004172AA">
            <w:pPr>
              <w:jc w:val="both"/>
              <w:rPr>
                <w:rFonts w:ascii="Arial" w:eastAsia="Arial" w:hAnsi="Arial" w:cs="Arial"/>
                <w:sz w:val="20"/>
                <w:szCs w:val="20"/>
              </w:rPr>
            </w:pPr>
            <w:r>
              <w:rPr>
                <w:rFonts w:ascii="Arial" w:eastAsia="Arial" w:hAnsi="Arial" w:cs="Arial"/>
                <w:sz w:val="20"/>
                <w:szCs w:val="20"/>
              </w:rPr>
              <w:t>Cost breakdown structure variables, effective floor area and other project characteristics</w:t>
            </w:r>
          </w:p>
        </w:tc>
        <w:tc>
          <w:tcPr>
            <w:tcW w:w="1671" w:type="dxa"/>
          </w:tcPr>
          <w:p w14:paraId="20DCB7D4" w14:textId="77777777" w:rsidR="005C07DA" w:rsidRDefault="004172AA">
            <w:pPr>
              <w:jc w:val="both"/>
              <w:rPr>
                <w:rFonts w:ascii="Arial" w:eastAsia="Arial" w:hAnsi="Arial" w:cs="Arial"/>
                <w:sz w:val="20"/>
                <w:szCs w:val="20"/>
              </w:rPr>
            </w:pPr>
            <w:r>
              <w:rPr>
                <w:rFonts w:ascii="Arial" w:eastAsia="Arial" w:hAnsi="Arial" w:cs="Arial"/>
                <w:sz w:val="20"/>
                <w:szCs w:val="20"/>
              </w:rPr>
              <w:t>Hybrid RF+SLR with clustering reduces prediction error versus simple linear regression</w:t>
            </w:r>
          </w:p>
        </w:tc>
        <w:tc>
          <w:tcPr>
            <w:tcW w:w="3083" w:type="dxa"/>
          </w:tcPr>
          <w:p w14:paraId="4E84F9EF" w14:textId="77777777" w:rsidR="005C07DA" w:rsidRDefault="004172AA">
            <w:pPr>
              <w:jc w:val="both"/>
              <w:rPr>
                <w:rFonts w:ascii="Arial" w:eastAsia="Arial" w:hAnsi="Arial" w:cs="Arial"/>
                <w:sz w:val="20"/>
                <w:szCs w:val="20"/>
              </w:rPr>
            </w:pPr>
            <w:r>
              <w:rPr>
                <w:rFonts w:ascii="Arial" w:eastAsia="Arial" w:hAnsi="Arial" w:cs="Arial"/>
                <w:sz w:val="20"/>
                <w:szCs w:val="20"/>
              </w:rPr>
              <w:t xml:space="preserve">Practical hybrid ML approach significantly reduces risk of BIM </w:t>
            </w:r>
            <w:proofErr w:type="spellStart"/>
            <w:r>
              <w:rPr>
                <w:rFonts w:ascii="Arial" w:eastAsia="Arial" w:hAnsi="Arial" w:cs="Arial"/>
                <w:sz w:val="20"/>
                <w:szCs w:val="20"/>
              </w:rPr>
              <w:t>labour</w:t>
            </w:r>
            <w:proofErr w:type="spellEnd"/>
            <w:r>
              <w:rPr>
                <w:rFonts w:ascii="Arial" w:eastAsia="Arial" w:hAnsi="Arial" w:cs="Arial"/>
                <w:sz w:val="20"/>
                <w:szCs w:val="20"/>
              </w:rPr>
              <w:t>-cost misestimation, supporting better pricing and resource planning for BIM-enabled projects.</w:t>
            </w:r>
          </w:p>
        </w:tc>
      </w:tr>
      <w:tr w:rsidR="005C07DA" w14:paraId="029CB27A" w14:textId="77777777">
        <w:tc>
          <w:tcPr>
            <w:tcW w:w="1875" w:type="dxa"/>
          </w:tcPr>
          <w:p w14:paraId="50A55366" w14:textId="77777777" w:rsidR="005C07DA" w:rsidRDefault="004172AA">
            <w:pPr>
              <w:jc w:val="both"/>
              <w:rPr>
                <w:rFonts w:ascii="Arial" w:eastAsia="Arial" w:hAnsi="Arial" w:cs="Arial"/>
                <w:sz w:val="20"/>
                <w:szCs w:val="20"/>
              </w:rPr>
            </w:pPr>
            <w:r>
              <w:rPr>
                <w:rFonts w:ascii="Arial" w:eastAsia="Arial" w:hAnsi="Arial" w:cs="Arial"/>
                <w:sz w:val="20"/>
                <w:szCs w:val="20"/>
              </w:rPr>
              <w:t>Jiang, 2020</w:t>
            </w:r>
          </w:p>
        </w:tc>
        <w:tc>
          <w:tcPr>
            <w:tcW w:w="1594" w:type="dxa"/>
          </w:tcPr>
          <w:p w14:paraId="717D5E7F" w14:textId="77777777" w:rsidR="005C07DA" w:rsidRDefault="004172AA">
            <w:pPr>
              <w:jc w:val="both"/>
              <w:rPr>
                <w:rFonts w:ascii="Arial" w:eastAsia="Arial" w:hAnsi="Arial" w:cs="Arial"/>
                <w:sz w:val="20"/>
                <w:szCs w:val="20"/>
              </w:rPr>
            </w:pPr>
            <w:r>
              <w:rPr>
                <w:rFonts w:ascii="Arial" w:eastAsia="Arial" w:hAnsi="Arial" w:cs="Arial"/>
                <w:sz w:val="20"/>
                <w:szCs w:val="20"/>
              </w:rPr>
              <w:t>Building construction projects (context not specified)</w:t>
            </w:r>
          </w:p>
        </w:tc>
        <w:tc>
          <w:tcPr>
            <w:tcW w:w="1606" w:type="dxa"/>
          </w:tcPr>
          <w:p w14:paraId="719F244C" w14:textId="77777777" w:rsidR="005C07DA" w:rsidRDefault="004172AA">
            <w:pPr>
              <w:jc w:val="both"/>
              <w:rPr>
                <w:rFonts w:ascii="Arial" w:eastAsia="Arial" w:hAnsi="Arial" w:cs="Arial"/>
                <w:sz w:val="20"/>
                <w:szCs w:val="20"/>
              </w:rPr>
            </w:pPr>
            <w:r>
              <w:rPr>
                <w:rFonts w:ascii="Arial" w:eastAsia="Arial" w:hAnsi="Arial" w:cs="Arial"/>
                <w:sz w:val="20"/>
                <w:szCs w:val="20"/>
              </w:rPr>
              <w:t>Building cost estimation</w:t>
            </w:r>
          </w:p>
        </w:tc>
        <w:tc>
          <w:tcPr>
            <w:tcW w:w="1621" w:type="dxa"/>
          </w:tcPr>
          <w:p w14:paraId="014062B0" w14:textId="77777777" w:rsidR="005C07DA" w:rsidRDefault="004172AA">
            <w:pPr>
              <w:jc w:val="both"/>
              <w:rPr>
                <w:rFonts w:ascii="Arial" w:eastAsia="Arial" w:hAnsi="Arial" w:cs="Arial"/>
                <w:sz w:val="20"/>
                <w:szCs w:val="20"/>
              </w:rPr>
            </w:pPr>
            <w:r>
              <w:rPr>
                <w:rFonts w:ascii="Arial" w:eastAsia="Arial" w:hAnsi="Arial" w:cs="Arial"/>
                <w:sz w:val="20"/>
                <w:szCs w:val="20"/>
              </w:rPr>
              <w:t>Sample of 10 projects used to train model; six selected cost-influencing factors</w:t>
            </w:r>
          </w:p>
        </w:tc>
        <w:tc>
          <w:tcPr>
            <w:tcW w:w="1613" w:type="dxa"/>
          </w:tcPr>
          <w:p w14:paraId="1E169CC8" w14:textId="77777777" w:rsidR="005C07DA" w:rsidRDefault="004172AA">
            <w:pPr>
              <w:jc w:val="both"/>
              <w:rPr>
                <w:rFonts w:ascii="Arial" w:eastAsia="Arial" w:hAnsi="Arial" w:cs="Arial"/>
                <w:sz w:val="20"/>
                <w:szCs w:val="20"/>
              </w:rPr>
            </w:pPr>
            <w:r>
              <w:rPr>
                <w:rFonts w:ascii="Arial" w:eastAsia="Arial" w:hAnsi="Arial" w:cs="Arial"/>
                <w:sz w:val="20"/>
                <w:szCs w:val="20"/>
              </w:rPr>
              <w:t>Back-Propagation Neural Network (BPNN)</w:t>
            </w:r>
          </w:p>
        </w:tc>
        <w:tc>
          <w:tcPr>
            <w:tcW w:w="2105" w:type="dxa"/>
          </w:tcPr>
          <w:p w14:paraId="648969E4" w14:textId="77777777" w:rsidR="005C07DA" w:rsidRDefault="004172AA">
            <w:pPr>
              <w:jc w:val="both"/>
              <w:rPr>
                <w:rFonts w:ascii="Arial" w:eastAsia="Arial" w:hAnsi="Arial" w:cs="Arial"/>
                <w:sz w:val="20"/>
                <w:szCs w:val="20"/>
              </w:rPr>
            </w:pPr>
            <w:r>
              <w:rPr>
                <w:rFonts w:ascii="Arial" w:eastAsia="Arial" w:hAnsi="Arial" w:cs="Arial"/>
                <w:sz w:val="20"/>
                <w:szCs w:val="20"/>
              </w:rPr>
              <w:t>Six key cost drivers (scale, structural type, materials, time-related factors, etc.)</w:t>
            </w:r>
          </w:p>
        </w:tc>
        <w:tc>
          <w:tcPr>
            <w:tcW w:w="1671" w:type="dxa"/>
          </w:tcPr>
          <w:p w14:paraId="06B02EE1" w14:textId="77777777" w:rsidR="005C07DA" w:rsidRDefault="004172AA">
            <w:pPr>
              <w:jc w:val="both"/>
              <w:rPr>
                <w:rFonts w:ascii="Arial" w:eastAsia="Arial" w:hAnsi="Arial" w:cs="Arial"/>
                <w:sz w:val="20"/>
                <w:szCs w:val="20"/>
              </w:rPr>
            </w:pPr>
            <w:r>
              <w:rPr>
                <w:rFonts w:ascii="Arial" w:eastAsia="Arial" w:hAnsi="Arial" w:cs="Arial"/>
                <w:sz w:val="20"/>
                <w:szCs w:val="20"/>
              </w:rPr>
              <w:t>BPNN converged in ~85 iterations and achieved ~5.54% average error, outperforming RBF network</w:t>
            </w:r>
          </w:p>
        </w:tc>
        <w:tc>
          <w:tcPr>
            <w:tcW w:w="3083" w:type="dxa"/>
          </w:tcPr>
          <w:p w14:paraId="30031DD8" w14:textId="77777777" w:rsidR="005C07DA" w:rsidRDefault="004172AA">
            <w:pPr>
              <w:jc w:val="both"/>
              <w:rPr>
                <w:rFonts w:ascii="Arial" w:eastAsia="Arial" w:hAnsi="Arial" w:cs="Arial"/>
                <w:sz w:val="20"/>
                <w:szCs w:val="20"/>
              </w:rPr>
            </w:pPr>
            <w:r>
              <w:rPr>
                <w:rFonts w:ascii="Arial" w:eastAsia="Arial" w:hAnsi="Arial" w:cs="Arial"/>
                <w:sz w:val="20"/>
                <w:szCs w:val="20"/>
              </w:rPr>
              <w:t>Relatively simple BPNN yields reliable building cost estimates, improving investment decisions and preliminary budgeting.</w:t>
            </w:r>
          </w:p>
        </w:tc>
      </w:tr>
      <w:tr w:rsidR="005C07DA" w14:paraId="4948F97B" w14:textId="77777777">
        <w:tc>
          <w:tcPr>
            <w:tcW w:w="1875" w:type="dxa"/>
          </w:tcPr>
          <w:p w14:paraId="50779EFA" w14:textId="77777777" w:rsidR="005C07DA" w:rsidRDefault="004172AA">
            <w:pPr>
              <w:jc w:val="both"/>
              <w:rPr>
                <w:rFonts w:ascii="Arial" w:eastAsia="Arial" w:hAnsi="Arial" w:cs="Arial"/>
                <w:sz w:val="20"/>
                <w:szCs w:val="20"/>
              </w:rPr>
            </w:pPr>
            <w:proofErr w:type="spellStart"/>
            <w:r>
              <w:rPr>
                <w:rFonts w:ascii="Arial" w:eastAsia="Arial" w:hAnsi="Arial" w:cs="Arial"/>
                <w:sz w:val="20"/>
                <w:szCs w:val="20"/>
              </w:rPr>
              <w:t>Mahmoodzadeh</w:t>
            </w:r>
            <w:proofErr w:type="spellEnd"/>
            <w:r>
              <w:rPr>
                <w:rFonts w:ascii="Arial" w:eastAsia="Arial" w:hAnsi="Arial" w:cs="Arial"/>
                <w:sz w:val="20"/>
                <w:szCs w:val="20"/>
              </w:rPr>
              <w:t xml:space="preserve"> et al., 2022</w:t>
            </w:r>
          </w:p>
        </w:tc>
        <w:tc>
          <w:tcPr>
            <w:tcW w:w="1594" w:type="dxa"/>
          </w:tcPr>
          <w:p w14:paraId="181AC08E" w14:textId="77777777" w:rsidR="005C07DA" w:rsidRDefault="004172AA">
            <w:pPr>
              <w:jc w:val="both"/>
              <w:rPr>
                <w:rFonts w:ascii="Arial" w:eastAsia="Arial" w:hAnsi="Arial" w:cs="Arial"/>
                <w:sz w:val="20"/>
                <w:szCs w:val="20"/>
              </w:rPr>
            </w:pPr>
            <w:r>
              <w:rPr>
                <w:rFonts w:ascii="Arial" w:eastAsia="Arial" w:hAnsi="Arial" w:cs="Arial"/>
                <w:sz w:val="20"/>
                <w:szCs w:val="20"/>
              </w:rPr>
              <w:t>Tunnelling projects (context not specified)</w:t>
            </w:r>
          </w:p>
        </w:tc>
        <w:tc>
          <w:tcPr>
            <w:tcW w:w="1606" w:type="dxa"/>
          </w:tcPr>
          <w:p w14:paraId="5559C8FF" w14:textId="77777777" w:rsidR="005C07DA" w:rsidRDefault="004172AA">
            <w:pPr>
              <w:jc w:val="both"/>
              <w:rPr>
                <w:rFonts w:ascii="Arial" w:eastAsia="Arial" w:hAnsi="Arial" w:cs="Arial"/>
                <w:sz w:val="20"/>
                <w:szCs w:val="20"/>
              </w:rPr>
            </w:pPr>
            <w:r>
              <w:rPr>
                <w:rFonts w:ascii="Arial" w:eastAsia="Arial" w:hAnsi="Arial" w:cs="Arial"/>
                <w:sz w:val="20"/>
                <w:szCs w:val="20"/>
              </w:rPr>
              <w:t>Construction cost and duration of tunnels</w:t>
            </w:r>
          </w:p>
        </w:tc>
        <w:tc>
          <w:tcPr>
            <w:tcW w:w="1621" w:type="dxa"/>
          </w:tcPr>
          <w:p w14:paraId="7080CE6D" w14:textId="77777777" w:rsidR="005C07DA" w:rsidRDefault="004172AA">
            <w:pPr>
              <w:jc w:val="both"/>
              <w:rPr>
                <w:rFonts w:ascii="Arial" w:eastAsia="Arial" w:hAnsi="Arial" w:cs="Arial"/>
                <w:sz w:val="20"/>
                <w:szCs w:val="20"/>
              </w:rPr>
            </w:pPr>
            <w:r>
              <w:rPr>
                <w:rFonts w:ascii="Arial" w:eastAsia="Arial" w:hAnsi="Arial" w:cs="Arial"/>
                <w:sz w:val="20"/>
                <w:szCs w:val="20"/>
              </w:rPr>
              <w:t>350 tunnelling project datasets with 16 input parameters</w:t>
            </w:r>
          </w:p>
        </w:tc>
        <w:tc>
          <w:tcPr>
            <w:tcW w:w="1613" w:type="dxa"/>
          </w:tcPr>
          <w:p w14:paraId="187C2C1A" w14:textId="77777777" w:rsidR="005C07DA" w:rsidRDefault="004172AA">
            <w:pPr>
              <w:jc w:val="both"/>
              <w:rPr>
                <w:rFonts w:ascii="Arial" w:eastAsia="Arial" w:hAnsi="Arial" w:cs="Arial"/>
                <w:sz w:val="20"/>
                <w:szCs w:val="20"/>
              </w:rPr>
            </w:pPr>
            <w:r>
              <w:rPr>
                <w:rFonts w:ascii="Arial" w:eastAsia="Arial" w:hAnsi="Arial" w:cs="Arial"/>
                <w:sz w:val="20"/>
                <w:szCs w:val="20"/>
              </w:rPr>
              <w:t xml:space="preserve">Linear regression, Gaussian process regression (GPR), support vector regression (SVR), decision tree (DT) </w:t>
            </w:r>
            <w:proofErr w:type="spellStart"/>
            <w:r>
              <w:rPr>
                <w:rFonts w:ascii="Arial" w:eastAsia="Arial" w:hAnsi="Arial" w:cs="Arial"/>
                <w:sz w:val="20"/>
                <w:szCs w:val="20"/>
              </w:rPr>
              <w:lastRenderedPageBreak/>
              <w:t>optimised</w:t>
            </w:r>
            <w:proofErr w:type="spellEnd"/>
            <w:r>
              <w:rPr>
                <w:rFonts w:ascii="Arial" w:eastAsia="Arial" w:hAnsi="Arial" w:cs="Arial"/>
                <w:sz w:val="20"/>
                <w:szCs w:val="20"/>
              </w:rPr>
              <w:t xml:space="preserve"> by Grey Wolf </w:t>
            </w:r>
            <w:proofErr w:type="spellStart"/>
            <w:r>
              <w:rPr>
                <w:rFonts w:ascii="Arial" w:eastAsia="Arial" w:hAnsi="Arial" w:cs="Arial"/>
                <w:sz w:val="20"/>
                <w:szCs w:val="20"/>
              </w:rPr>
              <w:t>Optimisation</w:t>
            </w:r>
            <w:proofErr w:type="spellEnd"/>
          </w:p>
        </w:tc>
        <w:tc>
          <w:tcPr>
            <w:tcW w:w="2105" w:type="dxa"/>
          </w:tcPr>
          <w:p w14:paraId="6EB4A8B3" w14:textId="77777777" w:rsidR="005C07DA" w:rsidRDefault="004172AA">
            <w:pPr>
              <w:jc w:val="both"/>
              <w:rPr>
                <w:rFonts w:ascii="Arial" w:eastAsia="Arial" w:hAnsi="Arial" w:cs="Arial"/>
                <w:sz w:val="20"/>
                <w:szCs w:val="20"/>
              </w:rPr>
            </w:pPr>
            <w:r>
              <w:rPr>
                <w:rFonts w:ascii="Arial" w:eastAsia="Arial" w:hAnsi="Arial" w:cs="Arial"/>
                <w:sz w:val="20"/>
                <w:szCs w:val="20"/>
              </w:rPr>
              <w:lastRenderedPageBreak/>
              <w:t>Geotechnical and design parameters (drilling machinery system, groundwater conditions, etc.) and project features</w:t>
            </w:r>
          </w:p>
        </w:tc>
        <w:tc>
          <w:tcPr>
            <w:tcW w:w="1671" w:type="dxa"/>
          </w:tcPr>
          <w:p w14:paraId="23B8D144" w14:textId="77777777" w:rsidR="005C07DA" w:rsidRDefault="004172AA">
            <w:pPr>
              <w:jc w:val="both"/>
              <w:rPr>
                <w:rFonts w:ascii="Arial" w:eastAsia="Arial" w:hAnsi="Arial" w:cs="Arial"/>
                <w:sz w:val="20"/>
                <w:szCs w:val="20"/>
              </w:rPr>
            </w:pPr>
            <w:r>
              <w:rPr>
                <w:rFonts w:ascii="Arial" w:eastAsia="Arial" w:hAnsi="Arial" w:cs="Arial"/>
                <w:sz w:val="20"/>
                <w:szCs w:val="20"/>
              </w:rPr>
              <w:t xml:space="preserve">Linear regression showed best prediction performance, followed by GPR, SVR and DT; sensitivity analysis highlighted </w:t>
            </w:r>
            <w:r>
              <w:rPr>
                <w:rFonts w:ascii="Arial" w:eastAsia="Arial" w:hAnsi="Arial" w:cs="Arial"/>
                <w:sz w:val="20"/>
                <w:szCs w:val="20"/>
              </w:rPr>
              <w:lastRenderedPageBreak/>
              <w:t>drilling system and groundwater as most influential</w:t>
            </w:r>
          </w:p>
        </w:tc>
        <w:tc>
          <w:tcPr>
            <w:tcW w:w="3083" w:type="dxa"/>
          </w:tcPr>
          <w:p w14:paraId="0440E976" w14:textId="77777777" w:rsidR="005C07DA" w:rsidRDefault="004172AA">
            <w:pPr>
              <w:jc w:val="both"/>
              <w:rPr>
                <w:rFonts w:ascii="Arial" w:eastAsia="Arial" w:hAnsi="Arial" w:cs="Arial"/>
                <w:sz w:val="20"/>
                <w:szCs w:val="20"/>
              </w:rPr>
            </w:pPr>
            <w:proofErr w:type="spellStart"/>
            <w:r>
              <w:rPr>
                <w:rFonts w:ascii="Arial" w:eastAsia="Arial" w:hAnsi="Arial" w:cs="Arial"/>
                <w:sz w:val="20"/>
                <w:szCs w:val="20"/>
              </w:rPr>
              <w:lastRenderedPageBreak/>
              <w:t>Optimised</w:t>
            </w:r>
            <w:proofErr w:type="spellEnd"/>
            <w:r>
              <w:rPr>
                <w:rFonts w:ascii="Arial" w:eastAsia="Arial" w:hAnsi="Arial" w:cs="Arial"/>
                <w:sz w:val="20"/>
                <w:szCs w:val="20"/>
              </w:rPr>
              <w:t xml:space="preserve"> ML forecasts tunnel cost and duration with high accuracy and reveals dominant risk drivers, supporting contract negotiation and plan </w:t>
            </w:r>
            <w:proofErr w:type="spellStart"/>
            <w:r>
              <w:rPr>
                <w:rFonts w:ascii="Arial" w:eastAsia="Arial" w:hAnsi="Arial" w:cs="Arial"/>
                <w:sz w:val="20"/>
                <w:szCs w:val="20"/>
              </w:rPr>
              <w:t>optimisation</w:t>
            </w:r>
            <w:proofErr w:type="spellEnd"/>
            <w:r>
              <w:rPr>
                <w:rFonts w:ascii="Arial" w:eastAsia="Arial" w:hAnsi="Arial" w:cs="Arial"/>
                <w:sz w:val="20"/>
                <w:szCs w:val="20"/>
              </w:rPr>
              <w:t xml:space="preserve"> in underground projects.</w:t>
            </w:r>
          </w:p>
        </w:tc>
      </w:tr>
      <w:tr w:rsidR="005C07DA" w14:paraId="541466D8" w14:textId="77777777">
        <w:tc>
          <w:tcPr>
            <w:tcW w:w="1875" w:type="dxa"/>
          </w:tcPr>
          <w:p w14:paraId="0F97C492" w14:textId="77777777" w:rsidR="005C07DA" w:rsidRDefault="004172AA">
            <w:pPr>
              <w:jc w:val="both"/>
              <w:rPr>
                <w:rFonts w:ascii="Arial" w:eastAsia="Arial" w:hAnsi="Arial" w:cs="Arial"/>
                <w:sz w:val="20"/>
                <w:szCs w:val="20"/>
              </w:rPr>
            </w:pPr>
            <w:proofErr w:type="spellStart"/>
            <w:r>
              <w:rPr>
                <w:rFonts w:ascii="Arial" w:eastAsia="Arial" w:hAnsi="Arial" w:cs="Arial"/>
                <w:sz w:val="20"/>
                <w:szCs w:val="20"/>
              </w:rPr>
              <w:t>Meharie</w:t>
            </w:r>
            <w:proofErr w:type="spellEnd"/>
            <w:r>
              <w:rPr>
                <w:rFonts w:ascii="Arial" w:eastAsia="Arial" w:hAnsi="Arial" w:cs="Arial"/>
                <w:sz w:val="20"/>
                <w:szCs w:val="20"/>
              </w:rPr>
              <w:t xml:space="preserve"> &amp; Shaik, 2020</w:t>
            </w:r>
          </w:p>
        </w:tc>
        <w:tc>
          <w:tcPr>
            <w:tcW w:w="1594" w:type="dxa"/>
          </w:tcPr>
          <w:p w14:paraId="4C5CC332" w14:textId="77777777" w:rsidR="005C07DA" w:rsidRDefault="004172AA">
            <w:pPr>
              <w:jc w:val="both"/>
              <w:rPr>
                <w:rFonts w:ascii="Arial" w:eastAsia="Arial" w:hAnsi="Arial" w:cs="Arial"/>
                <w:sz w:val="20"/>
                <w:szCs w:val="20"/>
              </w:rPr>
            </w:pPr>
            <w:r>
              <w:rPr>
                <w:rFonts w:ascii="Arial" w:eastAsia="Arial" w:hAnsi="Arial" w:cs="Arial"/>
                <w:sz w:val="20"/>
                <w:szCs w:val="20"/>
              </w:rPr>
              <w:t>Ethiopia; highway construction projects</w:t>
            </w:r>
          </w:p>
        </w:tc>
        <w:tc>
          <w:tcPr>
            <w:tcW w:w="1606" w:type="dxa"/>
          </w:tcPr>
          <w:p w14:paraId="1DB92ACF" w14:textId="77777777" w:rsidR="005C07DA" w:rsidRDefault="004172AA">
            <w:pPr>
              <w:jc w:val="both"/>
              <w:rPr>
                <w:rFonts w:ascii="Arial" w:eastAsia="Arial" w:hAnsi="Arial" w:cs="Arial"/>
                <w:sz w:val="20"/>
                <w:szCs w:val="20"/>
              </w:rPr>
            </w:pPr>
            <w:r>
              <w:rPr>
                <w:rFonts w:ascii="Arial" w:eastAsia="Arial" w:hAnsi="Arial" w:cs="Arial"/>
                <w:sz w:val="20"/>
                <w:szCs w:val="20"/>
              </w:rPr>
              <w:t>Highway construction cost at conceptual phase</w:t>
            </w:r>
          </w:p>
        </w:tc>
        <w:tc>
          <w:tcPr>
            <w:tcW w:w="1621" w:type="dxa"/>
          </w:tcPr>
          <w:p w14:paraId="63AC1247" w14:textId="77777777" w:rsidR="005C07DA" w:rsidRDefault="004172AA">
            <w:pPr>
              <w:jc w:val="both"/>
              <w:rPr>
                <w:rFonts w:ascii="Arial" w:eastAsia="Arial" w:hAnsi="Arial" w:cs="Arial"/>
                <w:sz w:val="20"/>
                <w:szCs w:val="20"/>
              </w:rPr>
            </w:pPr>
            <w:r>
              <w:rPr>
                <w:rFonts w:ascii="Arial" w:eastAsia="Arial" w:hAnsi="Arial" w:cs="Arial"/>
                <w:sz w:val="20"/>
                <w:szCs w:val="20"/>
              </w:rPr>
              <w:t>Actual cost data from Ethiopian highway projects</w:t>
            </w:r>
          </w:p>
        </w:tc>
        <w:tc>
          <w:tcPr>
            <w:tcW w:w="1613" w:type="dxa"/>
          </w:tcPr>
          <w:p w14:paraId="5B4607C8" w14:textId="77777777" w:rsidR="005C07DA" w:rsidRDefault="004172AA">
            <w:pPr>
              <w:jc w:val="both"/>
              <w:rPr>
                <w:rFonts w:ascii="Arial" w:eastAsia="Arial" w:hAnsi="Arial" w:cs="Arial"/>
                <w:sz w:val="20"/>
                <w:szCs w:val="20"/>
              </w:rPr>
            </w:pPr>
            <w:r>
              <w:rPr>
                <w:rFonts w:ascii="Arial" w:eastAsia="Arial" w:hAnsi="Arial" w:cs="Arial"/>
                <w:sz w:val="20"/>
                <w:szCs w:val="20"/>
              </w:rPr>
              <w:t>Random Forest (RF), Artificial Neural Network (ANN), Support Vector Machine (SVM)</w:t>
            </w:r>
          </w:p>
        </w:tc>
        <w:tc>
          <w:tcPr>
            <w:tcW w:w="2105" w:type="dxa"/>
          </w:tcPr>
          <w:p w14:paraId="28A56344" w14:textId="77777777" w:rsidR="005C07DA" w:rsidRDefault="004172AA">
            <w:pPr>
              <w:jc w:val="both"/>
              <w:rPr>
                <w:rFonts w:ascii="Arial" w:eastAsia="Arial" w:hAnsi="Arial" w:cs="Arial"/>
                <w:sz w:val="20"/>
                <w:szCs w:val="20"/>
              </w:rPr>
            </w:pPr>
            <w:r>
              <w:rPr>
                <w:rFonts w:ascii="Arial" w:eastAsia="Arial" w:hAnsi="Arial" w:cs="Arial"/>
                <w:sz w:val="20"/>
                <w:szCs w:val="20"/>
              </w:rPr>
              <w:t>Concept-stage project descriptors (length, class, terrain and other high-level design factors)</w:t>
            </w:r>
          </w:p>
        </w:tc>
        <w:tc>
          <w:tcPr>
            <w:tcW w:w="1671" w:type="dxa"/>
          </w:tcPr>
          <w:p w14:paraId="6BDDF8D9" w14:textId="77777777" w:rsidR="005C07DA" w:rsidRDefault="004172AA">
            <w:pPr>
              <w:jc w:val="both"/>
              <w:rPr>
                <w:rFonts w:ascii="Arial" w:eastAsia="Arial" w:hAnsi="Arial" w:cs="Arial"/>
                <w:sz w:val="20"/>
                <w:szCs w:val="20"/>
              </w:rPr>
            </w:pPr>
            <w:r>
              <w:rPr>
                <w:rFonts w:ascii="Arial" w:eastAsia="Arial" w:hAnsi="Arial" w:cs="Arial"/>
                <w:sz w:val="20"/>
                <w:szCs w:val="20"/>
              </w:rPr>
              <w:t>RF model achieved 18.8% and 23.4% lower RMSE than ANN and SVM, respectively</w:t>
            </w:r>
          </w:p>
        </w:tc>
        <w:tc>
          <w:tcPr>
            <w:tcW w:w="3083" w:type="dxa"/>
          </w:tcPr>
          <w:p w14:paraId="3DA0922C" w14:textId="77777777" w:rsidR="005C07DA" w:rsidRDefault="004172AA">
            <w:pPr>
              <w:jc w:val="both"/>
              <w:rPr>
                <w:rFonts w:ascii="Arial" w:eastAsia="Arial" w:hAnsi="Arial" w:cs="Arial"/>
                <w:sz w:val="20"/>
                <w:szCs w:val="20"/>
              </w:rPr>
            </w:pPr>
            <w:r>
              <w:rPr>
                <w:rFonts w:ascii="Arial" w:eastAsia="Arial" w:hAnsi="Arial" w:cs="Arial"/>
                <w:sz w:val="20"/>
                <w:szCs w:val="20"/>
              </w:rPr>
              <w:t>RF is particularly effective for early-phase highway cost prediction, enabling more accurate financial decisions under limited-information conditions.</w:t>
            </w:r>
          </w:p>
        </w:tc>
      </w:tr>
      <w:tr w:rsidR="005C07DA" w14:paraId="5F260DFE" w14:textId="77777777">
        <w:tc>
          <w:tcPr>
            <w:tcW w:w="1875" w:type="dxa"/>
          </w:tcPr>
          <w:p w14:paraId="2DBA4389" w14:textId="77777777" w:rsidR="005C07DA" w:rsidRDefault="004172AA">
            <w:pPr>
              <w:jc w:val="both"/>
              <w:rPr>
                <w:rFonts w:ascii="Arial" w:eastAsia="Arial" w:hAnsi="Arial" w:cs="Arial"/>
                <w:sz w:val="20"/>
                <w:szCs w:val="20"/>
              </w:rPr>
            </w:pPr>
            <w:r>
              <w:rPr>
                <w:rFonts w:ascii="Arial" w:eastAsia="Arial" w:hAnsi="Arial" w:cs="Arial"/>
                <w:sz w:val="20"/>
                <w:szCs w:val="20"/>
              </w:rPr>
              <w:t>Nassar &amp; Elbisy, 2024</w:t>
            </w:r>
          </w:p>
        </w:tc>
        <w:tc>
          <w:tcPr>
            <w:tcW w:w="1594" w:type="dxa"/>
          </w:tcPr>
          <w:p w14:paraId="5DBDBB28" w14:textId="77777777" w:rsidR="005C07DA" w:rsidRDefault="004172AA">
            <w:pPr>
              <w:jc w:val="both"/>
              <w:rPr>
                <w:rFonts w:ascii="Arial" w:eastAsia="Arial" w:hAnsi="Arial" w:cs="Arial"/>
                <w:sz w:val="20"/>
                <w:szCs w:val="20"/>
              </w:rPr>
            </w:pPr>
            <w:r>
              <w:rPr>
                <w:rFonts w:ascii="Arial" w:eastAsia="Arial" w:hAnsi="Arial" w:cs="Arial"/>
                <w:sz w:val="20"/>
                <w:szCs w:val="20"/>
              </w:rPr>
              <w:t>Marine construction projects (country not specified)</w:t>
            </w:r>
          </w:p>
        </w:tc>
        <w:tc>
          <w:tcPr>
            <w:tcW w:w="1606" w:type="dxa"/>
          </w:tcPr>
          <w:p w14:paraId="52C1C5F2" w14:textId="77777777" w:rsidR="005C07DA" w:rsidRDefault="004172AA">
            <w:pPr>
              <w:jc w:val="both"/>
              <w:rPr>
                <w:rFonts w:ascii="Arial" w:eastAsia="Arial" w:hAnsi="Arial" w:cs="Arial"/>
                <w:sz w:val="20"/>
                <w:szCs w:val="20"/>
              </w:rPr>
            </w:pPr>
            <w:r>
              <w:rPr>
                <w:rFonts w:ascii="Arial" w:eastAsia="Arial" w:hAnsi="Arial" w:cs="Arial"/>
                <w:sz w:val="20"/>
                <w:szCs w:val="20"/>
              </w:rPr>
              <w:t>Time delay prediction in marine construction</w:t>
            </w:r>
          </w:p>
        </w:tc>
        <w:tc>
          <w:tcPr>
            <w:tcW w:w="1621" w:type="dxa"/>
          </w:tcPr>
          <w:p w14:paraId="6ED3BBA3" w14:textId="77777777" w:rsidR="005C07DA" w:rsidRDefault="004172AA">
            <w:pPr>
              <w:jc w:val="both"/>
              <w:rPr>
                <w:rFonts w:ascii="Arial" w:eastAsia="Arial" w:hAnsi="Arial" w:cs="Arial"/>
                <w:sz w:val="20"/>
                <w:szCs w:val="20"/>
              </w:rPr>
            </w:pPr>
            <w:r>
              <w:rPr>
                <w:rFonts w:ascii="Arial" w:eastAsia="Arial" w:hAnsi="Arial" w:cs="Arial"/>
                <w:sz w:val="20"/>
                <w:szCs w:val="20"/>
              </w:rPr>
              <w:t>Expert interviews yielded 43 delay factors grouped into nine categories; dataset built from marine project cases</w:t>
            </w:r>
          </w:p>
        </w:tc>
        <w:tc>
          <w:tcPr>
            <w:tcW w:w="1613" w:type="dxa"/>
          </w:tcPr>
          <w:p w14:paraId="4BD25D8A" w14:textId="77777777" w:rsidR="005C07DA" w:rsidRDefault="004172AA">
            <w:pPr>
              <w:jc w:val="both"/>
              <w:rPr>
                <w:rFonts w:ascii="Arial" w:eastAsia="Arial" w:hAnsi="Arial" w:cs="Arial"/>
                <w:sz w:val="20"/>
                <w:szCs w:val="20"/>
              </w:rPr>
            </w:pPr>
            <w:r>
              <w:rPr>
                <w:rFonts w:ascii="Arial" w:eastAsia="Arial" w:hAnsi="Arial" w:cs="Arial"/>
                <w:sz w:val="20"/>
                <w:szCs w:val="20"/>
              </w:rPr>
              <w:t>General Regression Neural Network (GRNN), Support Vector Machines (SVM), Tree Boost</w:t>
            </w:r>
          </w:p>
        </w:tc>
        <w:tc>
          <w:tcPr>
            <w:tcW w:w="2105" w:type="dxa"/>
          </w:tcPr>
          <w:p w14:paraId="605B64C0" w14:textId="77777777" w:rsidR="005C07DA" w:rsidRDefault="004172AA">
            <w:pPr>
              <w:jc w:val="both"/>
              <w:rPr>
                <w:rFonts w:ascii="Arial" w:eastAsia="Arial" w:hAnsi="Arial" w:cs="Arial"/>
                <w:sz w:val="20"/>
                <w:szCs w:val="20"/>
              </w:rPr>
            </w:pPr>
            <w:r>
              <w:rPr>
                <w:rFonts w:ascii="Arial" w:eastAsia="Arial" w:hAnsi="Arial" w:cs="Arial"/>
                <w:sz w:val="20"/>
                <w:szCs w:val="20"/>
              </w:rPr>
              <w:t>43 delay factors grouped into contract, environment, management and other categories weighted via Relative Importance Index</w:t>
            </w:r>
          </w:p>
        </w:tc>
        <w:tc>
          <w:tcPr>
            <w:tcW w:w="1671" w:type="dxa"/>
          </w:tcPr>
          <w:p w14:paraId="2D350FFD" w14:textId="77777777" w:rsidR="005C07DA" w:rsidRDefault="004172AA">
            <w:pPr>
              <w:jc w:val="both"/>
              <w:rPr>
                <w:rFonts w:ascii="Arial" w:eastAsia="Arial" w:hAnsi="Arial" w:cs="Arial"/>
                <w:sz w:val="20"/>
                <w:szCs w:val="20"/>
              </w:rPr>
            </w:pPr>
            <w:r>
              <w:rPr>
                <w:rFonts w:ascii="Arial" w:eastAsia="Arial" w:hAnsi="Arial" w:cs="Arial"/>
                <w:sz w:val="20"/>
                <w:szCs w:val="20"/>
              </w:rPr>
              <w:t xml:space="preserve">GRNN outperforms SVM and Tree Boost across five statistical measures; </w:t>
            </w:r>
            <w:proofErr w:type="spellStart"/>
            <w:r>
              <w:rPr>
                <w:rFonts w:ascii="Arial" w:eastAsia="Arial" w:hAnsi="Arial" w:cs="Arial"/>
                <w:sz w:val="20"/>
                <w:szCs w:val="20"/>
              </w:rPr>
              <w:t>visualised</w:t>
            </w:r>
            <w:proofErr w:type="spellEnd"/>
            <w:r>
              <w:rPr>
                <w:rFonts w:ascii="Arial" w:eastAsia="Arial" w:hAnsi="Arial" w:cs="Arial"/>
                <w:sz w:val="20"/>
                <w:szCs w:val="20"/>
              </w:rPr>
              <w:t xml:space="preserve"> using Taylor diagrams</w:t>
            </w:r>
          </w:p>
        </w:tc>
        <w:tc>
          <w:tcPr>
            <w:tcW w:w="3083" w:type="dxa"/>
          </w:tcPr>
          <w:p w14:paraId="67B32883" w14:textId="77777777" w:rsidR="005C07DA" w:rsidRDefault="004172AA">
            <w:pPr>
              <w:jc w:val="both"/>
              <w:rPr>
                <w:rFonts w:ascii="Arial" w:eastAsia="Arial" w:hAnsi="Arial" w:cs="Arial"/>
                <w:sz w:val="20"/>
                <w:szCs w:val="20"/>
              </w:rPr>
            </w:pPr>
            <w:r>
              <w:rPr>
                <w:rFonts w:ascii="Arial" w:eastAsia="Arial" w:hAnsi="Arial" w:cs="Arial"/>
                <w:sz w:val="20"/>
                <w:szCs w:val="20"/>
              </w:rPr>
              <w:t>GRNN is an efficient, precise tool for predicting marine project delays, supporting targeted interventions in high-risk, capital-intensive marine works.</w:t>
            </w:r>
          </w:p>
        </w:tc>
      </w:tr>
      <w:tr w:rsidR="005C07DA" w14:paraId="2DBA2C92" w14:textId="77777777">
        <w:tc>
          <w:tcPr>
            <w:tcW w:w="1875" w:type="dxa"/>
          </w:tcPr>
          <w:p w14:paraId="51F3B266" w14:textId="77777777" w:rsidR="005C07DA" w:rsidRDefault="004172AA">
            <w:pPr>
              <w:jc w:val="both"/>
              <w:rPr>
                <w:rFonts w:ascii="Arial" w:eastAsia="Arial" w:hAnsi="Arial" w:cs="Arial"/>
                <w:sz w:val="20"/>
                <w:szCs w:val="20"/>
              </w:rPr>
            </w:pPr>
            <w:proofErr w:type="spellStart"/>
            <w:r>
              <w:rPr>
                <w:rFonts w:ascii="Arial" w:eastAsia="Arial" w:hAnsi="Arial" w:cs="Arial"/>
                <w:sz w:val="20"/>
                <w:szCs w:val="20"/>
              </w:rPr>
              <w:t>Nindartin</w:t>
            </w:r>
            <w:proofErr w:type="spellEnd"/>
            <w:r>
              <w:rPr>
                <w:rFonts w:ascii="Arial" w:eastAsia="Arial" w:hAnsi="Arial" w:cs="Arial"/>
                <w:sz w:val="20"/>
                <w:szCs w:val="20"/>
              </w:rPr>
              <w:t xml:space="preserve"> et al., 2025</w:t>
            </w:r>
          </w:p>
        </w:tc>
        <w:tc>
          <w:tcPr>
            <w:tcW w:w="1594" w:type="dxa"/>
          </w:tcPr>
          <w:p w14:paraId="0D0FC6D4" w14:textId="77777777" w:rsidR="005C07DA" w:rsidRDefault="004172AA">
            <w:pPr>
              <w:jc w:val="both"/>
              <w:rPr>
                <w:rFonts w:ascii="Arial" w:eastAsia="Arial" w:hAnsi="Arial" w:cs="Arial"/>
                <w:sz w:val="20"/>
                <w:szCs w:val="20"/>
              </w:rPr>
            </w:pPr>
            <w:r>
              <w:rPr>
                <w:rFonts w:ascii="Arial" w:eastAsia="Arial" w:hAnsi="Arial" w:cs="Arial"/>
                <w:sz w:val="20"/>
                <w:szCs w:val="20"/>
              </w:rPr>
              <w:t>Florida, USA; FDOT transportation construction projects (2013–2017)</w:t>
            </w:r>
          </w:p>
        </w:tc>
        <w:tc>
          <w:tcPr>
            <w:tcW w:w="1606" w:type="dxa"/>
          </w:tcPr>
          <w:p w14:paraId="314B6957" w14:textId="77777777" w:rsidR="005C07DA" w:rsidRDefault="004172AA">
            <w:pPr>
              <w:jc w:val="both"/>
              <w:rPr>
                <w:rFonts w:ascii="Arial" w:eastAsia="Arial" w:hAnsi="Arial" w:cs="Arial"/>
                <w:sz w:val="20"/>
                <w:szCs w:val="20"/>
              </w:rPr>
            </w:pPr>
            <w:r>
              <w:rPr>
                <w:rFonts w:ascii="Arial" w:eastAsia="Arial" w:hAnsi="Arial" w:cs="Arial"/>
                <w:sz w:val="20"/>
                <w:szCs w:val="20"/>
              </w:rPr>
              <w:t>Cost contingency prediction</w:t>
            </w:r>
          </w:p>
        </w:tc>
        <w:tc>
          <w:tcPr>
            <w:tcW w:w="1621" w:type="dxa"/>
          </w:tcPr>
          <w:p w14:paraId="3514FC88" w14:textId="77777777" w:rsidR="005C07DA" w:rsidRDefault="004172AA">
            <w:pPr>
              <w:jc w:val="both"/>
              <w:rPr>
                <w:rFonts w:ascii="Arial" w:eastAsia="Arial" w:hAnsi="Arial" w:cs="Arial"/>
                <w:sz w:val="20"/>
                <w:szCs w:val="20"/>
              </w:rPr>
            </w:pPr>
            <w:r>
              <w:rPr>
                <w:rFonts w:ascii="Arial" w:eastAsia="Arial" w:hAnsi="Arial" w:cs="Arial"/>
                <w:sz w:val="20"/>
                <w:szCs w:val="20"/>
              </w:rPr>
              <w:t>FDOT bid dataset (2013–2017) including continuous and categorical predictors</w:t>
            </w:r>
          </w:p>
        </w:tc>
        <w:tc>
          <w:tcPr>
            <w:tcW w:w="1613" w:type="dxa"/>
          </w:tcPr>
          <w:p w14:paraId="0128C3A7" w14:textId="77777777" w:rsidR="005C07DA" w:rsidRDefault="004172AA">
            <w:pPr>
              <w:jc w:val="both"/>
              <w:rPr>
                <w:rFonts w:ascii="Arial" w:eastAsia="Arial" w:hAnsi="Arial" w:cs="Arial"/>
                <w:sz w:val="20"/>
                <w:szCs w:val="20"/>
              </w:rPr>
            </w:pPr>
            <w:r>
              <w:rPr>
                <w:rFonts w:ascii="Arial" w:eastAsia="Arial" w:hAnsi="Arial" w:cs="Arial"/>
                <w:sz w:val="20"/>
                <w:szCs w:val="20"/>
              </w:rPr>
              <w:t xml:space="preserve">Random Forest regression with random search, </w:t>
            </w:r>
            <w:proofErr w:type="spellStart"/>
            <w:r>
              <w:rPr>
                <w:rFonts w:ascii="Arial" w:eastAsia="Arial" w:hAnsi="Arial" w:cs="Arial"/>
                <w:sz w:val="20"/>
                <w:szCs w:val="20"/>
              </w:rPr>
              <w:t>XGBoost</w:t>
            </w:r>
            <w:proofErr w:type="spellEnd"/>
            <w:r>
              <w:rPr>
                <w:rFonts w:ascii="Arial" w:eastAsia="Arial" w:hAnsi="Arial" w:cs="Arial"/>
                <w:sz w:val="20"/>
                <w:szCs w:val="20"/>
              </w:rPr>
              <w:t xml:space="preserve"> regression, ANN; SMOGN to handle imbalanced regression</w:t>
            </w:r>
          </w:p>
        </w:tc>
        <w:tc>
          <w:tcPr>
            <w:tcW w:w="2105" w:type="dxa"/>
          </w:tcPr>
          <w:p w14:paraId="13E693C5" w14:textId="77777777" w:rsidR="005C07DA" w:rsidRDefault="004172AA">
            <w:pPr>
              <w:jc w:val="both"/>
              <w:rPr>
                <w:rFonts w:ascii="Arial" w:eastAsia="Arial" w:hAnsi="Arial" w:cs="Arial"/>
                <w:sz w:val="20"/>
                <w:szCs w:val="20"/>
              </w:rPr>
            </w:pPr>
            <w:r>
              <w:rPr>
                <w:rFonts w:ascii="Arial" w:eastAsia="Arial" w:hAnsi="Arial" w:cs="Arial"/>
                <w:sz w:val="20"/>
                <w:szCs w:val="20"/>
              </w:rPr>
              <w:t>Project amount, project duration, geographical factors (latitude, longitude) and other bid descriptors</w:t>
            </w:r>
          </w:p>
        </w:tc>
        <w:tc>
          <w:tcPr>
            <w:tcW w:w="1671" w:type="dxa"/>
          </w:tcPr>
          <w:p w14:paraId="0FBFA597" w14:textId="77777777" w:rsidR="005C07DA" w:rsidRDefault="004172AA">
            <w:pPr>
              <w:jc w:val="both"/>
              <w:rPr>
                <w:rFonts w:ascii="Arial" w:eastAsia="Arial" w:hAnsi="Arial" w:cs="Arial"/>
                <w:sz w:val="20"/>
                <w:szCs w:val="20"/>
              </w:rPr>
            </w:pPr>
            <w:r>
              <w:rPr>
                <w:rFonts w:ascii="Arial" w:eastAsia="Arial" w:hAnsi="Arial" w:cs="Arial"/>
                <w:sz w:val="20"/>
                <w:szCs w:val="20"/>
              </w:rPr>
              <w:t xml:space="preserve">RF with SMOGN and hyper-parameter tuning yields most accurate contingency predictions, outperforming </w:t>
            </w:r>
            <w:proofErr w:type="spellStart"/>
            <w:r>
              <w:rPr>
                <w:rFonts w:ascii="Arial" w:eastAsia="Arial" w:hAnsi="Arial" w:cs="Arial"/>
                <w:sz w:val="20"/>
                <w:szCs w:val="20"/>
              </w:rPr>
              <w:t>XGBoost</w:t>
            </w:r>
            <w:proofErr w:type="spellEnd"/>
            <w:r>
              <w:rPr>
                <w:rFonts w:ascii="Arial" w:eastAsia="Arial" w:hAnsi="Arial" w:cs="Arial"/>
                <w:sz w:val="20"/>
                <w:szCs w:val="20"/>
              </w:rPr>
              <w:t xml:space="preserve"> and ANN</w:t>
            </w:r>
          </w:p>
        </w:tc>
        <w:tc>
          <w:tcPr>
            <w:tcW w:w="3083" w:type="dxa"/>
          </w:tcPr>
          <w:p w14:paraId="46405999" w14:textId="77777777" w:rsidR="005C07DA" w:rsidRDefault="004172AA">
            <w:pPr>
              <w:jc w:val="both"/>
              <w:rPr>
                <w:rFonts w:ascii="Arial" w:eastAsia="Arial" w:hAnsi="Arial" w:cs="Arial"/>
                <w:sz w:val="20"/>
                <w:szCs w:val="20"/>
              </w:rPr>
            </w:pPr>
            <w:r>
              <w:rPr>
                <w:rFonts w:ascii="Arial" w:eastAsia="Arial" w:hAnsi="Arial" w:cs="Arial"/>
                <w:sz w:val="20"/>
                <w:szCs w:val="20"/>
              </w:rPr>
              <w:t>Provides an ML-based framework for setting cost contingencies, highlighting key drivers and enabling more rational contingency allocation for transport projects.</w:t>
            </w:r>
          </w:p>
        </w:tc>
      </w:tr>
      <w:tr w:rsidR="005C07DA" w14:paraId="143D2881" w14:textId="77777777">
        <w:tc>
          <w:tcPr>
            <w:tcW w:w="1875" w:type="dxa"/>
          </w:tcPr>
          <w:p w14:paraId="5A4CA113" w14:textId="77777777" w:rsidR="005C07DA" w:rsidRDefault="004172AA">
            <w:pPr>
              <w:jc w:val="both"/>
              <w:rPr>
                <w:rFonts w:ascii="Arial" w:eastAsia="Arial" w:hAnsi="Arial" w:cs="Arial"/>
                <w:sz w:val="20"/>
                <w:szCs w:val="20"/>
              </w:rPr>
            </w:pPr>
            <w:proofErr w:type="spellStart"/>
            <w:r>
              <w:rPr>
                <w:rFonts w:ascii="Arial" w:eastAsia="Arial" w:hAnsi="Arial" w:cs="Arial"/>
                <w:sz w:val="20"/>
                <w:szCs w:val="20"/>
              </w:rPr>
              <w:t>Peško</w:t>
            </w:r>
            <w:proofErr w:type="spellEnd"/>
            <w:r>
              <w:rPr>
                <w:rFonts w:ascii="Arial" w:eastAsia="Arial" w:hAnsi="Arial" w:cs="Arial"/>
                <w:sz w:val="20"/>
                <w:szCs w:val="20"/>
              </w:rPr>
              <w:t xml:space="preserve"> et al., 2017</w:t>
            </w:r>
          </w:p>
        </w:tc>
        <w:tc>
          <w:tcPr>
            <w:tcW w:w="1594" w:type="dxa"/>
          </w:tcPr>
          <w:p w14:paraId="48CC2D0B" w14:textId="77777777" w:rsidR="005C07DA" w:rsidRDefault="004172AA">
            <w:pPr>
              <w:jc w:val="both"/>
              <w:rPr>
                <w:rFonts w:ascii="Arial" w:eastAsia="Arial" w:hAnsi="Arial" w:cs="Arial"/>
                <w:sz w:val="20"/>
                <w:szCs w:val="20"/>
              </w:rPr>
            </w:pPr>
            <w:r>
              <w:rPr>
                <w:rFonts w:ascii="Arial" w:eastAsia="Arial" w:hAnsi="Arial" w:cs="Arial"/>
                <w:sz w:val="20"/>
                <w:szCs w:val="20"/>
              </w:rPr>
              <w:t>Urban road construction projects</w:t>
            </w:r>
          </w:p>
        </w:tc>
        <w:tc>
          <w:tcPr>
            <w:tcW w:w="1606" w:type="dxa"/>
          </w:tcPr>
          <w:p w14:paraId="5BE8E25A" w14:textId="77777777" w:rsidR="005C07DA" w:rsidRDefault="004172AA">
            <w:pPr>
              <w:jc w:val="both"/>
              <w:rPr>
                <w:rFonts w:ascii="Arial" w:eastAsia="Arial" w:hAnsi="Arial" w:cs="Arial"/>
                <w:sz w:val="20"/>
                <w:szCs w:val="20"/>
              </w:rPr>
            </w:pPr>
            <w:r>
              <w:rPr>
                <w:rFonts w:ascii="Arial" w:eastAsia="Arial" w:hAnsi="Arial" w:cs="Arial"/>
                <w:sz w:val="20"/>
                <w:szCs w:val="20"/>
              </w:rPr>
              <w:t>Cost and duration of urban road construction</w:t>
            </w:r>
          </w:p>
        </w:tc>
        <w:tc>
          <w:tcPr>
            <w:tcW w:w="1621" w:type="dxa"/>
          </w:tcPr>
          <w:p w14:paraId="10406AFE" w14:textId="77777777" w:rsidR="005C07DA" w:rsidRDefault="004172AA">
            <w:pPr>
              <w:jc w:val="both"/>
              <w:rPr>
                <w:rFonts w:ascii="Arial" w:eastAsia="Arial" w:hAnsi="Arial" w:cs="Arial"/>
                <w:sz w:val="20"/>
                <w:szCs w:val="20"/>
              </w:rPr>
            </w:pPr>
            <w:r>
              <w:rPr>
                <w:rFonts w:ascii="Arial" w:eastAsia="Arial" w:hAnsi="Arial" w:cs="Arial"/>
                <w:sz w:val="20"/>
                <w:szCs w:val="20"/>
              </w:rPr>
              <w:t>Dataset of urban road projects (size not detailed in abstract)</w:t>
            </w:r>
          </w:p>
        </w:tc>
        <w:tc>
          <w:tcPr>
            <w:tcW w:w="1613" w:type="dxa"/>
          </w:tcPr>
          <w:p w14:paraId="12555304" w14:textId="77777777" w:rsidR="005C07DA" w:rsidRDefault="004172AA">
            <w:pPr>
              <w:jc w:val="both"/>
              <w:rPr>
                <w:rFonts w:ascii="Arial" w:eastAsia="Arial" w:hAnsi="Arial" w:cs="Arial"/>
                <w:sz w:val="20"/>
                <w:szCs w:val="20"/>
              </w:rPr>
            </w:pPr>
            <w:r>
              <w:rPr>
                <w:rFonts w:ascii="Arial" w:eastAsia="Arial" w:hAnsi="Arial" w:cs="Arial"/>
                <w:sz w:val="20"/>
                <w:szCs w:val="20"/>
              </w:rPr>
              <w:t>Artificial Neural Networks (ANNs) and Support Vector Machines (SVMs)</w:t>
            </w:r>
          </w:p>
        </w:tc>
        <w:tc>
          <w:tcPr>
            <w:tcW w:w="2105" w:type="dxa"/>
          </w:tcPr>
          <w:p w14:paraId="6E5E7187" w14:textId="77777777" w:rsidR="005C07DA" w:rsidRDefault="004172AA">
            <w:pPr>
              <w:jc w:val="both"/>
              <w:rPr>
                <w:rFonts w:ascii="Arial" w:eastAsia="Arial" w:hAnsi="Arial" w:cs="Arial"/>
                <w:sz w:val="20"/>
                <w:szCs w:val="20"/>
              </w:rPr>
            </w:pPr>
            <w:r>
              <w:rPr>
                <w:rFonts w:ascii="Arial" w:eastAsia="Arial" w:hAnsi="Arial" w:cs="Arial"/>
                <w:sz w:val="20"/>
                <w:szCs w:val="20"/>
              </w:rPr>
              <w:t>Project cost and time-related inputs for urban roads (scope, quantities, etc.)</w:t>
            </w:r>
          </w:p>
        </w:tc>
        <w:tc>
          <w:tcPr>
            <w:tcW w:w="1671" w:type="dxa"/>
          </w:tcPr>
          <w:p w14:paraId="38364746" w14:textId="77777777" w:rsidR="005C07DA" w:rsidRDefault="00000000">
            <w:pPr>
              <w:jc w:val="both"/>
              <w:rPr>
                <w:rFonts w:ascii="Arial" w:eastAsia="Arial" w:hAnsi="Arial" w:cs="Arial"/>
                <w:sz w:val="20"/>
                <w:szCs w:val="20"/>
              </w:rPr>
            </w:pPr>
            <w:sdt>
              <w:sdtPr>
                <w:tag w:val="goog_rdk_1"/>
                <w:id w:val="1626085513"/>
              </w:sdtPr>
              <w:sdtContent>
                <w:r w:rsidR="004172AA">
                  <w:rPr>
                    <w:rFonts w:ascii="Arial Unicode MS" w:eastAsia="Arial Unicode MS" w:hAnsi="Arial Unicode MS" w:cs="Arial Unicode MS"/>
                    <w:sz w:val="20"/>
                    <w:szCs w:val="20"/>
                  </w:rPr>
                  <w:t xml:space="preserve">Best SVM achieved MAPE 7.06% for cost; ANN much less accurate (25.38%); duration prediction </w:t>
                </w:r>
                <w:r w:rsidR="004172AA">
                  <w:rPr>
                    <w:rFonts w:ascii="Arial Unicode MS" w:eastAsia="Arial Unicode MS" w:hAnsi="Arial Unicode MS" w:cs="Arial Unicode MS"/>
                    <w:sz w:val="20"/>
                    <w:szCs w:val="20"/>
                  </w:rPr>
                  <w:lastRenderedPageBreak/>
                  <w:t>MAPE ≈ 22.8–26.3%</w:t>
                </w:r>
              </w:sdtContent>
            </w:sdt>
          </w:p>
        </w:tc>
        <w:tc>
          <w:tcPr>
            <w:tcW w:w="3083" w:type="dxa"/>
          </w:tcPr>
          <w:p w14:paraId="15590C65" w14:textId="77777777" w:rsidR="005C07DA" w:rsidRDefault="004172AA">
            <w:pPr>
              <w:jc w:val="both"/>
              <w:rPr>
                <w:rFonts w:ascii="Arial" w:eastAsia="Arial" w:hAnsi="Arial" w:cs="Arial"/>
                <w:sz w:val="20"/>
                <w:szCs w:val="20"/>
              </w:rPr>
            </w:pPr>
            <w:r>
              <w:rPr>
                <w:rFonts w:ascii="Arial" w:eastAsia="Arial" w:hAnsi="Arial" w:cs="Arial"/>
                <w:sz w:val="20"/>
                <w:szCs w:val="20"/>
              </w:rPr>
              <w:lastRenderedPageBreak/>
              <w:t>SVM can deliver precise cost predictions for road projects, whereas duration is harder to model; supports more accurate bid preparation and profit planning.</w:t>
            </w:r>
          </w:p>
        </w:tc>
      </w:tr>
      <w:tr w:rsidR="005C07DA" w14:paraId="2F205258" w14:textId="77777777">
        <w:tc>
          <w:tcPr>
            <w:tcW w:w="1875" w:type="dxa"/>
          </w:tcPr>
          <w:p w14:paraId="09479DFB" w14:textId="77777777" w:rsidR="005C07DA" w:rsidRDefault="004172AA">
            <w:pPr>
              <w:jc w:val="both"/>
              <w:rPr>
                <w:rFonts w:ascii="Arial" w:eastAsia="Arial" w:hAnsi="Arial" w:cs="Arial"/>
                <w:sz w:val="20"/>
                <w:szCs w:val="20"/>
              </w:rPr>
            </w:pPr>
            <w:proofErr w:type="spellStart"/>
            <w:r>
              <w:rPr>
                <w:rFonts w:ascii="Arial" w:eastAsia="Arial" w:hAnsi="Arial" w:cs="Arial"/>
                <w:sz w:val="20"/>
                <w:szCs w:val="20"/>
              </w:rPr>
              <w:t>Rafiei</w:t>
            </w:r>
            <w:proofErr w:type="spellEnd"/>
            <w:r>
              <w:rPr>
                <w:rFonts w:ascii="Arial" w:eastAsia="Arial" w:hAnsi="Arial" w:cs="Arial"/>
                <w:sz w:val="20"/>
                <w:szCs w:val="20"/>
              </w:rPr>
              <w:t xml:space="preserve"> &amp; Adeli, 2018</w:t>
            </w:r>
          </w:p>
        </w:tc>
        <w:tc>
          <w:tcPr>
            <w:tcW w:w="1594" w:type="dxa"/>
          </w:tcPr>
          <w:p w14:paraId="1B8453BE" w14:textId="77777777" w:rsidR="005C07DA" w:rsidRDefault="004172AA">
            <w:pPr>
              <w:jc w:val="both"/>
              <w:rPr>
                <w:rFonts w:ascii="Arial" w:eastAsia="Arial" w:hAnsi="Arial" w:cs="Arial"/>
                <w:sz w:val="20"/>
                <w:szCs w:val="20"/>
              </w:rPr>
            </w:pPr>
            <w:r>
              <w:rPr>
                <w:rFonts w:ascii="Arial" w:eastAsia="Arial" w:hAnsi="Arial" w:cs="Arial"/>
                <w:sz w:val="20"/>
                <w:szCs w:val="20"/>
              </w:rPr>
              <w:t xml:space="preserve">Low- and mid-rise buildings (3–9 </w:t>
            </w:r>
            <w:proofErr w:type="spellStart"/>
            <w:r>
              <w:rPr>
                <w:rFonts w:ascii="Arial" w:eastAsia="Arial" w:hAnsi="Arial" w:cs="Arial"/>
                <w:sz w:val="20"/>
                <w:szCs w:val="20"/>
              </w:rPr>
              <w:t>storeys</w:t>
            </w:r>
            <w:proofErr w:type="spellEnd"/>
            <w:r>
              <w:rPr>
                <w:rFonts w:ascii="Arial" w:eastAsia="Arial" w:hAnsi="Arial" w:cs="Arial"/>
                <w:sz w:val="20"/>
                <w:szCs w:val="20"/>
              </w:rPr>
              <w:t>)</w:t>
            </w:r>
          </w:p>
        </w:tc>
        <w:tc>
          <w:tcPr>
            <w:tcW w:w="1606" w:type="dxa"/>
          </w:tcPr>
          <w:p w14:paraId="3E8D6449" w14:textId="77777777" w:rsidR="005C07DA" w:rsidRDefault="004172AA">
            <w:pPr>
              <w:jc w:val="both"/>
              <w:rPr>
                <w:rFonts w:ascii="Arial" w:eastAsia="Arial" w:hAnsi="Arial" w:cs="Arial"/>
                <w:sz w:val="20"/>
                <w:szCs w:val="20"/>
              </w:rPr>
            </w:pPr>
            <w:r>
              <w:rPr>
                <w:rFonts w:ascii="Arial" w:eastAsia="Arial" w:hAnsi="Arial" w:cs="Arial"/>
                <w:sz w:val="20"/>
                <w:szCs w:val="20"/>
              </w:rPr>
              <w:t>Construction cost estimation with economic variables</w:t>
            </w:r>
          </w:p>
        </w:tc>
        <w:tc>
          <w:tcPr>
            <w:tcW w:w="1621" w:type="dxa"/>
          </w:tcPr>
          <w:p w14:paraId="514D0A34" w14:textId="77777777" w:rsidR="005C07DA" w:rsidRDefault="004172AA">
            <w:pPr>
              <w:jc w:val="both"/>
              <w:rPr>
                <w:rFonts w:ascii="Arial" w:eastAsia="Arial" w:hAnsi="Arial" w:cs="Arial"/>
                <w:sz w:val="20"/>
                <w:szCs w:val="20"/>
              </w:rPr>
            </w:pPr>
            <w:r>
              <w:rPr>
                <w:rFonts w:ascii="Arial" w:eastAsia="Arial" w:hAnsi="Arial" w:cs="Arial"/>
                <w:sz w:val="20"/>
                <w:szCs w:val="20"/>
              </w:rPr>
              <w:t>Construction cost data for 372 buildings plus macro-economic variables and indices</w:t>
            </w:r>
          </w:p>
        </w:tc>
        <w:tc>
          <w:tcPr>
            <w:tcW w:w="1613" w:type="dxa"/>
          </w:tcPr>
          <w:p w14:paraId="138D43E3" w14:textId="77777777" w:rsidR="005C07DA" w:rsidRDefault="004172AA">
            <w:pPr>
              <w:jc w:val="both"/>
              <w:rPr>
                <w:rFonts w:ascii="Arial" w:eastAsia="Arial" w:hAnsi="Arial" w:cs="Arial"/>
                <w:sz w:val="20"/>
                <w:szCs w:val="20"/>
              </w:rPr>
            </w:pPr>
            <w:r>
              <w:rPr>
                <w:rFonts w:ascii="Arial" w:eastAsia="Arial" w:hAnsi="Arial" w:cs="Arial"/>
                <w:sz w:val="20"/>
                <w:szCs w:val="20"/>
              </w:rPr>
              <w:t>Deep Boltzmann Machine (DBM-SoftMax) for feature learning combined with BPNN or SVM</w:t>
            </w:r>
          </w:p>
        </w:tc>
        <w:tc>
          <w:tcPr>
            <w:tcW w:w="2105" w:type="dxa"/>
          </w:tcPr>
          <w:p w14:paraId="2D720A85" w14:textId="77777777" w:rsidR="005C07DA" w:rsidRDefault="004172AA">
            <w:pPr>
              <w:jc w:val="both"/>
              <w:rPr>
                <w:rFonts w:ascii="Arial" w:eastAsia="Arial" w:hAnsi="Arial" w:cs="Arial"/>
                <w:sz w:val="20"/>
                <w:szCs w:val="20"/>
              </w:rPr>
            </w:pPr>
            <w:r>
              <w:rPr>
                <w:rFonts w:ascii="Arial" w:eastAsia="Arial" w:hAnsi="Arial" w:cs="Arial"/>
                <w:sz w:val="20"/>
                <w:szCs w:val="20"/>
              </w:rPr>
              <w:t>Physical and financial variables of units plus economic variables and indices (liquidity, wholesale price index, building services index, etc.) with time lags</w:t>
            </w:r>
          </w:p>
        </w:tc>
        <w:tc>
          <w:tcPr>
            <w:tcW w:w="1671" w:type="dxa"/>
          </w:tcPr>
          <w:p w14:paraId="0B0A6CDB" w14:textId="77777777" w:rsidR="005C07DA" w:rsidRDefault="004172AA">
            <w:pPr>
              <w:jc w:val="both"/>
              <w:rPr>
                <w:rFonts w:ascii="Arial" w:eastAsia="Arial" w:hAnsi="Arial" w:cs="Arial"/>
                <w:sz w:val="20"/>
                <w:szCs w:val="20"/>
              </w:rPr>
            </w:pPr>
            <w:r>
              <w:rPr>
                <w:rFonts w:ascii="Arial" w:eastAsia="Arial" w:hAnsi="Arial" w:cs="Arial"/>
                <w:sz w:val="20"/>
                <w:szCs w:val="20"/>
              </w:rPr>
              <w:t>DBM-SoftMax + BPNN/SVM models produce much lower cost estimation errors than BPNN-only and SVM-only baselines</w:t>
            </w:r>
          </w:p>
        </w:tc>
        <w:tc>
          <w:tcPr>
            <w:tcW w:w="3083" w:type="dxa"/>
          </w:tcPr>
          <w:p w14:paraId="29FECD8D" w14:textId="77777777" w:rsidR="005C07DA" w:rsidRDefault="004172AA">
            <w:pPr>
              <w:jc w:val="both"/>
              <w:rPr>
                <w:rFonts w:ascii="Arial" w:eastAsia="Arial" w:hAnsi="Arial" w:cs="Arial"/>
                <w:sz w:val="20"/>
                <w:szCs w:val="20"/>
              </w:rPr>
            </w:pPr>
            <w:r>
              <w:rPr>
                <w:rFonts w:ascii="Arial" w:eastAsia="Arial" w:hAnsi="Arial" w:cs="Arial"/>
                <w:sz w:val="20"/>
                <w:szCs w:val="20"/>
              </w:rPr>
              <w:t>Demonstrates value of deep feature learning and inclusion of macro-economic indicators in cost models, supporting robust pricing under economic volatility.</w:t>
            </w:r>
          </w:p>
        </w:tc>
      </w:tr>
      <w:tr w:rsidR="005C07DA" w14:paraId="09A58ADB" w14:textId="77777777">
        <w:tc>
          <w:tcPr>
            <w:tcW w:w="1875" w:type="dxa"/>
          </w:tcPr>
          <w:p w14:paraId="0603D5AF" w14:textId="77777777" w:rsidR="005C07DA" w:rsidRDefault="004172AA">
            <w:pPr>
              <w:jc w:val="both"/>
              <w:rPr>
                <w:rFonts w:ascii="Arial" w:eastAsia="Arial" w:hAnsi="Arial" w:cs="Arial"/>
                <w:sz w:val="20"/>
                <w:szCs w:val="20"/>
              </w:rPr>
            </w:pPr>
            <w:proofErr w:type="spellStart"/>
            <w:r>
              <w:rPr>
                <w:rFonts w:ascii="Arial" w:eastAsia="Arial" w:hAnsi="Arial" w:cs="Arial"/>
                <w:sz w:val="20"/>
                <w:szCs w:val="20"/>
              </w:rPr>
              <w:t>Shoar</w:t>
            </w:r>
            <w:proofErr w:type="spellEnd"/>
            <w:r>
              <w:rPr>
                <w:rFonts w:ascii="Arial" w:eastAsia="Arial" w:hAnsi="Arial" w:cs="Arial"/>
                <w:sz w:val="20"/>
                <w:szCs w:val="20"/>
              </w:rPr>
              <w:t xml:space="preserve"> et al., 2022</w:t>
            </w:r>
          </w:p>
        </w:tc>
        <w:tc>
          <w:tcPr>
            <w:tcW w:w="1594" w:type="dxa"/>
          </w:tcPr>
          <w:p w14:paraId="5C295AA3" w14:textId="77777777" w:rsidR="005C07DA" w:rsidRDefault="004172AA">
            <w:pPr>
              <w:jc w:val="both"/>
              <w:rPr>
                <w:rFonts w:ascii="Arial" w:eastAsia="Arial" w:hAnsi="Arial" w:cs="Arial"/>
                <w:sz w:val="20"/>
                <w:szCs w:val="20"/>
              </w:rPr>
            </w:pPr>
            <w:r>
              <w:rPr>
                <w:rFonts w:ascii="Arial" w:eastAsia="Arial" w:hAnsi="Arial" w:cs="Arial"/>
                <w:sz w:val="20"/>
                <w:szCs w:val="20"/>
              </w:rPr>
              <w:t>Iran; 95 high-rise residential building projects</w:t>
            </w:r>
          </w:p>
        </w:tc>
        <w:tc>
          <w:tcPr>
            <w:tcW w:w="1606" w:type="dxa"/>
          </w:tcPr>
          <w:p w14:paraId="398704AB" w14:textId="77777777" w:rsidR="005C07DA" w:rsidRDefault="004172AA">
            <w:pPr>
              <w:jc w:val="both"/>
              <w:rPr>
                <w:rFonts w:ascii="Arial" w:eastAsia="Arial" w:hAnsi="Arial" w:cs="Arial"/>
                <w:sz w:val="20"/>
                <w:szCs w:val="20"/>
              </w:rPr>
            </w:pPr>
            <w:r>
              <w:rPr>
                <w:rFonts w:ascii="Arial" w:eastAsia="Arial" w:hAnsi="Arial" w:cs="Arial"/>
                <w:sz w:val="20"/>
                <w:szCs w:val="20"/>
              </w:rPr>
              <w:t>Engineering services’ cost overruns (ESCO)</w:t>
            </w:r>
          </w:p>
        </w:tc>
        <w:tc>
          <w:tcPr>
            <w:tcW w:w="1621" w:type="dxa"/>
          </w:tcPr>
          <w:p w14:paraId="0BCAEBB7" w14:textId="77777777" w:rsidR="005C07DA" w:rsidRDefault="004172AA">
            <w:pPr>
              <w:jc w:val="both"/>
              <w:rPr>
                <w:rFonts w:ascii="Arial" w:eastAsia="Arial" w:hAnsi="Arial" w:cs="Arial"/>
                <w:sz w:val="20"/>
                <w:szCs w:val="20"/>
              </w:rPr>
            </w:pPr>
            <w:r>
              <w:rPr>
                <w:rFonts w:ascii="Arial" w:eastAsia="Arial" w:hAnsi="Arial" w:cs="Arial"/>
                <w:sz w:val="20"/>
                <w:szCs w:val="20"/>
              </w:rPr>
              <w:t>Database of 95 projects and 12 explanatory variables</w:t>
            </w:r>
          </w:p>
        </w:tc>
        <w:tc>
          <w:tcPr>
            <w:tcW w:w="1613" w:type="dxa"/>
          </w:tcPr>
          <w:p w14:paraId="02C18BEC" w14:textId="77777777" w:rsidR="005C07DA" w:rsidRDefault="004172AA">
            <w:pPr>
              <w:jc w:val="both"/>
              <w:rPr>
                <w:rFonts w:ascii="Arial" w:eastAsia="Arial" w:hAnsi="Arial" w:cs="Arial"/>
                <w:sz w:val="20"/>
                <w:szCs w:val="20"/>
              </w:rPr>
            </w:pPr>
            <w:r>
              <w:rPr>
                <w:rFonts w:ascii="Arial" w:eastAsia="Arial" w:hAnsi="Arial" w:cs="Arial"/>
                <w:sz w:val="20"/>
                <w:szCs w:val="20"/>
              </w:rPr>
              <w:t>Random Forest (RF) regression compared with SVR and MLR</w:t>
            </w:r>
          </w:p>
        </w:tc>
        <w:tc>
          <w:tcPr>
            <w:tcW w:w="2105" w:type="dxa"/>
          </w:tcPr>
          <w:p w14:paraId="5621984D" w14:textId="77777777" w:rsidR="005C07DA" w:rsidRDefault="004172AA">
            <w:pPr>
              <w:jc w:val="both"/>
              <w:rPr>
                <w:rFonts w:ascii="Arial" w:eastAsia="Arial" w:hAnsi="Arial" w:cs="Arial"/>
                <w:sz w:val="20"/>
                <w:szCs w:val="20"/>
              </w:rPr>
            </w:pPr>
            <w:r>
              <w:rPr>
                <w:rFonts w:ascii="Arial" w:eastAsia="Arial" w:hAnsi="Arial" w:cs="Arial"/>
                <w:sz w:val="20"/>
                <w:szCs w:val="20"/>
              </w:rPr>
              <w:t xml:space="preserve">Project and </w:t>
            </w:r>
            <w:proofErr w:type="spellStart"/>
            <w:r>
              <w:rPr>
                <w:rFonts w:ascii="Arial" w:eastAsia="Arial" w:hAnsi="Arial" w:cs="Arial"/>
                <w:sz w:val="20"/>
                <w:szCs w:val="20"/>
              </w:rPr>
              <w:t>organisational</w:t>
            </w:r>
            <w:proofErr w:type="spellEnd"/>
            <w:r>
              <w:rPr>
                <w:rFonts w:ascii="Arial" w:eastAsia="Arial" w:hAnsi="Arial" w:cs="Arial"/>
                <w:sz w:val="20"/>
                <w:szCs w:val="20"/>
              </w:rPr>
              <w:t xml:space="preserve"> variables (CAD adoption, team communication, scope definition and others)</w:t>
            </w:r>
          </w:p>
        </w:tc>
        <w:tc>
          <w:tcPr>
            <w:tcW w:w="1671" w:type="dxa"/>
          </w:tcPr>
          <w:p w14:paraId="61DCAB53" w14:textId="77777777" w:rsidR="005C07DA" w:rsidRDefault="004172AA">
            <w:pPr>
              <w:jc w:val="both"/>
              <w:rPr>
                <w:rFonts w:ascii="Arial" w:eastAsia="Arial" w:hAnsi="Arial" w:cs="Arial"/>
                <w:sz w:val="20"/>
                <w:szCs w:val="20"/>
              </w:rPr>
            </w:pPr>
            <w:r>
              <w:rPr>
                <w:rFonts w:ascii="Arial" w:eastAsia="Arial" w:hAnsi="Arial" w:cs="Arial"/>
                <w:sz w:val="20"/>
                <w:szCs w:val="20"/>
              </w:rPr>
              <w:t>RF achieved R² = 0.8680 and MAE = 3.88, outperforming SVR and MLR</w:t>
            </w:r>
          </w:p>
        </w:tc>
        <w:tc>
          <w:tcPr>
            <w:tcW w:w="3083" w:type="dxa"/>
          </w:tcPr>
          <w:p w14:paraId="69A56877" w14:textId="77777777" w:rsidR="005C07DA" w:rsidRDefault="004172AA">
            <w:pPr>
              <w:jc w:val="both"/>
              <w:rPr>
                <w:rFonts w:ascii="Arial" w:eastAsia="Arial" w:hAnsi="Arial" w:cs="Arial"/>
                <w:sz w:val="20"/>
                <w:szCs w:val="20"/>
              </w:rPr>
            </w:pPr>
            <w:r>
              <w:rPr>
                <w:rFonts w:ascii="Arial" w:eastAsia="Arial" w:hAnsi="Arial" w:cs="Arial"/>
                <w:sz w:val="20"/>
                <w:szCs w:val="20"/>
              </w:rPr>
              <w:t>RF model enables firms to identify projects at high risk of ESCO and highlights CAD adoption, communication and scope definition as key levers to reduce rework and disputes.</w:t>
            </w:r>
          </w:p>
        </w:tc>
      </w:tr>
      <w:tr w:rsidR="005C07DA" w14:paraId="78D36FDC" w14:textId="77777777">
        <w:tc>
          <w:tcPr>
            <w:tcW w:w="1875" w:type="dxa"/>
          </w:tcPr>
          <w:p w14:paraId="2ECC9D12" w14:textId="77777777" w:rsidR="005C07DA" w:rsidRDefault="004172AA">
            <w:pPr>
              <w:jc w:val="both"/>
              <w:rPr>
                <w:rFonts w:ascii="Arial" w:eastAsia="Arial" w:hAnsi="Arial" w:cs="Arial"/>
                <w:sz w:val="20"/>
                <w:szCs w:val="20"/>
              </w:rPr>
            </w:pPr>
            <w:r>
              <w:rPr>
                <w:rFonts w:ascii="Arial" w:eastAsia="Arial" w:hAnsi="Arial" w:cs="Arial"/>
                <w:sz w:val="20"/>
                <w:szCs w:val="20"/>
              </w:rPr>
              <w:t>Wang et al., 2023</w:t>
            </w:r>
          </w:p>
        </w:tc>
        <w:tc>
          <w:tcPr>
            <w:tcW w:w="1594" w:type="dxa"/>
          </w:tcPr>
          <w:p w14:paraId="7AB28723" w14:textId="77777777" w:rsidR="005C07DA" w:rsidRDefault="004172AA">
            <w:pPr>
              <w:jc w:val="both"/>
              <w:rPr>
                <w:rFonts w:ascii="Arial" w:eastAsia="Arial" w:hAnsi="Arial" w:cs="Arial"/>
                <w:sz w:val="20"/>
                <w:szCs w:val="20"/>
              </w:rPr>
            </w:pPr>
            <w:r>
              <w:rPr>
                <w:rFonts w:ascii="Arial" w:eastAsia="Arial" w:hAnsi="Arial" w:cs="Arial"/>
                <w:sz w:val="20"/>
                <w:szCs w:val="20"/>
              </w:rPr>
              <w:t>Construction projects (context not specified)</w:t>
            </w:r>
          </w:p>
        </w:tc>
        <w:tc>
          <w:tcPr>
            <w:tcW w:w="1606" w:type="dxa"/>
          </w:tcPr>
          <w:p w14:paraId="2DF7547C" w14:textId="77777777" w:rsidR="005C07DA" w:rsidRDefault="004172AA">
            <w:pPr>
              <w:jc w:val="both"/>
              <w:rPr>
                <w:rFonts w:ascii="Arial" w:eastAsia="Arial" w:hAnsi="Arial" w:cs="Arial"/>
                <w:sz w:val="20"/>
                <w:szCs w:val="20"/>
              </w:rPr>
            </w:pPr>
            <w:r>
              <w:rPr>
                <w:rFonts w:ascii="Arial" w:eastAsia="Arial" w:hAnsi="Arial" w:cs="Arial"/>
                <w:sz w:val="20"/>
                <w:szCs w:val="20"/>
              </w:rPr>
              <w:t>Construction project cost prediction over time</w:t>
            </w:r>
          </w:p>
        </w:tc>
        <w:tc>
          <w:tcPr>
            <w:tcW w:w="1621" w:type="dxa"/>
          </w:tcPr>
          <w:p w14:paraId="0470DBD0" w14:textId="77777777" w:rsidR="005C07DA" w:rsidRDefault="004172AA">
            <w:pPr>
              <w:jc w:val="both"/>
              <w:rPr>
                <w:rFonts w:ascii="Arial" w:eastAsia="Arial" w:hAnsi="Arial" w:cs="Arial"/>
                <w:sz w:val="20"/>
                <w:szCs w:val="20"/>
              </w:rPr>
            </w:pPr>
            <w:r>
              <w:rPr>
                <w:rFonts w:ascii="Arial" w:eastAsia="Arial" w:hAnsi="Arial" w:cs="Arial"/>
                <w:sz w:val="20"/>
                <w:szCs w:val="20"/>
              </w:rPr>
              <w:t>Dataset of project cost records (size not detailed in abstract)</w:t>
            </w:r>
          </w:p>
        </w:tc>
        <w:tc>
          <w:tcPr>
            <w:tcW w:w="1613" w:type="dxa"/>
          </w:tcPr>
          <w:p w14:paraId="78AD67F7" w14:textId="77777777" w:rsidR="005C07DA" w:rsidRDefault="004172AA">
            <w:pPr>
              <w:jc w:val="both"/>
              <w:rPr>
                <w:rFonts w:ascii="Arial" w:eastAsia="Arial" w:hAnsi="Arial" w:cs="Arial"/>
                <w:sz w:val="20"/>
                <w:szCs w:val="20"/>
              </w:rPr>
            </w:pPr>
            <w:r>
              <w:rPr>
                <w:rFonts w:ascii="Arial" w:eastAsia="Arial" w:hAnsi="Arial" w:cs="Arial"/>
                <w:sz w:val="20"/>
                <w:szCs w:val="20"/>
              </w:rPr>
              <w:t>Recurrent Neural Network (RNN) cost prediction model</w:t>
            </w:r>
          </w:p>
        </w:tc>
        <w:tc>
          <w:tcPr>
            <w:tcW w:w="2105" w:type="dxa"/>
          </w:tcPr>
          <w:p w14:paraId="2F7A71C8" w14:textId="77777777" w:rsidR="005C07DA" w:rsidRDefault="004172AA">
            <w:pPr>
              <w:jc w:val="both"/>
              <w:rPr>
                <w:rFonts w:ascii="Arial" w:eastAsia="Arial" w:hAnsi="Arial" w:cs="Arial"/>
                <w:sz w:val="20"/>
                <w:szCs w:val="20"/>
              </w:rPr>
            </w:pPr>
            <w:r>
              <w:rPr>
                <w:rFonts w:ascii="Arial" w:eastAsia="Arial" w:hAnsi="Arial" w:cs="Arial"/>
                <w:sz w:val="20"/>
                <w:szCs w:val="20"/>
              </w:rPr>
              <w:t>Structured cost-prediction index system derived from cost concepts, fed as sequences into RNN</w:t>
            </w:r>
          </w:p>
        </w:tc>
        <w:tc>
          <w:tcPr>
            <w:tcW w:w="1671" w:type="dxa"/>
          </w:tcPr>
          <w:p w14:paraId="076BD3A9" w14:textId="77777777" w:rsidR="005C07DA" w:rsidRDefault="004172AA">
            <w:pPr>
              <w:jc w:val="both"/>
              <w:rPr>
                <w:rFonts w:ascii="Arial" w:eastAsia="Arial" w:hAnsi="Arial" w:cs="Arial"/>
                <w:sz w:val="20"/>
                <w:szCs w:val="20"/>
              </w:rPr>
            </w:pPr>
            <w:r>
              <w:rPr>
                <w:rFonts w:ascii="Arial" w:eastAsia="Arial" w:hAnsi="Arial" w:cs="Arial"/>
                <w:sz w:val="20"/>
                <w:szCs w:val="20"/>
              </w:rPr>
              <w:t>Experimental evaluation shows small RMSE and better accuracy than conventional cost-prediction methods</w:t>
            </w:r>
          </w:p>
        </w:tc>
        <w:tc>
          <w:tcPr>
            <w:tcW w:w="3083" w:type="dxa"/>
          </w:tcPr>
          <w:p w14:paraId="4EA3B13E" w14:textId="77777777" w:rsidR="005C07DA" w:rsidRDefault="004172AA">
            <w:pPr>
              <w:jc w:val="both"/>
              <w:rPr>
                <w:rFonts w:ascii="Arial" w:eastAsia="Arial" w:hAnsi="Arial" w:cs="Arial"/>
                <w:sz w:val="20"/>
                <w:szCs w:val="20"/>
              </w:rPr>
            </w:pPr>
            <w:r>
              <w:rPr>
                <w:rFonts w:ascii="Arial" w:eastAsia="Arial" w:hAnsi="Arial" w:cs="Arial"/>
                <w:sz w:val="20"/>
                <w:szCs w:val="20"/>
              </w:rPr>
              <w:t>Sequence-oriented RNN architecture with a well-designed index system enhances cost-prediction accuracy, offering a more adaptive approach where costs evolve over stages.</w:t>
            </w:r>
          </w:p>
        </w:tc>
      </w:tr>
      <w:tr w:rsidR="005C07DA" w14:paraId="21FF1ECC" w14:textId="77777777">
        <w:tc>
          <w:tcPr>
            <w:tcW w:w="1875" w:type="dxa"/>
          </w:tcPr>
          <w:p w14:paraId="6277510B" w14:textId="77777777" w:rsidR="005C07DA" w:rsidRDefault="004172AA">
            <w:pPr>
              <w:jc w:val="both"/>
              <w:rPr>
                <w:rFonts w:ascii="Arial" w:eastAsia="Arial" w:hAnsi="Arial" w:cs="Arial"/>
                <w:sz w:val="20"/>
                <w:szCs w:val="20"/>
              </w:rPr>
            </w:pPr>
            <w:r>
              <w:rPr>
                <w:rFonts w:ascii="Arial" w:eastAsia="Arial" w:hAnsi="Arial" w:cs="Arial"/>
                <w:sz w:val="20"/>
                <w:szCs w:val="20"/>
              </w:rPr>
              <w:t>Yan et al., 2022</w:t>
            </w:r>
          </w:p>
        </w:tc>
        <w:tc>
          <w:tcPr>
            <w:tcW w:w="1594" w:type="dxa"/>
          </w:tcPr>
          <w:p w14:paraId="166CF23C" w14:textId="77777777" w:rsidR="005C07DA" w:rsidRDefault="004172AA">
            <w:pPr>
              <w:jc w:val="both"/>
              <w:rPr>
                <w:rFonts w:ascii="Arial" w:eastAsia="Arial" w:hAnsi="Arial" w:cs="Arial"/>
                <w:sz w:val="20"/>
                <w:szCs w:val="20"/>
              </w:rPr>
            </w:pPr>
            <w:r>
              <w:rPr>
                <w:rFonts w:ascii="Arial" w:eastAsia="Arial" w:hAnsi="Arial" w:cs="Arial"/>
                <w:sz w:val="20"/>
                <w:szCs w:val="20"/>
              </w:rPr>
              <w:t>Prefabricated concrete buildings (PCBs)</w:t>
            </w:r>
          </w:p>
        </w:tc>
        <w:tc>
          <w:tcPr>
            <w:tcW w:w="1606" w:type="dxa"/>
          </w:tcPr>
          <w:p w14:paraId="6C95961A" w14:textId="77777777" w:rsidR="005C07DA" w:rsidRDefault="004172AA">
            <w:pPr>
              <w:jc w:val="both"/>
              <w:rPr>
                <w:rFonts w:ascii="Arial" w:eastAsia="Arial" w:hAnsi="Arial" w:cs="Arial"/>
                <w:sz w:val="20"/>
                <w:szCs w:val="20"/>
              </w:rPr>
            </w:pPr>
            <w:r>
              <w:rPr>
                <w:rFonts w:ascii="Arial" w:eastAsia="Arial" w:hAnsi="Arial" w:cs="Arial"/>
                <w:sz w:val="20"/>
                <w:szCs w:val="20"/>
              </w:rPr>
              <w:t>Investment estimation (project cost) of PCBs</w:t>
            </w:r>
          </w:p>
        </w:tc>
        <w:tc>
          <w:tcPr>
            <w:tcW w:w="1621" w:type="dxa"/>
          </w:tcPr>
          <w:p w14:paraId="41AC4706" w14:textId="77777777" w:rsidR="005C07DA" w:rsidRDefault="004172AA">
            <w:pPr>
              <w:jc w:val="both"/>
              <w:rPr>
                <w:rFonts w:ascii="Arial" w:eastAsia="Arial" w:hAnsi="Arial" w:cs="Arial"/>
                <w:sz w:val="20"/>
                <w:szCs w:val="20"/>
              </w:rPr>
            </w:pPr>
            <w:r>
              <w:rPr>
                <w:rFonts w:ascii="Arial" w:eastAsia="Arial" w:hAnsi="Arial" w:cs="Arial"/>
                <w:sz w:val="20"/>
                <w:szCs w:val="20"/>
              </w:rPr>
              <w:t>PCB investment dataset (sample size not stated in abstract)</w:t>
            </w:r>
          </w:p>
        </w:tc>
        <w:tc>
          <w:tcPr>
            <w:tcW w:w="1613" w:type="dxa"/>
          </w:tcPr>
          <w:p w14:paraId="092D9A75" w14:textId="77777777" w:rsidR="005C07DA" w:rsidRDefault="004172AA">
            <w:pPr>
              <w:jc w:val="both"/>
              <w:rPr>
                <w:rFonts w:ascii="Arial" w:eastAsia="Arial" w:hAnsi="Arial" w:cs="Arial"/>
                <w:sz w:val="20"/>
                <w:szCs w:val="20"/>
              </w:rPr>
            </w:pPr>
            <w:r>
              <w:rPr>
                <w:rFonts w:ascii="Arial" w:eastAsia="Arial" w:hAnsi="Arial" w:cs="Arial"/>
                <w:sz w:val="20"/>
                <w:szCs w:val="20"/>
              </w:rPr>
              <w:t>Extreme Gradient Boosting (</w:t>
            </w:r>
            <w:proofErr w:type="spellStart"/>
            <w:r>
              <w:rPr>
                <w:rFonts w:ascii="Arial" w:eastAsia="Arial" w:hAnsi="Arial" w:cs="Arial"/>
                <w:sz w:val="20"/>
                <w:szCs w:val="20"/>
              </w:rPr>
              <w:t>XGBoost</w:t>
            </w:r>
            <w:proofErr w:type="spellEnd"/>
            <w:r>
              <w:rPr>
                <w:rFonts w:ascii="Arial" w:eastAsia="Arial" w:hAnsi="Arial" w:cs="Arial"/>
                <w:sz w:val="20"/>
                <w:szCs w:val="20"/>
              </w:rPr>
              <w:t>) regression compared with SVM, BPNN and RF</w:t>
            </w:r>
          </w:p>
        </w:tc>
        <w:tc>
          <w:tcPr>
            <w:tcW w:w="2105" w:type="dxa"/>
          </w:tcPr>
          <w:p w14:paraId="358B35D9" w14:textId="77777777" w:rsidR="005C07DA" w:rsidRDefault="004172AA">
            <w:pPr>
              <w:jc w:val="both"/>
              <w:rPr>
                <w:rFonts w:ascii="Arial" w:eastAsia="Arial" w:hAnsi="Arial" w:cs="Arial"/>
                <w:sz w:val="20"/>
                <w:szCs w:val="20"/>
              </w:rPr>
            </w:pPr>
            <w:r>
              <w:rPr>
                <w:rFonts w:ascii="Arial" w:eastAsia="Arial" w:hAnsi="Arial" w:cs="Arial"/>
                <w:sz w:val="20"/>
                <w:szCs w:val="20"/>
              </w:rPr>
              <w:t>Characteristic indices of prefabricated building investment derived using construction cost-significance theory and AHP</w:t>
            </w:r>
          </w:p>
        </w:tc>
        <w:tc>
          <w:tcPr>
            <w:tcW w:w="1671" w:type="dxa"/>
          </w:tcPr>
          <w:p w14:paraId="389D9A47" w14:textId="77777777" w:rsidR="005C07DA" w:rsidRDefault="004172AA">
            <w:pPr>
              <w:jc w:val="both"/>
              <w:rPr>
                <w:rFonts w:ascii="Arial" w:eastAsia="Arial" w:hAnsi="Arial" w:cs="Arial"/>
                <w:sz w:val="20"/>
                <w:szCs w:val="20"/>
              </w:rPr>
            </w:pPr>
            <w:proofErr w:type="spellStart"/>
            <w:r>
              <w:rPr>
                <w:rFonts w:ascii="Arial" w:eastAsia="Arial" w:hAnsi="Arial" w:cs="Arial"/>
                <w:sz w:val="20"/>
                <w:szCs w:val="20"/>
              </w:rPr>
              <w:t>XGBoost</w:t>
            </w:r>
            <w:proofErr w:type="spellEnd"/>
            <w:r>
              <w:rPr>
                <w:rFonts w:ascii="Arial" w:eastAsia="Arial" w:hAnsi="Arial" w:cs="Arial"/>
                <w:sz w:val="20"/>
                <w:szCs w:val="20"/>
              </w:rPr>
              <w:t xml:space="preserve"> shows better </w:t>
            </w:r>
            <w:proofErr w:type="spellStart"/>
            <w:r>
              <w:rPr>
                <w:rFonts w:ascii="Arial" w:eastAsia="Arial" w:hAnsi="Arial" w:cs="Arial"/>
                <w:sz w:val="20"/>
                <w:szCs w:val="20"/>
              </w:rPr>
              <w:t>generalisation</w:t>
            </w:r>
            <w:proofErr w:type="spellEnd"/>
            <w:r>
              <w:rPr>
                <w:rFonts w:ascii="Arial" w:eastAsia="Arial" w:hAnsi="Arial" w:cs="Arial"/>
                <w:sz w:val="20"/>
                <w:szCs w:val="20"/>
              </w:rPr>
              <w:t xml:space="preserve"> and interpretability than SVM, BPNN and RF; incorporates uncertainty quantification</w:t>
            </w:r>
          </w:p>
        </w:tc>
        <w:tc>
          <w:tcPr>
            <w:tcW w:w="3083" w:type="dxa"/>
          </w:tcPr>
          <w:p w14:paraId="11346479" w14:textId="77777777" w:rsidR="005C07DA" w:rsidRDefault="004172AA">
            <w:pPr>
              <w:jc w:val="both"/>
              <w:rPr>
                <w:rFonts w:ascii="Arial" w:eastAsia="Arial" w:hAnsi="Arial" w:cs="Arial"/>
                <w:sz w:val="20"/>
                <w:szCs w:val="20"/>
              </w:rPr>
            </w:pPr>
            <w:r>
              <w:rPr>
                <w:rFonts w:ascii="Arial" w:eastAsia="Arial" w:hAnsi="Arial" w:cs="Arial"/>
                <w:sz w:val="20"/>
                <w:szCs w:val="20"/>
              </w:rPr>
              <w:t xml:space="preserve">Provides an interpretable and accurate investment estimation tool for PCB projects, supporting adoption of </w:t>
            </w:r>
            <w:proofErr w:type="spellStart"/>
            <w:r>
              <w:rPr>
                <w:rFonts w:ascii="Arial" w:eastAsia="Arial" w:hAnsi="Arial" w:cs="Arial"/>
                <w:sz w:val="20"/>
                <w:szCs w:val="20"/>
              </w:rPr>
              <w:t>industrialised</w:t>
            </w:r>
            <w:proofErr w:type="spellEnd"/>
            <w:r>
              <w:rPr>
                <w:rFonts w:ascii="Arial" w:eastAsia="Arial" w:hAnsi="Arial" w:cs="Arial"/>
                <w:sz w:val="20"/>
                <w:szCs w:val="20"/>
              </w:rPr>
              <w:t xml:space="preserve"> construction through better upfront cost visibility.</w:t>
            </w:r>
          </w:p>
        </w:tc>
      </w:tr>
      <w:tr w:rsidR="005C07DA" w14:paraId="76690C5D" w14:textId="77777777">
        <w:tc>
          <w:tcPr>
            <w:tcW w:w="1875" w:type="dxa"/>
          </w:tcPr>
          <w:p w14:paraId="534D2B5C" w14:textId="77777777" w:rsidR="005C07DA" w:rsidRDefault="004172AA">
            <w:pPr>
              <w:jc w:val="both"/>
              <w:rPr>
                <w:rFonts w:ascii="Arial" w:eastAsia="Arial" w:hAnsi="Arial" w:cs="Arial"/>
                <w:sz w:val="20"/>
                <w:szCs w:val="20"/>
              </w:rPr>
            </w:pPr>
            <w:r>
              <w:rPr>
                <w:rFonts w:ascii="Arial" w:eastAsia="Arial" w:hAnsi="Arial" w:cs="Arial"/>
                <w:sz w:val="20"/>
                <w:szCs w:val="20"/>
              </w:rPr>
              <w:t>Yaseen et al., 2020</w:t>
            </w:r>
          </w:p>
        </w:tc>
        <w:tc>
          <w:tcPr>
            <w:tcW w:w="1594" w:type="dxa"/>
          </w:tcPr>
          <w:p w14:paraId="52854B8D" w14:textId="77777777" w:rsidR="005C07DA" w:rsidRDefault="004172AA">
            <w:pPr>
              <w:jc w:val="both"/>
              <w:rPr>
                <w:rFonts w:ascii="Arial" w:eastAsia="Arial" w:hAnsi="Arial" w:cs="Arial"/>
                <w:sz w:val="20"/>
                <w:szCs w:val="20"/>
              </w:rPr>
            </w:pPr>
            <w:r>
              <w:rPr>
                <w:rFonts w:ascii="Arial" w:eastAsia="Arial" w:hAnsi="Arial" w:cs="Arial"/>
                <w:sz w:val="20"/>
                <w:szCs w:val="20"/>
              </w:rPr>
              <w:t xml:space="preserve">Construction projects </w:t>
            </w:r>
            <w:r>
              <w:rPr>
                <w:rFonts w:ascii="Arial" w:eastAsia="Arial" w:hAnsi="Arial" w:cs="Arial"/>
                <w:sz w:val="20"/>
                <w:szCs w:val="20"/>
              </w:rPr>
              <w:lastRenderedPageBreak/>
              <w:t>(context not specified)</w:t>
            </w:r>
          </w:p>
        </w:tc>
        <w:tc>
          <w:tcPr>
            <w:tcW w:w="1606" w:type="dxa"/>
          </w:tcPr>
          <w:p w14:paraId="5EB045F9" w14:textId="77777777" w:rsidR="005C07DA" w:rsidRDefault="004172AA">
            <w:pPr>
              <w:jc w:val="both"/>
              <w:rPr>
                <w:rFonts w:ascii="Arial" w:eastAsia="Arial" w:hAnsi="Arial" w:cs="Arial"/>
                <w:sz w:val="20"/>
                <w:szCs w:val="20"/>
              </w:rPr>
            </w:pPr>
            <w:r>
              <w:rPr>
                <w:rFonts w:ascii="Arial" w:eastAsia="Arial" w:hAnsi="Arial" w:cs="Arial"/>
                <w:sz w:val="20"/>
                <w:szCs w:val="20"/>
              </w:rPr>
              <w:lastRenderedPageBreak/>
              <w:t>Risk of project delay (classification)</w:t>
            </w:r>
          </w:p>
        </w:tc>
        <w:tc>
          <w:tcPr>
            <w:tcW w:w="1621" w:type="dxa"/>
          </w:tcPr>
          <w:p w14:paraId="2B7954EC" w14:textId="77777777" w:rsidR="005C07DA" w:rsidRDefault="004172AA">
            <w:pPr>
              <w:jc w:val="both"/>
              <w:rPr>
                <w:rFonts w:ascii="Arial" w:eastAsia="Arial" w:hAnsi="Arial" w:cs="Arial"/>
                <w:sz w:val="20"/>
                <w:szCs w:val="20"/>
              </w:rPr>
            </w:pPr>
            <w:r>
              <w:rPr>
                <w:rFonts w:ascii="Arial" w:eastAsia="Arial" w:hAnsi="Arial" w:cs="Arial"/>
                <w:sz w:val="20"/>
                <w:szCs w:val="20"/>
              </w:rPr>
              <w:t xml:space="preserve">Questionnaire-based data capturing delay </w:t>
            </w:r>
            <w:r>
              <w:rPr>
                <w:rFonts w:ascii="Arial" w:eastAsia="Arial" w:hAnsi="Arial" w:cs="Arial"/>
                <w:sz w:val="20"/>
                <w:szCs w:val="20"/>
              </w:rPr>
              <w:lastRenderedPageBreak/>
              <w:t>sources and their impact on project performance</w:t>
            </w:r>
          </w:p>
        </w:tc>
        <w:tc>
          <w:tcPr>
            <w:tcW w:w="1613" w:type="dxa"/>
          </w:tcPr>
          <w:p w14:paraId="68BBB80D" w14:textId="77777777" w:rsidR="005C07DA" w:rsidRDefault="004172AA">
            <w:pPr>
              <w:jc w:val="both"/>
              <w:rPr>
                <w:rFonts w:ascii="Arial" w:eastAsia="Arial" w:hAnsi="Arial" w:cs="Arial"/>
                <w:sz w:val="20"/>
                <w:szCs w:val="20"/>
              </w:rPr>
            </w:pPr>
            <w:r>
              <w:rPr>
                <w:rFonts w:ascii="Arial" w:eastAsia="Arial" w:hAnsi="Arial" w:cs="Arial"/>
                <w:sz w:val="20"/>
                <w:szCs w:val="20"/>
              </w:rPr>
              <w:lastRenderedPageBreak/>
              <w:t xml:space="preserve">Hybrid Random Forest classifier </w:t>
            </w:r>
            <w:proofErr w:type="spellStart"/>
            <w:r>
              <w:rPr>
                <w:rFonts w:ascii="Arial" w:eastAsia="Arial" w:hAnsi="Arial" w:cs="Arial"/>
                <w:sz w:val="20"/>
                <w:szCs w:val="20"/>
              </w:rPr>
              <w:t>optimised</w:t>
            </w:r>
            <w:proofErr w:type="spellEnd"/>
            <w:r>
              <w:rPr>
                <w:rFonts w:ascii="Arial" w:eastAsia="Arial" w:hAnsi="Arial" w:cs="Arial"/>
                <w:sz w:val="20"/>
                <w:szCs w:val="20"/>
              </w:rPr>
              <w:t xml:space="preserve"> with </w:t>
            </w:r>
            <w:r>
              <w:rPr>
                <w:rFonts w:ascii="Arial" w:eastAsia="Arial" w:hAnsi="Arial" w:cs="Arial"/>
                <w:sz w:val="20"/>
                <w:szCs w:val="20"/>
              </w:rPr>
              <w:lastRenderedPageBreak/>
              <w:t>Genetic Algorithm (RF-GA)</w:t>
            </w:r>
          </w:p>
        </w:tc>
        <w:tc>
          <w:tcPr>
            <w:tcW w:w="2105" w:type="dxa"/>
          </w:tcPr>
          <w:p w14:paraId="0490AE28" w14:textId="77777777" w:rsidR="005C07DA" w:rsidRDefault="004172AA">
            <w:pPr>
              <w:jc w:val="both"/>
              <w:rPr>
                <w:rFonts w:ascii="Arial" w:eastAsia="Arial" w:hAnsi="Arial" w:cs="Arial"/>
                <w:sz w:val="20"/>
                <w:szCs w:val="20"/>
              </w:rPr>
            </w:pPr>
            <w:r>
              <w:rPr>
                <w:rFonts w:ascii="Arial" w:eastAsia="Arial" w:hAnsi="Arial" w:cs="Arial"/>
                <w:sz w:val="20"/>
                <w:szCs w:val="20"/>
              </w:rPr>
              <w:lastRenderedPageBreak/>
              <w:t xml:space="preserve">Quantified delay sources and factors across multiple </w:t>
            </w:r>
            <w:r>
              <w:rPr>
                <w:rFonts w:ascii="Arial" w:eastAsia="Arial" w:hAnsi="Arial" w:cs="Arial"/>
                <w:sz w:val="20"/>
                <w:szCs w:val="20"/>
              </w:rPr>
              <w:lastRenderedPageBreak/>
              <w:t>categories affecting schedule performance</w:t>
            </w:r>
          </w:p>
        </w:tc>
        <w:tc>
          <w:tcPr>
            <w:tcW w:w="1671" w:type="dxa"/>
          </w:tcPr>
          <w:p w14:paraId="3D75E96E" w14:textId="77777777" w:rsidR="005C07DA" w:rsidRDefault="004172AA">
            <w:pPr>
              <w:jc w:val="both"/>
              <w:rPr>
                <w:rFonts w:ascii="Arial" w:eastAsia="Arial" w:hAnsi="Arial" w:cs="Arial"/>
                <w:sz w:val="20"/>
                <w:szCs w:val="20"/>
              </w:rPr>
            </w:pPr>
            <w:r>
              <w:rPr>
                <w:rFonts w:ascii="Arial" w:eastAsia="Arial" w:hAnsi="Arial" w:cs="Arial"/>
                <w:sz w:val="20"/>
                <w:szCs w:val="20"/>
              </w:rPr>
              <w:lastRenderedPageBreak/>
              <w:t xml:space="preserve">RF-GA achieved 91.67% </w:t>
            </w:r>
            <w:r>
              <w:rPr>
                <w:rFonts w:ascii="Arial" w:eastAsia="Arial" w:hAnsi="Arial" w:cs="Arial"/>
                <w:sz w:val="20"/>
                <w:szCs w:val="20"/>
              </w:rPr>
              <w:lastRenderedPageBreak/>
              <w:t>accuracy, kappa 87%, and classification error 8.33%; superior to classical RF</w:t>
            </w:r>
          </w:p>
        </w:tc>
        <w:tc>
          <w:tcPr>
            <w:tcW w:w="3083" w:type="dxa"/>
          </w:tcPr>
          <w:p w14:paraId="6F8903F0" w14:textId="77777777" w:rsidR="005C07DA" w:rsidRDefault="004172AA">
            <w:pPr>
              <w:jc w:val="both"/>
              <w:rPr>
                <w:rFonts w:ascii="Arial" w:eastAsia="Arial" w:hAnsi="Arial" w:cs="Arial"/>
                <w:sz w:val="20"/>
                <w:szCs w:val="20"/>
              </w:rPr>
            </w:pPr>
            <w:r>
              <w:rPr>
                <w:rFonts w:ascii="Arial" w:eastAsia="Arial" w:hAnsi="Arial" w:cs="Arial"/>
                <w:sz w:val="20"/>
                <w:szCs w:val="20"/>
              </w:rPr>
              <w:lastRenderedPageBreak/>
              <w:t>GA-</w:t>
            </w:r>
            <w:proofErr w:type="spellStart"/>
            <w:r>
              <w:rPr>
                <w:rFonts w:ascii="Arial" w:eastAsia="Arial" w:hAnsi="Arial" w:cs="Arial"/>
                <w:sz w:val="20"/>
                <w:szCs w:val="20"/>
              </w:rPr>
              <w:t>optimised</w:t>
            </w:r>
            <w:proofErr w:type="spellEnd"/>
            <w:r>
              <w:rPr>
                <w:rFonts w:ascii="Arial" w:eastAsia="Arial" w:hAnsi="Arial" w:cs="Arial"/>
                <w:sz w:val="20"/>
                <w:szCs w:val="20"/>
              </w:rPr>
              <w:t xml:space="preserve"> RF delivers robust delay-risk prediction, strengthening monitoring </w:t>
            </w:r>
            <w:r>
              <w:rPr>
                <w:rFonts w:ascii="Arial" w:eastAsia="Arial" w:hAnsi="Arial" w:cs="Arial"/>
                <w:sz w:val="20"/>
                <w:szCs w:val="20"/>
              </w:rPr>
              <w:lastRenderedPageBreak/>
              <w:t>systems and supporting sustainability-oriented construction project management.</w:t>
            </w:r>
          </w:p>
        </w:tc>
      </w:tr>
      <w:tr w:rsidR="005C07DA" w14:paraId="279034C6" w14:textId="77777777">
        <w:tc>
          <w:tcPr>
            <w:tcW w:w="1875" w:type="dxa"/>
          </w:tcPr>
          <w:p w14:paraId="370C477E" w14:textId="77777777" w:rsidR="005C07DA" w:rsidRDefault="004172AA">
            <w:pPr>
              <w:jc w:val="both"/>
              <w:rPr>
                <w:rFonts w:ascii="Arial" w:eastAsia="Arial" w:hAnsi="Arial" w:cs="Arial"/>
                <w:sz w:val="20"/>
                <w:szCs w:val="20"/>
              </w:rPr>
            </w:pPr>
            <w:r>
              <w:rPr>
                <w:rFonts w:ascii="Arial" w:eastAsia="Arial" w:hAnsi="Arial" w:cs="Arial"/>
                <w:sz w:val="20"/>
                <w:szCs w:val="20"/>
              </w:rPr>
              <w:lastRenderedPageBreak/>
              <w:t>Zheng et al., 2023</w:t>
            </w:r>
          </w:p>
        </w:tc>
        <w:tc>
          <w:tcPr>
            <w:tcW w:w="1594" w:type="dxa"/>
          </w:tcPr>
          <w:p w14:paraId="6D1F826A" w14:textId="77777777" w:rsidR="005C07DA" w:rsidRDefault="004172AA">
            <w:pPr>
              <w:jc w:val="both"/>
              <w:rPr>
                <w:rFonts w:ascii="Arial" w:eastAsia="Arial" w:hAnsi="Arial" w:cs="Arial"/>
                <w:sz w:val="20"/>
                <w:szCs w:val="20"/>
              </w:rPr>
            </w:pPr>
            <w:r>
              <w:rPr>
                <w:rFonts w:ascii="Arial" w:eastAsia="Arial" w:hAnsi="Arial" w:cs="Arial"/>
                <w:sz w:val="20"/>
                <w:szCs w:val="20"/>
              </w:rPr>
              <w:t>China; construction company in Xinyu</w:t>
            </w:r>
          </w:p>
        </w:tc>
        <w:tc>
          <w:tcPr>
            <w:tcW w:w="1606" w:type="dxa"/>
          </w:tcPr>
          <w:p w14:paraId="6CDB0DF2" w14:textId="77777777" w:rsidR="005C07DA" w:rsidRDefault="004172AA">
            <w:pPr>
              <w:jc w:val="both"/>
              <w:rPr>
                <w:rFonts w:ascii="Arial" w:eastAsia="Arial" w:hAnsi="Arial" w:cs="Arial"/>
                <w:sz w:val="20"/>
                <w:szCs w:val="20"/>
              </w:rPr>
            </w:pPr>
            <w:r>
              <w:rPr>
                <w:rFonts w:ascii="Arial" w:eastAsia="Arial" w:hAnsi="Arial" w:cs="Arial"/>
                <w:sz w:val="20"/>
                <w:szCs w:val="20"/>
              </w:rPr>
              <w:t>Construction cost prediction system</w:t>
            </w:r>
          </w:p>
        </w:tc>
        <w:tc>
          <w:tcPr>
            <w:tcW w:w="1621" w:type="dxa"/>
          </w:tcPr>
          <w:p w14:paraId="2AB2FD6B" w14:textId="77777777" w:rsidR="005C07DA" w:rsidRDefault="004172AA">
            <w:pPr>
              <w:jc w:val="both"/>
              <w:rPr>
                <w:rFonts w:ascii="Arial" w:eastAsia="Arial" w:hAnsi="Arial" w:cs="Arial"/>
                <w:sz w:val="20"/>
                <w:szCs w:val="20"/>
              </w:rPr>
            </w:pPr>
            <w:r>
              <w:rPr>
                <w:rFonts w:ascii="Arial" w:eastAsia="Arial" w:hAnsi="Arial" w:cs="Arial"/>
                <w:sz w:val="20"/>
                <w:szCs w:val="20"/>
              </w:rPr>
              <w:t>Engineering cost data from a construction company; multiple project cases used as training and validation set</w:t>
            </w:r>
          </w:p>
        </w:tc>
        <w:tc>
          <w:tcPr>
            <w:tcW w:w="1613" w:type="dxa"/>
          </w:tcPr>
          <w:p w14:paraId="2FB0B921" w14:textId="77777777" w:rsidR="005C07DA" w:rsidRDefault="004172AA">
            <w:pPr>
              <w:jc w:val="both"/>
              <w:rPr>
                <w:rFonts w:ascii="Arial" w:eastAsia="Arial" w:hAnsi="Arial" w:cs="Arial"/>
                <w:sz w:val="20"/>
                <w:szCs w:val="20"/>
              </w:rPr>
            </w:pPr>
            <w:r>
              <w:rPr>
                <w:rFonts w:ascii="Arial" w:eastAsia="Arial" w:hAnsi="Arial" w:cs="Arial"/>
                <w:sz w:val="20"/>
                <w:szCs w:val="20"/>
              </w:rPr>
              <w:t xml:space="preserve">Random Forest (RF) </w:t>
            </w:r>
            <w:proofErr w:type="spellStart"/>
            <w:r>
              <w:rPr>
                <w:rFonts w:ascii="Arial" w:eastAsia="Arial" w:hAnsi="Arial" w:cs="Arial"/>
                <w:sz w:val="20"/>
                <w:szCs w:val="20"/>
              </w:rPr>
              <w:t>optimised</w:t>
            </w:r>
            <w:proofErr w:type="spellEnd"/>
            <w:r>
              <w:rPr>
                <w:rFonts w:ascii="Arial" w:eastAsia="Arial" w:hAnsi="Arial" w:cs="Arial"/>
                <w:sz w:val="20"/>
                <w:szCs w:val="20"/>
              </w:rPr>
              <w:t xml:space="preserve"> with Bird Swarm Algorithm (BSA) compared with other metaheuristics and forecasting methods</w:t>
            </w:r>
          </w:p>
        </w:tc>
        <w:tc>
          <w:tcPr>
            <w:tcW w:w="2105" w:type="dxa"/>
          </w:tcPr>
          <w:p w14:paraId="29BAF6DD" w14:textId="77777777" w:rsidR="005C07DA" w:rsidRDefault="004172AA">
            <w:pPr>
              <w:jc w:val="both"/>
              <w:rPr>
                <w:rFonts w:ascii="Arial" w:eastAsia="Arial" w:hAnsi="Arial" w:cs="Arial"/>
                <w:sz w:val="20"/>
                <w:szCs w:val="20"/>
              </w:rPr>
            </w:pPr>
            <w:r>
              <w:rPr>
                <w:rFonts w:ascii="Arial" w:eastAsia="Arial" w:hAnsi="Arial" w:cs="Arial"/>
                <w:sz w:val="20"/>
                <w:szCs w:val="20"/>
              </w:rPr>
              <w:t>14 secondary cost indices, reduced to an 11-index predictive system (project scale, complexity, resource factors, etc.)</w:t>
            </w:r>
          </w:p>
        </w:tc>
        <w:tc>
          <w:tcPr>
            <w:tcW w:w="1671" w:type="dxa"/>
          </w:tcPr>
          <w:p w14:paraId="049D47E4" w14:textId="77777777" w:rsidR="005C07DA" w:rsidRDefault="004172AA">
            <w:pPr>
              <w:jc w:val="both"/>
              <w:rPr>
                <w:rFonts w:ascii="Arial" w:eastAsia="Arial" w:hAnsi="Arial" w:cs="Arial"/>
                <w:sz w:val="20"/>
                <w:szCs w:val="20"/>
              </w:rPr>
            </w:pPr>
            <w:r>
              <w:rPr>
                <w:rFonts w:ascii="Arial" w:eastAsia="Arial" w:hAnsi="Arial" w:cs="Arial"/>
                <w:sz w:val="20"/>
                <w:szCs w:val="20"/>
              </w:rPr>
              <w:t>Maximum relative error only 1.24%; BSA finds optimal RF parameters faster than other metaheuristics; RF+BSA outperforms BP, SVM, Stacked Auto-Encoder and Extreme Learning Machine</w:t>
            </w:r>
          </w:p>
        </w:tc>
        <w:tc>
          <w:tcPr>
            <w:tcW w:w="3083" w:type="dxa"/>
          </w:tcPr>
          <w:p w14:paraId="20DBB3DF" w14:textId="77777777" w:rsidR="005C07DA" w:rsidRDefault="004172AA">
            <w:pPr>
              <w:jc w:val="both"/>
              <w:rPr>
                <w:rFonts w:ascii="Arial" w:eastAsia="Arial" w:hAnsi="Arial" w:cs="Arial"/>
                <w:sz w:val="20"/>
                <w:szCs w:val="20"/>
              </w:rPr>
            </w:pPr>
            <w:r>
              <w:rPr>
                <w:rFonts w:ascii="Arial" w:eastAsia="Arial" w:hAnsi="Arial" w:cs="Arial"/>
                <w:sz w:val="20"/>
                <w:szCs w:val="20"/>
              </w:rPr>
              <w:t xml:space="preserve">Presents a high-accuracy, efficient cost-prediction system suitable for practical deployment, providing a basis for </w:t>
            </w:r>
            <w:proofErr w:type="spellStart"/>
            <w:r>
              <w:rPr>
                <w:rFonts w:ascii="Arial" w:eastAsia="Arial" w:hAnsi="Arial" w:cs="Arial"/>
                <w:sz w:val="20"/>
                <w:szCs w:val="20"/>
              </w:rPr>
              <w:t>optimised</w:t>
            </w:r>
            <w:proofErr w:type="spellEnd"/>
            <w:r>
              <w:rPr>
                <w:rFonts w:ascii="Arial" w:eastAsia="Arial" w:hAnsi="Arial" w:cs="Arial"/>
                <w:sz w:val="20"/>
                <w:szCs w:val="20"/>
              </w:rPr>
              <w:t xml:space="preserve"> cost management and scenario analysis in complex projects.</w:t>
            </w:r>
          </w:p>
        </w:tc>
      </w:tr>
    </w:tbl>
    <w:p w14:paraId="624563B3" w14:textId="77777777" w:rsidR="005C07DA" w:rsidRDefault="005C07DA">
      <w:pPr>
        <w:jc w:val="both"/>
        <w:rPr>
          <w:rFonts w:ascii="Arial" w:eastAsia="Arial" w:hAnsi="Arial" w:cs="Arial"/>
          <w:sz w:val="20"/>
          <w:szCs w:val="20"/>
        </w:rPr>
      </w:pPr>
    </w:p>
    <w:p w14:paraId="1B0EA6B7" w14:textId="77777777" w:rsidR="005C07DA" w:rsidRDefault="005C07DA">
      <w:pPr>
        <w:jc w:val="both"/>
        <w:rPr>
          <w:rFonts w:ascii="Arial" w:eastAsia="Arial" w:hAnsi="Arial" w:cs="Arial"/>
          <w:b/>
          <w:bCs/>
          <w:sz w:val="20"/>
          <w:szCs w:val="20"/>
        </w:rPr>
      </w:pPr>
    </w:p>
    <w:p w14:paraId="1C1E8869" w14:textId="77777777" w:rsidR="005C07DA" w:rsidRDefault="005C07DA">
      <w:pPr>
        <w:jc w:val="both"/>
        <w:rPr>
          <w:rFonts w:ascii="Arial" w:eastAsia="Arial" w:hAnsi="Arial" w:cs="Arial"/>
          <w:b/>
          <w:bCs/>
          <w:sz w:val="20"/>
          <w:szCs w:val="20"/>
        </w:rPr>
      </w:pPr>
    </w:p>
    <w:p w14:paraId="5A63D406" w14:textId="77777777" w:rsidR="005C07DA" w:rsidRDefault="005C07DA">
      <w:pPr>
        <w:jc w:val="both"/>
        <w:rPr>
          <w:rFonts w:ascii="Arial" w:eastAsia="Arial" w:hAnsi="Arial" w:cs="Arial"/>
          <w:b/>
          <w:bCs/>
          <w:sz w:val="20"/>
          <w:szCs w:val="20"/>
        </w:rPr>
      </w:pPr>
    </w:p>
    <w:p w14:paraId="42C9C6A4" w14:textId="77777777" w:rsidR="005C07DA" w:rsidRDefault="005C07DA">
      <w:pPr>
        <w:jc w:val="both"/>
        <w:rPr>
          <w:rFonts w:ascii="Arial" w:eastAsia="Arial" w:hAnsi="Arial" w:cs="Arial"/>
          <w:b/>
          <w:bCs/>
          <w:sz w:val="20"/>
          <w:szCs w:val="20"/>
        </w:rPr>
      </w:pPr>
    </w:p>
    <w:p w14:paraId="51D660F6" w14:textId="77777777" w:rsidR="005C07DA" w:rsidRDefault="005C07DA">
      <w:pPr>
        <w:jc w:val="both"/>
        <w:rPr>
          <w:rFonts w:ascii="Arial" w:eastAsia="Arial" w:hAnsi="Arial" w:cs="Arial"/>
          <w:b/>
          <w:bCs/>
          <w:sz w:val="20"/>
          <w:szCs w:val="20"/>
        </w:rPr>
      </w:pPr>
    </w:p>
    <w:p w14:paraId="28529FF9" w14:textId="77777777" w:rsidR="005C07DA" w:rsidRDefault="005C07DA">
      <w:pPr>
        <w:jc w:val="both"/>
        <w:rPr>
          <w:rFonts w:ascii="Arial" w:eastAsia="Arial" w:hAnsi="Arial" w:cs="Arial"/>
          <w:b/>
          <w:bCs/>
          <w:sz w:val="20"/>
          <w:szCs w:val="20"/>
        </w:rPr>
      </w:pPr>
    </w:p>
    <w:p w14:paraId="04CFEECC" w14:textId="77777777" w:rsidR="005C07DA" w:rsidRDefault="005C07DA">
      <w:pPr>
        <w:jc w:val="both"/>
        <w:rPr>
          <w:rFonts w:ascii="Arial" w:eastAsia="Arial" w:hAnsi="Arial" w:cs="Arial"/>
          <w:b/>
          <w:bCs/>
          <w:sz w:val="20"/>
          <w:szCs w:val="20"/>
        </w:rPr>
      </w:pPr>
    </w:p>
    <w:p w14:paraId="3808CBB2" w14:textId="77777777" w:rsidR="005C07DA" w:rsidRDefault="005C07DA">
      <w:pPr>
        <w:jc w:val="both"/>
        <w:rPr>
          <w:rFonts w:ascii="Arial" w:eastAsia="Arial" w:hAnsi="Arial" w:cs="Arial"/>
          <w:b/>
          <w:bCs/>
          <w:sz w:val="20"/>
          <w:szCs w:val="20"/>
        </w:rPr>
        <w:sectPr w:rsidR="005C07DA">
          <w:pgSz w:w="15840" w:h="12240" w:orient="landscape"/>
          <w:pgMar w:top="1440" w:right="1800" w:bottom="1440" w:left="1800" w:header="720" w:footer="720" w:gutter="0"/>
          <w:cols w:space="720"/>
        </w:sectPr>
      </w:pPr>
    </w:p>
    <w:p w14:paraId="447B3F5C" w14:textId="77777777" w:rsidR="005C07DA" w:rsidRDefault="004172AA">
      <w:pPr>
        <w:jc w:val="both"/>
        <w:rPr>
          <w:rFonts w:ascii="Arial" w:eastAsia="Arial" w:hAnsi="Arial" w:cs="Arial"/>
          <w:b/>
          <w:bCs/>
          <w:sz w:val="20"/>
          <w:szCs w:val="20"/>
        </w:rPr>
      </w:pPr>
      <w:r>
        <w:rPr>
          <w:rFonts w:ascii="Arial" w:eastAsia="Arial" w:hAnsi="Arial" w:cs="Arial"/>
          <w:b/>
          <w:bCs/>
          <w:sz w:val="20"/>
          <w:szCs w:val="20"/>
        </w:rPr>
        <w:lastRenderedPageBreak/>
        <w:t>4.0 Result</w:t>
      </w:r>
    </w:p>
    <w:p w14:paraId="473A8224" w14:textId="77777777" w:rsidR="005C07DA" w:rsidRDefault="004172AA">
      <w:pPr>
        <w:jc w:val="both"/>
        <w:rPr>
          <w:rFonts w:ascii="Arial" w:eastAsia="Arial" w:hAnsi="Arial" w:cs="Arial"/>
          <w:b/>
          <w:bCs/>
          <w:sz w:val="20"/>
          <w:szCs w:val="20"/>
        </w:rPr>
      </w:pPr>
      <w:r>
        <w:rPr>
          <w:rFonts w:ascii="Arial" w:eastAsia="Arial" w:hAnsi="Arial" w:cs="Arial"/>
          <w:b/>
          <w:bCs/>
          <w:sz w:val="20"/>
          <w:szCs w:val="20"/>
        </w:rPr>
        <w:t>4.1 Summary of Study Characteristics</w:t>
      </w:r>
    </w:p>
    <w:p w14:paraId="2A9F7120" w14:textId="77777777" w:rsidR="005C07DA" w:rsidRDefault="004172AA">
      <w:pPr>
        <w:jc w:val="both"/>
        <w:rPr>
          <w:rFonts w:ascii="Arial" w:eastAsia="Arial" w:hAnsi="Arial" w:cs="Arial"/>
          <w:sz w:val="20"/>
          <w:szCs w:val="20"/>
        </w:rPr>
      </w:pPr>
      <w:r>
        <w:rPr>
          <w:rFonts w:ascii="Arial" w:eastAsia="Arial" w:hAnsi="Arial" w:cs="Arial"/>
          <w:sz w:val="20"/>
          <w:szCs w:val="20"/>
        </w:rPr>
        <w:t>Across studies, predictive analytics has been shown to consistently outperform traditional regression or rule-of-thumb approaches for forecasting project cost, contingency, investment and delay. The employment of Random Forest models has been demonstrated to result in a reduction of cost or contingency errors when compared with ANN and SVM models in the context of highway, transport and engineering services applications. Furthermore, these models have been shown to facilitate the identification of influential drivers, including project amount, duration, geography, CAD adoption and communication quality. The use of metaheuristic-</w:t>
      </w:r>
      <w:proofErr w:type="spellStart"/>
      <w:r>
        <w:rPr>
          <w:rFonts w:ascii="Arial" w:eastAsia="Arial" w:hAnsi="Arial" w:cs="Arial"/>
          <w:sz w:val="20"/>
          <w:szCs w:val="20"/>
        </w:rPr>
        <w:t>optimised</w:t>
      </w:r>
      <w:proofErr w:type="spellEnd"/>
      <w:r>
        <w:rPr>
          <w:rFonts w:ascii="Arial" w:eastAsia="Arial" w:hAnsi="Arial" w:cs="Arial"/>
          <w:sz w:val="20"/>
          <w:szCs w:val="20"/>
        </w:rPr>
        <w:t xml:space="preserve"> models (RF–GA, RF–BSA, Boruta–SO–BP) has been shown to enhance model accuracy and stability, underscoring the importance of systematic hyperparameter tuning and feature selection for optimal performance. Ensemble and GRNN-based classifiers have been shown to achieve high accuracy and kappa for delay and schedule risk, thereby enabling early identification of high-risk projects in general building, marine and multi-sector </w:t>
      </w:r>
      <w:proofErr w:type="spellStart"/>
      <w:proofErr w:type="gramStart"/>
      <w:r>
        <w:rPr>
          <w:rFonts w:ascii="Arial" w:eastAsia="Arial" w:hAnsi="Arial" w:cs="Arial"/>
          <w:sz w:val="20"/>
          <w:szCs w:val="20"/>
        </w:rPr>
        <w:t>contexts.Concurrently</w:t>
      </w:r>
      <w:proofErr w:type="spellEnd"/>
      <w:proofErr w:type="gramEnd"/>
      <w:r>
        <w:rPr>
          <w:rFonts w:ascii="Arial" w:eastAsia="Arial" w:hAnsi="Arial" w:cs="Arial"/>
          <w:sz w:val="20"/>
          <w:szCs w:val="20"/>
        </w:rPr>
        <w:t xml:space="preserve">, several studies have demonstrated that duration is inherently more challenging to predict than cost, with higher MAPE for time than for monetary outcomes. The extant evidence suggests that well-designed machine learning (ML) models have the potential to materially enhance project delivery efficiency. However, the majority of applications remain at the prototype stage, with limited evidence on </w:t>
      </w:r>
      <w:proofErr w:type="spellStart"/>
      <w:r>
        <w:rPr>
          <w:rFonts w:ascii="Arial" w:eastAsia="Arial" w:hAnsi="Arial" w:cs="Arial"/>
          <w:sz w:val="20"/>
          <w:szCs w:val="20"/>
        </w:rPr>
        <w:t>organisation</w:t>
      </w:r>
      <w:proofErr w:type="spellEnd"/>
      <w:r>
        <w:rPr>
          <w:rFonts w:ascii="Arial" w:eastAsia="Arial" w:hAnsi="Arial" w:cs="Arial"/>
          <w:sz w:val="20"/>
          <w:szCs w:val="20"/>
        </w:rPr>
        <w:t>-wide deployment or long-term decision impacts.</w:t>
      </w:r>
    </w:p>
    <w:p w14:paraId="41C3AE7E" w14:textId="77777777" w:rsidR="005C07DA" w:rsidRDefault="004172AA">
      <w:pPr>
        <w:jc w:val="both"/>
        <w:rPr>
          <w:rFonts w:ascii="Arial" w:eastAsia="Arial" w:hAnsi="Arial" w:cs="Arial"/>
          <w:b/>
          <w:bCs/>
          <w:sz w:val="20"/>
          <w:szCs w:val="20"/>
        </w:rPr>
      </w:pPr>
      <w:r>
        <w:rPr>
          <w:rFonts w:ascii="Arial" w:eastAsia="Arial" w:hAnsi="Arial" w:cs="Arial"/>
          <w:b/>
          <w:bCs/>
          <w:sz w:val="20"/>
          <w:szCs w:val="20"/>
        </w:rPr>
        <w:t>4.2 Comparison of Findings with Global Literature</w:t>
      </w:r>
    </w:p>
    <w:p w14:paraId="0B09F7C3" w14:textId="77777777" w:rsidR="005C07DA" w:rsidRDefault="004172AA">
      <w:pPr>
        <w:jc w:val="both"/>
        <w:rPr>
          <w:rFonts w:ascii="Arial" w:eastAsia="Arial" w:hAnsi="Arial" w:cs="Arial"/>
          <w:sz w:val="20"/>
          <w:szCs w:val="20"/>
        </w:rPr>
      </w:pPr>
      <w:r>
        <w:rPr>
          <w:rFonts w:ascii="Arial" w:eastAsia="Arial" w:hAnsi="Arial" w:cs="Arial"/>
          <w:sz w:val="20"/>
          <w:szCs w:val="20"/>
        </w:rPr>
        <w:t xml:space="preserve">The review as a whole demonstrates a consistent emphasis on cost and schedule prediction, a theme that is also prevalent in global reviews of AI in construction. Abioye et al. identify cost control, risk management and planning as major application areas, mirroring our focus on predictive cost, contingency and delay models (Abioye et al., 2021). Pan and Zhang demonstrate that applications are concentrated in the domains of planning, scheduling and cost management, yet exhibit disparities across the project lifecycle (Pan &amp; Zhang, 2021). The findings of this study corroborate this hypothesis, as the majority of case studies </w:t>
      </w:r>
      <w:proofErr w:type="spellStart"/>
      <w:r>
        <w:rPr>
          <w:rFonts w:ascii="Arial" w:eastAsia="Arial" w:hAnsi="Arial" w:cs="Arial"/>
          <w:sz w:val="20"/>
          <w:szCs w:val="20"/>
        </w:rPr>
        <w:t>utilise</w:t>
      </w:r>
      <w:proofErr w:type="spellEnd"/>
      <w:r>
        <w:rPr>
          <w:rFonts w:ascii="Arial" w:eastAsia="Arial" w:hAnsi="Arial" w:cs="Arial"/>
          <w:sz w:val="20"/>
          <w:szCs w:val="20"/>
        </w:rPr>
        <w:t xml:space="preserve"> supervised learning to forecast time and cost deviations on projects, with limited extension into portfolio management or operations. This is despite the documentation of applications across design, construction and facility management by Datta et al. and </w:t>
      </w:r>
      <w:proofErr w:type="spellStart"/>
      <w:r>
        <w:rPr>
          <w:rFonts w:ascii="Arial" w:eastAsia="Arial" w:hAnsi="Arial" w:cs="Arial"/>
          <w:sz w:val="20"/>
          <w:szCs w:val="20"/>
        </w:rPr>
        <w:t>Egwim</w:t>
      </w:r>
      <w:proofErr w:type="spellEnd"/>
      <w:r>
        <w:rPr>
          <w:rFonts w:ascii="Arial" w:eastAsia="Arial" w:hAnsi="Arial" w:cs="Arial"/>
          <w:sz w:val="20"/>
          <w:szCs w:val="20"/>
        </w:rPr>
        <w:t xml:space="preserve"> et al. (Datta et al., 2024; </w:t>
      </w:r>
      <w:proofErr w:type="spellStart"/>
      <w:r>
        <w:rPr>
          <w:rFonts w:ascii="Arial" w:eastAsia="Arial" w:hAnsi="Arial" w:cs="Arial"/>
          <w:sz w:val="20"/>
          <w:szCs w:val="20"/>
        </w:rPr>
        <w:t>Egwim</w:t>
      </w:r>
      <w:proofErr w:type="spellEnd"/>
      <w:r>
        <w:rPr>
          <w:rFonts w:ascii="Arial" w:eastAsia="Arial" w:hAnsi="Arial" w:cs="Arial"/>
          <w:sz w:val="20"/>
          <w:szCs w:val="20"/>
        </w:rPr>
        <w:t xml:space="preserve"> et al., 2023). This finding aligns with the perspective put forward by Adebayo et al. (2025), who argue that a significant proportion of project management tools remain </w:t>
      </w:r>
      <w:proofErr w:type="spellStart"/>
      <w:r>
        <w:rPr>
          <w:rFonts w:ascii="Arial" w:eastAsia="Arial" w:hAnsi="Arial" w:cs="Arial"/>
          <w:sz w:val="20"/>
          <w:szCs w:val="20"/>
        </w:rPr>
        <w:t>compartmentalised</w:t>
      </w:r>
      <w:proofErr w:type="spellEnd"/>
      <w:r>
        <w:rPr>
          <w:rFonts w:ascii="Arial" w:eastAsia="Arial" w:hAnsi="Arial" w:cs="Arial"/>
          <w:sz w:val="20"/>
          <w:szCs w:val="20"/>
        </w:rPr>
        <w:t xml:space="preserve"> within specific functions, rather than being integrated into end-to-end delivery frameworks.</w:t>
      </w:r>
    </w:p>
    <w:p w14:paraId="18729B1B" w14:textId="77777777" w:rsidR="005C07DA" w:rsidRDefault="004172AA">
      <w:pPr>
        <w:jc w:val="both"/>
        <w:rPr>
          <w:rFonts w:ascii="Arial" w:eastAsia="Arial" w:hAnsi="Arial" w:cs="Arial"/>
          <w:sz w:val="20"/>
          <w:szCs w:val="20"/>
        </w:rPr>
      </w:pPr>
      <w:r>
        <w:rPr>
          <w:rFonts w:ascii="Arial" w:eastAsia="Arial" w:hAnsi="Arial" w:cs="Arial"/>
          <w:sz w:val="20"/>
          <w:szCs w:val="20"/>
        </w:rPr>
        <w:t xml:space="preserve">The findings of this study demonstrate the efficacy of ensemble trees and tuned neural networks in outperforming regression for cost and schedule prediction. This outcome aligns with the guidelines proposed by Bilal and Oyedele (2020) on data quality, feature engineering and validation for applied machine learning in construction. Infrastructure studies have also reported gains from ensemble and hybrid models, including </w:t>
      </w:r>
      <w:proofErr w:type="spellStart"/>
      <w:r>
        <w:rPr>
          <w:rFonts w:ascii="Arial" w:eastAsia="Arial" w:hAnsi="Arial" w:cs="Arial"/>
          <w:sz w:val="20"/>
          <w:szCs w:val="20"/>
        </w:rPr>
        <w:t>Piryonesi</w:t>
      </w:r>
      <w:proofErr w:type="spellEnd"/>
      <w:r>
        <w:rPr>
          <w:rFonts w:ascii="Arial" w:eastAsia="Arial" w:hAnsi="Arial" w:cs="Arial"/>
          <w:sz w:val="20"/>
          <w:szCs w:val="20"/>
        </w:rPr>
        <w:t xml:space="preserve"> and El-</w:t>
      </w:r>
      <w:proofErr w:type="spellStart"/>
      <w:r>
        <w:rPr>
          <w:rFonts w:ascii="Arial" w:eastAsia="Arial" w:hAnsi="Arial" w:cs="Arial"/>
          <w:sz w:val="20"/>
          <w:szCs w:val="20"/>
        </w:rPr>
        <w:t>Diraby's</w:t>
      </w:r>
      <w:proofErr w:type="spellEnd"/>
      <w:r>
        <w:rPr>
          <w:rFonts w:ascii="Arial" w:eastAsia="Arial" w:hAnsi="Arial" w:cs="Arial"/>
          <w:sz w:val="20"/>
          <w:szCs w:val="20"/>
        </w:rPr>
        <w:t xml:space="preserve"> pavement deterioration classification and </w:t>
      </w:r>
      <w:proofErr w:type="spellStart"/>
      <w:r>
        <w:rPr>
          <w:rFonts w:ascii="Arial" w:eastAsia="Arial" w:hAnsi="Arial" w:cs="Arial"/>
          <w:sz w:val="20"/>
          <w:szCs w:val="20"/>
        </w:rPr>
        <w:t>Tamagusko</w:t>
      </w:r>
      <w:proofErr w:type="spellEnd"/>
      <w:r>
        <w:rPr>
          <w:rFonts w:ascii="Arial" w:eastAsia="Arial" w:hAnsi="Arial" w:cs="Arial"/>
          <w:sz w:val="20"/>
          <w:szCs w:val="20"/>
        </w:rPr>
        <w:t xml:space="preserve"> et al.'s synthesis of pavement management systems, which demonstrate superior handling of sparse, noisy datasets (</w:t>
      </w:r>
      <w:proofErr w:type="spellStart"/>
      <w:r>
        <w:rPr>
          <w:rFonts w:ascii="Arial" w:eastAsia="Arial" w:hAnsi="Arial" w:cs="Arial"/>
          <w:sz w:val="20"/>
          <w:szCs w:val="20"/>
        </w:rPr>
        <w:t>Piryonesi</w:t>
      </w:r>
      <w:proofErr w:type="spellEnd"/>
      <w:r>
        <w:rPr>
          <w:rFonts w:ascii="Arial" w:eastAsia="Arial" w:hAnsi="Arial" w:cs="Arial"/>
          <w:sz w:val="20"/>
          <w:szCs w:val="20"/>
        </w:rPr>
        <w:t xml:space="preserve"> &amp; El-</w:t>
      </w:r>
      <w:proofErr w:type="spellStart"/>
      <w:r>
        <w:rPr>
          <w:rFonts w:ascii="Arial" w:eastAsia="Arial" w:hAnsi="Arial" w:cs="Arial"/>
          <w:sz w:val="20"/>
          <w:szCs w:val="20"/>
        </w:rPr>
        <w:t>Diraby</w:t>
      </w:r>
      <w:proofErr w:type="spellEnd"/>
      <w:r>
        <w:rPr>
          <w:rFonts w:ascii="Arial" w:eastAsia="Arial" w:hAnsi="Arial" w:cs="Arial"/>
          <w:sz w:val="20"/>
          <w:szCs w:val="20"/>
        </w:rPr>
        <w:t xml:space="preserve">, 2020; </w:t>
      </w:r>
      <w:proofErr w:type="spellStart"/>
      <w:r>
        <w:rPr>
          <w:rFonts w:ascii="Arial" w:eastAsia="Arial" w:hAnsi="Arial" w:cs="Arial"/>
          <w:sz w:val="20"/>
          <w:szCs w:val="20"/>
        </w:rPr>
        <w:t>Tamagusko</w:t>
      </w:r>
      <w:proofErr w:type="spellEnd"/>
      <w:r>
        <w:rPr>
          <w:rFonts w:ascii="Arial" w:eastAsia="Arial" w:hAnsi="Arial" w:cs="Arial"/>
          <w:sz w:val="20"/>
          <w:szCs w:val="20"/>
        </w:rPr>
        <w:t xml:space="preserve"> et al., 2024). </w:t>
      </w:r>
      <w:proofErr w:type="spellStart"/>
      <w:r>
        <w:rPr>
          <w:rFonts w:ascii="Arial" w:eastAsia="Arial" w:hAnsi="Arial" w:cs="Arial"/>
          <w:sz w:val="20"/>
          <w:szCs w:val="20"/>
        </w:rPr>
        <w:t>Rajora</w:t>
      </w:r>
      <w:proofErr w:type="spellEnd"/>
      <w:r>
        <w:rPr>
          <w:rFonts w:ascii="Arial" w:eastAsia="Arial" w:hAnsi="Arial" w:cs="Arial"/>
          <w:sz w:val="20"/>
          <w:szCs w:val="20"/>
        </w:rPr>
        <w:t xml:space="preserve"> et al. demonstrate comparable benefits in power-system asset management, where machine learning (ML) enhances failure prediction and maintenance planning (</w:t>
      </w:r>
      <w:proofErr w:type="spellStart"/>
      <w:r>
        <w:rPr>
          <w:rFonts w:ascii="Arial" w:eastAsia="Arial" w:hAnsi="Arial" w:cs="Arial"/>
          <w:sz w:val="20"/>
          <w:szCs w:val="20"/>
        </w:rPr>
        <w:t>Rajora</w:t>
      </w:r>
      <w:proofErr w:type="spellEnd"/>
      <w:r>
        <w:rPr>
          <w:rFonts w:ascii="Arial" w:eastAsia="Arial" w:hAnsi="Arial" w:cs="Arial"/>
          <w:sz w:val="20"/>
          <w:szCs w:val="20"/>
        </w:rPr>
        <w:t xml:space="preserve"> et al., 2024). These cases demonstrate that analogous strategies can be employed in the context of construction project risks. However, they also resonate with the findings of Bang and Olsson and Datta et al., which indicate that the </w:t>
      </w:r>
      <w:proofErr w:type="spellStart"/>
      <w:r>
        <w:rPr>
          <w:rFonts w:ascii="Arial" w:eastAsia="Arial" w:hAnsi="Arial" w:cs="Arial"/>
          <w:sz w:val="20"/>
          <w:szCs w:val="20"/>
        </w:rPr>
        <w:t>utilisation</w:t>
      </w:r>
      <w:proofErr w:type="spellEnd"/>
      <w:r>
        <w:rPr>
          <w:rFonts w:ascii="Arial" w:eastAsia="Arial" w:hAnsi="Arial" w:cs="Arial"/>
          <w:sz w:val="20"/>
          <w:szCs w:val="20"/>
        </w:rPr>
        <w:t xml:space="preserve"> of small samples, limited external </w:t>
      </w:r>
      <w:r>
        <w:rPr>
          <w:rFonts w:ascii="Arial" w:eastAsia="Arial" w:hAnsi="Arial" w:cs="Arial"/>
          <w:sz w:val="20"/>
          <w:szCs w:val="20"/>
        </w:rPr>
        <w:lastRenderedPageBreak/>
        <w:t xml:space="preserve">validation, and opaque model </w:t>
      </w:r>
      <w:proofErr w:type="spellStart"/>
      <w:r>
        <w:rPr>
          <w:rFonts w:ascii="Arial" w:eastAsia="Arial" w:hAnsi="Arial" w:cs="Arial"/>
          <w:sz w:val="20"/>
          <w:szCs w:val="20"/>
        </w:rPr>
        <w:t>behaviour</w:t>
      </w:r>
      <w:proofErr w:type="spellEnd"/>
      <w:r>
        <w:rPr>
          <w:rFonts w:ascii="Arial" w:eastAsia="Arial" w:hAnsi="Arial" w:cs="Arial"/>
          <w:sz w:val="20"/>
          <w:szCs w:val="20"/>
        </w:rPr>
        <w:t xml:space="preserve"> continue to impede the </w:t>
      </w:r>
      <w:proofErr w:type="spellStart"/>
      <w:r>
        <w:rPr>
          <w:rFonts w:ascii="Arial" w:eastAsia="Arial" w:hAnsi="Arial" w:cs="Arial"/>
          <w:sz w:val="20"/>
          <w:szCs w:val="20"/>
        </w:rPr>
        <w:t>generalisability</w:t>
      </w:r>
      <w:proofErr w:type="spellEnd"/>
      <w:r>
        <w:rPr>
          <w:rFonts w:ascii="Arial" w:eastAsia="Arial" w:hAnsi="Arial" w:cs="Arial"/>
          <w:sz w:val="20"/>
          <w:szCs w:val="20"/>
        </w:rPr>
        <w:t xml:space="preserve"> and adoption of these strategies by management (Bang &amp; Olsson, 2022; Datta et al., 2024).</w:t>
      </w:r>
    </w:p>
    <w:p w14:paraId="7FB5152D" w14:textId="77777777" w:rsidR="005C07DA" w:rsidRDefault="004172AA">
      <w:pPr>
        <w:jc w:val="both"/>
        <w:rPr>
          <w:rFonts w:ascii="Arial" w:eastAsia="Arial" w:hAnsi="Arial" w:cs="Arial"/>
          <w:sz w:val="20"/>
          <w:szCs w:val="20"/>
        </w:rPr>
      </w:pPr>
      <w:r>
        <w:rPr>
          <w:rFonts w:ascii="Arial" w:eastAsia="Arial" w:hAnsi="Arial" w:cs="Arial"/>
          <w:sz w:val="20"/>
          <w:szCs w:val="20"/>
        </w:rPr>
        <w:t xml:space="preserve">The </w:t>
      </w:r>
      <w:proofErr w:type="spellStart"/>
      <w:r>
        <w:rPr>
          <w:rFonts w:ascii="Arial" w:eastAsia="Arial" w:hAnsi="Arial" w:cs="Arial"/>
          <w:sz w:val="20"/>
          <w:szCs w:val="20"/>
        </w:rPr>
        <w:t>organisational</w:t>
      </w:r>
      <w:proofErr w:type="spellEnd"/>
      <w:r>
        <w:rPr>
          <w:rFonts w:ascii="Arial" w:eastAsia="Arial" w:hAnsi="Arial" w:cs="Arial"/>
          <w:sz w:val="20"/>
          <w:szCs w:val="20"/>
        </w:rPr>
        <w:t xml:space="preserve"> patterns identified in this review are consistent with global evidence on adoption barriers and success factors. </w:t>
      </w:r>
      <w:proofErr w:type="spellStart"/>
      <w:r>
        <w:rPr>
          <w:rFonts w:ascii="Arial" w:eastAsia="Arial" w:hAnsi="Arial" w:cs="Arial"/>
          <w:sz w:val="20"/>
          <w:szCs w:val="20"/>
        </w:rPr>
        <w:t>Regona</w:t>
      </w:r>
      <w:proofErr w:type="spellEnd"/>
      <w:r>
        <w:rPr>
          <w:rFonts w:ascii="Arial" w:eastAsia="Arial" w:hAnsi="Arial" w:cs="Arial"/>
          <w:sz w:val="20"/>
          <w:szCs w:val="20"/>
        </w:rPr>
        <w:t xml:space="preserve"> et al. (2022) highlight fragmented data, low digital maturity and unclear business value as obstacles, while </w:t>
      </w:r>
      <w:proofErr w:type="spellStart"/>
      <w:r>
        <w:rPr>
          <w:rFonts w:ascii="Arial" w:eastAsia="Arial" w:hAnsi="Arial" w:cs="Arial"/>
          <w:sz w:val="20"/>
          <w:szCs w:val="20"/>
        </w:rPr>
        <w:t>Wuni</w:t>
      </w:r>
      <w:proofErr w:type="spellEnd"/>
      <w:r>
        <w:rPr>
          <w:rFonts w:ascii="Arial" w:eastAsia="Arial" w:hAnsi="Arial" w:cs="Arial"/>
          <w:sz w:val="20"/>
          <w:szCs w:val="20"/>
        </w:rPr>
        <w:t xml:space="preserve"> (2025) </w:t>
      </w:r>
      <w:proofErr w:type="spellStart"/>
      <w:r>
        <w:rPr>
          <w:rFonts w:ascii="Arial" w:eastAsia="Arial" w:hAnsi="Arial" w:cs="Arial"/>
          <w:sz w:val="20"/>
          <w:szCs w:val="20"/>
        </w:rPr>
        <w:t>emphasises</w:t>
      </w:r>
      <w:proofErr w:type="spellEnd"/>
      <w:r>
        <w:rPr>
          <w:rFonts w:ascii="Arial" w:eastAsia="Arial" w:hAnsi="Arial" w:cs="Arial"/>
          <w:sz w:val="20"/>
          <w:szCs w:val="20"/>
        </w:rPr>
        <w:t xml:space="preserve"> </w:t>
      </w:r>
      <w:proofErr w:type="spellStart"/>
      <w:r>
        <w:rPr>
          <w:rFonts w:ascii="Arial" w:eastAsia="Arial" w:hAnsi="Arial" w:cs="Arial"/>
          <w:sz w:val="20"/>
          <w:szCs w:val="20"/>
        </w:rPr>
        <w:t>organisational</w:t>
      </w:r>
      <w:proofErr w:type="spellEnd"/>
      <w:r>
        <w:rPr>
          <w:rFonts w:ascii="Arial" w:eastAsia="Arial" w:hAnsi="Arial" w:cs="Arial"/>
          <w:sz w:val="20"/>
          <w:szCs w:val="20"/>
        </w:rPr>
        <w:t xml:space="preserve"> and stakeholder enablers for AI implementation. The fact that few models in our sample are embedded in project-management systems, and that most rely on ad-hoc archives rather than enterprise data pipelines, illustrates these constraints. A review of Nigeria-focused literature reveals that infrastructure deficits and skills gaps act as significant deterrents to the adoption of mobile learning (ML) in low- and middle-income markets. This finding aligns with several documented cases from developing countries (</w:t>
      </w:r>
      <w:proofErr w:type="spellStart"/>
      <w:r>
        <w:rPr>
          <w:rFonts w:ascii="Arial" w:eastAsia="Arial" w:hAnsi="Arial" w:cs="Arial"/>
          <w:sz w:val="20"/>
          <w:szCs w:val="20"/>
        </w:rPr>
        <w:t>Njama</w:t>
      </w:r>
      <w:proofErr w:type="spellEnd"/>
      <w:r>
        <w:rPr>
          <w:rFonts w:ascii="Arial" w:eastAsia="Arial" w:hAnsi="Arial" w:cs="Arial"/>
          <w:sz w:val="20"/>
          <w:szCs w:val="20"/>
        </w:rPr>
        <w:t xml:space="preserve">-Abang, 2025). Furthermore, </w:t>
      </w:r>
      <w:proofErr w:type="spellStart"/>
      <w:r>
        <w:rPr>
          <w:rFonts w:ascii="Arial" w:eastAsia="Arial" w:hAnsi="Arial" w:cs="Arial"/>
          <w:sz w:val="20"/>
          <w:szCs w:val="20"/>
        </w:rPr>
        <w:t>Junjia</w:t>
      </w:r>
      <w:proofErr w:type="spellEnd"/>
      <w:r>
        <w:rPr>
          <w:rFonts w:ascii="Arial" w:eastAsia="Arial" w:hAnsi="Arial" w:cs="Arial"/>
          <w:sz w:val="20"/>
          <w:szCs w:val="20"/>
        </w:rPr>
        <w:t xml:space="preserve"> et al. (2024) suggest that uptake is uneven across functions, with AI advancing faster in safety analytics than in integrated cost–time–risk platforms. Collectively, these comparisons indicate that in the absence of deliberate investment in data infrastructure, governance and capacity, technically strong predictive models will result in local performance gains but limited system-level impact on project delivery efficiency.</w:t>
      </w:r>
    </w:p>
    <w:p w14:paraId="39F69106" w14:textId="4905E2E7" w:rsidR="0042770E" w:rsidRPr="0042770E" w:rsidRDefault="0042770E">
      <w:pPr>
        <w:jc w:val="both"/>
        <w:rPr>
          <w:rFonts w:ascii="Arial" w:eastAsia="Arial" w:hAnsi="Arial" w:cs="Arial"/>
          <w:color w:val="00B050"/>
          <w:sz w:val="20"/>
          <w:szCs w:val="20"/>
        </w:rPr>
      </w:pPr>
      <w:r w:rsidRPr="0042770E">
        <w:rPr>
          <w:rFonts w:ascii="Arial" w:eastAsia="Arial" w:hAnsi="Arial" w:cs="Arial"/>
          <w:color w:val="00B050"/>
          <w:sz w:val="20"/>
          <w:szCs w:val="20"/>
        </w:rPr>
        <w:t xml:space="preserve">The models identified in this preliminary investigation are consistent with, but more limited than, recent progress in hybrid and deep-learning structures and digital-twin-based forecasting. Hybrid deep-learning architectures combining recurrent and convolutional components have been shown to forecast construction costs and schedules more accurately than traditional models when sequential site data is integrated with static project attributes (Cheng et al., 2025). Recent digital twin research shows how predictive models can be embedded in real-time, BIM-linked environments to support asset monitoring, tunnel </w:t>
      </w:r>
      <w:proofErr w:type="spellStart"/>
      <w:r w:rsidRPr="0042770E">
        <w:rPr>
          <w:rFonts w:ascii="Arial" w:eastAsia="Arial" w:hAnsi="Arial" w:cs="Arial"/>
          <w:color w:val="00B050"/>
          <w:sz w:val="20"/>
          <w:szCs w:val="20"/>
        </w:rPr>
        <w:t>consruction</w:t>
      </w:r>
      <w:proofErr w:type="spellEnd"/>
      <w:r w:rsidRPr="0042770E">
        <w:rPr>
          <w:rFonts w:ascii="Arial" w:eastAsia="Arial" w:hAnsi="Arial" w:cs="Arial"/>
          <w:color w:val="00B050"/>
          <w:sz w:val="20"/>
          <w:szCs w:val="20"/>
        </w:rPr>
        <w:t xml:space="preserve"> and production planning (Tuhaise et al., 2023; Li et al., 2024). However, these digital twin implementations rarely report time outcomes and project-level cost in a format that is directly comparable to the empirical studies </w:t>
      </w:r>
      <w:proofErr w:type="spellStart"/>
      <w:r w:rsidRPr="0042770E">
        <w:rPr>
          <w:rFonts w:ascii="Arial" w:eastAsia="Arial" w:hAnsi="Arial" w:cs="Arial"/>
          <w:color w:val="00B050"/>
          <w:sz w:val="20"/>
          <w:szCs w:val="20"/>
        </w:rPr>
        <w:t>synthesised</w:t>
      </w:r>
      <w:proofErr w:type="spellEnd"/>
      <w:r w:rsidRPr="0042770E">
        <w:rPr>
          <w:rFonts w:ascii="Arial" w:eastAsia="Arial" w:hAnsi="Arial" w:cs="Arial"/>
          <w:color w:val="00B050"/>
          <w:sz w:val="20"/>
          <w:szCs w:val="20"/>
        </w:rPr>
        <w:t xml:space="preserve"> here. Similarly, digital twin reviews highlight interoperability, </w:t>
      </w:r>
      <w:proofErr w:type="spellStart"/>
      <w:r w:rsidRPr="0042770E">
        <w:rPr>
          <w:rFonts w:ascii="Arial" w:eastAsia="Arial" w:hAnsi="Arial" w:cs="Arial"/>
          <w:color w:val="00B050"/>
          <w:sz w:val="20"/>
          <w:szCs w:val="20"/>
        </w:rPr>
        <w:t>organisational</w:t>
      </w:r>
      <w:proofErr w:type="spellEnd"/>
      <w:r w:rsidRPr="0042770E">
        <w:rPr>
          <w:rFonts w:ascii="Arial" w:eastAsia="Arial" w:hAnsi="Arial" w:cs="Arial"/>
          <w:color w:val="00B050"/>
          <w:sz w:val="20"/>
          <w:szCs w:val="20"/>
        </w:rPr>
        <w:t xml:space="preserve"> readiness and data governance, as critical conditions for value </w:t>
      </w:r>
      <w:proofErr w:type="spellStart"/>
      <w:r w:rsidRPr="0042770E">
        <w:rPr>
          <w:rFonts w:ascii="Arial" w:eastAsia="Arial" w:hAnsi="Arial" w:cs="Arial"/>
          <w:color w:val="00B050"/>
          <w:sz w:val="20"/>
          <w:szCs w:val="20"/>
        </w:rPr>
        <w:t>realisation</w:t>
      </w:r>
      <w:proofErr w:type="spellEnd"/>
      <w:r w:rsidRPr="0042770E">
        <w:rPr>
          <w:rFonts w:ascii="Arial" w:eastAsia="Arial" w:hAnsi="Arial" w:cs="Arial"/>
          <w:color w:val="00B050"/>
          <w:sz w:val="20"/>
          <w:szCs w:val="20"/>
        </w:rPr>
        <w:t>, echoing the enabling and constraining factors identified in this review (</w:t>
      </w:r>
      <w:proofErr w:type="spellStart"/>
      <w:r w:rsidRPr="0042770E">
        <w:rPr>
          <w:rFonts w:ascii="Arial" w:eastAsia="Arial" w:hAnsi="Arial" w:cs="Arial"/>
          <w:color w:val="00B050"/>
          <w:sz w:val="20"/>
          <w:szCs w:val="20"/>
        </w:rPr>
        <w:t>Omrany</w:t>
      </w:r>
      <w:proofErr w:type="spellEnd"/>
      <w:r w:rsidRPr="0042770E">
        <w:rPr>
          <w:rFonts w:ascii="Arial" w:eastAsia="Arial" w:hAnsi="Arial" w:cs="Arial"/>
          <w:color w:val="00B050"/>
          <w:sz w:val="20"/>
          <w:szCs w:val="20"/>
        </w:rPr>
        <w:t xml:space="preserve"> et al., 2023; Wang et al., 2024).</w:t>
      </w:r>
    </w:p>
    <w:p w14:paraId="60FA4C4B" w14:textId="77777777" w:rsidR="005C07DA" w:rsidRDefault="004172AA">
      <w:pPr>
        <w:jc w:val="both"/>
        <w:rPr>
          <w:rFonts w:ascii="Arial" w:eastAsia="Arial" w:hAnsi="Arial" w:cs="Arial"/>
          <w:b/>
          <w:bCs/>
          <w:sz w:val="20"/>
          <w:szCs w:val="20"/>
        </w:rPr>
      </w:pPr>
      <w:r>
        <w:rPr>
          <w:rFonts w:ascii="Arial" w:eastAsia="Arial" w:hAnsi="Arial" w:cs="Arial"/>
          <w:b/>
          <w:bCs/>
          <w:sz w:val="20"/>
          <w:szCs w:val="20"/>
        </w:rPr>
        <w:t>4.3 Implications for Policy and Practice</w:t>
      </w:r>
    </w:p>
    <w:p w14:paraId="7D4DB747" w14:textId="77777777" w:rsidR="005C07DA" w:rsidRDefault="004172AA">
      <w:pPr>
        <w:jc w:val="both"/>
        <w:rPr>
          <w:rFonts w:ascii="Arial" w:eastAsia="Arial" w:hAnsi="Arial" w:cs="Arial"/>
          <w:sz w:val="20"/>
          <w:szCs w:val="20"/>
        </w:rPr>
      </w:pPr>
      <w:r>
        <w:rPr>
          <w:rFonts w:ascii="Arial" w:eastAsia="Arial" w:hAnsi="Arial" w:cs="Arial"/>
          <w:b/>
          <w:bCs/>
          <w:sz w:val="20"/>
          <w:szCs w:val="20"/>
        </w:rPr>
        <w:t>Policy:</w:t>
      </w:r>
      <w:r>
        <w:rPr>
          <w:rFonts w:ascii="Arial" w:eastAsia="Arial" w:hAnsi="Arial" w:cs="Arial"/>
          <w:sz w:val="20"/>
          <w:szCs w:val="20"/>
        </w:rPr>
        <w:t xml:space="preserve"> The proposal is for data-driven project risk and performance forecasting to be established as a commissioning standard across public and private construction and infrastructure </w:t>
      </w:r>
      <w:proofErr w:type="spellStart"/>
      <w:r>
        <w:rPr>
          <w:rFonts w:ascii="Arial" w:eastAsia="Arial" w:hAnsi="Arial" w:cs="Arial"/>
          <w:sz w:val="20"/>
          <w:szCs w:val="20"/>
        </w:rPr>
        <w:t>programmes</w:t>
      </w:r>
      <w:proofErr w:type="spellEnd"/>
      <w:r>
        <w:rPr>
          <w:rFonts w:ascii="Arial" w:eastAsia="Arial" w:hAnsi="Arial" w:cs="Arial"/>
          <w:sz w:val="20"/>
          <w:szCs w:val="20"/>
        </w:rPr>
        <w:t xml:space="preserve">. This should include mandatory digital-by-default data environments (e.g. common data environments linking BIM, schedules, costs and risk registers), minimum data-quality standards, and explicit requirements for validated predictive models in major project business cases. It is imperative that the procurement and regulatory frameworks stipulate that bidders demonstrate how predictive analytics will be used for cost, schedule and risk forecasting, including transparent documentation of models, validation methods and performance metrics. It is incumbent upon sector regulators, professional bodies and funding agencies to define core indicators as part of audit and reporting requirements. Such indicators may include, but are not limited to, forecast bias, proportion of projects delivered within agreed cost/time bands, and time-to-risk-flag. In contexts where resources are limited, policies should </w:t>
      </w:r>
      <w:proofErr w:type="spellStart"/>
      <w:r>
        <w:rPr>
          <w:rFonts w:ascii="Arial" w:eastAsia="Arial" w:hAnsi="Arial" w:cs="Arial"/>
          <w:sz w:val="20"/>
          <w:szCs w:val="20"/>
        </w:rPr>
        <w:t>prioritise</w:t>
      </w:r>
      <w:proofErr w:type="spellEnd"/>
      <w:r>
        <w:rPr>
          <w:rFonts w:ascii="Arial" w:eastAsia="Arial" w:hAnsi="Arial" w:cs="Arial"/>
          <w:sz w:val="20"/>
          <w:szCs w:val="20"/>
        </w:rPr>
        <w:t xml:space="preserve"> incremental </w:t>
      </w:r>
      <w:proofErr w:type="spellStart"/>
      <w:r>
        <w:rPr>
          <w:rFonts w:ascii="Arial" w:eastAsia="Arial" w:hAnsi="Arial" w:cs="Arial"/>
          <w:sz w:val="20"/>
          <w:szCs w:val="20"/>
        </w:rPr>
        <w:t>digitisation</w:t>
      </w:r>
      <w:proofErr w:type="spellEnd"/>
      <w:r>
        <w:rPr>
          <w:rFonts w:ascii="Arial" w:eastAsia="Arial" w:hAnsi="Arial" w:cs="Arial"/>
          <w:sz w:val="20"/>
          <w:szCs w:val="20"/>
        </w:rPr>
        <w:t>, the use of low-cost cloud or open-source tools, and collaborative data-sharing arrangements across agencies. Policy frameworks should also include guidelines on ethical use, explainability, and accountability in order to prevent non-transparent, locked-in vendor solutions.</w:t>
      </w:r>
    </w:p>
    <w:p w14:paraId="297D1D6C" w14:textId="77777777" w:rsidR="005C07DA" w:rsidRDefault="004172AA">
      <w:pPr>
        <w:jc w:val="both"/>
        <w:rPr>
          <w:rFonts w:ascii="Arial" w:eastAsia="Arial" w:hAnsi="Arial" w:cs="Arial"/>
          <w:sz w:val="20"/>
          <w:szCs w:val="20"/>
        </w:rPr>
      </w:pPr>
      <w:r>
        <w:rPr>
          <w:rFonts w:ascii="Arial" w:eastAsia="Arial" w:hAnsi="Arial" w:cs="Arial"/>
          <w:b/>
          <w:bCs/>
          <w:sz w:val="20"/>
          <w:szCs w:val="20"/>
        </w:rPr>
        <w:t>Practice:</w:t>
      </w:r>
      <w:r>
        <w:rPr>
          <w:rFonts w:ascii="Arial" w:eastAsia="Arial" w:hAnsi="Arial" w:cs="Arial"/>
          <w:sz w:val="20"/>
          <w:szCs w:val="20"/>
        </w:rPr>
        <w:t xml:space="preserve"> The integration of models that 'sense, predict, act, and learn' is essential for any organization that wants to use these tools. In this context, organizations collect data on the design, purchasing, and site </w:t>
      </w:r>
      <w:r>
        <w:rPr>
          <w:rFonts w:ascii="Arial" w:eastAsia="Arial" w:hAnsi="Arial" w:cs="Arial"/>
          <w:sz w:val="20"/>
          <w:szCs w:val="20"/>
        </w:rPr>
        <w:lastRenderedPageBreak/>
        <w:t xml:space="preserve">operations of activities for a given project as a continuous iterative process. They must also train and validate models to consider cost, delay, and risk. Then, organizations implement early-warning dashboards to be used within their existing project-control cycles. Although organizations are encouraged to take an agile approach to work, they must ensure that high-risk projects or work packages, as determined by models, are sent for deeper analysis, developed risk-mitigation plans, and allocated specific risk contingency. These models ought to be incorporated directly as integral components of planning and progress meetings, rather than being used as separate or supplementary technical documents. It is important that the actions of these managers are guided by well-defined triggers, but that they have the flexibility of bypassing these triggers. In order to provide functionality and generate an appropriate level of confidence, the models should be simple enough for the users, or complex models should at least provide clear explanations and/or undergo scenario analysis to show the influence of specific variables. Furthermore, given the importance of these decisions, especially where contracts are concerned, simple models should be avoided – predictions should be updated based on empirical evidence. Within the parameters of this discussion, the importance of capacity-building should be underscored. It is essential that project managers, planners, and cost engineers are trained in the basics of data literacy, as well as the frameworks and restrictions of the models on which they rely. Feedback mechanisms need to be put in place in order to systematically incorporate the lessons learned from prediction mistakes within an organization. These loops facilitate the refinement of data definitions, the </w:t>
      </w:r>
      <w:proofErr w:type="spellStart"/>
      <w:r>
        <w:rPr>
          <w:rFonts w:ascii="Arial" w:eastAsia="Arial" w:hAnsi="Arial" w:cs="Arial"/>
          <w:sz w:val="20"/>
          <w:szCs w:val="20"/>
        </w:rPr>
        <w:t>optimisation</w:t>
      </w:r>
      <w:proofErr w:type="spellEnd"/>
      <w:r>
        <w:rPr>
          <w:rFonts w:ascii="Arial" w:eastAsia="Arial" w:hAnsi="Arial" w:cs="Arial"/>
          <w:sz w:val="20"/>
          <w:szCs w:val="20"/>
        </w:rPr>
        <w:t xml:space="preserve"> of processes, and the retraining of models. This approach transforms predictive analytics into a continuous improvement mechanism, rather than a one-time </w:t>
      </w:r>
      <w:proofErr w:type="spellStart"/>
      <w:r>
        <w:rPr>
          <w:rFonts w:ascii="Arial" w:eastAsia="Arial" w:hAnsi="Arial" w:cs="Arial"/>
          <w:sz w:val="20"/>
          <w:szCs w:val="20"/>
        </w:rPr>
        <w:t>endeavour</w:t>
      </w:r>
      <w:proofErr w:type="spellEnd"/>
      <w:r>
        <w:rPr>
          <w:rFonts w:ascii="Arial" w:eastAsia="Arial" w:hAnsi="Arial" w:cs="Arial"/>
          <w:sz w:val="20"/>
          <w:szCs w:val="20"/>
        </w:rPr>
        <w:t>.</w:t>
      </w:r>
    </w:p>
    <w:p w14:paraId="3FDE912D" w14:textId="33F3817F" w:rsidR="005C07DA" w:rsidRDefault="004172AA">
      <w:pPr>
        <w:jc w:val="both"/>
        <w:rPr>
          <w:rFonts w:ascii="Arial" w:eastAsia="Arial" w:hAnsi="Arial" w:cs="Arial"/>
          <w:b/>
          <w:bCs/>
          <w:sz w:val="20"/>
          <w:szCs w:val="20"/>
        </w:rPr>
      </w:pPr>
      <w:r>
        <w:rPr>
          <w:rFonts w:ascii="Arial" w:eastAsia="Arial" w:hAnsi="Arial" w:cs="Arial"/>
          <w:b/>
          <w:bCs/>
          <w:sz w:val="20"/>
          <w:szCs w:val="20"/>
        </w:rPr>
        <w:t>4.</w:t>
      </w:r>
      <w:r w:rsidR="00BF17EF">
        <w:rPr>
          <w:rFonts w:ascii="Arial" w:eastAsia="Arial" w:hAnsi="Arial" w:cs="Arial"/>
          <w:b/>
          <w:bCs/>
          <w:sz w:val="20"/>
          <w:szCs w:val="20"/>
        </w:rPr>
        <w:t>4</w:t>
      </w:r>
      <w:r>
        <w:rPr>
          <w:rFonts w:ascii="Arial" w:eastAsia="Arial" w:hAnsi="Arial" w:cs="Arial"/>
          <w:b/>
          <w:bCs/>
          <w:sz w:val="20"/>
          <w:szCs w:val="20"/>
        </w:rPr>
        <w:t xml:space="preserve"> Limitations of Review</w:t>
      </w:r>
    </w:p>
    <w:p w14:paraId="58743620" w14:textId="249CA2A1" w:rsidR="005C07DA" w:rsidRPr="00BF17EF" w:rsidRDefault="004172AA">
      <w:pPr>
        <w:jc w:val="both"/>
        <w:rPr>
          <w:rFonts w:ascii="Arial" w:eastAsia="Arial" w:hAnsi="Arial" w:cs="Arial"/>
          <w:color w:val="00B050"/>
          <w:sz w:val="20"/>
          <w:szCs w:val="20"/>
        </w:rPr>
      </w:pPr>
      <w:r w:rsidRPr="00BF17EF">
        <w:rPr>
          <w:rFonts w:ascii="Arial" w:eastAsia="Arial" w:hAnsi="Arial" w:cs="Arial"/>
          <w:color w:val="00B050"/>
          <w:sz w:val="20"/>
          <w:szCs w:val="20"/>
        </w:rPr>
        <w:t>This scoping review is limited by the small number of included empirical studies</w:t>
      </w:r>
      <w:r w:rsidR="00BF17EF">
        <w:rPr>
          <w:rFonts w:ascii="Arial" w:eastAsia="Arial" w:hAnsi="Arial" w:cs="Arial"/>
          <w:color w:val="00B050"/>
          <w:sz w:val="20"/>
          <w:szCs w:val="20"/>
        </w:rPr>
        <w:t>.</w:t>
      </w:r>
      <w:r w:rsidRPr="00BF17EF">
        <w:rPr>
          <w:rFonts w:ascii="Arial" w:eastAsia="Arial" w:hAnsi="Arial" w:cs="Arial"/>
          <w:color w:val="00B050"/>
          <w:sz w:val="20"/>
          <w:szCs w:val="20"/>
        </w:rPr>
        <w:t xml:space="preserve"> </w:t>
      </w:r>
      <w:proofErr w:type="gramStart"/>
      <w:r w:rsidR="00BF17EF" w:rsidRPr="00BF17EF">
        <w:rPr>
          <w:rFonts w:ascii="Arial" w:eastAsia="Arial" w:hAnsi="Arial" w:cs="Arial"/>
          <w:color w:val="00B050"/>
          <w:sz w:val="20"/>
          <w:szCs w:val="20"/>
        </w:rPr>
        <w:t>In</w:t>
      </w:r>
      <w:proofErr w:type="gramEnd"/>
      <w:r w:rsidR="00BF17EF" w:rsidRPr="00BF17EF">
        <w:rPr>
          <w:rFonts w:ascii="Arial" w:eastAsia="Arial" w:hAnsi="Arial" w:cs="Arial"/>
          <w:color w:val="00B050"/>
          <w:sz w:val="20"/>
          <w:szCs w:val="20"/>
        </w:rPr>
        <w:t xml:space="preserve"> addition, the search was limited to English-language publications and two major databases (the ASCE Library and Scopus). This means that relevant work indexed in the Web of Science, IEEE Xplore, or discipline-specific repositories may have been overlooked. Along with the heterogeneity of the metrics and models and scoping design, this justifies the decision not to conduct a formal meta-analysis or risk-of-bias assessment, and highlights the need for additional systematic reviews focusing on specific project types or model families. </w:t>
      </w:r>
    </w:p>
    <w:p w14:paraId="7D4D4E1A" w14:textId="77777777" w:rsidR="005C07DA" w:rsidRDefault="004172AA">
      <w:pPr>
        <w:jc w:val="both"/>
        <w:rPr>
          <w:rFonts w:ascii="Arial" w:eastAsia="Arial" w:hAnsi="Arial" w:cs="Arial"/>
          <w:b/>
          <w:bCs/>
          <w:sz w:val="20"/>
          <w:szCs w:val="20"/>
        </w:rPr>
      </w:pPr>
      <w:r>
        <w:rPr>
          <w:rFonts w:ascii="Arial" w:eastAsia="Arial" w:hAnsi="Arial" w:cs="Arial"/>
          <w:b/>
          <w:bCs/>
          <w:sz w:val="20"/>
          <w:szCs w:val="20"/>
        </w:rPr>
        <w:t>5.0 Conclusion</w:t>
      </w:r>
    </w:p>
    <w:p w14:paraId="4785E97F" w14:textId="07240745" w:rsidR="00711A89" w:rsidRPr="00711A89" w:rsidRDefault="00711A89" w:rsidP="00CD7063">
      <w:pPr>
        <w:rPr>
          <w:rFonts w:ascii="Arial" w:eastAsia="Arial" w:hAnsi="Arial" w:cs="Arial"/>
          <w:color w:val="00B050"/>
          <w:sz w:val="20"/>
          <w:szCs w:val="20"/>
        </w:rPr>
      </w:pPr>
      <w:r w:rsidRPr="00711A89">
        <w:rPr>
          <w:rFonts w:ascii="Arial" w:eastAsia="Arial" w:hAnsi="Arial" w:cs="Arial"/>
          <w:color w:val="00B050"/>
          <w:sz w:val="20"/>
          <w:szCs w:val="20"/>
        </w:rPr>
        <w:t xml:space="preserve">This scoping review </w:t>
      </w:r>
      <w:r w:rsidRPr="00711A89">
        <w:rPr>
          <w:rFonts w:ascii="Arial" w:eastAsia="Arial" w:hAnsi="Arial" w:cs="Arial"/>
          <w:color w:val="00B050"/>
          <w:sz w:val="20"/>
          <w:szCs w:val="20"/>
        </w:rPr>
        <w:t>synthesized</w:t>
      </w:r>
      <w:r w:rsidRPr="00711A89">
        <w:rPr>
          <w:rFonts w:ascii="Arial" w:eastAsia="Arial" w:hAnsi="Arial" w:cs="Arial"/>
          <w:color w:val="00B050"/>
          <w:sz w:val="20"/>
          <w:szCs w:val="20"/>
        </w:rPr>
        <w:t xml:space="preserve"> 19 empirical applications of predictive analytics for risk and schedule outcomes, forecasting cost, in infrastructure and construction projects. Across diverse geographies and project types, tree-based ensembles and other hybrid models and tuned neural networks generally outperformed traditional regression models for predicting costs, contingencies, and risks, although modelling durations and delays proved more challenging. At the same time, however, most applications relied on fragmented, relatively small datasets and were only loosely integrated into routine project control and portfolio management systems. Overall, the evidence suggests that predictive analytics can enhance the efficiency of project delivery when models are trained using transparently validated, well-governed data</w:t>
      </w:r>
      <w:r w:rsidRPr="00711A89">
        <w:rPr>
          <w:rFonts w:ascii="Arial" w:eastAsia="Arial" w:hAnsi="Arial" w:cs="Arial"/>
          <w:color w:val="00B050"/>
          <w:sz w:val="20"/>
          <w:szCs w:val="20"/>
        </w:rPr>
        <w:t xml:space="preserve"> </w:t>
      </w:r>
      <w:r w:rsidRPr="00711A89">
        <w:rPr>
          <w:rFonts w:ascii="Arial" w:eastAsia="Arial" w:hAnsi="Arial" w:cs="Arial"/>
          <w:color w:val="00B050"/>
          <w:sz w:val="20"/>
          <w:szCs w:val="20"/>
        </w:rPr>
        <w:t xml:space="preserve">and incorporated into decision-making processes. Future work should </w:t>
      </w:r>
      <w:r w:rsidRPr="00711A89">
        <w:rPr>
          <w:rFonts w:ascii="Arial" w:eastAsia="Arial" w:hAnsi="Arial" w:cs="Arial"/>
          <w:color w:val="00B050"/>
          <w:sz w:val="20"/>
          <w:szCs w:val="20"/>
        </w:rPr>
        <w:t>prioritize</w:t>
      </w:r>
      <w:r w:rsidRPr="00711A89">
        <w:rPr>
          <w:rFonts w:ascii="Arial" w:eastAsia="Arial" w:hAnsi="Arial" w:cs="Arial"/>
          <w:color w:val="00B050"/>
          <w:sz w:val="20"/>
          <w:szCs w:val="20"/>
        </w:rPr>
        <w:t xml:space="preserve"> external and temporal validation, cross-project benchmarking, and integration with other enterprise systems and digital twin platforms. It should also focus on developing user-</w:t>
      </w:r>
      <w:proofErr w:type="spellStart"/>
      <w:r w:rsidRPr="00711A89">
        <w:rPr>
          <w:rFonts w:ascii="Arial" w:eastAsia="Arial" w:hAnsi="Arial" w:cs="Arial"/>
          <w:color w:val="00B050"/>
          <w:sz w:val="20"/>
          <w:szCs w:val="20"/>
        </w:rPr>
        <w:t>centred</w:t>
      </w:r>
      <w:proofErr w:type="spellEnd"/>
      <w:r w:rsidRPr="00711A89">
        <w:rPr>
          <w:rFonts w:ascii="Arial" w:eastAsia="Arial" w:hAnsi="Arial" w:cs="Arial"/>
          <w:color w:val="00B050"/>
          <w:sz w:val="20"/>
          <w:szCs w:val="20"/>
        </w:rPr>
        <w:t>,</w:t>
      </w:r>
      <w:r w:rsidRPr="00711A89">
        <w:rPr>
          <w:rFonts w:ascii="Arial" w:eastAsia="Arial" w:hAnsi="Arial" w:cs="Arial"/>
          <w:color w:val="00B050"/>
          <w:sz w:val="20"/>
          <w:szCs w:val="20"/>
        </w:rPr>
        <w:t xml:space="preserve"> </w:t>
      </w:r>
      <w:r w:rsidRPr="00711A89">
        <w:rPr>
          <w:rFonts w:ascii="Arial" w:eastAsia="Arial" w:hAnsi="Arial" w:cs="Arial"/>
          <w:color w:val="00B050"/>
          <w:sz w:val="20"/>
          <w:szCs w:val="20"/>
        </w:rPr>
        <w:t xml:space="preserve">explainable tools linked to clear performance indicators, such as out-of-sample error, forecast bias, </w:t>
      </w:r>
      <w:r w:rsidRPr="00711A89">
        <w:rPr>
          <w:rFonts w:ascii="Arial" w:eastAsia="Arial" w:hAnsi="Arial" w:cs="Arial"/>
          <w:color w:val="00B050"/>
          <w:sz w:val="20"/>
          <w:szCs w:val="20"/>
        </w:rPr>
        <w:t xml:space="preserve">and </w:t>
      </w:r>
      <w:r w:rsidRPr="00711A89">
        <w:rPr>
          <w:rFonts w:ascii="Arial" w:eastAsia="Arial" w:hAnsi="Arial" w:cs="Arial"/>
          <w:color w:val="00B050"/>
          <w:sz w:val="20"/>
          <w:szCs w:val="20"/>
        </w:rPr>
        <w:t>time to risk flagging. Addressing these gaps is essential if predictive analytics is to evolve from promising prototypes into a mature capability for the resilient, cost- and time-efficient delivery of infrastructure.</w:t>
      </w:r>
    </w:p>
    <w:p w14:paraId="474E5B2D" w14:textId="10A5E66F" w:rsidR="00CD7063" w:rsidRPr="00740879" w:rsidRDefault="00CD7063" w:rsidP="00CD7063">
      <w:pPr>
        <w:rPr>
          <w:highlight w:val="yellow"/>
        </w:rPr>
      </w:pPr>
      <w:r w:rsidRPr="00740879">
        <w:rPr>
          <w:highlight w:val="yellow"/>
        </w:rPr>
        <w:lastRenderedPageBreak/>
        <w:t>Disclaimer (Artificial intelligence)</w:t>
      </w:r>
    </w:p>
    <w:p w14:paraId="240CA6D0" w14:textId="77777777" w:rsidR="00CD7063" w:rsidRPr="00740879" w:rsidRDefault="00CD7063" w:rsidP="00CD7063">
      <w:pPr>
        <w:rPr>
          <w:highlight w:val="yellow"/>
        </w:rPr>
      </w:pPr>
      <w:r w:rsidRPr="00740879">
        <w:rPr>
          <w:highlight w:val="yellow"/>
        </w:rPr>
        <w:t xml:space="preserve">Option 1: </w:t>
      </w:r>
    </w:p>
    <w:p w14:paraId="14684EC2" w14:textId="77777777" w:rsidR="00CD7063" w:rsidRPr="00740879" w:rsidRDefault="00CD7063" w:rsidP="00CD7063">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00A2301D" w14:textId="77777777" w:rsidR="00CD7063" w:rsidRPr="00740879" w:rsidRDefault="00CD7063" w:rsidP="00CD7063">
      <w:pPr>
        <w:rPr>
          <w:highlight w:val="yellow"/>
        </w:rPr>
      </w:pPr>
      <w:r w:rsidRPr="00740879">
        <w:rPr>
          <w:highlight w:val="yellow"/>
        </w:rPr>
        <w:t xml:space="preserve">Option 2: </w:t>
      </w:r>
    </w:p>
    <w:p w14:paraId="691C6E86" w14:textId="77777777" w:rsidR="00CD7063" w:rsidRPr="00740879" w:rsidRDefault="00CD7063" w:rsidP="00CD7063">
      <w:pPr>
        <w:rPr>
          <w:highlight w:val="yellow"/>
        </w:rPr>
      </w:pPr>
      <w:r w:rsidRPr="00740879">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2C8E80C" w14:textId="77777777" w:rsidR="00CD7063" w:rsidRPr="00740879" w:rsidRDefault="00CD7063" w:rsidP="00CD7063">
      <w:pPr>
        <w:rPr>
          <w:highlight w:val="yellow"/>
        </w:rPr>
      </w:pPr>
      <w:r w:rsidRPr="00740879">
        <w:rPr>
          <w:highlight w:val="yellow"/>
        </w:rPr>
        <w:t>Details of the AI usage are given below:</w:t>
      </w:r>
    </w:p>
    <w:p w14:paraId="707AB95F" w14:textId="77777777" w:rsidR="00CD7063" w:rsidRPr="00740879" w:rsidRDefault="00CD7063" w:rsidP="00CD7063">
      <w:pPr>
        <w:rPr>
          <w:highlight w:val="yellow"/>
        </w:rPr>
      </w:pPr>
      <w:r w:rsidRPr="00740879">
        <w:rPr>
          <w:highlight w:val="yellow"/>
        </w:rPr>
        <w:t>1.</w:t>
      </w:r>
    </w:p>
    <w:p w14:paraId="2F266761" w14:textId="77777777" w:rsidR="00CD7063" w:rsidRPr="00740879" w:rsidRDefault="00CD7063" w:rsidP="00CD7063">
      <w:pPr>
        <w:rPr>
          <w:highlight w:val="yellow"/>
        </w:rPr>
      </w:pPr>
      <w:r w:rsidRPr="00740879">
        <w:rPr>
          <w:highlight w:val="yellow"/>
        </w:rPr>
        <w:t>2.</w:t>
      </w:r>
    </w:p>
    <w:p w14:paraId="6F58B400" w14:textId="77777777" w:rsidR="00CD7063" w:rsidRPr="00D047BB" w:rsidRDefault="00CD7063" w:rsidP="00CD7063">
      <w:r w:rsidRPr="00740879">
        <w:rPr>
          <w:highlight w:val="yellow"/>
        </w:rPr>
        <w:t>3.</w:t>
      </w:r>
    </w:p>
    <w:p w14:paraId="16251CC9" w14:textId="77777777" w:rsidR="005C07DA" w:rsidRDefault="005C07DA">
      <w:pPr>
        <w:jc w:val="both"/>
        <w:rPr>
          <w:rFonts w:ascii="Arial" w:eastAsia="Arial" w:hAnsi="Arial" w:cs="Arial"/>
          <w:sz w:val="20"/>
          <w:szCs w:val="20"/>
        </w:rPr>
      </w:pPr>
    </w:p>
    <w:p w14:paraId="28CE01B8" w14:textId="5C47C20C" w:rsidR="005C07DA" w:rsidRDefault="004172AA">
      <w:pPr>
        <w:jc w:val="both"/>
        <w:rPr>
          <w:rFonts w:ascii="Arial" w:eastAsia="Arial" w:hAnsi="Arial" w:cs="Arial"/>
          <w:sz w:val="20"/>
          <w:szCs w:val="20"/>
        </w:rPr>
      </w:pPr>
      <w:r>
        <w:rPr>
          <w:rFonts w:ascii="Arial" w:eastAsia="Arial" w:hAnsi="Arial" w:cs="Arial"/>
          <w:sz w:val="20"/>
          <w:szCs w:val="20"/>
        </w:rPr>
        <w:t xml:space="preserve">References </w:t>
      </w:r>
    </w:p>
    <w:p w14:paraId="5609EAE3" w14:textId="4CBAD222" w:rsidR="005C07DA" w:rsidRPr="004172AA" w:rsidRDefault="00932239" w:rsidP="004172AA">
      <w:pPr>
        <w:jc w:val="both"/>
        <w:rPr>
          <w:rFonts w:ascii="Arial" w:eastAsia="Arial" w:hAnsi="Arial" w:cs="Arial"/>
          <w:sz w:val="20"/>
          <w:szCs w:val="20"/>
        </w:rPr>
      </w:pPr>
      <w:r w:rsidRPr="004172AA">
        <w:rPr>
          <w:rFonts w:ascii="Arial" w:eastAsia="Arial" w:hAnsi="Arial" w:cs="Arial"/>
          <w:sz w:val="20"/>
          <w:szCs w:val="20"/>
        </w:rPr>
        <w:t xml:space="preserve">Abdelalim, A. M., Salem, M., Salem, M., Al-Adwani, M., &amp; Tantawy, M. (2025). Analyzing Cost Overrun Risks in Construction Projects: A Multi-Stakeholder Perspective Using Fuzzy Group Decision-Making and K-Means Clustering. Buildings, 15(3), 447. </w:t>
      </w:r>
      <w:hyperlink r:id="rId16" w:history="1">
        <w:r w:rsidRPr="004172AA">
          <w:rPr>
            <w:rStyle w:val="Hyperlink"/>
            <w:rFonts w:ascii="Arial" w:eastAsia="Arial" w:hAnsi="Arial" w:cs="Arial"/>
            <w:sz w:val="20"/>
            <w:szCs w:val="20"/>
          </w:rPr>
          <w:t>https://doi.org/10.3390/buildings15030447</w:t>
        </w:r>
      </w:hyperlink>
      <w:r w:rsidRPr="004172AA">
        <w:rPr>
          <w:rFonts w:ascii="Arial" w:eastAsia="Arial" w:hAnsi="Arial" w:cs="Arial"/>
          <w:sz w:val="20"/>
          <w:szCs w:val="20"/>
        </w:rPr>
        <w:t xml:space="preserve"> </w:t>
      </w:r>
    </w:p>
    <w:p w14:paraId="5584E4CD" w14:textId="603DF83B" w:rsidR="005C07DA" w:rsidRPr="004172AA" w:rsidRDefault="00AC51A7" w:rsidP="004172AA">
      <w:pPr>
        <w:jc w:val="both"/>
        <w:rPr>
          <w:rFonts w:ascii="Arial" w:eastAsia="Arial" w:hAnsi="Arial" w:cs="Arial"/>
          <w:sz w:val="20"/>
          <w:szCs w:val="20"/>
        </w:rPr>
      </w:pPr>
      <w:r w:rsidRPr="004172AA">
        <w:rPr>
          <w:rFonts w:ascii="Arial" w:eastAsia="Arial" w:hAnsi="Arial" w:cs="Arial"/>
          <w:sz w:val="20"/>
          <w:szCs w:val="20"/>
        </w:rPr>
        <w:t xml:space="preserve">Abioye, S. O., Oyedele, L. O., Akanbi, L., Ajayi, A., Davila Delgado, J. M., Bilal, M., Akinade, O. O., &amp; Ahmed, A. (2021). Artificial intelligence in the construction industry: A review of present status, opportunities and future challenges. Journal of Building Engineering, 44, 103299. </w:t>
      </w:r>
      <w:hyperlink r:id="rId17" w:history="1">
        <w:r w:rsidRPr="004172AA">
          <w:rPr>
            <w:rStyle w:val="Hyperlink"/>
            <w:rFonts w:ascii="Arial" w:eastAsia="Arial" w:hAnsi="Arial" w:cs="Arial"/>
            <w:sz w:val="20"/>
            <w:szCs w:val="20"/>
          </w:rPr>
          <w:t>https://doi.org/10.1016/j.jobe.2021.103299</w:t>
        </w:r>
      </w:hyperlink>
      <w:r w:rsidRPr="004172AA">
        <w:rPr>
          <w:rFonts w:ascii="Arial" w:eastAsia="Arial" w:hAnsi="Arial" w:cs="Arial"/>
          <w:sz w:val="20"/>
          <w:szCs w:val="20"/>
        </w:rPr>
        <w:t xml:space="preserve"> </w:t>
      </w:r>
    </w:p>
    <w:p w14:paraId="664A7140" w14:textId="4915CE34" w:rsidR="005C07DA" w:rsidRPr="004172AA" w:rsidRDefault="00F15187" w:rsidP="004172AA">
      <w:pPr>
        <w:jc w:val="both"/>
        <w:rPr>
          <w:rFonts w:ascii="Arial" w:eastAsia="Arial" w:hAnsi="Arial" w:cs="Arial"/>
          <w:sz w:val="20"/>
          <w:szCs w:val="20"/>
        </w:rPr>
      </w:pPr>
      <w:r w:rsidRPr="004172AA">
        <w:rPr>
          <w:rFonts w:ascii="Arial" w:eastAsia="Arial" w:hAnsi="Arial" w:cs="Arial"/>
          <w:sz w:val="20"/>
          <w:szCs w:val="20"/>
        </w:rPr>
        <w:t xml:space="preserve">Adebayo, Y., Udoh, P., Kamudyariwa, X. B., &amp; </w:t>
      </w:r>
      <w:proofErr w:type="spellStart"/>
      <w:r w:rsidRPr="004172AA">
        <w:rPr>
          <w:rFonts w:ascii="Arial" w:eastAsia="Arial" w:hAnsi="Arial" w:cs="Arial"/>
          <w:sz w:val="20"/>
          <w:szCs w:val="20"/>
        </w:rPr>
        <w:t>Osobajo</w:t>
      </w:r>
      <w:proofErr w:type="spellEnd"/>
      <w:r w:rsidRPr="004172AA">
        <w:rPr>
          <w:rFonts w:ascii="Arial" w:eastAsia="Arial" w:hAnsi="Arial" w:cs="Arial"/>
          <w:sz w:val="20"/>
          <w:szCs w:val="20"/>
        </w:rPr>
        <w:t xml:space="preserve">, O. A. (2025). Artificial intelligence in construction project management: A structured literature review of its evolution in application and future trends. Digital, 5(3), 26. </w:t>
      </w:r>
      <w:hyperlink r:id="rId18" w:history="1">
        <w:r w:rsidRPr="004172AA">
          <w:rPr>
            <w:rStyle w:val="Hyperlink"/>
            <w:rFonts w:ascii="Arial" w:eastAsia="Arial" w:hAnsi="Arial" w:cs="Arial"/>
            <w:sz w:val="20"/>
            <w:szCs w:val="20"/>
          </w:rPr>
          <w:t>https://doi.org/10.3390/digital5030026</w:t>
        </w:r>
      </w:hyperlink>
      <w:r w:rsidRPr="004172AA">
        <w:rPr>
          <w:rFonts w:ascii="Arial" w:eastAsia="Arial" w:hAnsi="Arial" w:cs="Arial"/>
          <w:sz w:val="20"/>
          <w:szCs w:val="20"/>
        </w:rPr>
        <w:t xml:space="preserve"> </w:t>
      </w:r>
    </w:p>
    <w:p w14:paraId="50E789DA" w14:textId="0C28CDBD" w:rsidR="005C07DA" w:rsidRPr="004172AA" w:rsidRDefault="00343E21" w:rsidP="004172AA">
      <w:pPr>
        <w:jc w:val="both"/>
        <w:rPr>
          <w:rFonts w:ascii="Arial" w:eastAsia="Arial" w:hAnsi="Arial" w:cs="Arial"/>
          <w:sz w:val="20"/>
          <w:szCs w:val="20"/>
        </w:rPr>
      </w:pPr>
      <w:r w:rsidRPr="004172AA">
        <w:rPr>
          <w:rFonts w:ascii="Arial" w:eastAsia="Arial" w:hAnsi="Arial" w:cs="Arial"/>
          <w:sz w:val="20"/>
          <w:szCs w:val="20"/>
        </w:rPr>
        <w:t xml:space="preserve">Afana, O., Al Zubaidi, R., Abu Dabous, S., &amp; Ibrahim, F. (2024). Categories and Factors of Cost Overrun in Construction Projects: A Systematic Review. Engineering, Technology &amp; Applied Science Research, 14(6), 18330-18347. </w:t>
      </w:r>
      <w:hyperlink r:id="rId19" w:history="1">
        <w:r w:rsidRPr="004172AA">
          <w:rPr>
            <w:rStyle w:val="Hyperlink"/>
            <w:rFonts w:ascii="Arial" w:eastAsia="Arial" w:hAnsi="Arial" w:cs="Arial"/>
            <w:sz w:val="20"/>
            <w:szCs w:val="20"/>
          </w:rPr>
          <w:t>https://doi.org/10.48084/etasr.9006</w:t>
        </w:r>
      </w:hyperlink>
      <w:r w:rsidRPr="004172AA">
        <w:rPr>
          <w:rFonts w:ascii="Arial" w:eastAsia="Arial" w:hAnsi="Arial" w:cs="Arial"/>
          <w:sz w:val="20"/>
          <w:szCs w:val="20"/>
        </w:rPr>
        <w:t xml:space="preserve"> </w:t>
      </w:r>
    </w:p>
    <w:p w14:paraId="5DA055B9" w14:textId="081DAE45" w:rsidR="005C07DA" w:rsidRPr="004172AA" w:rsidRDefault="009B69D7" w:rsidP="004172AA">
      <w:pPr>
        <w:jc w:val="both"/>
        <w:rPr>
          <w:rFonts w:ascii="Arial" w:eastAsia="Arial" w:hAnsi="Arial" w:cs="Arial"/>
          <w:sz w:val="20"/>
          <w:szCs w:val="20"/>
        </w:rPr>
      </w:pPr>
      <w:r w:rsidRPr="004172AA">
        <w:rPr>
          <w:rFonts w:ascii="Arial" w:eastAsia="Arial" w:hAnsi="Arial" w:cs="Arial"/>
          <w:sz w:val="20"/>
          <w:szCs w:val="20"/>
        </w:rPr>
        <w:t xml:space="preserve">Al </w:t>
      </w:r>
      <w:proofErr w:type="spellStart"/>
      <w:r w:rsidRPr="004172AA">
        <w:rPr>
          <w:rFonts w:ascii="Arial" w:eastAsia="Arial" w:hAnsi="Arial" w:cs="Arial"/>
          <w:sz w:val="20"/>
          <w:szCs w:val="20"/>
        </w:rPr>
        <w:t>mnaseer</w:t>
      </w:r>
      <w:proofErr w:type="spellEnd"/>
      <w:r w:rsidRPr="004172AA">
        <w:rPr>
          <w:rFonts w:ascii="Arial" w:eastAsia="Arial" w:hAnsi="Arial" w:cs="Arial"/>
          <w:sz w:val="20"/>
          <w:szCs w:val="20"/>
        </w:rPr>
        <w:t>, R., Al-Smadi, S., &amp; Al-</w:t>
      </w:r>
      <w:proofErr w:type="spellStart"/>
      <w:r w:rsidRPr="004172AA">
        <w:rPr>
          <w:rFonts w:ascii="Arial" w:eastAsia="Arial" w:hAnsi="Arial" w:cs="Arial"/>
          <w:sz w:val="20"/>
          <w:szCs w:val="20"/>
        </w:rPr>
        <w:t>Bdour</w:t>
      </w:r>
      <w:proofErr w:type="spellEnd"/>
      <w:r w:rsidRPr="004172AA">
        <w:rPr>
          <w:rFonts w:ascii="Arial" w:eastAsia="Arial" w:hAnsi="Arial" w:cs="Arial"/>
          <w:sz w:val="20"/>
          <w:szCs w:val="20"/>
        </w:rPr>
        <w:t xml:space="preserve">, H. (2023). Machine learning-aided time and cost overrun prediction in construction projects: application of artificial neural network. Asian Journal of Civil Engineering. </w:t>
      </w:r>
      <w:hyperlink r:id="rId20" w:history="1">
        <w:r w:rsidRPr="004172AA">
          <w:rPr>
            <w:rStyle w:val="Hyperlink"/>
            <w:rFonts w:ascii="Arial" w:eastAsia="Arial" w:hAnsi="Arial" w:cs="Arial"/>
            <w:sz w:val="20"/>
            <w:szCs w:val="20"/>
          </w:rPr>
          <w:t>https://doi.org/10.1007/s42107-023-00665-7</w:t>
        </w:r>
      </w:hyperlink>
      <w:r w:rsidRPr="004172AA">
        <w:rPr>
          <w:rFonts w:ascii="Arial" w:eastAsia="Arial" w:hAnsi="Arial" w:cs="Arial"/>
          <w:sz w:val="20"/>
          <w:szCs w:val="20"/>
        </w:rPr>
        <w:t xml:space="preserve"> </w:t>
      </w:r>
    </w:p>
    <w:p w14:paraId="6B0578C4" w14:textId="79FAC8E4" w:rsidR="005C07DA" w:rsidRPr="004172AA" w:rsidRDefault="00CE7991" w:rsidP="004172AA">
      <w:pPr>
        <w:jc w:val="both"/>
        <w:rPr>
          <w:rFonts w:ascii="Arial" w:eastAsia="Arial" w:hAnsi="Arial" w:cs="Arial"/>
          <w:sz w:val="20"/>
          <w:szCs w:val="20"/>
        </w:rPr>
      </w:pPr>
      <w:r w:rsidRPr="004172AA">
        <w:rPr>
          <w:rFonts w:ascii="Arial" w:eastAsia="Arial" w:hAnsi="Arial" w:cs="Arial"/>
          <w:sz w:val="20"/>
          <w:szCs w:val="20"/>
        </w:rPr>
        <w:lastRenderedPageBreak/>
        <w:t xml:space="preserve">Bang, S., &amp; Olsson, N. (2022). Artificial Intelligence in Construction Projects: A Systematic Scoping Review. Journal of Engineering, Project, and Production Management, 12(3), 224-238. </w:t>
      </w:r>
      <w:hyperlink r:id="rId21" w:history="1">
        <w:r w:rsidRPr="004172AA">
          <w:rPr>
            <w:rStyle w:val="Hyperlink"/>
            <w:rFonts w:ascii="Arial" w:eastAsia="Arial" w:hAnsi="Arial" w:cs="Arial"/>
            <w:sz w:val="20"/>
            <w:szCs w:val="20"/>
          </w:rPr>
          <w:t>https://doi.org/10.32738/JEPPM-2022-0021</w:t>
        </w:r>
      </w:hyperlink>
      <w:r w:rsidRPr="004172AA">
        <w:rPr>
          <w:rFonts w:ascii="Arial" w:eastAsia="Arial" w:hAnsi="Arial" w:cs="Arial"/>
          <w:sz w:val="20"/>
          <w:szCs w:val="20"/>
        </w:rPr>
        <w:t xml:space="preserve"> </w:t>
      </w:r>
    </w:p>
    <w:p w14:paraId="4BF6D9E2" w14:textId="5122334B" w:rsidR="005C07DA" w:rsidRPr="004172AA" w:rsidRDefault="001254A2" w:rsidP="004172AA">
      <w:pPr>
        <w:jc w:val="both"/>
        <w:rPr>
          <w:rFonts w:ascii="Arial" w:eastAsia="Arial" w:hAnsi="Arial" w:cs="Arial"/>
          <w:sz w:val="20"/>
          <w:szCs w:val="20"/>
        </w:rPr>
      </w:pPr>
      <w:proofErr w:type="spellStart"/>
      <w:r w:rsidRPr="004172AA">
        <w:rPr>
          <w:rFonts w:ascii="Arial" w:eastAsia="Arial" w:hAnsi="Arial" w:cs="Arial"/>
          <w:sz w:val="20"/>
          <w:szCs w:val="20"/>
        </w:rPr>
        <w:t>Bauskar</w:t>
      </w:r>
      <w:proofErr w:type="spellEnd"/>
      <w:r w:rsidRPr="004172AA">
        <w:rPr>
          <w:rFonts w:ascii="Arial" w:eastAsia="Arial" w:hAnsi="Arial" w:cs="Arial"/>
          <w:sz w:val="20"/>
          <w:szCs w:val="20"/>
        </w:rPr>
        <w:t xml:space="preserve">, S. R., Madhavaram, C. R., Galla, E. P., Sunkara, J. R., </w:t>
      </w:r>
      <w:proofErr w:type="spellStart"/>
      <w:r w:rsidRPr="004172AA">
        <w:rPr>
          <w:rFonts w:ascii="Arial" w:eastAsia="Arial" w:hAnsi="Arial" w:cs="Arial"/>
          <w:sz w:val="20"/>
          <w:szCs w:val="20"/>
        </w:rPr>
        <w:t>Gollangi</w:t>
      </w:r>
      <w:proofErr w:type="spellEnd"/>
      <w:r w:rsidRPr="004172AA">
        <w:rPr>
          <w:rFonts w:ascii="Arial" w:eastAsia="Arial" w:hAnsi="Arial" w:cs="Arial"/>
          <w:sz w:val="20"/>
          <w:szCs w:val="20"/>
        </w:rPr>
        <w:t xml:space="preserve">, H. K., &amp; Rajaram, S. K. (2024). Predictive analytics for project risk management using machine learning. *Journal of Data Analysis and Information Processing, 12*, 566-580. </w:t>
      </w:r>
      <w:hyperlink r:id="rId22" w:history="1">
        <w:r w:rsidRPr="004172AA">
          <w:rPr>
            <w:rStyle w:val="Hyperlink"/>
            <w:rFonts w:ascii="Arial" w:eastAsia="Arial" w:hAnsi="Arial" w:cs="Arial"/>
            <w:sz w:val="20"/>
            <w:szCs w:val="20"/>
          </w:rPr>
          <w:t>https://doi.org/10.4236/jdaip.2024.124030</w:t>
        </w:r>
      </w:hyperlink>
      <w:r w:rsidRPr="004172AA">
        <w:rPr>
          <w:rFonts w:ascii="Arial" w:eastAsia="Arial" w:hAnsi="Arial" w:cs="Arial"/>
          <w:sz w:val="20"/>
          <w:szCs w:val="20"/>
        </w:rPr>
        <w:t xml:space="preserve"> </w:t>
      </w:r>
    </w:p>
    <w:p w14:paraId="5811957B" w14:textId="7E5A9FF1" w:rsidR="005C07DA" w:rsidRPr="004172AA" w:rsidRDefault="006C7D99" w:rsidP="004172AA">
      <w:pPr>
        <w:jc w:val="both"/>
        <w:rPr>
          <w:rFonts w:ascii="Arial" w:eastAsia="Arial" w:hAnsi="Arial" w:cs="Arial"/>
          <w:sz w:val="20"/>
          <w:szCs w:val="20"/>
        </w:rPr>
      </w:pPr>
      <w:r w:rsidRPr="004172AA">
        <w:rPr>
          <w:rFonts w:ascii="Arial" w:eastAsia="Arial" w:hAnsi="Arial" w:cs="Arial"/>
          <w:sz w:val="20"/>
          <w:szCs w:val="20"/>
        </w:rPr>
        <w:t xml:space="preserve">Bilal, M., &amp; Oyedele, L. O. (2020). Guidelines for applied machine learning in construction industry—A case of profit margins estimation. Advanced Engineering Informatics, 43, 101013. </w:t>
      </w:r>
      <w:hyperlink r:id="rId23" w:history="1">
        <w:r w:rsidRPr="004172AA">
          <w:rPr>
            <w:rStyle w:val="Hyperlink"/>
            <w:rFonts w:ascii="Arial" w:eastAsia="Arial" w:hAnsi="Arial" w:cs="Arial"/>
            <w:sz w:val="20"/>
            <w:szCs w:val="20"/>
          </w:rPr>
          <w:t>https://doi.org/10.1016/j.aei.2019.101013</w:t>
        </w:r>
      </w:hyperlink>
      <w:r w:rsidRPr="004172AA">
        <w:rPr>
          <w:rFonts w:ascii="Arial" w:eastAsia="Arial" w:hAnsi="Arial" w:cs="Arial"/>
          <w:sz w:val="20"/>
          <w:szCs w:val="20"/>
        </w:rPr>
        <w:t xml:space="preserve"> </w:t>
      </w:r>
    </w:p>
    <w:p w14:paraId="5907CE89" w14:textId="4B5FA93C" w:rsidR="00711A89" w:rsidRPr="00711A89" w:rsidRDefault="00711A89" w:rsidP="004172AA">
      <w:pPr>
        <w:jc w:val="both"/>
        <w:rPr>
          <w:rFonts w:ascii="Arial" w:eastAsia="Arial" w:hAnsi="Arial" w:cs="Arial"/>
          <w:color w:val="00B050"/>
          <w:sz w:val="20"/>
          <w:szCs w:val="20"/>
        </w:rPr>
      </w:pPr>
      <w:r w:rsidRPr="00711A89">
        <w:rPr>
          <w:rFonts w:ascii="Arial" w:eastAsia="Arial" w:hAnsi="Arial" w:cs="Arial"/>
          <w:color w:val="00B050"/>
          <w:sz w:val="20"/>
          <w:szCs w:val="20"/>
        </w:rPr>
        <w:t>Cheng, M. Y., Vu, Q. T., &amp; Gosal, F. E. (2025). Hybrid deep learning model for accurate cost and schedule estimation in construction projects using sequential and non-sequential data. </w:t>
      </w:r>
      <w:r w:rsidRPr="00711A89">
        <w:rPr>
          <w:rFonts w:ascii="Arial" w:eastAsia="Arial" w:hAnsi="Arial" w:cs="Arial"/>
          <w:i/>
          <w:iCs/>
          <w:color w:val="00B050"/>
          <w:sz w:val="20"/>
          <w:szCs w:val="20"/>
        </w:rPr>
        <w:t>Automation in construction</w:t>
      </w:r>
      <w:r w:rsidRPr="00711A89">
        <w:rPr>
          <w:rFonts w:ascii="Arial" w:eastAsia="Arial" w:hAnsi="Arial" w:cs="Arial"/>
          <w:color w:val="00B050"/>
          <w:sz w:val="20"/>
          <w:szCs w:val="20"/>
        </w:rPr>
        <w:t>, </w:t>
      </w:r>
      <w:r w:rsidRPr="00711A89">
        <w:rPr>
          <w:rFonts w:ascii="Arial" w:eastAsia="Arial" w:hAnsi="Arial" w:cs="Arial"/>
          <w:i/>
          <w:iCs/>
          <w:color w:val="00B050"/>
          <w:sz w:val="20"/>
          <w:szCs w:val="20"/>
        </w:rPr>
        <w:t>170</w:t>
      </w:r>
      <w:r w:rsidRPr="00711A89">
        <w:rPr>
          <w:rFonts w:ascii="Arial" w:eastAsia="Arial" w:hAnsi="Arial" w:cs="Arial"/>
          <w:color w:val="00B050"/>
          <w:sz w:val="20"/>
          <w:szCs w:val="20"/>
        </w:rPr>
        <w:t>, 105904.</w:t>
      </w:r>
      <w:r w:rsidRPr="00711A89">
        <w:rPr>
          <w:rFonts w:ascii="Arial" w:eastAsia="Arial" w:hAnsi="Arial" w:cs="Arial"/>
          <w:color w:val="00B050"/>
          <w:sz w:val="20"/>
          <w:szCs w:val="20"/>
        </w:rPr>
        <w:t xml:space="preserve"> </w:t>
      </w:r>
      <w:hyperlink r:id="rId24" w:tgtFrame="_blank" w:tooltip="Persistent link using digital object identifier" w:history="1">
        <w:r w:rsidRPr="00711A89">
          <w:rPr>
            <w:rStyle w:val="Hyperlink"/>
            <w:rFonts w:ascii="Arial" w:eastAsia="Arial" w:hAnsi="Arial" w:cs="Arial"/>
            <w:color w:val="00B050"/>
            <w:sz w:val="20"/>
            <w:szCs w:val="20"/>
          </w:rPr>
          <w:t>https://doi.org/10.1016/j.autcon.2024.105904</w:t>
        </w:r>
      </w:hyperlink>
    </w:p>
    <w:p w14:paraId="35A07C7B" w14:textId="5A53B9B2" w:rsidR="005C07DA" w:rsidRPr="004172AA" w:rsidRDefault="00BE621C" w:rsidP="004172AA">
      <w:pPr>
        <w:jc w:val="both"/>
        <w:rPr>
          <w:rFonts w:ascii="Arial" w:eastAsia="Arial" w:hAnsi="Arial" w:cs="Arial"/>
          <w:sz w:val="20"/>
          <w:szCs w:val="20"/>
        </w:rPr>
      </w:pPr>
      <w:r w:rsidRPr="004172AA">
        <w:rPr>
          <w:rFonts w:ascii="Arial" w:eastAsia="Arial" w:hAnsi="Arial" w:cs="Arial"/>
          <w:sz w:val="20"/>
          <w:szCs w:val="20"/>
        </w:rPr>
        <w:t xml:space="preserve">Cui, H., &amp; Xia, J. (2023). Research on cost prediction for construction project based on Boruta-SO-BP model. Archives of Civil Engineering, 69(4). </w:t>
      </w:r>
      <w:hyperlink r:id="rId25" w:history="1">
        <w:r w:rsidRPr="004172AA">
          <w:rPr>
            <w:rStyle w:val="Hyperlink"/>
            <w:rFonts w:ascii="Arial" w:eastAsia="Arial" w:hAnsi="Arial" w:cs="Arial"/>
            <w:sz w:val="20"/>
            <w:szCs w:val="20"/>
          </w:rPr>
          <w:t>https://doi.org/10.24425/ace.2023.147667</w:t>
        </w:r>
      </w:hyperlink>
      <w:r w:rsidRPr="004172AA">
        <w:rPr>
          <w:rFonts w:ascii="Arial" w:eastAsia="Arial" w:hAnsi="Arial" w:cs="Arial"/>
          <w:sz w:val="20"/>
          <w:szCs w:val="20"/>
        </w:rPr>
        <w:t xml:space="preserve"> </w:t>
      </w:r>
    </w:p>
    <w:p w14:paraId="68D44AA1" w14:textId="73050326" w:rsidR="005C07DA" w:rsidRPr="004172AA" w:rsidRDefault="00BC4899" w:rsidP="004172AA">
      <w:pPr>
        <w:jc w:val="both"/>
        <w:rPr>
          <w:rFonts w:ascii="Arial" w:eastAsia="Arial" w:hAnsi="Arial" w:cs="Arial"/>
          <w:sz w:val="20"/>
          <w:szCs w:val="20"/>
        </w:rPr>
      </w:pPr>
      <w:r w:rsidRPr="004172AA">
        <w:rPr>
          <w:rFonts w:ascii="Arial" w:eastAsia="Arial" w:hAnsi="Arial" w:cs="Arial"/>
          <w:sz w:val="20"/>
          <w:szCs w:val="20"/>
        </w:rPr>
        <w:t xml:space="preserve">Datta, S. D., Islam, M., Sobuz, M. H. R., Ahmed, S., &amp; Kar, M. (2024). Artificial intelligence and machine learning applications in the project lifecycle of the construction industry: A comprehensive review. </w:t>
      </w:r>
      <w:proofErr w:type="spellStart"/>
      <w:r w:rsidRPr="004172AA">
        <w:rPr>
          <w:rFonts w:ascii="Arial" w:eastAsia="Arial" w:hAnsi="Arial" w:cs="Arial"/>
          <w:sz w:val="20"/>
          <w:szCs w:val="20"/>
        </w:rPr>
        <w:t>Heliyon</w:t>
      </w:r>
      <w:proofErr w:type="spellEnd"/>
      <w:r w:rsidRPr="004172AA">
        <w:rPr>
          <w:rFonts w:ascii="Arial" w:eastAsia="Arial" w:hAnsi="Arial" w:cs="Arial"/>
          <w:sz w:val="20"/>
          <w:szCs w:val="20"/>
        </w:rPr>
        <w:t xml:space="preserve">, 10(5). </w:t>
      </w:r>
      <w:hyperlink r:id="rId26" w:history="1">
        <w:r w:rsidRPr="004172AA">
          <w:rPr>
            <w:rStyle w:val="Hyperlink"/>
            <w:rFonts w:ascii="Arial" w:eastAsia="Arial" w:hAnsi="Arial" w:cs="Arial"/>
            <w:sz w:val="20"/>
            <w:szCs w:val="20"/>
          </w:rPr>
          <w:t>https://doi.org/10.1016/j.heliyon.2024.e26888</w:t>
        </w:r>
      </w:hyperlink>
      <w:r w:rsidRPr="004172AA">
        <w:rPr>
          <w:rFonts w:ascii="Arial" w:eastAsia="Arial" w:hAnsi="Arial" w:cs="Arial"/>
          <w:sz w:val="20"/>
          <w:szCs w:val="20"/>
        </w:rPr>
        <w:t xml:space="preserve"> </w:t>
      </w:r>
    </w:p>
    <w:p w14:paraId="333FFB6C" w14:textId="42D5BECF" w:rsidR="005C07DA" w:rsidRPr="004172AA" w:rsidRDefault="00ED4E87" w:rsidP="004172AA">
      <w:pPr>
        <w:jc w:val="both"/>
        <w:rPr>
          <w:rFonts w:ascii="Arial" w:eastAsia="Arial" w:hAnsi="Arial" w:cs="Arial"/>
          <w:sz w:val="20"/>
          <w:szCs w:val="20"/>
        </w:rPr>
      </w:pPr>
      <w:proofErr w:type="spellStart"/>
      <w:r w:rsidRPr="004172AA">
        <w:rPr>
          <w:rFonts w:ascii="Arial" w:eastAsia="Arial" w:hAnsi="Arial" w:cs="Arial"/>
          <w:sz w:val="20"/>
          <w:szCs w:val="20"/>
        </w:rPr>
        <w:t>Debero</w:t>
      </w:r>
      <w:proofErr w:type="spellEnd"/>
      <w:r w:rsidRPr="004172AA">
        <w:rPr>
          <w:rFonts w:ascii="Arial" w:eastAsia="Arial" w:hAnsi="Arial" w:cs="Arial"/>
          <w:sz w:val="20"/>
          <w:szCs w:val="20"/>
        </w:rPr>
        <w:t xml:space="preserve">, D. W., &amp; </w:t>
      </w:r>
      <w:proofErr w:type="spellStart"/>
      <w:r w:rsidRPr="004172AA">
        <w:rPr>
          <w:rFonts w:ascii="Arial" w:eastAsia="Arial" w:hAnsi="Arial" w:cs="Arial"/>
          <w:sz w:val="20"/>
          <w:szCs w:val="20"/>
        </w:rPr>
        <w:t>Sinesilassie</w:t>
      </w:r>
      <w:proofErr w:type="spellEnd"/>
      <w:r w:rsidRPr="004172AA">
        <w:rPr>
          <w:rFonts w:ascii="Arial" w:eastAsia="Arial" w:hAnsi="Arial" w:cs="Arial"/>
          <w:sz w:val="20"/>
          <w:szCs w:val="20"/>
        </w:rPr>
        <w:t xml:space="preserve">, E. G. (2024). Machine Learning Model for Construction Time Prediction: A Case of Selected Public Building Projects in Hosanna, Ethiopia. Journal of Engineering. </w:t>
      </w:r>
      <w:hyperlink r:id="rId27" w:history="1">
        <w:r w:rsidRPr="004172AA">
          <w:rPr>
            <w:rStyle w:val="Hyperlink"/>
            <w:rFonts w:ascii="Arial" w:eastAsia="Arial" w:hAnsi="Arial" w:cs="Arial"/>
            <w:sz w:val="20"/>
            <w:szCs w:val="20"/>
          </w:rPr>
          <w:t>https://doi.org/10.1155/2024/5653690</w:t>
        </w:r>
      </w:hyperlink>
      <w:r w:rsidRPr="004172AA">
        <w:rPr>
          <w:rFonts w:ascii="Arial" w:eastAsia="Arial" w:hAnsi="Arial" w:cs="Arial"/>
          <w:sz w:val="20"/>
          <w:szCs w:val="20"/>
        </w:rPr>
        <w:t xml:space="preserve"> </w:t>
      </w:r>
    </w:p>
    <w:p w14:paraId="389D3E85" w14:textId="74F81D5B" w:rsidR="005C07DA" w:rsidRPr="004172AA" w:rsidRDefault="003D62EF" w:rsidP="004172AA">
      <w:pPr>
        <w:jc w:val="both"/>
        <w:rPr>
          <w:rFonts w:ascii="Arial" w:eastAsia="Arial" w:hAnsi="Arial" w:cs="Arial"/>
          <w:sz w:val="20"/>
          <w:szCs w:val="20"/>
        </w:rPr>
      </w:pPr>
      <w:proofErr w:type="spellStart"/>
      <w:r w:rsidRPr="004172AA">
        <w:rPr>
          <w:rFonts w:ascii="Arial" w:eastAsia="Arial" w:hAnsi="Arial" w:cs="Arial"/>
          <w:sz w:val="20"/>
          <w:szCs w:val="20"/>
        </w:rPr>
        <w:t>Egwim</w:t>
      </w:r>
      <w:proofErr w:type="spellEnd"/>
      <w:r w:rsidRPr="004172AA">
        <w:rPr>
          <w:rFonts w:ascii="Arial" w:eastAsia="Arial" w:hAnsi="Arial" w:cs="Arial"/>
          <w:sz w:val="20"/>
          <w:szCs w:val="20"/>
        </w:rPr>
        <w:t xml:space="preserve">, C. N., Alaka, H., </w:t>
      </w:r>
      <w:proofErr w:type="spellStart"/>
      <w:r w:rsidRPr="004172AA">
        <w:rPr>
          <w:rFonts w:ascii="Arial" w:eastAsia="Arial" w:hAnsi="Arial" w:cs="Arial"/>
          <w:sz w:val="20"/>
          <w:szCs w:val="20"/>
        </w:rPr>
        <w:t>Toriola</w:t>
      </w:r>
      <w:proofErr w:type="spellEnd"/>
      <w:r w:rsidRPr="004172AA">
        <w:rPr>
          <w:rFonts w:ascii="Arial" w:eastAsia="Arial" w:hAnsi="Arial" w:cs="Arial"/>
          <w:sz w:val="20"/>
          <w:szCs w:val="20"/>
        </w:rPr>
        <w:t xml:space="preserve">-Coker, L. O., Balogun, H., &amp; </w:t>
      </w:r>
      <w:proofErr w:type="spellStart"/>
      <w:r w:rsidRPr="004172AA">
        <w:rPr>
          <w:rFonts w:ascii="Arial" w:eastAsia="Arial" w:hAnsi="Arial" w:cs="Arial"/>
          <w:sz w:val="20"/>
          <w:szCs w:val="20"/>
        </w:rPr>
        <w:t>Sunmola</w:t>
      </w:r>
      <w:proofErr w:type="spellEnd"/>
      <w:r w:rsidRPr="004172AA">
        <w:rPr>
          <w:rFonts w:ascii="Arial" w:eastAsia="Arial" w:hAnsi="Arial" w:cs="Arial"/>
          <w:sz w:val="20"/>
          <w:szCs w:val="20"/>
        </w:rPr>
        <w:t xml:space="preserve">, F. (2021). Applied artificial intelligence for predicting construction projects delay. Machine Learning with Applications, 6, 100166. </w:t>
      </w:r>
      <w:hyperlink r:id="rId28" w:history="1">
        <w:r w:rsidRPr="004172AA">
          <w:rPr>
            <w:rStyle w:val="Hyperlink"/>
            <w:rFonts w:ascii="Arial" w:eastAsia="Arial" w:hAnsi="Arial" w:cs="Arial"/>
            <w:sz w:val="20"/>
            <w:szCs w:val="20"/>
          </w:rPr>
          <w:t>https://doi.org/10.1016/j.mlwa.2021.100166</w:t>
        </w:r>
      </w:hyperlink>
      <w:r w:rsidRPr="004172AA">
        <w:rPr>
          <w:rFonts w:ascii="Arial" w:eastAsia="Arial" w:hAnsi="Arial" w:cs="Arial"/>
          <w:sz w:val="20"/>
          <w:szCs w:val="20"/>
        </w:rPr>
        <w:t xml:space="preserve"> </w:t>
      </w:r>
    </w:p>
    <w:p w14:paraId="03743775" w14:textId="5F460BB6" w:rsidR="005C07DA" w:rsidRPr="004172AA" w:rsidRDefault="00F664D4" w:rsidP="004172AA">
      <w:pPr>
        <w:jc w:val="both"/>
        <w:rPr>
          <w:rFonts w:ascii="Arial" w:eastAsia="Arial" w:hAnsi="Arial" w:cs="Arial"/>
          <w:sz w:val="20"/>
          <w:szCs w:val="20"/>
        </w:rPr>
      </w:pPr>
      <w:proofErr w:type="spellStart"/>
      <w:r w:rsidRPr="004172AA">
        <w:rPr>
          <w:rFonts w:ascii="Arial" w:eastAsia="Arial" w:hAnsi="Arial" w:cs="Arial"/>
          <w:sz w:val="20"/>
          <w:szCs w:val="20"/>
        </w:rPr>
        <w:t>Egwim</w:t>
      </w:r>
      <w:proofErr w:type="spellEnd"/>
      <w:r w:rsidRPr="004172AA">
        <w:rPr>
          <w:rFonts w:ascii="Arial" w:eastAsia="Arial" w:hAnsi="Arial" w:cs="Arial"/>
          <w:sz w:val="20"/>
          <w:szCs w:val="20"/>
        </w:rPr>
        <w:t xml:space="preserve">, C. N., Alaka, H., Demir, E., Balogun, H., Olu-Ajayi, R., Sulaimon, I., </w:t>
      </w:r>
      <w:proofErr w:type="spellStart"/>
      <w:r w:rsidRPr="004172AA">
        <w:rPr>
          <w:rFonts w:ascii="Arial" w:eastAsia="Arial" w:hAnsi="Arial" w:cs="Arial"/>
          <w:sz w:val="20"/>
          <w:szCs w:val="20"/>
        </w:rPr>
        <w:t>Wusu</w:t>
      </w:r>
      <w:proofErr w:type="spellEnd"/>
      <w:r w:rsidRPr="004172AA">
        <w:rPr>
          <w:rFonts w:ascii="Arial" w:eastAsia="Arial" w:hAnsi="Arial" w:cs="Arial"/>
          <w:sz w:val="20"/>
          <w:szCs w:val="20"/>
        </w:rPr>
        <w:t xml:space="preserve">, G., Yusuf, W., &amp; </w:t>
      </w:r>
      <w:proofErr w:type="spellStart"/>
      <w:r w:rsidRPr="004172AA">
        <w:rPr>
          <w:rFonts w:ascii="Arial" w:eastAsia="Arial" w:hAnsi="Arial" w:cs="Arial"/>
          <w:sz w:val="20"/>
          <w:szCs w:val="20"/>
        </w:rPr>
        <w:t>Muideen</w:t>
      </w:r>
      <w:proofErr w:type="spellEnd"/>
      <w:r w:rsidRPr="004172AA">
        <w:rPr>
          <w:rFonts w:ascii="Arial" w:eastAsia="Arial" w:hAnsi="Arial" w:cs="Arial"/>
          <w:sz w:val="20"/>
          <w:szCs w:val="20"/>
        </w:rPr>
        <w:t xml:space="preserve">, A. A. (2024). Artificial intelligence in the construction industry: A systematic review of the entire construction value chain lifecycle. Energies, 17(1), 182. </w:t>
      </w:r>
      <w:hyperlink r:id="rId29" w:history="1">
        <w:r w:rsidRPr="004172AA">
          <w:rPr>
            <w:rStyle w:val="Hyperlink"/>
            <w:rFonts w:ascii="Arial" w:eastAsia="Arial" w:hAnsi="Arial" w:cs="Arial"/>
            <w:sz w:val="20"/>
            <w:szCs w:val="20"/>
          </w:rPr>
          <w:t>https://doi.org/10.3390/en17010182</w:t>
        </w:r>
      </w:hyperlink>
      <w:r w:rsidRPr="004172AA">
        <w:rPr>
          <w:rFonts w:ascii="Arial" w:eastAsia="Arial" w:hAnsi="Arial" w:cs="Arial"/>
          <w:sz w:val="20"/>
          <w:szCs w:val="20"/>
        </w:rPr>
        <w:t xml:space="preserve"> </w:t>
      </w:r>
    </w:p>
    <w:p w14:paraId="1C802D64" w14:textId="77777777" w:rsidR="005C07DA" w:rsidRPr="004172AA" w:rsidRDefault="004172AA" w:rsidP="004172AA">
      <w:pPr>
        <w:jc w:val="both"/>
        <w:rPr>
          <w:rFonts w:ascii="Arial" w:eastAsia="Arial" w:hAnsi="Arial" w:cs="Arial"/>
          <w:sz w:val="20"/>
          <w:szCs w:val="20"/>
        </w:rPr>
      </w:pPr>
      <w:r w:rsidRPr="004172AA">
        <w:rPr>
          <w:rFonts w:ascii="Arial" w:eastAsia="Arial" w:hAnsi="Arial" w:cs="Arial"/>
          <w:sz w:val="20"/>
          <w:szCs w:val="20"/>
        </w:rPr>
        <w:t xml:space="preserve">Enrica, M., </w:t>
      </w:r>
      <w:proofErr w:type="spellStart"/>
      <w:r w:rsidRPr="004172AA">
        <w:rPr>
          <w:rFonts w:ascii="Arial" w:eastAsia="Arial" w:hAnsi="Arial" w:cs="Arial"/>
          <w:sz w:val="20"/>
          <w:szCs w:val="20"/>
        </w:rPr>
        <w:t>Purba</w:t>
      </w:r>
      <w:proofErr w:type="spellEnd"/>
      <w:r w:rsidRPr="004172AA">
        <w:rPr>
          <w:rFonts w:ascii="Arial" w:eastAsia="Arial" w:hAnsi="Arial" w:cs="Arial"/>
          <w:sz w:val="20"/>
          <w:szCs w:val="20"/>
        </w:rPr>
        <w:t xml:space="preserve">, H. H., &amp; </w:t>
      </w:r>
      <w:proofErr w:type="spellStart"/>
      <w:r w:rsidRPr="004172AA">
        <w:rPr>
          <w:rFonts w:ascii="Arial" w:eastAsia="Arial" w:hAnsi="Arial" w:cs="Arial"/>
          <w:sz w:val="20"/>
          <w:szCs w:val="20"/>
        </w:rPr>
        <w:t>Purba</w:t>
      </w:r>
      <w:proofErr w:type="spellEnd"/>
      <w:r w:rsidRPr="004172AA">
        <w:rPr>
          <w:rFonts w:ascii="Arial" w:eastAsia="Arial" w:hAnsi="Arial" w:cs="Arial"/>
          <w:sz w:val="20"/>
          <w:szCs w:val="20"/>
        </w:rPr>
        <w:t>, A. (2021). Risks leading to cost overrun in construction projects: A systematic literature review. Advance Researches in Civil Engineering, 3(1), 43-60.</w:t>
      </w:r>
    </w:p>
    <w:p w14:paraId="7C5A1D68" w14:textId="171E8585" w:rsidR="005C07DA" w:rsidRPr="004172AA" w:rsidRDefault="00E92D59" w:rsidP="004172AA">
      <w:pPr>
        <w:jc w:val="both"/>
        <w:rPr>
          <w:rFonts w:ascii="Arial" w:eastAsia="Arial" w:hAnsi="Arial" w:cs="Arial"/>
          <w:sz w:val="20"/>
          <w:szCs w:val="20"/>
        </w:rPr>
      </w:pPr>
      <w:proofErr w:type="spellStart"/>
      <w:r w:rsidRPr="004172AA">
        <w:rPr>
          <w:rFonts w:ascii="Arial" w:eastAsia="Arial" w:hAnsi="Arial" w:cs="Arial"/>
          <w:sz w:val="20"/>
          <w:szCs w:val="20"/>
        </w:rPr>
        <w:t>Ghadbhan</w:t>
      </w:r>
      <w:proofErr w:type="spellEnd"/>
      <w:r w:rsidRPr="004172AA">
        <w:rPr>
          <w:rFonts w:ascii="Arial" w:eastAsia="Arial" w:hAnsi="Arial" w:cs="Arial"/>
          <w:sz w:val="20"/>
          <w:szCs w:val="20"/>
        </w:rPr>
        <w:t xml:space="preserve"> Abed, Y., Hasan, T. M., &amp; </w:t>
      </w:r>
      <w:proofErr w:type="spellStart"/>
      <w:r w:rsidRPr="004172AA">
        <w:rPr>
          <w:rFonts w:ascii="Arial" w:eastAsia="Arial" w:hAnsi="Arial" w:cs="Arial"/>
          <w:sz w:val="20"/>
          <w:szCs w:val="20"/>
        </w:rPr>
        <w:t>Zehawi</w:t>
      </w:r>
      <w:proofErr w:type="spellEnd"/>
      <w:r w:rsidRPr="004172AA">
        <w:rPr>
          <w:rFonts w:ascii="Arial" w:eastAsia="Arial" w:hAnsi="Arial" w:cs="Arial"/>
          <w:sz w:val="20"/>
          <w:szCs w:val="20"/>
        </w:rPr>
        <w:t xml:space="preserve">, R. N. (2022). Machine learning algorithms for constructions cost prediction: A systematic review. International Journal of Nonlinear Analysis and Applications, 13(2), 2205-2218. </w:t>
      </w:r>
      <w:hyperlink r:id="rId30" w:history="1">
        <w:r w:rsidRPr="004172AA">
          <w:rPr>
            <w:rStyle w:val="Hyperlink"/>
            <w:rFonts w:ascii="Arial" w:eastAsia="Arial" w:hAnsi="Arial" w:cs="Arial"/>
            <w:sz w:val="20"/>
            <w:szCs w:val="20"/>
          </w:rPr>
          <w:t>https://doi.org/10.22075/ijnaa.2022.27673.3684</w:t>
        </w:r>
      </w:hyperlink>
      <w:r w:rsidRPr="004172AA">
        <w:rPr>
          <w:rFonts w:ascii="Arial" w:eastAsia="Arial" w:hAnsi="Arial" w:cs="Arial"/>
          <w:sz w:val="20"/>
          <w:szCs w:val="20"/>
        </w:rPr>
        <w:t xml:space="preserve"> </w:t>
      </w:r>
    </w:p>
    <w:p w14:paraId="282714F2" w14:textId="28E7F0F1" w:rsidR="005C07DA" w:rsidRPr="004172AA" w:rsidRDefault="0095475E" w:rsidP="004172AA">
      <w:pPr>
        <w:jc w:val="both"/>
        <w:rPr>
          <w:rFonts w:ascii="Arial" w:eastAsia="Arial" w:hAnsi="Arial" w:cs="Arial"/>
          <w:sz w:val="20"/>
          <w:szCs w:val="20"/>
        </w:rPr>
      </w:pPr>
      <w:proofErr w:type="spellStart"/>
      <w:r w:rsidRPr="004172AA">
        <w:rPr>
          <w:rFonts w:ascii="Arial" w:eastAsia="Arial" w:hAnsi="Arial" w:cs="Arial"/>
          <w:sz w:val="20"/>
          <w:szCs w:val="20"/>
        </w:rPr>
        <w:t>Gondia</w:t>
      </w:r>
      <w:proofErr w:type="spellEnd"/>
      <w:r w:rsidRPr="004172AA">
        <w:rPr>
          <w:rFonts w:ascii="Arial" w:eastAsia="Arial" w:hAnsi="Arial" w:cs="Arial"/>
          <w:sz w:val="20"/>
          <w:szCs w:val="20"/>
        </w:rPr>
        <w:t>, A., Siam, A., El-</w:t>
      </w:r>
      <w:proofErr w:type="spellStart"/>
      <w:r w:rsidRPr="004172AA">
        <w:rPr>
          <w:rFonts w:ascii="Arial" w:eastAsia="Arial" w:hAnsi="Arial" w:cs="Arial"/>
          <w:sz w:val="20"/>
          <w:szCs w:val="20"/>
        </w:rPr>
        <w:t>Dakhakhni</w:t>
      </w:r>
      <w:proofErr w:type="spellEnd"/>
      <w:r w:rsidRPr="004172AA">
        <w:rPr>
          <w:rFonts w:ascii="Arial" w:eastAsia="Arial" w:hAnsi="Arial" w:cs="Arial"/>
          <w:sz w:val="20"/>
          <w:szCs w:val="20"/>
        </w:rPr>
        <w:t xml:space="preserve">, W., &amp; Nassar, A. H. (2020). Machine learning algorithms for construction projects delay risk prediction. Journal of Construction Engineering and Management, 146(1), 04019085. </w:t>
      </w:r>
      <w:hyperlink r:id="rId31" w:history="1">
        <w:r w:rsidRPr="004172AA">
          <w:rPr>
            <w:rStyle w:val="Hyperlink"/>
            <w:rFonts w:ascii="Arial" w:eastAsia="Arial" w:hAnsi="Arial" w:cs="Arial"/>
            <w:sz w:val="20"/>
            <w:szCs w:val="20"/>
          </w:rPr>
          <w:t>https://doi.org/10.1061/(ASCE)CO.1943-7862.0001736</w:t>
        </w:r>
      </w:hyperlink>
      <w:r w:rsidRPr="004172AA">
        <w:rPr>
          <w:rFonts w:ascii="Arial" w:eastAsia="Arial" w:hAnsi="Arial" w:cs="Arial"/>
          <w:sz w:val="20"/>
          <w:szCs w:val="20"/>
        </w:rPr>
        <w:t xml:space="preserve"> </w:t>
      </w:r>
    </w:p>
    <w:p w14:paraId="7E5B4C9F" w14:textId="194C2FD9" w:rsidR="005C07DA" w:rsidRPr="004172AA" w:rsidRDefault="00487B13" w:rsidP="004172AA">
      <w:pPr>
        <w:jc w:val="both"/>
        <w:rPr>
          <w:rFonts w:ascii="Arial" w:eastAsia="Arial" w:hAnsi="Arial" w:cs="Arial"/>
          <w:sz w:val="20"/>
          <w:szCs w:val="20"/>
        </w:rPr>
      </w:pPr>
      <w:r w:rsidRPr="004172AA">
        <w:rPr>
          <w:rFonts w:ascii="Arial" w:eastAsia="Arial" w:hAnsi="Arial" w:cs="Arial"/>
          <w:sz w:val="20"/>
          <w:szCs w:val="20"/>
        </w:rPr>
        <w:t xml:space="preserve">Huang, C. H., &amp; Hsieh, S. H. (2020). Predicting BIM labor cost with random forest and simple linear regression. Automation in Construction, 118, 103280. </w:t>
      </w:r>
      <w:hyperlink r:id="rId32" w:history="1">
        <w:r w:rsidRPr="004172AA">
          <w:rPr>
            <w:rStyle w:val="Hyperlink"/>
            <w:rFonts w:ascii="Arial" w:eastAsia="Arial" w:hAnsi="Arial" w:cs="Arial"/>
            <w:sz w:val="20"/>
            <w:szCs w:val="20"/>
          </w:rPr>
          <w:t>https://doi.org/10.1016/j.autcon.2020.103280</w:t>
        </w:r>
      </w:hyperlink>
      <w:r w:rsidRPr="004172AA">
        <w:rPr>
          <w:rFonts w:ascii="Arial" w:eastAsia="Arial" w:hAnsi="Arial" w:cs="Arial"/>
          <w:sz w:val="20"/>
          <w:szCs w:val="20"/>
        </w:rPr>
        <w:t xml:space="preserve"> </w:t>
      </w:r>
    </w:p>
    <w:p w14:paraId="0F975F42" w14:textId="7BBF6372" w:rsidR="005C07DA" w:rsidRPr="004172AA" w:rsidRDefault="00953D80" w:rsidP="004172AA">
      <w:pPr>
        <w:jc w:val="both"/>
        <w:rPr>
          <w:rFonts w:ascii="Arial" w:eastAsia="Arial" w:hAnsi="Arial" w:cs="Arial"/>
          <w:sz w:val="20"/>
          <w:szCs w:val="20"/>
        </w:rPr>
      </w:pPr>
      <w:proofErr w:type="spellStart"/>
      <w:r w:rsidRPr="004172AA">
        <w:rPr>
          <w:rFonts w:ascii="Arial" w:eastAsia="Arial" w:hAnsi="Arial" w:cs="Arial"/>
          <w:sz w:val="20"/>
          <w:szCs w:val="20"/>
        </w:rPr>
        <w:lastRenderedPageBreak/>
        <w:t>Jamarani</w:t>
      </w:r>
      <w:proofErr w:type="spellEnd"/>
      <w:r w:rsidRPr="004172AA">
        <w:rPr>
          <w:rFonts w:ascii="Arial" w:eastAsia="Arial" w:hAnsi="Arial" w:cs="Arial"/>
          <w:sz w:val="20"/>
          <w:szCs w:val="20"/>
        </w:rPr>
        <w:t xml:space="preserve">, A., Haddadi, S., </w:t>
      </w:r>
      <w:proofErr w:type="spellStart"/>
      <w:r w:rsidRPr="004172AA">
        <w:rPr>
          <w:rFonts w:ascii="Arial" w:eastAsia="Arial" w:hAnsi="Arial" w:cs="Arial"/>
          <w:sz w:val="20"/>
          <w:szCs w:val="20"/>
        </w:rPr>
        <w:t>Sarvizadeh</w:t>
      </w:r>
      <w:proofErr w:type="spellEnd"/>
      <w:r w:rsidRPr="004172AA">
        <w:rPr>
          <w:rFonts w:ascii="Arial" w:eastAsia="Arial" w:hAnsi="Arial" w:cs="Arial"/>
          <w:sz w:val="20"/>
          <w:szCs w:val="20"/>
        </w:rPr>
        <w:t xml:space="preserve">, R., </w:t>
      </w:r>
      <w:proofErr w:type="spellStart"/>
      <w:r w:rsidRPr="004172AA">
        <w:rPr>
          <w:rFonts w:ascii="Arial" w:eastAsia="Arial" w:hAnsi="Arial" w:cs="Arial"/>
          <w:sz w:val="20"/>
          <w:szCs w:val="20"/>
        </w:rPr>
        <w:t>Haghi</w:t>
      </w:r>
      <w:proofErr w:type="spellEnd"/>
      <w:r w:rsidRPr="004172AA">
        <w:rPr>
          <w:rFonts w:ascii="Arial" w:eastAsia="Arial" w:hAnsi="Arial" w:cs="Arial"/>
          <w:sz w:val="20"/>
          <w:szCs w:val="20"/>
        </w:rPr>
        <w:t xml:space="preserve"> Kashani, M., Akbari, M., &amp; Moradi, S. (2024). Big data and predictive analytics: A systematic review of applications. Artificial Intelligence Review, 57(7), 176. </w:t>
      </w:r>
      <w:hyperlink r:id="rId33" w:history="1">
        <w:r w:rsidRPr="004172AA">
          <w:rPr>
            <w:rStyle w:val="Hyperlink"/>
            <w:rFonts w:ascii="Arial" w:eastAsia="Arial" w:hAnsi="Arial" w:cs="Arial"/>
            <w:sz w:val="20"/>
            <w:szCs w:val="20"/>
          </w:rPr>
          <w:t>https://doi.org/10.1007/s10462-024-10811-5</w:t>
        </w:r>
      </w:hyperlink>
      <w:r w:rsidRPr="004172AA">
        <w:rPr>
          <w:rFonts w:ascii="Arial" w:eastAsia="Arial" w:hAnsi="Arial" w:cs="Arial"/>
          <w:sz w:val="20"/>
          <w:szCs w:val="20"/>
        </w:rPr>
        <w:t xml:space="preserve"> </w:t>
      </w:r>
    </w:p>
    <w:p w14:paraId="3D2E253E" w14:textId="42A54453" w:rsidR="005C07DA" w:rsidRPr="004172AA" w:rsidRDefault="005752A6" w:rsidP="004172AA">
      <w:pPr>
        <w:jc w:val="both"/>
        <w:rPr>
          <w:rFonts w:ascii="Arial" w:eastAsia="Arial" w:hAnsi="Arial" w:cs="Arial"/>
          <w:sz w:val="20"/>
          <w:szCs w:val="20"/>
        </w:rPr>
      </w:pPr>
      <w:r w:rsidRPr="004172AA">
        <w:rPr>
          <w:rFonts w:ascii="Arial" w:eastAsia="Arial" w:hAnsi="Arial" w:cs="Arial"/>
          <w:sz w:val="20"/>
          <w:szCs w:val="20"/>
        </w:rPr>
        <w:t xml:space="preserve">Jiang, Q. (2020). Estimation of construction project building cost by back-propagation neural network. Journal of Engineering, Design and Technology, 18(3), 601-609. </w:t>
      </w:r>
      <w:hyperlink r:id="rId34" w:history="1">
        <w:r w:rsidRPr="004172AA">
          <w:rPr>
            <w:rStyle w:val="Hyperlink"/>
            <w:rFonts w:ascii="Arial" w:eastAsia="Arial" w:hAnsi="Arial" w:cs="Arial"/>
            <w:sz w:val="20"/>
            <w:szCs w:val="20"/>
          </w:rPr>
          <w:t>https://doi.org/10.1108/JEDT-08-2019-0195</w:t>
        </w:r>
      </w:hyperlink>
      <w:r w:rsidRPr="004172AA">
        <w:rPr>
          <w:rFonts w:ascii="Arial" w:eastAsia="Arial" w:hAnsi="Arial" w:cs="Arial"/>
          <w:sz w:val="20"/>
          <w:szCs w:val="20"/>
        </w:rPr>
        <w:t xml:space="preserve"> </w:t>
      </w:r>
    </w:p>
    <w:p w14:paraId="2E579331" w14:textId="28732DCC" w:rsidR="005C07DA" w:rsidRPr="004172AA" w:rsidRDefault="00900DA4" w:rsidP="004172AA">
      <w:pPr>
        <w:jc w:val="both"/>
        <w:rPr>
          <w:rFonts w:ascii="Arial" w:eastAsia="Arial" w:hAnsi="Arial" w:cs="Arial"/>
          <w:sz w:val="20"/>
          <w:szCs w:val="20"/>
        </w:rPr>
      </w:pPr>
      <w:proofErr w:type="spellStart"/>
      <w:r w:rsidRPr="004172AA">
        <w:rPr>
          <w:rFonts w:ascii="Arial" w:eastAsia="Arial" w:hAnsi="Arial" w:cs="Arial"/>
          <w:sz w:val="20"/>
          <w:szCs w:val="20"/>
        </w:rPr>
        <w:t>Junjia</w:t>
      </w:r>
      <w:proofErr w:type="spellEnd"/>
      <w:r w:rsidRPr="004172AA">
        <w:rPr>
          <w:rFonts w:ascii="Arial" w:eastAsia="Arial" w:hAnsi="Arial" w:cs="Arial"/>
          <w:sz w:val="20"/>
          <w:szCs w:val="20"/>
        </w:rPr>
        <w:t xml:space="preserve">, Y., Alias, A. H., Haron, N. A., &amp; Abu Bakar, N. (2024). Machine learning algorithms for safer construction sites: Critical review. Building Engineering. </w:t>
      </w:r>
      <w:hyperlink r:id="rId35" w:history="1">
        <w:r w:rsidRPr="004172AA">
          <w:rPr>
            <w:rStyle w:val="Hyperlink"/>
            <w:rFonts w:ascii="Arial" w:eastAsia="Arial" w:hAnsi="Arial" w:cs="Arial"/>
            <w:sz w:val="20"/>
            <w:szCs w:val="20"/>
          </w:rPr>
          <w:t>https://doi.org/10.59400/be.v2i1.544</w:t>
        </w:r>
      </w:hyperlink>
      <w:r w:rsidRPr="004172AA">
        <w:rPr>
          <w:rFonts w:ascii="Arial" w:eastAsia="Arial" w:hAnsi="Arial" w:cs="Arial"/>
          <w:sz w:val="20"/>
          <w:szCs w:val="20"/>
        </w:rPr>
        <w:t xml:space="preserve"> </w:t>
      </w:r>
    </w:p>
    <w:p w14:paraId="70B68634" w14:textId="3563E7CF" w:rsidR="005C07DA" w:rsidRPr="004172AA" w:rsidRDefault="00D732C1" w:rsidP="004172AA">
      <w:pPr>
        <w:jc w:val="both"/>
        <w:rPr>
          <w:rFonts w:ascii="Arial" w:eastAsia="Arial" w:hAnsi="Arial" w:cs="Arial"/>
          <w:sz w:val="20"/>
          <w:szCs w:val="20"/>
        </w:rPr>
      </w:pPr>
      <w:r w:rsidRPr="004172AA">
        <w:rPr>
          <w:rFonts w:ascii="Arial" w:eastAsia="Arial" w:hAnsi="Arial" w:cs="Arial"/>
          <w:sz w:val="20"/>
          <w:szCs w:val="20"/>
        </w:rPr>
        <w:t xml:space="preserve">Li, F., Laili, Y., Chen, X., Lou, Y., Wang, C., Yang, H., Gao, X., &amp; Han, H. (2023). Towards big data driven construction industry. Journal of Industrial Information Integration. </w:t>
      </w:r>
      <w:hyperlink r:id="rId36" w:history="1">
        <w:r w:rsidRPr="004172AA">
          <w:rPr>
            <w:rStyle w:val="Hyperlink"/>
            <w:rFonts w:ascii="Arial" w:eastAsia="Arial" w:hAnsi="Arial" w:cs="Arial"/>
            <w:sz w:val="20"/>
            <w:szCs w:val="20"/>
          </w:rPr>
          <w:t>https://doi.org/10.1016/j.jii.2023.100483</w:t>
        </w:r>
      </w:hyperlink>
      <w:r w:rsidRPr="004172AA">
        <w:rPr>
          <w:rFonts w:ascii="Arial" w:eastAsia="Arial" w:hAnsi="Arial" w:cs="Arial"/>
          <w:sz w:val="20"/>
          <w:szCs w:val="20"/>
        </w:rPr>
        <w:t xml:space="preserve"> </w:t>
      </w:r>
    </w:p>
    <w:p w14:paraId="6DBED0D7" w14:textId="2EC3DF0D" w:rsidR="00711A89" w:rsidRPr="00711A89" w:rsidRDefault="00711A89" w:rsidP="004172AA">
      <w:pPr>
        <w:jc w:val="both"/>
        <w:rPr>
          <w:rFonts w:ascii="Arial" w:eastAsia="Arial" w:hAnsi="Arial" w:cs="Arial"/>
          <w:color w:val="00B050"/>
          <w:sz w:val="20"/>
          <w:szCs w:val="20"/>
        </w:rPr>
      </w:pPr>
      <w:r w:rsidRPr="00711A89">
        <w:rPr>
          <w:rFonts w:ascii="Arial" w:eastAsia="Arial" w:hAnsi="Arial" w:cs="Arial"/>
          <w:color w:val="00B050"/>
          <w:sz w:val="20"/>
          <w:szCs w:val="20"/>
        </w:rPr>
        <w:t>Li, T., Li, X., Rui, Y., Ling, J., Zhao, S., &amp; Zhu, H. (2024). Digital twin for intelligent tunnel construction. </w:t>
      </w:r>
      <w:r w:rsidRPr="00711A89">
        <w:rPr>
          <w:rFonts w:ascii="Arial" w:eastAsia="Arial" w:hAnsi="Arial" w:cs="Arial"/>
          <w:i/>
          <w:iCs/>
          <w:color w:val="00B050"/>
          <w:sz w:val="20"/>
          <w:szCs w:val="20"/>
        </w:rPr>
        <w:t>Automation in Construction</w:t>
      </w:r>
      <w:r w:rsidRPr="00711A89">
        <w:rPr>
          <w:rFonts w:ascii="Arial" w:eastAsia="Arial" w:hAnsi="Arial" w:cs="Arial"/>
          <w:color w:val="00B050"/>
          <w:sz w:val="20"/>
          <w:szCs w:val="20"/>
        </w:rPr>
        <w:t>, </w:t>
      </w:r>
      <w:r w:rsidRPr="00711A89">
        <w:rPr>
          <w:rFonts w:ascii="Arial" w:eastAsia="Arial" w:hAnsi="Arial" w:cs="Arial"/>
          <w:i/>
          <w:iCs/>
          <w:color w:val="00B050"/>
          <w:sz w:val="20"/>
          <w:szCs w:val="20"/>
        </w:rPr>
        <w:t>158</w:t>
      </w:r>
      <w:r w:rsidRPr="00711A89">
        <w:rPr>
          <w:rFonts w:ascii="Arial" w:eastAsia="Arial" w:hAnsi="Arial" w:cs="Arial"/>
          <w:color w:val="00B050"/>
          <w:sz w:val="20"/>
          <w:szCs w:val="20"/>
        </w:rPr>
        <w:t>, 105210.</w:t>
      </w:r>
      <w:r w:rsidRPr="00711A89">
        <w:rPr>
          <w:rFonts w:ascii="Arial" w:eastAsia="Arial" w:hAnsi="Arial" w:cs="Arial"/>
          <w:color w:val="00B050"/>
          <w:sz w:val="20"/>
          <w:szCs w:val="20"/>
        </w:rPr>
        <w:t xml:space="preserve"> </w:t>
      </w:r>
      <w:hyperlink r:id="rId37" w:tgtFrame="_blank" w:tooltip="Persistent link using digital object identifier" w:history="1">
        <w:r w:rsidRPr="00711A89">
          <w:rPr>
            <w:rStyle w:val="Hyperlink"/>
            <w:rFonts w:ascii="Arial" w:eastAsia="Arial" w:hAnsi="Arial" w:cs="Arial"/>
            <w:color w:val="00B050"/>
            <w:sz w:val="20"/>
            <w:szCs w:val="20"/>
          </w:rPr>
          <w:t>https://doi.org/10.1016/j.autcon.2023.105210</w:t>
        </w:r>
      </w:hyperlink>
    </w:p>
    <w:p w14:paraId="25477D11" w14:textId="24F53354" w:rsidR="005C07DA" w:rsidRPr="004172AA" w:rsidRDefault="00F934F4" w:rsidP="004172AA">
      <w:pPr>
        <w:jc w:val="both"/>
        <w:rPr>
          <w:rFonts w:ascii="Arial" w:eastAsia="Arial" w:hAnsi="Arial" w:cs="Arial"/>
          <w:sz w:val="20"/>
          <w:szCs w:val="20"/>
        </w:rPr>
      </w:pPr>
      <w:proofErr w:type="spellStart"/>
      <w:r w:rsidRPr="004172AA">
        <w:rPr>
          <w:rFonts w:ascii="Arial" w:eastAsia="Arial" w:hAnsi="Arial" w:cs="Arial"/>
          <w:sz w:val="20"/>
          <w:szCs w:val="20"/>
        </w:rPr>
        <w:t>Mahmoodzadeh</w:t>
      </w:r>
      <w:proofErr w:type="spellEnd"/>
      <w:r w:rsidRPr="004172AA">
        <w:rPr>
          <w:rFonts w:ascii="Arial" w:eastAsia="Arial" w:hAnsi="Arial" w:cs="Arial"/>
          <w:sz w:val="20"/>
          <w:szCs w:val="20"/>
        </w:rPr>
        <w:t xml:space="preserve">, A., </w:t>
      </w:r>
      <w:proofErr w:type="spellStart"/>
      <w:r w:rsidRPr="004172AA">
        <w:rPr>
          <w:rFonts w:ascii="Arial" w:eastAsia="Arial" w:hAnsi="Arial" w:cs="Arial"/>
          <w:sz w:val="20"/>
          <w:szCs w:val="20"/>
        </w:rPr>
        <w:t>Nejati</w:t>
      </w:r>
      <w:proofErr w:type="spellEnd"/>
      <w:r w:rsidRPr="004172AA">
        <w:rPr>
          <w:rFonts w:ascii="Arial" w:eastAsia="Arial" w:hAnsi="Arial" w:cs="Arial"/>
          <w:sz w:val="20"/>
          <w:szCs w:val="20"/>
        </w:rPr>
        <w:t xml:space="preserve">, H. R., &amp; Mohammadi, M. (2022). Optimized machine learning modelling for predicting the construction cost and duration of tunnelling projects. Automation in Construction, 139, 104305. </w:t>
      </w:r>
      <w:hyperlink r:id="rId38" w:history="1">
        <w:r w:rsidRPr="004172AA">
          <w:rPr>
            <w:rStyle w:val="Hyperlink"/>
            <w:rFonts w:ascii="Arial" w:eastAsia="Arial" w:hAnsi="Arial" w:cs="Arial"/>
            <w:sz w:val="20"/>
            <w:szCs w:val="20"/>
          </w:rPr>
          <w:t>https://doi.org/10.1016/j.autcon.2022.104305</w:t>
        </w:r>
      </w:hyperlink>
      <w:r w:rsidRPr="004172AA">
        <w:rPr>
          <w:rFonts w:ascii="Arial" w:eastAsia="Arial" w:hAnsi="Arial" w:cs="Arial"/>
          <w:sz w:val="20"/>
          <w:szCs w:val="20"/>
        </w:rPr>
        <w:t xml:space="preserve"> </w:t>
      </w:r>
    </w:p>
    <w:p w14:paraId="4295B889" w14:textId="48DB3201" w:rsidR="005C07DA" w:rsidRPr="004172AA" w:rsidRDefault="000900B5" w:rsidP="004172AA">
      <w:pPr>
        <w:jc w:val="both"/>
        <w:rPr>
          <w:rFonts w:ascii="Arial" w:eastAsia="Arial" w:hAnsi="Arial" w:cs="Arial"/>
          <w:sz w:val="20"/>
          <w:szCs w:val="20"/>
        </w:rPr>
      </w:pPr>
      <w:r w:rsidRPr="004172AA">
        <w:rPr>
          <w:rFonts w:ascii="Arial" w:eastAsia="Arial" w:hAnsi="Arial" w:cs="Arial"/>
          <w:sz w:val="20"/>
          <w:szCs w:val="20"/>
        </w:rPr>
        <w:t>Mahajan, A. G. (2021). Big Data and Predictive Analytics Drive Innovations in Construction Industry. International Journal of Innovative Science &amp; Technology, 8(108), Article 08.</w:t>
      </w:r>
    </w:p>
    <w:p w14:paraId="04D544ED" w14:textId="09276F8A" w:rsidR="005C07DA" w:rsidRPr="004172AA" w:rsidRDefault="000900B5" w:rsidP="004172AA">
      <w:pPr>
        <w:jc w:val="both"/>
        <w:rPr>
          <w:rFonts w:ascii="Arial" w:eastAsia="Arial" w:hAnsi="Arial" w:cs="Arial"/>
          <w:sz w:val="20"/>
          <w:szCs w:val="20"/>
        </w:rPr>
      </w:pPr>
      <w:proofErr w:type="spellStart"/>
      <w:r w:rsidRPr="004172AA">
        <w:rPr>
          <w:rFonts w:ascii="Arial" w:eastAsia="Arial" w:hAnsi="Arial" w:cs="Arial"/>
          <w:sz w:val="20"/>
          <w:szCs w:val="20"/>
        </w:rPr>
        <w:t>Meharie</w:t>
      </w:r>
      <w:proofErr w:type="spellEnd"/>
      <w:r w:rsidRPr="004172AA">
        <w:rPr>
          <w:rFonts w:ascii="Arial" w:eastAsia="Arial" w:hAnsi="Arial" w:cs="Arial"/>
          <w:sz w:val="20"/>
          <w:szCs w:val="20"/>
        </w:rPr>
        <w:t xml:space="preserve">, M. G., &amp; Shaik, N. (2020). Predicting highway construction costs: Comparison of the performance of random forest, neural network and support vector machine models. Journal of Soft Computing in Civil Engineering, 4(2), 103-112. </w:t>
      </w:r>
      <w:hyperlink r:id="rId39" w:history="1">
        <w:r w:rsidRPr="004172AA">
          <w:rPr>
            <w:rStyle w:val="Hyperlink"/>
            <w:rFonts w:ascii="Arial" w:eastAsia="Arial" w:hAnsi="Arial" w:cs="Arial"/>
            <w:sz w:val="20"/>
            <w:szCs w:val="20"/>
          </w:rPr>
          <w:t>https://doi.org/10.22115/SCCE.2020.226883.1205</w:t>
        </w:r>
      </w:hyperlink>
      <w:r w:rsidRPr="004172AA">
        <w:rPr>
          <w:rFonts w:ascii="Arial" w:eastAsia="Arial" w:hAnsi="Arial" w:cs="Arial"/>
          <w:sz w:val="20"/>
          <w:szCs w:val="20"/>
        </w:rPr>
        <w:t xml:space="preserve"> </w:t>
      </w:r>
    </w:p>
    <w:p w14:paraId="04C1F3D2" w14:textId="47176AC6" w:rsidR="005C07DA" w:rsidRPr="004172AA" w:rsidRDefault="005677E4" w:rsidP="004172AA">
      <w:pPr>
        <w:jc w:val="both"/>
        <w:rPr>
          <w:rFonts w:ascii="Arial" w:eastAsia="Arial" w:hAnsi="Arial" w:cs="Arial"/>
          <w:sz w:val="20"/>
          <w:szCs w:val="20"/>
        </w:rPr>
      </w:pPr>
      <w:r w:rsidRPr="004172AA">
        <w:rPr>
          <w:rFonts w:ascii="Arial" w:eastAsia="Arial" w:hAnsi="Arial" w:cs="Arial"/>
          <w:sz w:val="20"/>
          <w:szCs w:val="20"/>
        </w:rPr>
        <w:t xml:space="preserve">Nassar, A. H., &amp; Elbisy, A. M. (2024). A Machine Learning Approach to Predict Time Delays in Marine Construction Projects. Engineering, Technology &amp; Applied Science Research, 14(5), 16125-16134. </w:t>
      </w:r>
      <w:hyperlink r:id="rId40" w:history="1">
        <w:r w:rsidRPr="004172AA">
          <w:rPr>
            <w:rStyle w:val="Hyperlink"/>
            <w:rFonts w:ascii="Arial" w:eastAsia="Arial" w:hAnsi="Arial" w:cs="Arial"/>
            <w:sz w:val="20"/>
            <w:szCs w:val="20"/>
          </w:rPr>
          <w:t>https://doi.org/10.48084/etasr.8173</w:t>
        </w:r>
      </w:hyperlink>
      <w:r w:rsidRPr="004172AA">
        <w:rPr>
          <w:rFonts w:ascii="Arial" w:eastAsia="Arial" w:hAnsi="Arial" w:cs="Arial"/>
          <w:sz w:val="20"/>
          <w:szCs w:val="20"/>
        </w:rPr>
        <w:t xml:space="preserve"> </w:t>
      </w:r>
    </w:p>
    <w:p w14:paraId="1FB369DA" w14:textId="40DB13D8" w:rsidR="005C07DA" w:rsidRPr="004172AA" w:rsidRDefault="00126D52" w:rsidP="004172AA">
      <w:pPr>
        <w:jc w:val="both"/>
        <w:rPr>
          <w:rFonts w:ascii="Arial" w:eastAsia="Arial" w:hAnsi="Arial" w:cs="Arial"/>
          <w:sz w:val="20"/>
          <w:szCs w:val="20"/>
        </w:rPr>
      </w:pPr>
      <w:proofErr w:type="spellStart"/>
      <w:r w:rsidRPr="004172AA">
        <w:rPr>
          <w:rFonts w:ascii="Arial" w:eastAsia="Arial" w:hAnsi="Arial" w:cs="Arial"/>
          <w:sz w:val="20"/>
          <w:szCs w:val="20"/>
        </w:rPr>
        <w:t>Njama</w:t>
      </w:r>
      <w:proofErr w:type="spellEnd"/>
      <w:r w:rsidRPr="004172AA">
        <w:rPr>
          <w:rFonts w:ascii="Arial" w:eastAsia="Arial" w:hAnsi="Arial" w:cs="Arial"/>
          <w:sz w:val="20"/>
          <w:szCs w:val="20"/>
        </w:rPr>
        <w:t xml:space="preserve">-Abang, O. (2025). Machine Learning in Construction: A Systematic Review with a Focus on Nigeria. Journal of Engineering Research and Reports, 27(2), 89-103. </w:t>
      </w:r>
      <w:hyperlink r:id="rId41" w:history="1">
        <w:r w:rsidRPr="004172AA">
          <w:rPr>
            <w:rStyle w:val="Hyperlink"/>
            <w:rFonts w:ascii="Arial" w:eastAsia="Arial" w:hAnsi="Arial" w:cs="Arial"/>
            <w:sz w:val="20"/>
            <w:szCs w:val="20"/>
          </w:rPr>
          <w:t>https://doi.org/10.9734/jerr/2025/v27i21397</w:t>
        </w:r>
      </w:hyperlink>
      <w:r w:rsidRPr="004172AA">
        <w:rPr>
          <w:rFonts w:ascii="Arial" w:eastAsia="Arial" w:hAnsi="Arial" w:cs="Arial"/>
          <w:sz w:val="20"/>
          <w:szCs w:val="20"/>
        </w:rPr>
        <w:t xml:space="preserve"> </w:t>
      </w:r>
    </w:p>
    <w:p w14:paraId="40F08A44" w14:textId="046F84ED" w:rsidR="005C07DA" w:rsidRPr="004172AA" w:rsidRDefault="00E76306" w:rsidP="004172AA">
      <w:pPr>
        <w:jc w:val="both"/>
        <w:rPr>
          <w:rFonts w:ascii="Arial" w:eastAsia="Arial" w:hAnsi="Arial" w:cs="Arial"/>
          <w:sz w:val="20"/>
          <w:szCs w:val="20"/>
        </w:rPr>
      </w:pPr>
      <w:proofErr w:type="spellStart"/>
      <w:r w:rsidRPr="004172AA">
        <w:rPr>
          <w:rFonts w:ascii="Arial" w:eastAsia="Arial" w:hAnsi="Arial" w:cs="Arial"/>
          <w:sz w:val="20"/>
          <w:szCs w:val="20"/>
        </w:rPr>
        <w:t>Nindartin</w:t>
      </w:r>
      <w:proofErr w:type="spellEnd"/>
      <w:r w:rsidRPr="004172AA">
        <w:rPr>
          <w:rFonts w:ascii="Arial" w:eastAsia="Arial" w:hAnsi="Arial" w:cs="Arial"/>
          <w:sz w:val="20"/>
          <w:szCs w:val="20"/>
        </w:rPr>
        <w:t xml:space="preserve">, A., Park, S. J., Lee, K. T., Kim, J. H., &amp; </w:t>
      </w:r>
      <w:proofErr w:type="spellStart"/>
      <w:r w:rsidRPr="004172AA">
        <w:rPr>
          <w:rFonts w:ascii="Arial" w:eastAsia="Arial" w:hAnsi="Arial" w:cs="Arial"/>
          <w:sz w:val="20"/>
          <w:szCs w:val="20"/>
        </w:rPr>
        <w:t>Rostiyanti</w:t>
      </w:r>
      <w:proofErr w:type="spellEnd"/>
      <w:r w:rsidRPr="004172AA">
        <w:rPr>
          <w:rFonts w:ascii="Arial" w:eastAsia="Arial" w:hAnsi="Arial" w:cs="Arial"/>
          <w:sz w:val="20"/>
          <w:szCs w:val="20"/>
        </w:rPr>
        <w:t xml:space="preserve">, S. F. (2025). Prediction of cost contingency in construction projects by introducing machine learning algorithms. Journal of Civil Engineering and Management, 31(8), 860-880. </w:t>
      </w:r>
      <w:hyperlink r:id="rId42" w:history="1">
        <w:r w:rsidRPr="004172AA">
          <w:rPr>
            <w:rStyle w:val="Hyperlink"/>
            <w:rFonts w:ascii="Arial" w:eastAsia="Arial" w:hAnsi="Arial" w:cs="Arial"/>
            <w:sz w:val="20"/>
            <w:szCs w:val="20"/>
          </w:rPr>
          <w:t>https://doi.org/10.3846/jcem.2025.24913</w:t>
        </w:r>
      </w:hyperlink>
      <w:r w:rsidRPr="004172AA">
        <w:rPr>
          <w:rFonts w:ascii="Arial" w:eastAsia="Arial" w:hAnsi="Arial" w:cs="Arial"/>
          <w:sz w:val="20"/>
          <w:szCs w:val="20"/>
        </w:rPr>
        <w:t xml:space="preserve"> </w:t>
      </w:r>
    </w:p>
    <w:p w14:paraId="11407BB8" w14:textId="27C0E86E" w:rsidR="005064AF" w:rsidRPr="005064AF" w:rsidRDefault="005064AF" w:rsidP="004172AA">
      <w:pPr>
        <w:jc w:val="both"/>
        <w:rPr>
          <w:rFonts w:ascii="Arial" w:eastAsia="Arial" w:hAnsi="Arial" w:cs="Arial"/>
          <w:color w:val="00B050"/>
          <w:sz w:val="20"/>
          <w:szCs w:val="20"/>
        </w:rPr>
      </w:pPr>
      <w:proofErr w:type="spellStart"/>
      <w:r w:rsidRPr="005064AF">
        <w:rPr>
          <w:rFonts w:ascii="Arial" w:eastAsia="Arial" w:hAnsi="Arial" w:cs="Arial"/>
          <w:color w:val="00B050"/>
          <w:sz w:val="20"/>
          <w:szCs w:val="20"/>
        </w:rPr>
        <w:t>Omrany</w:t>
      </w:r>
      <w:proofErr w:type="spellEnd"/>
      <w:r w:rsidRPr="005064AF">
        <w:rPr>
          <w:rFonts w:ascii="Arial" w:eastAsia="Arial" w:hAnsi="Arial" w:cs="Arial"/>
          <w:color w:val="00B050"/>
          <w:sz w:val="20"/>
          <w:szCs w:val="20"/>
        </w:rPr>
        <w:t xml:space="preserve">, H., Al-Obaidi, K. M., Husain, A., &amp; </w:t>
      </w:r>
      <w:proofErr w:type="spellStart"/>
      <w:r w:rsidRPr="005064AF">
        <w:rPr>
          <w:rFonts w:ascii="Arial" w:eastAsia="Arial" w:hAnsi="Arial" w:cs="Arial"/>
          <w:color w:val="00B050"/>
          <w:sz w:val="20"/>
          <w:szCs w:val="20"/>
        </w:rPr>
        <w:t>Ghaffarianhoseini</w:t>
      </w:r>
      <w:proofErr w:type="spellEnd"/>
      <w:r w:rsidRPr="005064AF">
        <w:rPr>
          <w:rFonts w:ascii="Arial" w:eastAsia="Arial" w:hAnsi="Arial" w:cs="Arial"/>
          <w:color w:val="00B050"/>
          <w:sz w:val="20"/>
          <w:szCs w:val="20"/>
        </w:rPr>
        <w:t xml:space="preserve">, A. (2023). Digital Twins in the Construction Industry: A Comprehensive Review of Current Implementations, Enabling Technologies, and Future Directions. Sustainability, 15(14), 10908. </w:t>
      </w:r>
      <w:hyperlink r:id="rId43" w:history="1">
        <w:r w:rsidRPr="005064AF">
          <w:rPr>
            <w:rStyle w:val="Hyperlink"/>
            <w:rFonts w:ascii="Arial" w:eastAsia="Arial" w:hAnsi="Arial" w:cs="Arial"/>
            <w:color w:val="00B050"/>
            <w:sz w:val="20"/>
            <w:szCs w:val="20"/>
          </w:rPr>
          <w:t>https://doi.org/10.3390/su151410908</w:t>
        </w:r>
      </w:hyperlink>
    </w:p>
    <w:p w14:paraId="66F523C6" w14:textId="69919650" w:rsidR="005C07DA" w:rsidRPr="004172AA" w:rsidRDefault="00F9019F" w:rsidP="004172AA">
      <w:pPr>
        <w:jc w:val="both"/>
        <w:rPr>
          <w:rFonts w:ascii="Arial" w:eastAsia="Arial" w:hAnsi="Arial" w:cs="Arial"/>
          <w:sz w:val="20"/>
          <w:szCs w:val="20"/>
        </w:rPr>
      </w:pPr>
      <w:proofErr w:type="spellStart"/>
      <w:r w:rsidRPr="004172AA">
        <w:rPr>
          <w:rFonts w:ascii="Arial" w:eastAsia="Arial" w:hAnsi="Arial" w:cs="Arial"/>
          <w:sz w:val="20"/>
          <w:szCs w:val="20"/>
        </w:rPr>
        <w:t>Peško</w:t>
      </w:r>
      <w:proofErr w:type="spellEnd"/>
      <w:r w:rsidRPr="004172AA">
        <w:rPr>
          <w:rFonts w:ascii="Arial" w:eastAsia="Arial" w:hAnsi="Arial" w:cs="Arial"/>
          <w:sz w:val="20"/>
          <w:szCs w:val="20"/>
        </w:rPr>
        <w:t xml:space="preserve">, I., </w:t>
      </w:r>
      <w:proofErr w:type="spellStart"/>
      <w:r w:rsidRPr="004172AA">
        <w:rPr>
          <w:rFonts w:ascii="Arial" w:eastAsia="Arial" w:hAnsi="Arial" w:cs="Arial"/>
          <w:sz w:val="20"/>
          <w:szCs w:val="20"/>
        </w:rPr>
        <w:t>Mučenski</w:t>
      </w:r>
      <w:proofErr w:type="spellEnd"/>
      <w:r w:rsidRPr="004172AA">
        <w:rPr>
          <w:rFonts w:ascii="Arial" w:eastAsia="Arial" w:hAnsi="Arial" w:cs="Arial"/>
          <w:sz w:val="20"/>
          <w:szCs w:val="20"/>
        </w:rPr>
        <w:t xml:space="preserve">, V., Šešlija, M., Radović, N., Vujkov, A., </w:t>
      </w:r>
      <w:proofErr w:type="spellStart"/>
      <w:r w:rsidRPr="004172AA">
        <w:rPr>
          <w:rFonts w:ascii="Arial" w:eastAsia="Arial" w:hAnsi="Arial" w:cs="Arial"/>
          <w:sz w:val="20"/>
          <w:szCs w:val="20"/>
        </w:rPr>
        <w:t>Bibić</w:t>
      </w:r>
      <w:proofErr w:type="spellEnd"/>
      <w:r w:rsidRPr="004172AA">
        <w:rPr>
          <w:rFonts w:ascii="Arial" w:eastAsia="Arial" w:hAnsi="Arial" w:cs="Arial"/>
          <w:sz w:val="20"/>
          <w:szCs w:val="20"/>
        </w:rPr>
        <w:t xml:space="preserve">, D., &amp; </w:t>
      </w:r>
      <w:proofErr w:type="spellStart"/>
      <w:r w:rsidRPr="004172AA">
        <w:rPr>
          <w:rFonts w:ascii="Arial" w:eastAsia="Arial" w:hAnsi="Arial" w:cs="Arial"/>
          <w:sz w:val="20"/>
          <w:szCs w:val="20"/>
        </w:rPr>
        <w:t>Krklješ</w:t>
      </w:r>
      <w:proofErr w:type="spellEnd"/>
      <w:r w:rsidRPr="004172AA">
        <w:rPr>
          <w:rFonts w:ascii="Arial" w:eastAsia="Arial" w:hAnsi="Arial" w:cs="Arial"/>
          <w:sz w:val="20"/>
          <w:szCs w:val="20"/>
        </w:rPr>
        <w:t xml:space="preserve">, M. (2017). Estimation of costs and durations of construction of urban roads using ANN and SVM. *Complexity*, *2017*(1), 2450370. </w:t>
      </w:r>
      <w:hyperlink r:id="rId44" w:history="1">
        <w:r w:rsidRPr="004172AA">
          <w:rPr>
            <w:rStyle w:val="Hyperlink"/>
            <w:rFonts w:ascii="Arial" w:eastAsia="Arial" w:hAnsi="Arial" w:cs="Arial"/>
            <w:sz w:val="20"/>
            <w:szCs w:val="20"/>
          </w:rPr>
          <w:t>https://doi.org/10.1155/2017/2450370</w:t>
        </w:r>
      </w:hyperlink>
      <w:r w:rsidRPr="004172AA">
        <w:rPr>
          <w:rFonts w:ascii="Arial" w:eastAsia="Arial" w:hAnsi="Arial" w:cs="Arial"/>
          <w:sz w:val="20"/>
          <w:szCs w:val="20"/>
        </w:rPr>
        <w:t xml:space="preserve"> </w:t>
      </w:r>
    </w:p>
    <w:p w14:paraId="656A514C" w14:textId="296EFF87" w:rsidR="005C07DA" w:rsidRPr="004172AA" w:rsidRDefault="0041311B" w:rsidP="004172AA">
      <w:pPr>
        <w:jc w:val="both"/>
        <w:rPr>
          <w:rFonts w:ascii="Arial" w:eastAsia="Arial" w:hAnsi="Arial" w:cs="Arial"/>
          <w:sz w:val="20"/>
          <w:szCs w:val="20"/>
        </w:rPr>
      </w:pPr>
      <w:proofErr w:type="spellStart"/>
      <w:r w:rsidRPr="004172AA">
        <w:rPr>
          <w:rFonts w:ascii="Arial" w:eastAsia="Arial" w:hAnsi="Arial" w:cs="Arial"/>
          <w:sz w:val="20"/>
          <w:szCs w:val="20"/>
        </w:rPr>
        <w:lastRenderedPageBreak/>
        <w:t>Peško</w:t>
      </w:r>
      <w:proofErr w:type="spellEnd"/>
      <w:r w:rsidRPr="004172AA">
        <w:rPr>
          <w:rFonts w:ascii="Arial" w:eastAsia="Arial" w:hAnsi="Arial" w:cs="Arial"/>
          <w:sz w:val="20"/>
          <w:szCs w:val="20"/>
        </w:rPr>
        <w:t xml:space="preserve">, I., </w:t>
      </w:r>
      <w:proofErr w:type="spellStart"/>
      <w:r w:rsidRPr="004172AA">
        <w:rPr>
          <w:rFonts w:ascii="Arial" w:eastAsia="Arial" w:hAnsi="Arial" w:cs="Arial"/>
          <w:sz w:val="20"/>
          <w:szCs w:val="20"/>
        </w:rPr>
        <w:t>Mučenski</w:t>
      </w:r>
      <w:proofErr w:type="spellEnd"/>
      <w:r w:rsidRPr="004172AA">
        <w:rPr>
          <w:rFonts w:ascii="Arial" w:eastAsia="Arial" w:hAnsi="Arial" w:cs="Arial"/>
          <w:sz w:val="20"/>
          <w:szCs w:val="20"/>
        </w:rPr>
        <w:t xml:space="preserve">, V., Šešlija, M., Radović, N., Vujkov, A., </w:t>
      </w:r>
      <w:proofErr w:type="spellStart"/>
      <w:r w:rsidRPr="004172AA">
        <w:rPr>
          <w:rFonts w:ascii="Arial" w:eastAsia="Arial" w:hAnsi="Arial" w:cs="Arial"/>
          <w:sz w:val="20"/>
          <w:szCs w:val="20"/>
        </w:rPr>
        <w:t>Bibić</w:t>
      </w:r>
      <w:proofErr w:type="spellEnd"/>
      <w:r w:rsidRPr="004172AA">
        <w:rPr>
          <w:rFonts w:ascii="Arial" w:eastAsia="Arial" w:hAnsi="Arial" w:cs="Arial"/>
          <w:sz w:val="20"/>
          <w:szCs w:val="20"/>
        </w:rPr>
        <w:t xml:space="preserve">, D., &amp; </w:t>
      </w:r>
      <w:proofErr w:type="spellStart"/>
      <w:r w:rsidRPr="004172AA">
        <w:rPr>
          <w:rFonts w:ascii="Arial" w:eastAsia="Arial" w:hAnsi="Arial" w:cs="Arial"/>
          <w:sz w:val="20"/>
          <w:szCs w:val="20"/>
        </w:rPr>
        <w:t>Krklješ</w:t>
      </w:r>
      <w:proofErr w:type="spellEnd"/>
      <w:r w:rsidRPr="004172AA">
        <w:rPr>
          <w:rFonts w:ascii="Arial" w:eastAsia="Arial" w:hAnsi="Arial" w:cs="Arial"/>
          <w:sz w:val="20"/>
          <w:szCs w:val="20"/>
        </w:rPr>
        <w:t xml:space="preserve">, M. (2017). Estimation of costs and durations of construction of urban roads using ANN and SVM. *Complexity*, *2017*(1), 2450370. </w:t>
      </w:r>
      <w:hyperlink r:id="rId45" w:history="1">
        <w:r w:rsidRPr="004172AA">
          <w:rPr>
            <w:rStyle w:val="Hyperlink"/>
            <w:rFonts w:ascii="Arial" w:eastAsia="Arial" w:hAnsi="Arial" w:cs="Arial"/>
            <w:sz w:val="20"/>
            <w:szCs w:val="20"/>
          </w:rPr>
          <w:t>https://doi.org/10.1155/2017/2450370</w:t>
        </w:r>
      </w:hyperlink>
      <w:r w:rsidRPr="004172AA">
        <w:rPr>
          <w:rFonts w:ascii="Arial" w:eastAsia="Arial" w:hAnsi="Arial" w:cs="Arial"/>
          <w:sz w:val="20"/>
          <w:szCs w:val="20"/>
        </w:rPr>
        <w:t xml:space="preserve"> </w:t>
      </w:r>
    </w:p>
    <w:p w14:paraId="3ABDBFCE" w14:textId="0888F917" w:rsidR="005C07DA" w:rsidRPr="004172AA" w:rsidRDefault="007A6B1E" w:rsidP="004172AA">
      <w:pPr>
        <w:jc w:val="both"/>
        <w:rPr>
          <w:rFonts w:ascii="Arial" w:eastAsia="Arial" w:hAnsi="Arial" w:cs="Arial"/>
          <w:sz w:val="20"/>
          <w:szCs w:val="20"/>
        </w:rPr>
      </w:pPr>
      <w:proofErr w:type="spellStart"/>
      <w:r w:rsidRPr="004172AA">
        <w:rPr>
          <w:rFonts w:ascii="Arial" w:eastAsia="Arial" w:hAnsi="Arial" w:cs="Arial"/>
          <w:sz w:val="20"/>
          <w:szCs w:val="20"/>
        </w:rPr>
        <w:t>Piryonesi</w:t>
      </w:r>
      <w:proofErr w:type="spellEnd"/>
      <w:r w:rsidRPr="004172AA">
        <w:rPr>
          <w:rFonts w:ascii="Arial" w:eastAsia="Arial" w:hAnsi="Arial" w:cs="Arial"/>
          <w:sz w:val="20"/>
          <w:szCs w:val="20"/>
        </w:rPr>
        <w:t>, S. M., &amp; El-</w:t>
      </w:r>
      <w:proofErr w:type="spellStart"/>
      <w:r w:rsidRPr="004172AA">
        <w:rPr>
          <w:rFonts w:ascii="Arial" w:eastAsia="Arial" w:hAnsi="Arial" w:cs="Arial"/>
          <w:sz w:val="20"/>
          <w:szCs w:val="20"/>
        </w:rPr>
        <w:t>Diraby</w:t>
      </w:r>
      <w:proofErr w:type="spellEnd"/>
      <w:r w:rsidRPr="004172AA">
        <w:rPr>
          <w:rFonts w:ascii="Arial" w:eastAsia="Arial" w:hAnsi="Arial" w:cs="Arial"/>
          <w:sz w:val="20"/>
          <w:szCs w:val="20"/>
        </w:rPr>
        <w:t xml:space="preserve">, T. E. (2020). Role of data analytics in infrastructure asset management: Overcoming data size and quality problems. Journal of Transportation Engineering, Part B: Pavements, 146(2), 04020022. </w:t>
      </w:r>
      <w:hyperlink r:id="rId46" w:history="1">
        <w:r w:rsidRPr="004172AA">
          <w:rPr>
            <w:rStyle w:val="Hyperlink"/>
            <w:rFonts w:ascii="Arial" w:eastAsia="Arial" w:hAnsi="Arial" w:cs="Arial"/>
            <w:sz w:val="20"/>
            <w:szCs w:val="20"/>
          </w:rPr>
          <w:t>https://doi.org/10.1061/JPEODX.0000175</w:t>
        </w:r>
      </w:hyperlink>
      <w:r w:rsidRPr="004172AA">
        <w:rPr>
          <w:rFonts w:ascii="Arial" w:eastAsia="Arial" w:hAnsi="Arial" w:cs="Arial"/>
          <w:sz w:val="20"/>
          <w:szCs w:val="20"/>
        </w:rPr>
        <w:t xml:space="preserve"> </w:t>
      </w:r>
    </w:p>
    <w:p w14:paraId="1C740A98" w14:textId="2CF74004" w:rsidR="005C07DA" w:rsidRPr="004172AA" w:rsidRDefault="00FD3F62" w:rsidP="004172AA">
      <w:pPr>
        <w:jc w:val="both"/>
        <w:rPr>
          <w:rFonts w:ascii="Arial" w:eastAsia="Arial" w:hAnsi="Arial" w:cs="Arial"/>
          <w:sz w:val="20"/>
          <w:szCs w:val="20"/>
        </w:rPr>
      </w:pPr>
      <w:r w:rsidRPr="004172AA">
        <w:rPr>
          <w:rFonts w:ascii="Arial" w:eastAsia="Arial" w:hAnsi="Arial" w:cs="Arial"/>
          <w:sz w:val="20"/>
          <w:szCs w:val="20"/>
        </w:rPr>
        <w:t xml:space="preserve">Precious, D. (2025). Infrastructure project cost overrun and schedule delay in Ghana: Is it an issue of resource misallocation or financial </w:t>
      </w:r>
      <w:proofErr w:type="gramStart"/>
      <w:r w:rsidRPr="004172AA">
        <w:rPr>
          <w:rFonts w:ascii="Arial" w:eastAsia="Arial" w:hAnsi="Arial" w:cs="Arial"/>
          <w:sz w:val="20"/>
          <w:szCs w:val="20"/>
        </w:rPr>
        <w:t>constraints?.</w:t>
      </w:r>
      <w:proofErr w:type="gramEnd"/>
      <w:r w:rsidRPr="004172AA">
        <w:rPr>
          <w:rFonts w:ascii="Arial" w:eastAsia="Arial" w:hAnsi="Arial" w:cs="Arial"/>
          <w:sz w:val="20"/>
          <w:szCs w:val="20"/>
        </w:rPr>
        <w:t xml:space="preserve"> Project Leadership and Society. </w:t>
      </w:r>
      <w:hyperlink r:id="rId47" w:history="1">
        <w:r w:rsidRPr="004172AA">
          <w:rPr>
            <w:rStyle w:val="Hyperlink"/>
            <w:rFonts w:ascii="Arial" w:eastAsia="Arial" w:hAnsi="Arial" w:cs="Arial"/>
            <w:sz w:val="20"/>
            <w:szCs w:val="20"/>
          </w:rPr>
          <w:t>https://doi.org/10.1016/j.plas.2025.100188</w:t>
        </w:r>
      </w:hyperlink>
      <w:r w:rsidRPr="004172AA">
        <w:rPr>
          <w:rFonts w:ascii="Arial" w:eastAsia="Arial" w:hAnsi="Arial" w:cs="Arial"/>
          <w:sz w:val="20"/>
          <w:szCs w:val="20"/>
        </w:rPr>
        <w:t xml:space="preserve"> </w:t>
      </w:r>
    </w:p>
    <w:p w14:paraId="2AC72B02" w14:textId="74A07E6D" w:rsidR="005C07DA" w:rsidRPr="004172AA" w:rsidRDefault="000873E6" w:rsidP="004172AA">
      <w:pPr>
        <w:jc w:val="both"/>
        <w:rPr>
          <w:rFonts w:ascii="Arial" w:eastAsia="Arial" w:hAnsi="Arial" w:cs="Arial"/>
          <w:sz w:val="20"/>
          <w:szCs w:val="20"/>
        </w:rPr>
      </w:pPr>
      <w:proofErr w:type="spellStart"/>
      <w:r w:rsidRPr="004172AA">
        <w:rPr>
          <w:rFonts w:ascii="Arial" w:eastAsia="Arial" w:hAnsi="Arial" w:cs="Arial"/>
          <w:sz w:val="20"/>
          <w:szCs w:val="20"/>
        </w:rPr>
        <w:t>Rafiei</w:t>
      </w:r>
      <w:proofErr w:type="spellEnd"/>
      <w:r w:rsidRPr="004172AA">
        <w:rPr>
          <w:rFonts w:ascii="Arial" w:eastAsia="Arial" w:hAnsi="Arial" w:cs="Arial"/>
          <w:sz w:val="20"/>
          <w:szCs w:val="20"/>
        </w:rPr>
        <w:t xml:space="preserve">, M. H., &amp; Adeli, H. (2018). Novel machine-learning model for estimating construction costs considering economic variables and indexes. Journal of Construction Engineering and Management, 144(12), 04018106. </w:t>
      </w:r>
      <w:hyperlink r:id="rId48" w:history="1">
        <w:r w:rsidRPr="004172AA">
          <w:rPr>
            <w:rStyle w:val="Hyperlink"/>
            <w:rFonts w:ascii="Arial" w:eastAsia="Arial" w:hAnsi="Arial" w:cs="Arial"/>
            <w:sz w:val="20"/>
            <w:szCs w:val="20"/>
          </w:rPr>
          <w:t>https://doi.org/10.1061/(ASCE)CO.1943-7862.0001570</w:t>
        </w:r>
      </w:hyperlink>
      <w:r w:rsidRPr="004172AA">
        <w:rPr>
          <w:rFonts w:ascii="Arial" w:eastAsia="Arial" w:hAnsi="Arial" w:cs="Arial"/>
          <w:sz w:val="20"/>
          <w:szCs w:val="20"/>
        </w:rPr>
        <w:t xml:space="preserve"> </w:t>
      </w:r>
    </w:p>
    <w:p w14:paraId="35C9B1A3" w14:textId="0CF593C8" w:rsidR="005C07DA" w:rsidRPr="004172AA" w:rsidRDefault="00C67E14" w:rsidP="004172AA">
      <w:pPr>
        <w:jc w:val="both"/>
        <w:rPr>
          <w:rFonts w:ascii="Arial" w:eastAsia="Arial" w:hAnsi="Arial" w:cs="Arial"/>
          <w:sz w:val="20"/>
          <w:szCs w:val="20"/>
        </w:rPr>
      </w:pPr>
      <w:proofErr w:type="spellStart"/>
      <w:r w:rsidRPr="004172AA">
        <w:rPr>
          <w:rFonts w:ascii="Arial" w:eastAsia="Arial" w:hAnsi="Arial" w:cs="Arial"/>
          <w:sz w:val="20"/>
          <w:szCs w:val="20"/>
        </w:rPr>
        <w:t>Rajora</w:t>
      </w:r>
      <w:proofErr w:type="spellEnd"/>
      <w:r w:rsidRPr="004172AA">
        <w:rPr>
          <w:rFonts w:ascii="Arial" w:eastAsia="Arial" w:hAnsi="Arial" w:cs="Arial"/>
          <w:sz w:val="20"/>
          <w:szCs w:val="20"/>
        </w:rPr>
        <w:t>, G. L., Sanz</w:t>
      </w:r>
      <w:r w:rsidRPr="004172AA">
        <w:rPr>
          <w:rFonts w:ascii="Cambria Math" w:eastAsia="Arial" w:hAnsi="Cambria Math" w:cs="Cambria Math"/>
          <w:sz w:val="20"/>
          <w:szCs w:val="20"/>
        </w:rPr>
        <w:t>‐</w:t>
      </w:r>
      <w:r w:rsidRPr="004172AA">
        <w:rPr>
          <w:rFonts w:ascii="Arial" w:eastAsia="Arial" w:hAnsi="Arial" w:cs="Arial"/>
          <w:sz w:val="20"/>
          <w:szCs w:val="20"/>
        </w:rPr>
        <w:t xml:space="preserve">Bobi, M. A., </w:t>
      </w:r>
      <w:proofErr w:type="spellStart"/>
      <w:r w:rsidRPr="004172AA">
        <w:rPr>
          <w:rFonts w:ascii="Arial" w:eastAsia="Arial" w:hAnsi="Arial" w:cs="Arial"/>
          <w:sz w:val="20"/>
          <w:szCs w:val="20"/>
        </w:rPr>
        <w:t>Tjernberg</w:t>
      </w:r>
      <w:proofErr w:type="spellEnd"/>
      <w:r w:rsidRPr="004172AA">
        <w:rPr>
          <w:rFonts w:ascii="Arial" w:eastAsia="Arial" w:hAnsi="Arial" w:cs="Arial"/>
          <w:sz w:val="20"/>
          <w:szCs w:val="20"/>
        </w:rPr>
        <w:t>, L. B., &amp; Urrea Cabus, J. E. (2024). A review of asset management using artificial intelligence</w:t>
      </w:r>
      <w:r w:rsidRPr="004172AA">
        <w:rPr>
          <w:rFonts w:ascii="Cambria Math" w:eastAsia="Arial" w:hAnsi="Cambria Math" w:cs="Cambria Math"/>
          <w:sz w:val="20"/>
          <w:szCs w:val="20"/>
        </w:rPr>
        <w:t>‐</w:t>
      </w:r>
      <w:r w:rsidRPr="004172AA">
        <w:rPr>
          <w:rFonts w:ascii="Arial" w:eastAsia="Arial" w:hAnsi="Arial" w:cs="Arial"/>
          <w:sz w:val="20"/>
          <w:szCs w:val="20"/>
        </w:rPr>
        <w:t xml:space="preserve">based machine learning models: Applications for the electric power and energy system. IET Generation, Transmission &amp; Distribution, 18(12), 2155-2170. </w:t>
      </w:r>
      <w:hyperlink r:id="rId49" w:history="1">
        <w:r w:rsidRPr="004172AA">
          <w:rPr>
            <w:rStyle w:val="Hyperlink"/>
            <w:rFonts w:ascii="Arial" w:eastAsia="Arial" w:hAnsi="Arial" w:cs="Arial"/>
            <w:sz w:val="20"/>
            <w:szCs w:val="20"/>
          </w:rPr>
          <w:t>https://doi.org/10.1049/gtd2.13183</w:t>
        </w:r>
      </w:hyperlink>
      <w:r w:rsidRPr="004172AA">
        <w:rPr>
          <w:rFonts w:ascii="Arial" w:eastAsia="Arial" w:hAnsi="Arial" w:cs="Arial"/>
          <w:sz w:val="20"/>
          <w:szCs w:val="20"/>
        </w:rPr>
        <w:t xml:space="preserve"> </w:t>
      </w:r>
    </w:p>
    <w:p w14:paraId="15B07FC0" w14:textId="587A14E1" w:rsidR="005C07DA" w:rsidRPr="004172AA" w:rsidRDefault="005820AC" w:rsidP="004172AA">
      <w:pPr>
        <w:jc w:val="both"/>
        <w:rPr>
          <w:rFonts w:ascii="Arial" w:eastAsia="Arial" w:hAnsi="Arial" w:cs="Arial"/>
          <w:sz w:val="20"/>
          <w:szCs w:val="20"/>
        </w:rPr>
      </w:pPr>
      <w:proofErr w:type="spellStart"/>
      <w:r w:rsidRPr="004172AA">
        <w:rPr>
          <w:rFonts w:ascii="Arial" w:eastAsia="Arial" w:hAnsi="Arial" w:cs="Arial"/>
          <w:sz w:val="20"/>
          <w:szCs w:val="20"/>
        </w:rPr>
        <w:t>Regona</w:t>
      </w:r>
      <w:proofErr w:type="spellEnd"/>
      <w:r w:rsidRPr="004172AA">
        <w:rPr>
          <w:rFonts w:ascii="Arial" w:eastAsia="Arial" w:hAnsi="Arial" w:cs="Arial"/>
          <w:sz w:val="20"/>
          <w:szCs w:val="20"/>
        </w:rPr>
        <w:t xml:space="preserve">, M., </w:t>
      </w:r>
      <w:proofErr w:type="spellStart"/>
      <w:r w:rsidRPr="004172AA">
        <w:rPr>
          <w:rFonts w:ascii="Arial" w:eastAsia="Arial" w:hAnsi="Arial" w:cs="Arial"/>
          <w:sz w:val="20"/>
          <w:szCs w:val="20"/>
        </w:rPr>
        <w:t>Yigitcanlar</w:t>
      </w:r>
      <w:proofErr w:type="spellEnd"/>
      <w:r w:rsidRPr="004172AA">
        <w:rPr>
          <w:rFonts w:ascii="Arial" w:eastAsia="Arial" w:hAnsi="Arial" w:cs="Arial"/>
          <w:sz w:val="20"/>
          <w:szCs w:val="20"/>
        </w:rPr>
        <w:t xml:space="preserve">, T., Xia, B., &amp; Li, R. Y. M. (2022). Opportunities and adoption challenges of AI in the construction industry: A PRISMA review. Journal of open innovation: technology, market, and complexity, 8(1), 45. </w:t>
      </w:r>
      <w:hyperlink r:id="rId50" w:history="1">
        <w:r w:rsidRPr="004172AA">
          <w:rPr>
            <w:rStyle w:val="Hyperlink"/>
            <w:rFonts w:ascii="Arial" w:eastAsia="Arial" w:hAnsi="Arial" w:cs="Arial"/>
            <w:sz w:val="20"/>
            <w:szCs w:val="20"/>
          </w:rPr>
          <w:t>https://doi.org/10.3390/joitmc8010045</w:t>
        </w:r>
      </w:hyperlink>
      <w:r w:rsidRPr="004172AA">
        <w:rPr>
          <w:rFonts w:ascii="Arial" w:eastAsia="Arial" w:hAnsi="Arial" w:cs="Arial"/>
          <w:sz w:val="20"/>
          <w:szCs w:val="20"/>
        </w:rPr>
        <w:t xml:space="preserve"> </w:t>
      </w:r>
    </w:p>
    <w:p w14:paraId="2F21B1CE" w14:textId="7348AE10" w:rsidR="005C07DA" w:rsidRPr="004172AA" w:rsidRDefault="000E48EC" w:rsidP="004172AA">
      <w:pPr>
        <w:jc w:val="both"/>
        <w:rPr>
          <w:rFonts w:ascii="Arial" w:eastAsia="Arial" w:hAnsi="Arial" w:cs="Arial"/>
          <w:sz w:val="20"/>
          <w:szCs w:val="20"/>
        </w:rPr>
      </w:pPr>
      <w:proofErr w:type="spellStart"/>
      <w:r w:rsidRPr="004172AA">
        <w:rPr>
          <w:rFonts w:ascii="Arial" w:eastAsia="Arial" w:hAnsi="Arial" w:cs="Arial"/>
          <w:sz w:val="20"/>
          <w:szCs w:val="20"/>
        </w:rPr>
        <w:t>Shoar</w:t>
      </w:r>
      <w:proofErr w:type="spellEnd"/>
      <w:r w:rsidRPr="004172AA">
        <w:rPr>
          <w:rFonts w:ascii="Arial" w:eastAsia="Arial" w:hAnsi="Arial" w:cs="Arial"/>
          <w:sz w:val="20"/>
          <w:szCs w:val="20"/>
        </w:rPr>
        <w:t xml:space="preserve">, S., Chileshe, N., &amp; Edwards, J. D. (2022). Machine learning-aided engineering services' cost overruns prediction in high-rise residential building projects: Application of random forest regression. Journal of Building Engineering, 50, 104102. </w:t>
      </w:r>
      <w:hyperlink r:id="rId51" w:history="1">
        <w:r w:rsidRPr="004172AA">
          <w:rPr>
            <w:rStyle w:val="Hyperlink"/>
            <w:rFonts w:ascii="Arial" w:eastAsia="Arial" w:hAnsi="Arial" w:cs="Arial"/>
            <w:sz w:val="20"/>
            <w:szCs w:val="20"/>
          </w:rPr>
          <w:t>https://doi.org/10.1016/j.jobe.2022.104102</w:t>
        </w:r>
      </w:hyperlink>
      <w:r w:rsidRPr="004172AA">
        <w:rPr>
          <w:rFonts w:ascii="Arial" w:eastAsia="Arial" w:hAnsi="Arial" w:cs="Arial"/>
          <w:sz w:val="20"/>
          <w:szCs w:val="20"/>
        </w:rPr>
        <w:t xml:space="preserve"> </w:t>
      </w:r>
    </w:p>
    <w:p w14:paraId="3AAF097F" w14:textId="3117ACFB" w:rsidR="005C07DA" w:rsidRPr="004172AA" w:rsidRDefault="003A6370" w:rsidP="004172AA">
      <w:pPr>
        <w:jc w:val="both"/>
        <w:rPr>
          <w:rFonts w:ascii="Arial" w:eastAsia="Arial" w:hAnsi="Arial" w:cs="Arial"/>
          <w:sz w:val="20"/>
          <w:szCs w:val="20"/>
        </w:rPr>
      </w:pPr>
      <w:proofErr w:type="spellStart"/>
      <w:r w:rsidRPr="004172AA">
        <w:rPr>
          <w:rFonts w:ascii="Arial" w:eastAsia="Arial" w:hAnsi="Arial" w:cs="Arial"/>
          <w:sz w:val="20"/>
          <w:szCs w:val="20"/>
        </w:rPr>
        <w:t>Tayefeh</w:t>
      </w:r>
      <w:proofErr w:type="spellEnd"/>
      <w:r w:rsidRPr="004172AA">
        <w:rPr>
          <w:rFonts w:ascii="Arial" w:eastAsia="Arial" w:hAnsi="Arial" w:cs="Arial"/>
          <w:sz w:val="20"/>
          <w:szCs w:val="20"/>
        </w:rPr>
        <w:t xml:space="preserve"> Hashemi, S., </w:t>
      </w:r>
      <w:proofErr w:type="spellStart"/>
      <w:r w:rsidRPr="004172AA">
        <w:rPr>
          <w:rFonts w:ascii="Arial" w:eastAsia="Arial" w:hAnsi="Arial" w:cs="Arial"/>
          <w:sz w:val="20"/>
          <w:szCs w:val="20"/>
        </w:rPr>
        <w:t>Ebadati</w:t>
      </w:r>
      <w:proofErr w:type="spellEnd"/>
      <w:r w:rsidRPr="004172AA">
        <w:rPr>
          <w:rFonts w:ascii="Arial" w:eastAsia="Arial" w:hAnsi="Arial" w:cs="Arial"/>
          <w:sz w:val="20"/>
          <w:szCs w:val="20"/>
        </w:rPr>
        <w:t xml:space="preserve">, O. M., &amp; Kaur, H. (2020). Cost estimation and prediction in construction projects: A systematic review on machine learning techniques. SN Applied Sciences, 2(10), 1703. </w:t>
      </w:r>
      <w:hyperlink r:id="rId52" w:history="1">
        <w:r w:rsidRPr="004172AA">
          <w:rPr>
            <w:rStyle w:val="Hyperlink"/>
            <w:rFonts w:ascii="Arial" w:eastAsia="Arial" w:hAnsi="Arial" w:cs="Arial"/>
            <w:sz w:val="20"/>
            <w:szCs w:val="20"/>
          </w:rPr>
          <w:t>https://doi.org/10.1007/s42452-020-03497-1</w:t>
        </w:r>
      </w:hyperlink>
      <w:r w:rsidRPr="004172AA">
        <w:rPr>
          <w:rFonts w:ascii="Arial" w:eastAsia="Arial" w:hAnsi="Arial" w:cs="Arial"/>
          <w:sz w:val="20"/>
          <w:szCs w:val="20"/>
        </w:rPr>
        <w:t xml:space="preserve"> </w:t>
      </w:r>
    </w:p>
    <w:p w14:paraId="680C28EC" w14:textId="5AF512A3" w:rsidR="005C07DA" w:rsidRPr="004172AA" w:rsidRDefault="00C41531" w:rsidP="004172AA">
      <w:pPr>
        <w:jc w:val="both"/>
        <w:rPr>
          <w:rFonts w:ascii="Arial" w:eastAsia="Arial" w:hAnsi="Arial" w:cs="Arial"/>
          <w:sz w:val="20"/>
          <w:szCs w:val="20"/>
        </w:rPr>
      </w:pPr>
      <w:proofErr w:type="spellStart"/>
      <w:r w:rsidRPr="004172AA">
        <w:rPr>
          <w:rFonts w:ascii="Arial" w:eastAsia="Arial" w:hAnsi="Arial" w:cs="Arial"/>
          <w:sz w:val="20"/>
          <w:szCs w:val="20"/>
        </w:rPr>
        <w:t>Tamagusko</w:t>
      </w:r>
      <w:proofErr w:type="spellEnd"/>
      <w:r w:rsidRPr="004172AA">
        <w:rPr>
          <w:rFonts w:ascii="Arial" w:eastAsia="Arial" w:hAnsi="Arial" w:cs="Arial"/>
          <w:sz w:val="20"/>
          <w:szCs w:val="20"/>
        </w:rPr>
        <w:t xml:space="preserve">, T., Gomes Correia, M., &amp; Ferreira, A. (2024). Machine Learning Applications in Road Pavement Management: A Review, Challenges and Future Directions. Infrastructures, 9(12), 213. </w:t>
      </w:r>
      <w:hyperlink r:id="rId53" w:history="1">
        <w:r w:rsidRPr="004172AA">
          <w:rPr>
            <w:rStyle w:val="Hyperlink"/>
            <w:rFonts w:ascii="Arial" w:eastAsia="Arial" w:hAnsi="Arial" w:cs="Arial"/>
            <w:sz w:val="20"/>
            <w:szCs w:val="20"/>
          </w:rPr>
          <w:t>https://doi.org/10.3390/infrastructures9120213</w:t>
        </w:r>
      </w:hyperlink>
      <w:r w:rsidRPr="004172AA">
        <w:rPr>
          <w:rFonts w:ascii="Arial" w:eastAsia="Arial" w:hAnsi="Arial" w:cs="Arial"/>
          <w:sz w:val="20"/>
          <w:szCs w:val="20"/>
        </w:rPr>
        <w:t xml:space="preserve"> </w:t>
      </w:r>
    </w:p>
    <w:p w14:paraId="1447CC62" w14:textId="499DF087" w:rsidR="00711A89" w:rsidRPr="00711A89" w:rsidRDefault="00711A89" w:rsidP="004172AA">
      <w:pPr>
        <w:jc w:val="both"/>
        <w:rPr>
          <w:rFonts w:ascii="Arial" w:eastAsia="Arial" w:hAnsi="Arial" w:cs="Arial"/>
          <w:color w:val="00B050"/>
          <w:sz w:val="20"/>
          <w:szCs w:val="20"/>
        </w:rPr>
      </w:pPr>
      <w:r w:rsidRPr="00711A89">
        <w:rPr>
          <w:rFonts w:ascii="Arial" w:eastAsia="Arial" w:hAnsi="Arial" w:cs="Arial"/>
          <w:color w:val="00B050"/>
          <w:sz w:val="20"/>
          <w:szCs w:val="20"/>
        </w:rPr>
        <w:t>Tuhaise, V. V., Tah, J. H. M., &amp; Abanda, F. H. (2023). Technologies for digital twin applications in construction. </w:t>
      </w:r>
      <w:r w:rsidRPr="00711A89">
        <w:rPr>
          <w:rFonts w:ascii="Arial" w:eastAsia="Arial" w:hAnsi="Arial" w:cs="Arial"/>
          <w:i/>
          <w:iCs/>
          <w:color w:val="00B050"/>
          <w:sz w:val="20"/>
          <w:szCs w:val="20"/>
        </w:rPr>
        <w:t>Automation in Construction</w:t>
      </w:r>
      <w:r w:rsidRPr="00711A89">
        <w:rPr>
          <w:rFonts w:ascii="Arial" w:eastAsia="Arial" w:hAnsi="Arial" w:cs="Arial"/>
          <w:color w:val="00B050"/>
          <w:sz w:val="20"/>
          <w:szCs w:val="20"/>
        </w:rPr>
        <w:t>, </w:t>
      </w:r>
      <w:r w:rsidRPr="00711A89">
        <w:rPr>
          <w:rFonts w:ascii="Arial" w:eastAsia="Arial" w:hAnsi="Arial" w:cs="Arial"/>
          <w:i/>
          <w:iCs/>
          <w:color w:val="00B050"/>
          <w:sz w:val="20"/>
          <w:szCs w:val="20"/>
        </w:rPr>
        <w:t>152</w:t>
      </w:r>
      <w:r w:rsidRPr="00711A89">
        <w:rPr>
          <w:rFonts w:ascii="Arial" w:eastAsia="Arial" w:hAnsi="Arial" w:cs="Arial"/>
          <w:color w:val="00B050"/>
          <w:sz w:val="20"/>
          <w:szCs w:val="20"/>
        </w:rPr>
        <w:t>, 104931.</w:t>
      </w:r>
      <w:r w:rsidRPr="00711A89">
        <w:rPr>
          <w:rFonts w:ascii="Arial" w:eastAsia="Arial" w:hAnsi="Arial" w:cs="Arial"/>
          <w:color w:val="00B050"/>
          <w:sz w:val="20"/>
          <w:szCs w:val="20"/>
        </w:rPr>
        <w:t xml:space="preserve"> </w:t>
      </w:r>
      <w:hyperlink r:id="rId54" w:tgtFrame="_blank" w:tooltip="Persistent link using digital object identifier" w:history="1">
        <w:r w:rsidRPr="00711A89">
          <w:rPr>
            <w:rStyle w:val="Hyperlink"/>
            <w:rFonts w:ascii="Arial" w:eastAsia="Arial" w:hAnsi="Arial" w:cs="Arial"/>
            <w:color w:val="00B050"/>
            <w:sz w:val="20"/>
            <w:szCs w:val="20"/>
          </w:rPr>
          <w:t>https://doi.org/10.1016/j.autcon.2023.104931</w:t>
        </w:r>
      </w:hyperlink>
    </w:p>
    <w:p w14:paraId="031420BE" w14:textId="29D7B295" w:rsidR="005064AF" w:rsidRPr="005064AF" w:rsidRDefault="005064AF" w:rsidP="004172AA">
      <w:pPr>
        <w:jc w:val="both"/>
        <w:rPr>
          <w:rFonts w:ascii="Arial" w:eastAsia="Arial" w:hAnsi="Arial" w:cs="Arial"/>
          <w:color w:val="00B050"/>
          <w:sz w:val="20"/>
          <w:szCs w:val="20"/>
        </w:rPr>
      </w:pPr>
      <w:r w:rsidRPr="005064AF">
        <w:rPr>
          <w:rFonts w:ascii="Arial" w:eastAsia="Arial" w:hAnsi="Arial" w:cs="Arial"/>
          <w:color w:val="00B050"/>
          <w:sz w:val="20"/>
          <w:szCs w:val="20"/>
        </w:rPr>
        <w:t xml:space="preserve">Wang, M., Ashour, M., Mahdiyar, A., &amp; Sabri, S. (2024). Opportunities and Threats of Adopting Digital Twin in Construction Projects: A Review. Buildings, 14(8), 2349. </w:t>
      </w:r>
      <w:hyperlink r:id="rId55" w:history="1">
        <w:r w:rsidRPr="005064AF">
          <w:rPr>
            <w:rStyle w:val="Hyperlink"/>
            <w:rFonts w:ascii="Arial" w:eastAsia="Arial" w:hAnsi="Arial" w:cs="Arial"/>
            <w:color w:val="00B050"/>
            <w:sz w:val="20"/>
            <w:szCs w:val="20"/>
          </w:rPr>
          <w:t>https://doi.org/10.3390/buildings14082349</w:t>
        </w:r>
      </w:hyperlink>
    </w:p>
    <w:p w14:paraId="358AD321" w14:textId="7018D0EE" w:rsidR="005C07DA" w:rsidRPr="004172AA" w:rsidRDefault="007248FE" w:rsidP="004172AA">
      <w:pPr>
        <w:jc w:val="both"/>
        <w:rPr>
          <w:rFonts w:ascii="Arial" w:eastAsia="Arial" w:hAnsi="Arial" w:cs="Arial"/>
          <w:sz w:val="20"/>
          <w:szCs w:val="20"/>
        </w:rPr>
      </w:pPr>
      <w:r w:rsidRPr="004172AA">
        <w:rPr>
          <w:rFonts w:ascii="Arial" w:eastAsia="Arial" w:hAnsi="Arial" w:cs="Arial"/>
          <w:sz w:val="20"/>
          <w:szCs w:val="20"/>
        </w:rPr>
        <w:t xml:space="preserve">Wang, Y., Ning, X., Zhen, D., Yong, W., &amp; Zhang, H. (2023). Research on construction project cost prediction model based on recurrent neural network. In SHS Web of Conferences (Vol. 170, p. 02009). EDP Sciences. </w:t>
      </w:r>
      <w:hyperlink r:id="rId56" w:history="1">
        <w:r w:rsidRPr="004172AA">
          <w:rPr>
            <w:rStyle w:val="Hyperlink"/>
            <w:rFonts w:ascii="Arial" w:eastAsia="Arial" w:hAnsi="Arial" w:cs="Arial"/>
            <w:sz w:val="20"/>
            <w:szCs w:val="20"/>
          </w:rPr>
          <w:t>https://doi.org/10.1051/shsconf/202317002009</w:t>
        </w:r>
      </w:hyperlink>
      <w:r w:rsidRPr="004172AA">
        <w:rPr>
          <w:rFonts w:ascii="Arial" w:eastAsia="Arial" w:hAnsi="Arial" w:cs="Arial"/>
          <w:sz w:val="20"/>
          <w:szCs w:val="20"/>
        </w:rPr>
        <w:t xml:space="preserve"> </w:t>
      </w:r>
    </w:p>
    <w:p w14:paraId="29D27A52" w14:textId="3A4976B0" w:rsidR="005C07DA" w:rsidRPr="004172AA" w:rsidRDefault="00914633" w:rsidP="004172AA">
      <w:pPr>
        <w:jc w:val="both"/>
        <w:rPr>
          <w:rFonts w:ascii="Arial" w:eastAsia="Arial" w:hAnsi="Arial" w:cs="Arial"/>
          <w:sz w:val="20"/>
          <w:szCs w:val="20"/>
        </w:rPr>
      </w:pPr>
      <w:proofErr w:type="spellStart"/>
      <w:r w:rsidRPr="004172AA">
        <w:rPr>
          <w:rFonts w:ascii="Arial" w:eastAsia="Arial" w:hAnsi="Arial" w:cs="Arial"/>
          <w:sz w:val="20"/>
          <w:szCs w:val="20"/>
        </w:rPr>
        <w:lastRenderedPageBreak/>
        <w:t>Wuni</w:t>
      </w:r>
      <w:proofErr w:type="spellEnd"/>
      <w:r w:rsidRPr="004172AA">
        <w:rPr>
          <w:rFonts w:ascii="Arial" w:eastAsia="Arial" w:hAnsi="Arial" w:cs="Arial"/>
          <w:sz w:val="20"/>
          <w:szCs w:val="20"/>
        </w:rPr>
        <w:t xml:space="preserve">, I. Y. (2025). Critical success factors for implementing artificial intelligence in construction projects: A systematic review and social network analysis. Engineering Applications of Artificial Intelligence, 156, 111192. </w:t>
      </w:r>
      <w:hyperlink r:id="rId57" w:history="1">
        <w:r w:rsidRPr="004172AA">
          <w:rPr>
            <w:rStyle w:val="Hyperlink"/>
            <w:rFonts w:ascii="Arial" w:eastAsia="Arial" w:hAnsi="Arial" w:cs="Arial"/>
            <w:sz w:val="20"/>
            <w:szCs w:val="20"/>
          </w:rPr>
          <w:t>https://doi.org/10.1016/j.engappai.2025.111192</w:t>
        </w:r>
      </w:hyperlink>
      <w:r w:rsidRPr="004172AA">
        <w:rPr>
          <w:rFonts w:ascii="Arial" w:eastAsia="Arial" w:hAnsi="Arial" w:cs="Arial"/>
          <w:sz w:val="20"/>
          <w:szCs w:val="20"/>
        </w:rPr>
        <w:t xml:space="preserve"> </w:t>
      </w:r>
    </w:p>
    <w:p w14:paraId="0AAB73C2" w14:textId="2171DBD9" w:rsidR="005C07DA" w:rsidRPr="004172AA" w:rsidRDefault="00C17805" w:rsidP="004172AA">
      <w:pPr>
        <w:jc w:val="both"/>
        <w:rPr>
          <w:rFonts w:ascii="Arial" w:eastAsia="Arial" w:hAnsi="Arial" w:cs="Arial"/>
          <w:sz w:val="20"/>
          <w:szCs w:val="20"/>
        </w:rPr>
      </w:pPr>
      <w:r w:rsidRPr="004172AA">
        <w:rPr>
          <w:rFonts w:ascii="Arial" w:eastAsia="Arial" w:hAnsi="Arial" w:cs="Arial"/>
          <w:sz w:val="20"/>
          <w:szCs w:val="20"/>
        </w:rPr>
        <w:t xml:space="preserve">Yan, H., He, Z., Gao, C., Xie, M., Sheng, H., &amp; Chen, H. (2022). Investment estimation of prefabricated concrete buildings based on </w:t>
      </w:r>
      <w:proofErr w:type="spellStart"/>
      <w:r w:rsidRPr="004172AA">
        <w:rPr>
          <w:rFonts w:ascii="Arial" w:eastAsia="Arial" w:hAnsi="Arial" w:cs="Arial"/>
          <w:sz w:val="20"/>
          <w:szCs w:val="20"/>
        </w:rPr>
        <w:t>XGBoost</w:t>
      </w:r>
      <w:proofErr w:type="spellEnd"/>
      <w:r w:rsidRPr="004172AA">
        <w:rPr>
          <w:rFonts w:ascii="Arial" w:eastAsia="Arial" w:hAnsi="Arial" w:cs="Arial"/>
          <w:sz w:val="20"/>
          <w:szCs w:val="20"/>
        </w:rPr>
        <w:t xml:space="preserve"> machine learning algorithm. Advanced Engineering Informatics, 54, 101789. </w:t>
      </w:r>
      <w:hyperlink r:id="rId58" w:history="1">
        <w:r w:rsidRPr="004172AA">
          <w:rPr>
            <w:rStyle w:val="Hyperlink"/>
            <w:rFonts w:ascii="Arial" w:eastAsia="Arial" w:hAnsi="Arial" w:cs="Arial"/>
            <w:sz w:val="20"/>
            <w:szCs w:val="20"/>
          </w:rPr>
          <w:t>https://doi.org/10.1016/j.aei.2022.101789</w:t>
        </w:r>
      </w:hyperlink>
      <w:r w:rsidRPr="004172AA">
        <w:rPr>
          <w:rFonts w:ascii="Arial" w:eastAsia="Arial" w:hAnsi="Arial" w:cs="Arial"/>
          <w:sz w:val="20"/>
          <w:szCs w:val="20"/>
        </w:rPr>
        <w:t xml:space="preserve"> </w:t>
      </w:r>
    </w:p>
    <w:p w14:paraId="6E849664" w14:textId="2D0F84F0" w:rsidR="005C07DA" w:rsidRPr="004172AA" w:rsidRDefault="007838AB" w:rsidP="004172AA">
      <w:pPr>
        <w:jc w:val="both"/>
        <w:rPr>
          <w:rFonts w:ascii="Arial" w:eastAsia="Arial" w:hAnsi="Arial" w:cs="Arial"/>
          <w:sz w:val="20"/>
          <w:szCs w:val="20"/>
        </w:rPr>
      </w:pPr>
      <w:r w:rsidRPr="004172AA">
        <w:rPr>
          <w:rFonts w:ascii="Arial" w:eastAsia="Arial" w:hAnsi="Arial" w:cs="Arial"/>
          <w:sz w:val="20"/>
          <w:szCs w:val="20"/>
        </w:rPr>
        <w:t xml:space="preserve">Yaseen, Z. M., Ali, Z. H., Salih, S. Q., &amp; Al-Ansari, N. (2020). Prediction of Risk Delay in Construction Projects Using a Hybrid Artificial Intelligence Model. Sustainability, 12(4), 1514. </w:t>
      </w:r>
      <w:hyperlink r:id="rId59" w:history="1">
        <w:r w:rsidRPr="004172AA">
          <w:rPr>
            <w:rStyle w:val="Hyperlink"/>
            <w:rFonts w:ascii="Arial" w:eastAsia="Arial" w:hAnsi="Arial" w:cs="Arial"/>
            <w:sz w:val="20"/>
            <w:szCs w:val="20"/>
          </w:rPr>
          <w:t>https://doi.org/10.3390/su12041514</w:t>
        </w:r>
      </w:hyperlink>
      <w:r w:rsidRPr="004172AA">
        <w:rPr>
          <w:rFonts w:ascii="Arial" w:eastAsia="Arial" w:hAnsi="Arial" w:cs="Arial"/>
          <w:sz w:val="20"/>
          <w:szCs w:val="20"/>
        </w:rPr>
        <w:t xml:space="preserve"> </w:t>
      </w:r>
    </w:p>
    <w:p w14:paraId="6F8A6E04" w14:textId="4BAE8191" w:rsidR="005C07DA" w:rsidRPr="004172AA" w:rsidRDefault="004B4E77" w:rsidP="004172AA">
      <w:pPr>
        <w:jc w:val="both"/>
        <w:rPr>
          <w:rFonts w:ascii="Arial" w:eastAsia="Arial" w:hAnsi="Arial" w:cs="Arial"/>
          <w:sz w:val="20"/>
          <w:szCs w:val="20"/>
        </w:rPr>
      </w:pPr>
      <w:r w:rsidRPr="004172AA">
        <w:rPr>
          <w:rFonts w:ascii="Arial" w:eastAsia="Arial" w:hAnsi="Arial" w:cs="Arial"/>
          <w:sz w:val="20"/>
          <w:szCs w:val="20"/>
        </w:rPr>
        <w:t xml:space="preserve">Zabala-Vargas, S., Jaimes-Quintanilla, M., &amp; Jimenez-Barrera, M. H. (2023). Big data, data science, and artificial intelligence for project management in the architecture, engineering, and construction industry: A systematic review. Buildings, 13(12), 2944. </w:t>
      </w:r>
      <w:hyperlink r:id="rId60" w:history="1">
        <w:r w:rsidRPr="004172AA">
          <w:rPr>
            <w:rStyle w:val="Hyperlink"/>
            <w:rFonts w:ascii="Arial" w:eastAsia="Arial" w:hAnsi="Arial" w:cs="Arial"/>
            <w:sz w:val="20"/>
            <w:szCs w:val="20"/>
          </w:rPr>
          <w:t>https://doi.org/10.3390/buildings13122944</w:t>
        </w:r>
      </w:hyperlink>
      <w:r w:rsidRPr="004172AA">
        <w:rPr>
          <w:rFonts w:ascii="Arial" w:eastAsia="Arial" w:hAnsi="Arial" w:cs="Arial"/>
          <w:sz w:val="20"/>
          <w:szCs w:val="20"/>
        </w:rPr>
        <w:t xml:space="preserve"> </w:t>
      </w:r>
    </w:p>
    <w:p w14:paraId="2CAB7AAD" w14:textId="629BAE3F" w:rsidR="005C07DA" w:rsidRPr="004172AA" w:rsidRDefault="00D72A1F" w:rsidP="004172AA">
      <w:pPr>
        <w:jc w:val="both"/>
        <w:rPr>
          <w:rFonts w:ascii="Arial" w:eastAsia="Arial" w:hAnsi="Arial" w:cs="Arial"/>
          <w:sz w:val="20"/>
          <w:szCs w:val="20"/>
        </w:rPr>
      </w:pPr>
      <w:proofErr w:type="spellStart"/>
      <w:r w:rsidRPr="004172AA">
        <w:rPr>
          <w:rFonts w:ascii="Arial" w:eastAsia="Arial" w:hAnsi="Arial" w:cs="Arial"/>
          <w:sz w:val="20"/>
          <w:szCs w:val="20"/>
        </w:rPr>
        <w:t>Zagia</w:t>
      </w:r>
      <w:proofErr w:type="spellEnd"/>
      <w:r w:rsidRPr="004172AA">
        <w:rPr>
          <w:rFonts w:ascii="Arial" w:eastAsia="Arial" w:hAnsi="Arial" w:cs="Arial"/>
          <w:sz w:val="20"/>
          <w:szCs w:val="20"/>
        </w:rPr>
        <w:t xml:space="preserve">, F., Kajewski, S., Omrani, S., &amp; </w:t>
      </w:r>
      <w:proofErr w:type="spellStart"/>
      <w:r w:rsidRPr="004172AA">
        <w:rPr>
          <w:rFonts w:ascii="Arial" w:eastAsia="Arial" w:hAnsi="Arial" w:cs="Arial"/>
          <w:sz w:val="20"/>
          <w:szCs w:val="20"/>
        </w:rPr>
        <w:t>Motamedisedeh</w:t>
      </w:r>
      <w:proofErr w:type="spellEnd"/>
      <w:r w:rsidRPr="004172AA">
        <w:rPr>
          <w:rFonts w:ascii="Arial" w:eastAsia="Arial" w:hAnsi="Arial" w:cs="Arial"/>
          <w:sz w:val="20"/>
          <w:szCs w:val="20"/>
        </w:rPr>
        <w:t xml:space="preserve">, O. (2025). Prioritizing the key causes of construction project delay in different countries: a cross-sectional analysis of different project types. International Journal of Construction Management, 1-26. </w:t>
      </w:r>
      <w:hyperlink r:id="rId61" w:history="1">
        <w:r w:rsidRPr="004172AA">
          <w:rPr>
            <w:rStyle w:val="Hyperlink"/>
            <w:rFonts w:ascii="Arial" w:eastAsia="Arial" w:hAnsi="Arial" w:cs="Arial"/>
            <w:sz w:val="20"/>
            <w:szCs w:val="20"/>
          </w:rPr>
          <w:t>https://doi.org/10.1080/15623599.2025.2568103</w:t>
        </w:r>
      </w:hyperlink>
      <w:r w:rsidRPr="004172AA">
        <w:rPr>
          <w:rFonts w:ascii="Arial" w:eastAsia="Arial" w:hAnsi="Arial" w:cs="Arial"/>
          <w:sz w:val="20"/>
          <w:szCs w:val="20"/>
        </w:rPr>
        <w:t xml:space="preserve"> </w:t>
      </w:r>
    </w:p>
    <w:p w14:paraId="498E15FD" w14:textId="0BEAF7C6" w:rsidR="005C07DA" w:rsidRPr="004172AA" w:rsidRDefault="00344C69" w:rsidP="004172AA">
      <w:pPr>
        <w:jc w:val="both"/>
        <w:rPr>
          <w:rFonts w:ascii="Arial" w:eastAsia="Arial" w:hAnsi="Arial" w:cs="Arial"/>
          <w:sz w:val="20"/>
          <w:szCs w:val="20"/>
        </w:rPr>
      </w:pPr>
      <w:r w:rsidRPr="004172AA">
        <w:rPr>
          <w:rFonts w:ascii="Arial" w:eastAsia="Arial" w:hAnsi="Arial" w:cs="Arial"/>
          <w:sz w:val="20"/>
          <w:szCs w:val="20"/>
        </w:rPr>
        <w:t xml:space="preserve">Zheng, Z., Zhou, L., Wu, H., &amp; Zhou, L. (2023). Construction cost prediction system based on Random Forest optimized by the Bird Swarm Algorithm. Mathematical Biosciences and Engineering. </w:t>
      </w:r>
      <w:hyperlink r:id="rId62" w:history="1">
        <w:r w:rsidRPr="004172AA">
          <w:rPr>
            <w:rStyle w:val="Hyperlink"/>
            <w:rFonts w:ascii="Arial" w:eastAsia="Arial" w:hAnsi="Arial" w:cs="Arial"/>
            <w:sz w:val="20"/>
            <w:szCs w:val="20"/>
          </w:rPr>
          <w:t>https://doi.org/10.3934/mbe.2023674</w:t>
        </w:r>
      </w:hyperlink>
      <w:r w:rsidRPr="004172AA">
        <w:rPr>
          <w:rFonts w:ascii="Arial" w:eastAsia="Arial" w:hAnsi="Arial" w:cs="Arial"/>
          <w:sz w:val="20"/>
          <w:szCs w:val="20"/>
        </w:rPr>
        <w:t xml:space="preserve"> </w:t>
      </w:r>
    </w:p>
    <w:p w14:paraId="6AEE6E43" w14:textId="77777777" w:rsidR="005C07DA" w:rsidRDefault="005C07DA">
      <w:pPr>
        <w:jc w:val="both"/>
        <w:rPr>
          <w:rFonts w:ascii="Arial" w:eastAsia="Arial" w:hAnsi="Arial" w:cs="Arial"/>
          <w:sz w:val="20"/>
          <w:szCs w:val="20"/>
        </w:rPr>
      </w:pPr>
    </w:p>
    <w:p w14:paraId="5808FAFF" w14:textId="77777777" w:rsidR="005C07DA" w:rsidRDefault="005C07DA">
      <w:pPr>
        <w:jc w:val="both"/>
        <w:rPr>
          <w:rFonts w:ascii="Arial" w:eastAsia="Arial" w:hAnsi="Arial" w:cs="Arial"/>
          <w:sz w:val="20"/>
          <w:szCs w:val="20"/>
        </w:rPr>
      </w:pPr>
    </w:p>
    <w:sectPr w:rsidR="005C07DA">
      <w:pgSz w:w="12240" w:h="15840"/>
      <w:pgMar w:top="1797" w:right="1440" w:bottom="1797"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654F49" w14:textId="77777777" w:rsidR="00EA27D9" w:rsidRDefault="00EA27D9" w:rsidP="005275D2">
      <w:pPr>
        <w:spacing w:after="0" w:line="240" w:lineRule="auto"/>
      </w:pPr>
      <w:r>
        <w:separator/>
      </w:r>
    </w:p>
  </w:endnote>
  <w:endnote w:type="continuationSeparator" w:id="0">
    <w:p w14:paraId="34141C01" w14:textId="77777777" w:rsidR="00EA27D9" w:rsidRDefault="00EA27D9" w:rsidP="00527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embedRegular r:id="rId1" w:fontKey="{920D9F9D-7E35-477D-9744-BA4F9CB1ED82}"/>
    <w:embedBold r:id="rId2" w:fontKey="{57DAEE76-9BB5-4C05-9D6C-17BE609630D1}"/>
  </w:font>
  <w:font w:name="Calibri">
    <w:panose1 w:val="020F0502020204030204"/>
    <w:charset w:val="00"/>
    <w:family w:val="swiss"/>
    <w:pitch w:val="variable"/>
    <w:sig w:usb0="E4002EFF" w:usb1="C000247B" w:usb2="00000009" w:usb3="00000000" w:csb0="000001FF" w:csb1="00000000"/>
    <w:embedRegular r:id="rId3" w:fontKey="{A9F0A0D6-4598-4E61-96DB-77017992FE74}"/>
    <w:embedBold r:id="rId4" w:fontKey="{B0CFD885-FC55-4E74-9B5B-6AD5A0B7CACA}"/>
    <w:embedItalic r:id="rId5" w:fontKey="{348357A5-C142-462A-B5E2-3B55C6998E8B}"/>
    <w:embedBoldItalic r:id="rId6" w:fontKey="{9C54AAB0-FD3E-481F-8A3F-C032D83C1805}"/>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Cambria Math">
    <w:panose1 w:val="02040503050406030204"/>
    <w:charset w:val="00"/>
    <w:family w:val="roman"/>
    <w:pitch w:val="variable"/>
    <w:sig w:usb0="E00006FF" w:usb1="420024FF" w:usb2="02000000" w:usb3="00000000" w:csb0="0000019F" w:csb1="00000000"/>
    <w:embedRegular r:id="rId7" w:fontKey="{5F56F449-71FD-4F72-AC82-DF3D6557B4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8846A" w14:textId="77777777" w:rsidR="005275D2" w:rsidRDefault="005275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969DA" w14:textId="77777777" w:rsidR="005275D2" w:rsidRDefault="005275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A8250" w14:textId="77777777" w:rsidR="005275D2" w:rsidRDefault="005275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AD47B4" w14:textId="77777777" w:rsidR="00EA27D9" w:rsidRDefault="00EA27D9" w:rsidP="005275D2">
      <w:pPr>
        <w:spacing w:after="0" w:line="240" w:lineRule="auto"/>
      </w:pPr>
      <w:r>
        <w:separator/>
      </w:r>
    </w:p>
  </w:footnote>
  <w:footnote w:type="continuationSeparator" w:id="0">
    <w:p w14:paraId="4622A365" w14:textId="77777777" w:rsidR="00EA27D9" w:rsidRDefault="00EA27D9" w:rsidP="005275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9FCFB" w14:textId="4454FEC9" w:rsidR="005275D2" w:rsidRDefault="00000000">
    <w:pPr>
      <w:pStyle w:val="Header"/>
    </w:pPr>
    <w:r>
      <w:rPr>
        <w:noProof/>
      </w:rPr>
      <w:pict w14:anchorId="1C8563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1469813" o:spid="_x0000_s1026" type="#_x0000_t136" style="position:absolute;margin-left:0;margin-top:0;width:585.35pt;height:74.45pt;rotation:315;z-index:-251655168;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39D14" w14:textId="65762D2F" w:rsidR="005275D2" w:rsidRDefault="00000000">
    <w:pPr>
      <w:pStyle w:val="Header"/>
    </w:pPr>
    <w:r>
      <w:rPr>
        <w:noProof/>
      </w:rPr>
      <w:pict w14:anchorId="2281B7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1469814" o:spid="_x0000_s1027" type="#_x0000_t136" style="position:absolute;margin-left:0;margin-top:0;width:585.35pt;height:74.45pt;rotation:315;z-index:-251653120;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9F95B" w14:textId="28D30332" w:rsidR="005275D2" w:rsidRDefault="00000000">
    <w:pPr>
      <w:pStyle w:val="Header"/>
    </w:pPr>
    <w:r>
      <w:rPr>
        <w:noProof/>
      </w:rPr>
      <w:pict w14:anchorId="747432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1469812" o:spid="_x0000_s1025" type="#_x0000_t136" style="position:absolute;margin-left:0;margin-top:0;width:585.35pt;height:74.45pt;rotation:315;z-index:-251657216;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653DFF"/>
    <w:multiLevelType w:val="multilevel"/>
    <w:tmpl w:val="61207D3C"/>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3C6A60E9"/>
    <w:multiLevelType w:val="hybridMultilevel"/>
    <w:tmpl w:val="392CBE0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69A954DF"/>
    <w:multiLevelType w:val="multilevel"/>
    <w:tmpl w:val="511AB266"/>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99676495">
    <w:abstractNumId w:val="0"/>
  </w:num>
  <w:num w:numId="2" w16cid:durableId="1095058050">
    <w:abstractNumId w:val="2"/>
  </w:num>
  <w:num w:numId="3" w16cid:durableId="19382947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07DA"/>
    <w:rsid w:val="000873E6"/>
    <w:rsid w:val="000900B5"/>
    <w:rsid w:val="000A457E"/>
    <w:rsid w:val="000E48EC"/>
    <w:rsid w:val="001254A2"/>
    <w:rsid w:val="00126D52"/>
    <w:rsid w:val="0016705F"/>
    <w:rsid w:val="001B65F5"/>
    <w:rsid w:val="00223074"/>
    <w:rsid w:val="002F2E3A"/>
    <w:rsid w:val="00343E21"/>
    <w:rsid w:val="00344C69"/>
    <w:rsid w:val="003A6370"/>
    <w:rsid w:val="003D62EF"/>
    <w:rsid w:val="0041311B"/>
    <w:rsid w:val="004172AA"/>
    <w:rsid w:val="0042770E"/>
    <w:rsid w:val="00487B13"/>
    <w:rsid w:val="004B4E77"/>
    <w:rsid w:val="005064AF"/>
    <w:rsid w:val="005275D2"/>
    <w:rsid w:val="005677E4"/>
    <w:rsid w:val="005752A6"/>
    <w:rsid w:val="005820AC"/>
    <w:rsid w:val="005C07DA"/>
    <w:rsid w:val="006C7D99"/>
    <w:rsid w:val="00711A89"/>
    <w:rsid w:val="00721CB9"/>
    <w:rsid w:val="007248FE"/>
    <w:rsid w:val="00737DD7"/>
    <w:rsid w:val="007838AB"/>
    <w:rsid w:val="007A6B1E"/>
    <w:rsid w:val="00866F07"/>
    <w:rsid w:val="00900DA4"/>
    <w:rsid w:val="00914633"/>
    <w:rsid w:val="00932239"/>
    <w:rsid w:val="00953D80"/>
    <w:rsid w:val="0095475E"/>
    <w:rsid w:val="009A78CE"/>
    <w:rsid w:val="009B69D7"/>
    <w:rsid w:val="00AC51A7"/>
    <w:rsid w:val="00AD16E1"/>
    <w:rsid w:val="00BC4899"/>
    <w:rsid w:val="00BE621C"/>
    <w:rsid w:val="00BF17EF"/>
    <w:rsid w:val="00C17805"/>
    <w:rsid w:val="00C41531"/>
    <w:rsid w:val="00C67E14"/>
    <w:rsid w:val="00CC3E47"/>
    <w:rsid w:val="00CD7063"/>
    <w:rsid w:val="00CE7991"/>
    <w:rsid w:val="00D672F7"/>
    <w:rsid w:val="00D72A1F"/>
    <w:rsid w:val="00D732C1"/>
    <w:rsid w:val="00E35320"/>
    <w:rsid w:val="00E76306"/>
    <w:rsid w:val="00E92D59"/>
    <w:rsid w:val="00EA27D9"/>
    <w:rsid w:val="00EC4597"/>
    <w:rsid w:val="00ED4E87"/>
    <w:rsid w:val="00F15187"/>
    <w:rsid w:val="00F664D4"/>
    <w:rsid w:val="00F9019F"/>
    <w:rsid w:val="00F934F4"/>
    <w:rsid w:val="00FD3F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C2BD4C"/>
  <w15:docId w15:val="{EEFC7F99-61DE-4CCB-BF33-D6C0DAEAC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n"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uiPriority w:val="9"/>
    <w:semiHidden/>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uiPriority w:val="9"/>
    <w:semiHidden/>
    <w:unhideWhenUsed/>
    <w:qFormat/>
    <w:pPr>
      <w:keepNext/>
      <w:keepLines/>
      <w:spacing w:before="200" w:after="0"/>
      <w:outlineLvl w:val="5"/>
    </w:pPr>
    <w:rPr>
      <w:rFonts w:ascii="Calibri" w:eastAsia="Calibri" w:hAnsi="Calibri" w:cs="Calibri"/>
      <w:i/>
      <w:iCs/>
      <w:color w:val="243F6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bottom w:val="single" w:sz="8" w:space="4" w:color="4F81BD"/>
      </w:pBdr>
      <w:spacing w:after="300" w:line="240" w:lineRule="auto"/>
    </w:pPr>
    <w:rPr>
      <w:rFonts w:ascii="Calibri" w:eastAsia="Calibri" w:hAnsi="Calibri" w:cs="Calibri"/>
      <w:color w:val="17365D"/>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1"/>
    <w:tblPr>
      <w:tblStyleRowBandSize w:val="1"/>
      <w:tblStyleColBandSize w:val="1"/>
      <w:tblCellMar>
        <w:top w:w="15" w:type="dxa"/>
        <w:left w:w="15" w:type="dxa"/>
        <w:bottom w:w="15" w:type="dxa"/>
        <w:right w:w="15" w:type="dxa"/>
      </w:tblCellMar>
    </w:tblPr>
  </w:style>
  <w:style w:type="table" w:customStyle="1" w:styleId="a1">
    <w:basedOn w:val="TableNormal1"/>
    <w:tblPr>
      <w:tblStyleRowBandSize w:val="1"/>
      <w:tblStyleColBandSize w:val="1"/>
      <w:tblCellMar>
        <w:top w:w="15" w:type="dxa"/>
        <w:left w:w="15" w:type="dxa"/>
        <w:bottom w:w="15" w:type="dxa"/>
        <w:right w:w="15" w:type="dxa"/>
      </w:tblCellMar>
    </w:tblPr>
  </w:style>
  <w:style w:type="table" w:customStyle="1" w:styleId="a2">
    <w:basedOn w:val="TableNormal1"/>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3">
    <w:basedOn w:val="TableNormal1"/>
    <w:pPr>
      <w:spacing w:after="0" w:line="240" w:lineRule="auto"/>
    </w:pPr>
    <w:tblPr>
      <w:tblStyleRowBandSize w:val="1"/>
      <w:tblStyleColBandSize w:val="1"/>
      <w:tblCellMar>
        <w:top w:w="0" w:type="dxa"/>
        <w:left w:w="108" w:type="dxa"/>
        <w:bottom w:w="0" w:type="dxa"/>
        <w:right w:w="108" w:type="dxa"/>
      </w:tblCellMar>
    </w:tblPr>
  </w:style>
  <w:style w:type="paragraph" w:styleId="Subtitle">
    <w:name w:val="Subtitle"/>
    <w:basedOn w:val="Normal"/>
    <w:next w:val="Normal"/>
    <w:uiPriority w:val="11"/>
    <w:qFormat/>
    <w:rPr>
      <w:rFonts w:ascii="Calibri" w:eastAsia="Calibri" w:hAnsi="Calibri" w:cs="Calibri"/>
      <w:i/>
      <w:iCs/>
      <w:color w:val="4F81BD"/>
      <w:sz w:val="24"/>
      <w:szCs w:val="24"/>
    </w:rPr>
  </w:style>
  <w:style w:type="table" w:customStyle="1" w:styleId="a4">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1"/>
    <w:tblPr>
      <w:tblStyleRowBandSize w:val="1"/>
      <w:tblStyleColBandSize w:val="1"/>
      <w:tblCellMar>
        <w:top w:w="15" w:type="dxa"/>
        <w:left w:w="15" w:type="dxa"/>
        <w:bottom w:w="15" w:type="dxa"/>
        <w:right w:w="15" w:type="dxa"/>
      </w:tblCellMar>
    </w:tblPr>
  </w:style>
  <w:style w:type="table" w:customStyle="1" w:styleId="a6">
    <w:basedOn w:val="TableNormal1"/>
    <w:tblPr>
      <w:tblStyleRowBandSize w:val="1"/>
      <w:tblStyleColBandSize w:val="1"/>
      <w:tblCellMar>
        <w:top w:w="15" w:type="dxa"/>
        <w:left w:w="15" w:type="dxa"/>
        <w:bottom w:w="15" w:type="dxa"/>
        <w:right w:w="15" w:type="dxa"/>
      </w:tblCellMar>
    </w:tblPr>
  </w:style>
  <w:style w:type="table" w:customStyle="1" w:styleId="a7">
    <w:basedOn w:val="TableNormal1"/>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8">
    <w:basedOn w:val="TableNormal1"/>
    <w:pPr>
      <w:spacing w:after="0" w:line="240" w:lineRule="auto"/>
    </w:pPr>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737DD7"/>
    <w:rPr>
      <w:color w:val="0000FF" w:themeColor="hyperlink"/>
      <w:u w:val="single"/>
    </w:rPr>
  </w:style>
  <w:style w:type="character" w:styleId="UnresolvedMention">
    <w:name w:val="Unresolved Mention"/>
    <w:basedOn w:val="DefaultParagraphFont"/>
    <w:uiPriority w:val="99"/>
    <w:semiHidden/>
    <w:unhideWhenUsed/>
    <w:rsid w:val="00737DD7"/>
    <w:rPr>
      <w:color w:val="605E5C"/>
      <w:shd w:val="clear" w:color="auto" w:fill="E1DFDD"/>
    </w:rPr>
  </w:style>
  <w:style w:type="paragraph" w:styleId="ListParagraph">
    <w:name w:val="List Paragraph"/>
    <w:basedOn w:val="Normal"/>
    <w:uiPriority w:val="34"/>
    <w:qFormat/>
    <w:rsid w:val="002F2E3A"/>
    <w:pPr>
      <w:ind w:left="720"/>
      <w:contextualSpacing/>
    </w:pPr>
  </w:style>
  <w:style w:type="paragraph" w:styleId="Header">
    <w:name w:val="header"/>
    <w:basedOn w:val="Normal"/>
    <w:link w:val="HeaderChar"/>
    <w:uiPriority w:val="99"/>
    <w:unhideWhenUsed/>
    <w:rsid w:val="005275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75D2"/>
  </w:style>
  <w:style w:type="paragraph" w:styleId="Footer">
    <w:name w:val="footer"/>
    <w:basedOn w:val="Normal"/>
    <w:link w:val="FooterChar"/>
    <w:uiPriority w:val="99"/>
    <w:unhideWhenUsed/>
    <w:rsid w:val="005275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75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doi.org/10.3390/digital5030026" TargetMode="External"/><Relationship Id="rId26" Type="http://schemas.openxmlformats.org/officeDocument/2006/relationships/hyperlink" Target="https://doi.org/10.1016/j.heliyon.2024.e26888" TargetMode="External"/><Relationship Id="rId39" Type="http://schemas.openxmlformats.org/officeDocument/2006/relationships/hyperlink" Target="https://doi.org/10.22115/SCCE.2020.226883.1205" TargetMode="External"/><Relationship Id="rId21" Type="http://schemas.openxmlformats.org/officeDocument/2006/relationships/hyperlink" Target="https://doi.org/10.32738/JEPPM-2022-0021" TargetMode="External"/><Relationship Id="rId34" Type="http://schemas.openxmlformats.org/officeDocument/2006/relationships/hyperlink" Target="https://doi.org/10.1108/JEDT-08-2019-0195" TargetMode="External"/><Relationship Id="rId42" Type="http://schemas.openxmlformats.org/officeDocument/2006/relationships/hyperlink" Target="https://doi.org/10.3846/jcem.2025.24913" TargetMode="External"/><Relationship Id="rId47" Type="http://schemas.openxmlformats.org/officeDocument/2006/relationships/hyperlink" Target="https://doi.org/10.1016/j.plas.2025.100188" TargetMode="External"/><Relationship Id="rId50" Type="http://schemas.openxmlformats.org/officeDocument/2006/relationships/hyperlink" Target="https://doi.org/10.3390/joitmc8010045" TargetMode="External"/><Relationship Id="rId55" Type="http://schemas.openxmlformats.org/officeDocument/2006/relationships/hyperlink" Target="https://doi.org/10.3390/buildings14082349"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doi.org/10.3390/buildings15030447" TargetMode="External"/><Relationship Id="rId29" Type="http://schemas.openxmlformats.org/officeDocument/2006/relationships/hyperlink" Target="https://doi.org/10.3390/en17010182" TargetMode="External"/><Relationship Id="rId11" Type="http://schemas.openxmlformats.org/officeDocument/2006/relationships/header" Target="header2.xml"/><Relationship Id="rId24" Type="http://schemas.openxmlformats.org/officeDocument/2006/relationships/hyperlink" Target="https://doi.org/10.1016/j.autcon.2024.105904" TargetMode="External"/><Relationship Id="rId32" Type="http://schemas.openxmlformats.org/officeDocument/2006/relationships/hyperlink" Target="https://doi.org/10.1016/j.autcon.2020.103280" TargetMode="External"/><Relationship Id="rId37" Type="http://schemas.openxmlformats.org/officeDocument/2006/relationships/hyperlink" Target="https://doi.org/10.1016/j.autcon.2023.105210" TargetMode="External"/><Relationship Id="rId40" Type="http://schemas.openxmlformats.org/officeDocument/2006/relationships/hyperlink" Target="https://doi.org/10.48084/etasr.8173" TargetMode="External"/><Relationship Id="rId45" Type="http://schemas.openxmlformats.org/officeDocument/2006/relationships/hyperlink" Target="https://doi.org/10.1155/2017/2450370" TargetMode="External"/><Relationship Id="rId53" Type="http://schemas.openxmlformats.org/officeDocument/2006/relationships/hyperlink" Target="https://doi.org/10.3390/infrastructures9120213" TargetMode="External"/><Relationship Id="rId58" Type="http://schemas.openxmlformats.org/officeDocument/2006/relationships/hyperlink" Target="https://doi.org/10.1016/j.aei.2022.101789" TargetMode="External"/><Relationship Id="rId5" Type="http://schemas.openxmlformats.org/officeDocument/2006/relationships/settings" Target="settings.xml"/><Relationship Id="rId61" Type="http://schemas.openxmlformats.org/officeDocument/2006/relationships/hyperlink" Target="https://doi.org/10.1080/15623599.2025.2568103" TargetMode="External"/><Relationship Id="rId19" Type="http://schemas.openxmlformats.org/officeDocument/2006/relationships/hyperlink" Target="https://doi.org/10.48084/etasr.9006" TargetMode="External"/><Relationship Id="rId14" Type="http://schemas.openxmlformats.org/officeDocument/2006/relationships/header" Target="header3.xml"/><Relationship Id="rId22" Type="http://schemas.openxmlformats.org/officeDocument/2006/relationships/hyperlink" Target="https://doi.org/10.4236/jdaip.2024.124030" TargetMode="External"/><Relationship Id="rId27" Type="http://schemas.openxmlformats.org/officeDocument/2006/relationships/hyperlink" Target="https://doi.org/10.1155/2024/5653690" TargetMode="External"/><Relationship Id="rId30" Type="http://schemas.openxmlformats.org/officeDocument/2006/relationships/hyperlink" Target="https://doi.org/10.22075/ijnaa.2022.27673.3684" TargetMode="External"/><Relationship Id="rId35" Type="http://schemas.openxmlformats.org/officeDocument/2006/relationships/hyperlink" Target="https://doi.org/10.59400/be.v2i1.544" TargetMode="External"/><Relationship Id="rId43" Type="http://schemas.openxmlformats.org/officeDocument/2006/relationships/hyperlink" Target="https://doi.org/10.3390/su151410908" TargetMode="External"/><Relationship Id="rId48" Type="http://schemas.openxmlformats.org/officeDocument/2006/relationships/hyperlink" Target="https://doi.org/10.1061/(ASCE)CO.1943-7862.0001570" TargetMode="External"/><Relationship Id="rId56" Type="http://schemas.openxmlformats.org/officeDocument/2006/relationships/hyperlink" Target="https://doi.org/10.1051/shsconf/202317002009"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doi.org/10.1016/j.jobe.2022.104102" TargetMode="Externa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yperlink" Target="https://doi.org/10.1016/j.jobe.2021.103299" TargetMode="External"/><Relationship Id="rId25" Type="http://schemas.openxmlformats.org/officeDocument/2006/relationships/hyperlink" Target="https://doi.org/10.24425/ace.2023.147667" TargetMode="External"/><Relationship Id="rId33" Type="http://schemas.openxmlformats.org/officeDocument/2006/relationships/hyperlink" Target="https://doi.org/10.1007/s10462-024-10811-5" TargetMode="External"/><Relationship Id="rId38" Type="http://schemas.openxmlformats.org/officeDocument/2006/relationships/hyperlink" Target="https://doi.org/10.1016/j.autcon.2022.104305" TargetMode="External"/><Relationship Id="rId46" Type="http://schemas.openxmlformats.org/officeDocument/2006/relationships/hyperlink" Target="https://doi.org/10.1061/JPEODX.0000175" TargetMode="External"/><Relationship Id="rId59" Type="http://schemas.openxmlformats.org/officeDocument/2006/relationships/hyperlink" Target="https://doi.org/10.3390/su12041514" TargetMode="External"/><Relationship Id="rId20" Type="http://schemas.openxmlformats.org/officeDocument/2006/relationships/hyperlink" Target="https://doi.org/10.1007/s42107-023-00665-7" TargetMode="External"/><Relationship Id="rId41" Type="http://schemas.openxmlformats.org/officeDocument/2006/relationships/hyperlink" Target="https://doi.org/10.9734/jerr/2025/v27i21397" TargetMode="External"/><Relationship Id="rId54" Type="http://schemas.openxmlformats.org/officeDocument/2006/relationships/hyperlink" Target="https://doi.org/10.1016/j.autcon.2023.104931" TargetMode="External"/><Relationship Id="rId62" Type="http://schemas.openxmlformats.org/officeDocument/2006/relationships/hyperlink" Target="https://doi.org/10.3934/mbe.2023674"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doi.org/10.1016/j.aei.2019.101013" TargetMode="External"/><Relationship Id="rId28" Type="http://schemas.openxmlformats.org/officeDocument/2006/relationships/hyperlink" Target="https://doi.org/10.1016/j.mlwa.2021.100166" TargetMode="External"/><Relationship Id="rId36" Type="http://schemas.openxmlformats.org/officeDocument/2006/relationships/hyperlink" Target="https://doi.org/10.1016/j.jii.2023.100483" TargetMode="External"/><Relationship Id="rId49" Type="http://schemas.openxmlformats.org/officeDocument/2006/relationships/hyperlink" Target="https://doi.org/10.1049/gtd2.13183" TargetMode="External"/><Relationship Id="rId57" Type="http://schemas.openxmlformats.org/officeDocument/2006/relationships/hyperlink" Target="https://doi.org/10.1016/j.engappai.2025.111192" TargetMode="External"/><Relationship Id="rId10" Type="http://schemas.openxmlformats.org/officeDocument/2006/relationships/header" Target="header1.xml"/><Relationship Id="rId31" Type="http://schemas.openxmlformats.org/officeDocument/2006/relationships/hyperlink" Target="https://doi.org/10.1061/(ASCE)CO.1943-7862.0001736" TargetMode="External"/><Relationship Id="rId44" Type="http://schemas.openxmlformats.org/officeDocument/2006/relationships/hyperlink" Target="https://doi.org/10.1155/2017/2450370" TargetMode="External"/><Relationship Id="rId52" Type="http://schemas.openxmlformats.org/officeDocument/2006/relationships/hyperlink" Target="https://doi.org/10.1007/s42452-020-03497-1" TargetMode="External"/><Relationship Id="rId60" Type="http://schemas.openxmlformats.org/officeDocument/2006/relationships/hyperlink" Target="https://doi.org/10.3390/buildings13122944" TargetMode="External"/><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KB2uCUmGVSFk/GwQtYeSeeU1mw==">CgMxLjAaJAoBMBIfCh0IB0IZCgVBcmltbxIQQXJpYWwgVW5pY29kZSBNUxokCgExEh8KHQgHQhkKBUFyaW1vEhBBcmlhbCBVbmljb2RlIE1TOAByITFvQmotNnFaVGR1UGpPc3JmV2lmSmIxY2lhdkdLcnRsbg==</go:docsCustomData>
</go:gDocsCustomXmlDataStorage>
</file>

<file path=customXml/itemProps1.xml><?xml version="1.0" encoding="utf-8"?>
<ds:datastoreItem xmlns:ds="http://schemas.openxmlformats.org/officeDocument/2006/customXml" ds:itemID="{1E174007-2E85-406F-BEDB-CCF77CF780F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22</Pages>
  <Words>10150</Words>
  <Characters>57856</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kelechi Eze</cp:lastModifiedBy>
  <cp:revision>53</cp:revision>
  <dcterms:created xsi:type="dcterms:W3CDTF">2026-01-05T04:11:00Z</dcterms:created>
  <dcterms:modified xsi:type="dcterms:W3CDTF">2026-01-16T11:51:00Z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0e64ad83-ea87-40ca-a134-063a51c3701c</vt:lpwstr>
  </property>
</Properties>
</file>