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18" w:rsidRPr="00001F17" w:rsidRDefault="00A569F1" w:rsidP="00F652B9">
      <w:pPr>
        <w:spacing w:after="0" w:line="360" w:lineRule="auto"/>
        <w:jc w:val="center"/>
        <w:rPr>
          <w:rFonts w:ascii="Times New Roman" w:hAnsi="Times New Roman" w:cs="Times New Roman"/>
          <w:b/>
          <w:bCs/>
          <w:sz w:val="24"/>
          <w:szCs w:val="22"/>
        </w:rPr>
      </w:pPr>
      <w:r w:rsidRPr="00001F17">
        <w:rPr>
          <w:rFonts w:ascii="Times New Roman" w:hAnsi="Times New Roman" w:cs="Times New Roman"/>
          <w:b/>
          <w:bCs/>
          <w:sz w:val="24"/>
          <w:szCs w:val="22"/>
        </w:rPr>
        <w:t>Effects of Different Sulphur Levels and Application Meth</w:t>
      </w:r>
      <w:r w:rsidR="00F652B9" w:rsidRPr="00001F17">
        <w:rPr>
          <w:rFonts w:ascii="Times New Roman" w:hAnsi="Times New Roman" w:cs="Times New Roman"/>
          <w:b/>
          <w:bCs/>
          <w:sz w:val="24"/>
          <w:szCs w:val="22"/>
        </w:rPr>
        <w:t xml:space="preserve">ods on </w:t>
      </w:r>
      <w:r w:rsidR="00AE47E7" w:rsidRPr="00001F17">
        <w:rPr>
          <w:rFonts w:ascii="Times New Roman" w:hAnsi="Times New Roman" w:cs="Times New Roman"/>
          <w:b/>
          <w:bCs/>
          <w:sz w:val="24"/>
          <w:szCs w:val="22"/>
        </w:rPr>
        <w:t>G</w:t>
      </w:r>
      <w:r w:rsidR="00F652B9" w:rsidRPr="00001F17">
        <w:rPr>
          <w:rFonts w:ascii="Times New Roman" w:hAnsi="Times New Roman" w:cs="Times New Roman"/>
          <w:b/>
          <w:bCs/>
          <w:sz w:val="24"/>
          <w:szCs w:val="22"/>
        </w:rPr>
        <w:t xml:space="preserve">rowth, </w:t>
      </w:r>
      <w:r w:rsidR="00AE47E7" w:rsidRPr="00001F17">
        <w:rPr>
          <w:rFonts w:ascii="Times New Roman" w:hAnsi="Times New Roman" w:cs="Times New Roman"/>
          <w:b/>
          <w:bCs/>
          <w:sz w:val="24"/>
          <w:szCs w:val="22"/>
        </w:rPr>
        <w:t>Y</w:t>
      </w:r>
      <w:r w:rsidR="00F652B9" w:rsidRPr="00001F17">
        <w:rPr>
          <w:rFonts w:ascii="Times New Roman" w:hAnsi="Times New Roman" w:cs="Times New Roman"/>
          <w:b/>
          <w:bCs/>
          <w:sz w:val="24"/>
          <w:szCs w:val="22"/>
        </w:rPr>
        <w:t xml:space="preserve">ield </w:t>
      </w:r>
      <w:r w:rsidR="00AE47E7" w:rsidRPr="00001F17">
        <w:rPr>
          <w:rFonts w:ascii="Times New Roman" w:hAnsi="Times New Roman" w:cs="Times New Roman"/>
          <w:b/>
          <w:bCs/>
          <w:sz w:val="24"/>
          <w:szCs w:val="22"/>
        </w:rPr>
        <w:t>A</w:t>
      </w:r>
      <w:r w:rsidR="00F652B9" w:rsidRPr="00001F17">
        <w:rPr>
          <w:rFonts w:ascii="Times New Roman" w:hAnsi="Times New Roman" w:cs="Times New Roman"/>
          <w:b/>
          <w:bCs/>
          <w:sz w:val="24"/>
          <w:szCs w:val="22"/>
        </w:rPr>
        <w:t xml:space="preserve">ttributes and </w:t>
      </w:r>
      <w:r w:rsidR="00AE47E7" w:rsidRPr="00001F17">
        <w:rPr>
          <w:rFonts w:ascii="Times New Roman" w:hAnsi="Times New Roman" w:cs="Times New Roman"/>
          <w:b/>
          <w:bCs/>
          <w:sz w:val="24"/>
          <w:szCs w:val="22"/>
        </w:rPr>
        <w:t>Y</w:t>
      </w:r>
      <w:r w:rsidR="00F652B9" w:rsidRPr="00001F17">
        <w:rPr>
          <w:rFonts w:ascii="Times New Roman" w:hAnsi="Times New Roman" w:cs="Times New Roman"/>
          <w:b/>
          <w:bCs/>
          <w:sz w:val="24"/>
          <w:szCs w:val="22"/>
        </w:rPr>
        <w:t>ields</w:t>
      </w:r>
      <w:r w:rsidRPr="00001F17">
        <w:rPr>
          <w:rFonts w:ascii="Times New Roman" w:hAnsi="Times New Roman" w:cs="Times New Roman"/>
          <w:b/>
          <w:bCs/>
          <w:sz w:val="24"/>
          <w:szCs w:val="22"/>
        </w:rPr>
        <w:t xml:space="preserve"> of Chickpea (</w:t>
      </w:r>
      <w:r w:rsidRPr="00001F17">
        <w:rPr>
          <w:rFonts w:ascii="Times New Roman" w:hAnsi="Times New Roman" w:cs="Times New Roman"/>
          <w:b/>
          <w:bCs/>
          <w:i/>
          <w:iCs/>
          <w:sz w:val="24"/>
          <w:szCs w:val="22"/>
        </w:rPr>
        <w:t xml:space="preserve">Cicer arietinum </w:t>
      </w:r>
      <w:r w:rsidRPr="00001F17">
        <w:rPr>
          <w:rFonts w:ascii="Times New Roman" w:hAnsi="Times New Roman" w:cs="Times New Roman"/>
          <w:b/>
          <w:bCs/>
          <w:sz w:val="24"/>
          <w:szCs w:val="22"/>
        </w:rPr>
        <w:t>L.) under Irrigated Conditions of Rajasthan</w:t>
      </w:r>
    </w:p>
    <w:p w:rsidR="002B7871" w:rsidRDefault="002B7871" w:rsidP="00F652B9">
      <w:pPr>
        <w:spacing w:after="0" w:line="360" w:lineRule="auto"/>
        <w:jc w:val="center"/>
        <w:rPr>
          <w:rFonts w:ascii="Times New Roman" w:hAnsi="Times New Roman" w:cs="Times New Roman"/>
          <w:b/>
          <w:bCs/>
          <w:sz w:val="24"/>
          <w:szCs w:val="22"/>
        </w:rPr>
      </w:pPr>
    </w:p>
    <w:p w:rsidR="00A569F1" w:rsidRPr="00001F17" w:rsidRDefault="00A569F1" w:rsidP="00F652B9">
      <w:pPr>
        <w:spacing w:after="0" w:line="360" w:lineRule="auto"/>
        <w:jc w:val="center"/>
        <w:rPr>
          <w:rFonts w:ascii="Times New Roman" w:hAnsi="Times New Roman" w:cs="Times New Roman"/>
          <w:b/>
          <w:bCs/>
          <w:sz w:val="24"/>
          <w:szCs w:val="22"/>
        </w:rPr>
      </w:pPr>
      <w:r w:rsidRPr="00001F17">
        <w:rPr>
          <w:rFonts w:ascii="Times New Roman" w:hAnsi="Times New Roman" w:cs="Times New Roman"/>
          <w:b/>
          <w:bCs/>
          <w:sz w:val="24"/>
          <w:szCs w:val="22"/>
        </w:rPr>
        <w:t>Abstract</w:t>
      </w:r>
    </w:p>
    <w:p w:rsidR="000B6EFF" w:rsidRDefault="00A569F1"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A field experiment was conducted at Agronomy farm, College of Agriculture, Swami Keshwanand Rajasthan Agricultural University, Bikaner during </w:t>
      </w:r>
      <w:r w:rsidRPr="00001F17">
        <w:rPr>
          <w:rFonts w:ascii="Times New Roman" w:hAnsi="Times New Roman" w:cs="Times New Roman"/>
          <w:i/>
          <w:iCs/>
          <w:sz w:val="24"/>
          <w:szCs w:val="22"/>
        </w:rPr>
        <w:t xml:space="preserve">rabi, </w:t>
      </w:r>
      <w:r w:rsidRPr="00001F17">
        <w:rPr>
          <w:rFonts w:ascii="Times New Roman" w:hAnsi="Times New Roman" w:cs="Times New Roman"/>
          <w:sz w:val="24"/>
          <w:szCs w:val="22"/>
        </w:rPr>
        <w:t>2019-20. The experiment was laid out in split plot design with three replications assigning four levels of basal application of sulphur (0, 20, 40 and 60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to main plots and four concentrations of foliar spray of liquid sulphur (0, 0.1, 0.2 and 0.3% sulphur) done at 65 and 75 DAS to sub plots.</w:t>
      </w:r>
      <w:r w:rsidR="002B7B97" w:rsidRPr="00001F17">
        <w:rPr>
          <w:rFonts w:ascii="Times New Roman" w:hAnsi="Times New Roman" w:cs="Times New Roman"/>
          <w:sz w:val="24"/>
          <w:szCs w:val="22"/>
        </w:rPr>
        <w:t xml:space="preserve">The results show that </w:t>
      </w:r>
      <w:r w:rsidR="00C11702" w:rsidRPr="00001F17">
        <w:rPr>
          <w:rFonts w:ascii="Times New Roman" w:hAnsi="Times New Roman" w:cs="Times New Roman"/>
          <w:sz w:val="24"/>
          <w:szCs w:val="22"/>
        </w:rPr>
        <w:t xml:space="preserve">basal applications of sulphur at </w:t>
      </w:r>
      <w:r w:rsidR="002D1D32" w:rsidRPr="00001F17">
        <w:rPr>
          <w:rFonts w:ascii="Times New Roman" w:hAnsi="Times New Roman" w:cs="Times New Roman"/>
          <w:sz w:val="24"/>
          <w:szCs w:val="22"/>
        </w:rPr>
        <w:t>4</w:t>
      </w:r>
      <w:r w:rsidR="00C11702" w:rsidRPr="00001F17">
        <w:rPr>
          <w:rFonts w:ascii="Times New Roman" w:hAnsi="Times New Roman" w:cs="Times New Roman"/>
          <w:sz w:val="24"/>
          <w:szCs w:val="22"/>
        </w:rPr>
        <w:t>0 kg ha</w:t>
      </w:r>
      <w:r w:rsidR="00C11702" w:rsidRPr="00001F17">
        <w:rPr>
          <w:rFonts w:ascii="Times New Roman" w:hAnsi="Times New Roman" w:cs="Times New Roman"/>
          <w:sz w:val="24"/>
          <w:szCs w:val="22"/>
          <w:vertAlign w:val="superscript"/>
        </w:rPr>
        <w:t xml:space="preserve">-1 </w:t>
      </w:r>
      <w:r w:rsidR="00C11702" w:rsidRPr="00001F17">
        <w:rPr>
          <w:rFonts w:ascii="Times New Roman" w:hAnsi="Times New Roman" w:cs="Times New Roman"/>
          <w:sz w:val="24"/>
          <w:szCs w:val="22"/>
        </w:rPr>
        <w:t>resulted significant influence on growth</w:t>
      </w:r>
      <w:r w:rsidR="00C11702" w:rsidRPr="00001F17">
        <w:rPr>
          <w:rFonts w:ascii="Times New Roman" w:hAnsi="Times New Roman" w:cs="Times New Roman"/>
          <w:i/>
          <w:sz w:val="24"/>
          <w:szCs w:val="22"/>
        </w:rPr>
        <w:t xml:space="preserve"> viz., </w:t>
      </w:r>
      <w:r w:rsidR="00C11702" w:rsidRPr="00001F17">
        <w:rPr>
          <w:rFonts w:ascii="Times New Roman" w:hAnsi="Times New Roman" w:cs="Times New Roman"/>
          <w:sz w:val="24"/>
          <w:szCs w:val="22"/>
        </w:rPr>
        <w:t xml:space="preserve">dry matter accumulation at 90 DAS and harvest, chlorophyll content at 85 DAS and plant height at harvest, yield attributes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number of pods plant</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xml:space="preserve"> and test weight and yield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seed, straw and biological yield over control and basal applications of sulphur at 20 kg ha</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which was being at par with basal applications of sulphur at 60 kg ha</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Foliar spray of liquid sulphur (0.2%) significantly increased growth</w:t>
      </w:r>
      <w:r w:rsidR="00C11702" w:rsidRPr="00001F17">
        <w:rPr>
          <w:rFonts w:ascii="Times New Roman" w:hAnsi="Times New Roman" w:cs="Times New Roman"/>
          <w:i/>
          <w:sz w:val="24"/>
          <w:szCs w:val="22"/>
        </w:rPr>
        <w:t xml:space="preserve"> viz., </w:t>
      </w:r>
      <w:r w:rsidR="00C11702" w:rsidRPr="00001F17">
        <w:rPr>
          <w:rFonts w:ascii="Times New Roman" w:hAnsi="Times New Roman" w:cs="Times New Roman"/>
          <w:sz w:val="24"/>
          <w:szCs w:val="22"/>
        </w:rPr>
        <w:t xml:space="preserve">dry matter accumulation at 90 DAS and harvest, chlorophyll content at 85 DAS and plant height at harvest, yield attributes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number of pods plant</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xml:space="preserve"> and test weight and yield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seed, straw and biological yield over control and foliar spray of liquid sulphur (0.1%), which was being at par with foliar spray of liquid sulphur (0.3%).</w:t>
      </w:r>
      <w:r w:rsidR="000B6EFF">
        <w:rPr>
          <w:rFonts w:ascii="Times New Roman" w:hAnsi="Times New Roman" w:cs="Times New Roman"/>
          <w:sz w:val="24"/>
          <w:szCs w:val="22"/>
        </w:rPr>
        <w:t xml:space="preserve"> </w:t>
      </w:r>
      <w:r w:rsidR="000B6EFF" w:rsidRPr="000B6EFF">
        <w:rPr>
          <w:rFonts w:ascii="Times New Roman" w:hAnsi="Times New Roman" w:cs="Times New Roman"/>
          <w:color w:val="FF0000"/>
          <w:sz w:val="24"/>
          <w:szCs w:val="22"/>
        </w:rPr>
        <w:t>For higher growth, yield and economical of chickpea under irrigated conditions of Rajasthan, apply sulphur at 40 kg ha</w:t>
      </w:r>
      <w:r w:rsidR="000B6EFF" w:rsidRPr="000B6EFF">
        <w:rPr>
          <w:rFonts w:ascii="Times New Roman" w:hAnsi="Times New Roman" w:cs="Times New Roman"/>
          <w:color w:val="FF0000"/>
          <w:sz w:val="24"/>
          <w:szCs w:val="22"/>
          <w:vertAlign w:val="superscript"/>
        </w:rPr>
        <w:t>-1</w:t>
      </w:r>
      <w:r w:rsidR="000B6EFF">
        <w:rPr>
          <w:rFonts w:ascii="Times New Roman" w:hAnsi="Times New Roman" w:cs="Times New Roman"/>
          <w:color w:val="FF0000"/>
          <w:sz w:val="24"/>
          <w:szCs w:val="22"/>
        </w:rPr>
        <w:t xml:space="preserve"> </w:t>
      </w:r>
      <w:r w:rsidR="000B6EFF" w:rsidRPr="000B6EFF">
        <w:rPr>
          <w:rFonts w:ascii="Times New Roman" w:hAnsi="Times New Roman" w:cs="Times New Roman"/>
          <w:color w:val="FF0000"/>
          <w:sz w:val="24"/>
          <w:szCs w:val="22"/>
        </w:rPr>
        <w:t xml:space="preserve">as basal dose along with 0.2% foliar spray of liquid sulphur at 65 and 75 DAS. </w:t>
      </w:r>
    </w:p>
    <w:p w:rsidR="004241A7" w:rsidRPr="00001F17" w:rsidRDefault="00472033"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b/>
          <w:bCs/>
          <w:sz w:val="24"/>
          <w:szCs w:val="22"/>
        </w:rPr>
        <w:t>Keywords:</w:t>
      </w:r>
      <w:r w:rsidRPr="00001F17">
        <w:rPr>
          <w:rFonts w:ascii="Times New Roman" w:hAnsi="Times New Roman" w:cs="Times New Roman"/>
          <w:sz w:val="24"/>
          <w:szCs w:val="22"/>
        </w:rPr>
        <w:t xml:space="preserve"> Chickpea, Growth parameters, Sulphur levels, Yield attributes and Yield</w:t>
      </w:r>
    </w:p>
    <w:p w:rsidR="00472033" w:rsidRPr="00001F17" w:rsidRDefault="00472033" w:rsidP="00F652B9">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Introduction</w:t>
      </w:r>
    </w:p>
    <w:p w:rsidR="00472033" w:rsidRPr="00001F17" w:rsidRDefault="00472033"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The third most important winter food legume in the world is the chickpea (</w:t>
      </w:r>
      <w:r w:rsidRPr="00001F17">
        <w:rPr>
          <w:rFonts w:ascii="Times New Roman" w:hAnsi="Times New Roman" w:cs="Times New Roman"/>
          <w:i/>
          <w:iCs/>
          <w:sz w:val="24"/>
          <w:szCs w:val="22"/>
        </w:rPr>
        <w:t>Cicer arietinum</w:t>
      </w:r>
      <w:r w:rsidRPr="00001F17">
        <w:rPr>
          <w:rFonts w:ascii="Times New Roman" w:hAnsi="Times New Roman" w:cs="Times New Roman"/>
          <w:sz w:val="24"/>
          <w:szCs w:val="22"/>
        </w:rPr>
        <w:t xml:space="preserve"> L.). It is the principal pulse crop in India and is mostly grown in arid and semi-arid areas on a big scale during the </w:t>
      </w:r>
      <w:r w:rsidRPr="00DA4879">
        <w:rPr>
          <w:rFonts w:ascii="Times New Roman" w:hAnsi="Times New Roman" w:cs="Times New Roman"/>
          <w:i/>
          <w:iCs/>
          <w:sz w:val="24"/>
          <w:szCs w:val="22"/>
        </w:rPr>
        <w:t>rabi</w:t>
      </w:r>
      <w:r w:rsidRPr="00001F17">
        <w:rPr>
          <w:rFonts w:ascii="Times New Roman" w:hAnsi="Times New Roman" w:cs="Times New Roman"/>
          <w:sz w:val="24"/>
          <w:szCs w:val="22"/>
        </w:rPr>
        <w:t xml:space="preserve"> season. Dal and flour (besan) are made from it and are used to make a variety of meals and food products. The chickpea holds a significant place among leguminous crops due to its nutritional value, which includes 17–23% protein with a high biological value and good digestion. According to Jukanti</w:t>
      </w:r>
      <w:r w:rsidRPr="00001F17">
        <w:rPr>
          <w:rFonts w:ascii="Times New Roman" w:hAnsi="Times New Roman" w:cs="Times New Roman"/>
          <w:i/>
          <w:iCs/>
          <w:sz w:val="24"/>
          <w:szCs w:val="22"/>
        </w:rPr>
        <w:t>et al</w:t>
      </w:r>
      <w:r w:rsidRPr="00001F17">
        <w:rPr>
          <w:rFonts w:ascii="Times New Roman" w:hAnsi="Times New Roman" w:cs="Times New Roman"/>
          <w:sz w:val="24"/>
          <w:szCs w:val="22"/>
        </w:rPr>
        <w:t>. (2012), it is also a rich source of carbohydrates, minerals (Ca, P, Mg, and K), and certain crucial vitamins, including riboflavin, niacin, and thiamine. Although compared to other pulses, chickpeas have relatively lower protein content, they have a better biological value and are more easily digestible.</w:t>
      </w:r>
    </w:p>
    <w:p w:rsidR="00472033" w:rsidRPr="00001F17" w:rsidRDefault="00472033"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lastRenderedPageBreak/>
        <w:tab/>
        <w:t>Along with protein and carbohydrate, chickpeas provide a significant source of nutritionally important unsaturated fatty acids including linoleic and oleic acids (Hirdyani, 2014). Malic acid and oxalic acid, which are employed in the pharmaceutical industry, can be found in chickpea leaves and pods (Rathore, 2014). Its grains are utilised as blood purifiers, and sprouted chickpeas are also suggested as a treatment for scurvy. In order to support the production of milk, meat, and/or eggs, chickpea grains are also utilised as a high energy and protein dense animal feed. Additionally, chickpea straw can be a substitute for fodder in the diets of ruminants (Bampidis and Christodoulou, 2011).</w:t>
      </w:r>
    </w:p>
    <w:p w:rsidR="00472033" w:rsidRPr="00001F17" w:rsidRDefault="00F652B9"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472033" w:rsidRPr="00001F17">
        <w:rPr>
          <w:rFonts w:ascii="Times New Roman" w:hAnsi="Times New Roman" w:cs="Times New Roman"/>
          <w:sz w:val="24"/>
          <w:szCs w:val="22"/>
        </w:rPr>
        <w:t xml:space="preserve">As the fourth major plant nutrient and a secondary essential element, sulphur plays a crucial function in the metabolism of plants since it is a component of several essential amino acids, including methionine, cystine, and cysteine. The creation of disulphide bonds between polypeptide chains, one of sulphur's primary activities, is crucial for stabilising and regulating the configuration of proteins. It is necessary for the production of glutathione, Co enzyme A, biotin, thiamine, and vitamin B. Additionally, it aids in the production of nodules in pulses and is necessary for the synthesis of chlorophyll in green plants (Tisdale </w:t>
      </w:r>
      <w:r w:rsidR="00472033" w:rsidRPr="00001F17">
        <w:rPr>
          <w:rFonts w:ascii="Times New Roman" w:hAnsi="Times New Roman" w:cs="Times New Roman"/>
          <w:i/>
          <w:iCs/>
          <w:sz w:val="24"/>
          <w:szCs w:val="22"/>
        </w:rPr>
        <w:t>et al</w:t>
      </w:r>
      <w:r w:rsidR="00472033" w:rsidRPr="00001F17">
        <w:rPr>
          <w:rFonts w:ascii="Times New Roman" w:hAnsi="Times New Roman" w:cs="Times New Roman"/>
          <w:sz w:val="24"/>
          <w:szCs w:val="22"/>
        </w:rPr>
        <w:t>., 2014). Sulphur also improves nitrogen uptake and metabolism in plants and enhances the number of sulfur-containing amino acids in proteins by adding S</w:t>
      </w:r>
      <w:r w:rsidR="00472033" w:rsidRPr="00001F17">
        <w:rPr>
          <w:rFonts w:ascii="Times New Roman" w:hAnsi="Times New Roman" w:cs="Times New Roman"/>
          <w:sz w:val="24"/>
          <w:szCs w:val="22"/>
          <w:vertAlign w:val="subscript"/>
        </w:rPr>
        <w:t>2</w:t>
      </w:r>
      <w:r w:rsidR="00472033" w:rsidRPr="00001F17">
        <w:rPr>
          <w:rFonts w:ascii="Times New Roman" w:hAnsi="Times New Roman" w:cs="Times New Roman"/>
          <w:sz w:val="24"/>
          <w:szCs w:val="22"/>
        </w:rPr>
        <w:t>- to O-acetyl-L-serine. During times of stress, the sulphur molecule glutathione serves as a p</w:t>
      </w:r>
      <w:r w:rsidR="00B8180F" w:rsidRPr="00001F17">
        <w:rPr>
          <w:rFonts w:ascii="Times New Roman" w:hAnsi="Times New Roman" w:cs="Times New Roman"/>
          <w:sz w:val="24"/>
          <w:szCs w:val="22"/>
        </w:rPr>
        <w:t>rotective cellular redox buffer</w:t>
      </w:r>
      <w:r w:rsidR="00472033" w:rsidRPr="00001F17">
        <w:rPr>
          <w:rFonts w:ascii="Times New Roman" w:hAnsi="Times New Roman" w:cs="Times New Roman"/>
          <w:sz w:val="24"/>
          <w:szCs w:val="22"/>
        </w:rPr>
        <w:t xml:space="preserve"> (Abrol and Ahmad, 2003).</w:t>
      </w:r>
    </w:p>
    <w:p w:rsidR="00F652B9" w:rsidRPr="00001F17" w:rsidRDefault="00F652B9"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472033" w:rsidRPr="00001F17">
        <w:rPr>
          <w:rFonts w:ascii="Times New Roman" w:hAnsi="Times New Roman" w:cs="Times New Roman"/>
          <w:sz w:val="24"/>
          <w:szCs w:val="22"/>
        </w:rPr>
        <w:t xml:space="preserve">Sulphur is one of the most crucial vital plant nutrients for pulses since they are particularly susceptible to sulphur shortage, which lowers the quality and productivity of pulses. The majority of chickpea cultivation occurs on marginal soils with low fertility. The Bikaner district's soils are extremely deficient in sulphur and other nutrients. The sulphur concentration of 20–40% of the soils in the Bikaner district is determined to be below the threshold value of 10 ppm (Anonymous, 2019). Because of the low levels of organic matter and </w:t>
      </w:r>
      <w:r w:rsidR="00B8180F" w:rsidRPr="00001F17">
        <w:rPr>
          <w:rFonts w:ascii="Times New Roman" w:hAnsi="Times New Roman" w:cs="Times New Roman"/>
          <w:sz w:val="24"/>
          <w:szCs w:val="22"/>
        </w:rPr>
        <w:t>SO</w:t>
      </w:r>
      <w:r w:rsidR="00B8180F" w:rsidRPr="00001F17">
        <w:rPr>
          <w:rFonts w:ascii="Times New Roman" w:hAnsi="Times New Roman" w:cs="Times New Roman"/>
          <w:sz w:val="24"/>
          <w:szCs w:val="22"/>
          <w:vertAlign w:val="subscript"/>
        </w:rPr>
        <w:t>4</w:t>
      </w:r>
      <w:r w:rsidR="00B8180F" w:rsidRPr="00001F17">
        <w:rPr>
          <w:rFonts w:ascii="Times New Roman" w:hAnsi="Times New Roman" w:cs="Times New Roman"/>
          <w:sz w:val="24"/>
          <w:szCs w:val="22"/>
          <w:vertAlign w:val="superscript"/>
        </w:rPr>
        <w:t>-2</w:t>
      </w:r>
      <w:r w:rsidR="00472033" w:rsidRPr="00001F17">
        <w:rPr>
          <w:rFonts w:ascii="Times New Roman" w:hAnsi="Times New Roman" w:cs="Times New Roman"/>
          <w:sz w:val="24"/>
          <w:szCs w:val="22"/>
        </w:rPr>
        <w:t>ion leaching, crops produced on coarse textured soils are typically more susceptible to sulphur shortage. The losses in these soils are exacerbated by irrigation and rainfall. Fertilisers containing SO</w:t>
      </w:r>
      <w:r w:rsidR="00472033" w:rsidRPr="00001F17">
        <w:rPr>
          <w:rFonts w:ascii="Times New Roman" w:hAnsi="Times New Roman" w:cs="Times New Roman"/>
          <w:sz w:val="24"/>
          <w:szCs w:val="22"/>
          <w:vertAlign w:val="subscript"/>
        </w:rPr>
        <w:t>4</w:t>
      </w:r>
      <w:r w:rsidR="00472033" w:rsidRPr="00001F17">
        <w:rPr>
          <w:rFonts w:ascii="Times New Roman" w:hAnsi="Times New Roman" w:cs="Times New Roman"/>
          <w:sz w:val="24"/>
          <w:szCs w:val="22"/>
          <w:vertAlign w:val="superscript"/>
        </w:rPr>
        <w:t>-2</w:t>
      </w:r>
      <w:r w:rsidR="00472033" w:rsidRPr="00001F17">
        <w:rPr>
          <w:rFonts w:ascii="Times New Roman" w:hAnsi="Times New Roman" w:cs="Times New Roman"/>
          <w:sz w:val="24"/>
          <w:szCs w:val="22"/>
        </w:rPr>
        <w:t xml:space="preserve"> may need to be used more often in these circumstances. Additionally, increased agricultural activities and management techniques such as the use of high yielding varieties, multiple cropping, irrigation, and application of higher rates of other plant nutrients, as well as prolonged use of S free fertilisers, ultimately accelerated the sulphur deficiency in soils and plants.</w:t>
      </w:r>
    </w:p>
    <w:p w:rsidR="00472033" w:rsidRPr="00001F17" w:rsidRDefault="00F652B9"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CD7DA5" w:rsidRPr="00001F17">
        <w:rPr>
          <w:rFonts w:ascii="Times New Roman" w:hAnsi="Times New Roman" w:cs="Times New Roman"/>
          <w:sz w:val="24"/>
          <w:szCs w:val="22"/>
        </w:rPr>
        <w:t xml:space="preserve">A lack of sulphur in the soil results in lower yields of lower quality. Therefore, it is necessary to address sulphur deficiency in soils. Sulphur deficiency can be treated by adding </w:t>
      </w:r>
      <w:r w:rsidR="00CD7DA5" w:rsidRPr="00001F17">
        <w:rPr>
          <w:rFonts w:ascii="Times New Roman" w:hAnsi="Times New Roman" w:cs="Times New Roman"/>
          <w:sz w:val="24"/>
          <w:szCs w:val="22"/>
        </w:rPr>
        <w:lastRenderedPageBreak/>
        <w:t>sulphur as a base dose from a variety of sources as well as by spraying liquid sulphur or other fertilisers that include sulphur on plants' leaves.</w:t>
      </w:r>
    </w:p>
    <w:p w:rsidR="00F652B9" w:rsidRPr="00001F17" w:rsidRDefault="00F652B9" w:rsidP="00F652B9">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Materials and Methods</w:t>
      </w:r>
    </w:p>
    <w:p w:rsidR="006D5A11" w:rsidRPr="00001F17" w:rsidRDefault="006D5A11"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F652B9" w:rsidRPr="00001F17">
        <w:rPr>
          <w:rFonts w:ascii="Times New Roman" w:hAnsi="Times New Roman" w:cs="Times New Roman"/>
          <w:sz w:val="24"/>
          <w:szCs w:val="22"/>
        </w:rPr>
        <w:t xml:space="preserve">The field experiment was conducted at </w:t>
      </w:r>
      <w:r w:rsidRPr="00001F17">
        <w:rPr>
          <w:rFonts w:ascii="Times New Roman" w:hAnsi="Times New Roman" w:cs="Times New Roman"/>
          <w:sz w:val="24"/>
          <w:szCs w:val="22"/>
        </w:rPr>
        <w:t xml:space="preserve">Agronomy Farm, Department of Agronomy, College of Agriculture, SKRAU, Bikaner (Rajasthan) during </w:t>
      </w:r>
      <w:r w:rsidRPr="00001F17">
        <w:rPr>
          <w:rFonts w:ascii="Times New Roman" w:hAnsi="Times New Roman" w:cs="Times New Roman"/>
          <w:i/>
          <w:iCs/>
          <w:sz w:val="24"/>
          <w:szCs w:val="22"/>
        </w:rPr>
        <w:t>rabi</w:t>
      </w:r>
      <w:r w:rsidRPr="00001F17">
        <w:rPr>
          <w:rFonts w:ascii="Times New Roman" w:hAnsi="Times New Roman" w:cs="Times New Roman"/>
          <w:sz w:val="24"/>
          <w:szCs w:val="22"/>
        </w:rPr>
        <w:t xml:space="preserve"> season of 2019-20 to evaluation the “Response of Chickpea </w:t>
      </w:r>
      <w:r w:rsidRPr="00001F17">
        <w:rPr>
          <w:rFonts w:ascii="Times New Roman" w:hAnsi="Times New Roman" w:cs="Times New Roman"/>
          <w:i/>
          <w:iCs/>
          <w:sz w:val="24"/>
          <w:szCs w:val="22"/>
        </w:rPr>
        <w:t xml:space="preserve">(Cicer arietinum </w:t>
      </w:r>
      <w:r w:rsidRPr="00001F17">
        <w:rPr>
          <w:rFonts w:ascii="Times New Roman" w:hAnsi="Times New Roman" w:cs="Times New Roman"/>
          <w:sz w:val="24"/>
          <w:szCs w:val="22"/>
        </w:rPr>
        <w:t>L.) to Different Sulphur Levels and Application Methods under Irrigated Conditions of Rajasthan”. The Agronomy Farm is situated at 28.01</w:t>
      </w:r>
      <w:r w:rsidRPr="00001F17">
        <w:rPr>
          <w:rFonts w:ascii="Times New Roman" w:hAnsi="Times New Roman" w:cs="Times New Roman"/>
          <w:sz w:val="24"/>
          <w:szCs w:val="22"/>
          <w:vertAlign w:val="superscript"/>
        </w:rPr>
        <w:t>0</w:t>
      </w:r>
      <w:r w:rsidRPr="00001F17">
        <w:rPr>
          <w:rFonts w:ascii="Times New Roman" w:hAnsi="Times New Roman" w:cs="Times New Roman"/>
          <w:sz w:val="24"/>
          <w:szCs w:val="22"/>
        </w:rPr>
        <w:t>N latitude and 73.35</w:t>
      </w:r>
      <w:r w:rsidRPr="00001F17">
        <w:rPr>
          <w:rFonts w:ascii="Times New Roman" w:hAnsi="Times New Roman" w:cs="Times New Roman"/>
          <w:sz w:val="24"/>
          <w:szCs w:val="22"/>
          <w:vertAlign w:val="superscript"/>
        </w:rPr>
        <w:t>0</w:t>
      </w:r>
      <w:r w:rsidRPr="00001F17">
        <w:rPr>
          <w:rFonts w:ascii="Times New Roman" w:hAnsi="Times New Roman" w:cs="Times New Roman"/>
          <w:sz w:val="24"/>
          <w:szCs w:val="22"/>
        </w:rPr>
        <w:t>E longitude and at an altitude of 235 m above msl.</w:t>
      </w:r>
      <w:r w:rsidR="008377D0" w:rsidRPr="00001F17">
        <w:rPr>
          <w:rFonts w:ascii="Times New Roman" w:hAnsi="Times New Roman" w:cs="Times New Roman"/>
          <w:sz w:val="24"/>
          <w:szCs w:val="22"/>
        </w:rPr>
        <w:t xml:space="preserve"> There were all the facilities to cultivation of crops provided by Department of Agronomy, College of Agriculture, SKRAU, Bikaner. The experimental field soil had sandy loam texture, pH of 8.5 that was slightly alkaline in reaction, very low in organic carbon content (0.109%), very low in available nitrogen (89.21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low in available phosphorus (19.1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medium in available potassium (190.5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and low in available sulphur (16.35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xml:space="preserve">).  On </w:t>
      </w:r>
      <w:r w:rsidR="0046396E" w:rsidRPr="00001F17">
        <w:rPr>
          <w:rFonts w:ascii="Times New Roman" w:hAnsi="Times New Roman" w:cs="Times New Roman"/>
          <w:sz w:val="24"/>
          <w:szCs w:val="22"/>
        </w:rPr>
        <w:t>November 7,</w:t>
      </w:r>
      <w:r w:rsidR="008377D0" w:rsidRPr="00001F17">
        <w:rPr>
          <w:rFonts w:ascii="Times New Roman" w:hAnsi="Times New Roman" w:cs="Times New Roman"/>
          <w:sz w:val="24"/>
          <w:szCs w:val="22"/>
        </w:rPr>
        <w:t xml:space="preserve"> 2019, the crop was sown with GNG 1958 (Marudhar). There were three replications and sixteen treatments combinations</w:t>
      </w:r>
      <w:r w:rsidR="0046396E" w:rsidRPr="00001F17">
        <w:rPr>
          <w:rFonts w:ascii="Times New Roman" w:hAnsi="Times New Roman" w:cs="Times New Roman"/>
          <w:sz w:val="24"/>
          <w:szCs w:val="22"/>
        </w:rPr>
        <w:t xml:space="preserve"> {four levels of basal application of sulphur (0, 20, 40 and 60 kg ha</w:t>
      </w:r>
      <w:r w:rsidR="0046396E" w:rsidRPr="00001F17">
        <w:rPr>
          <w:rFonts w:ascii="Times New Roman" w:hAnsi="Times New Roman" w:cs="Times New Roman"/>
          <w:sz w:val="24"/>
          <w:szCs w:val="22"/>
          <w:vertAlign w:val="superscript"/>
        </w:rPr>
        <w:t>-1</w:t>
      </w:r>
      <w:r w:rsidR="0046396E" w:rsidRPr="00001F17">
        <w:rPr>
          <w:rFonts w:ascii="Times New Roman" w:hAnsi="Times New Roman" w:cs="Times New Roman"/>
          <w:sz w:val="24"/>
          <w:szCs w:val="22"/>
        </w:rPr>
        <w:t>) in main plots and four concentrations of foliar spray at 65 and 75 DAS of liquid sulphur (0, 0.1, 0.2 and 0.3% sulphur) in sub plots}</w:t>
      </w:r>
      <w:r w:rsidR="008377D0" w:rsidRPr="00001F17">
        <w:rPr>
          <w:rFonts w:ascii="Times New Roman" w:hAnsi="Times New Roman" w:cs="Times New Roman"/>
          <w:sz w:val="24"/>
          <w:szCs w:val="22"/>
        </w:rPr>
        <w:t xml:space="preserve">, which were laid out in split plot </w:t>
      </w:r>
      <w:r w:rsidR="0046396E" w:rsidRPr="00001F17">
        <w:rPr>
          <w:rFonts w:ascii="Times New Roman" w:hAnsi="Times New Roman" w:cs="Times New Roman"/>
          <w:sz w:val="24"/>
          <w:szCs w:val="22"/>
        </w:rPr>
        <w:t>design</w:t>
      </w:r>
      <w:r w:rsidR="008377D0" w:rsidRPr="00001F17">
        <w:rPr>
          <w:rFonts w:ascii="Times New Roman" w:hAnsi="Times New Roman" w:cs="Times New Roman"/>
          <w:sz w:val="24"/>
          <w:szCs w:val="22"/>
        </w:rPr>
        <w:t>.</w:t>
      </w:r>
    </w:p>
    <w:p w:rsidR="00FC7284" w:rsidRPr="00001F17" w:rsidRDefault="0046396E" w:rsidP="00FC7284">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Gypsum was used as the basal dose for the application of sulphur during field preparation in the main plots, while liquid sulphur was applied twice, once at 65 DAS and once at 10 days after the initial application (75 DAS), in the sub plots, in accordance with the treatments, using 500 litres of water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t>
      </w:r>
      <w:r w:rsidR="00FC7284" w:rsidRPr="00001F17">
        <w:rPr>
          <w:rFonts w:ascii="Times New Roman" w:hAnsi="Times New Roman" w:cs="Times New Roman"/>
          <w:sz w:val="24"/>
          <w:szCs w:val="22"/>
        </w:rPr>
        <w:t>In main plot- g</w:t>
      </w:r>
      <w:r w:rsidRPr="00001F17">
        <w:rPr>
          <w:rFonts w:ascii="Times New Roman" w:hAnsi="Times New Roman" w:cs="Times New Roman"/>
          <w:sz w:val="24"/>
          <w:szCs w:val="22"/>
        </w:rPr>
        <w:t>ypsum application rates of 108, 216 and 324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were determined according to the treatments (20, 40, and 60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and spread before sowing being mixed into the soil with a tractor-drawn rotavator. No sulphur was added to control plots.</w:t>
      </w:r>
      <w:r w:rsidR="00FC7284" w:rsidRPr="00001F17">
        <w:rPr>
          <w:rFonts w:ascii="Times New Roman" w:hAnsi="Times New Roman" w:cs="Times New Roman"/>
          <w:sz w:val="24"/>
          <w:szCs w:val="22"/>
        </w:rPr>
        <w:t xml:space="preserve"> In sub plot- c</w:t>
      </w:r>
      <w:r w:rsidRPr="00001F17">
        <w:rPr>
          <w:rFonts w:ascii="Times New Roman" w:hAnsi="Times New Roman" w:cs="Times New Roman"/>
          <w:sz w:val="24"/>
          <w:szCs w:val="22"/>
        </w:rPr>
        <w:t>ommercial liquid sulp</w:t>
      </w:r>
      <w:r w:rsidR="00FC7284" w:rsidRPr="00001F17">
        <w:rPr>
          <w:rFonts w:ascii="Times New Roman" w:hAnsi="Times New Roman" w:cs="Times New Roman"/>
          <w:sz w:val="24"/>
          <w:szCs w:val="22"/>
        </w:rPr>
        <w:t xml:space="preserve">hur (40% S) used for preparation </w:t>
      </w:r>
      <w:r w:rsidRPr="00001F17">
        <w:rPr>
          <w:rFonts w:ascii="Times New Roman" w:hAnsi="Times New Roman" w:cs="Times New Roman"/>
          <w:sz w:val="24"/>
          <w:szCs w:val="22"/>
        </w:rPr>
        <w:t>solutions of the desired liquid s</w:t>
      </w:r>
      <w:r w:rsidR="00FC7284" w:rsidRPr="00001F17">
        <w:rPr>
          <w:rFonts w:ascii="Times New Roman" w:hAnsi="Times New Roman" w:cs="Times New Roman"/>
          <w:sz w:val="24"/>
          <w:szCs w:val="22"/>
        </w:rPr>
        <w:t>ulphur concentrations (0.1, 0.2</w:t>
      </w:r>
      <w:r w:rsidRPr="00001F17">
        <w:rPr>
          <w:rFonts w:ascii="Times New Roman" w:hAnsi="Times New Roman" w:cs="Times New Roman"/>
          <w:sz w:val="24"/>
          <w:szCs w:val="22"/>
        </w:rPr>
        <w:t xml:space="preserve"> and 0.3%) were made and sprayed in the designated plots for the appropriate treatments.</w:t>
      </w:r>
      <w:r w:rsidR="00FC7284" w:rsidRPr="00001F17">
        <w:rPr>
          <w:rFonts w:ascii="Times New Roman" w:hAnsi="Times New Roman" w:cs="Times New Roman"/>
          <w:sz w:val="24"/>
          <w:szCs w:val="22"/>
        </w:rPr>
        <w:t xml:space="preserve"> There was no foliar application of liquid sulphur in the plots under control. Application of fertilizer as per recommendation i.e., 20 kg N, 40 kg P</w:t>
      </w:r>
      <w:r w:rsidR="00FC7284" w:rsidRPr="00001F17">
        <w:rPr>
          <w:rFonts w:ascii="Times New Roman" w:hAnsi="Times New Roman" w:cs="Times New Roman"/>
          <w:sz w:val="24"/>
          <w:szCs w:val="22"/>
          <w:vertAlign w:val="subscript"/>
        </w:rPr>
        <w:t>2</w:t>
      </w:r>
      <w:r w:rsidR="00FC7284" w:rsidRPr="00001F17">
        <w:rPr>
          <w:rFonts w:ascii="Times New Roman" w:hAnsi="Times New Roman" w:cs="Times New Roman"/>
          <w:sz w:val="24"/>
          <w:szCs w:val="22"/>
        </w:rPr>
        <w:t>O</w:t>
      </w:r>
      <w:r w:rsidR="00FC7284" w:rsidRPr="00001F17">
        <w:rPr>
          <w:rFonts w:ascii="Times New Roman" w:hAnsi="Times New Roman" w:cs="Times New Roman"/>
          <w:sz w:val="24"/>
          <w:szCs w:val="22"/>
          <w:vertAlign w:val="subscript"/>
        </w:rPr>
        <w:t>5</w:t>
      </w:r>
      <w:r w:rsidR="00FC7284" w:rsidRPr="00001F17">
        <w:rPr>
          <w:rFonts w:ascii="Times New Roman" w:hAnsi="Times New Roman" w:cs="Times New Roman"/>
          <w:sz w:val="24"/>
          <w:szCs w:val="22"/>
        </w:rPr>
        <w:t xml:space="preserve"> and 20 kg K</w:t>
      </w:r>
      <w:r w:rsidR="00FC7284" w:rsidRPr="00001F17">
        <w:rPr>
          <w:rFonts w:ascii="Times New Roman" w:hAnsi="Times New Roman" w:cs="Times New Roman"/>
          <w:sz w:val="24"/>
          <w:szCs w:val="22"/>
          <w:vertAlign w:val="subscript"/>
        </w:rPr>
        <w:t>2</w:t>
      </w:r>
      <w:r w:rsidR="00FC7284" w:rsidRPr="00001F17">
        <w:rPr>
          <w:rFonts w:ascii="Times New Roman" w:hAnsi="Times New Roman" w:cs="Times New Roman"/>
          <w:sz w:val="24"/>
          <w:szCs w:val="22"/>
        </w:rPr>
        <w:t>O ha</w:t>
      </w:r>
      <w:r w:rsidR="00FC7284" w:rsidRPr="00001F17">
        <w:rPr>
          <w:rFonts w:ascii="Times New Roman" w:hAnsi="Times New Roman" w:cs="Times New Roman"/>
          <w:sz w:val="24"/>
          <w:szCs w:val="22"/>
          <w:vertAlign w:val="superscript"/>
        </w:rPr>
        <w:t>-1</w:t>
      </w:r>
      <w:r w:rsidR="00FC7284" w:rsidRPr="00001F17">
        <w:rPr>
          <w:rFonts w:ascii="Times New Roman" w:hAnsi="Times New Roman" w:cs="Times New Roman"/>
          <w:sz w:val="24"/>
          <w:szCs w:val="22"/>
        </w:rPr>
        <w:t xml:space="preserve"> were applied as basal through urea, DAP and MOP, respectively. The entire quantity of P</w:t>
      </w:r>
      <w:r w:rsidR="00FC7284" w:rsidRPr="00001F17">
        <w:rPr>
          <w:rFonts w:ascii="Times New Roman" w:hAnsi="Times New Roman" w:cs="Times New Roman"/>
          <w:sz w:val="24"/>
          <w:szCs w:val="22"/>
          <w:vertAlign w:val="subscript"/>
        </w:rPr>
        <w:t>2</w:t>
      </w:r>
      <w:r w:rsidR="00FC7284" w:rsidRPr="00001F17">
        <w:rPr>
          <w:rFonts w:ascii="Times New Roman" w:hAnsi="Times New Roman" w:cs="Times New Roman"/>
          <w:sz w:val="24"/>
          <w:szCs w:val="22"/>
        </w:rPr>
        <w:t>O</w:t>
      </w:r>
      <w:r w:rsidR="00FC7284" w:rsidRPr="00001F17">
        <w:rPr>
          <w:rFonts w:ascii="Times New Roman" w:hAnsi="Times New Roman" w:cs="Times New Roman"/>
          <w:sz w:val="24"/>
          <w:szCs w:val="22"/>
          <w:vertAlign w:val="subscript"/>
        </w:rPr>
        <w:t>5</w:t>
      </w:r>
      <w:r w:rsidR="00FC7284" w:rsidRPr="00001F17">
        <w:rPr>
          <w:rFonts w:ascii="Times New Roman" w:hAnsi="Times New Roman" w:cs="Times New Roman"/>
          <w:sz w:val="24"/>
          <w:szCs w:val="22"/>
        </w:rPr>
        <w:t xml:space="preserve"> was delivered through DAP. Thus, the amount of nitrogen that had previously been supplied through DAP was determined, and in accordance with the remaining nitrogen, urea was used to supply the remaining nitrogen.</w:t>
      </w:r>
    </w:p>
    <w:p w:rsidR="00390B53" w:rsidRPr="00001F17" w:rsidRDefault="00390B53" w:rsidP="00390B53">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lastRenderedPageBreak/>
        <w:tab/>
      </w:r>
      <w:r w:rsidR="006E3500" w:rsidRPr="00001F17">
        <w:rPr>
          <w:rFonts w:ascii="Times New Roman" w:hAnsi="Times New Roman" w:cs="Times New Roman"/>
          <w:sz w:val="24"/>
          <w:szCs w:val="22"/>
        </w:rPr>
        <w:t>The field should be cross-cultivated with a tractor-drawn cultivator after harvest of pre season sown pearl millet crop. For field preparation, a harrowing and planking were both performed. The sowing was done with pre</w:t>
      </w:r>
      <w:r w:rsidRPr="00001F17">
        <w:rPr>
          <w:rFonts w:ascii="Times New Roman" w:hAnsi="Times New Roman" w:cs="Times New Roman"/>
          <w:sz w:val="24"/>
          <w:szCs w:val="22"/>
        </w:rPr>
        <w:t xml:space="preserve"> sown irrigation and 80 kg seeds used for one ha land and then three irrigations were further delivered via sprinkler system as and when necessary to promote the best growth, development, and yield of chickpea. Two hand weeding at 22 DAS (November 30, 2019) and 15 days after first weeding (December 15, 2019) were done</w:t>
      </w:r>
      <w:r w:rsidR="006E3500" w:rsidRPr="00001F17">
        <w:rPr>
          <w:rFonts w:ascii="Times New Roman" w:hAnsi="Times New Roman" w:cs="Times New Roman"/>
          <w:sz w:val="24"/>
          <w:szCs w:val="22"/>
        </w:rPr>
        <w:t xml:space="preserve"> to reduce crop weed competition.</w:t>
      </w:r>
      <w:r w:rsidRPr="00001F17">
        <w:rPr>
          <w:rFonts w:ascii="Times New Roman" w:hAnsi="Times New Roman" w:cs="Times New Roman"/>
          <w:sz w:val="24"/>
          <w:szCs w:val="22"/>
        </w:rPr>
        <w:t xml:space="preserve"> Quinalphos 25% EC @ 1 litre</w:t>
      </w:r>
      <w:r w:rsidRPr="00001F17">
        <w:rPr>
          <w:rFonts w:ascii="Times New Roman" w:hAnsi="Times New Roman" w:cs="Times New Roman"/>
          <w:i/>
          <w:iCs/>
          <w:sz w:val="24"/>
          <w:szCs w:val="22"/>
        </w:rPr>
        <w:t>a.i</w:t>
      </w:r>
      <w:r w:rsidRPr="00001F17">
        <w:rPr>
          <w:rFonts w:ascii="Times New Roman" w:hAnsi="Times New Roman" w:cs="Times New Roman"/>
          <w:sz w:val="24"/>
          <w:szCs w:val="22"/>
        </w:rPr>
        <w:t>.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was made in 500 litres of water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and sprayed on 26.02.2020 to control pod borer. The crop was collected from the net plot after it reached physiological maturity and the plant turned yellow.</w:t>
      </w:r>
    </w:p>
    <w:p w:rsidR="00760006" w:rsidRPr="00001F17" w:rsidRDefault="00760006" w:rsidP="00760006">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The number of plants at harvest was counted using a quadrate (1 m</w:t>
      </w:r>
      <w:r w:rsidRPr="00001F17">
        <w:rPr>
          <w:rFonts w:ascii="Times New Roman" w:hAnsi="Times New Roman" w:cs="Times New Roman"/>
          <w:sz w:val="24"/>
          <w:szCs w:val="22"/>
          <w:vertAlign w:val="superscript"/>
        </w:rPr>
        <w:t>2</w:t>
      </w:r>
      <w:r w:rsidRPr="00001F17">
        <w:rPr>
          <w:rFonts w:ascii="Times New Roman" w:hAnsi="Times New Roman" w:cs="Times New Roman"/>
          <w:sz w:val="24"/>
          <w:szCs w:val="22"/>
        </w:rPr>
        <w:t>) from each plot in three randomly chosen locations, and the average was represented as plant stands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Each plot, five plants were selected randomly and tagged them. At harvest, the height of the tagged plant was measured from the ground up to the top of the main shoot, and the average value was expressed as plant height (cm). For the purpose of estimating the dry matter accumulation at 30, 60, 90 and harvest, five randomly selected plants were uprooted carefully from the sample row of each plot. Plants that had been sampled in this way were cleaned, and their roots were cut out using a sharp knife. The test plants were initially sun dried in paper bags for a couple of days and then they were baked at 70° for a day to reach their final weight. Plant sample weight was recorded after thorough drying. After that, it was averaged to express it as dry matter expressed in g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At 85 DAS, the chlorophyll content was calculated. According to research by Hiscox and Israelstem (1979), chlorophyll extracted in DMSO and 90% acetone had nearly comparable absorption spectra (600–680 nm). Chlorophyll was extracted using DMSO in accordance with this, and transmittance was measured using a spectrophotometer at 645 and 663 nm. As shown below, equation was used to calculate the chlorophyll content:</w:t>
      </w:r>
    </w:p>
    <w:p w:rsidR="00AE47E7" w:rsidRPr="00001F17" w:rsidRDefault="00AE47E7" w:rsidP="00760006">
      <w:pPr>
        <w:spacing w:after="0" w:line="360" w:lineRule="auto"/>
        <w:jc w:val="both"/>
        <w:rPr>
          <w:rFonts w:ascii="Times New Roman" w:hAnsi="Times New Roman" w:cs="Times New Roman"/>
          <w:sz w:val="24"/>
          <w:szCs w:val="22"/>
        </w:rPr>
      </w:pPr>
      <m:oMathPara>
        <m:oMath>
          <m:r>
            <w:rPr>
              <w:rFonts w:ascii="Cambria Math" w:hAnsi="Cambria Math" w:cs="Times New Roman"/>
              <w:sz w:val="24"/>
              <w:szCs w:val="22"/>
            </w:rPr>
            <m:t xml:space="preserve">Chlorophyll </m:t>
          </m:r>
          <m:r>
            <m:rPr>
              <m:nor/>
            </m:rPr>
            <w:rPr>
              <w:rFonts w:ascii="Cambria Math" w:hAnsi="Cambria Math" w:cs="Times New Roman"/>
              <w:sz w:val="24"/>
              <w:szCs w:val="22"/>
            </w:rPr>
            <m:t xml:space="preserve">a </m:t>
          </m:r>
          <m:d>
            <m:dPr>
              <m:ctrlPr>
                <w:rPr>
                  <w:rFonts w:ascii="Cambria Math" w:hAnsi="Cambria Math" w:cs="Times New Roman"/>
                  <w:i/>
                  <w:sz w:val="24"/>
                  <w:szCs w:val="22"/>
                </w:rPr>
              </m:ctrlPr>
            </m:dPr>
            <m:e>
              <m:r>
                <w:rPr>
                  <w:rFonts w:ascii="Cambria Math" w:hAnsi="Cambria Math" w:cs="Times New Roman"/>
                  <w:sz w:val="24"/>
                  <w:szCs w:val="22"/>
                </w:rPr>
                <m:t xml:space="preserve">mg </m:t>
              </m:r>
              <m:sSup>
                <m:sSupPr>
                  <m:ctrlPr>
                    <w:rPr>
                      <w:rFonts w:ascii="Cambria Math" w:hAnsi="Cambria Math" w:cs="Times New Roman"/>
                      <w:i/>
                      <w:sz w:val="24"/>
                      <w:szCs w:val="22"/>
                    </w:rPr>
                  </m:ctrlPr>
                </m:sSupPr>
                <m:e>
                  <m:r>
                    <w:rPr>
                      <w:rFonts w:ascii="Cambria Math" w:hAnsi="Cambria Math" w:cs="Times New Roman"/>
                      <w:sz w:val="24"/>
                      <w:szCs w:val="22"/>
                    </w:rPr>
                    <m:t>g</m:t>
                  </m:r>
                </m:e>
                <m:sup>
                  <m:r>
                    <w:rPr>
                      <w:rFonts w:ascii="Cambria Math" w:hAnsi="Cambria Math" w:cs="Times New Roman"/>
                      <w:sz w:val="24"/>
                      <w:szCs w:val="22"/>
                    </w:rPr>
                    <m:t>-1</m:t>
                  </m:r>
                </m:sup>
              </m:sSup>
              <m:r>
                <w:rPr>
                  <w:rFonts w:ascii="Cambria Math" w:hAnsi="Cambria Math" w:cs="Times New Roman"/>
                  <w:sz w:val="24"/>
                  <w:szCs w:val="22"/>
                </w:rPr>
                <m:t xml:space="preserve"> fresh weight of leaves</m:t>
              </m:r>
            </m:e>
          </m:d>
          <m:r>
            <w:rPr>
              <w:rFonts w:ascii="Cambria Math" w:hAnsi="Cambria Math" w:cs="Times New Roman"/>
              <w:sz w:val="24"/>
              <w:szCs w:val="22"/>
            </w:rPr>
            <m:t>=</m:t>
          </m:r>
          <m:f>
            <m:fPr>
              <m:ctrlPr>
                <w:rPr>
                  <w:rFonts w:ascii="Cambria Math" w:hAnsi="Cambria Math" w:cs="Times New Roman"/>
                  <w:i/>
                  <w:sz w:val="24"/>
                  <w:szCs w:val="22"/>
                </w:rPr>
              </m:ctrlPr>
            </m:fPr>
            <m:num>
              <m:d>
                <m:dPr>
                  <m:ctrlPr>
                    <w:rPr>
                      <w:rFonts w:ascii="Cambria Math" w:hAnsi="Cambria Math" w:cs="Times New Roman"/>
                      <w:i/>
                      <w:sz w:val="24"/>
                      <w:szCs w:val="22"/>
                    </w:rPr>
                  </m:ctrlPr>
                </m:dPr>
                <m:e>
                  <m:r>
                    <w:rPr>
                      <w:rFonts w:ascii="Cambria Math" w:hAnsi="Cambria Math" w:cs="Times New Roman"/>
                      <w:sz w:val="24"/>
                      <w:szCs w:val="22"/>
                    </w:rPr>
                    <m:t xml:space="preserve">12.7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663</m:t>
                      </m:r>
                    </m:sub>
                  </m:sSub>
                </m:e>
              </m:d>
              <m:r>
                <w:rPr>
                  <w:rFonts w:ascii="Cambria Math" w:hAnsi="Cambria Math" w:cs="Times New Roman"/>
                  <w:sz w:val="24"/>
                  <w:szCs w:val="22"/>
                </w:rPr>
                <m:t>-</m:t>
              </m:r>
              <m:d>
                <m:dPr>
                  <m:ctrlPr>
                    <w:rPr>
                      <w:rFonts w:ascii="Cambria Math" w:hAnsi="Cambria Math" w:cs="Times New Roman"/>
                      <w:i/>
                      <w:sz w:val="24"/>
                      <w:szCs w:val="22"/>
                    </w:rPr>
                  </m:ctrlPr>
                </m:dPr>
                <m:e>
                  <m:r>
                    <w:rPr>
                      <w:rFonts w:ascii="Cambria Math" w:hAnsi="Cambria Math" w:cs="Times New Roman"/>
                      <w:sz w:val="24"/>
                      <w:szCs w:val="22"/>
                    </w:rPr>
                    <m:t xml:space="preserve">2.69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645</m:t>
                      </m:r>
                    </m:sub>
                  </m:sSub>
                </m:e>
              </m:d>
            </m:num>
            <m:den>
              <m:r>
                <w:rPr>
                  <w:rFonts w:ascii="Cambria Math" w:hAnsi="Cambria Math" w:cs="Times New Roman"/>
                  <w:sz w:val="24"/>
                  <w:szCs w:val="22"/>
                </w:rPr>
                <m:t>1000</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Volume of DMSO</m:t>
              </m:r>
            </m:num>
            <m:den>
              <m:r>
                <w:rPr>
                  <w:rFonts w:ascii="Cambria Math" w:hAnsi="Cambria Math" w:cs="Times New Roman"/>
                  <w:sz w:val="24"/>
                  <w:szCs w:val="22"/>
                </w:rPr>
                <m:t>Weight of leaf sample</m:t>
              </m:r>
            </m:den>
          </m:f>
        </m:oMath>
      </m:oMathPara>
    </w:p>
    <w:p w:rsidR="00AE47E7" w:rsidRPr="00001F17" w:rsidRDefault="00AE47E7" w:rsidP="00760006">
      <w:pPr>
        <w:spacing w:after="0" w:line="360" w:lineRule="auto"/>
        <w:jc w:val="both"/>
        <w:rPr>
          <w:rFonts w:ascii="Times New Roman" w:hAnsi="Times New Roman" w:cs="Times New Roman"/>
          <w:sz w:val="24"/>
          <w:szCs w:val="22"/>
        </w:rPr>
      </w:pPr>
      <m:oMathPara>
        <m:oMath>
          <m:r>
            <w:rPr>
              <w:rFonts w:ascii="Cambria Math" w:hAnsi="Cambria Math" w:cs="Times New Roman"/>
              <w:sz w:val="24"/>
              <w:szCs w:val="22"/>
            </w:rPr>
            <m:t>Chlorophyll b</m:t>
          </m:r>
          <m:d>
            <m:dPr>
              <m:ctrlPr>
                <w:rPr>
                  <w:rFonts w:ascii="Cambria Math" w:hAnsi="Cambria Math" w:cs="Times New Roman"/>
                  <w:i/>
                  <w:sz w:val="24"/>
                  <w:szCs w:val="22"/>
                </w:rPr>
              </m:ctrlPr>
            </m:dPr>
            <m:e>
              <m:r>
                <w:rPr>
                  <w:rFonts w:ascii="Cambria Math" w:hAnsi="Cambria Math" w:cs="Times New Roman"/>
                  <w:sz w:val="24"/>
                  <w:szCs w:val="22"/>
                </w:rPr>
                <m:t xml:space="preserve">mg </m:t>
              </m:r>
              <m:sSup>
                <m:sSupPr>
                  <m:ctrlPr>
                    <w:rPr>
                      <w:rFonts w:ascii="Cambria Math" w:hAnsi="Cambria Math" w:cs="Times New Roman"/>
                      <w:i/>
                      <w:sz w:val="24"/>
                      <w:szCs w:val="22"/>
                    </w:rPr>
                  </m:ctrlPr>
                </m:sSupPr>
                <m:e>
                  <m:r>
                    <w:rPr>
                      <w:rFonts w:ascii="Cambria Math" w:hAnsi="Cambria Math" w:cs="Times New Roman"/>
                      <w:sz w:val="24"/>
                      <w:szCs w:val="22"/>
                    </w:rPr>
                    <m:t>g</m:t>
                  </m:r>
                </m:e>
                <m:sup>
                  <m:r>
                    <w:rPr>
                      <w:rFonts w:ascii="Cambria Math" w:hAnsi="Cambria Math" w:cs="Times New Roman"/>
                      <w:sz w:val="24"/>
                      <w:szCs w:val="22"/>
                    </w:rPr>
                    <m:t>-1</m:t>
                  </m:r>
                </m:sup>
              </m:sSup>
              <m:r>
                <w:rPr>
                  <w:rFonts w:ascii="Cambria Math" w:hAnsi="Cambria Math" w:cs="Times New Roman"/>
                  <w:sz w:val="24"/>
                  <w:szCs w:val="22"/>
                </w:rPr>
                <m:t xml:space="preserve"> fresh weight of leaves</m:t>
              </m:r>
            </m:e>
          </m:d>
          <m:r>
            <w:rPr>
              <w:rFonts w:ascii="Cambria Math" w:hAnsi="Cambria Math" w:cs="Times New Roman"/>
              <w:sz w:val="24"/>
              <w:szCs w:val="22"/>
            </w:rPr>
            <m:t>=</m:t>
          </m:r>
          <m:f>
            <m:fPr>
              <m:ctrlPr>
                <w:rPr>
                  <w:rFonts w:ascii="Cambria Math" w:hAnsi="Cambria Math" w:cs="Times New Roman"/>
                  <w:i/>
                  <w:sz w:val="24"/>
                  <w:szCs w:val="22"/>
                </w:rPr>
              </m:ctrlPr>
            </m:fPr>
            <m:num>
              <m:d>
                <m:dPr>
                  <m:ctrlPr>
                    <w:rPr>
                      <w:rFonts w:ascii="Cambria Math" w:hAnsi="Cambria Math" w:cs="Times New Roman"/>
                      <w:i/>
                      <w:sz w:val="24"/>
                      <w:szCs w:val="22"/>
                    </w:rPr>
                  </m:ctrlPr>
                </m:dPr>
                <m:e>
                  <m:r>
                    <w:rPr>
                      <w:rFonts w:ascii="Cambria Math" w:hAnsi="Cambria Math" w:cs="Times New Roman"/>
                      <w:sz w:val="24"/>
                      <w:szCs w:val="22"/>
                    </w:rPr>
                    <m:t xml:space="preserve">22.9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645</m:t>
                      </m:r>
                    </m:sub>
                  </m:sSub>
                </m:e>
              </m:d>
              <m:r>
                <w:rPr>
                  <w:rFonts w:ascii="Cambria Math" w:hAnsi="Cambria Math" w:cs="Times New Roman"/>
                  <w:sz w:val="24"/>
                  <w:szCs w:val="22"/>
                </w:rPr>
                <m:t>-</m:t>
              </m:r>
              <m:d>
                <m:dPr>
                  <m:ctrlPr>
                    <w:rPr>
                      <w:rFonts w:ascii="Cambria Math" w:hAnsi="Cambria Math" w:cs="Times New Roman"/>
                      <w:i/>
                      <w:sz w:val="24"/>
                      <w:szCs w:val="22"/>
                    </w:rPr>
                  </m:ctrlPr>
                </m:dPr>
                <m:e>
                  <m:r>
                    <w:rPr>
                      <w:rFonts w:ascii="Cambria Math" w:hAnsi="Cambria Math" w:cs="Times New Roman"/>
                      <w:sz w:val="24"/>
                      <w:szCs w:val="22"/>
                    </w:rPr>
                    <m:t xml:space="preserve">4.65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663</m:t>
                      </m:r>
                    </m:sub>
                  </m:sSub>
                </m:e>
              </m:d>
            </m:num>
            <m:den>
              <m:r>
                <w:rPr>
                  <w:rFonts w:ascii="Cambria Math" w:hAnsi="Cambria Math" w:cs="Times New Roman"/>
                  <w:sz w:val="24"/>
                  <w:szCs w:val="22"/>
                </w:rPr>
                <m:t>1000</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Volume of DMSO</m:t>
              </m:r>
            </m:num>
            <m:den>
              <m:r>
                <w:rPr>
                  <w:rFonts w:ascii="Cambria Math" w:hAnsi="Cambria Math" w:cs="Times New Roman"/>
                  <w:sz w:val="24"/>
                  <w:szCs w:val="22"/>
                </w:rPr>
                <m:t>Weight of leaf sample</m:t>
              </m:r>
            </m:den>
          </m:f>
        </m:oMath>
      </m:oMathPara>
    </w:p>
    <w:p w:rsidR="00040F0F" w:rsidRPr="00001F17" w:rsidRDefault="00040F0F"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Chlorophyll “a” and “b” were simply added to determine the total chlorophyll content, which was then expressed as total Chlorophyll (mg g</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fresh weight of leaves).</w:t>
      </w:r>
    </w:p>
    <w:p w:rsidR="00040F0F" w:rsidRPr="00001F17" w:rsidRDefault="00040F0F"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lastRenderedPageBreak/>
        <w:tab/>
        <w:t>Five selected plant pods were counted and the mean number of pods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Each plot's ten randomly selected pods were threshed and the total number of seeds was counted. To calculate the average number of seeds in each pod, the same were used. A small sample of 1000 seeds was randomly selected from each plot's harvest in order to calculate the test weight. Following harvest and threshing, the weight of the seeds harvested from each plot was recorded and then converted to express in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By deducting the biological yield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from the seed yield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the straw yield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was estimated. After being fully sun-dried, harvested bundles from each net plot were weighed for biological yield and converted to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w:t>
      </w:r>
    </w:p>
    <w:p w:rsidR="00040F0F" w:rsidRPr="00001F17" w:rsidRDefault="00040F0F"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To investigate the significance of the results, the conventional process outlined by </w:t>
      </w:r>
      <w:r w:rsidR="00813943" w:rsidRPr="00001F17">
        <w:rPr>
          <w:rFonts w:ascii="Times New Roman" w:hAnsi="Times New Roman" w:cs="Times New Roman"/>
          <w:sz w:val="24"/>
          <w:szCs w:val="22"/>
        </w:rPr>
        <w:t xml:space="preserve">Fisher and Yates </w:t>
      </w:r>
      <w:r w:rsidR="000B6EFF">
        <w:rPr>
          <w:rFonts w:ascii="Times New Roman" w:hAnsi="Times New Roman" w:cs="Times New Roman"/>
          <w:sz w:val="24"/>
          <w:szCs w:val="22"/>
        </w:rPr>
        <w:t>(</w:t>
      </w:r>
      <w:r w:rsidR="000B6EFF" w:rsidRPr="000B6EFF">
        <w:rPr>
          <w:rFonts w:ascii="Times New Roman" w:hAnsi="Times New Roman" w:cs="Times New Roman"/>
          <w:color w:val="FF0000"/>
          <w:sz w:val="24"/>
          <w:szCs w:val="22"/>
        </w:rPr>
        <w:t>1963</w:t>
      </w:r>
      <w:r w:rsidR="00813943" w:rsidRPr="00001F17">
        <w:rPr>
          <w:rFonts w:ascii="Times New Roman" w:hAnsi="Times New Roman" w:cs="Times New Roman"/>
          <w:sz w:val="24"/>
          <w:szCs w:val="22"/>
        </w:rPr>
        <w:t xml:space="preserve">) </w:t>
      </w:r>
      <w:r w:rsidRPr="00001F17">
        <w:rPr>
          <w:rFonts w:ascii="Times New Roman" w:hAnsi="Times New Roman" w:cs="Times New Roman"/>
          <w:sz w:val="24"/>
          <w:szCs w:val="22"/>
        </w:rPr>
        <w:t xml:space="preserve">was followed by employing the technique of analysis of variance for split plot design. The critical differences were calculated to determine the significance of differences between the treatments in cases where the “F” test indicated significance at the 5% level of probability. </w:t>
      </w:r>
    </w:p>
    <w:p w:rsidR="00040F0F" w:rsidRPr="00001F17" w:rsidRDefault="00040F0F"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Results and Discussion</w:t>
      </w:r>
    </w:p>
    <w:p w:rsidR="00040F0F"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Basal application of sulphur</w:t>
      </w:r>
    </w:p>
    <w:p w:rsidR="00F519DA" w:rsidRPr="00001F17" w:rsidRDefault="00F519DA" w:rsidP="00F519DA">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Growth parameters</w:t>
      </w:r>
    </w:p>
    <w:p w:rsidR="00F519DA" w:rsidRPr="00001F17" w:rsidRDefault="006472C5"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An appraisal of data in Table 1 shows that </w:t>
      </w:r>
      <w:r w:rsidR="00973C0A" w:rsidRPr="00001F17">
        <w:rPr>
          <w:rFonts w:ascii="Times New Roman" w:hAnsi="Times New Roman" w:cs="Times New Roman"/>
          <w:sz w:val="24"/>
          <w:szCs w:val="22"/>
        </w:rPr>
        <w:t xml:space="preserve">basal applications of sulphur at </w:t>
      </w:r>
      <w:r w:rsidR="00C849B9" w:rsidRPr="00001F17">
        <w:rPr>
          <w:rFonts w:ascii="Times New Roman" w:hAnsi="Times New Roman" w:cs="Times New Roman"/>
          <w:sz w:val="24"/>
          <w:szCs w:val="22"/>
        </w:rPr>
        <w:t>4</w:t>
      </w:r>
      <w:r w:rsidR="00973C0A" w:rsidRPr="00001F17">
        <w:rPr>
          <w:rFonts w:ascii="Times New Roman" w:hAnsi="Times New Roman" w:cs="Times New Roman"/>
          <w:sz w:val="24"/>
          <w:szCs w:val="22"/>
        </w:rPr>
        <w:t>0 kg ha</w:t>
      </w:r>
      <w:r w:rsidR="00973C0A" w:rsidRPr="00001F17">
        <w:rPr>
          <w:rFonts w:ascii="Times New Roman" w:hAnsi="Times New Roman" w:cs="Times New Roman"/>
          <w:sz w:val="24"/>
          <w:szCs w:val="22"/>
          <w:vertAlign w:val="superscript"/>
        </w:rPr>
        <w:t xml:space="preserve">-1 </w:t>
      </w:r>
      <w:r w:rsidRPr="00001F17">
        <w:rPr>
          <w:rFonts w:ascii="Times New Roman" w:hAnsi="Times New Roman" w:cs="Times New Roman"/>
          <w:sz w:val="24"/>
          <w:szCs w:val="22"/>
        </w:rPr>
        <w:t>resulted</w:t>
      </w:r>
      <w:r w:rsidR="00F519DA" w:rsidRPr="00001F17">
        <w:rPr>
          <w:rFonts w:ascii="Times New Roman" w:hAnsi="Times New Roman" w:cs="Times New Roman"/>
          <w:sz w:val="24"/>
          <w:szCs w:val="22"/>
        </w:rPr>
        <w:t xml:space="preserve"> significant influence on growth parameters </w:t>
      </w:r>
      <w:r w:rsidR="00F519DA" w:rsidRPr="00001F17">
        <w:rPr>
          <w:rFonts w:ascii="Times New Roman" w:hAnsi="Times New Roman" w:cs="Times New Roman"/>
          <w:i/>
          <w:sz w:val="24"/>
          <w:szCs w:val="22"/>
        </w:rPr>
        <w:t xml:space="preserve">i.e. </w:t>
      </w:r>
      <w:r w:rsidR="00F519DA" w:rsidRPr="00001F17">
        <w:rPr>
          <w:rFonts w:ascii="Times New Roman" w:hAnsi="Times New Roman" w:cs="Times New Roman"/>
          <w:sz w:val="24"/>
          <w:szCs w:val="22"/>
        </w:rPr>
        <w:t>dry matter accumulation at 60</w:t>
      </w:r>
      <w:r w:rsidRPr="00001F17">
        <w:rPr>
          <w:rFonts w:ascii="Times New Roman" w:hAnsi="Times New Roman" w:cs="Times New Roman"/>
          <w:sz w:val="24"/>
          <w:szCs w:val="22"/>
        </w:rPr>
        <w:t>,</w:t>
      </w:r>
      <w:r w:rsidR="00F519DA" w:rsidRPr="00001F17">
        <w:rPr>
          <w:rFonts w:ascii="Times New Roman" w:hAnsi="Times New Roman" w:cs="Times New Roman"/>
          <w:sz w:val="24"/>
          <w:szCs w:val="22"/>
        </w:rPr>
        <w:t xml:space="preserve"> 90 DAS and at harvest, chlorophyll content at 85 DAS and plant height at harvest</w:t>
      </w:r>
      <w:r w:rsidR="00973C0A" w:rsidRPr="00001F17">
        <w:rPr>
          <w:rFonts w:ascii="Times New Roman" w:hAnsi="Times New Roman" w:cs="Times New Roman"/>
          <w:sz w:val="24"/>
          <w:szCs w:val="22"/>
        </w:rPr>
        <w:t xml:space="preserve"> over control and basal applications of sulphur at 20 kg ha</w:t>
      </w:r>
      <w:r w:rsidR="00973C0A" w:rsidRPr="00001F17">
        <w:rPr>
          <w:rFonts w:ascii="Times New Roman" w:hAnsi="Times New Roman" w:cs="Times New Roman"/>
          <w:sz w:val="24"/>
          <w:szCs w:val="22"/>
          <w:vertAlign w:val="superscript"/>
        </w:rPr>
        <w:t>-1</w:t>
      </w:r>
      <w:r w:rsidR="00973C0A" w:rsidRPr="00001F17">
        <w:rPr>
          <w:rFonts w:ascii="Times New Roman" w:hAnsi="Times New Roman" w:cs="Times New Roman"/>
          <w:sz w:val="24"/>
          <w:szCs w:val="22"/>
        </w:rPr>
        <w:t>, which was being at par with basal applications of sulphur at 60 kg ha</w:t>
      </w:r>
      <w:r w:rsidR="00973C0A" w:rsidRPr="00001F17">
        <w:rPr>
          <w:rFonts w:ascii="Times New Roman" w:hAnsi="Times New Roman" w:cs="Times New Roman"/>
          <w:sz w:val="24"/>
          <w:szCs w:val="22"/>
          <w:vertAlign w:val="superscript"/>
        </w:rPr>
        <w:t>-1</w:t>
      </w:r>
      <w:r w:rsidR="00F519DA" w:rsidRPr="00001F17">
        <w:rPr>
          <w:rFonts w:ascii="Times New Roman" w:hAnsi="Times New Roman" w:cs="Times New Roman"/>
          <w:sz w:val="24"/>
          <w:szCs w:val="22"/>
        </w:rPr>
        <w:t>.</w:t>
      </w:r>
      <w:r w:rsidR="00545FC8" w:rsidRPr="00001F17">
        <w:rPr>
          <w:rFonts w:ascii="Times New Roman" w:hAnsi="Times New Roman" w:cs="Times New Roman"/>
          <w:sz w:val="24"/>
          <w:szCs w:val="22"/>
        </w:rPr>
        <w:t xml:space="preserve">The soils of western Rajasthan, where sulphur and the majority of other nutrients are inadequate, for crop </w:t>
      </w:r>
      <w:r w:rsidRPr="00001F17">
        <w:rPr>
          <w:rFonts w:ascii="Times New Roman" w:hAnsi="Times New Roman" w:cs="Times New Roman"/>
          <w:sz w:val="24"/>
          <w:szCs w:val="22"/>
        </w:rPr>
        <w:t>cultivation and l</w:t>
      </w:r>
      <w:r w:rsidR="00F519DA" w:rsidRPr="00001F17">
        <w:rPr>
          <w:rFonts w:ascii="Times New Roman" w:hAnsi="Times New Roman" w:cs="Times New Roman"/>
          <w:sz w:val="24"/>
          <w:szCs w:val="22"/>
        </w:rPr>
        <w:t xml:space="preserve">ow organic matter in the soil (organic matter is the main source of sulphur in soil), extensive use of high analysis fertilisers like urea, DAP, </w:t>
      </w:r>
      <w:r w:rsidR="00F519DA" w:rsidRPr="00001F17">
        <w:rPr>
          <w:rFonts w:ascii="Times New Roman" w:hAnsi="Times New Roman" w:cs="Times New Roman"/>
          <w:i/>
          <w:iCs/>
          <w:sz w:val="24"/>
          <w:szCs w:val="22"/>
        </w:rPr>
        <w:t>etc</w:t>
      </w:r>
      <w:r w:rsidR="00F519DA" w:rsidRPr="00001F17">
        <w:rPr>
          <w:rFonts w:ascii="Times New Roman" w:hAnsi="Times New Roman" w:cs="Times New Roman"/>
          <w:sz w:val="24"/>
          <w:szCs w:val="22"/>
        </w:rPr>
        <w:t>. that are barren of sulphur, and rapid leaching rate because of high sand content in the soils are the main causes of sulphur shortage in this region. It is important to note that basal application of sulphur @ 40 kg ha</w:t>
      </w:r>
      <w:r w:rsidR="00F519DA" w:rsidRPr="00001F17">
        <w:rPr>
          <w:rFonts w:ascii="Times New Roman" w:hAnsi="Times New Roman" w:cs="Times New Roman"/>
          <w:sz w:val="24"/>
          <w:szCs w:val="22"/>
          <w:vertAlign w:val="superscript"/>
        </w:rPr>
        <w:t>-1</w:t>
      </w:r>
      <w:r w:rsidR="00F519DA" w:rsidRPr="00001F17">
        <w:rPr>
          <w:rFonts w:ascii="Times New Roman" w:hAnsi="Times New Roman" w:cs="Times New Roman"/>
          <w:sz w:val="24"/>
          <w:szCs w:val="22"/>
        </w:rPr>
        <w:t xml:space="preserve"> significantly increased growth parameters, which may have been caused by increased availability of sulphur in combination with other nutrients (Jawahar </w:t>
      </w:r>
      <w:r w:rsidR="00F519DA" w:rsidRPr="00001F17">
        <w:rPr>
          <w:rFonts w:ascii="Times New Roman" w:hAnsi="Times New Roman" w:cs="Times New Roman"/>
          <w:i/>
          <w:iCs/>
          <w:sz w:val="24"/>
          <w:szCs w:val="22"/>
        </w:rPr>
        <w:t>et al</w:t>
      </w:r>
      <w:r w:rsidR="00F519DA" w:rsidRPr="00001F17">
        <w:rPr>
          <w:rFonts w:ascii="Times New Roman" w:hAnsi="Times New Roman" w:cs="Times New Roman"/>
          <w:sz w:val="24"/>
          <w:szCs w:val="22"/>
        </w:rPr>
        <w:t xml:space="preserve">., 2013). Sulphur increases the ferredoxin content in plants, which is responsible for improving nodulation activity and playing a crucial role in nitrogen fixation. According to Gokila </w:t>
      </w:r>
      <w:r w:rsidR="00F519DA" w:rsidRPr="00001F17">
        <w:rPr>
          <w:rFonts w:ascii="Times New Roman" w:hAnsi="Times New Roman" w:cs="Times New Roman"/>
          <w:i/>
          <w:iCs/>
          <w:sz w:val="24"/>
          <w:szCs w:val="22"/>
        </w:rPr>
        <w:t>et al</w:t>
      </w:r>
      <w:r w:rsidR="00F519DA" w:rsidRPr="00001F17">
        <w:rPr>
          <w:rFonts w:ascii="Times New Roman" w:hAnsi="Times New Roman" w:cs="Times New Roman"/>
          <w:sz w:val="24"/>
          <w:szCs w:val="22"/>
        </w:rPr>
        <w:t xml:space="preserve">. (2017), this enhanced nodulation promotes rhizosphere activity, which increases nutrient retention in the root zone and, in turn, improves nutrient absorption and translocation, leading to an improved nutritional environment inside the plant. </w:t>
      </w:r>
    </w:p>
    <w:p w:rsidR="00F519DA" w:rsidRPr="00001F17" w:rsidRDefault="006472C5"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lastRenderedPageBreak/>
        <w:tab/>
      </w:r>
      <w:r w:rsidR="00F519DA" w:rsidRPr="00001F17">
        <w:rPr>
          <w:rFonts w:ascii="Times New Roman" w:hAnsi="Times New Roman" w:cs="Times New Roman"/>
          <w:sz w:val="24"/>
          <w:szCs w:val="22"/>
        </w:rPr>
        <w:t>The results are further supported by the experiment's increas</w:t>
      </w:r>
      <w:r w:rsidRPr="00001F17">
        <w:rPr>
          <w:rFonts w:ascii="Times New Roman" w:hAnsi="Times New Roman" w:cs="Times New Roman"/>
          <w:sz w:val="24"/>
          <w:szCs w:val="22"/>
        </w:rPr>
        <w:t xml:space="preserve">ed chlorophyll content (Table </w:t>
      </w:r>
      <w:r w:rsidR="00F519DA" w:rsidRPr="00001F17">
        <w:rPr>
          <w:rFonts w:ascii="Times New Roman" w:hAnsi="Times New Roman" w:cs="Times New Roman"/>
          <w:sz w:val="24"/>
          <w:szCs w:val="22"/>
        </w:rPr>
        <w:t xml:space="preserve">1) </w:t>
      </w:r>
      <w:r w:rsidRPr="00001F17">
        <w:rPr>
          <w:rFonts w:ascii="Times New Roman" w:hAnsi="Times New Roman" w:cs="Times New Roman"/>
          <w:sz w:val="24"/>
          <w:szCs w:val="22"/>
        </w:rPr>
        <w:t>with</w:t>
      </w:r>
      <w:r w:rsidR="00F519DA" w:rsidRPr="00001F17">
        <w:rPr>
          <w:rFonts w:ascii="Times New Roman" w:hAnsi="Times New Roman" w:cs="Times New Roman"/>
          <w:sz w:val="24"/>
          <w:szCs w:val="22"/>
        </w:rPr>
        <w:t xml:space="preserve"> higher basal sulphur application. Sulphur also enhances the amount of sulfur-containing amino acids in proteins by adding S</w:t>
      </w:r>
      <w:r w:rsidR="00F519DA" w:rsidRPr="00001F17">
        <w:rPr>
          <w:rFonts w:ascii="Times New Roman" w:hAnsi="Times New Roman" w:cs="Times New Roman"/>
          <w:sz w:val="24"/>
          <w:szCs w:val="22"/>
          <w:vertAlign w:val="subscript"/>
        </w:rPr>
        <w:t>2</w:t>
      </w:r>
      <w:r w:rsidR="00F519DA" w:rsidRPr="00001F17">
        <w:rPr>
          <w:rFonts w:ascii="Times New Roman" w:hAnsi="Times New Roman" w:cs="Times New Roman"/>
          <w:sz w:val="24"/>
          <w:szCs w:val="22"/>
        </w:rPr>
        <w:t xml:space="preserve"> to O-acetyl-L-serine, which has a good impact on plant metabolism and absorption of nitrogen and other nutrients. Additionally, the sulphur molecule glutathione serves as a protective cellular redox buffer under stressful circumstances. Plants are extremely well protected by glutathione responses from biotic stresses (pathogen infection) and abiotic stresses (drought, low and high temperatures, stro</w:t>
      </w:r>
      <w:r w:rsidR="00545FC8" w:rsidRPr="00001F17">
        <w:rPr>
          <w:rFonts w:ascii="Times New Roman" w:hAnsi="Times New Roman" w:cs="Times New Roman"/>
          <w:sz w:val="24"/>
          <w:szCs w:val="22"/>
        </w:rPr>
        <w:t xml:space="preserve">ng light, UV, salt, and anoxia) </w:t>
      </w:r>
      <w:r w:rsidR="00F519DA" w:rsidRPr="00001F17">
        <w:rPr>
          <w:rFonts w:ascii="Times New Roman" w:hAnsi="Times New Roman" w:cs="Times New Roman"/>
          <w:sz w:val="24"/>
          <w:szCs w:val="22"/>
        </w:rPr>
        <w:t>(Abrol and Ahmad</w:t>
      </w:r>
      <w:r w:rsidR="00545FC8" w:rsidRPr="00001F17">
        <w:rPr>
          <w:rFonts w:ascii="Times New Roman" w:hAnsi="Times New Roman" w:cs="Times New Roman"/>
          <w:sz w:val="24"/>
          <w:szCs w:val="22"/>
        </w:rPr>
        <w:t>. 2003</w:t>
      </w:r>
      <w:r w:rsidR="00F519DA" w:rsidRPr="00001F17">
        <w:rPr>
          <w:rFonts w:ascii="Times New Roman" w:hAnsi="Times New Roman" w:cs="Times New Roman"/>
          <w:sz w:val="24"/>
          <w:szCs w:val="22"/>
        </w:rPr>
        <w:t>).</w:t>
      </w:r>
      <w:r w:rsidR="00545FC8" w:rsidRPr="00001F17">
        <w:rPr>
          <w:rFonts w:ascii="Times New Roman" w:hAnsi="Times New Roman" w:cs="Times New Roman"/>
          <w:sz w:val="24"/>
          <w:szCs w:val="22"/>
        </w:rPr>
        <w:t>Similar results were also observed by Nawange</w:t>
      </w:r>
      <w:r w:rsidR="00545FC8" w:rsidRPr="00001F17">
        <w:rPr>
          <w:rFonts w:ascii="Times New Roman" w:hAnsi="Times New Roman" w:cs="Times New Roman"/>
          <w:i/>
          <w:iCs/>
          <w:sz w:val="24"/>
          <w:szCs w:val="22"/>
        </w:rPr>
        <w:t>et al</w:t>
      </w:r>
      <w:r w:rsidR="00545FC8" w:rsidRPr="00001F17">
        <w:rPr>
          <w:rFonts w:ascii="Times New Roman" w:hAnsi="Times New Roman" w:cs="Times New Roman"/>
          <w:sz w:val="24"/>
          <w:szCs w:val="22"/>
        </w:rPr>
        <w:t xml:space="preserve">. (2010) in chickpea, Meena </w:t>
      </w:r>
      <w:r w:rsidR="00545FC8" w:rsidRPr="00001F17">
        <w:rPr>
          <w:rFonts w:ascii="Times New Roman" w:hAnsi="Times New Roman" w:cs="Times New Roman"/>
          <w:i/>
          <w:iCs/>
          <w:sz w:val="24"/>
          <w:szCs w:val="22"/>
        </w:rPr>
        <w:t>et al</w:t>
      </w:r>
      <w:r w:rsidR="00545FC8" w:rsidRPr="00001F17">
        <w:rPr>
          <w:rFonts w:ascii="Times New Roman" w:hAnsi="Times New Roman" w:cs="Times New Roman"/>
          <w:sz w:val="24"/>
          <w:szCs w:val="22"/>
        </w:rPr>
        <w:t>. (2013) in mungbean</w:t>
      </w:r>
      <w:r w:rsidR="00120FF8" w:rsidRPr="00001F17">
        <w:rPr>
          <w:rFonts w:ascii="Times New Roman" w:hAnsi="Times New Roman" w:cs="Times New Roman"/>
          <w:sz w:val="24"/>
          <w:szCs w:val="22"/>
        </w:rPr>
        <w:t>,</w:t>
      </w:r>
      <w:r w:rsidR="00545FC8" w:rsidRPr="00001F17">
        <w:rPr>
          <w:rFonts w:ascii="Times New Roman" w:hAnsi="Times New Roman" w:cs="Times New Roman"/>
          <w:sz w:val="24"/>
          <w:szCs w:val="22"/>
        </w:rPr>
        <w:t xml:space="preserve"> Patel </w:t>
      </w:r>
      <w:r w:rsidR="00545FC8" w:rsidRPr="00001F17">
        <w:rPr>
          <w:rFonts w:ascii="Times New Roman" w:hAnsi="Times New Roman" w:cs="Times New Roman"/>
          <w:i/>
          <w:iCs/>
          <w:sz w:val="24"/>
          <w:szCs w:val="22"/>
        </w:rPr>
        <w:t>et al</w:t>
      </w:r>
      <w:r w:rsidR="00545FC8" w:rsidRPr="00001F17">
        <w:rPr>
          <w:rFonts w:ascii="Times New Roman" w:hAnsi="Times New Roman" w:cs="Times New Roman"/>
          <w:sz w:val="24"/>
          <w:szCs w:val="22"/>
        </w:rPr>
        <w:t>. (2018) in blackgram</w:t>
      </w:r>
      <w:r w:rsidR="00120FF8" w:rsidRPr="00001F17">
        <w:rPr>
          <w:rFonts w:ascii="Times New Roman" w:hAnsi="Times New Roman" w:cs="Times New Roman"/>
          <w:sz w:val="24"/>
          <w:szCs w:val="22"/>
        </w:rPr>
        <w:t xml:space="preserve"> and Shukla </w:t>
      </w:r>
      <w:r w:rsidR="00120FF8" w:rsidRPr="00001F17">
        <w:rPr>
          <w:rFonts w:ascii="Times New Roman" w:hAnsi="Times New Roman" w:cs="Times New Roman"/>
          <w:i/>
          <w:iCs/>
          <w:sz w:val="24"/>
          <w:szCs w:val="22"/>
        </w:rPr>
        <w:t>et al</w:t>
      </w:r>
      <w:r w:rsidR="00120FF8" w:rsidRPr="00001F17">
        <w:rPr>
          <w:rFonts w:ascii="Times New Roman" w:hAnsi="Times New Roman" w:cs="Times New Roman"/>
          <w:sz w:val="24"/>
          <w:szCs w:val="22"/>
        </w:rPr>
        <w:t>. (2023) in chickpea,</w:t>
      </w:r>
      <w:r w:rsidR="00545FC8" w:rsidRPr="00001F17">
        <w:rPr>
          <w:rFonts w:ascii="Times New Roman" w:hAnsi="Times New Roman" w:cs="Times New Roman"/>
          <w:sz w:val="24"/>
          <w:szCs w:val="22"/>
        </w:rPr>
        <w:t xml:space="preserve"> indicating that this improved nutritional environment and enzymatic activities at the cellular level must have resulted in higher chlorophyll content, photosynthe</w:t>
      </w:r>
      <w:r w:rsidRPr="00001F17">
        <w:rPr>
          <w:rFonts w:ascii="Times New Roman" w:hAnsi="Times New Roman" w:cs="Times New Roman"/>
          <w:sz w:val="24"/>
          <w:szCs w:val="22"/>
        </w:rPr>
        <w:t>tic rate, meristemic activities</w:t>
      </w:r>
      <w:r w:rsidR="00545FC8" w:rsidRPr="00001F17">
        <w:rPr>
          <w:rFonts w:ascii="Times New Roman" w:hAnsi="Times New Roman" w:cs="Times New Roman"/>
          <w:sz w:val="24"/>
          <w:szCs w:val="22"/>
        </w:rPr>
        <w:t xml:space="preserve"> and growth and development.</w:t>
      </w:r>
    </w:p>
    <w:p w:rsidR="00F519DA" w:rsidRPr="00001F17" w:rsidRDefault="00F519DA" w:rsidP="00F519DA">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 attributes</w:t>
      </w:r>
    </w:p>
    <w:p w:rsidR="00545FC8" w:rsidRPr="00001F17" w:rsidRDefault="00973C0A"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545FC8" w:rsidRPr="00001F17">
        <w:rPr>
          <w:rFonts w:ascii="Times New Roman" w:hAnsi="Times New Roman" w:cs="Times New Roman"/>
          <w:sz w:val="24"/>
          <w:szCs w:val="22"/>
        </w:rPr>
        <w:t xml:space="preserve">The yield attributes </w:t>
      </w:r>
      <w:r w:rsidR="00545FC8" w:rsidRPr="00001F17">
        <w:rPr>
          <w:rFonts w:ascii="Times New Roman" w:hAnsi="Times New Roman" w:cs="Times New Roman"/>
          <w:i/>
          <w:sz w:val="24"/>
          <w:szCs w:val="22"/>
        </w:rPr>
        <w:t xml:space="preserve">viz., </w:t>
      </w:r>
      <w:r w:rsidR="00545FC8" w:rsidRPr="00001F17">
        <w:rPr>
          <w:rFonts w:ascii="Times New Roman" w:hAnsi="Times New Roman" w:cs="Times New Roman"/>
          <w:sz w:val="24"/>
          <w:szCs w:val="22"/>
        </w:rPr>
        <w:t>number of pods plant</w:t>
      </w:r>
      <w:r w:rsidR="00545FC8" w:rsidRPr="00001F17">
        <w:rPr>
          <w:rFonts w:ascii="Times New Roman" w:hAnsi="Times New Roman" w:cs="Times New Roman"/>
          <w:sz w:val="24"/>
          <w:szCs w:val="22"/>
          <w:vertAlign w:val="superscript"/>
        </w:rPr>
        <w:t>-1</w:t>
      </w:r>
      <w:r w:rsidR="00545FC8" w:rsidRPr="00001F17">
        <w:rPr>
          <w:rFonts w:ascii="Times New Roman" w:hAnsi="Times New Roman" w:cs="Times New Roman"/>
          <w:sz w:val="24"/>
          <w:szCs w:val="22"/>
        </w:rPr>
        <w:t xml:space="preserve"> and test weight were significantly improved with basal application of sulphur (Table 2</w:t>
      </w:r>
      <w:r w:rsidR="001E4356" w:rsidRPr="00001F17">
        <w:rPr>
          <w:rFonts w:ascii="Times New Roman" w:hAnsi="Times New Roman" w:cs="Times New Roman"/>
          <w:sz w:val="24"/>
          <w:szCs w:val="22"/>
        </w:rPr>
        <w:t>).I</w:t>
      </w:r>
      <w:r w:rsidR="00545FC8" w:rsidRPr="00001F17">
        <w:rPr>
          <w:rFonts w:ascii="Times New Roman" w:hAnsi="Times New Roman" w:cs="Times New Roman"/>
          <w:sz w:val="24"/>
          <w:szCs w:val="22"/>
        </w:rPr>
        <w:t>t was found that the effect was more pronounced</w:t>
      </w:r>
      <w:r w:rsidR="001E4356" w:rsidRPr="00001F17">
        <w:rPr>
          <w:rFonts w:ascii="Times New Roman" w:hAnsi="Times New Roman" w:cs="Times New Roman"/>
          <w:sz w:val="24"/>
          <w:szCs w:val="22"/>
        </w:rPr>
        <w:t>, when sulphur was applied at a base rate of 40 kg ha</w:t>
      </w:r>
      <w:r w:rsidR="001E4356"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as compared to control and basal applications of sulphur at 20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which was being at par with basal applications of sulphur at 60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w:t>
      </w:r>
      <w:r w:rsidR="00545FC8" w:rsidRPr="00001F17">
        <w:rPr>
          <w:rFonts w:ascii="Times New Roman" w:hAnsi="Times New Roman" w:cs="Times New Roman"/>
          <w:sz w:val="24"/>
          <w:szCs w:val="22"/>
        </w:rPr>
        <w:t xml:space="preserve"> This may be the result of general improvements in the previously described growth parameters. A sufficient supply of sulphur throughout the early stages of a plant's life boosts plant growth and growth characteristics, such as plant growth, dry matter accumulation and sulphur also enhances the distribution of food assimilates inside the plant. As a result, it is very likely that these improved growth parameters and better assimilate partition are what contribute to the crop plants' significantly increased yield attributes.</w:t>
      </w:r>
    </w:p>
    <w:p w:rsidR="001E4356" w:rsidRPr="00001F17" w:rsidRDefault="00841285"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1E4356" w:rsidRPr="00001F17">
        <w:rPr>
          <w:rFonts w:ascii="Times New Roman" w:hAnsi="Times New Roman" w:cs="Times New Roman"/>
          <w:sz w:val="24"/>
          <w:szCs w:val="22"/>
        </w:rPr>
        <w:t xml:space="preserve">Increased net photosynthesis and greater mobilisation of photosynthates towards reproductive structures as a result of sulphurfertilisation may have significantly increased yield attributes. Sulphur deficiency in the experimental field, as shown in </w:t>
      </w:r>
      <w:r w:rsidRPr="00001F17">
        <w:rPr>
          <w:rFonts w:ascii="Times New Roman" w:hAnsi="Times New Roman" w:cs="Times New Roman"/>
          <w:sz w:val="24"/>
          <w:szCs w:val="22"/>
        </w:rPr>
        <w:t>materials and methods</w:t>
      </w:r>
      <w:r w:rsidR="001E4356" w:rsidRPr="00001F17">
        <w:rPr>
          <w:rFonts w:ascii="Times New Roman" w:hAnsi="Times New Roman" w:cs="Times New Roman"/>
          <w:sz w:val="24"/>
          <w:szCs w:val="22"/>
        </w:rPr>
        <w:t xml:space="preserve">, had a negative impact on crop growth, blooming, and seed setting under unfertilized plots. Meena </w:t>
      </w:r>
      <w:r w:rsidR="001E4356" w:rsidRPr="00001F17">
        <w:rPr>
          <w:rFonts w:ascii="Times New Roman" w:hAnsi="Times New Roman" w:cs="Times New Roman"/>
          <w:i/>
          <w:iCs/>
          <w:sz w:val="24"/>
          <w:szCs w:val="22"/>
        </w:rPr>
        <w:t>et al</w:t>
      </w:r>
      <w:r w:rsidR="001E4356" w:rsidRPr="00001F17">
        <w:rPr>
          <w:rFonts w:ascii="Times New Roman" w:hAnsi="Times New Roman" w:cs="Times New Roman"/>
          <w:sz w:val="24"/>
          <w:szCs w:val="22"/>
        </w:rPr>
        <w:t>. (2013) in mungbean</w:t>
      </w:r>
      <w:r w:rsidR="00120FF8" w:rsidRPr="00001F17">
        <w:rPr>
          <w:rFonts w:ascii="Times New Roman" w:hAnsi="Times New Roman" w:cs="Times New Roman"/>
          <w:sz w:val="24"/>
          <w:szCs w:val="22"/>
        </w:rPr>
        <w:t>,</w:t>
      </w:r>
      <w:r w:rsidR="001E4356" w:rsidRPr="00001F17">
        <w:rPr>
          <w:rFonts w:ascii="Times New Roman" w:hAnsi="Times New Roman" w:cs="Times New Roman"/>
          <w:sz w:val="24"/>
          <w:szCs w:val="22"/>
        </w:rPr>
        <w:t xml:space="preserve"> Kala </w:t>
      </w:r>
      <w:r w:rsidR="001E4356" w:rsidRPr="00001F17">
        <w:rPr>
          <w:rFonts w:ascii="Times New Roman" w:hAnsi="Times New Roman" w:cs="Times New Roman"/>
          <w:i/>
          <w:iCs/>
          <w:sz w:val="24"/>
          <w:szCs w:val="22"/>
        </w:rPr>
        <w:t>et al</w:t>
      </w:r>
      <w:r w:rsidR="001E4356" w:rsidRPr="00001F17">
        <w:rPr>
          <w:rFonts w:ascii="Times New Roman" w:hAnsi="Times New Roman" w:cs="Times New Roman"/>
          <w:sz w:val="24"/>
          <w:szCs w:val="22"/>
        </w:rPr>
        <w:t xml:space="preserve">. (2017) in chickpea </w:t>
      </w:r>
      <w:r w:rsidR="00120FF8" w:rsidRPr="00001F17">
        <w:rPr>
          <w:rFonts w:ascii="Times New Roman" w:hAnsi="Times New Roman" w:cs="Times New Roman"/>
          <w:sz w:val="24"/>
          <w:szCs w:val="22"/>
        </w:rPr>
        <w:t xml:space="preserve">and Shukla </w:t>
      </w:r>
      <w:r w:rsidR="00120FF8" w:rsidRPr="00001F17">
        <w:rPr>
          <w:rFonts w:ascii="Times New Roman" w:hAnsi="Times New Roman" w:cs="Times New Roman"/>
          <w:i/>
          <w:iCs/>
          <w:sz w:val="24"/>
          <w:szCs w:val="22"/>
        </w:rPr>
        <w:t>et al</w:t>
      </w:r>
      <w:r w:rsidR="00120FF8" w:rsidRPr="00001F17">
        <w:rPr>
          <w:rFonts w:ascii="Times New Roman" w:hAnsi="Times New Roman" w:cs="Times New Roman"/>
          <w:sz w:val="24"/>
          <w:szCs w:val="22"/>
        </w:rPr>
        <w:t xml:space="preserve">. (2023) in chickpea </w:t>
      </w:r>
      <w:r w:rsidR="001E4356" w:rsidRPr="00001F17">
        <w:rPr>
          <w:rFonts w:ascii="Times New Roman" w:hAnsi="Times New Roman" w:cs="Times New Roman"/>
          <w:sz w:val="24"/>
          <w:szCs w:val="22"/>
        </w:rPr>
        <w:t>concurred with this viewpoint.</w:t>
      </w:r>
    </w:p>
    <w:p w:rsidR="00F519DA" w:rsidRPr="00001F17" w:rsidRDefault="00F519DA" w:rsidP="00F519DA">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w:t>
      </w:r>
    </w:p>
    <w:p w:rsidR="00F519DA" w:rsidRPr="00001F17" w:rsidRDefault="001E4356"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973C0A" w:rsidRPr="00001F17">
        <w:rPr>
          <w:rFonts w:ascii="Times New Roman" w:hAnsi="Times New Roman" w:cs="Times New Roman"/>
          <w:sz w:val="24"/>
          <w:szCs w:val="22"/>
        </w:rPr>
        <w:t xml:space="preserve">Chickpea seed, straw and biological </w:t>
      </w:r>
      <w:r w:rsidRPr="00001F17">
        <w:rPr>
          <w:rFonts w:ascii="Times New Roman" w:hAnsi="Times New Roman" w:cs="Times New Roman"/>
          <w:sz w:val="24"/>
          <w:szCs w:val="22"/>
        </w:rPr>
        <w:t xml:space="preserve">yield </w:t>
      </w:r>
      <w:r w:rsidR="00973C0A" w:rsidRPr="00001F17">
        <w:rPr>
          <w:rFonts w:ascii="Times New Roman" w:hAnsi="Times New Roman" w:cs="Times New Roman"/>
          <w:sz w:val="24"/>
          <w:szCs w:val="22"/>
        </w:rPr>
        <w:t xml:space="preserve">(Table 2) </w:t>
      </w:r>
      <w:r w:rsidRPr="00001F17">
        <w:rPr>
          <w:rFonts w:ascii="Times New Roman" w:hAnsi="Times New Roman" w:cs="Times New Roman"/>
          <w:sz w:val="24"/>
          <w:szCs w:val="22"/>
        </w:rPr>
        <w:t xml:space="preserve">significantly increased </w:t>
      </w:r>
      <w:r w:rsidR="00C46B25" w:rsidRPr="00001F17">
        <w:rPr>
          <w:rFonts w:ascii="Times New Roman" w:hAnsi="Times New Roman" w:cs="Times New Roman"/>
          <w:sz w:val="24"/>
          <w:szCs w:val="22"/>
        </w:rPr>
        <w:t>with</w:t>
      </w:r>
      <w:r w:rsidRPr="00001F17">
        <w:rPr>
          <w:rFonts w:ascii="Times New Roman" w:hAnsi="Times New Roman" w:cs="Times New Roman"/>
          <w:sz w:val="24"/>
          <w:szCs w:val="22"/>
        </w:rPr>
        <w:t xml:space="preserve"> basal applications of sulphur at 40 kg ha</w:t>
      </w:r>
      <w:r w:rsidRPr="00001F17">
        <w:rPr>
          <w:rFonts w:ascii="Times New Roman" w:hAnsi="Times New Roman" w:cs="Times New Roman"/>
          <w:sz w:val="24"/>
          <w:szCs w:val="22"/>
          <w:vertAlign w:val="superscript"/>
        </w:rPr>
        <w:t>-1</w:t>
      </w:r>
      <w:r w:rsidR="004C46D8">
        <w:rPr>
          <w:rFonts w:ascii="Times New Roman" w:hAnsi="Times New Roman" w:cs="Times New Roman"/>
          <w:sz w:val="24"/>
          <w:szCs w:val="22"/>
          <w:vertAlign w:val="superscript"/>
        </w:rPr>
        <w:t xml:space="preserve"> </w:t>
      </w:r>
      <w:r w:rsidR="00C46B25" w:rsidRPr="00001F17">
        <w:rPr>
          <w:rFonts w:ascii="Times New Roman" w:hAnsi="Times New Roman" w:cs="Times New Roman"/>
          <w:sz w:val="24"/>
          <w:szCs w:val="22"/>
        </w:rPr>
        <w:t>by 32.4, 20.8 and 25.0 per cent over control and 12.4, 9.04 and 10.3 per cent over</w:t>
      </w:r>
      <w:r w:rsidRPr="00001F17">
        <w:rPr>
          <w:rFonts w:ascii="Times New Roman" w:hAnsi="Times New Roman" w:cs="Times New Roman"/>
          <w:sz w:val="24"/>
          <w:szCs w:val="22"/>
        </w:rPr>
        <w:t xml:space="preserve"> basal applications of sulphur at 20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t>
      </w:r>
      <w:r w:rsidR="00C46B25" w:rsidRPr="00001F17">
        <w:rPr>
          <w:rFonts w:ascii="Times New Roman" w:hAnsi="Times New Roman" w:cs="Times New Roman"/>
          <w:sz w:val="24"/>
          <w:szCs w:val="22"/>
        </w:rPr>
        <w:t xml:space="preserve">respectively, </w:t>
      </w:r>
      <w:r w:rsidR="00973C0A" w:rsidRPr="00001F17">
        <w:rPr>
          <w:rFonts w:ascii="Times New Roman" w:hAnsi="Times New Roman" w:cs="Times New Roman"/>
          <w:sz w:val="24"/>
          <w:szCs w:val="22"/>
        </w:rPr>
        <w:t>which was being at par with basal applications of sulphur at 60 kg ha</w:t>
      </w:r>
      <w:r w:rsidR="00973C0A"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Sulphur's early and abundant </w:t>
      </w:r>
      <w:r w:rsidRPr="00001F17">
        <w:rPr>
          <w:rFonts w:ascii="Times New Roman" w:hAnsi="Times New Roman" w:cs="Times New Roman"/>
          <w:sz w:val="24"/>
          <w:szCs w:val="22"/>
        </w:rPr>
        <w:lastRenderedPageBreak/>
        <w:t>availability to plants had a positive impact on seed development and seed size, which in turn led to a rise in the number of pods and te</w:t>
      </w:r>
      <w:r w:rsidR="00841285" w:rsidRPr="00001F17">
        <w:rPr>
          <w:rFonts w:ascii="Times New Roman" w:hAnsi="Times New Roman" w:cs="Times New Roman"/>
          <w:sz w:val="24"/>
          <w:szCs w:val="22"/>
        </w:rPr>
        <w:t>st weight. Since test weight</w:t>
      </w:r>
      <w:r w:rsidRPr="00001F17">
        <w:rPr>
          <w:rFonts w:ascii="Times New Roman" w:hAnsi="Times New Roman" w:cs="Times New Roman"/>
          <w:sz w:val="24"/>
          <w:szCs w:val="22"/>
        </w:rPr>
        <w:t xml:space="preserve"> and pods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are yield attributes, considerable improvement in these attributes may have resulted in a much larger seed output of chickpea. The current trend of higher grain production brought on by basal sulphur application is closely in line with the findings of </w:t>
      </w:r>
      <w:r w:rsidR="00C46B25" w:rsidRPr="00001F17">
        <w:rPr>
          <w:rFonts w:ascii="Times New Roman" w:hAnsi="Times New Roman" w:cs="Times New Roman"/>
          <w:sz w:val="24"/>
          <w:szCs w:val="22"/>
        </w:rPr>
        <w:t xml:space="preserve">Mir </w:t>
      </w:r>
      <w:r w:rsidR="00C46B25" w:rsidRPr="00001F17">
        <w:rPr>
          <w:rFonts w:ascii="Times New Roman" w:hAnsi="Times New Roman" w:cs="Times New Roman"/>
          <w:i/>
          <w:iCs/>
          <w:sz w:val="24"/>
          <w:szCs w:val="22"/>
        </w:rPr>
        <w:t>et al</w:t>
      </w:r>
      <w:r w:rsidR="00C71272" w:rsidRPr="00001F17">
        <w:rPr>
          <w:rFonts w:ascii="Times New Roman" w:hAnsi="Times New Roman" w:cs="Times New Roman"/>
          <w:sz w:val="24"/>
          <w:szCs w:val="22"/>
        </w:rPr>
        <w:t>.(</w:t>
      </w:r>
      <w:r w:rsidR="00C46B25" w:rsidRPr="00001F17">
        <w:rPr>
          <w:rFonts w:ascii="Times New Roman" w:hAnsi="Times New Roman" w:cs="Times New Roman"/>
          <w:sz w:val="24"/>
          <w:szCs w:val="22"/>
        </w:rPr>
        <w:t>2013</w:t>
      </w:r>
      <w:r w:rsidR="00C71272" w:rsidRPr="00001F17">
        <w:rPr>
          <w:rFonts w:ascii="Times New Roman" w:hAnsi="Times New Roman" w:cs="Times New Roman"/>
          <w:sz w:val="24"/>
          <w:szCs w:val="22"/>
        </w:rPr>
        <w:t xml:space="preserve">) </w:t>
      </w:r>
      <w:r w:rsidR="00C46B25" w:rsidRPr="00001F17">
        <w:rPr>
          <w:rFonts w:ascii="Times New Roman" w:hAnsi="Times New Roman" w:cs="Times New Roman"/>
          <w:sz w:val="24"/>
          <w:szCs w:val="22"/>
        </w:rPr>
        <w:t xml:space="preserve">in blackgram and </w:t>
      </w:r>
      <w:r w:rsidRPr="00001F17">
        <w:rPr>
          <w:rFonts w:ascii="Times New Roman" w:hAnsi="Times New Roman" w:cs="Times New Roman"/>
          <w:sz w:val="24"/>
          <w:szCs w:val="22"/>
        </w:rPr>
        <w:t>Srinivasulu</w:t>
      </w:r>
      <w:r w:rsidRPr="00001F17">
        <w:rPr>
          <w:rFonts w:ascii="Times New Roman" w:hAnsi="Times New Roman" w:cs="Times New Roman"/>
          <w:i/>
          <w:iCs/>
          <w:sz w:val="24"/>
          <w:szCs w:val="22"/>
        </w:rPr>
        <w:t>et al</w:t>
      </w:r>
      <w:r w:rsidR="00C71272" w:rsidRPr="00001F17">
        <w:rPr>
          <w:rFonts w:ascii="Times New Roman" w:hAnsi="Times New Roman" w:cs="Times New Roman"/>
          <w:sz w:val="24"/>
          <w:szCs w:val="22"/>
        </w:rPr>
        <w:t>.(</w:t>
      </w:r>
      <w:r w:rsidRPr="00001F17">
        <w:rPr>
          <w:rFonts w:ascii="Times New Roman" w:hAnsi="Times New Roman" w:cs="Times New Roman"/>
          <w:sz w:val="24"/>
          <w:szCs w:val="22"/>
        </w:rPr>
        <w:t>2015</w:t>
      </w:r>
      <w:r w:rsidR="00C71272" w:rsidRPr="00001F17">
        <w:rPr>
          <w:rFonts w:ascii="Times New Roman" w:hAnsi="Times New Roman" w:cs="Times New Roman"/>
          <w:sz w:val="24"/>
          <w:szCs w:val="22"/>
        </w:rPr>
        <w:t>)</w:t>
      </w:r>
      <w:r w:rsidR="00C46B25" w:rsidRPr="00001F17">
        <w:rPr>
          <w:rFonts w:ascii="Times New Roman" w:hAnsi="Times New Roman" w:cs="Times New Roman"/>
          <w:sz w:val="24"/>
          <w:szCs w:val="22"/>
        </w:rPr>
        <w:t>in chickpea</w:t>
      </w:r>
      <w:r w:rsidRPr="00001F17">
        <w:rPr>
          <w:rFonts w:ascii="Times New Roman" w:hAnsi="Times New Roman" w:cs="Times New Roman"/>
          <w:sz w:val="24"/>
          <w:szCs w:val="22"/>
        </w:rPr>
        <w:t>.</w:t>
      </w:r>
    </w:p>
    <w:p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Foliar spray of liquid sulphur</w:t>
      </w:r>
    </w:p>
    <w:p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Growth parameters</w:t>
      </w:r>
    </w:p>
    <w:p w:rsidR="001E4356" w:rsidRPr="00001F17" w:rsidRDefault="00841285"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1E4356" w:rsidRPr="00001F17">
        <w:rPr>
          <w:rFonts w:ascii="Times New Roman" w:hAnsi="Times New Roman" w:cs="Times New Roman"/>
          <w:sz w:val="24"/>
          <w:szCs w:val="22"/>
        </w:rPr>
        <w:t>In terms of growth parameters, such as dry matter accumulation at 90 DAS and harvest, tota</w:t>
      </w:r>
      <w:r w:rsidRPr="00001F17">
        <w:rPr>
          <w:rFonts w:ascii="Times New Roman" w:hAnsi="Times New Roman" w:cs="Times New Roman"/>
          <w:sz w:val="24"/>
          <w:szCs w:val="22"/>
        </w:rPr>
        <w:t>l chlorophyll content at 85 DAS</w:t>
      </w:r>
      <w:r w:rsidR="001E4356" w:rsidRPr="00001F17">
        <w:rPr>
          <w:rFonts w:ascii="Times New Roman" w:hAnsi="Times New Roman" w:cs="Times New Roman"/>
          <w:sz w:val="24"/>
          <w:szCs w:val="22"/>
        </w:rPr>
        <w:t xml:space="preserve"> and plant height at harvest, foliar applications of liquid sulphur demonstrated a noticeably improved overall growth. It is noteworthy that foliar spraying plants with liquid sulphur at a concentration of 0.2% significantly improved plant development and growth metrics</w:t>
      </w:r>
      <w:r w:rsidR="00973C0A" w:rsidRPr="00001F17">
        <w:rPr>
          <w:rFonts w:ascii="Times New Roman" w:hAnsi="Times New Roman" w:cs="Times New Roman"/>
          <w:sz w:val="24"/>
          <w:szCs w:val="22"/>
        </w:rPr>
        <w:t xml:space="preserve"> as compared to control and liquid sulphur at a concentration of 0.1%, which was being at par with liquid sulphur at a concentration of 0.3%</w:t>
      </w:r>
      <w:r w:rsidR="001E4356" w:rsidRPr="00001F17">
        <w:rPr>
          <w:rFonts w:ascii="Times New Roman" w:hAnsi="Times New Roman" w:cs="Times New Roman"/>
          <w:sz w:val="24"/>
          <w:szCs w:val="22"/>
        </w:rPr>
        <w:t xml:space="preserve">.Foliar spray of liquid sulphur may have created a nutritionally favourable environment within leaves (photosynthetic sites) and other parts of plants because it (sulphur) also improves absorption of other nutrients. Foliar spray directly supplies nutrients and corrects nutrient deficiency within plants. As previously mentioned, this advantageous environment must lead to an increase in enzyme activity, metabolic processes and chlorophyll concentration. Because of the favourable nutritional conditions at photosynthetic sites and the greater chlorophyll content, net photosynthesis and plant development as measured by plant height and periodic dry matter accumulation must have been encouraged.Lakshmi </w:t>
      </w:r>
      <w:r w:rsidR="001E4356" w:rsidRPr="00001F17">
        <w:rPr>
          <w:rFonts w:ascii="Times New Roman" w:hAnsi="Times New Roman" w:cs="Times New Roman"/>
          <w:i/>
          <w:iCs/>
          <w:sz w:val="24"/>
          <w:szCs w:val="22"/>
        </w:rPr>
        <w:t>et al.</w:t>
      </w:r>
      <w:r w:rsidR="001E4356" w:rsidRPr="00001F17">
        <w:rPr>
          <w:rFonts w:ascii="Times New Roman" w:hAnsi="Times New Roman" w:cs="Times New Roman"/>
          <w:sz w:val="24"/>
          <w:szCs w:val="22"/>
        </w:rPr>
        <w:t xml:space="preserve"> (2017) </w:t>
      </w:r>
      <w:r w:rsidR="00C71272" w:rsidRPr="00001F17">
        <w:rPr>
          <w:rFonts w:ascii="Times New Roman" w:hAnsi="Times New Roman" w:cs="Times New Roman"/>
          <w:sz w:val="24"/>
          <w:szCs w:val="22"/>
        </w:rPr>
        <w:t>in blackgram</w:t>
      </w:r>
      <w:r w:rsidR="001E4356" w:rsidRPr="00001F17">
        <w:rPr>
          <w:rFonts w:ascii="Times New Roman" w:hAnsi="Times New Roman" w:cs="Times New Roman"/>
          <w:sz w:val="24"/>
          <w:szCs w:val="22"/>
        </w:rPr>
        <w:t>pointed out foliar sulphur spraying to improve growth metrics.</w:t>
      </w:r>
    </w:p>
    <w:p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 attributes</w:t>
      </w:r>
    </w:p>
    <w:p w:rsidR="001E4356" w:rsidRPr="00001F17" w:rsidRDefault="00C46B25" w:rsidP="001E4356">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Foliar spray of liquid sulphur (0.2%) significantly increased yield attributes </w:t>
      </w:r>
      <w:r w:rsidRPr="00001F17">
        <w:rPr>
          <w:rFonts w:ascii="Times New Roman" w:hAnsi="Times New Roman" w:cs="Times New Roman"/>
          <w:i/>
          <w:sz w:val="24"/>
          <w:szCs w:val="22"/>
        </w:rPr>
        <w:t xml:space="preserve">viz., </w:t>
      </w:r>
      <w:r w:rsidRPr="00001F17">
        <w:rPr>
          <w:rFonts w:ascii="Times New Roman" w:hAnsi="Times New Roman" w:cs="Times New Roman"/>
          <w:sz w:val="24"/>
          <w:szCs w:val="22"/>
        </w:rPr>
        <w:t>number of pods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and test weight over control and foliar spray of liquid sulphur (0.1%), which was being at par with foliar spray of liquid sulphur (0.3</w:t>
      </w:r>
      <w:r w:rsidR="00C11702" w:rsidRPr="00001F17">
        <w:rPr>
          <w:rFonts w:ascii="Times New Roman" w:hAnsi="Times New Roman" w:cs="Times New Roman"/>
          <w:sz w:val="24"/>
          <w:szCs w:val="22"/>
        </w:rPr>
        <w:t>%)</w:t>
      </w:r>
      <w:r w:rsidRPr="00001F17">
        <w:rPr>
          <w:rFonts w:ascii="Times New Roman" w:hAnsi="Times New Roman" w:cs="Times New Roman"/>
          <w:sz w:val="24"/>
          <w:szCs w:val="22"/>
        </w:rPr>
        <w:t xml:space="preserve"> (Table 2). </w:t>
      </w:r>
      <w:r w:rsidR="001E4356" w:rsidRPr="00001F17">
        <w:rPr>
          <w:rFonts w:ascii="Times New Roman" w:hAnsi="Times New Roman" w:cs="Times New Roman"/>
          <w:sz w:val="24"/>
          <w:szCs w:val="22"/>
        </w:rPr>
        <w:t xml:space="preserve">This significant improvement in yield </w:t>
      </w:r>
      <w:r w:rsidRPr="00001F17">
        <w:rPr>
          <w:rFonts w:ascii="Times New Roman" w:hAnsi="Times New Roman" w:cs="Times New Roman"/>
          <w:sz w:val="24"/>
          <w:szCs w:val="22"/>
        </w:rPr>
        <w:t>attributes</w:t>
      </w:r>
      <w:r w:rsidR="001E4356" w:rsidRPr="00001F17">
        <w:rPr>
          <w:rFonts w:ascii="Times New Roman" w:hAnsi="Times New Roman" w:cs="Times New Roman"/>
          <w:sz w:val="24"/>
          <w:szCs w:val="22"/>
        </w:rPr>
        <w:t xml:space="preserve"> may be attributable to greater overall growth and growth parameters including dry matter accumulation and plant height following foliar application of liquid sulphur. Sulphur, as mentioned</w:t>
      </w:r>
      <w:r w:rsidRPr="00001F17">
        <w:rPr>
          <w:rFonts w:ascii="Times New Roman" w:hAnsi="Times New Roman" w:cs="Times New Roman"/>
          <w:sz w:val="24"/>
          <w:szCs w:val="22"/>
        </w:rPr>
        <w:t xml:space="preserve"> in growth parameter</w:t>
      </w:r>
      <w:r w:rsidR="001E4356" w:rsidRPr="00001F17">
        <w:rPr>
          <w:rFonts w:ascii="Times New Roman" w:hAnsi="Times New Roman" w:cs="Times New Roman"/>
          <w:sz w:val="24"/>
          <w:szCs w:val="22"/>
        </w:rPr>
        <w:t>, improves the nutritional environment at photosynthetic sites, the chlorophyll content, and plant development parameters. It also makes it easier for plants to divide up food assimilates.</w:t>
      </w:r>
    </w:p>
    <w:p w:rsidR="001E4356" w:rsidRPr="00001F17" w:rsidRDefault="001E4356" w:rsidP="001E4356">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On the other hand, foliar spraying of liquid sulphur at the flower primordial initiation stage may ensure optimal concentrations of sulphur and other nutrients at reproductive stage </w:t>
      </w:r>
      <w:r w:rsidRPr="00001F17">
        <w:rPr>
          <w:rFonts w:ascii="Times New Roman" w:hAnsi="Times New Roman" w:cs="Times New Roman"/>
          <w:sz w:val="24"/>
          <w:szCs w:val="22"/>
        </w:rPr>
        <w:lastRenderedPageBreak/>
        <w:t>of the plants, which must also result in better partition of food assimilates towards reproductive organs of the plants due to increased metabolism within plants and absorption of other nutrients from soil. Improved yield characteristics and seed yield must be the cumulative result of improvements in</w:t>
      </w:r>
      <w:r w:rsidR="00841285" w:rsidRPr="00001F17">
        <w:rPr>
          <w:rFonts w:ascii="Times New Roman" w:hAnsi="Times New Roman" w:cs="Times New Roman"/>
          <w:sz w:val="24"/>
          <w:szCs w:val="22"/>
        </w:rPr>
        <w:t xml:space="preserve"> photosynthesis, growth factors</w:t>
      </w:r>
      <w:r w:rsidRPr="00001F17">
        <w:rPr>
          <w:rFonts w:ascii="Times New Roman" w:hAnsi="Times New Roman" w:cs="Times New Roman"/>
          <w:sz w:val="24"/>
          <w:szCs w:val="22"/>
        </w:rPr>
        <w:t xml:space="preserve"> and enhanced partitioning potential brought about by foliar spraying with liquid sulphur. Improvements in these growth parameters led to improved straw output since dry matter accumulation and plant height are the primary drivers of plant growth. The findings of </w:t>
      </w:r>
      <w:r w:rsidR="00C11702" w:rsidRPr="00001F17">
        <w:rPr>
          <w:rFonts w:ascii="Times New Roman" w:hAnsi="Times New Roman" w:cs="Times New Roman"/>
          <w:sz w:val="24"/>
          <w:szCs w:val="22"/>
        </w:rPr>
        <w:t xml:space="preserve">Khalid </w:t>
      </w:r>
      <w:r w:rsidR="00C11702" w:rsidRPr="00001F17">
        <w:rPr>
          <w:rFonts w:ascii="Times New Roman" w:hAnsi="Times New Roman" w:cs="Times New Roman"/>
          <w:i/>
          <w:iCs/>
          <w:sz w:val="24"/>
          <w:szCs w:val="22"/>
        </w:rPr>
        <w:t>et al</w:t>
      </w:r>
      <w:r w:rsidR="00C11702" w:rsidRPr="00001F17">
        <w:rPr>
          <w:rFonts w:ascii="Times New Roman" w:hAnsi="Times New Roman" w:cs="Times New Roman"/>
          <w:sz w:val="24"/>
          <w:szCs w:val="22"/>
        </w:rPr>
        <w:t xml:space="preserve">. (2016) in </w:t>
      </w:r>
      <w:r w:rsidR="00C11702" w:rsidRPr="00001F17">
        <w:rPr>
          <w:rFonts w:ascii="Times New Roman" w:hAnsi="Times New Roman" w:cs="Times New Roman"/>
          <w:i/>
          <w:iCs/>
          <w:sz w:val="24"/>
          <w:szCs w:val="22"/>
        </w:rPr>
        <w:t>Brassica napus</w:t>
      </w:r>
      <w:r w:rsidR="00C11702" w:rsidRPr="00001F17">
        <w:rPr>
          <w:rFonts w:ascii="Times New Roman" w:hAnsi="Times New Roman" w:cs="Times New Roman"/>
          <w:sz w:val="24"/>
          <w:szCs w:val="22"/>
        </w:rPr>
        <w:t xml:space="preserve"> and </w:t>
      </w:r>
      <w:r w:rsidRPr="00001F17">
        <w:rPr>
          <w:rFonts w:ascii="Times New Roman" w:hAnsi="Times New Roman" w:cs="Times New Roman"/>
          <w:sz w:val="24"/>
          <w:szCs w:val="22"/>
        </w:rPr>
        <w:t xml:space="preserve">Lakshmi </w:t>
      </w:r>
      <w:r w:rsidRPr="00001F17">
        <w:rPr>
          <w:rFonts w:ascii="Times New Roman" w:hAnsi="Times New Roman" w:cs="Times New Roman"/>
          <w:i/>
          <w:iCs/>
          <w:sz w:val="24"/>
          <w:szCs w:val="22"/>
        </w:rPr>
        <w:t>et al</w:t>
      </w:r>
      <w:r w:rsidRPr="00001F17">
        <w:rPr>
          <w:rFonts w:ascii="Times New Roman" w:hAnsi="Times New Roman" w:cs="Times New Roman"/>
          <w:sz w:val="24"/>
          <w:szCs w:val="22"/>
        </w:rPr>
        <w:t xml:space="preserve">. (2017) </w:t>
      </w:r>
      <w:r w:rsidR="00C11702" w:rsidRPr="00001F17">
        <w:rPr>
          <w:rFonts w:ascii="Times New Roman" w:hAnsi="Times New Roman" w:cs="Times New Roman"/>
          <w:sz w:val="24"/>
          <w:szCs w:val="22"/>
        </w:rPr>
        <w:t xml:space="preserve">in </w:t>
      </w:r>
      <w:r w:rsidRPr="00001F17">
        <w:rPr>
          <w:rFonts w:ascii="Times New Roman" w:hAnsi="Times New Roman" w:cs="Times New Roman"/>
          <w:sz w:val="24"/>
          <w:szCs w:val="22"/>
        </w:rPr>
        <w:t>blackgram support these findings.</w:t>
      </w:r>
    </w:p>
    <w:p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w:t>
      </w:r>
    </w:p>
    <w:p w:rsidR="00841285" w:rsidRPr="00001F17" w:rsidRDefault="00841285"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C11702" w:rsidRPr="00001F17">
        <w:rPr>
          <w:rFonts w:ascii="Times New Roman" w:hAnsi="Times New Roman" w:cs="Times New Roman"/>
          <w:sz w:val="24"/>
          <w:szCs w:val="22"/>
        </w:rPr>
        <w:t xml:space="preserve">Foliar spray of liquid sulphur (0.2%) significantly increased yield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seed, straw and biological yield</w:t>
      </w:r>
      <w:r w:rsidR="00C71272" w:rsidRPr="00001F17">
        <w:rPr>
          <w:rFonts w:ascii="Times New Roman" w:hAnsi="Times New Roman" w:cs="Times New Roman"/>
          <w:sz w:val="24"/>
          <w:szCs w:val="22"/>
        </w:rPr>
        <w:t xml:space="preserve"> (Table 2)</w:t>
      </w:r>
      <w:r w:rsidR="00C11702" w:rsidRPr="00001F17">
        <w:rPr>
          <w:rFonts w:ascii="Times New Roman" w:hAnsi="Times New Roman" w:cs="Times New Roman"/>
          <w:sz w:val="24"/>
          <w:szCs w:val="22"/>
        </w:rPr>
        <w:t xml:space="preserve"> over control and foliar spray of liquid sulphur (0.1%), which was being at par with foliar spray of liquid sulphur (0.3%). </w:t>
      </w:r>
      <w:r w:rsidRPr="00001F17">
        <w:rPr>
          <w:rFonts w:ascii="Times New Roman" w:hAnsi="Times New Roman" w:cs="Times New Roman"/>
          <w:sz w:val="24"/>
          <w:szCs w:val="22"/>
        </w:rPr>
        <w:t xml:space="preserve">Improved yield characteristics and seed yield must be the cumulative result of improvements in photosynthesis, growth factors and enhanced partitioning potential brought about by foliar spraying with liquid sulphur. Improvements in these growth parameters led to improved straw output since dry matter accumulation and plant height are the primary drivers of plant growth. The findings of </w:t>
      </w:r>
      <w:r w:rsidR="00C71272" w:rsidRPr="00001F17">
        <w:rPr>
          <w:rFonts w:ascii="Times New Roman" w:hAnsi="Times New Roman" w:cs="Times New Roman"/>
          <w:sz w:val="24"/>
          <w:szCs w:val="22"/>
        </w:rPr>
        <w:t xml:space="preserve">Khalid </w:t>
      </w:r>
      <w:r w:rsidR="00C71272" w:rsidRPr="00001F17">
        <w:rPr>
          <w:rFonts w:ascii="Times New Roman" w:hAnsi="Times New Roman" w:cs="Times New Roman"/>
          <w:i/>
          <w:iCs/>
          <w:sz w:val="24"/>
          <w:szCs w:val="22"/>
        </w:rPr>
        <w:t>et al</w:t>
      </w:r>
      <w:r w:rsidR="00C71272" w:rsidRPr="00001F17">
        <w:rPr>
          <w:rFonts w:ascii="Times New Roman" w:hAnsi="Times New Roman" w:cs="Times New Roman"/>
          <w:sz w:val="24"/>
          <w:szCs w:val="22"/>
        </w:rPr>
        <w:t xml:space="preserve">. (2016) in </w:t>
      </w:r>
      <w:r w:rsidR="00C71272" w:rsidRPr="00001F17">
        <w:rPr>
          <w:rFonts w:ascii="Times New Roman" w:hAnsi="Times New Roman" w:cs="Times New Roman"/>
          <w:i/>
          <w:iCs/>
          <w:sz w:val="24"/>
          <w:szCs w:val="22"/>
        </w:rPr>
        <w:t>brassica napus</w:t>
      </w:r>
      <w:r w:rsidR="00C71272" w:rsidRPr="00001F17">
        <w:rPr>
          <w:rFonts w:ascii="Times New Roman" w:hAnsi="Times New Roman" w:cs="Times New Roman"/>
          <w:sz w:val="24"/>
          <w:szCs w:val="22"/>
        </w:rPr>
        <w:t xml:space="preserve"> and </w:t>
      </w:r>
      <w:r w:rsidRPr="00001F17">
        <w:rPr>
          <w:rFonts w:ascii="Times New Roman" w:hAnsi="Times New Roman" w:cs="Times New Roman"/>
          <w:sz w:val="24"/>
          <w:szCs w:val="22"/>
        </w:rPr>
        <w:t xml:space="preserve">Lakshmi </w:t>
      </w:r>
      <w:r w:rsidRPr="00001F17">
        <w:rPr>
          <w:rFonts w:ascii="Times New Roman" w:hAnsi="Times New Roman" w:cs="Times New Roman"/>
          <w:i/>
          <w:iCs/>
          <w:sz w:val="24"/>
          <w:szCs w:val="22"/>
        </w:rPr>
        <w:t>et al</w:t>
      </w:r>
      <w:r w:rsidRPr="00001F17">
        <w:rPr>
          <w:rFonts w:ascii="Times New Roman" w:hAnsi="Times New Roman" w:cs="Times New Roman"/>
          <w:sz w:val="24"/>
          <w:szCs w:val="22"/>
        </w:rPr>
        <w:t xml:space="preserve">. (2017) </w:t>
      </w:r>
      <w:r w:rsidR="00C71272" w:rsidRPr="00001F17">
        <w:rPr>
          <w:rFonts w:ascii="Times New Roman" w:hAnsi="Times New Roman" w:cs="Times New Roman"/>
          <w:sz w:val="24"/>
          <w:szCs w:val="22"/>
        </w:rPr>
        <w:t>in</w:t>
      </w:r>
      <w:r w:rsidRPr="00001F17">
        <w:rPr>
          <w:rFonts w:ascii="Times New Roman" w:hAnsi="Times New Roman" w:cs="Times New Roman"/>
          <w:sz w:val="24"/>
          <w:szCs w:val="22"/>
        </w:rPr>
        <w:t>blackgram support these findings.</w:t>
      </w:r>
    </w:p>
    <w:p w:rsidR="00B8180F" w:rsidRPr="00001F17" w:rsidRDefault="00B8180F"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Conclusion</w:t>
      </w:r>
    </w:p>
    <w:p w:rsidR="00B8180F" w:rsidRDefault="00841285"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B8180F" w:rsidRPr="00001F17">
        <w:rPr>
          <w:rFonts w:ascii="Times New Roman" w:hAnsi="Times New Roman" w:cs="Times New Roman"/>
          <w:sz w:val="24"/>
          <w:szCs w:val="22"/>
        </w:rPr>
        <w:t>Based on</w:t>
      </w:r>
      <w:r w:rsidR="00973C0A" w:rsidRPr="00001F17">
        <w:rPr>
          <w:rFonts w:ascii="Times New Roman" w:hAnsi="Times New Roman" w:cs="Times New Roman"/>
          <w:sz w:val="24"/>
          <w:szCs w:val="22"/>
        </w:rPr>
        <w:t xml:space="preserve"> our one year</w:t>
      </w:r>
      <w:r w:rsidR="00B8180F" w:rsidRPr="00001F17">
        <w:rPr>
          <w:rFonts w:ascii="Times New Roman" w:hAnsi="Times New Roman" w:cs="Times New Roman"/>
          <w:sz w:val="24"/>
          <w:szCs w:val="22"/>
        </w:rPr>
        <w:t xml:space="preserve"> experimental results, it was </w:t>
      </w:r>
      <w:r w:rsidR="00973C0A" w:rsidRPr="00001F17">
        <w:rPr>
          <w:rFonts w:ascii="Times New Roman" w:hAnsi="Times New Roman" w:cs="Times New Roman"/>
          <w:sz w:val="24"/>
          <w:szCs w:val="22"/>
        </w:rPr>
        <w:t>concluded</w:t>
      </w:r>
      <w:r w:rsidR="00B8180F" w:rsidRPr="00001F17">
        <w:rPr>
          <w:rFonts w:ascii="Times New Roman" w:hAnsi="Times New Roman" w:cs="Times New Roman"/>
          <w:sz w:val="24"/>
          <w:szCs w:val="22"/>
        </w:rPr>
        <w:t xml:space="preserve"> that the </w:t>
      </w:r>
      <w:r w:rsidR="00973C0A" w:rsidRPr="00001F17">
        <w:rPr>
          <w:rFonts w:ascii="Times New Roman" w:hAnsi="Times New Roman" w:cs="Times New Roman"/>
          <w:sz w:val="24"/>
          <w:szCs w:val="22"/>
        </w:rPr>
        <w:t xml:space="preserve">basal application ofsulphur 40 kg </w:t>
      </w:r>
      <w:r w:rsidR="00B8180F" w:rsidRPr="00001F17">
        <w:rPr>
          <w:rFonts w:ascii="Times New Roman" w:hAnsi="Times New Roman" w:cs="Times New Roman"/>
          <w:sz w:val="24"/>
          <w:szCs w:val="22"/>
        </w:rPr>
        <w:t>ha</w:t>
      </w:r>
      <w:r w:rsidR="00973C0A" w:rsidRPr="00001F17">
        <w:rPr>
          <w:rFonts w:ascii="Times New Roman" w:hAnsi="Times New Roman" w:cs="Times New Roman"/>
          <w:sz w:val="24"/>
          <w:szCs w:val="22"/>
          <w:vertAlign w:val="superscript"/>
        </w:rPr>
        <w:t>-1</w:t>
      </w:r>
      <w:r w:rsidR="00973C0A" w:rsidRPr="00001F17">
        <w:rPr>
          <w:rFonts w:ascii="Times New Roman" w:hAnsi="Times New Roman" w:cs="Times New Roman"/>
          <w:sz w:val="24"/>
          <w:szCs w:val="22"/>
        </w:rPr>
        <w:t xml:space="preserve">and foliar spray of sulphur (0.2%) </w:t>
      </w:r>
      <w:r w:rsidR="00B8180F" w:rsidRPr="00001F17">
        <w:rPr>
          <w:rFonts w:ascii="Times New Roman" w:hAnsi="Times New Roman" w:cs="Times New Roman"/>
          <w:sz w:val="24"/>
          <w:szCs w:val="22"/>
        </w:rPr>
        <w:t xml:space="preserve">recorded maximum </w:t>
      </w:r>
      <w:r w:rsidR="00973C0A" w:rsidRPr="00001F17">
        <w:rPr>
          <w:rFonts w:ascii="Times New Roman" w:hAnsi="Times New Roman" w:cs="Times New Roman"/>
          <w:sz w:val="24"/>
          <w:szCs w:val="22"/>
        </w:rPr>
        <w:t>growth, yield attributes and yield</w:t>
      </w:r>
      <w:r w:rsidR="00B8180F" w:rsidRPr="00001F17">
        <w:rPr>
          <w:rFonts w:ascii="Times New Roman" w:hAnsi="Times New Roman" w:cs="Times New Roman"/>
          <w:sz w:val="24"/>
          <w:szCs w:val="22"/>
        </w:rPr>
        <w:t xml:space="preserve"> which may be more preferred for farmers since it is more profitable and can therefore be recommended to the farmers.</w:t>
      </w:r>
    </w:p>
    <w:p w:rsidR="007049ED" w:rsidRDefault="007049ED" w:rsidP="00040F0F">
      <w:pPr>
        <w:spacing w:after="0" w:line="360" w:lineRule="auto"/>
        <w:jc w:val="both"/>
        <w:rPr>
          <w:rFonts w:ascii="Times New Roman" w:hAnsi="Times New Roman" w:cs="Times New Roman"/>
          <w:sz w:val="24"/>
          <w:szCs w:val="22"/>
        </w:rPr>
      </w:pPr>
    </w:p>
    <w:p w:rsidR="007049ED" w:rsidRPr="006C07C4" w:rsidRDefault="007049ED" w:rsidP="006C07C4">
      <w:pPr>
        <w:jc w:val="both"/>
        <w:rPr>
          <w:rFonts w:ascii="Times New Roman" w:eastAsia="Calibri" w:hAnsi="Times New Roman" w:cs="Times New Roman"/>
          <w:color w:val="FF0000"/>
          <w:kern w:val="2"/>
          <w:sz w:val="24"/>
          <w:szCs w:val="22"/>
        </w:rPr>
      </w:pPr>
      <w:bookmarkStart w:id="0" w:name="_Hlk204003461"/>
      <w:bookmarkStart w:id="1" w:name="_Hlk213070710"/>
      <w:r w:rsidRPr="006C07C4">
        <w:rPr>
          <w:rFonts w:ascii="Times New Roman" w:eastAsia="Calibri" w:hAnsi="Times New Roman" w:cs="Times New Roman"/>
          <w:color w:val="FF0000"/>
          <w:kern w:val="2"/>
          <w:sz w:val="24"/>
          <w:szCs w:val="22"/>
        </w:rPr>
        <w:t>Disclaimer (Artificial intelligence)</w:t>
      </w:r>
    </w:p>
    <w:p w:rsidR="007049ED" w:rsidRPr="006C07C4" w:rsidRDefault="006C07C4" w:rsidP="006C07C4">
      <w:pPr>
        <w:jc w:val="both"/>
        <w:rPr>
          <w:rFonts w:ascii="Times New Roman" w:eastAsia="Calibri" w:hAnsi="Times New Roman" w:cs="Times New Roman"/>
          <w:color w:val="FF0000"/>
          <w:kern w:val="2"/>
          <w:sz w:val="24"/>
          <w:szCs w:val="22"/>
        </w:rPr>
      </w:pPr>
      <w:r>
        <w:rPr>
          <w:rFonts w:ascii="Times New Roman" w:eastAsia="Calibri" w:hAnsi="Times New Roman" w:cs="Times New Roman"/>
          <w:color w:val="FF0000"/>
          <w:kern w:val="2"/>
          <w:sz w:val="24"/>
          <w:szCs w:val="22"/>
        </w:rPr>
        <w:tab/>
      </w:r>
      <w:r w:rsidR="007049ED" w:rsidRPr="006C07C4">
        <w:rPr>
          <w:rFonts w:ascii="Times New Roman" w:eastAsia="Calibri" w:hAnsi="Times New Roman" w:cs="Times New Roman"/>
          <w:color w:val="FF0000"/>
          <w:kern w:val="2"/>
          <w:sz w:val="24"/>
          <w:szCs w:val="22"/>
        </w:rPr>
        <w:t xml:space="preserve">Author(s) hereby declare that NO generative AI technologies such as Large Language Models (ChatGPT, COPILOT, etc.) and text-to-image generators have been used during the writing or editing of this manuscript. </w:t>
      </w:r>
    </w:p>
    <w:p w:rsidR="007049ED" w:rsidRPr="00001F17" w:rsidRDefault="007049ED" w:rsidP="00040F0F">
      <w:pPr>
        <w:spacing w:after="0" w:line="360" w:lineRule="auto"/>
        <w:jc w:val="both"/>
        <w:rPr>
          <w:rFonts w:ascii="Times New Roman" w:hAnsi="Times New Roman" w:cs="Times New Roman"/>
          <w:sz w:val="24"/>
          <w:szCs w:val="22"/>
        </w:rPr>
      </w:pPr>
      <w:bookmarkStart w:id="2" w:name="_GoBack"/>
      <w:bookmarkEnd w:id="0"/>
      <w:bookmarkEnd w:id="1"/>
      <w:bookmarkEnd w:id="2"/>
    </w:p>
    <w:p w:rsidR="00B8180F" w:rsidRPr="00001F17" w:rsidRDefault="00B8180F"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References</w:t>
      </w:r>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 xml:space="preserve">Abrol, Y. P., &amp; Ahmad, A. (Eds.). (2003). Sulphur in plants. Kluwer Academic Publishers. </w:t>
      </w:r>
      <w:hyperlink r:id="rId7" w:history="1">
        <w:r w:rsidRPr="002C4EC6">
          <w:rPr>
            <w:rStyle w:val="Hyperlink"/>
            <w:rFonts w:ascii="Times New Roman" w:hAnsi="Times New Roman" w:cs="Times New Roman"/>
            <w:sz w:val="24"/>
            <w:szCs w:val="24"/>
          </w:rPr>
          <w:t>https://doi.org/10.1007/978-94-017-0289-8</w:t>
        </w:r>
      </w:hyperlink>
    </w:p>
    <w:p w:rsidR="00120FF8" w:rsidRPr="002C4EC6" w:rsidRDefault="00120FF8"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 xml:space="preserve">Anonymous (2019). </w:t>
      </w:r>
      <w:hyperlink r:id="rId8">
        <w:r w:rsidRPr="002C4EC6">
          <w:rPr>
            <w:rStyle w:val="Hyperlink"/>
            <w:rFonts w:ascii="Times New Roman" w:hAnsi="Times New Roman" w:cs="Times New Roman"/>
            <w:color w:val="auto"/>
            <w:sz w:val="24"/>
            <w:szCs w:val="24"/>
            <w:u w:val="none"/>
          </w:rPr>
          <w:t>https://www.sulphurinstitute.org</w:t>
        </w:r>
      </w:hyperlink>
      <w:r w:rsidRPr="002C4EC6">
        <w:rPr>
          <w:rFonts w:ascii="Times New Roman" w:hAnsi="Times New Roman" w:cs="Times New Roman"/>
          <w:sz w:val="24"/>
          <w:szCs w:val="24"/>
        </w:rPr>
        <w:t>. The Sulphur Institute, Washington, USA.</w:t>
      </w:r>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lastRenderedPageBreak/>
        <w:t>Bampidis, V. A., &amp; Christodoulou, V. (2011). Chickpea (</w:t>
      </w:r>
      <w:r w:rsidRPr="006C07C4">
        <w:rPr>
          <w:rFonts w:ascii="Times New Roman" w:hAnsi="Times New Roman" w:cs="Times New Roman"/>
          <w:i/>
          <w:iCs/>
          <w:color w:val="FF0000"/>
          <w:sz w:val="24"/>
          <w:szCs w:val="24"/>
        </w:rPr>
        <w:t>Cicer arietinum</w:t>
      </w:r>
      <w:r w:rsidRPr="002C4EC6">
        <w:rPr>
          <w:rFonts w:ascii="Times New Roman" w:hAnsi="Times New Roman" w:cs="Times New Roman"/>
          <w:sz w:val="24"/>
          <w:szCs w:val="24"/>
        </w:rPr>
        <w:t xml:space="preserve"> L.) in animal nutrition: A review. Animal Feed Science and Technology, 168, 1–20. </w:t>
      </w:r>
      <w:hyperlink r:id="rId9" w:history="1">
        <w:r w:rsidRPr="002C4EC6">
          <w:rPr>
            <w:rStyle w:val="Hyperlink"/>
            <w:rFonts w:ascii="Times New Roman" w:hAnsi="Times New Roman" w:cs="Times New Roman"/>
            <w:sz w:val="24"/>
            <w:szCs w:val="24"/>
          </w:rPr>
          <w:t>https://doi.org/10.1016/j.anifeedsci.2011.04.098</w:t>
        </w:r>
      </w:hyperlink>
    </w:p>
    <w:p w:rsidR="0019187F" w:rsidRPr="006C07C4" w:rsidRDefault="0019187F" w:rsidP="0019187F">
      <w:pPr>
        <w:spacing w:after="0" w:line="360" w:lineRule="auto"/>
        <w:jc w:val="both"/>
        <w:rPr>
          <w:rFonts w:ascii="Times New Roman" w:hAnsi="Times New Roman" w:cs="Times New Roman"/>
          <w:i/>
          <w:sz w:val="24"/>
          <w:szCs w:val="24"/>
        </w:rPr>
      </w:pPr>
      <w:r w:rsidRPr="006C07C4">
        <w:rPr>
          <w:rFonts w:ascii="Times New Roman" w:hAnsi="Times New Roman" w:cs="Times New Roman"/>
          <w:sz w:val="24"/>
          <w:szCs w:val="24"/>
        </w:rPr>
        <w:t>Fish</w:t>
      </w:r>
      <w:r w:rsidR="004C46D8" w:rsidRPr="006C07C4">
        <w:rPr>
          <w:rFonts w:ascii="Times New Roman" w:hAnsi="Times New Roman" w:cs="Times New Roman"/>
          <w:sz w:val="24"/>
          <w:szCs w:val="24"/>
        </w:rPr>
        <w:t xml:space="preserve">er, R. A., &amp; Yates, F. (1963). </w:t>
      </w:r>
      <w:r w:rsidRPr="006C07C4">
        <w:rPr>
          <w:rFonts w:ascii="Times New Roman" w:hAnsi="Times New Roman" w:cs="Times New Roman"/>
          <w:sz w:val="24"/>
          <w:szCs w:val="24"/>
        </w:rPr>
        <w:t>Statistical tables for biological, agricultural and medical research</w:t>
      </w:r>
      <w:r w:rsidR="004C46D8" w:rsidRPr="006C07C4">
        <w:rPr>
          <w:rFonts w:ascii="Times New Roman" w:hAnsi="Times New Roman" w:cs="Times New Roman"/>
          <w:sz w:val="24"/>
          <w:szCs w:val="24"/>
        </w:rPr>
        <w:t>.</w:t>
      </w:r>
      <w:r w:rsidRPr="006C07C4">
        <w:rPr>
          <w:rFonts w:ascii="Times New Roman" w:hAnsi="Times New Roman" w:cs="Times New Roman"/>
          <w:sz w:val="24"/>
          <w:szCs w:val="24"/>
        </w:rPr>
        <w:t xml:space="preserve"> (6</w:t>
      </w:r>
      <w:r w:rsidRPr="006C07C4">
        <w:rPr>
          <w:rFonts w:ascii="Times New Roman" w:hAnsi="Times New Roman" w:cs="Times New Roman"/>
          <w:sz w:val="24"/>
          <w:szCs w:val="24"/>
          <w:vertAlign w:val="superscript"/>
        </w:rPr>
        <w:t>th</w:t>
      </w:r>
      <w:r w:rsidRPr="006C07C4">
        <w:rPr>
          <w:rFonts w:ascii="Times New Roman" w:hAnsi="Times New Roman" w:cs="Times New Roman"/>
          <w:sz w:val="24"/>
          <w:szCs w:val="24"/>
        </w:rPr>
        <w:t xml:space="preserve"> ed.). Oliver and Boyd.</w:t>
      </w:r>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Gokila, B., Baskar, K., &amp;</w:t>
      </w:r>
      <w:r w:rsidR="002C4EC6" w:rsidRPr="002C4EC6">
        <w:rPr>
          <w:rFonts w:ascii="Times New Roman" w:hAnsi="Times New Roman" w:cs="Times New Roman"/>
          <w:sz w:val="24"/>
          <w:szCs w:val="24"/>
        </w:rPr>
        <w:t xml:space="preserve"> </w:t>
      </w:r>
      <w:r w:rsidRPr="002C4EC6">
        <w:rPr>
          <w:rFonts w:ascii="Times New Roman" w:hAnsi="Times New Roman" w:cs="Times New Roman"/>
          <w:sz w:val="24"/>
          <w:szCs w:val="24"/>
        </w:rPr>
        <w:t xml:space="preserve">Saravanapandian, P. (2017). Nutritional significance of sulphur on growth, yield and quality of blackgram in major contrasting soil series of Tamil Nadu, India. </w:t>
      </w:r>
      <w:r w:rsidRPr="002C4EC6">
        <w:rPr>
          <w:rFonts w:ascii="Times New Roman" w:hAnsi="Times New Roman" w:cs="Times New Roman"/>
          <w:i/>
          <w:iCs/>
          <w:sz w:val="24"/>
          <w:szCs w:val="24"/>
        </w:rPr>
        <w:t>International Journal of Current Microbiology and Applied Sciences</w:t>
      </w:r>
      <w:r w:rsidRPr="002C4EC6">
        <w:rPr>
          <w:rFonts w:ascii="Times New Roman" w:hAnsi="Times New Roman" w:cs="Times New Roman"/>
          <w:sz w:val="24"/>
          <w:szCs w:val="24"/>
        </w:rPr>
        <w:t xml:space="preserve">, 6(11), 3139-3149. </w:t>
      </w:r>
      <w:hyperlink r:id="rId10" w:history="1">
        <w:r w:rsidRPr="002C4EC6">
          <w:rPr>
            <w:rStyle w:val="Hyperlink"/>
            <w:rFonts w:ascii="Times New Roman" w:hAnsi="Times New Roman" w:cs="Times New Roman"/>
            <w:sz w:val="24"/>
            <w:szCs w:val="24"/>
          </w:rPr>
          <w:t>https://www.ijcmas.com/6-11-2017/B.%20Gokila,%20et%20al.pdf</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Hirdyani, H. (2014). Nutritional composition of chickpea (</w:t>
      </w:r>
      <w:r w:rsidRPr="006C07C4">
        <w:rPr>
          <w:rFonts w:ascii="Times New Roman" w:hAnsi="Times New Roman" w:cs="Times New Roman"/>
          <w:i/>
          <w:iCs/>
          <w:color w:val="FF0000"/>
          <w:sz w:val="24"/>
          <w:szCs w:val="24"/>
        </w:rPr>
        <w:t>Cicer arietinum</w:t>
      </w:r>
      <w:r w:rsidRPr="002C4EC6">
        <w:rPr>
          <w:rFonts w:ascii="Times New Roman" w:hAnsi="Times New Roman" w:cs="Times New Roman"/>
          <w:sz w:val="24"/>
          <w:szCs w:val="24"/>
        </w:rPr>
        <w:t xml:space="preserve"> L.) and value added products - a review. Indian Journal of Community Health, 26(Supp 2), 102-106. </w:t>
      </w:r>
      <w:hyperlink r:id="rId11" w:history="1">
        <w:r w:rsidRPr="002C4EC6">
          <w:rPr>
            <w:rStyle w:val="Hyperlink"/>
            <w:rFonts w:ascii="Times New Roman" w:hAnsi="Times New Roman" w:cs="Times New Roman"/>
            <w:sz w:val="24"/>
            <w:szCs w:val="24"/>
          </w:rPr>
          <w:t>https://www.iapsmupuk.org/journal/index.php/IJCH/article/view/477</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Hiscox, J. D., &amp;</w:t>
      </w:r>
      <w:r w:rsidR="002C4EC6" w:rsidRPr="002C4EC6">
        <w:rPr>
          <w:rFonts w:ascii="Times New Roman" w:hAnsi="Times New Roman" w:cs="Times New Roman"/>
          <w:sz w:val="24"/>
          <w:szCs w:val="24"/>
        </w:rPr>
        <w:t xml:space="preserve"> </w:t>
      </w:r>
      <w:r w:rsidRPr="002C4EC6">
        <w:rPr>
          <w:rFonts w:ascii="Times New Roman" w:hAnsi="Times New Roman" w:cs="Times New Roman"/>
          <w:sz w:val="24"/>
          <w:szCs w:val="24"/>
        </w:rPr>
        <w:t xml:space="preserve">Israelstam, G. F. (1979). A method for the extraction of chlorophyll from leaf tissue without maceration. Canadian Journal of Botany, 57(12), 1332-1334. </w:t>
      </w:r>
      <w:hyperlink r:id="rId12" w:history="1">
        <w:r w:rsidRPr="002C4EC6">
          <w:rPr>
            <w:rStyle w:val="Hyperlink"/>
            <w:rFonts w:ascii="Times New Roman" w:hAnsi="Times New Roman" w:cs="Times New Roman"/>
            <w:sz w:val="24"/>
            <w:szCs w:val="24"/>
          </w:rPr>
          <w:t>https://doi.org/10.1139/b79-163</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Jawahar, S., Vaiyapuri, V., Suseendran, K., Kalaiyarasan, C., &amp;</w:t>
      </w:r>
      <w:r w:rsidR="002C4EC6" w:rsidRPr="002C4EC6">
        <w:rPr>
          <w:rFonts w:ascii="Times New Roman" w:hAnsi="Times New Roman" w:cs="Times New Roman"/>
          <w:sz w:val="24"/>
          <w:szCs w:val="24"/>
        </w:rPr>
        <w:t xml:space="preserve"> </w:t>
      </w:r>
      <w:r w:rsidRPr="002C4EC6">
        <w:rPr>
          <w:rFonts w:ascii="Times New Roman" w:hAnsi="Times New Roman" w:cs="Times New Roman"/>
          <w:sz w:val="24"/>
          <w:szCs w:val="24"/>
        </w:rPr>
        <w:t>Sriramachandrasekharan, M. V. (2013). Effect of sources and levels of sulphur on growth and yield of rice fallow blackgram (</w:t>
      </w:r>
      <w:r w:rsidRPr="006C07C4">
        <w:rPr>
          <w:rFonts w:ascii="Times New Roman" w:hAnsi="Times New Roman" w:cs="Times New Roman"/>
          <w:i/>
          <w:iCs/>
          <w:color w:val="FF0000"/>
          <w:sz w:val="24"/>
          <w:szCs w:val="24"/>
        </w:rPr>
        <w:t>Vigna mungo</w:t>
      </w:r>
      <w:r w:rsidRPr="002C4EC6">
        <w:rPr>
          <w:rFonts w:ascii="Times New Roman" w:hAnsi="Times New Roman" w:cs="Times New Roman"/>
          <w:sz w:val="24"/>
          <w:szCs w:val="24"/>
        </w:rPr>
        <w:t xml:space="preserve">). International Research Journal of Chemistry. </w:t>
      </w:r>
      <w:hyperlink r:id="rId13" w:history="1">
        <w:r w:rsidRPr="002C4EC6">
          <w:rPr>
            <w:rStyle w:val="Hyperlink"/>
            <w:rFonts w:ascii="Times New Roman" w:hAnsi="Times New Roman" w:cs="Times New Roman"/>
            <w:sz w:val="24"/>
            <w:szCs w:val="24"/>
          </w:rPr>
          <w:t>http://irjc.petsd.org/</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Jukanti, A. K., Gaur, P. M., Gowda, C. L. L., &amp;</w:t>
      </w:r>
      <w:r w:rsidR="004C46D8" w:rsidRPr="002C4EC6">
        <w:rPr>
          <w:rFonts w:ascii="Times New Roman" w:hAnsi="Times New Roman" w:cs="Times New Roman"/>
          <w:sz w:val="24"/>
          <w:szCs w:val="24"/>
        </w:rPr>
        <w:t xml:space="preserve"> </w:t>
      </w:r>
      <w:r w:rsidRPr="002C4EC6">
        <w:rPr>
          <w:rFonts w:ascii="Times New Roman" w:hAnsi="Times New Roman" w:cs="Times New Roman"/>
          <w:sz w:val="24"/>
          <w:szCs w:val="24"/>
        </w:rPr>
        <w:t>Chibbar, R. N. (2012). Nutritional quality and health benefits of chickpea (</w:t>
      </w:r>
      <w:r w:rsidRPr="006C07C4">
        <w:rPr>
          <w:rFonts w:ascii="Times New Roman" w:hAnsi="Times New Roman" w:cs="Times New Roman"/>
          <w:i/>
          <w:iCs/>
          <w:color w:val="FF0000"/>
          <w:sz w:val="24"/>
          <w:szCs w:val="24"/>
        </w:rPr>
        <w:t>Cicer arietinum</w:t>
      </w:r>
      <w:r w:rsidRPr="002C4EC6">
        <w:rPr>
          <w:rFonts w:ascii="Times New Roman" w:hAnsi="Times New Roman" w:cs="Times New Roman"/>
          <w:sz w:val="24"/>
          <w:szCs w:val="24"/>
        </w:rPr>
        <w:t xml:space="preserve"> L.): a review. British Journal of Nutrition, 108(S1), S11-S26. </w:t>
      </w:r>
      <w:hyperlink r:id="rId14" w:history="1">
        <w:r w:rsidRPr="002C4EC6">
          <w:rPr>
            <w:rStyle w:val="Hyperlink"/>
            <w:rFonts w:ascii="Times New Roman" w:hAnsi="Times New Roman" w:cs="Times New Roman"/>
            <w:sz w:val="24"/>
            <w:szCs w:val="24"/>
          </w:rPr>
          <w:t>https://doi.org/10.1017/S0007114512000797</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 xml:space="preserve">Kala, D. C., Dixit, R. N., Meena, S. S., Nanda, G., &amp; Pal, R. K. (2017). Effect of graded doses of sulphur and boron on yield attributes and nutrient uptake by chickpea. International Journal of Current Microbiology and Applied Sciences, 6(6), 55-60. </w:t>
      </w:r>
      <w:hyperlink r:id="rId15" w:history="1">
        <w:r w:rsidRPr="002C4EC6">
          <w:rPr>
            <w:rStyle w:val="Hyperlink"/>
            <w:rFonts w:ascii="Times New Roman" w:hAnsi="Times New Roman" w:cs="Times New Roman"/>
            <w:sz w:val="24"/>
            <w:szCs w:val="24"/>
          </w:rPr>
          <w:t>https://doi.org/10.20546/ijcmas.2017.606.006</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Khalid, S., Afridi, M. Z., Munsif, F., Imranuddin, I., Ullah, I., &amp; Nadia. (2016). Effect of sulphur foliar application on yield and yield components of Brassica napus. International Journal of Agricultural and Environmental Research, 2(3), 232-236.</w:t>
      </w:r>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 xml:space="preserve">Lakshmi, E. J., Rameshbabu, P. V., Reddy, G. P., Umamaheswari, P., &amp; Reddy, A. P. K. (2017). Effect of foliar application of secondary nutrients and zinc on growth and yield of Blackgram. International Journal of Chemical Studies, 5(6), 944-947. </w:t>
      </w:r>
      <w:hyperlink r:id="rId16" w:history="1">
        <w:r w:rsidRPr="002C4EC6">
          <w:rPr>
            <w:rStyle w:val="Hyperlink"/>
            <w:rFonts w:ascii="Times New Roman" w:hAnsi="Times New Roman" w:cs="Times New Roman"/>
            <w:sz w:val="24"/>
            <w:szCs w:val="24"/>
          </w:rPr>
          <w:t>https://www.chemijournal.com/archives/2017/vol5issue6/5-6-10-100.pdf</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Meena, K. K., Meena, R. S., &amp; Kumawat, S. M. (2013). Effect of sulphur and iron fertilization on yield attributes, yield and nutrient uptake of mungbean (</w:t>
      </w:r>
      <w:r w:rsidRPr="006C07C4">
        <w:rPr>
          <w:rFonts w:ascii="Times New Roman" w:hAnsi="Times New Roman" w:cs="Times New Roman"/>
          <w:i/>
          <w:iCs/>
          <w:color w:val="FF0000"/>
          <w:sz w:val="24"/>
          <w:szCs w:val="24"/>
        </w:rPr>
        <w:t>Vigna radiata</w:t>
      </w:r>
      <w:r w:rsidRPr="002C4EC6">
        <w:rPr>
          <w:rFonts w:ascii="Times New Roman" w:hAnsi="Times New Roman" w:cs="Times New Roman"/>
          <w:sz w:val="24"/>
          <w:szCs w:val="24"/>
        </w:rPr>
        <w:t xml:space="preserve">). </w:t>
      </w:r>
      <w:r w:rsidRPr="002C4EC6">
        <w:rPr>
          <w:rFonts w:ascii="Times New Roman" w:hAnsi="Times New Roman" w:cs="Times New Roman"/>
          <w:sz w:val="24"/>
          <w:szCs w:val="24"/>
        </w:rPr>
        <w:lastRenderedPageBreak/>
        <w:t xml:space="preserve">Indian Journal of Agricultural Sciences, 83(4), 472–6. </w:t>
      </w:r>
      <w:hyperlink r:id="rId17" w:history="1">
        <w:r w:rsidRPr="002C4EC6">
          <w:rPr>
            <w:rStyle w:val="Hyperlink"/>
            <w:rFonts w:ascii="Times New Roman" w:hAnsi="Times New Roman" w:cs="Times New Roman"/>
            <w:sz w:val="24"/>
            <w:szCs w:val="24"/>
          </w:rPr>
          <w:t>https://epubs.icar.org.in/index.php/IJAgS</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Mir, A. H., Lal, S. B., Salmani, M., Abid, M., &amp; Khan, I. (2013). Growth, yield and nutrient content of blackgram (</w:t>
      </w:r>
      <w:r w:rsidRPr="006C07C4">
        <w:rPr>
          <w:rFonts w:ascii="Times New Roman" w:hAnsi="Times New Roman" w:cs="Times New Roman"/>
          <w:i/>
          <w:iCs/>
          <w:color w:val="FF0000"/>
          <w:sz w:val="24"/>
          <w:szCs w:val="24"/>
        </w:rPr>
        <w:t>Vigna mungo</w:t>
      </w:r>
      <w:r w:rsidRPr="002C4EC6">
        <w:rPr>
          <w:rFonts w:ascii="Times New Roman" w:hAnsi="Times New Roman" w:cs="Times New Roman"/>
          <w:sz w:val="24"/>
          <w:szCs w:val="24"/>
        </w:rPr>
        <w:t xml:space="preserve">) as influenced by levels of phosphorus, sulphur and Phosphorus Solubilizing Bacteria. SAARC Journal of Agriculture, 11(1), 1-6. </w:t>
      </w:r>
      <w:hyperlink r:id="rId18" w:history="1">
        <w:r w:rsidRPr="002C4EC6">
          <w:rPr>
            <w:rStyle w:val="Hyperlink"/>
            <w:rFonts w:ascii="Times New Roman" w:hAnsi="Times New Roman" w:cs="Times New Roman"/>
            <w:sz w:val="24"/>
            <w:szCs w:val="24"/>
          </w:rPr>
          <w:t>https://doi.org/10.3329/sja.v11i1.18370</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Nawange, D. D., Yadav, A. S., &amp; Singh, R. V. (2011). Effect of phosphorus and sulphur application on growth, yield attributes and yield of chickpea (</w:t>
      </w:r>
      <w:r w:rsidRPr="006C07C4">
        <w:rPr>
          <w:rFonts w:ascii="Times New Roman" w:hAnsi="Times New Roman" w:cs="Times New Roman"/>
          <w:i/>
          <w:iCs/>
          <w:color w:val="FF0000"/>
          <w:sz w:val="24"/>
          <w:szCs w:val="24"/>
        </w:rPr>
        <w:t>Cicer arietinum</w:t>
      </w:r>
      <w:r w:rsidRPr="002C4EC6">
        <w:rPr>
          <w:rFonts w:ascii="Times New Roman" w:hAnsi="Times New Roman" w:cs="Times New Roman"/>
          <w:sz w:val="24"/>
          <w:szCs w:val="24"/>
        </w:rPr>
        <w:t xml:space="preserve"> L.). Legume Research, 34(1), 48-50.</w:t>
      </w:r>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Patel, A. K., Nath, T., Prajapati, A., Singh, V. K., &amp; Pandey, S. K. (2018). Effect of doses and sources of sulphur on growth and yield of black gram (</w:t>
      </w:r>
      <w:r w:rsidRPr="006C07C4">
        <w:rPr>
          <w:rFonts w:ascii="Times New Roman" w:hAnsi="Times New Roman" w:cs="Times New Roman"/>
          <w:i/>
          <w:iCs/>
          <w:color w:val="FF0000"/>
          <w:sz w:val="24"/>
          <w:szCs w:val="24"/>
        </w:rPr>
        <w:t>Vigna mungo</w:t>
      </w:r>
      <w:r w:rsidRPr="002C4EC6">
        <w:rPr>
          <w:rFonts w:ascii="Times New Roman" w:hAnsi="Times New Roman" w:cs="Times New Roman"/>
          <w:sz w:val="24"/>
          <w:szCs w:val="24"/>
        </w:rPr>
        <w:t xml:space="preserve"> L.) under rainfed condition of Vindhyan soil. Journal of Pharmacognosy and Phytochemistry, SP1, 91-94. </w:t>
      </w:r>
      <w:hyperlink r:id="rId19" w:history="1">
        <w:r w:rsidRPr="002C4EC6">
          <w:rPr>
            <w:rStyle w:val="Hyperlink"/>
            <w:rFonts w:ascii="Times New Roman" w:hAnsi="Times New Roman" w:cs="Times New Roman"/>
            <w:sz w:val="24"/>
            <w:szCs w:val="24"/>
          </w:rPr>
          <w:t>https://www.jpp.co.in/archives/2018/vol7-special-issue1-2018</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 xml:space="preserve">Rathore, P. S. (2011). Techniques and management of field crop production. Agrobios (India). </w:t>
      </w:r>
      <w:hyperlink r:id="rId20" w:history="1">
        <w:r w:rsidRPr="002C4EC6">
          <w:rPr>
            <w:rStyle w:val="Hyperlink"/>
            <w:rFonts w:ascii="Times New Roman" w:hAnsi="Times New Roman" w:cs="Times New Roman"/>
            <w:sz w:val="24"/>
            <w:szCs w:val="24"/>
          </w:rPr>
          <w:t>https://www.agrobiosonline.com/book-details/techniques-and-management-of-field-crop-product</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 xml:space="preserve">Shukla, A., Mishra, A., Mishra, U. S., Sirothia, P., Singh, O. K., &amp; Jendre, A. (2023). Effect of sulphur and vermicompost on growth parameters, yield attributes and yield of chickpea. International Journal of Plant &amp; Soil Science, 35(20), 602–608. </w:t>
      </w:r>
      <w:hyperlink r:id="rId21" w:history="1">
        <w:r w:rsidRPr="002C4EC6">
          <w:rPr>
            <w:rStyle w:val="Hyperlink"/>
            <w:rFonts w:ascii="Times New Roman" w:hAnsi="Times New Roman" w:cs="Times New Roman"/>
            <w:sz w:val="24"/>
            <w:szCs w:val="24"/>
          </w:rPr>
          <w:t>https://doi.org/10.9734/ijpss/2023/v35i203844</w:t>
        </w:r>
      </w:hyperlink>
    </w:p>
    <w:p w:rsidR="0019187F" w:rsidRPr="002C4EC6" w:rsidRDefault="0019187F" w:rsidP="0019187F">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Srinivasulu, D. V., Solanki, R. M., Kumari, C. R., &amp; Babu, M. V. S. (2015). Nutrient uptake, yield and protein content of chickpea (</w:t>
      </w:r>
      <w:r w:rsidRPr="006C07C4">
        <w:rPr>
          <w:rFonts w:ascii="Times New Roman" w:hAnsi="Times New Roman" w:cs="Times New Roman"/>
          <w:i/>
          <w:iCs/>
          <w:color w:val="FF0000"/>
          <w:sz w:val="24"/>
          <w:szCs w:val="24"/>
        </w:rPr>
        <w:t>Cicer arietinum</w:t>
      </w:r>
      <w:r w:rsidRPr="002C4EC6">
        <w:rPr>
          <w:rFonts w:ascii="Times New Roman" w:hAnsi="Times New Roman" w:cs="Times New Roman"/>
          <w:sz w:val="24"/>
          <w:szCs w:val="24"/>
        </w:rPr>
        <w:t xml:space="preserve"> L.) as influenced by irrigation and sulphur levels in medium black soils. International Journal of Agricultural Sciences, 11(1), 54-58. </w:t>
      </w:r>
      <w:hyperlink r:id="rId22" w:history="1">
        <w:r w:rsidRPr="002C4EC6">
          <w:rPr>
            <w:rStyle w:val="Hyperlink"/>
            <w:rFonts w:ascii="Times New Roman" w:hAnsi="Times New Roman" w:cs="Times New Roman"/>
            <w:sz w:val="24"/>
            <w:szCs w:val="24"/>
          </w:rPr>
          <w:t>https://doi.org/10.15740/HAS/IJAS/11.1/54-58</w:t>
        </w:r>
      </w:hyperlink>
      <w:r w:rsidRPr="002C4EC6">
        <w:rPr>
          <w:rFonts w:ascii="Times New Roman" w:hAnsi="Times New Roman" w:cs="Times New Roman"/>
          <w:sz w:val="24"/>
          <w:szCs w:val="24"/>
        </w:rPr>
        <w:t>.</w:t>
      </w:r>
    </w:p>
    <w:p w:rsidR="00120FF8" w:rsidRPr="002C4EC6" w:rsidRDefault="0019187F" w:rsidP="004C46D8">
      <w:pPr>
        <w:spacing w:after="0" w:line="360" w:lineRule="auto"/>
        <w:jc w:val="both"/>
        <w:rPr>
          <w:rFonts w:ascii="Times New Roman" w:hAnsi="Times New Roman" w:cs="Times New Roman"/>
          <w:sz w:val="24"/>
          <w:szCs w:val="24"/>
        </w:rPr>
      </w:pPr>
      <w:r w:rsidRPr="002C4EC6">
        <w:rPr>
          <w:rFonts w:ascii="Times New Roman" w:hAnsi="Times New Roman" w:cs="Times New Roman"/>
          <w:sz w:val="24"/>
          <w:szCs w:val="24"/>
        </w:rPr>
        <w:t xml:space="preserve">Havlin, J. L., Tisdale, S. L., Nelson, W. L., &amp; Beaton, J. D. (2014). Soil Fertility and Fertilizers: An Introduction to Nutrient Management. Pearson. </w:t>
      </w:r>
      <w:hyperlink r:id="rId23" w:history="1">
        <w:r w:rsidRPr="002C4EC6">
          <w:rPr>
            <w:rStyle w:val="Hyperlink"/>
            <w:rFonts w:ascii="Times New Roman" w:hAnsi="Times New Roman" w:cs="Times New Roman"/>
            <w:sz w:val="24"/>
            <w:szCs w:val="24"/>
          </w:rPr>
          <w:t>https://www.pearson.com/us/higher-education/program/Havlin-Soil-Fertility-and-Fertilizers-An-Introduction-to-Nutrient-Management-8th-Edition/PGM100000000000.html</w:t>
        </w:r>
      </w:hyperlink>
    </w:p>
    <w:p w:rsidR="0019187F" w:rsidRPr="00001F17" w:rsidRDefault="0019187F" w:rsidP="00813943">
      <w:pPr>
        <w:spacing w:after="0" w:line="360" w:lineRule="auto"/>
        <w:ind w:left="851" w:hanging="851"/>
        <w:jc w:val="both"/>
        <w:rPr>
          <w:rFonts w:ascii="Times New Roman" w:hAnsi="Times New Roman" w:cs="Times New Roman"/>
          <w:sz w:val="24"/>
          <w:szCs w:val="22"/>
        </w:rPr>
      </w:pPr>
    </w:p>
    <w:p w:rsidR="00813943" w:rsidRPr="00001F17" w:rsidRDefault="00813943" w:rsidP="002E39FF">
      <w:pPr>
        <w:spacing w:after="0" w:line="360" w:lineRule="auto"/>
        <w:ind w:left="851" w:hanging="851"/>
        <w:jc w:val="both"/>
        <w:rPr>
          <w:rFonts w:ascii="Times New Roman" w:hAnsi="Times New Roman" w:cs="Times New Roman"/>
          <w:sz w:val="24"/>
          <w:szCs w:val="22"/>
        </w:rPr>
      </w:pPr>
    </w:p>
    <w:p w:rsidR="00D513DB" w:rsidRPr="00001F17" w:rsidRDefault="00D513DB" w:rsidP="00F652B9">
      <w:pPr>
        <w:spacing w:after="0" w:line="360" w:lineRule="auto"/>
        <w:jc w:val="both"/>
        <w:rPr>
          <w:rFonts w:ascii="Times New Roman" w:hAnsi="Times New Roman" w:cs="Times New Roman"/>
          <w:sz w:val="24"/>
          <w:szCs w:val="22"/>
        </w:rPr>
        <w:sectPr w:rsidR="00D513DB" w:rsidRPr="00001F17" w:rsidSect="00D513DB">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440" w:right="1440" w:bottom="1440" w:left="1440" w:header="708" w:footer="708" w:gutter="0"/>
          <w:cols w:space="708"/>
          <w:docGrid w:linePitch="360"/>
        </w:sectPr>
      </w:pPr>
    </w:p>
    <w:p w:rsidR="00D513DB" w:rsidRPr="00001F17" w:rsidRDefault="00D513DB" w:rsidP="00F652B9">
      <w:pPr>
        <w:spacing w:after="0"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lastRenderedPageBreak/>
        <w:t>Table 1 Effect of sulphur levels and application methods on growth parameters of chickpea</w:t>
      </w:r>
    </w:p>
    <w:tbl>
      <w:tblPr>
        <w:tblStyle w:val="TableGrid"/>
        <w:tblW w:w="14216" w:type="dxa"/>
        <w:tblLook w:val="04A0"/>
      </w:tblPr>
      <w:tblGrid>
        <w:gridCol w:w="1767"/>
        <w:gridCol w:w="1936"/>
        <w:gridCol w:w="1754"/>
        <w:gridCol w:w="2499"/>
        <w:gridCol w:w="1577"/>
        <w:gridCol w:w="1534"/>
        <w:gridCol w:w="1534"/>
        <w:gridCol w:w="1615"/>
      </w:tblGrid>
      <w:tr w:rsidR="00D513DB" w:rsidRPr="00001F17" w:rsidTr="003968DE">
        <w:trPr>
          <w:trHeight w:val="409"/>
        </w:trPr>
        <w:tc>
          <w:tcPr>
            <w:tcW w:w="1767" w:type="dxa"/>
            <w:vMerge w:val="restart"/>
            <w:vAlign w:val="center"/>
          </w:tcPr>
          <w:p w:rsidR="00D513DB" w:rsidRPr="00001F17" w:rsidRDefault="00D513DB"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Treatments</w:t>
            </w:r>
          </w:p>
        </w:tc>
        <w:tc>
          <w:tcPr>
            <w:tcW w:w="1936" w:type="dxa"/>
            <w:vMerge w:val="restart"/>
            <w:vAlign w:val="center"/>
          </w:tcPr>
          <w:p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Plant population</w:t>
            </w:r>
            <w:r w:rsidR="004C46D8">
              <w:rPr>
                <w:rFonts w:ascii="Times New Roman" w:hAnsi="Times New Roman" w:cs="Times New Roman"/>
                <w:b/>
                <w:bCs/>
                <w:sz w:val="24"/>
                <w:szCs w:val="24"/>
              </w:rPr>
              <w:t xml:space="preserve"> </w:t>
            </w:r>
            <w:r w:rsidR="004C46D8" w:rsidRPr="004C46D8">
              <w:rPr>
                <w:rFonts w:ascii="Times New Roman" w:hAnsi="Times New Roman" w:cs="Times New Roman"/>
                <w:b/>
                <w:bCs/>
                <w:color w:val="FF0000"/>
                <w:sz w:val="24"/>
                <w:szCs w:val="24"/>
              </w:rPr>
              <w:t>(</w:t>
            </w:r>
            <w:r w:rsidR="004C46D8">
              <w:rPr>
                <w:rFonts w:ascii="Times New Roman" w:hAnsi="Times New Roman" w:cs="Times New Roman"/>
                <w:b/>
                <w:bCs/>
                <w:color w:val="FF0000"/>
                <w:sz w:val="24"/>
                <w:szCs w:val="24"/>
              </w:rPr>
              <w:t>‘</w:t>
            </w:r>
            <w:r w:rsidR="004C46D8" w:rsidRPr="004C46D8">
              <w:rPr>
                <w:rFonts w:ascii="Times New Roman" w:hAnsi="Times New Roman" w:cs="Times New Roman"/>
                <w:b/>
                <w:bCs/>
                <w:color w:val="FF0000"/>
                <w:sz w:val="24"/>
                <w:szCs w:val="24"/>
              </w:rPr>
              <w:t>000 ha</w:t>
            </w:r>
            <w:r w:rsidR="004C46D8" w:rsidRPr="004C46D8">
              <w:rPr>
                <w:rFonts w:ascii="Times New Roman" w:hAnsi="Times New Roman" w:cs="Times New Roman"/>
                <w:b/>
                <w:bCs/>
                <w:color w:val="FF0000"/>
                <w:sz w:val="24"/>
                <w:szCs w:val="24"/>
                <w:vertAlign w:val="superscript"/>
              </w:rPr>
              <w:t>-1</w:t>
            </w:r>
            <w:r w:rsidR="004C46D8" w:rsidRPr="004C46D8">
              <w:rPr>
                <w:rFonts w:ascii="Times New Roman" w:hAnsi="Times New Roman" w:cs="Times New Roman"/>
                <w:b/>
                <w:bCs/>
                <w:color w:val="FF0000"/>
                <w:sz w:val="24"/>
                <w:szCs w:val="24"/>
              </w:rPr>
              <w:t>)</w:t>
            </w:r>
          </w:p>
        </w:tc>
        <w:tc>
          <w:tcPr>
            <w:tcW w:w="1754" w:type="dxa"/>
            <w:vMerge w:val="restart"/>
            <w:vAlign w:val="center"/>
          </w:tcPr>
          <w:p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Plant height at harvest</w:t>
            </w:r>
            <w:r w:rsidR="004C46D8">
              <w:rPr>
                <w:rFonts w:ascii="Times New Roman" w:hAnsi="Times New Roman" w:cs="Times New Roman"/>
                <w:b/>
                <w:bCs/>
                <w:sz w:val="24"/>
                <w:szCs w:val="24"/>
              </w:rPr>
              <w:t xml:space="preserve"> </w:t>
            </w:r>
            <w:r w:rsidR="004C46D8" w:rsidRPr="004C46D8">
              <w:rPr>
                <w:rFonts w:ascii="Times New Roman" w:hAnsi="Times New Roman" w:cs="Times New Roman"/>
                <w:b/>
                <w:bCs/>
                <w:color w:val="FF0000"/>
                <w:sz w:val="24"/>
                <w:szCs w:val="24"/>
              </w:rPr>
              <w:t>(cm)</w:t>
            </w:r>
          </w:p>
        </w:tc>
        <w:tc>
          <w:tcPr>
            <w:tcW w:w="2499" w:type="dxa"/>
            <w:vMerge w:val="restart"/>
            <w:vAlign w:val="center"/>
          </w:tcPr>
          <w:p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Chlorophyll content</w:t>
            </w:r>
            <w:r w:rsidR="004C46D8">
              <w:rPr>
                <w:rFonts w:ascii="Times New Roman" w:hAnsi="Times New Roman" w:cs="Times New Roman"/>
                <w:b/>
                <w:bCs/>
                <w:sz w:val="24"/>
                <w:szCs w:val="24"/>
              </w:rPr>
              <w:t xml:space="preserve"> </w:t>
            </w:r>
            <w:r w:rsidRPr="00001F17">
              <w:rPr>
                <w:rFonts w:ascii="Times New Roman" w:hAnsi="Times New Roman" w:cs="Times New Roman"/>
                <w:b/>
                <w:bCs/>
                <w:sz w:val="24"/>
                <w:szCs w:val="24"/>
              </w:rPr>
              <w:t xml:space="preserve"> at 85 </w:t>
            </w:r>
            <w:r w:rsidRPr="004C46D8">
              <w:rPr>
                <w:rFonts w:ascii="Times New Roman" w:hAnsi="Times New Roman" w:cs="Times New Roman"/>
                <w:b/>
                <w:bCs/>
                <w:color w:val="FF0000"/>
                <w:sz w:val="24"/>
                <w:szCs w:val="24"/>
              </w:rPr>
              <w:t>DAS</w:t>
            </w:r>
            <w:r w:rsidR="004C46D8" w:rsidRPr="004C46D8">
              <w:rPr>
                <w:rFonts w:ascii="Times New Roman" w:hAnsi="Times New Roman" w:cs="Times New Roman"/>
                <w:b/>
                <w:bCs/>
                <w:color w:val="FF0000"/>
                <w:sz w:val="24"/>
                <w:szCs w:val="24"/>
              </w:rPr>
              <w:t xml:space="preserve"> (mg g</w:t>
            </w:r>
            <w:r w:rsidR="004C46D8" w:rsidRPr="004C46D8">
              <w:rPr>
                <w:rFonts w:ascii="Times New Roman" w:hAnsi="Times New Roman" w:cs="Times New Roman"/>
                <w:b/>
                <w:bCs/>
                <w:color w:val="FF0000"/>
                <w:sz w:val="24"/>
                <w:szCs w:val="24"/>
                <w:vertAlign w:val="superscript"/>
              </w:rPr>
              <w:t>-1</w:t>
            </w:r>
            <w:r w:rsidR="004C46D8" w:rsidRPr="004C46D8">
              <w:rPr>
                <w:rFonts w:ascii="Times New Roman" w:hAnsi="Times New Roman" w:cs="Times New Roman"/>
                <w:b/>
                <w:bCs/>
                <w:color w:val="FF0000"/>
                <w:sz w:val="24"/>
                <w:szCs w:val="24"/>
              </w:rPr>
              <w:t xml:space="preserve"> fresh leaf)</w:t>
            </w:r>
          </w:p>
        </w:tc>
        <w:tc>
          <w:tcPr>
            <w:tcW w:w="6260" w:type="dxa"/>
            <w:gridSpan w:val="4"/>
            <w:vAlign w:val="center"/>
          </w:tcPr>
          <w:p w:rsidR="00D513DB" w:rsidRPr="00001F17" w:rsidRDefault="00D513DB" w:rsidP="004C46D8">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Dry matter accumulation</w:t>
            </w:r>
            <w:r w:rsidR="004C46D8">
              <w:rPr>
                <w:rFonts w:ascii="Times New Roman" w:hAnsi="Times New Roman" w:cs="Times New Roman"/>
                <w:b/>
                <w:bCs/>
                <w:sz w:val="24"/>
                <w:szCs w:val="24"/>
              </w:rPr>
              <w:t xml:space="preserve"> </w:t>
            </w:r>
            <w:r w:rsidR="004C46D8" w:rsidRPr="004C46D8">
              <w:rPr>
                <w:rFonts w:ascii="Times New Roman" w:hAnsi="Times New Roman" w:cs="Times New Roman"/>
                <w:b/>
                <w:bCs/>
                <w:color w:val="FF0000"/>
                <w:sz w:val="24"/>
                <w:szCs w:val="24"/>
              </w:rPr>
              <w:t>(g plant</w:t>
            </w:r>
            <w:r w:rsidR="004C46D8" w:rsidRPr="004C46D8">
              <w:rPr>
                <w:rFonts w:ascii="Times New Roman" w:hAnsi="Times New Roman" w:cs="Times New Roman"/>
                <w:b/>
                <w:bCs/>
                <w:color w:val="FF0000"/>
                <w:sz w:val="24"/>
                <w:szCs w:val="24"/>
                <w:vertAlign w:val="superscript"/>
              </w:rPr>
              <w:t>-1</w:t>
            </w:r>
            <w:r w:rsidR="004C46D8" w:rsidRPr="004C46D8">
              <w:rPr>
                <w:rFonts w:ascii="Times New Roman" w:hAnsi="Times New Roman" w:cs="Times New Roman"/>
                <w:b/>
                <w:bCs/>
                <w:color w:val="FF0000"/>
                <w:sz w:val="24"/>
                <w:szCs w:val="24"/>
              </w:rPr>
              <w:t>)</w:t>
            </w:r>
          </w:p>
        </w:tc>
      </w:tr>
      <w:tr w:rsidR="00D513DB" w:rsidRPr="00001F17" w:rsidTr="003968DE">
        <w:trPr>
          <w:trHeight w:val="142"/>
        </w:trPr>
        <w:tc>
          <w:tcPr>
            <w:tcW w:w="1767" w:type="dxa"/>
            <w:vMerge/>
            <w:vAlign w:val="center"/>
          </w:tcPr>
          <w:p w:rsidR="00D513DB" w:rsidRPr="00001F17" w:rsidRDefault="00D513DB" w:rsidP="00F652B9">
            <w:pPr>
              <w:spacing w:line="360" w:lineRule="auto"/>
              <w:jc w:val="both"/>
              <w:rPr>
                <w:rFonts w:ascii="Times New Roman" w:hAnsi="Times New Roman" w:cs="Times New Roman"/>
                <w:b/>
                <w:bCs/>
                <w:sz w:val="24"/>
                <w:szCs w:val="24"/>
              </w:rPr>
            </w:pPr>
          </w:p>
        </w:tc>
        <w:tc>
          <w:tcPr>
            <w:tcW w:w="1936" w:type="dxa"/>
            <w:vMerge/>
            <w:vAlign w:val="center"/>
          </w:tcPr>
          <w:p w:rsidR="00D513DB" w:rsidRPr="00001F17" w:rsidRDefault="00D513DB" w:rsidP="00F652B9">
            <w:pPr>
              <w:spacing w:line="360" w:lineRule="auto"/>
              <w:jc w:val="center"/>
              <w:rPr>
                <w:rFonts w:ascii="Times New Roman" w:hAnsi="Times New Roman" w:cs="Times New Roman"/>
                <w:b/>
                <w:bCs/>
                <w:sz w:val="24"/>
                <w:szCs w:val="24"/>
              </w:rPr>
            </w:pPr>
          </w:p>
        </w:tc>
        <w:tc>
          <w:tcPr>
            <w:tcW w:w="1754" w:type="dxa"/>
            <w:vMerge/>
            <w:vAlign w:val="center"/>
          </w:tcPr>
          <w:p w:rsidR="00D513DB" w:rsidRPr="00001F17" w:rsidRDefault="00D513DB" w:rsidP="00F652B9">
            <w:pPr>
              <w:spacing w:line="360" w:lineRule="auto"/>
              <w:jc w:val="center"/>
              <w:rPr>
                <w:rFonts w:ascii="Times New Roman" w:hAnsi="Times New Roman" w:cs="Times New Roman"/>
                <w:b/>
                <w:bCs/>
                <w:sz w:val="24"/>
                <w:szCs w:val="24"/>
              </w:rPr>
            </w:pPr>
          </w:p>
        </w:tc>
        <w:tc>
          <w:tcPr>
            <w:tcW w:w="2499" w:type="dxa"/>
            <w:vMerge/>
            <w:vAlign w:val="center"/>
          </w:tcPr>
          <w:p w:rsidR="00D513DB" w:rsidRPr="00001F17" w:rsidRDefault="00D513DB" w:rsidP="00F652B9">
            <w:pPr>
              <w:spacing w:line="360" w:lineRule="auto"/>
              <w:jc w:val="center"/>
              <w:rPr>
                <w:rFonts w:ascii="Times New Roman" w:hAnsi="Times New Roman" w:cs="Times New Roman"/>
                <w:b/>
                <w:bCs/>
                <w:sz w:val="24"/>
                <w:szCs w:val="24"/>
              </w:rPr>
            </w:pPr>
          </w:p>
        </w:tc>
        <w:tc>
          <w:tcPr>
            <w:tcW w:w="1577" w:type="dxa"/>
            <w:vAlign w:val="center"/>
          </w:tcPr>
          <w:p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30 DAS</w:t>
            </w:r>
          </w:p>
        </w:tc>
        <w:tc>
          <w:tcPr>
            <w:tcW w:w="1534" w:type="dxa"/>
            <w:vAlign w:val="center"/>
          </w:tcPr>
          <w:p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60 DAS</w:t>
            </w:r>
          </w:p>
        </w:tc>
        <w:tc>
          <w:tcPr>
            <w:tcW w:w="1534" w:type="dxa"/>
            <w:vAlign w:val="center"/>
          </w:tcPr>
          <w:p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90 DAS</w:t>
            </w:r>
          </w:p>
        </w:tc>
        <w:tc>
          <w:tcPr>
            <w:tcW w:w="1615" w:type="dxa"/>
            <w:vAlign w:val="center"/>
          </w:tcPr>
          <w:p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At harvest</w:t>
            </w:r>
          </w:p>
        </w:tc>
      </w:tr>
      <w:tr w:rsidR="00D513DB" w:rsidRPr="00001F17" w:rsidTr="003968DE">
        <w:trPr>
          <w:trHeight w:val="409"/>
        </w:trPr>
        <w:tc>
          <w:tcPr>
            <w:tcW w:w="14216" w:type="dxa"/>
            <w:gridSpan w:val="8"/>
            <w:vAlign w:val="center"/>
          </w:tcPr>
          <w:p w:rsidR="00D513DB" w:rsidRPr="00001F17" w:rsidRDefault="00D513DB"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Basal application of sulphur (kg ha</w:t>
            </w:r>
            <w:r w:rsidRPr="00001F17">
              <w:rPr>
                <w:rFonts w:ascii="Times New Roman" w:hAnsi="Times New Roman" w:cs="Times New Roman"/>
                <w:b/>
                <w:bCs/>
                <w:sz w:val="24"/>
                <w:szCs w:val="24"/>
                <w:vertAlign w:val="superscript"/>
              </w:rPr>
              <w:t>-1</w:t>
            </w:r>
            <w:r w:rsidRPr="00001F17">
              <w:rPr>
                <w:rFonts w:ascii="Times New Roman" w:hAnsi="Times New Roman" w:cs="Times New Roman"/>
                <w:b/>
                <w:bCs/>
                <w:sz w:val="24"/>
                <w:szCs w:val="24"/>
              </w:rPr>
              <w:t>)</w:t>
            </w:r>
          </w:p>
        </w:tc>
      </w:tr>
      <w:tr w:rsidR="003968DE" w:rsidRPr="00001F17" w:rsidTr="003968DE">
        <w:trPr>
          <w:trHeight w:val="397"/>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1936" w:type="dxa"/>
            <w:vAlign w:val="center"/>
          </w:tcPr>
          <w:p w:rsidR="003968DE" w:rsidRPr="00DA4879" w:rsidRDefault="003968DE" w:rsidP="00F652B9">
            <w:pPr>
              <w:pStyle w:val="TableParagraph"/>
              <w:spacing w:before="183"/>
              <w:ind w:left="665" w:right="653"/>
              <w:jc w:val="center"/>
              <w:rPr>
                <w:rFonts w:ascii="Times New Roman" w:hAnsi="Times New Roman" w:cs="Times New Roman"/>
                <w:sz w:val="24"/>
                <w:szCs w:val="24"/>
              </w:rPr>
            </w:pPr>
            <w:r w:rsidRPr="00DA4879">
              <w:rPr>
                <w:rFonts w:ascii="Times New Roman" w:hAnsi="Times New Roman" w:cs="Times New Roman"/>
                <w:sz w:val="24"/>
                <w:szCs w:val="24"/>
              </w:rPr>
              <w:t>303</w:t>
            </w:r>
          </w:p>
        </w:tc>
        <w:tc>
          <w:tcPr>
            <w:tcW w:w="1754" w:type="dxa"/>
            <w:vAlign w:val="center"/>
          </w:tcPr>
          <w:p w:rsidR="003968DE" w:rsidRPr="00DA4879" w:rsidRDefault="003968DE" w:rsidP="00F652B9">
            <w:pPr>
              <w:pStyle w:val="TableParagraph"/>
              <w:tabs>
                <w:tab w:val="left" w:pos="1538"/>
              </w:tabs>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55.5</w:t>
            </w:r>
          </w:p>
        </w:tc>
        <w:tc>
          <w:tcPr>
            <w:tcW w:w="2499" w:type="dxa"/>
            <w:vAlign w:val="center"/>
          </w:tcPr>
          <w:p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1.93</w:t>
            </w:r>
          </w:p>
        </w:tc>
        <w:tc>
          <w:tcPr>
            <w:tcW w:w="1577" w:type="dxa"/>
            <w:vAlign w:val="center"/>
          </w:tcPr>
          <w:p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1.54</w:t>
            </w:r>
          </w:p>
        </w:tc>
        <w:tc>
          <w:tcPr>
            <w:tcW w:w="1534" w:type="dxa"/>
            <w:vAlign w:val="center"/>
          </w:tcPr>
          <w:p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5.07</w:t>
            </w:r>
          </w:p>
        </w:tc>
        <w:tc>
          <w:tcPr>
            <w:tcW w:w="1534" w:type="dxa"/>
            <w:vAlign w:val="center"/>
          </w:tcPr>
          <w:p w:rsidR="003968DE" w:rsidRPr="00DA4879" w:rsidRDefault="003968DE" w:rsidP="00F652B9">
            <w:pPr>
              <w:pStyle w:val="TableParagraph"/>
              <w:spacing w:before="79"/>
              <w:ind w:left="258" w:right="250"/>
              <w:jc w:val="center"/>
              <w:rPr>
                <w:rFonts w:ascii="Times New Roman" w:hAnsi="Times New Roman" w:cs="Times New Roman"/>
                <w:sz w:val="24"/>
                <w:szCs w:val="24"/>
              </w:rPr>
            </w:pPr>
            <w:r w:rsidRPr="00DA4879">
              <w:rPr>
                <w:rFonts w:ascii="Times New Roman" w:hAnsi="Times New Roman" w:cs="Times New Roman"/>
                <w:sz w:val="24"/>
                <w:szCs w:val="24"/>
              </w:rPr>
              <w:t>13.2</w:t>
            </w:r>
          </w:p>
        </w:tc>
        <w:tc>
          <w:tcPr>
            <w:tcW w:w="1615" w:type="dxa"/>
            <w:vAlign w:val="center"/>
          </w:tcPr>
          <w:p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21.9</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20</w:t>
            </w:r>
          </w:p>
        </w:tc>
        <w:tc>
          <w:tcPr>
            <w:tcW w:w="1936" w:type="dxa"/>
            <w:vAlign w:val="center"/>
          </w:tcPr>
          <w:p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305</w:t>
            </w:r>
          </w:p>
        </w:tc>
        <w:tc>
          <w:tcPr>
            <w:tcW w:w="1754" w:type="dxa"/>
            <w:vAlign w:val="center"/>
          </w:tcPr>
          <w:p w:rsidR="003968DE" w:rsidRPr="00DA4879" w:rsidRDefault="003968DE" w:rsidP="00F652B9">
            <w:pPr>
              <w:pStyle w:val="TableParagraph"/>
              <w:tabs>
                <w:tab w:val="left" w:pos="1538"/>
              </w:tabs>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59.8</w:t>
            </w:r>
          </w:p>
        </w:tc>
        <w:tc>
          <w:tcPr>
            <w:tcW w:w="2499" w:type="dxa"/>
            <w:vAlign w:val="center"/>
          </w:tcPr>
          <w:p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2.46</w:t>
            </w:r>
          </w:p>
        </w:tc>
        <w:tc>
          <w:tcPr>
            <w:tcW w:w="1577" w:type="dxa"/>
            <w:vAlign w:val="center"/>
          </w:tcPr>
          <w:p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1.57</w:t>
            </w:r>
          </w:p>
        </w:tc>
        <w:tc>
          <w:tcPr>
            <w:tcW w:w="1534" w:type="dxa"/>
            <w:vAlign w:val="center"/>
          </w:tcPr>
          <w:p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7.00</w:t>
            </w:r>
          </w:p>
        </w:tc>
        <w:tc>
          <w:tcPr>
            <w:tcW w:w="1534" w:type="dxa"/>
            <w:vAlign w:val="center"/>
          </w:tcPr>
          <w:p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15.0</w:t>
            </w:r>
          </w:p>
        </w:tc>
        <w:tc>
          <w:tcPr>
            <w:tcW w:w="1615" w:type="dxa"/>
            <w:vAlign w:val="center"/>
          </w:tcPr>
          <w:p w:rsidR="003968DE" w:rsidRPr="00DA4879" w:rsidRDefault="003968DE" w:rsidP="00F652B9">
            <w:pPr>
              <w:pStyle w:val="TableParagraph"/>
              <w:spacing w:before="77"/>
              <w:ind w:left="237" w:right="231"/>
              <w:jc w:val="center"/>
              <w:rPr>
                <w:rFonts w:ascii="Times New Roman" w:hAnsi="Times New Roman" w:cs="Times New Roman"/>
                <w:sz w:val="24"/>
                <w:szCs w:val="24"/>
              </w:rPr>
            </w:pPr>
            <w:r w:rsidRPr="00DA4879">
              <w:rPr>
                <w:rFonts w:ascii="Times New Roman" w:hAnsi="Times New Roman" w:cs="Times New Roman"/>
                <w:sz w:val="24"/>
                <w:szCs w:val="24"/>
              </w:rPr>
              <w:t>27.5</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40</w:t>
            </w:r>
          </w:p>
        </w:tc>
        <w:tc>
          <w:tcPr>
            <w:tcW w:w="1936" w:type="dxa"/>
            <w:vAlign w:val="center"/>
          </w:tcPr>
          <w:p w:rsidR="003968DE" w:rsidRPr="00DA4879" w:rsidRDefault="003968DE" w:rsidP="00F652B9">
            <w:pPr>
              <w:pStyle w:val="TableParagraph"/>
              <w:spacing w:before="185"/>
              <w:ind w:left="665" w:right="653"/>
              <w:jc w:val="center"/>
              <w:rPr>
                <w:rFonts w:ascii="Times New Roman" w:hAnsi="Times New Roman" w:cs="Times New Roman"/>
                <w:sz w:val="24"/>
                <w:szCs w:val="24"/>
              </w:rPr>
            </w:pPr>
            <w:r w:rsidRPr="00DA4879">
              <w:rPr>
                <w:rFonts w:ascii="Times New Roman" w:hAnsi="Times New Roman" w:cs="Times New Roman"/>
                <w:sz w:val="24"/>
                <w:szCs w:val="24"/>
              </w:rPr>
              <w:t>306</w:t>
            </w:r>
          </w:p>
        </w:tc>
        <w:tc>
          <w:tcPr>
            <w:tcW w:w="1754" w:type="dxa"/>
            <w:vAlign w:val="center"/>
          </w:tcPr>
          <w:p w:rsidR="003968DE" w:rsidRPr="00DA4879" w:rsidRDefault="003968DE" w:rsidP="00F652B9">
            <w:pPr>
              <w:pStyle w:val="TableParagraph"/>
              <w:tabs>
                <w:tab w:val="left" w:pos="1538"/>
              </w:tabs>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63.8</w:t>
            </w:r>
          </w:p>
        </w:tc>
        <w:tc>
          <w:tcPr>
            <w:tcW w:w="2499" w:type="dxa"/>
            <w:vAlign w:val="center"/>
          </w:tcPr>
          <w:p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2.88</w:t>
            </w:r>
          </w:p>
        </w:tc>
        <w:tc>
          <w:tcPr>
            <w:tcW w:w="1577" w:type="dxa"/>
            <w:vAlign w:val="center"/>
          </w:tcPr>
          <w:p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1.61</w:t>
            </w:r>
          </w:p>
        </w:tc>
        <w:tc>
          <w:tcPr>
            <w:tcW w:w="1534" w:type="dxa"/>
            <w:vAlign w:val="center"/>
          </w:tcPr>
          <w:p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8.04</w:t>
            </w:r>
          </w:p>
        </w:tc>
        <w:tc>
          <w:tcPr>
            <w:tcW w:w="1534" w:type="dxa"/>
            <w:vAlign w:val="center"/>
          </w:tcPr>
          <w:p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16.0</w:t>
            </w:r>
          </w:p>
        </w:tc>
        <w:tc>
          <w:tcPr>
            <w:tcW w:w="1615" w:type="dxa"/>
            <w:vAlign w:val="center"/>
          </w:tcPr>
          <w:p w:rsidR="003968DE" w:rsidRPr="00DA4879" w:rsidRDefault="003968DE" w:rsidP="00F652B9">
            <w:pPr>
              <w:pStyle w:val="TableParagraph"/>
              <w:spacing w:before="77"/>
              <w:ind w:left="237" w:right="231"/>
              <w:jc w:val="center"/>
              <w:rPr>
                <w:rFonts w:ascii="Times New Roman" w:hAnsi="Times New Roman" w:cs="Times New Roman"/>
                <w:sz w:val="24"/>
                <w:szCs w:val="24"/>
              </w:rPr>
            </w:pPr>
            <w:r w:rsidRPr="00DA4879">
              <w:rPr>
                <w:rFonts w:ascii="Times New Roman" w:hAnsi="Times New Roman" w:cs="Times New Roman"/>
                <w:sz w:val="24"/>
                <w:szCs w:val="24"/>
              </w:rPr>
              <w:t>31.0</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60</w:t>
            </w:r>
          </w:p>
        </w:tc>
        <w:tc>
          <w:tcPr>
            <w:tcW w:w="1936" w:type="dxa"/>
            <w:vAlign w:val="center"/>
          </w:tcPr>
          <w:p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307</w:t>
            </w:r>
          </w:p>
        </w:tc>
        <w:tc>
          <w:tcPr>
            <w:tcW w:w="1754" w:type="dxa"/>
            <w:vAlign w:val="center"/>
          </w:tcPr>
          <w:p w:rsidR="003968DE" w:rsidRPr="00DA4879" w:rsidRDefault="003968DE" w:rsidP="00F652B9">
            <w:pPr>
              <w:pStyle w:val="TableParagraph"/>
              <w:tabs>
                <w:tab w:val="left" w:pos="1538"/>
              </w:tabs>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65.7</w:t>
            </w:r>
          </w:p>
        </w:tc>
        <w:tc>
          <w:tcPr>
            <w:tcW w:w="2499" w:type="dxa"/>
            <w:vAlign w:val="center"/>
          </w:tcPr>
          <w:p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3.12</w:t>
            </w:r>
          </w:p>
        </w:tc>
        <w:tc>
          <w:tcPr>
            <w:tcW w:w="1577" w:type="dxa"/>
            <w:vAlign w:val="center"/>
          </w:tcPr>
          <w:p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1.64</w:t>
            </w:r>
          </w:p>
        </w:tc>
        <w:tc>
          <w:tcPr>
            <w:tcW w:w="1534" w:type="dxa"/>
            <w:vAlign w:val="center"/>
          </w:tcPr>
          <w:p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8.47</w:t>
            </w:r>
          </w:p>
        </w:tc>
        <w:tc>
          <w:tcPr>
            <w:tcW w:w="1534" w:type="dxa"/>
            <w:vAlign w:val="center"/>
          </w:tcPr>
          <w:p w:rsidR="003968DE" w:rsidRPr="00DA4879" w:rsidRDefault="003968DE" w:rsidP="00F652B9">
            <w:pPr>
              <w:pStyle w:val="TableParagraph"/>
              <w:spacing w:before="79"/>
              <w:ind w:left="258" w:right="249"/>
              <w:jc w:val="center"/>
              <w:rPr>
                <w:rFonts w:ascii="Times New Roman" w:hAnsi="Times New Roman" w:cs="Times New Roman"/>
                <w:sz w:val="24"/>
                <w:szCs w:val="24"/>
              </w:rPr>
            </w:pPr>
            <w:r w:rsidRPr="00DA4879">
              <w:rPr>
                <w:rFonts w:ascii="Times New Roman" w:hAnsi="Times New Roman" w:cs="Times New Roman"/>
                <w:sz w:val="24"/>
                <w:szCs w:val="24"/>
              </w:rPr>
              <w:t>16.7</w:t>
            </w:r>
          </w:p>
        </w:tc>
        <w:tc>
          <w:tcPr>
            <w:tcW w:w="1615" w:type="dxa"/>
            <w:vAlign w:val="center"/>
          </w:tcPr>
          <w:p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32.9</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SEm ±</w:t>
            </w:r>
          </w:p>
        </w:tc>
        <w:tc>
          <w:tcPr>
            <w:tcW w:w="1936" w:type="dxa"/>
            <w:vAlign w:val="center"/>
          </w:tcPr>
          <w:p w:rsidR="003968DE" w:rsidRPr="00DA4879" w:rsidRDefault="003968DE" w:rsidP="00F652B9">
            <w:pPr>
              <w:pStyle w:val="TableParagraph"/>
              <w:spacing w:before="185"/>
              <w:ind w:left="7"/>
              <w:jc w:val="center"/>
              <w:rPr>
                <w:rFonts w:ascii="Times New Roman" w:hAnsi="Times New Roman" w:cs="Times New Roman"/>
                <w:sz w:val="24"/>
                <w:szCs w:val="24"/>
              </w:rPr>
            </w:pPr>
            <w:r w:rsidRPr="00DA4879">
              <w:rPr>
                <w:rFonts w:ascii="Times New Roman" w:hAnsi="Times New Roman" w:cs="Times New Roman"/>
                <w:w w:val="99"/>
                <w:sz w:val="24"/>
                <w:szCs w:val="24"/>
              </w:rPr>
              <w:t>4.0</w:t>
            </w:r>
          </w:p>
        </w:tc>
        <w:tc>
          <w:tcPr>
            <w:tcW w:w="1754" w:type="dxa"/>
            <w:vAlign w:val="center"/>
          </w:tcPr>
          <w:p w:rsidR="003968DE" w:rsidRPr="00DA4879" w:rsidRDefault="003968DE" w:rsidP="00F652B9">
            <w:pPr>
              <w:pStyle w:val="TableParagraph"/>
              <w:tabs>
                <w:tab w:val="left" w:pos="1538"/>
              </w:tabs>
              <w:spacing w:before="120"/>
              <w:ind w:right="-4"/>
              <w:jc w:val="center"/>
              <w:rPr>
                <w:rFonts w:ascii="Times New Roman" w:hAnsi="Times New Roman" w:cs="Times New Roman"/>
                <w:sz w:val="24"/>
                <w:szCs w:val="24"/>
              </w:rPr>
            </w:pPr>
            <w:r w:rsidRPr="00DA4879">
              <w:rPr>
                <w:rFonts w:ascii="Times New Roman" w:hAnsi="Times New Roman" w:cs="Times New Roman"/>
                <w:sz w:val="24"/>
                <w:szCs w:val="24"/>
              </w:rPr>
              <w:t>1.06</w:t>
            </w:r>
          </w:p>
        </w:tc>
        <w:tc>
          <w:tcPr>
            <w:tcW w:w="2499" w:type="dxa"/>
            <w:vAlign w:val="center"/>
          </w:tcPr>
          <w:p w:rsidR="003968DE" w:rsidRPr="00DA4879" w:rsidRDefault="003968DE" w:rsidP="00F652B9">
            <w:pPr>
              <w:pStyle w:val="TableParagraph"/>
              <w:spacing w:before="120"/>
              <w:ind w:left="467" w:right="462"/>
              <w:jc w:val="center"/>
              <w:rPr>
                <w:rFonts w:ascii="Times New Roman" w:hAnsi="Times New Roman" w:cs="Times New Roman"/>
                <w:sz w:val="24"/>
                <w:szCs w:val="24"/>
              </w:rPr>
            </w:pPr>
            <w:r w:rsidRPr="00DA4879">
              <w:rPr>
                <w:rFonts w:ascii="Times New Roman" w:hAnsi="Times New Roman" w:cs="Times New Roman"/>
                <w:sz w:val="24"/>
                <w:szCs w:val="24"/>
              </w:rPr>
              <w:t>0.10</w:t>
            </w:r>
          </w:p>
        </w:tc>
        <w:tc>
          <w:tcPr>
            <w:tcW w:w="1577" w:type="dxa"/>
            <w:vAlign w:val="center"/>
          </w:tcPr>
          <w:p w:rsidR="003968DE" w:rsidRPr="00DA4879" w:rsidRDefault="003968DE" w:rsidP="00F652B9">
            <w:pPr>
              <w:pStyle w:val="TableParagraph"/>
              <w:spacing w:before="82"/>
              <w:ind w:left="245" w:right="234"/>
              <w:jc w:val="center"/>
              <w:rPr>
                <w:rFonts w:ascii="Times New Roman" w:hAnsi="Times New Roman" w:cs="Times New Roman"/>
                <w:sz w:val="24"/>
                <w:szCs w:val="24"/>
              </w:rPr>
            </w:pPr>
            <w:r w:rsidRPr="00DA4879">
              <w:rPr>
                <w:rFonts w:ascii="Times New Roman" w:hAnsi="Times New Roman" w:cs="Times New Roman"/>
                <w:sz w:val="24"/>
                <w:szCs w:val="24"/>
              </w:rPr>
              <w:t>0.03</w:t>
            </w:r>
          </w:p>
        </w:tc>
        <w:tc>
          <w:tcPr>
            <w:tcW w:w="1534" w:type="dxa"/>
            <w:vAlign w:val="center"/>
          </w:tcPr>
          <w:p w:rsidR="003968DE" w:rsidRPr="00DA4879" w:rsidRDefault="003968DE" w:rsidP="00F652B9">
            <w:pPr>
              <w:pStyle w:val="TableParagraph"/>
              <w:spacing w:before="82"/>
              <w:ind w:left="258" w:right="248"/>
              <w:jc w:val="center"/>
              <w:rPr>
                <w:rFonts w:ascii="Times New Roman" w:hAnsi="Times New Roman" w:cs="Times New Roman"/>
                <w:sz w:val="24"/>
                <w:szCs w:val="24"/>
              </w:rPr>
            </w:pPr>
            <w:r w:rsidRPr="00DA4879">
              <w:rPr>
                <w:rFonts w:ascii="Times New Roman" w:hAnsi="Times New Roman" w:cs="Times New Roman"/>
                <w:sz w:val="24"/>
                <w:szCs w:val="24"/>
              </w:rPr>
              <w:t>0.17</w:t>
            </w:r>
          </w:p>
        </w:tc>
        <w:tc>
          <w:tcPr>
            <w:tcW w:w="1534" w:type="dxa"/>
            <w:vAlign w:val="center"/>
          </w:tcPr>
          <w:p w:rsidR="003968DE" w:rsidRPr="00DA4879" w:rsidRDefault="003968DE" w:rsidP="00F652B9">
            <w:pPr>
              <w:pStyle w:val="TableParagraph"/>
              <w:spacing w:before="82"/>
              <w:ind w:left="258" w:right="249"/>
              <w:jc w:val="center"/>
              <w:rPr>
                <w:rFonts w:ascii="Times New Roman" w:hAnsi="Times New Roman" w:cs="Times New Roman"/>
                <w:sz w:val="24"/>
                <w:szCs w:val="24"/>
              </w:rPr>
            </w:pPr>
            <w:r w:rsidRPr="00DA4879">
              <w:rPr>
                <w:rFonts w:ascii="Times New Roman" w:hAnsi="Times New Roman" w:cs="Times New Roman"/>
                <w:sz w:val="24"/>
                <w:szCs w:val="24"/>
              </w:rPr>
              <w:t>0.38</w:t>
            </w:r>
          </w:p>
        </w:tc>
        <w:tc>
          <w:tcPr>
            <w:tcW w:w="1615" w:type="dxa"/>
            <w:vAlign w:val="center"/>
          </w:tcPr>
          <w:p w:rsidR="003968DE" w:rsidRPr="00DA4879" w:rsidRDefault="003968DE" w:rsidP="00F652B9">
            <w:pPr>
              <w:pStyle w:val="TableParagraph"/>
              <w:spacing w:before="82"/>
              <w:ind w:left="237" w:right="231"/>
              <w:jc w:val="center"/>
              <w:rPr>
                <w:rFonts w:ascii="Times New Roman" w:hAnsi="Times New Roman" w:cs="Times New Roman"/>
                <w:sz w:val="24"/>
                <w:szCs w:val="24"/>
              </w:rPr>
            </w:pPr>
            <w:r w:rsidRPr="00DA4879">
              <w:rPr>
                <w:rFonts w:ascii="Times New Roman" w:hAnsi="Times New Roman" w:cs="Times New Roman"/>
                <w:sz w:val="24"/>
                <w:szCs w:val="24"/>
              </w:rPr>
              <w:t>0.88</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1936" w:type="dxa"/>
            <w:vAlign w:val="center"/>
          </w:tcPr>
          <w:p w:rsidR="003968DE" w:rsidRPr="00DA4879" w:rsidRDefault="003968DE" w:rsidP="00F652B9">
            <w:pPr>
              <w:pStyle w:val="TableParagraph"/>
              <w:spacing w:before="182"/>
              <w:ind w:left="662" w:right="653"/>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754" w:type="dxa"/>
            <w:vAlign w:val="center"/>
          </w:tcPr>
          <w:p w:rsidR="003968DE" w:rsidRPr="00DA4879" w:rsidRDefault="003968DE" w:rsidP="00F652B9">
            <w:pPr>
              <w:pStyle w:val="TableParagraph"/>
              <w:tabs>
                <w:tab w:val="left" w:pos="1538"/>
              </w:tabs>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3.68</w:t>
            </w:r>
          </w:p>
        </w:tc>
        <w:tc>
          <w:tcPr>
            <w:tcW w:w="2499" w:type="dxa"/>
            <w:vAlign w:val="center"/>
          </w:tcPr>
          <w:p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0.35</w:t>
            </w:r>
          </w:p>
        </w:tc>
        <w:tc>
          <w:tcPr>
            <w:tcW w:w="1577" w:type="dxa"/>
            <w:vAlign w:val="center"/>
          </w:tcPr>
          <w:p w:rsidR="003968DE" w:rsidRPr="00DA4879" w:rsidRDefault="003968DE" w:rsidP="00F652B9">
            <w:pPr>
              <w:pStyle w:val="TableParagraph"/>
              <w:spacing w:before="77"/>
              <w:ind w:left="245" w:right="236"/>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534" w:type="dxa"/>
            <w:vAlign w:val="center"/>
          </w:tcPr>
          <w:p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0.60</w:t>
            </w:r>
          </w:p>
        </w:tc>
        <w:tc>
          <w:tcPr>
            <w:tcW w:w="1534" w:type="dxa"/>
            <w:vAlign w:val="center"/>
          </w:tcPr>
          <w:p w:rsidR="003968DE" w:rsidRPr="00DA4879" w:rsidRDefault="003968DE" w:rsidP="00F652B9">
            <w:pPr>
              <w:pStyle w:val="TableParagraph"/>
              <w:spacing w:before="77"/>
              <w:ind w:left="258" w:right="249"/>
              <w:jc w:val="center"/>
              <w:rPr>
                <w:rFonts w:ascii="Times New Roman" w:hAnsi="Times New Roman" w:cs="Times New Roman"/>
                <w:sz w:val="24"/>
                <w:szCs w:val="24"/>
              </w:rPr>
            </w:pPr>
            <w:r w:rsidRPr="00DA4879">
              <w:rPr>
                <w:rFonts w:ascii="Times New Roman" w:hAnsi="Times New Roman" w:cs="Times New Roman"/>
                <w:sz w:val="24"/>
                <w:szCs w:val="24"/>
              </w:rPr>
              <w:t>1.31</w:t>
            </w:r>
          </w:p>
        </w:tc>
        <w:tc>
          <w:tcPr>
            <w:tcW w:w="1615" w:type="dxa"/>
            <w:vAlign w:val="center"/>
          </w:tcPr>
          <w:p w:rsidR="003968DE" w:rsidRPr="00DA4879" w:rsidRDefault="003968DE" w:rsidP="00F652B9">
            <w:pPr>
              <w:pStyle w:val="TableParagraph"/>
              <w:spacing w:before="77"/>
              <w:ind w:left="237" w:right="231"/>
              <w:jc w:val="center"/>
              <w:rPr>
                <w:rFonts w:ascii="Times New Roman" w:hAnsi="Times New Roman" w:cs="Times New Roman"/>
                <w:sz w:val="24"/>
                <w:szCs w:val="24"/>
              </w:rPr>
            </w:pPr>
            <w:r w:rsidRPr="00DA4879">
              <w:rPr>
                <w:rFonts w:ascii="Times New Roman" w:hAnsi="Times New Roman" w:cs="Times New Roman"/>
                <w:sz w:val="24"/>
                <w:szCs w:val="24"/>
              </w:rPr>
              <w:t>3.03</w:t>
            </w:r>
          </w:p>
        </w:tc>
      </w:tr>
      <w:tr w:rsidR="003968DE" w:rsidRPr="00001F17" w:rsidTr="003968DE">
        <w:trPr>
          <w:trHeight w:val="409"/>
        </w:trPr>
        <w:tc>
          <w:tcPr>
            <w:tcW w:w="14216" w:type="dxa"/>
            <w:gridSpan w:val="8"/>
            <w:vAlign w:val="center"/>
          </w:tcPr>
          <w:p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Foliar spray of liquid sulphur</w:t>
            </w:r>
          </w:p>
        </w:tc>
      </w:tr>
      <w:tr w:rsidR="003968DE" w:rsidRPr="00001F17" w:rsidTr="003968DE">
        <w:trPr>
          <w:trHeight w:val="397"/>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1936" w:type="dxa"/>
            <w:vAlign w:val="center"/>
          </w:tcPr>
          <w:p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301</w:t>
            </w:r>
          </w:p>
        </w:tc>
        <w:tc>
          <w:tcPr>
            <w:tcW w:w="1754" w:type="dxa"/>
            <w:vAlign w:val="center"/>
          </w:tcPr>
          <w:p w:rsidR="003968DE" w:rsidRPr="00DA4879" w:rsidRDefault="003968DE" w:rsidP="00F652B9">
            <w:pPr>
              <w:pStyle w:val="TableParagraph"/>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56.7</w:t>
            </w:r>
          </w:p>
        </w:tc>
        <w:tc>
          <w:tcPr>
            <w:tcW w:w="2499" w:type="dxa"/>
            <w:vAlign w:val="center"/>
          </w:tcPr>
          <w:p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2.09</w:t>
            </w:r>
          </w:p>
        </w:tc>
        <w:tc>
          <w:tcPr>
            <w:tcW w:w="1577" w:type="dxa"/>
            <w:vAlign w:val="center"/>
          </w:tcPr>
          <w:p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1.56</w:t>
            </w:r>
          </w:p>
        </w:tc>
        <w:tc>
          <w:tcPr>
            <w:tcW w:w="1534" w:type="dxa"/>
            <w:vAlign w:val="center"/>
          </w:tcPr>
          <w:p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6.99</w:t>
            </w:r>
          </w:p>
        </w:tc>
        <w:tc>
          <w:tcPr>
            <w:tcW w:w="1534" w:type="dxa"/>
            <w:vAlign w:val="center"/>
          </w:tcPr>
          <w:p w:rsidR="003968DE" w:rsidRPr="00DA4879" w:rsidRDefault="003968DE" w:rsidP="00F652B9">
            <w:pPr>
              <w:pStyle w:val="TableParagraph"/>
              <w:spacing w:before="79"/>
              <w:ind w:left="258" w:right="249"/>
              <w:jc w:val="center"/>
              <w:rPr>
                <w:rFonts w:ascii="Times New Roman" w:hAnsi="Times New Roman" w:cs="Times New Roman"/>
                <w:sz w:val="24"/>
                <w:szCs w:val="24"/>
              </w:rPr>
            </w:pPr>
            <w:r w:rsidRPr="00DA4879">
              <w:rPr>
                <w:rFonts w:ascii="Times New Roman" w:hAnsi="Times New Roman" w:cs="Times New Roman"/>
                <w:sz w:val="24"/>
                <w:szCs w:val="24"/>
              </w:rPr>
              <w:t>13.8</w:t>
            </w:r>
          </w:p>
        </w:tc>
        <w:tc>
          <w:tcPr>
            <w:tcW w:w="1615" w:type="dxa"/>
            <w:vAlign w:val="center"/>
          </w:tcPr>
          <w:p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23.9</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0.1%</w:t>
            </w:r>
          </w:p>
        </w:tc>
        <w:tc>
          <w:tcPr>
            <w:tcW w:w="1936" w:type="dxa"/>
            <w:vAlign w:val="center"/>
          </w:tcPr>
          <w:p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305</w:t>
            </w:r>
          </w:p>
        </w:tc>
        <w:tc>
          <w:tcPr>
            <w:tcW w:w="1754" w:type="dxa"/>
            <w:vAlign w:val="center"/>
          </w:tcPr>
          <w:p w:rsidR="003968DE" w:rsidRPr="00DA4879" w:rsidRDefault="003968DE" w:rsidP="00F652B9">
            <w:pPr>
              <w:pStyle w:val="TableParagraph"/>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60.4</w:t>
            </w:r>
          </w:p>
        </w:tc>
        <w:tc>
          <w:tcPr>
            <w:tcW w:w="2499" w:type="dxa"/>
            <w:vAlign w:val="center"/>
          </w:tcPr>
          <w:p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2.51</w:t>
            </w:r>
          </w:p>
        </w:tc>
        <w:tc>
          <w:tcPr>
            <w:tcW w:w="1577" w:type="dxa"/>
            <w:vAlign w:val="center"/>
          </w:tcPr>
          <w:p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1.58</w:t>
            </w:r>
          </w:p>
        </w:tc>
        <w:tc>
          <w:tcPr>
            <w:tcW w:w="1534" w:type="dxa"/>
            <w:vAlign w:val="center"/>
          </w:tcPr>
          <w:p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7.06</w:t>
            </w:r>
          </w:p>
        </w:tc>
        <w:tc>
          <w:tcPr>
            <w:tcW w:w="1534" w:type="dxa"/>
            <w:vAlign w:val="center"/>
          </w:tcPr>
          <w:p w:rsidR="003968DE" w:rsidRPr="00DA4879" w:rsidRDefault="003968DE" w:rsidP="00F652B9">
            <w:pPr>
              <w:pStyle w:val="TableParagraph"/>
              <w:spacing w:before="79"/>
              <w:ind w:left="258" w:right="250"/>
              <w:jc w:val="center"/>
              <w:rPr>
                <w:rFonts w:ascii="Times New Roman" w:hAnsi="Times New Roman" w:cs="Times New Roman"/>
                <w:sz w:val="24"/>
                <w:szCs w:val="24"/>
              </w:rPr>
            </w:pPr>
            <w:r w:rsidRPr="00DA4879">
              <w:rPr>
                <w:rFonts w:ascii="Times New Roman" w:hAnsi="Times New Roman" w:cs="Times New Roman"/>
                <w:sz w:val="24"/>
                <w:szCs w:val="24"/>
              </w:rPr>
              <w:t>14.9</w:t>
            </w:r>
          </w:p>
        </w:tc>
        <w:tc>
          <w:tcPr>
            <w:tcW w:w="1615" w:type="dxa"/>
            <w:vAlign w:val="center"/>
          </w:tcPr>
          <w:p w:rsidR="003968DE" w:rsidRPr="00DA4879" w:rsidRDefault="003968DE" w:rsidP="00F652B9">
            <w:pPr>
              <w:pStyle w:val="TableParagraph"/>
              <w:spacing w:before="79"/>
              <w:ind w:left="238" w:right="231"/>
              <w:jc w:val="center"/>
              <w:rPr>
                <w:rFonts w:ascii="Times New Roman" w:hAnsi="Times New Roman" w:cs="Times New Roman"/>
                <w:sz w:val="24"/>
                <w:szCs w:val="24"/>
              </w:rPr>
            </w:pPr>
            <w:r w:rsidRPr="00DA4879">
              <w:rPr>
                <w:rFonts w:ascii="Times New Roman" w:hAnsi="Times New Roman" w:cs="Times New Roman"/>
                <w:sz w:val="24"/>
                <w:szCs w:val="24"/>
              </w:rPr>
              <w:t>27.3</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0.2%</w:t>
            </w:r>
          </w:p>
        </w:tc>
        <w:tc>
          <w:tcPr>
            <w:tcW w:w="1936" w:type="dxa"/>
            <w:vAlign w:val="center"/>
          </w:tcPr>
          <w:p w:rsidR="003968DE" w:rsidRPr="00DA4879" w:rsidRDefault="003968DE" w:rsidP="00F652B9">
            <w:pPr>
              <w:pStyle w:val="TableParagraph"/>
              <w:spacing w:before="185"/>
              <w:ind w:left="665" w:right="653"/>
              <w:jc w:val="center"/>
              <w:rPr>
                <w:rFonts w:ascii="Times New Roman" w:hAnsi="Times New Roman" w:cs="Times New Roman"/>
                <w:sz w:val="24"/>
                <w:szCs w:val="24"/>
              </w:rPr>
            </w:pPr>
            <w:r w:rsidRPr="00DA4879">
              <w:rPr>
                <w:rFonts w:ascii="Times New Roman" w:hAnsi="Times New Roman" w:cs="Times New Roman"/>
                <w:sz w:val="24"/>
                <w:szCs w:val="24"/>
              </w:rPr>
              <w:t>307</w:t>
            </w:r>
          </w:p>
        </w:tc>
        <w:tc>
          <w:tcPr>
            <w:tcW w:w="1754" w:type="dxa"/>
            <w:vAlign w:val="center"/>
          </w:tcPr>
          <w:p w:rsidR="003968DE" w:rsidRPr="00DA4879" w:rsidRDefault="003968DE" w:rsidP="00F652B9">
            <w:pPr>
              <w:pStyle w:val="TableParagraph"/>
              <w:spacing w:before="149"/>
              <w:ind w:right="-4"/>
              <w:jc w:val="center"/>
              <w:rPr>
                <w:rFonts w:ascii="Times New Roman" w:hAnsi="Times New Roman" w:cs="Times New Roman"/>
                <w:sz w:val="24"/>
                <w:szCs w:val="24"/>
              </w:rPr>
            </w:pPr>
            <w:r w:rsidRPr="00DA4879">
              <w:rPr>
                <w:rFonts w:ascii="Times New Roman" w:hAnsi="Times New Roman" w:cs="Times New Roman"/>
                <w:sz w:val="24"/>
                <w:szCs w:val="24"/>
              </w:rPr>
              <w:t>63.2</w:t>
            </w:r>
          </w:p>
        </w:tc>
        <w:tc>
          <w:tcPr>
            <w:tcW w:w="2499" w:type="dxa"/>
            <w:vAlign w:val="center"/>
          </w:tcPr>
          <w:p w:rsidR="003968DE" w:rsidRPr="00DA4879" w:rsidRDefault="003968DE" w:rsidP="00F652B9">
            <w:pPr>
              <w:pStyle w:val="TableParagraph"/>
              <w:spacing w:before="149"/>
              <w:ind w:left="467" w:right="462"/>
              <w:jc w:val="center"/>
              <w:rPr>
                <w:rFonts w:ascii="Times New Roman" w:hAnsi="Times New Roman" w:cs="Times New Roman"/>
                <w:sz w:val="24"/>
                <w:szCs w:val="24"/>
              </w:rPr>
            </w:pPr>
            <w:r w:rsidRPr="00DA4879">
              <w:rPr>
                <w:rFonts w:ascii="Times New Roman" w:hAnsi="Times New Roman" w:cs="Times New Roman"/>
                <w:sz w:val="24"/>
                <w:szCs w:val="24"/>
              </w:rPr>
              <w:t>2.83</w:t>
            </w:r>
          </w:p>
        </w:tc>
        <w:tc>
          <w:tcPr>
            <w:tcW w:w="1577" w:type="dxa"/>
            <w:vAlign w:val="center"/>
          </w:tcPr>
          <w:p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1.60</w:t>
            </w:r>
          </w:p>
        </w:tc>
        <w:tc>
          <w:tcPr>
            <w:tcW w:w="1534" w:type="dxa"/>
            <w:vAlign w:val="center"/>
          </w:tcPr>
          <w:p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7.23</w:t>
            </w:r>
          </w:p>
        </w:tc>
        <w:tc>
          <w:tcPr>
            <w:tcW w:w="1534" w:type="dxa"/>
            <w:vAlign w:val="center"/>
          </w:tcPr>
          <w:p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15.8</w:t>
            </w:r>
          </w:p>
        </w:tc>
        <w:tc>
          <w:tcPr>
            <w:tcW w:w="1615" w:type="dxa"/>
            <w:vAlign w:val="center"/>
          </w:tcPr>
          <w:p w:rsidR="003968DE" w:rsidRPr="00DA4879" w:rsidRDefault="003968DE" w:rsidP="00F652B9">
            <w:pPr>
              <w:pStyle w:val="TableParagraph"/>
              <w:spacing w:before="77"/>
              <w:ind w:left="238" w:right="231"/>
              <w:jc w:val="center"/>
              <w:rPr>
                <w:rFonts w:ascii="Times New Roman" w:hAnsi="Times New Roman" w:cs="Times New Roman"/>
                <w:sz w:val="24"/>
                <w:szCs w:val="24"/>
              </w:rPr>
            </w:pPr>
            <w:r w:rsidRPr="00DA4879">
              <w:rPr>
                <w:rFonts w:ascii="Times New Roman" w:hAnsi="Times New Roman" w:cs="Times New Roman"/>
                <w:sz w:val="24"/>
                <w:szCs w:val="24"/>
              </w:rPr>
              <w:t>30.3</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0.3%</w:t>
            </w:r>
          </w:p>
        </w:tc>
        <w:tc>
          <w:tcPr>
            <w:tcW w:w="1936" w:type="dxa"/>
            <w:vAlign w:val="center"/>
          </w:tcPr>
          <w:p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308</w:t>
            </w:r>
          </w:p>
        </w:tc>
        <w:tc>
          <w:tcPr>
            <w:tcW w:w="1754" w:type="dxa"/>
            <w:vAlign w:val="center"/>
          </w:tcPr>
          <w:p w:rsidR="003968DE" w:rsidRPr="00DA4879" w:rsidRDefault="003968DE" w:rsidP="00F652B9">
            <w:pPr>
              <w:pStyle w:val="TableParagraph"/>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64.4</w:t>
            </w:r>
          </w:p>
        </w:tc>
        <w:tc>
          <w:tcPr>
            <w:tcW w:w="2499" w:type="dxa"/>
            <w:vAlign w:val="center"/>
          </w:tcPr>
          <w:p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2.97</w:t>
            </w:r>
          </w:p>
        </w:tc>
        <w:tc>
          <w:tcPr>
            <w:tcW w:w="1577" w:type="dxa"/>
            <w:vAlign w:val="center"/>
          </w:tcPr>
          <w:p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1.62</w:t>
            </w:r>
          </w:p>
        </w:tc>
        <w:tc>
          <w:tcPr>
            <w:tcW w:w="1534" w:type="dxa"/>
            <w:vAlign w:val="center"/>
          </w:tcPr>
          <w:p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7.29</w:t>
            </w:r>
          </w:p>
        </w:tc>
        <w:tc>
          <w:tcPr>
            <w:tcW w:w="1534" w:type="dxa"/>
            <w:vAlign w:val="center"/>
          </w:tcPr>
          <w:p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16.2</w:t>
            </w:r>
          </w:p>
        </w:tc>
        <w:tc>
          <w:tcPr>
            <w:tcW w:w="1615" w:type="dxa"/>
            <w:vAlign w:val="center"/>
          </w:tcPr>
          <w:p w:rsidR="003968DE" w:rsidRPr="00DA4879" w:rsidRDefault="003968DE" w:rsidP="00F652B9">
            <w:pPr>
              <w:pStyle w:val="TableParagraph"/>
              <w:spacing w:before="77"/>
              <w:ind w:left="238" w:right="231"/>
              <w:jc w:val="center"/>
              <w:rPr>
                <w:rFonts w:ascii="Times New Roman" w:hAnsi="Times New Roman" w:cs="Times New Roman"/>
                <w:sz w:val="24"/>
                <w:szCs w:val="24"/>
              </w:rPr>
            </w:pPr>
            <w:r w:rsidRPr="00DA4879">
              <w:rPr>
                <w:rFonts w:ascii="Times New Roman" w:hAnsi="Times New Roman" w:cs="Times New Roman"/>
                <w:sz w:val="24"/>
                <w:szCs w:val="24"/>
              </w:rPr>
              <w:t>31.9</w:t>
            </w:r>
          </w:p>
        </w:tc>
      </w:tr>
      <w:tr w:rsidR="003968DE" w:rsidRPr="00001F17" w:rsidTr="003968DE">
        <w:trPr>
          <w:trHeight w:val="409"/>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SEm ±</w:t>
            </w:r>
          </w:p>
        </w:tc>
        <w:tc>
          <w:tcPr>
            <w:tcW w:w="1936" w:type="dxa"/>
            <w:vAlign w:val="center"/>
          </w:tcPr>
          <w:p w:rsidR="003968DE" w:rsidRPr="00DA4879" w:rsidRDefault="003968DE" w:rsidP="00F652B9">
            <w:pPr>
              <w:pStyle w:val="TableParagraph"/>
              <w:spacing w:before="185"/>
              <w:ind w:left="664" w:right="653"/>
              <w:jc w:val="center"/>
              <w:rPr>
                <w:rFonts w:ascii="Times New Roman" w:hAnsi="Times New Roman" w:cs="Times New Roman"/>
                <w:sz w:val="24"/>
                <w:szCs w:val="24"/>
              </w:rPr>
            </w:pPr>
            <w:r w:rsidRPr="00DA4879">
              <w:rPr>
                <w:rFonts w:ascii="Times New Roman" w:hAnsi="Times New Roman" w:cs="Times New Roman"/>
                <w:sz w:val="24"/>
                <w:szCs w:val="24"/>
              </w:rPr>
              <w:t>3.3</w:t>
            </w:r>
          </w:p>
        </w:tc>
        <w:tc>
          <w:tcPr>
            <w:tcW w:w="1754" w:type="dxa"/>
            <w:vAlign w:val="center"/>
          </w:tcPr>
          <w:p w:rsidR="003968DE" w:rsidRPr="00DA4879" w:rsidRDefault="003968DE" w:rsidP="00F652B9">
            <w:pPr>
              <w:pStyle w:val="TableParagraph"/>
              <w:spacing w:before="120"/>
              <w:ind w:right="-4"/>
              <w:jc w:val="center"/>
              <w:rPr>
                <w:rFonts w:ascii="Times New Roman" w:hAnsi="Times New Roman" w:cs="Times New Roman"/>
                <w:sz w:val="24"/>
                <w:szCs w:val="24"/>
              </w:rPr>
            </w:pPr>
            <w:r w:rsidRPr="00DA4879">
              <w:rPr>
                <w:rFonts w:ascii="Times New Roman" w:hAnsi="Times New Roman" w:cs="Times New Roman"/>
                <w:sz w:val="24"/>
                <w:szCs w:val="24"/>
              </w:rPr>
              <w:t>0.79</w:t>
            </w:r>
          </w:p>
        </w:tc>
        <w:tc>
          <w:tcPr>
            <w:tcW w:w="2499" w:type="dxa"/>
            <w:vAlign w:val="center"/>
          </w:tcPr>
          <w:p w:rsidR="003968DE" w:rsidRPr="00DA4879" w:rsidRDefault="003968DE" w:rsidP="00F652B9">
            <w:pPr>
              <w:pStyle w:val="TableParagraph"/>
              <w:spacing w:before="120"/>
              <w:ind w:left="467" w:right="462"/>
              <w:jc w:val="center"/>
              <w:rPr>
                <w:rFonts w:ascii="Times New Roman" w:hAnsi="Times New Roman" w:cs="Times New Roman"/>
                <w:sz w:val="24"/>
                <w:szCs w:val="24"/>
              </w:rPr>
            </w:pPr>
            <w:r w:rsidRPr="00DA4879">
              <w:rPr>
                <w:rFonts w:ascii="Times New Roman" w:hAnsi="Times New Roman" w:cs="Times New Roman"/>
                <w:sz w:val="24"/>
                <w:szCs w:val="24"/>
              </w:rPr>
              <w:t>0.07</w:t>
            </w:r>
          </w:p>
        </w:tc>
        <w:tc>
          <w:tcPr>
            <w:tcW w:w="1577" w:type="dxa"/>
            <w:vAlign w:val="center"/>
          </w:tcPr>
          <w:p w:rsidR="003968DE" w:rsidRPr="00DA4879" w:rsidRDefault="003968DE" w:rsidP="00F652B9">
            <w:pPr>
              <w:pStyle w:val="TableParagraph"/>
              <w:spacing w:before="82"/>
              <w:ind w:left="245" w:right="234"/>
              <w:jc w:val="center"/>
              <w:rPr>
                <w:rFonts w:ascii="Times New Roman" w:hAnsi="Times New Roman" w:cs="Times New Roman"/>
                <w:sz w:val="24"/>
                <w:szCs w:val="24"/>
              </w:rPr>
            </w:pPr>
            <w:r w:rsidRPr="00DA4879">
              <w:rPr>
                <w:rFonts w:ascii="Times New Roman" w:hAnsi="Times New Roman" w:cs="Times New Roman"/>
                <w:sz w:val="24"/>
                <w:szCs w:val="24"/>
              </w:rPr>
              <w:t>0.03</w:t>
            </w:r>
          </w:p>
        </w:tc>
        <w:tc>
          <w:tcPr>
            <w:tcW w:w="1534" w:type="dxa"/>
            <w:vAlign w:val="center"/>
          </w:tcPr>
          <w:p w:rsidR="003968DE" w:rsidRPr="00DA4879" w:rsidRDefault="003968DE" w:rsidP="00F652B9">
            <w:pPr>
              <w:pStyle w:val="TableParagraph"/>
              <w:spacing w:before="82"/>
              <w:ind w:left="258" w:right="248"/>
              <w:jc w:val="center"/>
              <w:rPr>
                <w:rFonts w:ascii="Times New Roman" w:hAnsi="Times New Roman" w:cs="Times New Roman"/>
                <w:sz w:val="24"/>
                <w:szCs w:val="24"/>
              </w:rPr>
            </w:pPr>
            <w:r w:rsidRPr="00DA4879">
              <w:rPr>
                <w:rFonts w:ascii="Times New Roman" w:hAnsi="Times New Roman" w:cs="Times New Roman"/>
                <w:sz w:val="24"/>
                <w:szCs w:val="24"/>
              </w:rPr>
              <w:t>0.13</w:t>
            </w:r>
          </w:p>
        </w:tc>
        <w:tc>
          <w:tcPr>
            <w:tcW w:w="1534" w:type="dxa"/>
            <w:vAlign w:val="center"/>
          </w:tcPr>
          <w:p w:rsidR="003968DE" w:rsidRPr="00DA4879" w:rsidRDefault="003968DE" w:rsidP="00F652B9">
            <w:pPr>
              <w:pStyle w:val="TableParagraph"/>
              <w:spacing w:before="82"/>
              <w:ind w:left="258" w:right="249"/>
              <w:jc w:val="center"/>
              <w:rPr>
                <w:rFonts w:ascii="Times New Roman" w:hAnsi="Times New Roman" w:cs="Times New Roman"/>
                <w:sz w:val="24"/>
                <w:szCs w:val="24"/>
              </w:rPr>
            </w:pPr>
            <w:r w:rsidRPr="00DA4879">
              <w:rPr>
                <w:rFonts w:ascii="Times New Roman" w:hAnsi="Times New Roman" w:cs="Times New Roman"/>
                <w:sz w:val="24"/>
                <w:szCs w:val="24"/>
              </w:rPr>
              <w:t>0.29</w:t>
            </w:r>
          </w:p>
        </w:tc>
        <w:tc>
          <w:tcPr>
            <w:tcW w:w="1615" w:type="dxa"/>
            <w:vAlign w:val="center"/>
          </w:tcPr>
          <w:p w:rsidR="003968DE" w:rsidRPr="00DA4879" w:rsidRDefault="003968DE" w:rsidP="00F652B9">
            <w:pPr>
              <w:pStyle w:val="TableParagraph"/>
              <w:spacing w:before="82"/>
              <w:ind w:left="237" w:right="231"/>
              <w:jc w:val="center"/>
              <w:rPr>
                <w:rFonts w:ascii="Times New Roman" w:hAnsi="Times New Roman" w:cs="Times New Roman"/>
                <w:sz w:val="24"/>
                <w:szCs w:val="24"/>
              </w:rPr>
            </w:pPr>
            <w:r w:rsidRPr="00DA4879">
              <w:rPr>
                <w:rFonts w:ascii="Times New Roman" w:hAnsi="Times New Roman" w:cs="Times New Roman"/>
                <w:sz w:val="24"/>
                <w:szCs w:val="24"/>
              </w:rPr>
              <w:t>0.93</w:t>
            </w:r>
          </w:p>
        </w:tc>
      </w:tr>
      <w:tr w:rsidR="003968DE" w:rsidRPr="00001F17" w:rsidTr="003968DE">
        <w:trPr>
          <w:trHeight w:val="422"/>
        </w:trPr>
        <w:tc>
          <w:tcPr>
            <w:tcW w:w="1767" w:type="dxa"/>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1936" w:type="dxa"/>
            <w:vAlign w:val="center"/>
          </w:tcPr>
          <w:p w:rsidR="003968DE" w:rsidRPr="00DA4879" w:rsidRDefault="003968DE" w:rsidP="00F652B9">
            <w:pPr>
              <w:pStyle w:val="TableParagraph"/>
              <w:spacing w:before="182"/>
              <w:ind w:left="662" w:right="653"/>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754" w:type="dxa"/>
            <w:vAlign w:val="center"/>
          </w:tcPr>
          <w:p w:rsidR="003968DE" w:rsidRPr="00DA4879" w:rsidRDefault="003968DE" w:rsidP="00F652B9">
            <w:pPr>
              <w:pStyle w:val="TableParagraph"/>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2.32</w:t>
            </w:r>
          </w:p>
        </w:tc>
        <w:tc>
          <w:tcPr>
            <w:tcW w:w="2499" w:type="dxa"/>
            <w:vAlign w:val="center"/>
          </w:tcPr>
          <w:p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0.21</w:t>
            </w:r>
          </w:p>
        </w:tc>
        <w:tc>
          <w:tcPr>
            <w:tcW w:w="1577" w:type="dxa"/>
            <w:vAlign w:val="center"/>
          </w:tcPr>
          <w:p w:rsidR="003968DE" w:rsidRPr="00DA4879" w:rsidRDefault="003968DE" w:rsidP="00F652B9">
            <w:pPr>
              <w:pStyle w:val="TableParagraph"/>
              <w:spacing w:before="79"/>
              <w:ind w:left="245" w:right="236"/>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534" w:type="dxa"/>
            <w:vAlign w:val="center"/>
          </w:tcPr>
          <w:p w:rsidR="003968DE" w:rsidRPr="00DA4879" w:rsidRDefault="003968DE" w:rsidP="00F652B9">
            <w:pPr>
              <w:pStyle w:val="TableParagraph"/>
              <w:spacing w:before="79"/>
              <w:ind w:left="258" w:right="251"/>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534" w:type="dxa"/>
            <w:vAlign w:val="center"/>
          </w:tcPr>
          <w:p w:rsidR="003968DE" w:rsidRPr="00DA4879" w:rsidRDefault="003968DE" w:rsidP="00F652B9">
            <w:pPr>
              <w:pStyle w:val="TableParagraph"/>
              <w:spacing w:before="79"/>
              <w:ind w:left="258" w:right="249"/>
              <w:jc w:val="center"/>
              <w:rPr>
                <w:rFonts w:ascii="Times New Roman" w:hAnsi="Times New Roman" w:cs="Times New Roman"/>
                <w:sz w:val="24"/>
                <w:szCs w:val="24"/>
              </w:rPr>
            </w:pPr>
            <w:r w:rsidRPr="00DA4879">
              <w:rPr>
                <w:rFonts w:ascii="Times New Roman" w:hAnsi="Times New Roman" w:cs="Times New Roman"/>
                <w:sz w:val="24"/>
                <w:szCs w:val="24"/>
              </w:rPr>
              <w:t>0.86</w:t>
            </w:r>
          </w:p>
        </w:tc>
        <w:tc>
          <w:tcPr>
            <w:tcW w:w="1615" w:type="dxa"/>
            <w:vAlign w:val="center"/>
          </w:tcPr>
          <w:p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2.73</w:t>
            </w:r>
          </w:p>
        </w:tc>
      </w:tr>
    </w:tbl>
    <w:p w:rsidR="00D513DB" w:rsidRPr="00001F17" w:rsidRDefault="00D513DB" w:rsidP="00F652B9">
      <w:pPr>
        <w:spacing w:after="0" w:line="360" w:lineRule="auto"/>
        <w:jc w:val="both"/>
        <w:rPr>
          <w:rFonts w:ascii="Times New Roman" w:hAnsi="Times New Roman" w:cs="Times New Roman"/>
          <w:b/>
          <w:bCs/>
          <w:sz w:val="24"/>
          <w:szCs w:val="24"/>
        </w:rPr>
      </w:pPr>
    </w:p>
    <w:p w:rsidR="00D513DB" w:rsidRPr="00001F17" w:rsidRDefault="00D513DB" w:rsidP="00F652B9">
      <w:pPr>
        <w:spacing w:after="0" w:line="360" w:lineRule="auto"/>
        <w:jc w:val="both"/>
        <w:rPr>
          <w:rFonts w:ascii="Times New Roman" w:hAnsi="Times New Roman" w:cs="Times New Roman"/>
          <w:b/>
          <w:bCs/>
          <w:sz w:val="24"/>
          <w:szCs w:val="24"/>
        </w:rPr>
      </w:pPr>
    </w:p>
    <w:p w:rsidR="003968DE" w:rsidRPr="00001F17" w:rsidRDefault="003968DE" w:rsidP="00F652B9">
      <w:pPr>
        <w:spacing w:after="0" w:line="360" w:lineRule="auto"/>
        <w:jc w:val="both"/>
        <w:rPr>
          <w:rFonts w:ascii="Times New Roman" w:hAnsi="Times New Roman" w:cs="Times New Roman"/>
          <w:b/>
          <w:bCs/>
          <w:sz w:val="24"/>
          <w:szCs w:val="24"/>
        </w:rPr>
      </w:pPr>
    </w:p>
    <w:p w:rsidR="003968DE" w:rsidRPr="00001F17" w:rsidRDefault="00390B53" w:rsidP="00F652B9">
      <w:pPr>
        <w:spacing w:after="0"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Table 2</w:t>
      </w:r>
      <w:r w:rsidR="003968DE" w:rsidRPr="00001F17">
        <w:rPr>
          <w:rFonts w:ascii="Times New Roman" w:hAnsi="Times New Roman" w:cs="Times New Roman"/>
          <w:b/>
          <w:bCs/>
          <w:sz w:val="24"/>
          <w:szCs w:val="24"/>
        </w:rPr>
        <w:t xml:space="preserve"> Effect of sulphur levels and application methods on yield attributes and yield of chickpea</w:t>
      </w:r>
    </w:p>
    <w:tbl>
      <w:tblPr>
        <w:tblStyle w:val="TableGrid"/>
        <w:tblW w:w="14131" w:type="dxa"/>
        <w:tblLook w:val="04A0"/>
      </w:tblPr>
      <w:tblGrid>
        <w:gridCol w:w="1627"/>
        <w:gridCol w:w="2926"/>
        <w:gridCol w:w="2820"/>
        <w:gridCol w:w="1956"/>
        <w:gridCol w:w="1709"/>
        <w:gridCol w:w="1707"/>
        <w:gridCol w:w="1386"/>
      </w:tblGrid>
      <w:tr w:rsidR="003968DE" w:rsidRPr="00001F17" w:rsidTr="003968DE">
        <w:trPr>
          <w:trHeight w:val="431"/>
        </w:trPr>
        <w:tc>
          <w:tcPr>
            <w:tcW w:w="0" w:type="auto"/>
            <w:vMerge w:val="restart"/>
            <w:vAlign w:val="center"/>
          </w:tcPr>
          <w:p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Treatments</w:t>
            </w:r>
          </w:p>
        </w:tc>
        <w:tc>
          <w:tcPr>
            <w:tcW w:w="0" w:type="auto"/>
            <w:gridSpan w:val="3"/>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Yield attributes</w:t>
            </w:r>
          </w:p>
        </w:tc>
        <w:tc>
          <w:tcPr>
            <w:tcW w:w="0" w:type="auto"/>
            <w:gridSpan w:val="3"/>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Yield</w:t>
            </w:r>
            <w:r w:rsidR="004C46D8">
              <w:rPr>
                <w:rFonts w:ascii="Times New Roman" w:hAnsi="Times New Roman" w:cs="Times New Roman"/>
                <w:b/>
                <w:bCs/>
                <w:sz w:val="24"/>
                <w:szCs w:val="24"/>
              </w:rPr>
              <w:t xml:space="preserve"> </w:t>
            </w:r>
            <w:r w:rsidR="004C46D8" w:rsidRPr="004C46D8">
              <w:rPr>
                <w:rFonts w:ascii="Times New Roman" w:hAnsi="Times New Roman" w:cs="Times New Roman"/>
                <w:b/>
                <w:bCs/>
                <w:color w:val="FF0000"/>
                <w:sz w:val="24"/>
                <w:szCs w:val="24"/>
              </w:rPr>
              <w:t>(kg ha</w:t>
            </w:r>
            <w:r w:rsidR="004C46D8" w:rsidRPr="004C46D8">
              <w:rPr>
                <w:rFonts w:ascii="Times New Roman" w:hAnsi="Times New Roman" w:cs="Times New Roman"/>
                <w:b/>
                <w:bCs/>
                <w:color w:val="FF0000"/>
                <w:sz w:val="24"/>
                <w:szCs w:val="24"/>
                <w:vertAlign w:val="superscript"/>
              </w:rPr>
              <w:t>-1</w:t>
            </w:r>
            <w:r w:rsidR="004C46D8" w:rsidRPr="004C46D8">
              <w:rPr>
                <w:rFonts w:ascii="Times New Roman" w:hAnsi="Times New Roman" w:cs="Times New Roman"/>
                <w:b/>
                <w:bCs/>
                <w:color w:val="FF0000"/>
                <w:sz w:val="24"/>
                <w:szCs w:val="24"/>
              </w:rPr>
              <w:t>)</w:t>
            </w:r>
          </w:p>
        </w:tc>
      </w:tr>
      <w:tr w:rsidR="003968DE" w:rsidRPr="00001F17" w:rsidTr="003968DE">
        <w:trPr>
          <w:trHeight w:val="150"/>
        </w:trPr>
        <w:tc>
          <w:tcPr>
            <w:tcW w:w="0" w:type="auto"/>
            <w:vMerge/>
            <w:vAlign w:val="center"/>
          </w:tcPr>
          <w:p w:rsidR="003968DE" w:rsidRPr="00001F17" w:rsidRDefault="003968DE" w:rsidP="00F652B9">
            <w:pPr>
              <w:spacing w:line="360" w:lineRule="auto"/>
              <w:jc w:val="both"/>
              <w:rPr>
                <w:rFonts w:ascii="Times New Roman" w:hAnsi="Times New Roman" w:cs="Times New Roman"/>
                <w:b/>
                <w:bCs/>
                <w:sz w:val="24"/>
                <w:szCs w:val="24"/>
              </w:rPr>
            </w:pPr>
          </w:p>
        </w:tc>
        <w:tc>
          <w:tcPr>
            <w:tcW w:w="0" w:type="auto"/>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Number of pods plant</w:t>
            </w:r>
            <w:r w:rsidRPr="00001F17">
              <w:rPr>
                <w:rFonts w:ascii="Times New Roman" w:hAnsi="Times New Roman" w:cs="Times New Roman"/>
                <w:b/>
                <w:bCs/>
                <w:sz w:val="24"/>
                <w:szCs w:val="24"/>
                <w:vertAlign w:val="superscript"/>
              </w:rPr>
              <w:t>-1</w:t>
            </w:r>
          </w:p>
        </w:tc>
        <w:tc>
          <w:tcPr>
            <w:tcW w:w="0" w:type="auto"/>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Number of seeds pod</w:t>
            </w:r>
            <w:r w:rsidRPr="00001F17">
              <w:rPr>
                <w:rFonts w:ascii="Times New Roman" w:hAnsi="Times New Roman" w:cs="Times New Roman"/>
                <w:b/>
                <w:bCs/>
                <w:sz w:val="24"/>
                <w:szCs w:val="24"/>
                <w:vertAlign w:val="superscript"/>
              </w:rPr>
              <w:t>-1</w:t>
            </w:r>
          </w:p>
        </w:tc>
        <w:tc>
          <w:tcPr>
            <w:tcW w:w="0" w:type="auto"/>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Test weight</w:t>
            </w:r>
            <w:r w:rsidR="004C46D8" w:rsidRPr="004C46D8">
              <w:rPr>
                <w:rFonts w:ascii="Times New Roman" w:hAnsi="Times New Roman" w:cs="Times New Roman"/>
                <w:b/>
                <w:bCs/>
                <w:color w:val="FF0000"/>
                <w:sz w:val="24"/>
                <w:szCs w:val="24"/>
              </w:rPr>
              <w:t xml:space="preserve"> (g)</w:t>
            </w:r>
          </w:p>
        </w:tc>
        <w:tc>
          <w:tcPr>
            <w:tcW w:w="0" w:type="auto"/>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Grain</w:t>
            </w:r>
          </w:p>
        </w:tc>
        <w:tc>
          <w:tcPr>
            <w:tcW w:w="0" w:type="auto"/>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Straw</w:t>
            </w:r>
          </w:p>
        </w:tc>
        <w:tc>
          <w:tcPr>
            <w:tcW w:w="0" w:type="auto"/>
            <w:vAlign w:val="center"/>
          </w:tcPr>
          <w:p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Biological</w:t>
            </w:r>
          </w:p>
        </w:tc>
      </w:tr>
      <w:tr w:rsidR="003968DE" w:rsidRPr="00001F17" w:rsidTr="003968DE">
        <w:trPr>
          <w:trHeight w:val="431"/>
        </w:trPr>
        <w:tc>
          <w:tcPr>
            <w:tcW w:w="0" w:type="auto"/>
            <w:gridSpan w:val="7"/>
            <w:vAlign w:val="center"/>
          </w:tcPr>
          <w:p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Basal application of sulphur (kg ha</w:t>
            </w:r>
            <w:r w:rsidRPr="00001F17">
              <w:rPr>
                <w:rFonts w:ascii="Times New Roman" w:hAnsi="Times New Roman" w:cs="Times New Roman"/>
                <w:b/>
                <w:bCs/>
                <w:sz w:val="24"/>
                <w:szCs w:val="24"/>
                <w:vertAlign w:val="superscript"/>
              </w:rPr>
              <w:t>-1</w:t>
            </w:r>
            <w:r w:rsidRPr="00001F17">
              <w:rPr>
                <w:rFonts w:ascii="Times New Roman" w:hAnsi="Times New Roman" w:cs="Times New Roman"/>
                <w:b/>
                <w:bCs/>
                <w:sz w:val="24"/>
                <w:szCs w:val="24"/>
              </w:rPr>
              <w:t>)</w:t>
            </w:r>
          </w:p>
        </w:tc>
      </w:tr>
      <w:tr w:rsidR="003968DE" w:rsidRPr="00001F17" w:rsidTr="003968DE">
        <w:trPr>
          <w:trHeight w:val="483"/>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0" w:type="auto"/>
            <w:vAlign w:val="center"/>
          </w:tcPr>
          <w:p w:rsidR="003968DE" w:rsidRPr="00DA4879" w:rsidRDefault="003968DE" w:rsidP="00F652B9">
            <w:pPr>
              <w:pStyle w:val="TableParagraph"/>
              <w:spacing w:before="183"/>
              <w:ind w:left="439"/>
              <w:jc w:val="center"/>
              <w:rPr>
                <w:rFonts w:ascii="Times New Roman" w:hAnsi="Times New Roman" w:cs="Times New Roman"/>
                <w:sz w:val="24"/>
                <w:szCs w:val="24"/>
              </w:rPr>
            </w:pPr>
            <w:r w:rsidRPr="00DA4879">
              <w:rPr>
                <w:rFonts w:ascii="Times New Roman" w:hAnsi="Times New Roman" w:cs="Times New Roman"/>
                <w:sz w:val="24"/>
                <w:szCs w:val="24"/>
              </w:rPr>
              <w:t>31.9</w:t>
            </w:r>
          </w:p>
        </w:tc>
        <w:tc>
          <w:tcPr>
            <w:tcW w:w="0" w:type="auto"/>
            <w:vAlign w:val="center"/>
          </w:tcPr>
          <w:p w:rsidR="003968DE" w:rsidRPr="00DA4879" w:rsidRDefault="003968DE" w:rsidP="00F652B9">
            <w:pPr>
              <w:pStyle w:val="TableParagraph"/>
              <w:spacing w:before="183"/>
              <w:ind w:left="439"/>
              <w:jc w:val="center"/>
              <w:rPr>
                <w:rFonts w:ascii="Times New Roman" w:hAnsi="Times New Roman" w:cs="Times New Roman"/>
                <w:sz w:val="24"/>
                <w:szCs w:val="24"/>
              </w:rPr>
            </w:pPr>
            <w:r w:rsidRPr="00DA4879">
              <w:rPr>
                <w:rFonts w:ascii="Times New Roman" w:hAnsi="Times New Roman" w:cs="Times New Roman"/>
                <w:sz w:val="24"/>
                <w:szCs w:val="24"/>
              </w:rPr>
              <w:t>1.85</w:t>
            </w:r>
          </w:p>
        </w:tc>
        <w:tc>
          <w:tcPr>
            <w:tcW w:w="0" w:type="auto"/>
            <w:vAlign w:val="center"/>
          </w:tcPr>
          <w:p w:rsidR="003968DE" w:rsidRPr="00DA4879" w:rsidRDefault="003968DE" w:rsidP="00F652B9">
            <w:pPr>
              <w:pStyle w:val="TableParagraph"/>
              <w:spacing w:before="181"/>
              <w:ind w:left="353" w:right="344"/>
              <w:jc w:val="center"/>
              <w:rPr>
                <w:rFonts w:ascii="Times New Roman" w:hAnsi="Times New Roman" w:cs="Times New Roman"/>
                <w:sz w:val="24"/>
                <w:szCs w:val="24"/>
              </w:rPr>
            </w:pPr>
            <w:r w:rsidRPr="00DA4879">
              <w:rPr>
                <w:rFonts w:ascii="Times New Roman" w:hAnsi="Times New Roman" w:cs="Times New Roman"/>
                <w:sz w:val="24"/>
                <w:szCs w:val="24"/>
              </w:rPr>
              <w:t>209.7</w:t>
            </w:r>
          </w:p>
        </w:tc>
        <w:tc>
          <w:tcPr>
            <w:tcW w:w="0" w:type="auto"/>
            <w:vAlign w:val="center"/>
          </w:tcPr>
          <w:p w:rsidR="003968DE" w:rsidRPr="00DA4879" w:rsidRDefault="003968DE" w:rsidP="00F652B9">
            <w:pPr>
              <w:pStyle w:val="TableParagraph"/>
              <w:spacing w:before="163"/>
              <w:ind w:left="416" w:right="405"/>
              <w:jc w:val="center"/>
              <w:rPr>
                <w:rFonts w:ascii="Times New Roman" w:hAnsi="Times New Roman" w:cs="Times New Roman"/>
                <w:sz w:val="24"/>
                <w:szCs w:val="24"/>
              </w:rPr>
            </w:pPr>
            <w:r w:rsidRPr="00DA4879">
              <w:rPr>
                <w:rFonts w:ascii="Times New Roman" w:hAnsi="Times New Roman" w:cs="Times New Roman"/>
                <w:sz w:val="24"/>
                <w:szCs w:val="24"/>
              </w:rPr>
              <w:t>1551</w:t>
            </w:r>
          </w:p>
        </w:tc>
        <w:tc>
          <w:tcPr>
            <w:tcW w:w="0" w:type="auto"/>
            <w:vAlign w:val="center"/>
          </w:tcPr>
          <w:p w:rsidR="003968DE" w:rsidRPr="00DA4879" w:rsidRDefault="003968DE" w:rsidP="00F652B9">
            <w:pPr>
              <w:pStyle w:val="TableParagraph"/>
              <w:spacing w:before="163"/>
              <w:ind w:left="420"/>
              <w:jc w:val="center"/>
              <w:rPr>
                <w:rFonts w:ascii="Times New Roman" w:hAnsi="Times New Roman" w:cs="Times New Roman"/>
                <w:sz w:val="24"/>
                <w:szCs w:val="24"/>
              </w:rPr>
            </w:pPr>
            <w:r w:rsidRPr="00DA4879">
              <w:rPr>
                <w:rFonts w:ascii="Times New Roman" w:hAnsi="Times New Roman" w:cs="Times New Roman"/>
                <w:sz w:val="24"/>
                <w:szCs w:val="24"/>
              </w:rPr>
              <w:t>2725</w:t>
            </w:r>
          </w:p>
        </w:tc>
        <w:tc>
          <w:tcPr>
            <w:tcW w:w="0" w:type="auto"/>
            <w:vAlign w:val="center"/>
          </w:tcPr>
          <w:p w:rsidR="003968DE" w:rsidRPr="00DA4879" w:rsidRDefault="003968DE" w:rsidP="00F652B9">
            <w:pPr>
              <w:pStyle w:val="TableParagraph"/>
              <w:spacing w:before="163"/>
              <w:ind w:right="528"/>
              <w:jc w:val="center"/>
              <w:rPr>
                <w:rFonts w:ascii="Times New Roman" w:hAnsi="Times New Roman" w:cs="Times New Roman"/>
                <w:sz w:val="24"/>
                <w:szCs w:val="24"/>
              </w:rPr>
            </w:pPr>
            <w:r w:rsidRPr="00DA4879">
              <w:rPr>
                <w:rFonts w:ascii="Times New Roman" w:hAnsi="Times New Roman" w:cs="Times New Roman"/>
                <w:sz w:val="24"/>
                <w:szCs w:val="24"/>
              </w:rPr>
              <w:t>4275</w:t>
            </w:r>
          </w:p>
        </w:tc>
      </w:tr>
      <w:tr w:rsidR="003968DE" w:rsidRPr="00001F17" w:rsidTr="003968DE">
        <w:trPr>
          <w:trHeight w:val="470"/>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20</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38.8</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1.92</w:t>
            </w:r>
          </w:p>
        </w:tc>
        <w:tc>
          <w:tcPr>
            <w:tcW w:w="0" w:type="auto"/>
            <w:vAlign w:val="center"/>
          </w:tcPr>
          <w:p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217.0</w:t>
            </w:r>
          </w:p>
        </w:tc>
        <w:tc>
          <w:tcPr>
            <w:tcW w:w="0" w:type="auto"/>
            <w:vAlign w:val="center"/>
          </w:tcPr>
          <w:p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1826</w:t>
            </w:r>
          </w:p>
        </w:tc>
        <w:tc>
          <w:tcPr>
            <w:tcW w:w="0" w:type="auto"/>
            <w:vAlign w:val="center"/>
          </w:tcPr>
          <w:p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3019</w:t>
            </w:r>
          </w:p>
        </w:tc>
        <w:tc>
          <w:tcPr>
            <w:tcW w:w="0" w:type="auto"/>
            <w:vAlign w:val="center"/>
          </w:tcPr>
          <w:p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4844</w:t>
            </w:r>
          </w:p>
        </w:tc>
      </w:tr>
      <w:tr w:rsidR="003968DE" w:rsidRPr="00001F17" w:rsidTr="003968DE">
        <w:trPr>
          <w:trHeight w:val="483"/>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40</w:t>
            </w:r>
          </w:p>
        </w:tc>
        <w:tc>
          <w:tcPr>
            <w:tcW w:w="0" w:type="auto"/>
            <w:vAlign w:val="center"/>
          </w:tcPr>
          <w:p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43.9</w:t>
            </w:r>
          </w:p>
        </w:tc>
        <w:tc>
          <w:tcPr>
            <w:tcW w:w="0" w:type="auto"/>
            <w:vAlign w:val="center"/>
          </w:tcPr>
          <w:p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1.95</w:t>
            </w:r>
          </w:p>
        </w:tc>
        <w:tc>
          <w:tcPr>
            <w:tcW w:w="0" w:type="auto"/>
            <w:vAlign w:val="center"/>
          </w:tcPr>
          <w:p w:rsidR="003968DE" w:rsidRPr="00DA4879" w:rsidRDefault="003968DE" w:rsidP="00F652B9">
            <w:pPr>
              <w:pStyle w:val="TableParagraph"/>
              <w:spacing w:before="182"/>
              <w:ind w:left="353" w:right="344"/>
              <w:jc w:val="center"/>
              <w:rPr>
                <w:rFonts w:ascii="Times New Roman" w:hAnsi="Times New Roman" w:cs="Times New Roman"/>
                <w:sz w:val="24"/>
                <w:szCs w:val="24"/>
              </w:rPr>
            </w:pPr>
            <w:r w:rsidRPr="00DA4879">
              <w:rPr>
                <w:rFonts w:ascii="Times New Roman" w:hAnsi="Times New Roman" w:cs="Times New Roman"/>
                <w:sz w:val="24"/>
                <w:szCs w:val="24"/>
              </w:rPr>
              <w:t>222.7</w:t>
            </w:r>
          </w:p>
        </w:tc>
        <w:tc>
          <w:tcPr>
            <w:tcW w:w="0" w:type="auto"/>
            <w:vAlign w:val="center"/>
          </w:tcPr>
          <w:p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2053</w:t>
            </w:r>
          </w:p>
        </w:tc>
        <w:tc>
          <w:tcPr>
            <w:tcW w:w="0" w:type="auto"/>
            <w:vAlign w:val="center"/>
          </w:tcPr>
          <w:p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3292</w:t>
            </w:r>
          </w:p>
        </w:tc>
        <w:tc>
          <w:tcPr>
            <w:tcW w:w="0" w:type="auto"/>
            <w:vAlign w:val="center"/>
          </w:tcPr>
          <w:p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5345</w:t>
            </w:r>
          </w:p>
        </w:tc>
      </w:tr>
      <w:tr w:rsidR="003968DE" w:rsidRPr="00001F17" w:rsidTr="003968DE">
        <w:trPr>
          <w:trHeight w:val="483"/>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60</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46.6</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1.97</w:t>
            </w:r>
          </w:p>
        </w:tc>
        <w:tc>
          <w:tcPr>
            <w:tcW w:w="0" w:type="auto"/>
            <w:vAlign w:val="center"/>
          </w:tcPr>
          <w:p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226.1</w:t>
            </w:r>
          </w:p>
        </w:tc>
        <w:tc>
          <w:tcPr>
            <w:tcW w:w="0" w:type="auto"/>
            <w:vAlign w:val="center"/>
          </w:tcPr>
          <w:p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2163</w:t>
            </w:r>
          </w:p>
        </w:tc>
        <w:tc>
          <w:tcPr>
            <w:tcW w:w="0" w:type="auto"/>
            <w:vAlign w:val="center"/>
          </w:tcPr>
          <w:p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3417</w:t>
            </w:r>
          </w:p>
        </w:tc>
        <w:tc>
          <w:tcPr>
            <w:tcW w:w="0" w:type="auto"/>
            <w:vAlign w:val="center"/>
          </w:tcPr>
          <w:p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5580</w:t>
            </w:r>
          </w:p>
        </w:tc>
      </w:tr>
      <w:tr w:rsidR="003968DE" w:rsidRPr="00001F17" w:rsidTr="003968DE">
        <w:trPr>
          <w:trHeight w:val="470"/>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SEm ±</w:t>
            </w:r>
          </w:p>
        </w:tc>
        <w:tc>
          <w:tcPr>
            <w:tcW w:w="0" w:type="auto"/>
            <w:vAlign w:val="center"/>
          </w:tcPr>
          <w:p w:rsidR="003968DE" w:rsidRPr="00DA4879" w:rsidRDefault="003968DE" w:rsidP="00F652B9">
            <w:pPr>
              <w:pStyle w:val="TableParagraph"/>
              <w:spacing w:before="185"/>
              <w:ind w:left="506"/>
              <w:jc w:val="center"/>
              <w:rPr>
                <w:rFonts w:ascii="Times New Roman" w:hAnsi="Times New Roman" w:cs="Times New Roman"/>
                <w:sz w:val="24"/>
                <w:szCs w:val="24"/>
              </w:rPr>
            </w:pPr>
            <w:r w:rsidRPr="00DA4879">
              <w:rPr>
                <w:rFonts w:ascii="Times New Roman" w:hAnsi="Times New Roman" w:cs="Times New Roman"/>
                <w:sz w:val="24"/>
                <w:szCs w:val="24"/>
              </w:rPr>
              <w:t>1.3</w:t>
            </w:r>
          </w:p>
        </w:tc>
        <w:tc>
          <w:tcPr>
            <w:tcW w:w="0" w:type="auto"/>
            <w:vAlign w:val="center"/>
          </w:tcPr>
          <w:p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0.04</w:t>
            </w:r>
          </w:p>
        </w:tc>
        <w:tc>
          <w:tcPr>
            <w:tcW w:w="0" w:type="auto"/>
            <w:vAlign w:val="center"/>
          </w:tcPr>
          <w:p w:rsidR="003968DE" w:rsidRPr="00DA4879" w:rsidRDefault="003968DE" w:rsidP="00F652B9">
            <w:pPr>
              <w:pStyle w:val="TableParagraph"/>
              <w:spacing w:before="182"/>
              <w:ind w:left="352" w:right="346"/>
              <w:jc w:val="center"/>
              <w:rPr>
                <w:rFonts w:ascii="Times New Roman" w:hAnsi="Times New Roman" w:cs="Times New Roman"/>
                <w:sz w:val="24"/>
                <w:szCs w:val="24"/>
              </w:rPr>
            </w:pPr>
            <w:r w:rsidRPr="00DA4879">
              <w:rPr>
                <w:rFonts w:ascii="Times New Roman" w:hAnsi="Times New Roman" w:cs="Times New Roman"/>
                <w:sz w:val="24"/>
                <w:szCs w:val="24"/>
              </w:rPr>
              <w:t>1.6</w:t>
            </w:r>
          </w:p>
        </w:tc>
        <w:tc>
          <w:tcPr>
            <w:tcW w:w="0" w:type="auto"/>
            <w:vAlign w:val="center"/>
          </w:tcPr>
          <w:p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55</w:t>
            </w:r>
          </w:p>
        </w:tc>
        <w:tc>
          <w:tcPr>
            <w:tcW w:w="0" w:type="auto"/>
            <w:vAlign w:val="center"/>
          </w:tcPr>
          <w:p w:rsidR="003968DE" w:rsidRPr="00DA4879" w:rsidRDefault="003968DE" w:rsidP="00F652B9">
            <w:pPr>
              <w:pStyle w:val="TableParagraph"/>
              <w:spacing w:before="163"/>
              <w:ind w:left="533" w:right="526"/>
              <w:jc w:val="center"/>
              <w:rPr>
                <w:rFonts w:ascii="Times New Roman" w:hAnsi="Times New Roman" w:cs="Times New Roman"/>
                <w:sz w:val="24"/>
                <w:szCs w:val="24"/>
              </w:rPr>
            </w:pPr>
            <w:r w:rsidRPr="00DA4879">
              <w:rPr>
                <w:rFonts w:ascii="Times New Roman" w:hAnsi="Times New Roman" w:cs="Times New Roman"/>
                <w:sz w:val="24"/>
                <w:szCs w:val="24"/>
              </w:rPr>
              <w:t>77</w:t>
            </w:r>
          </w:p>
        </w:tc>
        <w:tc>
          <w:tcPr>
            <w:tcW w:w="0" w:type="auto"/>
            <w:vAlign w:val="center"/>
          </w:tcPr>
          <w:p w:rsidR="003968DE" w:rsidRPr="00DA4879" w:rsidRDefault="003968DE" w:rsidP="00F652B9">
            <w:pPr>
              <w:pStyle w:val="TableParagraph"/>
              <w:spacing w:before="163"/>
              <w:ind w:right="595"/>
              <w:jc w:val="center"/>
              <w:rPr>
                <w:rFonts w:ascii="Times New Roman" w:hAnsi="Times New Roman" w:cs="Times New Roman"/>
                <w:sz w:val="24"/>
                <w:szCs w:val="24"/>
              </w:rPr>
            </w:pPr>
            <w:r w:rsidRPr="00DA4879">
              <w:rPr>
                <w:rFonts w:ascii="Times New Roman" w:hAnsi="Times New Roman" w:cs="Times New Roman"/>
                <w:sz w:val="24"/>
                <w:szCs w:val="24"/>
              </w:rPr>
              <w:t>114</w:t>
            </w:r>
          </w:p>
        </w:tc>
      </w:tr>
      <w:tr w:rsidR="003968DE" w:rsidRPr="00001F17" w:rsidTr="003968DE">
        <w:trPr>
          <w:trHeight w:val="483"/>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0" w:type="auto"/>
            <w:vAlign w:val="center"/>
          </w:tcPr>
          <w:p w:rsidR="003968DE" w:rsidRPr="00DA4879" w:rsidRDefault="003968DE" w:rsidP="00F652B9">
            <w:pPr>
              <w:pStyle w:val="TableParagraph"/>
              <w:spacing w:before="182"/>
              <w:ind w:left="506"/>
              <w:jc w:val="center"/>
              <w:rPr>
                <w:rFonts w:ascii="Times New Roman" w:hAnsi="Times New Roman" w:cs="Times New Roman"/>
                <w:sz w:val="24"/>
                <w:szCs w:val="24"/>
              </w:rPr>
            </w:pPr>
            <w:r w:rsidRPr="00DA4879">
              <w:rPr>
                <w:rFonts w:ascii="Times New Roman" w:hAnsi="Times New Roman" w:cs="Times New Roman"/>
                <w:sz w:val="24"/>
                <w:szCs w:val="24"/>
              </w:rPr>
              <w:t>4.6</w:t>
            </w:r>
          </w:p>
        </w:tc>
        <w:tc>
          <w:tcPr>
            <w:tcW w:w="0" w:type="auto"/>
            <w:vAlign w:val="center"/>
          </w:tcPr>
          <w:p w:rsidR="003968DE" w:rsidRPr="00DA4879" w:rsidRDefault="003968DE" w:rsidP="00F652B9">
            <w:pPr>
              <w:pStyle w:val="TableParagraph"/>
              <w:spacing w:before="182"/>
              <w:ind w:left="507"/>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0" w:type="auto"/>
            <w:vAlign w:val="center"/>
          </w:tcPr>
          <w:p w:rsidR="003968DE" w:rsidRPr="00DA4879" w:rsidRDefault="003968DE" w:rsidP="00F652B9">
            <w:pPr>
              <w:pStyle w:val="TableParagraph"/>
              <w:spacing w:before="180"/>
              <w:ind w:left="352" w:right="346"/>
              <w:jc w:val="center"/>
              <w:rPr>
                <w:rFonts w:ascii="Times New Roman" w:hAnsi="Times New Roman" w:cs="Times New Roman"/>
                <w:sz w:val="24"/>
                <w:szCs w:val="24"/>
              </w:rPr>
            </w:pPr>
            <w:r w:rsidRPr="00DA4879">
              <w:rPr>
                <w:rFonts w:ascii="Times New Roman" w:hAnsi="Times New Roman" w:cs="Times New Roman"/>
                <w:sz w:val="24"/>
                <w:szCs w:val="24"/>
              </w:rPr>
              <w:t>5.7</w:t>
            </w:r>
          </w:p>
        </w:tc>
        <w:tc>
          <w:tcPr>
            <w:tcW w:w="0" w:type="auto"/>
            <w:vAlign w:val="center"/>
          </w:tcPr>
          <w:p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189</w:t>
            </w:r>
          </w:p>
        </w:tc>
        <w:tc>
          <w:tcPr>
            <w:tcW w:w="0" w:type="auto"/>
            <w:vAlign w:val="center"/>
          </w:tcPr>
          <w:p w:rsidR="003968DE" w:rsidRPr="00DA4879" w:rsidRDefault="003968DE" w:rsidP="00F652B9">
            <w:pPr>
              <w:pStyle w:val="TableParagraph"/>
              <w:spacing w:before="163"/>
              <w:ind w:left="485"/>
              <w:jc w:val="center"/>
              <w:rPr>
                <w:rFonts w:ascii="Times New Roman" w:hAnsi="Times New Roman" w:cs="Times New Roman"/>
                <w:sz w:val="24"/>
                <w:szCs w:val="24"/>
              </w:rPr>
            </w:pPr>
            <w:r w:rsidRPr="00DA4879">
              <w:rPr>
                <w:rFonts w:ascii="Times New Roman" w:hAnsi="Times New Roman" w:cs="Times New Roman"/>
                <w:sz w:val="24"/>
                <w:szCs w:val="24"/>
              </w:rPr>
              <w:t>266</w:t>
            </w:r>
          </w:p>
        </w:tc>
        <w:tc>
          <w:tcPr>
            <w:tcW w:w="0" w:type="auto"/>
            <w:vAlign w:val="center"/>
          </w:tcPr>
          <w:p w:rsidR="003968DE" w:rsidRPr="00DA4879" w:rsidRDefault="003968DE" w:rsidP="00F652B9">
            <w:pPr>
              <w:pStyle w:val="TableParagraph"/>
              <w:spacing w:before="163"/>
              <w:ind w:right="595"/>
              <w:jc w:val="center"/>
              <w:rPr>
                <w:rFonts w:ascii="Times New Roman" w:hAnsi="Times New Roman" w:cs="Times New Roman"/>
                <w:sz w:val="24"/>
                <w:szCs w:val="24"/>
              </w:rPr>
            </w:pPr>
            <w:r w:rsidRPr="00DA4879">
              <w:rPr>
                <w:rFonts w:ascii="Times New Roman" w:hAnsi="Times New Roman" w:cs="Times New Roman"/>
                <w:sz w:val="24"/>
                <w:szCs w:val="24"/>
              </w:rPr>
              <w:t>395</w:t>
            </w:r>
          </w:p>
        </w:tc>
      </w:tr>
      <w:tr w:rsidR="003968DE" w:rsidRPr="00001F17" w:rsidTr="003968DE">
        <w:trPr>
          <w:trHeight w:val="418"/>
        </w:trPr>
        <w:tc>
          <w:tcPr>
            <w:tcW w:w="0" w:type="auto"/>
            <w:gridSpan w:val="7"/>
            <w:vAlign w:val="center"/>
          </w:tcPr>
          <w:p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Foliar spray of liquid sulphur</w:t>
            </w:r>
          </w:p>
        </w:tc>
      </w:tr>
      <w:tr w:rsidR="003968DE" w:rsidRPr="00001F17" w:rsidTr="003968DE">
        <w:trPr>
          <w:trHeight w:val="289"/>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35.8</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1.83</w:t>
            </w:r>
          </w:p>
        </w:tc>
        <w:tc>
          <w:tcPr>
            <w:tcW w:w="0" w:type="auto"/>
            <w:vAlign w:val="center"/>
          </w:tcPr>
          <w:p w:rsidR="003968DE" w:rsidRPr="00DA4879" w:rsidRDefault="003968DE" w:rsidP="00F652B9">
            <w:pPr>
              <w:pStyle w:val="TableParagraph"/>
              <w:spacing w:before="180"/>
              <w:ind w:left="352" w:right="346"/>
              <w:jc w:val="center"/>
              <w:rPr>
                <w:rFonts w:ascii="Times New Roman" w:hAnsi="Times New Roman" w:cs="Times New Roman"/>
                <w:sz w:val="24"/>
                <w:szCs w:val="24"/>
              </w:rPr>
            </w:pPr>
            <w:r w:rsidRPr="00DA4879">
              <w:rPr>
                <w:rFonts w:ascii="Times New Roman" w:hAnsi="Times New Roman" w:cs="Times New Roman"/>
                <w:sz w:val="24"/>
                <w:szCs w:val="24"/>
              </w:rPr>
              <w:t>211.4</w:t>
            </w:r>
          </w:p>
        </w:tc>
        <w:tc>
          <w:tcPr>
            <w:tcW w:w="0" w:type="auto"/>
            <w:vAlign w:val="center"/>
          </w:tcPr>
          <w:p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1579</w:t>
            </w:r>
          </w:p>
        </w:tc>
        <w:tc>
          <w:tcPr>
            <w:tcW w:w="0" w:type="auto"/>
            <w:vAlign w:val="center"/>
          </w:tcPr>
          <w:p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2758</w:t>
            </w:r>
          </w:p>
        </w:tc>
        <w:tc>
          <w:tcPr>
            <w:tcW w:w="0" w:type="auto"/>
            <w:vAlign w:val="center"/>
          </w:tcPr>
          <w:p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4337</w:t>
            </w:r>
          </w:p>
        </w:tc>
      </w:tr>
      <w:tr w:rsidR="003968DE" w:rsidRPr="00001F17" w:rsidTr="003968DE">
        <w:trPr>
          <w:trHeight w:val="470"/>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0.1%</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39.5</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1.91</w:t>
            </w:r>
          </w:p>
        </w:tc>
        <w:tc>
          <w:tcPr>
            <w:tcW w:w="0" w:type="auto"/>
            <w:vAlign w:val="center"/>
          </w:tcPr>
          <w:p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217.0</w:t>
            </w:r>
          </w:p>
        </w:tc>
        <w:tc>
          <w:tcPr>
            <w:tcW w:w="0" w:type="auto"/>
            <w:vAlign w:val="center"/>
          </w:tcPr>
          <w:p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1830</w:t>
            </w:r>
          </w:p>
        </w:tc>
        <w:tc>
          <w:tcPr>
            <w:tcW w:w="0" w:type="auto"/>
            <w:vAlign w:val="center"/>
          </w:tcPr>
          <w:p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3033</w:t>
            </w:r>
          </w:p>
        </w:tc>
        <w:tc>
          <w:tcPr>
            <w:tcW w:w="0" w:type="auto"/>
            <w:vAlign w:val="center"/>
          </w:tcPr>
          <w:p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4863</w:t>
            </w:r>
          </w:p>
        </w:tc>
      </w:tr>
      <w:tr w:rsidR="003968DE" w:rsidRPr="00001F17" w:rsidTr="003968DE">
        <w:trPr>
          <w:trHeight w:val="483"/>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0.2%</w:t>
            </w:r>
          </w:p>
        </w:tc>
        <w:tc>
          <w:tcPr>
            <w:tcW w:w="0" w:type="auto"/>
            <w:vAlign w:val="center"/>
          </w:tcPr>
          <w:p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42.1</w:t>
            </w:r>
          </w:p>
        </w:tc>
        <w:tc>
          <w:tcPr>
            <w:tcW w:w="0" w:type="auto"/>
            <w:vAlign w:val="center"/>
          </w:tcPr>
          <w:p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1.96</w:t>
            </w:r>
          </w:p>
        </w:tc>
        <w:tc>
          <w:tcPr>
            <w:tcW w:w="0" w:type="auto"/>
            <w:vAlign w:val="center"/>
          </w:tcPr>
          <w:p w:rsidR="003968DE" w:rsidRPr="00DA4879" w:rsidRDefault="003968DE" w:rsidP="00F652B9">
            <w:pPr>
              <w:pStyle w:val="TableParagraph"/>
              <w:spacing w:before="182"/>
              <w:ind w:left="353" w:right="344"/>
              <w:jc w:val="center"/>
              <w:rPr>
                <w:rFonts w:ascii="Times New Roman" w:hAnsi="Times New Roman" w:cs="Times New Roman"/>
                <w:sz w:val="24"/>
                <w:szCs w:val="24"/>
              </w:rPr>
            </w:pPr>
            <w:r w:rsidRPr="00DA4879">
              <w:rPr>
                <w:rFonts w:ascii="Times New Roman" w:hAnsi="Times New Roman" w:cs="Times New Roman"/>
                <w:sz w:val="24"/>
                <w:szCs w:val="24"/>
              </w:rPr>
              <w:t>221.9</w:t>
            </w:r>
          </w:p>
        </w:tc>
        <w:tc>
          <w:tcPr>
            <w:tcW w:w="0" w:type="auto"/>
            <w:vAlign w:val="center"/>
          </w:tcPr>
          <w:p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2038</w:t>
            </w:r>
          </w:p>
        </w:tc>
        <w:tc>
          <w:tcPr>
            <w:tcW w:w="0" w:type="auto"/>
            <w:vAlign w:val="center"/>
          </w:tcPr>
          <w:p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3279</w:t>
            </w:r>
          </w:p>
        </w:tc>
        <w:tc>
          <w:tcPr>
            <w:tcW w:w="0" w:type="auto"/>
            <w:vAlign w:val="center"/>
          </w:tcPr>
          <w:p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5318</w:t>
            </w:r>
          </w:p>
        </w:tc>
      </w:tr>
      <w:tr w:rsidR="003968DE" w:rsidRPr="00001F17" w:rsidTr="003968DE">
        <w:trPr>
          <w:trHeight w:val="470"/>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0.3%</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43.8</w:t>
            </w:r>
          </w:p>
        </w:tc>
        <w:tc>
          <w:tcPr>
            <w:tcW w:w="0" w:type="auto"/>
            <w:vAlign w:val="center"/>
          </w:tcPr>
          <w:p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1.99</w:t>
            </w:r>
          </w:p>
        </w:tc>
        <w:tc>
          <w:tcPr>
            <w:tcW w:w="0" w:type="auto"/>
            <w:vAlign w:val="center"/>
          </w:tcPr>
          <w:p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225.2</w:t>
            </w:r>
          </w:p>
        </w:tc>
        <w:tc>
          <w:tcPr>
            <w:tcW w:w="0" w:type="auto"/>
            <w:vAlign w:val="center"/>
          </w:tcPr>
          <w:p w:rsidR="003968DE" w:rsidRPr="00DA4879" w:rsidRDefault="003968DE" w:rsidP="00F652B9">
            <w:pPr>
              <w:pStyle w:val="TableParagraph"/>
              <w:spacing w:before="163"/>
              <w:ind w:left="416" w:right="405"/>
              <w:jc w:val="center"/>
              <w:rPr>
                <w:rFonts w:ascii="Times New Roman" w:hAnsi="Times New Roman" w:cs="Times New Roman"/>
                <w:sz w:val="24"/>
                <w:szCs w:val="24"/>
              </w:rPr>
            </w:pPr>
            <w:r w:rsidRPr="00DA4879">
              <w:rPr>
                <w:rFonts w:ascii="Times New Roman" w:hAnsi="Times New Roman" w:cs="Times New Roman"/>
                <w:sz w:val="24"/>
                <w:szCs w:val="24"/>
              </w:rPr>
              <w:t>2144</w:t>
            </w:r>
          </w:p>
        </w:tc>
        <w:tc>
          <w:tcPr>
            <w:tcW w:w="0" w:type="auto"/>
            <w:vAlign w:val="center"/>
          </w:tcPr>
          <w:p w:rsidR="003968DE" w:rsidRPr="00DA4879" w:rsidRDefault="003968DE" w:rsidP="00F652B9">
            <w:pPr>
              <w:pStyle w:val="TableParagraph"/>
              <w:spacing w:before="163"/>
              <w:ind w:left="420"/>
              <w:jc w:val="center"/>
              <w:rPr>
                <w:rFonts w:ascii="Times New Roman" w:hAnsi="Times New Roman" w:cs="Times New Roman"/>
                <w:sz w:val="24"/>
                <w:szCs w:val="24"/>
              </w:rPr>
            </w:pPr>
            <w:r w:rsidRPr="00DA4879">
              <w:rPr>
                <w:rFonts w:ascii="Times New Roman" w:hAnsi="Times New Roman" w:cs="Times New Roman"/>
                <w:sz w:val="24"/>
                <w:szCs w:val="24"/>
              </w:rPr>
              <w:t>3382</w:t>
            </w:r>
          </w:p>
        </w:tc>
        <w:tc>
          <w:tcPr>
            <w:tcW w:w="0" w:type="auto"/>
            <w:vAlign w:val="center"/>
          </w:tcPr>
          <w:p w:rsidR="003968DE" w:rsidRPr="00DA4879" w:rsidRDefault="003968DE" w:rsidP="00F652B9">
            <w:pPr>
              <w:pStyle w:val="TableParagraph"/>
              <w:spacing w:before="163"/>
              <w:ind w:right="528"/>
              <w:jc w:val="center"/>
              <w:rPr>
                <w:rFonts w:ascii="Times New Roman" w:hAnsi="Times New Roman" w:cs="Times New Roman"/>
                <w:sz w:val="24"/>
                <w:szCs w:val="24"/>
              </w:rPr>
            </w:pPr>
            <w:r w:rsidRPr="00DA4879">
              <w:rPr>
                <w:rFonts w:ascii="Times New Roman" w:hAnsi="Times New Roman" w:cs="Times New Roman"/>
                <w:sz w:val="24"/>
                <w:szCs w:val="24"/>
              </w:rPr>
              <w:t>5526</w:t>
            </w:r>
          </w:p>
        </w:tc>
      </w:tr>
      <w:tr w:rsidR="003968DE" w:rsidRPr="00001F17" w:rsidTr="003968DE">
        <w:trPr>
          <w:trHeight w:val="483"/>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SEm ±</w:t>
            </w:r>
          </w:p>
        </w:tc>
        <w:tc>
          <w:tcPr>
            <w:tcW w:w="0" w:type="auto"/>
            <w:vAlign w:val="center"/>
          </w:tcPr>
          <w:p w:rsidR="003968DE" w:rsidRPr="00DA4879" w:rsidRDefault="003968DE" w:rsidP="00F652B9">
            <w:pPr>
              <w:pStyle w:val="TableParagraph"/>
              <w:spacing w:before="185"/>
              <w:ind w:left="506"/>
              <w:jc w:val="center"/>
              <w:rPr>
                <w:rFonts w:ascii="Times New Roman" w:hAnsi="Times New Roman" w:cs="Times New Roman"/>
                <w:sz w:val="24"/>
                <w:szCs w:val="24"/>
              </w:rPr>
            </w:pPr>
            <w:r w:rsidRPr="00DA4879">
              <w:rPr>
                <w:rFonts w:ascii="Times New Roman" w:hAnsi="Times New Roman" w:cs="Times New Roman"/>
                <w:sz w:val="24"/>
                <w:szCs w:val="24"/>
              </w:rPr>
              <w:t>0.8</w:t>
            </w:r>
          </w:p>
        </w:tc>
        <w:tc>
          <w:tcPr>
            <w:tcW w:w="0" w:type="auto"/>
            <w:vAlign w:val="center"/>
          </w:tcPr>
          <w:p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0.05</w:t>
            </w:r>
          </w:p>
        </w:tc>
        <w:tc>
          <w:tcPr>
            <w:tcW w:w="0" w:type="auto"/>
            <w:vAlign w:val="center"/>
          </w:tcPr>
          <w:p w:rsidR="003968DE" w:rsidRPr="00DA4879" w:rsidRDefault="003968DE" w:rsidP="00F652B9">
            <w:pPr>
              <w:pStyle w:val="TableParagraph"/>
              <w:spacing w:before="183"/>
              <w:ind w:left="352" w:right="346"/>
              <w:jc w:val="center"/>
              <w:rPr>
                <w:rFonts w:ascii="Times New Roman" w:hAnsi="Times New Roman" w:cs="Times New Roman"/>
                <w:sz w:val="24"/>
                <w:szCs w:val="24"/>
              </w:rPr>
            </w:pPr>
            <w:r w:rsidRPr="00DA4879">
              <w:rPr>
                <w:rFonts w:ascii="Times New Roman" w:hAnsi="Times New Roman" w:cs="Times New Roman"/>
                <w:sz w:val="24"/>
                <w:szCs w:val="24"/>
              </w:rPr>
              <w:t>1.6</w:t>
            </w:r>
          </w:p>
        </w:tc>
        <w:tc>
          <w:tcPr>
            <w:tcW w:w="0" w:type="auto"/>
            <w:vAlign w:val="center"/>
          </w:tcPr>
          <w:p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56</w:t>
            </w:r>
          </w:p>
        </w:tc>
        <w:tc>
          <w:tcPr>
            <w:tcW w:w="0" w:type="auto"/>
            <w:vAlign w:val="center"/>
          </w:tcPr>
          <w:p w:rsidR="003968DE" w:rsidRPr="00DA4879" w:rsidRDefault="003968DE" w:rsidP="00F652B9">
            <w:pPr>
              <w:pStyle w:val="TableParagraph"/>
              <w:spacing w:before="163"/>
              <w:ind w:left="533" w:right="526"/>
              <w:jc w:val="center"/>
              <w:rPr>
                <w:rFonts w:ascii="Times New Roman" w:hAnsi="Times New Roman" w:cs="Times New Roman"/>
                <w:sz w:val="24"/>
                <w:szCs w:val="24"/>
              </w:rPr>
            </w:pPr>
            <w:r w:rsidRPr="00DA4879">
              <w:rPr>
                <w:rFonts w:ascii="Times New Roman" w:hAnsi="Times New Roman" w:cs="Times New Roman"/>
                <w:sz w:val="24"/>
                <w:szCs w:val="24"/>
              </w:rPr>
              <w:t>75</w:t>
            </w:r>
          </w:p>
        </w:tc>
        <w:tc>
          <w:tcPr>
            <w:tcW w:w="0" w:type="auto"/>
            <w:vAlign w:val="center"/>
          </w:tcPr>
          <w:p w:rsidR="003968DE" w:rsidRPr="00DA4879" w:rsidRDefault="003968DE" w:rsidP="00F652B9">
            <w:pPr>
              <w:pStyle w:val="TableParagraph"/>
              <w:spacing w:before="163"/>
              <w:ind w:left="656" w:right="644" w:hanging="656"/>
              <w:jc w:val="center"/>
              <w:rPr>
                <w:rFonts w:ascii="Times New Roman" w:hAnsi="Times New Roman" w:cs="Times New Roman"/>
                <w:sz w:val="24"/>
                <w:szCs w:val="24"/>
              </w:rPr>
            </w:pPr>
            <w:r w:rsidRPr="00DA4879">
              <w:rPr>
                <w:rFonts w:ascii="Times New Roman" w:hAnsi="Times New Roman" w:cs="Times New Roman"/>
                <w:sz w:val="24"/>
                <w:szCs w:val="24"/>
              </w:rPr>
              <w:t>92</w:t>
            </w:r>
          </w:p>
        </w:tc>
      </w:tr>
      <w:tr w:rsidR="003968DE" w:rsidRPr="00001F17" w:rsidTr="003968DE">
        <w:trPr>
          <w:trHeight w:val="153"/>
        </w:trPr>
        <w:tc>
          <w:tcPr>
            <w:tcW w:w="0" w:type="auto"/>
            <w:vAlign w:val="center"/>
          </w:tcPr>
          <w:p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0" w:type="auto"/>
            <w:vAlign w:val="center"/>
          </w:tcPr>
          <w:p w:rsidR="003968DE" w:rsidRPr="00DA4879" w:rsidRDefault="003968DE" w:rsidP="00F652B9">
            <w:pPr>
              <w:pStyle w:val="TableParagraph"/>
              <w:spacing w:before="182"/>
              <w:ind w:left="506"/>
              <w:jc w:val="center"/>
              <w:rPr>
                <w:rFonts w:ascii="Times New Roman" w:hAnsi="Times New Roman" w:cs="Times New Roman"/>
                <w:sz w:val="24"/>
                <w:szCs w:val="24"/>
              </w:rPr>
            </w:pPr>
            <w:r w:rsidRPr="00DA4879">
              <w:rPr>
                <w:rFonts w:ascii="Times New Roman" w:hAnsi="Times New Roman" w:cs="Times New Roman"/>
                <w:sz w:val="24"/>
                <w:szCs w:val="24"/>
              </w:rPr>
              <w:t>2.4</w:t>
            </w:r>
          </w:p>
        </w:tc>
        <w:tc>
          <w:tcPr>
            <w:tcW w:w="0" w:type="auto"/>
            <w:vAlign w:val="center"/>
          </w:tcPr>
          <w:p w:rsidR="003968DE" w:rsidRPr="00DA4879" w:rsidRDefault="003968DE" w:rsidP="00F652B9">
            <w:pPr>
              <w:pStyle w:val="TableParagraph"/>
              <w:spacing w:before="182"/>
              <w:ind w:left="507"/>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0" w:type="auto"/>
            <w:vAlign w:val="center"/>
          </w:tcPr>
          <w:p w:rsidR="003968DE" w:rsidRPr="00DA4879" w:rsidRDefault="003968DE" w:rsidP="00F652B9">
            <w:pPr>
              <w:pStyle w:val="TableParagraph"/>
              <w:spacing w:before="180"/>
              <w:ind w:left="352" w:right="346"/>
              <w:jc w:val="center"/>
              <w:rPr>
                <w:rFonts w:ascii="Times New Roman" w:hAnsi="Times New Roman" w:cs="Times New Roman"/>
                <w:sz w:val="24"/>
                <w:szCs w:val="24"/>
              </w:rPr>
            </w:pPr>
            <w:r w:rsidRPr="00DA4879">
              <w:rPr>
                <w:rFonts w:ascii="Times New Roman" w:hAnsi="Times New Roman" w:cs="Times New Roman"/>
                <w:sz w:val="24"/>
                <w:szCs w:val="24"/>
              </w:rPr>
              <w:t>4.7</w:t>
            </w:r>
          </w:p>
        </w:tc>
        <w:tc>
          <w:tcPr>
            <w:tcW w:w="0" w:type="auto"/>
            <w:vAlign w:val="center"/>
          </w:tcPr>
          <w:p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164</w:t>
            </w:r>
          </w:p>
        </w:tc>
        <w:tc>
          <w:tcPr>
            <w:tcW w:w="0" w:type="auto"/>
            <w:vAlign w:val="center"/>
          </w:tcPr>
          <w:p w:rsidR="003968DE" w:rsidRPr="00DA4879" w:rsidRDefault="003968DE" w:rsidP="00F652B9">
            <w:pPr>
              <w:pStyle w:val="TableParagraph"/>
              <w:spacing w:before="163"/>
              <w:ind w:left="485"/>
              <w:jc w:val="center"/>
              <w:rPr>
                <w:rFonts w:ascii="Times New Roman" w:hAnsi="Times New Roman" w:cs="Times New Roman"/>
                <w:sz w:val="24"/>
                <w:szCs w:val="24"/>
              </w:rPr>
            </w:pPr>
            <w:r w:rsidRPr="00DA4879">
              <w:rPr>
                <w:rFonts w:ascii="Times New Roman" w:hAnsi="Times New Roman" w:cs="Times New Roman"/>
                <w:sz w:val="24"/>
                <w:szCs w:val="24"/>
              </w:rPr>
              <w:t>219</w:t>
            </w:r>
          </w:p>
        </w:tc>
        <w:tc>
          <w:tcPr>
            <w:tcW w:w="0" w:type="auto"/>
            <w:vAlign w:val="center"/>
          </w:tcPr>
          <w:p w:rsidR="003968DE" w:rsidRPr="00DA4879" w:rsidRDefault="003968DE" w:rsidP="00F652B9">
            <w:pPr>
              <w:pStyle w:val="TableParagraph"/>
              <w:spacing w:before="163"/>
              <w:ind w:right="595"/>
              <w:jc w:val="center"/>
              <w:rPr>
                <w:rFonts w:ascii="Times New Roman" w:hAnsi="Times New Roman" w:cs="Times New Roman"/>
                <w:sz w:val="24"/>
                <w:szCs w:val="24"/>
              </w:rPr>
            </w:pPr>
            <w:r w:rsidRPr="00DA4879">
              <w:rPr>
                <w:rFonts w:ascii="Times New Roman" w:hAnsi="Times New Roman" w:cs="Times New Roman"/>
                <w:sz w:val="24"/>
                <w:szCs w:val="24"/>
              </w:rPr>
              <w:t>270</w:t>
            </w:r>
          </w:p>
        </w:tc>
      </w:tr>
    </w:tbl>
    <w:p w:rsidR="003968DE" w:rsidRPr="00001F17" w:rsidRDefault="003968DE" w:rsidP="00F652B9">
      <w:pPr>
        <w:spacing w:after="0" w:line="360" w:lineRule="auto"/>
        <w:jc w:val="both"/>
        <w:rPr>
          <w:rFonts w:ascii="Times New Roman" w:hAnsi="Times New Roman" w:cs="Times New Roman"/>
          <w:b/>
          <w:bCs/>
          <w:sz w:val="24"/>
          <w:szCs w:val="24"/>
        </w:rPr>
      </w:pPr>
    </w:p>
    <w:p w:rsidR="003968DE" w:rsidRPr="00001F17" w:rsidRDefault="003968DE" w:rsidP="00F652B9">
      <w:pPr>
        <w:spacing w:after="0" w:line="360" w:lineRule="auto"/>
        <w:jc w:val="both"/>
        <w:rPr>
          <w:rFonts w:ascii="Times New Roman" w:hAnsi="Times New Roman" w:cs="Times New Roman"/>
          <w:b/>
          <w:bCs/>
          <w:sz w:val="24"/>
          <w:szCs w:val="24"/>
        </w:rPr>
      </w:pPr>
    </w:p>
    <w:sectPr w:rsidR="003968DE" w:rsidRPr="00001F17" w:rsidSect="00D513DB">
      <w:pgSz w:w="16839" w:h="11907" w:orient="landscape"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26A" w:rsidRDefault="0062626A" w:rsidP="002B7871">
      <w:pPr>
        <w:spacing w:after="0" w:line="240" w:lineRule="auto"/>
      </w:pPr>
      <w:r>
        <w:separator/>
      </w:r>
    </w:p>
  </w:endnote>
  <w:endnote w:type="continuationSeparator" w:id="1">
    <w:p w:rsidR="0062626A" w:rsidRDefault="0062626A" w:rsidP="002B7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71" w:rsidRDefault="002B78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71" w:rsidRDefault="002B78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71" w:rsidRDefault="002B7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26A" w:rsidRDefault="0062626A" w:rsidP="002B7871">
      <w:pPr>
        <w:spacing w:after="0" w:line="240" w:lineRule="auto"/>
      </w:pPr>
      <w:r>
        <w:separator/>
      </w:r>
    </w:p>
  </w:footnote>
  <w:footnote w:type="continuationSeparator" w:id="1">
    <w:p w:rsidR="0062626A" w:rsidRDefault="0062626A" w:rsidP="002B78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71" w:rsidRDefault="005248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32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71" w:rsidRDefault="005248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32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71" w:rsidRDefault="005248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32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13B03"/>
    <w:multiLevelType w:val="hybridMultilevel"/>
    <w:tmpl w:val="2930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569F1"/>
    <w:rsid w:val="00001F17"/>
    <w:rsid w:val="00040F0F"/>
    <w:rsid w:val="000B6EFF"/>
    <w:rsid w:val="00120FF8"/>
    <w:rsid w:val="001517AF"/>
    <w:rsid w:val="00186B9F"/>
    <w:rsid w:val="0019187F"/>
    <w:rsid w:val="001E4356"/>
    <w:rsid w:val="002B7871"/>
    <w:rsid w:val="002B7B97"/>
    <w:rsid w:val="002C4EC6"/>
    <w:rsid w:val="002D09AC"/>
    <w:rsid w:val="002D1D32"/>
    <w:rsid w:val="002D54B4"/>
    <w:rsid w:val="002E39FF"/>
    <w:rsid w:val="00342A88"/>
    <w:rsid w:val="00355718"/>
    <w:rsid w:val="00390B53"/>
    <w:rsid w:val="003968DE"/>
    <w:rsid w:val="004022EF"/>
    <w:rsid w:val="004241A7"/>
    <w:rsid w:val="00425356"/>
    <w:rsid w:val="0046396E"/>
    <w:rsid w:val="00472033"/>
    <w:rsid w:val="004C46D8"/>
    <w:rsid w:val="005120EE"/>
    <w:rsid w:val="00524843"/>
    <w:rsid w:val="00545FC8"/>
    <w:rsid w:val="00574ED8"/>
    <w:rsid w:val="0062626A"/>
    <w:rsid w:val="006472C5"/>
    <w:rsid w:val="00652664"/>
    <w:rsid w:val="00667AF0"/>
    <w:rsid w:val="006C07C4"/>
    <w:rsid w:val="006D5A11"/>
    <w:rsid w:val="006E3500"/>
    <w:rsid w:val="007049ED"/>
    <w:rsid w:val="00760006"/>
    <w:rsid w:val="007D7299"/>
    <w:rsid w:val="008104D9"/>
    <w:rsid w:val="00813943"/>
    <w:rsid w:val="008377D0"/>
    <w:rsid w:val="00841285"/>
    <w:rsid w:val="00973C0A"/>
    <w:rsid w:val="00987EAA"/>
    <w:rsid w:val="009D21C9"/>
    <w:rsid w:val="009E7915"/>
    <w:rsid w:val="00A569F1"/>
    <w:rsid w:val="00AE47E7"/>
    <w:rsid w:val="00B8180F"/>
    <w:rsid w:val="00C11702"/>
    <w:rsid w:val="00C46B25"/>
    <w:rsid w:val="00C71272"/>
    <w:rsid w:val="00C849B9"/>
    <w:rsid w:val="00CD7DA5"/>
    <w:rsid w:val="00CF7934"/>
    <w:rsid w:val="00D142C9"/>
    <w:rsid w:val="00D513DB"/>
    <w:rsid w:val="00DA4879"/>
    <w:rsid w:val="00F519DA"/>
    <w:rsid w:val="00F652B9"/>
    <w:rsid w:val="00FC728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18"/>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9F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13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3968DE"/>
    <w:pPr>
      <w:widowControl w:val="0"/>
      <w:autoSpaceDE w:val="0"/>
      <w:autoSpaceDN w:val="0"/>
      <w:spacing w:after="0" w:line="240" w:lineRule="auto"/>
    </w:pPr>
    <w:rPr>
      <w:rFonts w:ascii="Arial MT" w:eastAsia="Arial MT" w:hAnsi="Arial MT" w:cs="Arial MT"/>
      <w:szCs w:val="22"/>
      <w:lang w:bidi="ar-SA"/>
    </w:rPr>
  </w:style>
  <w:style w:type="character" w:styleId="Hyperlink">
    <w:name w:val="Hyperlink"/>
    <w:basedOn w:val="DefaultParagraphFont"/>
    <w:uiPriority w:val="99"/>
    <w:unhideWhenUsed/>
    <w:rsid w:val="00C71272"/>
    <w:rPr>
      <w:color w:val="0000FF" w:themeColor="hyperlink"/>
      <w:u w:val="single"/>
    </w:rPr>
  </w:style>
  <w:style w:type="character" w:styleId="PlaceholderText">
    <w:name w:val="Placeholder Text"/>
    <w:basedOn w:val="DefaultParagraphFont"/>
    <w:uiPriority w:val="99"/>
    <w:semiHidden/>
    <w:rsid w:val="00AE47E7"/>
    <w:rPr>
      <w:color w:val="808080"/>
    </w:rPr>
  </w:style>
  <w:style w:type="paragraph" w:styleId="BalloonText">
    <w:name w:val="Balloon Text"/>
    <w:basedOn w:val="Normal"/>
    <w:link w:val="BalloonTextChar"/>
    <w:uiPriority w:val="99"/>
    <w:semiHidden/>
    <w:unhideWhenUsed/>
    <w:rsid w:val="00AE47E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E47E7"/>
    <w:rPr>
      <w:rFonts w:ascii="Tahoma" w:hAnsi="Tahoma" w:cs="Mangal"/>
      <w:sz w:val="16"/>
      <w:szCs w:val="14"/>
    </w:rPr>
  </w:style>
  <w:style w:type="paragraph" w:styleId="ListParagraph">
    <w:name w:val="List Paragraph"/>
    <w:basedOn w:val="Normal"/>
    <w:uiPriority w:val="34"/>
    <w:qFormat/>
    <w:rsid w:val="0019187F"/>
    <w:pPr>
      <w:ind w:left="720"/>
      <w:contextualSpacing/>
    </w:pPr>
  </w:style>
  <w:style w:type="character" w:customStyle="1" w:styleId="UnresolvedMention">
    <w:name w:val="Unresolved Mention"/>
    <w:basedOn w:val="DefaultParagraphFont"/>
    <w:uiPriority w:val="99"/>
    <w:semiHidden/>
    <w:unhideWhenUsed/>
    <w:rsid w:val="0019187F"/>
    <w:rPr>
      <w:color w:val="605E5C"/>
      <w:shd w:val="clear" w:color="auto" w:fill="E1DFDD"/>
    </w:rPr>
  </w:style>
  <w:style w:type="paragraph" w:styleId="Header">
    <w:name w:val="header"/>
    <w:basedOn w:val="Normal"/>
    <w:link w:val="HeaderChar"/>
    <w:uiPriority w:val="99"/>
    <w:unhideWhenUsed/>
    <w:rsid w:val="002B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71"/>
    <w:rPr>
      <w:rFonts w:cs="Mangal"/>
    </w:rPr>
  </w:style>
  <w:style w:type="paragraph" w:styleId="Footer">
    <w:name w:val="footer"/>
    <w:basedOn w:val="Normal"/>
    <w:link w:val="FooterChar"/>
    <w:uiPriority w:val="99"/>
    <w:unhideWhenUsed/>
    <w:rsid w:val="002B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71"/>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lphurinstitute.org/" TargetMode="External"/><Relationship Id="rId13" Type="http://schemas.openxmlformats.org/officeDocument/2006/relationships/hyperlink" Target="http://irjc.petsd.org/" TargetMode="External"/><Relationship Id="rId18" Type="http://schemas.openxmlformats.org/officeDocument/2006/relationships/hyperlink" Target="https://doi.org/10.3329/sja.v11i1.183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ijpss/2023/v35i203844" TargetMode="External"/><Relationship Id="rId7" Type="http://schemas.openxmlformats.org/officeDocument/2006/relationships/hyperlink" Target="https://doi.org/10.1007/978-94-017-0289-8" TargetMode="External"/><Relationship Id="rId12" Type="http://schemas.openxmlformats.org/officeDocument/2006/relationships/hyperlink" Target="https://doi.org/10.1139/b79-163" TargetMode="External"/><Relationship Id="rId17" Type="http://schemas.openxmlformats.org/officeDocument/2006/relationships/hyperlink" Target="https://epubs.icar.org.in/index.php/IJAg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chemijournal.com/archives/2017/vol5issue6/5-6-10-100.pdf" TargetMode="External"/><Relationship Id="rId20" Type="http://schemas.openxmlformats.org/officeDocument/2006/relationships/hyperlink" Target="https://www.agrobiosonline.com/book-details/techniques-and-management-of-field-crop-produc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psmupuk.org/journal/index.php/IJCH/article/view/47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20546/ijcmas.2017.606.006" TargetMode="External"/><Relationship Id="rId23" Type="http://schemas.openxmlformats.org/officeDocument/2006/relationships/hyperlink" Target="https://www.pearson.com/us/higher-education/program/Havlin-Soil-Fertility-and-Fertilizers-An-Introduction-to-Nutrient-Management-8th-Edition/PGM100000000000.html" TargetMode="External"/><Relationship Id="rId28" Type="http://schemas.openxmlformats.org/officeDocument/2006/relationships/header" Target="header3.xml"/><Relationship Id="rId10" Type="http://schemas.openxmlformats.org/officeDocument/2006/relationships/hyperlink" Target="https://www.ijcmas.com/6-11-2017/B.%20Gokila,%20et%20al.pdf" TargetMode="External"/><Relationship Id="rId19" Type="http://schemas.openxmlformats.org/officeDocument/2006/relationships/hyperlink" Target="https://www.jpp.co.in/archives/2018/vol7-special-issue1-201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anifeedsci.2011.04.098" TargetMode="External"/><Relationship Id="rId14" Type="http://schemas.openxmlformats.org/officeDocument/2006/relationships/hyperlink" Target="https://doi.org/10.1017/S0007114512000797" TargetMode="External"/><Relationship Id="rId22" Type="http://schemas.openxmlformats.org/officeDocument/2006/relationships/hyperlink" Target="https://doi.org/10.15740/HAS/IJAS/11.1/54-5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13</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dcterms:created xsi:type="dcterms:W3CDTF">2023-07-29T15:46:00Z</dcterms:created>
  <dcterms:modified xsi:type="dcterms:W3CDTF">2025-12-30T17:27:00Z</dcterms:modified>
</cp:coreProperties>
</file>