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4C1" w:rsidRDefault="00FA44C1" w:rsidP="005F43CF">
      <w:pPr>
        <w:spacing w:after="0"/>
        <w:jc w:val="both"/>
        <w:rPr>
          <w:rFonts w:ascii="Times New Roman" w:hAnsi="Times New Roman" w:cs="Times New Roman"/>
          <w:b/>
          <w:sz w:val="24"/>
          <w:szCs w:val="24"/>
        </w:rPr>
      </w:pPr>
      <w:r w:rsidRPr="005E2FE4">
        <w:rPr>
          <w:rFonts w:ascii="Times New Roman" w:hAnsi="Times New Roman" w:cs="Times New Roman"/>
          <w:sz w:val="24"/>
          <w:szCs w:val="24"/>
        </w:rPr>
        <w:t>Heavy metals accumulation in brinjal and tomato under Bachaoli</w:t>
      </w:r>
      <w:r w:rsidR="001E2F5A">
        <w:rPr>
          <w:rFonts w:ascii="Times New Roman" w:hAnsi="Times New Roman" w:cs="Times New Roman"/>
          <w:sz w:val="24"/>
          <w:szCs w:val="24"/>
        </w:rPr>
        <w:t xml:space="preserve"> </w:t>
      </w:r>
      <w:r w:rsidRPr="005E2FE4">
        <w:rPr>
          <w:rFonts w:ascii="Times New Roman" w:hAnsi="Times New Roman" w:cs="Times New Roman"/>
          <w:sz w:val="24"/>
          <w:szCs w:val="24"/>
        </w:rPr>
        <w:t>Bujurg region of Jhansi</w:t>
      </w:r>
    </w:p>
    <w:p w:rsidR="00FA44C1" w:rsidRDefault="00FA44C1" w:rsidP="005F43CF">
      <w:pPr>
        <w:spacing w:after="0"/>
        <w:jc w:val="both"/>
        <w:rPr>
          <w:rFonts w:ascii="Times New Roman" w:hAnsi="Times New Roman" w:cs="Times New Roman"/>
          <w:b/>
          <w:sz w:val="24"/>
          <w:szCs w:val="24"/>
        </w:rPr>
      </w:pPr>
    </w:p>
    <w:p w:rsidR="00D61A8A" w:rsidRDefault="00D61A8A" w:rsidP="005F43CF">
      <w:pPr>
        <w:spacing w:after="0" w:line="240" w:lineRule="auto"/>
        <w:jc w:val="both"/>
        <w:rPr>
          <w:rFonts w:ascii="Times New Roman" w:hAnsi="Times New Roman" w:cs="Times New Roman"/>
          <w:b/>
          <w:sz w:val="24"/>
          <w:szCs w:val="24"/>
          <w:u w:val="single"/>
        </w:rPr>
      </w:pPr>
    </w:p>
    <w:p w:rsidR="00F92B37" w:rsidRPr="005E2FE4" w:rsidRDefault="00F92B37" w:rsidP="005F43CF">
      <w:pPr>
        <w:spacing w:after="0" w:line="240" w:lineRule="auto"/>
        <w:jc w:val="both"/>
        <w:rPr>
          <w:rFonts w:ascii="Times New Roman" w:hAnsi="Times New Roman" w:cs="Times New Roman"/>
          <w:b/>
          <w:sz w:val="24"/>
          <w:szCs w:val="24"/>
          <w:u w:val="single"/>
        </w:rPr>
      </w:pPr>
    </w:p>
    <w:p w:rsidR="00562CDE" w:rsidRPr="005E2FE4" w:rsidRDefault="0022029A" w:rsidP="005F43CF">
      <w:pPr>
        <w:spacing w:after="0"/>
        <w:jc w:val="both"/>
        <w:rPr>
          <w:rFonts w:ascii="Times New Roman" w:hAnsi="Times New Roman" w:cs="Times New Roman"/>
          <w:sz w:val="24"/>
          <w:szCs w:val="24"/>
        </w:rPr>
      </w:pPr>
      <w:r w:rsidRPr="005E2FE4">
        <w:rPr>
          <w:rFonts w:ascii="Times New Roman" w:hAnsi="Times New Roman" w:cs="Times New Roman"/>
          <w:b/>
          <w:sz w:val="24"/>
          <w:szCs w:val="24"/>
        </w:rPr>
        <w:t>Abstract</w:t>
      </w:r>
    </w:p>
    <w:p w:rsidR="00666124" w:rsidRPr="005E2FE4" w:rsidRDefault="00666124" w:rsidP="005F43CF">
      <w:pPr>
        <w:pStyle w:val="NormalWeb"/>
        <w:spacing w:before="0" w:beforeAutospacing="0" w:after="0" w:afterAutospacing="0"/>
        <w:jc w:val="both"/>
      </w:pPr>
      <w:r w:rsidRPr="005E2FE4">
        <w:t xml:space="preserve">A field experiment was conducted during 2022–23 and 2023–24 at BachaoliBujurg, Jhansi, to evaluate </w:t>
      </w:r>
      <w:r w:rsidR="00B6679B" w:rsidRPr="005E2FE4">
        <w:rPr>
          <w:rStyle w:val="Emphasis"/>
        </w:rPr>
        <w:t>“</w:t>
      </w:r>
      <w:r w:rsidR="00B6679B" w:rsidRPr="005E2FE4">
        <w:t>Heavy metals accumulation</w:t>
      </w:r>
      <w:r w:rsidR="00D851B9">
        <w:t xml:space="preserve"> lead (Pb) accumulation (mg kg⁻¹)</w:t>
      </w:r>
      <w:r w:rsidR="00584F6A">
        <w:t xml:space="preserve"> </w:t>
      </w:r>
      <w:r w:rsidR="00B6679B" w:rsidRPr="005E2FE4">
        <w:t>in brinjal and tomato under Bachaoli</w:t>
      </w:r>
      <w:r w:rsidR="00584F6A">
        <w:t xml:space="preserve"> </w:t>
      </w:r>
      <w:r w:rsidR="00B6679B" w:rsidRPr="005E2FE4">
        <w:t>Bujurg region of Jhansi</w:t>
      </w:r>
      <w:r w:rsidR="00B6679B" w:rsidRPr="005E2FE4">
        <w:rPr>
          <w:rStyle w:val="Emphasis"/>
        </w:rPr>
        <w:t>”</w:t>
      </w:r>
      <w:r w:rsidR="00D851B9">
        <w:rPr>
          <w:rStyle w:val="Emphasis"/>
        </w:rPr>
        <w:t xml:space="preserve"> </w:t>
      </w:r>
      <w:r w:rsidRPr="005E2FE4">
        <w:t xml:space="preserve">grown under contaminated soil conditions. Treatments included farmyard manure (FYM), kitchen waste compost, vermicompost, and their combinations, along with contaminated and uncontaminated controls. In brinjal, the lowest </w:t>
      </w:r>
      <w:r w:rsidR="0052642E">
        <w:t xml:space="preserve">Pb </w:t>
      </w:r>
      <w:r w:rsidRPr="005E2FE4">
        <w:t xml:space="preserve">concentrations </w:t>
      </w:r>
      <w:r w:rsidR="00015DC2">
        <w:t>(100</w:t>
      </w:r>
      <w:r w:rsidR="00DC273F">
        <w:t xml:space="preserve"> </w:t>
      </w:r>
      <w:r w:rsidR="00015DC2">
        <w:t>mg</w:t>
      </w:r>
      <w:r w:rsidR="00653647">
        <w:t xml:space="preserve"> </w:t>
      </w:r>
      <w:r w:rsidR="00015DC2">
        <w:t>kg</w:t>
      </w:r>
      <w:r w:rsidR="00015DC2" w:rsidRPr="00015DC2">
        <w:rPr>
          <w:vertAlign w:val="superscript"/>
        </w:rPr>
        <w:t>-1</w:t>
      </w:r>
      <w:r w:rsidR="00015DC2">
        <w:t xml:space="preserve">) </w:t>
      </w:r>
      <w:r w:rsidR="0052642E">
        <w:t xml:space="preserve">in leaf </w:t>
      </w:r>
      <w:r w:rsidRPr="005E2FE4">
        <w:t>were recorded under T</w:t>
      </w:r>
      <w:r w:rsidRPr="005E2FE4">
        <w:rPr>
          <w:vertAlign w:val="subscript"/>
        </w:rPr>
        <w:t>1</w:t>
      </w:r>
      <w:r w:rsidRPr="005E2FE4">
        <w:t xml:space="preserve"> (Contaminated + FYM 5 t ha⁻¹) with values of 0.064 and 0.063, followed by T</w:t>
      </w:r>
      <w:r w:rsidRPr="005E2FE4">
        <w:rPr>
          <w:vertAlign w:val="subscript"/>
        </w:rPr>
        <w:t>2</w:t>
      </w:r>
      <w:r w:rsidRPr="005E2FE4">
        <w:t xml:space="preserve"> (Contaminated + FYM 10 t ha⁻¹; 0.083 and 0.064) and T</w:t>
      </w:r>
      <w:r w:rsidRPr="004D3E42">
        <w:rPr>
          <w:vertAlign w:val="subscript"/>
        </w:rPr>
        <w:t>11</w:t>
      </w:r>
      <w:r w:rsidRPr="005E2FE4">
        <w:t xml:space="preserve"> (Contaminated + FYM 5 t + Kitchen waste compost 5 t + Vermicompost 5 t ha⁻¹; 0.096 and 0.099) during 2022–23 and 2023–24, respectively. The highest </w:t>
      </w:r>
      <w:r w:rsidR="002449F7">
        <w:t xml:space="preserve">lead (Pb) accumulation </w:t>
      </w:r>
      <w:r w:rsidRPr="005E2FE4">
        <w:t>were observed in the contaminated control (T</w:t>
      </w:r>
      <w:r w:rsidRPr="005E2FE4">
        <w:rPr>
          <w:vertAlign w:val="subscript"/>
        </w:rPr>
        <w:t>12</w:t>
      </w:r>
      <w:r w:rsidRPr="005E2FE4">
        <w:t>: 1.135 and 1.137) and the uncontaminated control (T</w:t>
      </w:r>
      <w:r w:rsidRPr="005E2FE4">
        <w:rPr>
          <w:vertAlign w:val="subscript"/>
        </w:rPr>
        <w:t>13</w:t>
      </w:r>
      <w:r w:rsidRPr="005E2FE4">
        <w:t>: 2.310 and 2.487).</w:t>
      </w:r>
    </w:p>
    <w:p w:rsidR="00666124" w:rsidRPr="005E2FE4" w:rsidRDefault="00666124" w:rsidP="005F43CF">
      <w:pPr>
        <w:pStyle w:val="NormalWeb"/>
        <w:spacing w:before="0" w:beforeAutospacing="0" w:after="0" w:afterAutospacing="0"/>
        <w:ind w:firstLine="720"/>
        <w:jc w:val="both"/>
      </w:pPr>
      <w:r w:rsidRPr="005E2FE4">
        <w:t>In tomato, minimum leaf concentrations were also recorded under T</w:t>
      </w:r>
      <w:r w:rsidRPr="005E2FE4">
        <w:rPr>
          <w:vertAlign w:val="subscript"/>
        </w:rPr>
        <w:t>1</w:t>
      </w:r>
      <w:r w:rsidRPr="005E2FE4">
        <w:t xml:space="preserve"> (0.058 and 0.059), followed by T</w:t>
      </w:r>
      <w:r w:rsidRPr="005E2FE4">
        <w:rPr>
          <w:vertAlign w:val="subscript"/>
        </w:rPr>
        <w:t>2</w:t>
      </w:r>
      <w:r w:rsidRPr="005E2FE4">
        <w:t xml:space="preserve"> (0.072 and 0.061) and T</w:t>
      </w:r>
      <w:r w:rsidRPr="005E2FE4">
        <w:rPr>
          <w:vertAlign w:val="subscript"/>
        </w:rPr>
        <w:t>11</w:t>
      </w:r>
      <w:r w:rsidRPr="005E2FE4">
        <w:t xml:space="preserve"> (0.088 and 0.089), while the uncontaminated control (T</w:t>
      </w:r>
      <w:r w:rsidRPr="005E2FE4">
        <w:rPr>
          <w:vertAlign w:val="subscript"/>
        </w:rPr>
        <w:t>13</w:t>
      </w:r>
      <w:r w:rsidRPr="005E2FE4">
        <w:t>: 2.015 and 2.102) and contaminated control (T</w:t>
      </w:r>
      <w:r w:rsidRPr="005E2FE4">
        <w:rPr>
          <w:vertAlign w:val="subscript"/>
        </w:rPr>
        <w:t>12</w:t>
      </w:r>
      <w:r w:rsidRPr="005E2FE4">
        <w:t>: 0.982 and 0.985) showed maximum accumulation.</w:t>
      </w:r>
    </w:p>
    <w:p w:rsidR="00666124" w:rsidRPr="002449F7" w:rsidRDefault="002449F7" w:rsidP="005F43CF">
      <w:pPr>
        <w:pStyle w:val="NormalWeb"/>
        <w:spacing w:before="0" w:beforeAutospacing="0" w:after="0" w:afterAutospacing="0"/>
        <w:ind w:firstLine="720"/>
        <w:jc w:val="both"/>
        <w:rPr>
          <w:b/>
        </w:rPr>
      </w:pPr>
      <w:r>
        <w:t>Stem Pb concentrations further confirmed the superiority of combined amendments</w:t>
      </w:r>
      <w:r w:rsidR="00666124" w:rsidRPr="005E2FE4">
        <w:t>, the lowest accumulation occurred under T</w:t>
      </w:r>
      <w:r w:rsidR="00666124" w:rsidRPr="005E2FE4">
        <w:rPr>
          <w:vertAlign w:val="subscript"/>
        </w:rPr>
        <w:t xml:space="preserve">10 </w:t>
      </w:r>
      <w:r w:rsidR="00666124" w:rsidRPr="005E2FE4">
        <w:t>(Contaminated + Kitchen waste compost 5 t + Vermicompost 5 t ha⁻¹) with values of 0.065, 0.068 and pooled 0.0665, followed by T</w:t>
      </w:r>
      <w:r w:rsidR="00666124" w:rsidRPr="005E2FE4">
        <w:rPr>
          <w:vertAlign w:val="subscript"/>
        </w:rPr>
        <w:t>11</w:t>
      </w:r>
      <w:r w:rsidR="00666124" w:rsidRPr="005E2FE4">
        <w:t xml:space="preserve"> (0.064, 0.065 and 0.0645). The highest stem concentration was recorded in T</w:t>
      </w:r>
      <w:r w:rsidR="00666124" w:rsidRPr="005E2FE4">
        <w:rPr>
          <w:vertAlign w:val="subscript"/>
        </w:rPr>
        <w:t>12</w:t>
      </w:r>
      <w:r w:rsidR="00666124" w:rsidRPr="005E2FE4">
        <w:t xml:space="preserve"> (0.807, 0.109 and pooled 0.458). In tomato, T</w:t>
      </w:r>
      <w:r w:rsidR="00666124" w:rsidRPr="005E2FE4">
        <w:rPr>
          <w:vertAlign w:val="subscript"/>
        </w:rPr>
        <w:t>10</w:t>
      </w:r>
      <w:r w:rsidR="00666124" w:rsidRPr="005E2FE4">
        <w:t xml:space="preserve"> recorded the lowest stem concentrations (0.057, 0.060 and pooled 0.0585), while the highest accumulation was observed in T</w:t>
      </w:r>
      <w:r w:rsidR="00666124" w:rsidRPr="005E2FE4">
        <w:rPr>
          <w:vertAlign w:val="subscript"/>
        </w:rPr>
        <w:t>13</w:t>
      </w:r>
      <w:r w:rsidR="00666124" w:rsidRPr="005E2FE4">
        <w:t xml:space="preserve"> (0.692, 0.098 and pooled 0.395).</w:t>
      </w:r>
      <w:r w:rsidRPr="002449F7">
        <w:t xml:space="preserve"> </w:t>
      </w:r>
      <w:r>
        <w:t xml:space="preserve">Overall, combined organic amendments were more effective than single amendments in reducing Pb accumulation and internal translocation in both crops. Brinjal consistently exhibited higher Pb accumulation than tomato, indicating greater translocation efficiency. These findings demonstrate that integrated organic amendment strategies can significantly mitigate Pb entry into the food chain and offer a practical approach for </w:t>
      </w:r>
      <w:r w:rsidRPr="002449F7">
        <w:rPr>
          <w:rStyle w:val="Strong"/>
          <w:b w:val="0"/>
        </w:rPr>
        <w:t>food safety assurance and sustainable soil testing and management in Pb-contaminated agricultural systems</w:t>
      </w:r>
      <w:r w:rsidRPr="002449F7">
        <w:rPr>
          <w:b/>
        </w:rPr>
        <w:t>.</w:t>
      </w:r>
    </w:p>
    <w:p w:rsidR="00FD5A7D" w:rsidRPr="005E2FE4" w:rsidRDefault="00234C1F" w:rsidP="005F43CF">
      <w:pPr>
        <w:spacing w:after="0" w:line="240" w:lineRule="auto"/>
        <w:jc w:val="both"/>
        <w:rPr>
          <w:rFonts w:ascii="Times New Roman" w:hAnsi="Times New Roman" w:cs="Times New Roman"/>
          <w:sz w:val="24"/>
          <w:szCs w:val="24"/>
        </w:rPr>
      </w:pPr>
      <w:r w:rsidRPr="005E2FE4">
        <w:rPr>
          <w:rFonts w:ascii="Times New Roman" w:hAnsi="Times New Roman" w:cs="Times New Roman"/>
          <w:sz w:val="24"/>
          <w:szCs w:val="24"/>
        </w:rPr>
        <w:t xml:space="preserve">Keywords: </w:t>
      </w:r>
      <w:r w:rsidR="00A40CA8" w:rsidRPr="005E2FE4">
        <w:rPr>
          <w:rFonts w:ascii="Times New Roman" w:hAnsi="Times New Roman" w:cs="Times New Roman"/>
          <w:sz w:val="24"/>
          <w:szCs w:val="24"/>
        </w:rPr>
        <w:t>Brinjal, Heavy metal contamination, Organ</w:t>
      </w:r>
      <w:r w:rsidR="007479C8" w:rsidRPr="005E2FE4">
        <w:rPr>
          <w:rFonts w:ascii="Times New Roman" w:hAnsi="Times New Roman" w:cs="Times New Roman"/>
          <w:sz w:val="24"/>
          <w:szCs w:val="24"/>
        </w:rPr>
        <w:t>ic amendments, Phytoremediation and</w:t>
      </w:r>
      <w:r w:rsidR="00A40CA8" w:rsidRPr="005E2FE4">
        <w:rPr>
          <w:rFonts w:ascii="Times New Roman" w:hAnsi="Times New Roman" w:cs="Times New Roman"/>
          <w:sz w:val="24"/>
          <w:szCs w:val="24"/>
        </w:rPr>
        <w:t xml:space="preserve"> Tomato.</w:t>
      </w:r>
    </w:p>
    <w:p w:rsidR="00A40CA8" w:rsidRPr="005E2FE4" w:rsidRDefault="00A40CA8" w:rsidP="005F43CF">
      <w:pPr>
        <w:spacing w:after="0" w:line="240" w:lineRule="auto"/>
        <w:jc w:val="both"/>
        <w:rPr>
          <w:rFonts w:ascii="Times New Roman" w:eastAsia="Times New Roman" w:hAnsi="Times New Roman" w:cs="Times New Roman"/>
          <w:b/>
          <w:bCs/>
          <w:sz w:val="24"/>
          <w:szCs w:val="24"/>
        </w:rPr>
      </w:pPr>
    </w:p>
    <w:p w:rsidR="0022029A" w:rsidRPr="005E2FE4" w:rsidRDefault="009510D7" w:rsidP="005F43CF">
      <w:pPr>
        <w:spacing w:after="0" w:line="240" w:lineRule="auto"/>
        <w:jc w:val="both"/>
        <w:outlineLvl w:val="1"/>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INTRODUCTION</w:t>
      </w:r>
    </w:p>
    <w:p w:rsidR="005627BA" w:rsidRPr="005E2FE4" w:rsidRDefault="005627BA" w:rsidP="005F43CF">
      <w:pPr>
        <w:pStyle w:val="NormalWeb"/>
        <w:spacing w:before="0" w:beforeAutospacing="0" w:after="0" w:afterAutospacing="0"/>
        <w:ind w:firstLine="720"/>
        <w:jc w:val="both"/>
      </w:pPr>
      <w:r w:rsidRPr="005E2FE4">
        <w:t>Environmental pollution resulting from rapid industrialization, urbanization, and intensive agricultural practices has become a major global concern</w:t>
      </w:r>
      <w:r w:rsidR="000747BA" w:rsidRPr="005E2FE4">
        <w:t xml:space="preserve"> Liang </w:t>
      </w:r>
      <w:r w:rsidR="000747BA" w:rsidRPr="005E2FE4">
        <w:rPr>
          <w:i/>
        </w:rPr>
        <w:t>et al</w:t>
      </w:r>
      <w:r w:rsidRPr="005E2FE4">
        <w:t>.</w:t>
      </w:r>
      <w:r w:rsidR="000747BA" w:rsidRPr="005E2FE4">
        <w:t>, (2019).</w:t>
      </w:r>
      <w:r w:rsidRPr="005E2FE4">
        <w:t xml:space="preserve"> Among various pollutants, heavy metals and other toxic contaminants persist in soil and water ecosystems, posing serious risks to human health, food safety, and environmental sustainability. Conventional remediation techniques such as excavation, soil washing, and chemical treatments are often expensive, environmentally disruptive, and impractical for large-scale applications</w:t>
      </w:r>
      <w:r w:rsidR="00AA2635" w:rsidRPr="005E2FE4">
        <w:t xml:space="preserve"> Liu </w:t>
      </w:r>
      <w:r w:rsidR="00AA2635" w:rsidRPr="005E2FE4">
        <w:rPr>
          <w:i/>
        </w:rPr>
        <w:t>et al</w:t>
      </w:r>
      <w:r w:rsidR="00AA2635" w:rsidRPr="005E2FE4">
        <w:t>., (2018)</w:t>
      </w:r>
      <w:r w:rsidRPr="005E2FE4">
        <w:t>. As a result, eco-friendly and cost-effective alternatives are increasingly being explored.</w:t>
      </w:r>
    </w:p>
    <w:p w:rsidR="00A954B3" w:rsidRPr="005E2FE4" w:rsidRDefault="005627BA" w:rsidP="005F43CF">
      <w:pPr>
        <w:pStyle w:val="NormalWeb"/>
        <w:spacing w:before="0" w:beforeAutospacing="0" w:after="0" w:afterAutospacing="0"/>
        <w:ind w:firstLine="720"/>
        <w:jc w:val="both"/>
      </w:pPr>
      <w:r w:rsidRPr="005E2FE4">
        <w:t>Phytoremediation is an emerging green technology that utilizes plants to remove, stabilize, or detoxify contaminants from polluted environments</w:t>
      </w:r>
      <w:r w:rsidR="00AA2635" w:rsidRPr="005E2FE4">
        <w:t xml:space="preserve"> Sharma </w:t>
      </w:r>
      <w:r w:rsidR="00AA2635" w:rsidRPr="005E2FE4">
        <w:rPr>
          <w:i/>
        </w:rPr>
        <w:t>et al</w:t>
      </w:r>
      <w:r w:rsidR="00AA2635" w:rsidRPr="005E2FE4">
        <w:t>., (2023)</w:t>
      </w:r>
      <w:r w:rsidRPr="005E2FE4">
        <w:t>. This approach offers several advantages, including low cost, minimal environmental disturbance, aesthetic benefits, and potential for large-scale application</w:t>
      </w:r>
      <w:r w:rsidR="00525F49" w:rsidRPr="005E2FE4">
        <w:rPr>
          <w:shd w:val="clear" w:color="auto" w:fill="FFFFFF"/>
        </w:rPr>
        <w:t>Bramsiepe</w:t>
      </w:r>
      <w:r w:rsidR="00525F49" w:rsidRPr="005E2FE4">
        <w:rPr>
          <w:i/>
        </w:rPr>
        <w:t>et al</w:t>
      </w:r>
      <w:r w:rsidR="00525F49" w:rsidRPr="005E2FE4">
        <w:t>., (2023)</w:t>
      </w:r>
      <w:r w:rsidRPr="005E2FE4">
        <w:t>. Different plant species exhibit varying capacities for contaminant uptake, accumulation, and tolerance, making the selection of suitable crops a critical factor in phytoremediation studies.Brinjal (</w:t>
      </w:r>
      <w:r w:rsidRPr="005E2FE4">
        <w:rPr>
          <w:rStyle w:val="Emphasis"/>
        </w:rPr>
        <w:t>Solanum melongena L.</w:t>
      </w:r>
      <w:r w:rsidRPr="005E2FE4">
        <w:t>) and tomato (</w:t>
      </w:r>
      <w:r w:rsidRPr="005E2FE4">
        <w:rPr>
          <w:rStyle w:val="Emphasis"/>
        </w:rPr>
        <w:t>Solanum lycopersicum L.</w:t>
      </w:r>
      <w:r w:rsidRPr="005E2FE4">
        <w:t xml:space="preserve">) are widely cultivated vegetable crops with high biomass production and well-developed root systems. </w:t>
      </w:r>
      <w:r w:rsidRPr="005E2FE4">
        <w:lastRenderedPageBreak/>
        <w:t>Their adaptability to diverse agro-climatic conditions and fast growth rates make them promising candidates for phytoremediation research</w:t>
      </w:r>
      <w:r w:rsidR="00584F6A">
        <w:t xml:space="preserve"> </w:t>
      </w:r>
      <w:r w:rsidR="00150600" w:rsidRPr="005E2FE4">
        <w:rPr>
          <w:shd w:val="clear" w:color="auto" w:fill="FFFFFF"/>
        </w:rPr>
        <w:t>Al-Lahham</w:t>
      </w:r>
      <w:r w:rsidR="00584F6A">
        <w:rPr>
          <w:shd w:val="clear" w:color="auto" w:fill="FFFFFF"/>
        </w:rPr>
        <w:t xml:space="preserve"> </w:t>
      </w:r>
      <w:r w:rsidR="00F02DF0" w:rsidRPr="005E2FE4">
        <w:rPr>
          <w:i/>
        </w:rPr>
        <w:t>et al</w:t>
      </w:r>
      <w:r w:rsidR="00F02DF0" w:rsidRPr="005E2FE4">
        <w:t>., (</w:t>
      </w:r>
      <w:r w:rsidR="00150600" w:rsidRPr="005E2FE4">
        <w:t>2007</w:t>
      </w:r>
      <w:r w:rsidR="00F02DF0" w:rsidRPr="005E2FE4">
        <w:t>)</w:t>
      </w:r>
      <w:r w:rsidRPr="005E2FE4">
        <w:t>. Moreover, as commonly consumed food crops, understanding their ability to accumulate pollutants is essential for assessing potential health risks and ensuring food safety</w:t>
      </w:r>
      <w:r w:rsidR="00413A8D" w:rsidRPr="005E2FE4">
        <w:t xml:space="preserve">, </w:t>
      </w:r>
      <w:r w:rsidR="00985A48" w:rsidRPr="005E2FE4">
        <w:t>(</w:t>
      </w:r>
      <w:r w:rsidR="00413A8D" w:rsidRPr="005E2FE4">
        <w:rPr>
          <w:shd w:val="clear" w:color="auto" w:fill="FFFFFF"/>
        </w:rPr>
        <w:t>Leblebici and Kar,</w:t>
      </w:r>
      <w:r w:rsidR="00413A8D" w:rsidRPr="005E2FE4">
        <w:t>2018)</w:t>
      </w:r>
      <w:r w:rsidRPr="005E2FE4">
        <w:t>.</w:t>
      </w:r>
    </w:p>
    <w:p w:rsidR="00C72908" w:rsidRPr="005E2FE4" w:rsidRDefault="009A7994" w:rsidP="005F43CF">
      <w:pPr>
        <w:pStyle w:val="NormalWeb"/>
        <w:spacing w:before="0" w:beforeAutospacing="0" w:after="0" w:afterAutospacing="0"/>
        <w:ind w:firstLine="720"/>
        <w:jc w:val="both"/>
      </w:pPr>
      <w:r w:rsidRPr="005E2FE4">
        <w:t>Organic amendments such as farmyard manure (FYM), compost derived from kitchen waste, and vermicompost are widely acknowledged for their role in improving and restoring soil health (</w:t>
      </w:r>
      <w:r w:rsidR="00150600" w:rsidRPr="005E2FE4">
        <w:rPr>
          <w:shd w:val="clear" w:color="auto" w:fill="FFFFFF"/>
        </w:rPr>
        <w:t>Birghila</w:t>
      </w:r>
      <w:r w:rsidR="00114019">
        <w:rPr>
          <w:shd w:val="clear" w:color="auto" w:fill="FFFFFF"/>
        </w:rPr>
        <w:t xml:space="preserve"> </w:t>
      </w:r>
      <w:r w:rsidRPr="005E2FE4">
        <w:rPr>
          <w:i/>
        </w:rPr>
        <w:t>et al.,</w:t>
      </w:r>
      <w:r w:rsidR="00150600" w:rsidRPr="005E2FE4">
        <w:t xml:space="preserve"> 2023</w:t>
      </w:r>
      <w:r w:rsidRPr="005E2FE4">
        <w:t>). These materials enhance soil organic carbon levels, which in turn improve soil structure, water-holding capacity, and microbial activity (</w:t>
      </w:r>
      <w:r w:rsidR="00150600" w:rsidRPr="005E2FE4">
        <w:t>Cobb</w:t>
      </w:r>
      <w:r w:rsidR="00114019">
        <w:t xml:space="preserve"> </w:t>
      </w:r>
      <w:r w:rsidRPr="005E2FE4">
        <w:rPr>
          <w:i/>
        </w:rPr>
        <w:t>et al.,</w:t>
      </w:r>
      <w:r w:rsidR="00150600" w:rsidRPr="005E2FE4">
        <w:t xml:space="preserve"> 2000</w:t>
      </w:r>
      <w:r w:rsidRPr="005E2FE4">
        <w:t>). They also help moderate soil pH toward neutral conditions, thereby minimizing the negative impacts of extreme acidity or alkalinity (</w:t>
      </w:r>
      <w:r w:rsidR="004E7893" w:rsidRPr="005E2FE4">
        <w:rPr>
          <w:shd w:val="clear" w:color="auto" w:fill="FFFFFF"/>
        </w:rPr>
        <w:t>Bramsiepe</w:t>
      </w:r>
      <w:r w:rsidR="00114019">
        <w:rPr>
          <w:shd w:val="clear" w:color="auto" w:fill="FFFFFF"/>
        </w:rPr>
        <w:t xml:space="preserve"> </w:t>
      </w:r>
      <w:r w:rsidR="004E7893" w:rsidRPr="005E2FE4">
        <w:rPr>
          <w:i/>
        </w:rPr>
        <w:t>et al.,</w:t>
      </w:r>
      <w:r w:rsidR="004E7893" w:rsidRPr="005E2FE4">
        <w:t xml:space="preserve"> 2000</w:t>
      </w:r>
      <w:r w:rsidR="00C80E14" w:rsidRPr="005E2FE4">
        <w:t xml:space="preserve">; </w:t>
      </w:r>
      <w:r w:rsidR="00C80E14" w:rsidRPr="005E2FE4">
        <w:rPr>
          <w:shd w:val="clear" w:color="auto" w:fill="FFFFFF"/>
        </w:rPr>
        <w:t>Liang and Wang, 2019</w:t>
      </w:r>
      <w:r w:rsidR="00FA34E2" w:rsidRPr="005E2FE4">
        <w:t>).</w:t>
      </w:r>
      <w:r w:rsidRPr="005E2FE4">
        <w:t>Additionally, organic amendments lower electrical conductivity by diluting soluble salts, leading to better nutrient availability for plants (</w:t>
      </w:r>
      <w:r w:rsidR="00FA34E2" w:rsidRPr="005E2FE4">
        <w:rPr>
          <w:shd w:val="clear" w:color="auto" w:fill="FFFFFF"/>
        </w:rPr>
        <w:t>Esther</w:t>
      </w:r>
      <w:r w:rsidR="00114019">
        <w:rPr>
          <w:shd w:val="clear" w:color="auto" w:fill="FFFFFF"/>
        </w:rPr>
        <w:t xml:space="preserve"> </w:t>
      </w:r>
      <w:r w:rsidR="00FA34E2" w:rsidRPr="005E2FE4">
        <w:rPr>
          <w:i/>
        </w:rPr>
        <w:t>et al.,</w:t>
      </w:r>
      <w:r w:rsidR="00FA34E2" w:rsidRPr="005E2FE4">
        <w:t xml:space="preserve"> 2023</w:t>
      </w:r>
      <w:r w:rsidRPr="005E2FE4">
        <w:t>). By supplying nutrients in a slow-release form, they promote sustained plant growth over extended periods (Shaji</w:t>
      </w:r>
      <w:r w:rsidR="00114019">
        <w:t xml:space="preserve"> </w:t>
      </w:r>
      <w:r w:rsidRPr="005E2FE4">
        <w:rPr>
          <w:i/>
        </w:rPr>
        <w:t>et al.,</w:t>
      </w:r>
      <w:r w:rsidRPr="005E2FE4">
        <w:t xml:space="preserve"> 2021). In polluted soils, these amendments not only improve fertility but also contribute to the stabilization or breakdown of contaminants, reducing their bioavailability (Lwin </w:t>
      </w:r>
      <w:r w:rsidRPr="005E2FE4">
        <w:rPr>
          <w:i/>
        </w:rPr>
        <w:t>et al.,</w:t>
      </w:r>
      <w:r w:rsidRPr="005E2FE4">
        <w:t xml:space="preserve"> 2018). Applying a combination of different organic amendments often results in synergistic benefits, producing greater improvements in soil quality than the use of individual amendments alone (</w:t>
      </w:r>
      <w:r w:rsidR="0031612C" w:rsidRPr="005E2FE4">
        <w:rPr>
          <w:shd w:val="clear" w:color="auto" w:fill="FFFFFF"/>
        </w:rPr>
        <w:t>Fatoba</w:t>
      </w:r>
      <w:r w:rsidR="00114019">
        <w:rPr>
          <w:shd w:val="clear" w:color="auto" w:fill="FFFFFF"/>
        </w:rPr>
        <w:t xml:space="preserve"> </w:t>
      </w:r>
      <w:r w:rsidRPr="005E2FE4">
        <w:rPr>
          <w:i/>
        </w:rPr>
        <w:t>et al.,</w:t>
      </w:r>
      <w:r w:rsidR="0031612C" w:rsidRPr="005E2FE4">
        <w:t xml:space="preserve"> 2012</w:t>
      </w:r>
      <w:r w:rsidRPr="005E2FE4">
        <w:t>).</w:t>
      </w:r>
    </w:p>
    <w:p w:rsidR="009A7994" w:rsidRPr="005E2FE4" w:rsidRDefault="009A7994" w:rsidP="005F43CF">
      <w:pPr>
        <w:pStyle w:val="NormalWeb"/>
        <w:spacing w:before="0" w:beforeAutospacing="0" w:after="0" w:afterAutospacing="0"/>
        <w:ind w:firstLine="720"/>
        <w:jc w:val="both"/>
      </w:pPr>
      <w:r w:rsidRPr="005E2FE4">
        <w:t>Bachaoli</w:t>
      </w:r>
      <w:r w:rsidR="00FB4506">
        <w:t xml:space="preserve"> </w:t>
      </w:r>
      <w:r w:rsidRPr="005E2FE4">
        <w:t>Bujurg, similar to many agricultural areas, is experiencing issues related to soil contamination and declining fertility (</w:t>
      </w:r>
      <w:r w:rsidR="00A86D2D" w:rsidRPr="005E2FE4">
        <w:t xml:space="preserve">Hashem </w:t>
      </w:r>
      <w:r w:rsidR="00A86D2D" w:rsidRPr="005E2FE4">
        <w:rPr>
          <w:i/>
        </w:rPr>
        <w:t>et al.,</w:t>
      </w:r>
      <w:r w:rsidR="00D460DA" w:rsidRPr="005E2FE4">
        <w:t xml:space="preserve"> 2018</w:t>
      </w:r>
      <w:r w:rsidRPr="005E2FE4">
        <w:t>). This highlights the need to assess sustainable and environmentally friendly approaches for restoring soil quality and ensuring long-term agricultural productivity (</w:t>
      </w:r>
      <w:r w:rsidR="00D460DA" w:rsidRPr="005E2FE4">
        <w:t xml:space="preserve">Sharma </w:t>
      </w:r>
      <w:r w:rsidR="00D460DA" w:rsidRPr="005E2FE4">
        <w:rPr>
          <w:i/>
        </w:rPr>
        <w:t>et al.,</w:t>
      </w:r>
      <w:r w:rsidR="00D460DA" w:rsidRPr="005E2FE4">
        <w:t>2023</w:t>
      </w:r>
      <w:r w:rsidRPr="005E2FE4">
        <w:t>). Physicochemical analysis of soil before and after the application of organic amendments offers important insights into how these materials influence soil characteristics (</w:t>
      </w:r>
      <w:r w:rsidR="00413A8D" w:rsidRPr="005E2FE4">
        <w:rPr>
          <w:shd w:val="clear" w:color="auto" w:fill="FFFFFF"/>
        </w:rPr>
        <w:t>Al-Lahham</w:t>
      </w:r>
      <w:r w:rsidRPr="005E2FE4">
        <w:rPr>
          <w:i/>
        </w:rPr>
        <w:t>et al.,</w:t>
      </w:r>
      <w:r w:rsidR="00413A8D" w:rsidRPr="005E2FE4">
        <w:t xml:space="preserve"> 2007; </w:t>
      </w:r>
      <w:r w:rsidR="00413A8D" w:rsidRPr="005E2FE4">
        <w:rPr>
          <w:shd w:val="clear" w:color="auto" w:fill="FFFFFF"/>
        </w:rPr>
        <w:t>Murtic</w:t>
      </w:r>
      <w:r w:rsidR="00413A8D" w:rsidRPr="005E2FE4">
        <w:rPr>
          <w:i/>
        </w:rPr>
        <w:t xml:space="preserve"> et al.,</w:t>
      </w:r>
      <w:r w:rsidR="00413A8D" w:rsidRPr="005E2FE4">
        <w:t>2018; Sharma, 2023</w:t>
      </w:r>
      <w:r w:rsidRPr="005E2FE4">
        <w:t xml:space="preserve">). </w:t>
      </w:r>
    </w:p>
    <w:p w:rsidR="00CD10A1" w:rsidRPr="005E2FE4" w:rsidRDefault="00CD10A1" w:rsidP="005F43CF">
      <w:pPr>
        <w:pStyle w:val="NormalWeb"/>
        <w:spacing w:before="0" w:beforeAutospacing="0" w:after="0" w:afterAutospacing="0"/>
        <w:ind w:firstLine="720"/>
        <w:jc w:val="both"/>
      </w:pPr>
      <w:r w:rsidRPr="005E2FE4">
        <w:t xml:space="preserve"> The present study focuses on evaluating the phytoremediation potential of brinjal and tomato plants grown under </w:t>
      </w:r>
      <w:r w:rsidR="00FB4506">
        <w:t xml:space="preserve">lead (Pb) </w:t>
      </w:r>
      <w:r w:rsidRPr="005E2FE4">
        <w:t>contaminated conditions</w:t>
      </w:r>
      <w:r w:rsidR="00945820">
        <w:t xml:space="preserve"> </w:t>
      </w:r>
      <w:r w:rsidR="00945820" w:rsidRPr="005E2FE4">
        <w:t>at Bachaoli</w:t>
      </w:r>
      <w:r w:rsidR="005A4BC8">
        <w:t xml:space="preserve"> </w:t>
      </w:r>
      <w:r w:rsidR="00945820" w:rsidRPr="005E2FE4">
        <w:t>Bujurg,</w:t>
      </w:r>
      <w:r w:rsidR="005A4BC8">
        <w:t xml:space="preserve"> nearby </w:t>
      </w:r>
      <w:r w:rsidR="00945820" w:rsidRPr="005E2FE4">
        <w:t>Jhansi</w:t>
      </w:r>
      <w:r w:rsidRPr="005E2FE4">
        <w:t>. By examining their growth performance, tolerance levels, and contaminant uptake and accumulation patterns, this research aims to assess their suitability for use in phytoremediation strategies. The findings of this study are expected to contribute to the development of sustainable remediation approaches and provide insights into the safe cultivation of vegetable crops in polluted environments.</w:t>
      </w:r>
    </w:p>
    <w:p w:rsidR="00503A5B" w:rsidRPr="005E2FE4" w:rsidRDefault="00503A5B" w:rsidP="005F43CF">
      <w:pPr>
        <w:pStyle w:val="NormalWeb"/>
        <w:spacing w:before="0" w:beforeAutospacing="0" w:after="0" w:afterAutospacing="0"/>
        <w:ind w:firstLine="720"/>
        <w:jc w:val="both"/>
      </w:pPr>
    </w:p>
    <w:p w:rsidR="00985ACC" w:rsidRPr="005E2FE4" w:rsidRDefault="00985ACC" w:rsidP="005F43CF">
      <w:pPr>
        <w:spacing w:after="0" w:line="240" w:lineRule="auto"/>
        <w:ind w:firstLine="720"/>
        <w:jc w:val="both"/>
        <w:rPr>
          <w:rFonts w:ascii="Times New Roman" w:hAnsi="Times New Roman" w:cs="Times New Roman"/>
          <w:sz w:val="24"/>
          <w:szCs w:val="24"/>
        </w:rPr>
      </w:pPr>
    </w:p>
    <w:p w:rsidR="00986D89" w:rsidRPr="005E2FE4" w:rsidRDefault="0074722F" w:rsidP="005F43CF">
      <w:pPr>
        <w:spacing w:after="0" w:line="240" w:lineRule="auto"/>
        <w:jc w:val="both"/>
        <w:outlineLvl w:val="1"/>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MATERIALS AND METHODS</w:t>
      </w:r>
    </w:p>
    <w:p w:rsidR="003263F2" w:rsidRPr="00114019" w:rsidRDefault="0087517D" w:rsidP="005F43CF">
      <w:pPr>
        <w:spacing w:after="0"/>
        <w:ind w:firstLine="720"/>
        <w:jc w:val="both"/>
        <w:rPr>
          <w:rFonts w:ascii="Times New Roman" w:hAnsi="Times New Roman" w:cs="Times New Roman"/>
          <w:sz w:val="24"/>
          <w:szCs w:val="24"/>
        </w:rPr>
      </w:pPr>
      <w:r w:rsidRPr="005E2FE4">
        <w:rPr>
          <w:rFonts w:ascii="Times New Roman" w:hAnsi="Times New Roman" w:cs="Times New Roman"/>
          <w:sz w:val="24"/>
          <w:szCs w:val="24"/>
        </w:rPr>
        <w:t>The study,</w:t>
      </w:r>
      <w:r w:rsidRPr="005E2FE4">
        <w:rPr>
          <w:rStyle w:val="Emphasis"/>
          <w:rFonts w:ascii="Times New Roman" w:hAnsi="Times New Roman" w:cs="Times New Roman"/>
          <w:sz w:val="24"/>
          <w:szCs w:val="24"/>
        </w:rPr>
        <w:t>“</w:t>
      </w:r>
      <w:r w:rsidR="00761655" w:rsidRPr="005E2FE4">
        <w:rPr>
          <w:rFonts w:ascii="Times New Roman" w:hAnsi="Times New Roman" w:cs="Times New Roman"/>
          <w:sz w:val="24"/>
          <w:szCs w:val="24"/>
        </w:rPr>
        <w:t>Heavy metals accumulation in brinjal and tomato under BachaoliBujurg region of Jhansi</w:t>
      </w:r>
      <w:r w:rsidRPr="005E2FE4">
        <w:rPr>
          <w:rStyle w:val="Emphasis"/>
          <w:rFonts w:ascii="Times New Roman" w:hAnsi="Times New Roman" w:cs="Times New Roman"/>
          <w:sz w:val="24"/>
          <w:szCs w:val="24"/>
        </w:rPr>
        <w:t>”</w:t>
      </w:r>
      <w:r w:rsidRPr="005E2FE4">
        <w:rPr>
          <w:rFonts w:ascii="Times New Roman" w:hAnsi="Times New Roman" w:cs="Times New Roman"/>
          <w:sz w:val="24"/>
          <w:szCs w:val="24"/>
        </w:rPr>
        <w:t>was conducted at the Institute of Environment and Development Studies, Bundelkhand University</w:t>
      </w:r>
      <w:r w:rsidR="00386F55" w:rsidRPr="005E2FE4">
        <w:rPr>
          <w:rFonts w:ascii="Times New Roman" w:hAnsi="Times New Roman" w:cs="Times New Roman"/>
          <w:sz w:val="24"/>
          <w:szCs w:val="24"/>
        </w:rPr>
        <w:t>, Jhansi, during the Rabi season (2023–24)</w:t>
      </w:r>
      <w:r w:rsidRPr="005E2FE4">
        <w:rPr>
          <w:rFonts w:ascii="Times New Roman" w:hAnsi="Times New Roman" w:cs="Times New Roman"/>
          <w:sz w:val="24"/>
          <w:szCs w:val="24"/>
        </w:rPr>
        <w:t>.</w:t>
      </w:r>
      <w:r w:rsidR="00D75A0A" w:rsidRPr="005E2FE4">
        <w:rPr>
          <w:rFonts w:ascii="Times New Roman" w:hAnsi="Times New Roman" w:cs="Times New Roman"/>
          <w:sz w:val="24"/>
          <w:szCs w:val="24"/>
        </w:rPr>
        <w:t xml:space="preserve"> The experiment was conducted using a Completely Randomized Design (CRD) with 13 treatments and 3 replications, totaling 39 pots. Pots measured 2 ft × 1 ft × 1 ft, with a net plot size of 0.16 m² and a gross pot area of 0.36 m², making the total experimental area 14.04 m². Spacing included 1.0 m between replications, 0.5 m between pots, and 0.5 m between rows per pot. Each pot contained 4 plants, with a seed rate of 1.01 g per pot and a planting distance of 60 × 60 cm.</w:t>
      </w:r>
      <w:r w:rsidRPr="005E2FE4">
        <w:rPr>
          <w:rFonts w:ascii="Times New Roman" w:hAnsi="Times New Roman" w:cs="Times New Roman"/>
          <w:sz w:val="24"/>
          <w:szCs w:val="24"/>
        </w:rPr>
        <w:t xml:space="preserve"> Soil samples (0–15 cm) collected from</w:t>
      </w:r>
      <w:r w:rsidR="004D3E42">
        <w:rPr>
          <w:rFonts w:ascii="Times New Roman" w:hAnsi="Times New Roman" w:cs="Times New Roman"/>
          <w:sz w:val="24"/>
          <w:szCs w:val="24"/>
        </w:rPr>
        <w:t xml:space="preserve"> </w:t>
      </w:r>
      <w:r w:rsidR="009240FD" w:rsidRPr="005E2FE4">
        <w:rPr>
          <w:rFonts w:ascii="Times New Roman" w:hAnsi="Times New Roman" w:cs="Times New Roman"/>
          <w:sz w:val="24"/>
          <w:szCs w:val="24"/>
        </w:rPr>
        <w:t>location-</w:t>
      </w:r>
      <w:r w:rsidR="00540395" w:rsidRPr="005E2FE4">
        <w:rPr>
          <w:rFonts w:ascii="Times New Roman" w:hAnsi="Times New Roman" w:cs="Times New Roman"/>
          <w:sz w:val="24"/>
          <w:szCs w:val="24"/>
        </w:rPr>
        <w:t>Bachaoli</w:t>
      </w:r>
      <w:r w:rsidR="004D3E42">
        <w:rPr>
          <w:rFonts w:ascii="Times New Roman" w:hAnsi="Times New Roman" w:cs="Times New Roman"/>
          <w:sz w:val="24"/>
          <w:szCs w:val="24"/>
        </w:rPr>
        <w:t xml:space="preserve"> </w:t>
      </w:r>
      <w:r w:rsidR="00540395" w:rsidRPr="005E2FE4">
        <w:rPr>
          <w:rFonts w:ascii="Times New Roman" w:hAnsi="Times New Roman" w:cs="Times New Roman"/>
          <w:sz w:val="24"/>
          <w:szCs w:val="24"/>
        </w:rPr>
        <w:t>Bujurg</w:t>
      </w:r>
      <w:r w:rsidR="009240FD" w:rsidRPr="005E2FE4">
        <w:rPr>
          <w:rFonts w:ascii="Times New Roman" w:hAnsi="Times New Roman" w:cs="Times New Roman"/>
          <w:sz w:val="24"/>
          <w:szCs w:val="24"/>
        </w:rPr>
        <w:t>, taken into labeled zippered polyethylene (PE) bags to prevent them from further contamination and immediately taken to the laboratory for further analysis. The soil samples were dried in air at room temperature to attain a constant weight and ground usin</w:t>
      </w:r>
      <w:r w:rsidR="004D3E42">
        <w:rPr>
          <w:rFonts w:ascii="Times New Roman" w:hAnsi="Times New Roman" w:cs="Times New Roman"/>
          <w:sz w:val="24"/>
          <w:szCs w:val="24"/>
        </w:rPr>
        <w:t>g mortar and pestle to obtain f</w:t>
      </w:r>
      <w:r w:rsidR="009240FD" w:rsidRPr="005E2FE4">
        <w:rPr>
          <w:rFonts w:ascii="Times New Roman" w:hAnsi="Times New Roman" w:cs="Times New Roman"/>
          <w:sz w:val="24"/>
          <w:szCs w:val="24"/>
        </w:rPr>
        <w:t xml:space="preserve">ine-textured powder. However, in case of vegetables, the collected edible parts were first cut into small pieces using a pre-cleaned stainless steel knife and then dried in the laboratory oven at 75°C for 3days. The dried </w:t>
      </w:r>
      <w:r w:rsidR="009240FD" w:rsidRPr="005E2FE4">
        <w:rPr>
          <w:rFonts w:ascii="Times New Roman" w:hAnsi="Times New Roman" w:cs="Times New Roman"/>
          <w:sz w:val="24"/>
          <w:szCs w:val="24"/>
        </w:rPr>
        <w:lastRenderedPageBreak/>
        <w:t xml:space="preserve">vegetable </w:t>
      </w:r>
      <w:r w:rsidR="009240FD" w:rsidRPr="00114019">
        <w:rPr>
          <w:rFonts w:ascii="Times New Roman" w:hAnsi="Times New Roman" w:cs="Times New Roman"/>
          <w:sz w:val="24"/>
          <w:szCs w:val="24"/>
        </w:rPr>
        <w:t>samples were uniformly ground using mortar and pestle to fine-textured powder. The grounded fine-textured samples were stored in clean PE bags at room temperature for heavy metals.</w:t>
      </w:r>
      <w:r w:rsidR="00540395" w:rsidRPr="00114019">
        <w:rPr>
          <w:rFonts w:ascii="Times New Roman" w:hAnsi="Times New Roman" w:cs="Times New Roman"/>
          <w:sz w:val="24"/>
          <w:szCs w:val="24"/>
        </w:rPr>
        <w:t xml:space="preserve"> Thissite </w:t>
      </w:r>
      <w:r w:rsidRPr="00114019">
        <w:rPr>
          <w:rFonts w:ascii="Times New Roman" w:hAnsi="Times New Roman" w:cs="Times New Roman"/>
          <w:sz w:val="24"/>
          <w:szCs w:val="24"/>
        </w:rPr>
        <w:t xml:space="preserve">had red-loamy soil, with fine sand (52–56%), silt (23–27%), and clay (20–22%), determined through the international pipette method. Soil reaction was slightly alkaline (pH 7.3–7.7) with EC ranging from 0.44–0.49 dS m⁻¹. Nutrient status indicated available nitrogen (190–202 kg ha⁻¹), phosphorus (4.0–4.6 kg P₂O₅ ha⁻¹), and </w:t>
      </w:r>
      <w:r w:rsidR="009C11CF" w:rsidRPr="00114019">
        <w:rPr>
          <w:rFonts w:ascii="Times New Roman" w:hAnsi="Times New Roman" w:cs="Times New Roman"/>
          <w:sz w:val="24"/>
          <w:szCs w:val="24"/>
        </w:rPr>
        <w:t xml:space="preserve">potassium (175–190 kg K₂O ha⁻¹) </w:t>
      </w:r>
      <w:r w:rsidRPr="00114019">
        <w:rPr>
          <w:rFonts w:ascii="Times New Roman" w:hAnsi="Times New Roman" w:cs="Times New Roman"/>
          <w:sz w:val="24"/>
          <w:szCs w:val="24"/>
        </w:rPr>
        <w:t>assessed through standard laboratory procedures (KMnO₄, Olsen’s, and flame photometry methods)</w:t>
      </w:r>
      <w:r w:rsidR="004F37FE" w:rsidRPr="00114019">
        <w:rPr>
          <w:rFonts w:ascii="Times New Roman" w:hAnsi="Times New Roman" w:cs="Times New Roman"/>
          <w:sz w:val="24"/>
          <w:szCs w:val="24"/>
        </w:rPr>
        <w:t xml:space="preserve"> and (ASTM procedures)</w:t>
      </w:r>
      <w:r w:rsidR="009240FD" w:rsidRPr="00114019">
        <w:rPr>
          <w:rFonts w:ascii="Times New Roman" w:hAnsi="Times New Roman" w:cs="Times New Roman"/>
          <w:sz w:val="24"/>
          <w:szCs w:val="24"/>
        </w:rPr>
        <w:t xml:space="preserve"> and heavy metal deposition lead Pb (mg/kg).  </w:t>
      </w:r>
      <w:r w:rsidR="00114019" w:rsidRPr="00114019">
        <w:rPr>
          <w:rFonts w:ascii="Times New Roman" w:hAnsi="Times New Roman" w:cs="Times New Roman"/>
          <w:sz w:val="24"/>
          <w:szCs w:val="24"/>
        </w:rPr>
        <w:t xml:space="preserve">Soil used in the experiment was collected from a village location with pre-existing lead contamination, where the Pb concentration was around </w:t>
      </w:r>
      <w:r w:rsidR="00114019" w:rsidRPr="00114019">
        <w:rPr>
          <w:rStyle w:val="Strong"/>
          <w:rFonts w:ascii="Times New Roman" w:hAnsi="Times New Roman" w:cs="Times New Roman"/>
          <w:b w:val="0"/>
          <w:sz w:val="24"/>
          <w:szCs w:val="24"/>
        </w:rPr>
        <w:t>100 mg kg⁻¹</w:t>
      </w:r>
      <w:r w:rsidR="00114019" w:rsidRPr="00114019">
        <w:rPr>
          <w:rFonts w:ascii="Times New Roman" w:hAnsi="Times New Roman" w:cs="Times New Roman"/>
          <w:b/>
          <w:sz w:val="24"/>
          <w:szCs w:val="24"/>
        </w:rPr>
        <w:t>.</w:t>
      </w:r>
      <w:r w:rsidR="00114019" w:rsidRPr="00114019">
        <w:rPr>
          <w:rFonts w:ascii="Times New Roman" w:hAnsi="Times New Roman" w:cs="Times New Roman"/>
          <w:sz w:val="24"/>
          <w:szCs w:val="24"/>
        </w:rPr>
        <w:t xml:space="preserve"> The collected soil was air-dried, homogenized, incubated to attain equilibrium, and analyzed using atomic absorption spectrophotometry to confirm the Pb level before planting.</w:t>
      </w:r>
      <w:r w:rsidR="004D3E42" w:rsidRPr="00114019">
        <w:rPr>
          <w:rFonts w:ascii="Times New Roman" w:hAnsi="Times New Roman" w:cs="Times New Roman"/>
          <w:sz w:val="24"/>
          <w:szCs w:val="24"/>
        </w:rPr>
        <w:t xml:space="preserve"> </w:t>
      </w:r>
      <w:r w:rsidR="004C6FC4" w:rsidRPr="00114019">
        <w:rPr>
          <w:rFonts w:ascii="Times New Roman" w:hAnsi="Times New Roman" w:cs="Times New Roman"/>
          <w:sz w:val="24"/>
          <w:szCs w:val="24"/>
        </w:rPr>
        <w:t>were</w:t>
      </w:r>
      <w:r w:rsidR="004D3E42" w:rsidRPr="00114019">
        <w:rPr>
          <w:rFonts w:ascii="Times New Roman" w:hAnsi="Times New Roman" w:cs="Times New Roman"/>
          <w:sz w:val="24"/>
          <w:szCs w:val="24"/>
        </w:rPr>
        <w:t xml:space="preserve"> </w:t>
      </w:r>
      <w:r w:rsidR="004C6FC4" w:rsidRPr="00114019">
        <w:rPr>
          <w:rFonts w:ascii="Times New Roman" w:hAnsi="Times New Roman" w:cs="Times New Roman"/>
          <w:sz w:val="24"/>
          <w:szCs w:val="24"/>
        </w:rPr>
        <w:t>analyzed</w:t>
      </w:r>
      <w:r w:rsidR="004D3E42" w:rsidRPr="00114019">
        <w:rPr>
          <w:rFonts w:ascii="Times New Roman" w:hAnsi="Times New Roman" w:cs="Times New Roman"/>
          <w:sz w:val="24"/>
          <w:szCs w:val="24"/>
        </w:rPr>
        <w:t xml:space="preserve"> </w:t>
      </w:r>
      <w:r w:rsidR="004C6FC4" w:rsidRPr="00114019">
        <w:rPr>
          <w:rFonts w:ascii="Times New Roman" w:hAnsi="Times New Roman" w:cs="Times New Roman"/>
          <w:sz w:val="24"/>
          <w:szCs w:val="24"/>
        </w:rPr>
        <w:t>by atomic absorption spectrometry</w:t>
      </w:r>
      <w:r w:rsidR="004D3E42" w:rsidRPr="00114019">
        <w:rPr>
          <w:rFonts w:ascii="Times New Roman" w:hAnsi="Times New Roman" w:cs="Times New Roman"/>
          <w:sz w:val="24"/>
          <w:szCs w:val="24"/>
        </w:rPr>
        <w:t xml:space="preserve"> </w:t>
      </w:r>
      <w:r w:rsidR="00114019" w:rsidRPr="00114019">
        <w:rPr>
          <w:rFonts w:ascii="Times New Roman" w:hAnsi="Times New Roman" w:cs="Times New Roman"/>
          <w:sz w:val="24"/>
          <w:szCs w:val="24"/>
        </w:rPr>
        <w:t xml:space="preserve">method using Perkin-Elmer </w:t>
      </w:r>
      <w:r w:rsidR="004C6FC4" w:rsidRPr="00114019">
        <w:rPr>
          <w:rFonts w:ascii="Times New Roman" w:hAnsi="Times New Roman" w:cs="Times New Roman"/>
          <w:sz w:val="24"/>
          <w:szCs w:val="24"/>
        </w:rPr>
        <w:t>Analyst 400, USA</w:t>
      </w:r>
      <w:r w:rsidR="00114019" w:rsidRPr="00114019">
        <w:rPr>
          <w:rFonts w:ascii="Times New Roman" w:hAnsi="Times New Roman" w:cs="Times New Roman"/>
          <w:sz w:val="24"/>
          <w:szCs w:val="24"/>
        </w:rPr>
        <w:t xml:space="preserve"> </w:t>
      </w:r>
      <w:r w:rsidR="004C6FC4" w:rsidRPr="00114019">
        <w:rPr>
          <w:rFonts w:ascii="Times New Roman" w:hAnsi="Times New Roman" w:cs="Times New Roman"/>
          <w:sz w:val="24"/>
          <w:szCs w:val="24"/>
        </w:rPr>
        <w:t>model after digestion of samples. The digestion (wet oxidation) process for soil and vegetables samples was done with the help of solution which was prepared</w:t>
      </w:r>
      <w:r w:rsidR="004D3E42" w:rsidRPr="00114019">
        <w:rPr>
          <w:rFonts w:ascii="Times New Roman" w:hAnsi="Times New Roman" w:cs="Times New Roman"/>
          <w:sz w:val="24"/>
          <w:szCs w:val="24"/>
        </w:rPr>
        <w:t xml:space="preserve"> </w:t>
      </w:r>
      <w:r w:rsidR="004C6FC4" w:rsidRPr="00114019">
        <w:rPr>
          <w:rFonts w:ascii="Times New Roman" w:hAnsi="Times New Roman" w:cs="Times New Roman"/>
          <w:sz w:val="24"/>
          <w:szCs w:val="24"/>
        </w:rPr>
        <w:t>by</w:t>
      </w:r>
      <w:r w:rsidR="004D3E42" w:rsidRPr="00114019">
        <w:rPr>
          <w:rFonts w:ascii="Times New Roman" w:hAnsi="Times New Roman" w:cs="Times New Roman"/>
          <w:sz w:val="24"/>
          <w:szCs w:val="24"/>
        </w:rPr>
        <w:t xml:space="preserve"> </w:t>
      </w:r>
      <w:r w:rsidR="004C6FC4" w:rsidRPr="00114019">
        <w:rPr>
          <w:rFonts w:ascii="Times New Roman" w:hAnsi="Times New Roman" w:cs="Times New Roman"/>
          <w:sz w:val="24"/>
          <w:szCs w:val="24"/>
        </w:rPr>
        <w:t>mixing</w:t>
      </w:r>
      <w:r w:rsidR="004D3E42" w:rsidRPr="00114019">
        <w:rPr>
          <w:rFonts w:ascii="Times New Roman" w:hAnsi="Times New Roman" w:cs="Times New Roman"/>
          <w:sz w:val="24"/>
          <w:szCs w:val="24"/>
        </w:rPr>
        <w:t xml:space="preserve"> </w:t>
      </w:r>
      <w:r w:rsidR="004C6FC4" w:rsidRPr="00114019">
        <w:rPr>
          <w:rFonts w:ascii="Times New Roman" w:hAnsi="Times New Roman" w:cs="Times New Roman"/>
          <w:sz w:val="24"/>
          <w:szCs w:val="24"/>
        </w:rPr>
        <w:t>one</w:t>
      </w:r>
      <w:r w:rsidR="004D3E42" w:rsidRPr="00114019">
        <w:rPr>
          <w:rFonts w:ascii="Times New Roman" w:hAnsi="Times New Roman" w:cs="Times New Roman"/>
          <w:sz w:val="24"/>
          <w:szCs w:val="24"/>
        </w:rPr>
        <w:t xml:space="preserve"> </w:t>
      </w:r>
      <w:r w:rsidR="004C6FC4" w:rsidRPr="00114019">
        <w:rPr>
          <w:rFonts w:ascii="Times New Roman" w:hAnsi="Times New Roman" w:cs="Times New Roman"/>
          <w:sz w:val="24"/>
          <w:szCs w:val="24"/>
        </w:rPr>
        <w:t>part of per</w:t>
      </w:r>
      <w:r w:rsidR="004D3E42" w:rsidRPr="00114019">
        <w:rPr>
          <w:rFonts w:ascii="Times New Roman" w:hAnsi="Times New Roman" w:cs="Times New Roman"/>
          <w:sz w:val="24"/>
          <w:szCs w:val="24"/>
        </w:rPr>
        <w:t xml:space="preserve"> </w:t>
      </w:r>
      <w:r w:rsidR="004C6FC4" w:rsidRPr="00114019">
        <w:rPr>
          <w:rFonts w:ascii="Times New Roman" w:hAnsi="Times New Roman" w:cs="Times New Roman"/>
          <w:sz w:val="24"/>
          <w:szCs w:val="24"/>
        </w:rPr>
        <w:t>chloric acid (HClO</w:t>
      </w:r>
      <w:r w:rsidR="004C6FC4" w:rsidRPr="00114019">
        <w:rPr>
          <w:rFonts w:ascii="Times New Roman" w:hAnsi="Times New Roman" w:cs="Times New Roman"/>
          <w:sz w:val="24"/>
          <w:szCs w:val="24"/>
          <w:vertAlign w:val="subscript"/>
        </w:rPr>
        <w:t>4</w:t>
      </w:r>
      <w:r w:rsidR="004C6FC4" w:rsidRPr="00114019">
        <w:rPr>
          <w:rFonts w:ascii="Times New Roman" w:hAnsi="Times New Roman" w:cs="Times New Roman"/>
          <w:sz w:val="24"/>
          <w:szCs w:val="24"/>
        </w:rPr>
        <w:t>) and three</w:t>
      </w:r>
      <w:r w:rsidR="004D3E42" w:rsidRPr="00114019">
        <w:rPr>
          <w:rFonts w:ascii="Times New Roman" w:hAnsi="Times New Roman" w:cs="Times New Roman"/>
          <w:sz w:val="24"/>
          <w:szCs w:val="24"/>
        </w:rPr>
        <w:t xml:space="preserve"> </w:t>
      </w:r>
      <w:r w:rsidR="004C6FC4" w:rsidRPr="00114019">
        <w:rPr>
          <w:rFonts w:ascii="Times New Roman" w:hAnsi="Times New Roman" w:cs="Times New Roman"/>
          <w:sz w:val="24"/>
          <w:szCs w:val="24"/>
        </w:rPr>
        <w:t>part</w:t>
      </w:r>
      <w:r w:rsidR="004D3E42" w:rsidRPr="00114019">
        <w:rPr>
          <w:rFonts w:ascii="Times New Roman" w:hAnsi="Times New Roman" w:cs="Times New Roman"/>
          <w:sz w:val="24"/>
          <w:szCs w:val="24"/>
        </w:rPr>
        <w:t xml:space="preserve"> </w:t>
      </w:r>
      <w:r w:rsidR="004C6FC4" w:rsidRPr="00114019">
        <w:rPr>
          <w:rFonts w:ascii="Times New Roman" w:hAnsi="Times New Roman" w:cs="Times New Roman"/>
          <w:sz w:val="24"/>
          <w:szCs w:val="24"/>
        </w:rPr>
        <w:t>of</w:t>
      </w:r>
      <w:r w:rsidR="004D3E42" w:rsidRPr="00114019">
        <w:rPr>
          <w:rFonts w:ascii="Times New Roman" w:hAnsi="Times New Roman" w:cs="Times New Roman"/>
          <w:sz w:val="24"/>
          <w:szCs w:val="24"/>
        </w:rPr>
        <w:t xml:space="preserve"> </w:t>
      </w:r>
      <w:r w:rsidR="004C6FC4" w:rsidRPr="00114019">
        <w:rPr>
          <w:rFonts w:ascii="Times New Roman" w:hAnsi="Times New Roman" w:cs="Times New Roman"/>
          <w:sz w:val="24"/>
          <w:szCs w:val="24"/>
        </w:rPr>
        <w:t>conc.</w:t>
      </w:r>
      <w:r w:rsidR="004D3E42" w:rsidRPr="00114019">
        <w:rPr>
          <w:rFonts w:ascii="Times New Roman" w:hAnsi="Times New Roman" w:cs="Times New Roman"/>
          <w:sz w:val="24"/>
          <w:szCs w:val="24"/>
        </w:rPr>
        <w:t xml:space="preserve"> </w:t>
      </w:r>
      <w:r w:rsidR="004C6FC4" w:rsidRPr="00114019">
        <w:rPr>
          <w:rFonts w:ascii="Times New Roman" w:hAnsi="Times New Roman" w:cs="Times New Roman"/>
          <w:sz w:val="24"/>
          <w:szCs w:val="24"/>
        </w:rPr>
        <w:t>Nitric</w:t>
      </w:r>
      <w:r w:rsidR="004D3E42" w:rsidRPr="00114019">
        <w:rPr>
          <w:rFonts w:ascii="Times New Roman" w:hAnsi="Times New Roman" w:cs="Times New Roman"/>
          <w:sz w:val="24"/>
          <w:szCs w:val="24"/>
        </w:rPr>
        <w:t xml:space="preserve"> </w:t>
      </w:r>
      <w:r w:rsidR="004C6FC4" w:rsidRPr="00114019">
        <w:rPr>
          <w:rFonts w:ascii="Times New Roman" w:hAnsi="Times New Roman" w:cs="Times New Roman"/>
          <w:sz w:val="24"/>
          <w:szCs w:val="24"/>
        </w:rPr>
        <w:t>acid</w:t>
      </w:r>
      <w:r w:rsidR="004D3E42" w:rsidRPr="00114019">
        <w:rPr>
          <w:rFonts w:ascii="Times New Roman" w:hAnsi="Times New Roman" w:cs="Times New Roman"/>
          <w:sz w:val="24"/>
          <w:szCs w:val="24"/>
        </w:rPr>
        <w:t xml:space="preserve"> </w:t>
      </w:r>
      <w:r w:rsidR="004C6FC4" w:rsidRPr="00114019">
        <w:rPr>
          <w:rFonts w:ascii="Times New Roman" w:hAnsi="Times New Roman" w:cs="Times New Roman"/>
          <w:sz w:val="24"/>
          <w:szCs w:val="24"/>
        </w:rPr>
        <w:t>(HNO</w:t>
      </w:r>
      <w:r w:rsidR="004C6FC4" w:rsidRPr="00114019">
        <w:rPr>
          <w:rFonts w:ascii="Times New Roman" w:hAnsi="Times New Roman" w:cs="Times New Roman"/>
          <w:sz w:val="24"/>
          <w:szCs w:val="24"/>
          <w:vertAlign w:val="subscript"/>
        </w:rPr>
        <w:t>3</w:t>
      </w:r>
      <w:r w:rsidR="004C6FC4" w:rsidRPr="00114019">
        <w:rPr>
          <w:rFonts w:ascii="Times New Roman" w:hAnsi="Times New Roman" w:cs="Times New Roman"/>
          <w:sz w:val="24"/>
          <w:szCs w:val="24"/>
        </w:rPr>
        <w:t>)</w:t>
      </w:r>
      <w:r w:rsidR="004D3E42" w:rsidRPr="00114019">
        <w:rPr>
          <w:rFonts w:ascii="Times New Roman" w:hAnsi="Times New Roman" w:cs="Times New Roman"/>
          <w:sz w:val="24"/>
          <w:szCs w:val="24"/>
        </w:rPr>
        <w:t xml:space="preserve"> as per </w:t>
      </w:r>
      <w:r w:rsidR="00393B1C" w:rsidRPr="00114019">
        <w:rPr>
          <w:rFonts w:ascii="Times New Roman" w:hAnsi="Times New Roman" w:cs="Times New Roman"/>
          <w:sz w:val="24"/>
          <w:szCs w:val="24"/>
        </w:rPr>
        <w:t>(Gupta</w:t>
      </w:r>
      <w:r w:rsidR="004D3E42" w:rsidRPr="00114019">
        <w:rPr>
          <w:rFonts w:ascii="Times New Roman" w:hAnsi="Times New Roman" w:cs="Times New Roman"/>
          <w:sz w:val="24"/>
          <w:szCs w:val="24"/>
        </w:rPr>
        <w:t xml:space="preserve"> </w:t>
      </w:r>
      <w:r w:rsidR="004C6FC4" w:rsidRPr="00114019">
        <w:rPr>
          <w:rFonts w:ascii="Times New Roman" w:hAnsi="Times New Roman" w:cs="Times New Roman"/>
          <w:i/>
          <w:sz w:val="24"/>
          <w:szCs w:val="24"/>
        </w:rPr>
        <w:t>etal</w:t>
      </w:r>
      <w:r w:rsidR="00393B1C" w:rsidRPr="00114019">
        <w:rPr>
          <w:rFonts w:ascii="Times New Roman" w:hAnsi="Times New Roman" w:cs="Times New Roman"/>
          <w:sz w:val="24"/>
          <w:szCs w:val="24"/>
        </w:rPr>
        <w:t>.,2019</w:t>
      </w:r>
      <w:r w:rsidR="00E3262D" w:rsidRPr="00114019">
        <w:rPr>
          <w:rFonts w:ascii="Times New Roman" w:hAnsi="Times New Roman" w:cs="Times New Roman"/>
          <w:sz w:val="24"/>
          <w:szCs w:val="24"/>
        </w:rPr>
        <w:t>).</w:t>
      </w:r>
    </w:p>
    <w:p w:rsidR="000D3EA5" w:rsidRPr="005E2FE4" w:rsidRDefault="000D3EA5" w:rsidP="005F43CF">
      <w:pPr>
        <w:spacing w:after="0" w:line="240" w:lineRule="auto"/>
        <w:jc w:val="both"/>
        <w:outlineLvl w:val="1"/>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RESULTS AND DISCUSSION</w:t>
      </w:r>
    </w:p>
    <w:p w:rsidR="00FA43AB" w:rsidRPr="005E2FE4" w:rsidRDefault="008A6624" w:rsidP="005F43CF">
      <w:pPr>
        <w:pStyle w:val="NormalWeb"/>
        <w:spacing w:before="0" w:beforeAutospacing="0" w:after="0" w:afterAutospacing="0"/>
        <w:jc w:val="both"/>
      </w:pPr>
      <w:r w:rsidRPr="005E2FE4">
        <w:t xml:space="preserve">The data presented in </w:t>
      </w:r>
      <w:r w:rsidRPr="005E2FE4">
        <w:rPr>
          <w:rStyle w:val="Strong"/>
          <w:b w:val="0"/>
        </w:rPr>
        <w:t>Table 1</w:t>
      </w:r>
      <w:r w:rsidRPr="005E2FE4">
        <w:t xml:space="preserve"> reveal significant variation in the phytoremediation potential of brinjal and tomato crops grown under contaminated soil conditions with different organic amendments during the year 2022–23. Leaf pooled data were used </w:t>
      </w:r>
      <w:r w:rsidR="00B31BCE" w:rsidRPr="005E2FE4">
        <w:t xml:space="preserve">for brinjal </w:t>
      </w:r>
      <w:r w:rsidRPr="005E2FE4">
        <w:t>to assess the extent of contaminant uptake under each treatment.</w:t>
      </w:r>
      <w:r w:rsidR="007273A4" w:rsidRPr="005E2FE4">
        <w:t xml:space="preserve">The lowest values were consistently recorded with </w:t>
      </w:r>
      <w:r w:rsidR="007273A4" w:rsidRPr="005E2FE4">
        <w:rPr>
          <w:rStyle w:val="Strong"/>
          <w:b w:val="0"/>
        </w:rPr>
        <w:t>T</w:t>
      </w:r>
      <w:r w:rsidR="007273A4" w:rsidRPr="005E2FE4">
        <w:rPr>
          <w:rStyle w:val="Strong"/>
          <w:b w:val="0"/>
          <w:vertAlign w:val="subscript"/>
        </w:rPr>
        <w:t>1</w:t>
      </w:r>
      <w:r w:rsidR="007273A4" w:rsidRPr="005E2FE4">
        <w:rPr>
          <w:rStyle w:val="Strong"/>
          <w:b w:val="0"/>
        </w:rPr>
        <w:t xml:space="preserve"> (Contaminated + FYM 5 t ha⁻¹)</w:t>
      </w:r>
      <w:r w:rsidR="007273A4" w:rsidRPr="005E2FE4">
        <w:rPr>
          <w:b/>
        </w:rPr>
        <w:t xml:space="preserve">, </w:t>
      </w:r>
      <w:r w:rsidR="007273A4" w:rsidRPr="005E2FE4">
        <w:t xml:space="preserve">which registered 0.064 and 0.063 during 2022–23 and 2023–24, respectively. This was followed by </w:t>
      </w:r>
      <w:r w:rsidR="007273A4" w:rsidRPr="005E2FE4">
        <w:rPr>
          <w:rStyle w:val="Strong"/>
          <w:b w:val="0"/>
        </w:rPr>
        <w:t>T</w:t>
      </w:r>
      <w:r w:rsidR="007273A4" w:rsidRPr="005E2FE4">
        <w:rPr>
          <w:rStyle w:val="Strong"/>
          <w:b w:val="0"/>
          <w:vertAlign w:val="subscript"/>
        </w:rPr>
        <w:t>2</w:t>
      </w:r>
      <w:r w:rsidR="007273A4" w:rsidRPr="005E2FE4">
        <w:rPr>
          <w:rStyle w:val="Strong"/>
          <w:b w:val="0"/>
        </w:rPr>
        <w:t xml:space="preserve"> (Contaminated + FYM 10 t ha⁻¹)</w:t>
      </w:r>
      <w:r w:rsidR="007273A4" w:rsidRPr="005E2FE4">
        <w:t xml:space="preserve"> with values of 0.083 and 0.064, and </w:t>
      </w:r>
      <w:r w:rsidR="007273A4" w:rsidRPr="005E2FE4">
        <w:rPr>
          <w:rStyle w:val="Strong"/>
          <w:b w:val="0"/>
        </w:rPr>
        <w:t>T</w:t>
      </w:r>
      <w:r w:rsidR="007273A4" w:rsidRPr="005E2FE4">
        <w:rPr>
          <w:rStyle w:val="Strong"/>
          <w:b w:val="0"/>
          <w:vertAlign w:val="subscript"/>
        </w:rPr>
        <w:t>11</w:t>
      </w:r>
      <w:r w:rsidR="007273A4" w:rsidRPr="005E2FE4">
        <w:rPr>
          <w:rStyle w:val="Strong"/>
          <w:b w:val="0"/>
        </w:rPr>
        <w:t xml:space="preserve"> (Contaminated + FYM 5 t + Kitchen waste compost 5 t + Vermicompost 5 t ha⁻¹)</w:t>
      </w:r>
      <w:r w:rsidR="007273A4" w:rsidRPr="005E2FE4">
        <w:t xml:space="preserve"> recording 0.096 and 0.099 in the respective years.</w:t>
      </w:r>
      <w:r w:rsidR="003D222F" w:rsidRPr="005E2FE4">
        <w:t xml:space="preserve"> The highest leaf concentration was observed in the </w:t>
      </w:r>
      <w:r w:rsidR="003D222F" w:rsidRPr="005E2FE4">
        <w:rPr>
          <w:rStyle w:val="Strong"/>
          <w:b w:val="0"/>
        </w:rPr>
        <w:t>contaminated control (T</w:t>
      </w:r>
      <w:r w:rsidR="003D222F" w:rsidRPr="005E2FE4">
        <w:rPr>
          <w:rStyle w:val="Strong"/>
          <w:b w:val="0"/>
          <w:vertAlign w:val="subscript"/>
        </w:rPr>
        <w:t>12</w:t>
      </w:r>
      <w:r w:rsidR="003D222F" w:rsidRPr="005E2FE4">
        <w:rPr>
          <w:rStyle w:val="Strong"/>
          <w:b w:val="0"/>
        </w:rPr>
        <w:t>)</w:t>
      </w:r>
      <w:r w:rsidR="003D222F" w:rsidRPr="005E2FE4">
        <w:t xml:space="preserve"> with values of 1.135 and 1.137 during both years. The </w:t>
      </w:r>
      <w:r w:rsidR="003D222F" w:rsidRPr="005E2FE4">
        <w:rPr>
          <w:rStyle w:val="Strong"/>
          <w:b w:val="0"/>
        </w:rPr>
        <w:t>uncontaminated control (T</w:t>
      </w:r>
      <w:r w:rsidR="003D222F" w:rsidRPr="005E2FE4">
        <w:rPr>
          <w:rStyle w:val="Strong"/>
          <w:b w:val="0"/>
          <w:vertAlign w:val="subscript"/>
        </w:rPr>
        <w:t>13</w:t>
      </w:r>
      <w:r w:rsidR="003D222F" w:rsidRPr="005E2FE4">
        <w:rPr>
          <w:rStyle w:val="Strong"/>
          <w:b w:val="0"/>
        </w:rPr>
        <w:t>)</w:t>
      </w:r>
      <w:r w:rsidR="003D222F" w:rsidRPr="005E2FE4">
        <w:t xml:space="preserve"> also recorded very high values (2.310 and 2.487). </w:t>
      </w:r>
    </w:p>
    <w:p w:rsidR="001E6303" w:rsidRPr="005E2FE4" w:rsidRDefault="001E6303" w:rsidP="005F43CF">
      <w:pPr>
        <w:pStyle w:val="NormalWeb"/>
        <w:spacing w:before="0" w:beforeAutospacing="0" w:after="0" w:afterAutospacing="0"/>
        <w:ind w:firstLine="720"/>
        <w:jc w:val="both"/>
        <w:rPr>
          <w:bCs/>
        </w:rPr>
      </w:pPr>
      <w:r w:rsidRPr="005E2FE4">
        <w:t xml:space="preserve"> Leaf pooled data were used for tomato to </w:t>
      </w:r>
      <w:r w:rsidRPr="005E2FE4">
        <w:rPr>
          <w:rStyle w:val="Strong"/>
          <w:b w:val="0"/>
        </w:rPr>
        <w:t>Lowest leaf concentration:</w:t>
      </w:r>
      <w:r w:rsidRPr="005E2FE4">
        <w:t xml:space="preserve">The lowest leaf concentration was recorded with </w:t>
      </w:r>
      <w:r w:rsidRPr="005E2FE4">
        <w:rPr>
          <w:rStyle w:val="Strong"/>
          <w:b w:val="0"/>
        </w:rPr>
        <w:t>T</w:t>
      </w:r>
      <w:r w:rsidRPr="005E2FE4">
        <w:rPr>
          <w:rStyle w:val="Strong"/>
          <w:b w:val="0"/>
          <w:vertAlign w:val="subscript"/>
        </w:rPr>
        <w:t>1</w:t>
      </w:r>
      <w:r w:rsidRPr="005E2FE4">
        <w:rPr>
          <w:rStyle w:val="Strong"/>
          <w:b w:val="0"/>
        </w:rPr>
        <w:t xml:space="preserve"> (Contaminated + FYM 5 t ha⁻¹)</w:t>
      </w:r>
      <w:r w:rsidRPr="005E2FE4">
        <w:t xml:space="preserve"> with values of 0.058 and 0.059 during 2022–23 and 2023–24, respectively. This was followed by </w:t>
      </w:r>
      <w:r w:rsidRPr="005E2FE4">
        <w:rPr>
          <w:rStyle w:val="Strong"/>
          <w:b w:val="0"/>
        </w:rPr>
        <w:t>T</w:t>
      </w:r>
      <w:r w:rsidRPr="005E2FE4">
        <w:rPr>
          <w:rStyle w:val="Strong"/>
          <w:b w:val="0"/>
          <w:vertAlign w:val="subscript"/>
        </w:rPr>
        <w:t>2</w:t>
      </w:r>
      <w:r w:rsidRPr="005E2FE4">
        <w:rPr>
          <w:rStyle w:val="Strong"/>
          <w:b w:val="0"/>
        </w:rPr>
        <w:t xml:space="preserve"> (Contaminated + FYM 10 t ha⁻¹)</w:t>
      </w:r>
      <w:r w:rsidRPr="005E2FE4">
        <w:t>which recorded 0.072 and 0.061, and</w:t>
      </w:r>
      <w:r w:rsidRPr="005E2FE4">
        <w:rPr>
          <w:rStyle w:val="Strong"/>
          <w:b w:val="0"/>
        </w:rPr>
        <w:t>T</w:t>
      </w:r>
      <w:r w:rsidRPr="005E2FE4">
        <w:rPr>
          <w:rStyle w:val="Strong"/>
          <w:b w:val="0"/>
          <w:vertAlign w:val="subscript"/>
        </w:rPr>
        <w:t>11</w:t>
      </w:r>
      <w:r w:rsidRPr="005E2FE4">
        <w:rPr>
          <w:rStyle w:val="Strong"/>
          <w:b w:val="0"/>
        </w:rPr>
        <w:t xml:space="preserve"> (Contaminated + FYM 5 t + Kitchen waste compost 5 t + Vermicompost 5 t ha⁻¹)</w:t>
      </w:r>
      <w:r w:rsidRPr="005E2FE4">
        <w:t xml:space="preserve">with values of 0.088 and 0.089.The </w:t>
      </w:r>
      <w:r w:rsidRPr="005E2FE4">
        <w:rPr>
          <w:rStyle w:val="Strong"/>
          <w:b w:val="0"/>
        </w:rPr>
        <w:t>uncontaminated control (T</w:t>
      </w:r>
      <w:r w:rsidRPr="005E2FE4">
        <w:rPr>
          <w:rStyle w:val="Strong"/>
          <w:b w:val="0"/>
          <w:vertAlign w:val="subscript"/>
        </w:rPr>
        <w:t>13</w:t>
      </w:r>
      <w:r w:rsidRPr="005E2FE4">
        <w:rPr>
          <w:rStyle w:val="Strong"/>
          <w:b w:val="0"/>
        </w:rPr>
        <w:t>)</w:t>
      </w:r>
      <w:r w:rsidRPr="005E2FE4">
        <w:t xml:space="preserve"> recorded the highest leaf concentration (2.015 and 2.102), followed by the </w:t>
      </w:r>
      <w:r w:rsidRPr="005E2FE4">
        <w:rPr>
          <w:rStyle w:val="Strong"/>
          <w:b w:val="0"/>
        </w:rPr>
        <w:t>contaminated control (T</w:t>
      </w:r>
      <w:r w:rsidRPr="005E2FE4">
        <w:rPr>
          <w:rStyle w:val="Strong"/>
          <w:b w:val="0"/>
          <w:vertAlign w:val="subscript"/>
        </w:rPr>
        <w:t>12</w:t>
      </w:r>
      <w:r w:rsidRPr="005E2FE4">
        <w:rPr>
          <w:rStyle w:val="Strong"/>
          <w:b w:val="0"/>
        </w:rPr>
        <w:t>)</w:t>
      </w:r>
      <w:r w:rsidRPr="005E2FE4">
        <w:t xml:space="preserve"> with values of 0.982 and 0.985. Among the amended treatments, </w:t>
      </w:r>
      <w:r w:rsidRPr="005E2FE4">
        <w:rPr>
          <w:rStyle w:val="Strong"/>
          <w:b w:val="0"/>
        </w:rPr>
        <w:t>T</w:t>
      </w:r>
      <w:r w:rsidRPr="005E2FE4">
        <w:rPr>
          <w:rStyle w:val="Strong"/>
          <w:b w:val="0"/>
          <w:vertAlign w:val="subscript"/>
        </w:rPr>
        <w:t>5</w:t>
      </w:r>
      <w:r w:rsidRPr="005E2FE4">
        <w:rPr>
          <w:rStyle w:val="Strong"/>
          <w:b w:val="0"/>
        </w:rPr>
        <w:t xml:space="preserve"> (Contaminated + Vermicompost 5 t ha⁻¹)</w:t>
      </w:r>
      <w:r w:rsidRPr="005E2FE4">
        <w:t>showed comparatively higher leaf concentration (0.142 and 0.159).</w:t>
      </w:r>
      <w:r w:rsidR="006518F4" w:rsidRPr="005E2FE4">
        <w:t xml:space="preserve"> The present result is in accordance to</w:t>
      </w:r>
      <w:r w:rsidR="006518F4" w:rsidRPr="005E2FE4">
        <w:rPr>
          <w:shd w:val="clear" w:color="auto" w:fill="FFFFFF"/>
        </w:rPr>
        <w:t>Leblebici, Z., &amp; Kar, M. (2018).</w:t>
      </w:r>
    </w:p>
    <w:p w:rsidR="008A6624" w:rsidRPr="005E2FE4" w:rsidRDefault="008A6624" w:rsidP="005F43CF">
      <w:pPr>
        <w:pStyle w:val="NormalWeb"/>
        <w:spacing w:before="0" w:beforeAutospacing="0" w:after="0" w:afterAutospacing="0"/>
        <w:ind w:firstLine="720"/>
        <w:jc w:val="both"/>
      </w:pPr>
      <w:r w:rsidRPr="005E2FE4">
        <w:t>Overall, the results indicate that although FYM-amended contaminated soils enhanced heavy metal accumulation in fruits, the application of combined organic amendments effectively reduced metal translocation to edible parts. Brinjal consistently accumulated higher metal concentrations in fruits compared to tomato, suggesting greater translocation efficiency. These findings highlight the importance of organic amendment selection in minimizing food-chain contamination while enhancing phytoremediation potential under the agro-climatic conditions of the B</w:t>
      </w:r>
      <w:r w:rsidR="003644FD" w:rsidRPr="005E2FE4">
        <w:t xml:space="preserve">achaoliBujurg region of Jhansi as per (Sharma </w:t>
      </w:r>
      <w:r w:rsidR="003644FD" w:rsidRPr="005E2FE4">
        <w:rPr>
          <w:i/>
        </w:rPr>
        <w:t>et al.,</w:t>
      </w:r>
      <w:r w:rsidR="003644FD" w:rsidRPr="005E2FE4">
        <w:t>2023 and Shafi</w:t>
      </w:r>
      <w:r w:rsidR="00542E1E">
        <w:t xml:space="preserve"> </w:t>
      </w:r>
      <w:r w:rsidR="003644FD" w:rsidRPr="005E2FE4">
        <w:rPr>
          <w:i/>
        </w:rPr>
        <w:t>et al.,</w:t>
      </w:r>
      <w:r w:rsidR="003644FD" w:rsidRPr="005E2FE4">
        <w:t>2023)</w:t>
      </w:r>
      <w:r w:rsidR="001830D1" w:rsidRPr="005E2FE4">
        <w:t xml:space="preserve"> who stated the mechanism of removal of heavy metals from contaminated soil</w:t>
      </w:r>
      <w:r w:rsidR="003644FD" w:rsidRPr="005E2FE4">
        <w:t>.</w:t>
      </w:r>
    </w:p>
    <w:p w:rsidR="00E26347" w:rsidRPr="005E2FE4" w:rsidRDefault="00E26347" w:rsidP="005F43CF">
      <w:pPr>
        <w:pStyle w:val="NormalWeb"/>
        <w:spacing w:before="0" w:beforeAutospacing="0" w:after="0" w:afterAutospacing="0"/>
        <w:ind w:firstLine="720"/>
        <w:jc w:val="both"/>
      </w:pPr>
      <w:r w:rsidRPr="005E2FE4">
        <w:lastRenderedPageBreak/>
        <w:t xml:space="preserve">The data presented in Table </w:t>
      </w:r>
      <w:r w:rsidR="009B6E66" w:rsidRPr="005E2FE4">
        <w:t>2</w:t>
      </w:r>
      <w:r w:rsidRPr="005E2FE4">
        <w:t xml:space="preserve"> reveal significant variation in stem concentration of brinjal </w:t>
      </w:r>
      <w:r w:rsidR="00FF3696" w:rsidRPr="005E2FE4">
        <w:t xml:space="preserve">crop </w:t>
      </w:r>
      <w:r w:rsidRPr="005E2FE4">
        <w:t xml:space="preserve">grown under contaminated soil conditions with different organic amendments during the years </w:t>
      </w:r>
      <w:r w:rsidR="00232C91" w:rsidRPr="005E2FE4">
        <w:t>(2022–23 &amp;</w:t>
      </w:r>
      <w:r w:rsidRPr="005E2FE4">
        <w:t>2023–24</w:t>
      </w:r>
      <w:r w:rsidR="00232C91" w:rsidRPr="005E2FE4">
        <w:t>)</w:t>
      </w:r>
      <w:r w:rsidR="00944639" w:rsidRPr="005E2FE4">
        <w:t xml:space="preserve"> and pooled analysis</w:t>
      </w:r>
      <w:r w:rsidRPr="005E2FE4">
        <w:t xml:space="preserve">. </w:t>
      </w:r>
      <w:r w:rsidR="009B6E66" w:rsidRPr="005E2FE4">
        <w:rPr>
          <w:rStyle w:val="Strong"/>
          <w:b w:val="0"/>
        </w:rPr>
        <w:t>B</w:t>
      </w:r>
      <w:r w:rsidRPr="005E2FE4">
        <w:rPr>
          <w:rStyle w:val="Strong"/>
          <w:b w:val="0"/>
        </w:rPr>
        <w:t>rinjal</w:t>
      </w:r>
      <w:r w:rsidR="009B6E66" w:rsidRPr="005E2FE4">
        <w:rPr>
          <w:rStyle w:val="Strong"/>
          <w:b w:val="0"/>
        </w:rPr>
        <w:t>was</w:t>
      </w:r>
      <w:r w:rsidRPr="005E2FE4">
        <w:t xml:space="preserve"> assess the extent of contaminant accumulation under each treatment. The lowest </w:t>
      </w:r>
      <w:r w:rsidR="00C24DBD" w:rsidRPr="005E2FE4">
        <w:t>accumulation</w:t>
      </w:r>
      <w:r w:rsidRPr="005E2FE4">
        <w:t xml:space="preserve">were consistently recorded with </w:t>
      </w:r>
      <w:r w:rsidRPr="005E2FE4">
        <w:rPr>
          <w:rStyle w:val="Strong"/>
          <w:b w:val="0"/>
        </w:rPr>
        <w:t>T</w:t>
      </w:r>
      <w:r w:rsidRPr="005E2FE4">
        <w:rPr>
          <w:rStyle w:val="Strong"/>
          <w:b w:val="0"/>
          <w:vertAlign w:val="subscript"/>
        </w:rPr>
        <w:t xml:space="preserve">10 </w:t>
      </w:r>
      <w:r w:rsidRPr="005E2FE4">
        <w:rPr>
          <w:rStyle w:val="Strong"/>
          <w:b w:val="0"/>
        </w:rPr>
        <w:t>(Contaminated + Kitchen waste compost 5 t + Vermicompost 5 t ha⁻¹)</w:t>
      </w:r>
      <w:r w:rsidRPr="005E2FE4">
        <w:rPr>
          <w:b/>
        </w:rPr>
        <w:t>,</w:t>
      </w:r>
      <w:r w:rsidR="00DF1877" w:rsidRPr="005E2FE4">
        <w:t xml:space="preserve"> which registered </w:t>
      </w:r>
      <w:r w:rsidR="001D5FED" w:rsidRPr="005E2FE4">
        <w:t>(</w:t>
      </w:r>
      <w:r w:rsidR="00DF1877" w:rsidRPr="005E2FE4">
        <w:t xml:space="preserve">0.065, </w:t>
      </w:r>
      <w:r w:rsidRPr="005E2FE4">
        <w:t xml:space="preserve">0.068 </w:t>
      </w:r>
      <w:r w:rsidR="00DF1877" w:rsidRPr="005E2FE4">
        <w:t xml:space="preserve">and </w:t>
      </w:r>
      <w:r w:rsidR="001D5FED" w:rsidRPr="005E2FE4">
        <w:t xml:space="preserve">0.0665) </w:t>
      </w:r>
      <w:r w:rsidRPr="005E2FE4">
        <w:t xml:space="preserve">during 2022–23 and 2023–24, respectively. This was followed by </w:t>
      </w:r>
      <w:r w:rsidRPr="005E2FE4">
        <w:rPr>
          <w:rStyle w:val="Strong"/>
          <w:b w:val="0"/>
        </w:rPr>
        <w:t>T</w:t>
      </w:r>
      <w:r w:rsidRPr="005E2FE4">
        <w:rPr>
          <w:rStyle w:val="Strong"/>
          <w:b w:val="0"/>
          <w:vertAlign w:val="subscript"/>
        </w:rPr>
        <w:t>9</w:t>
      </w:r>
      <w:r w:rsidRPr="005E2FE4">
        <w:rPr>
          <w:rStyle w:val="Strong"/>
          <w:b w:val="0"/>
        </w:rPr>
        <w:t xml:space="preserve"> (Contaminated + FYM 5 t + Vermicompost 5 t ha⁻¹)</w:t>
      </w:r>
      <w:r w:rsidRPr="005E2FE4">
        <w:t xml:space="preserve"> with values of </w:t>
      </w:r>
      <w:r w:rsidR="00666770" w:rsidRPr="005E2FE4">
        <w:t>(0.073, 0.066 and 0.0695)</w:t>
      </w:r>
      <w:r w:rsidRPr="005E2FE4">
        <w:rPr>
          <w:rStyle w:val="Strong"/>
          <w:b w:val="0"/>
        </w:rPr>
        <w:t>T</w:t>
      </w:r>
      <w:r w:rsidR="00AF1C6A" w:rsidRPr="005E2FE4">
        <w:rPr>
          <w:rStyle w:val="Strong"/>
          <w:b w:val="0"/>
          <w:vertAlign w:val="subscript"/>
        </w:rPr>
        <w:t>11</w:t>
      </w:r>
      <w:r w:rsidRPr="005E2FE4">
        <w:rPr>
          <w:rStyle w:val="Strong"/>
          <w:b w:val="0"/>
        </w:rPr>
        <w:t>(</w:t>
      </w:r>
      <w:r w:rsidR="00AF1C6A" w:rsidRPr="005E2FE4">
        <w:t>Contaminated + FYM 5 t + Kitchen Waste Compost 5 t + Vermicompost 5 t ha⁻¹</w:t>
      </w:r>
      <w:r w:rsidRPr="005E2FE4">
        <w:rPr>
          <w:rStyle w:val="Strong"/>
          <w:b w:val="0"/>
        </w:rPr>
        <w:t>)</w:t>
      </w:r>
      <w:r w:rsidR="004B6A8E" w:rsidRPr="005E2FE4">
        <w:t xml:space="preserve"> recording (0.064, </w:t>
      </w:r>
      <w:r w:rsidRPr="005E2FE4">
        <w:t>0.065</w:t>
      </w:r>
      <w:r w:rsidR="004B6A8E" w:rsidRPr="005E2FE4">
        <w:t xml:space="preserve"> and 0.0645)</w:t>
      </w:r>
      <w:r w:rsidRPr="005E2FE4">
        <w:t xml:space="preserve"> in the respective years. The highest stem concentration was observed in </w:t>
      </w:r>
      <w:r w:rsidRPr="005E2FE4">
        <w:rPr>
          <w:rStyle w:val="Strong"/>
          <w:b w:val="0"/>
        </w:rPr>
        <w:t>T</w:t>
      </w:r>
      <w:r w:rsidR="003F4F02" w:rsidRPr="005E2FE4">
        <w:rPr>
          <w:rStyle w:val="Strong"/>
          <w:b w:val="0"/>
          <w:vertAlign w:val="subscript"/>
        </w:rPr>
        <w:t>12</w:t>
      </w:r>
      <w:r w:rsidRPr="005E2FE4">
        <w:rPr>
          <w:rStyle w:val="Strong"/>
          <w:b w:val="0"/>
        </w:rPr>
        <w:t>(Contaminated + FYM 5 t ha⁻¹)</w:t>
      </w:r>
      <w:r w:rsidRPr="005E2FE4">
        <w:t xml:space="preserve"> with values of </w:t>
      </w:r>
      <w:r w:rsidR="00FF55B3" w:rsidRPr="005E2FE4">
        <w:t xml:space="preserve">(0.807, </w:t>
      </w:r>
      <w:r w:rsidRPr="005E2FE4">
        <w:t>0.109</w:t>
      </w:r>
      <w:r w:rsidR="00FF55B3" w:rsidRPr="005E2FE4">
        <w:t xml:space="preserve"> and 0.458)</w:t>
      </w:r>
      <w:r w:rsidR="006A30E5" w:rsidRPr="005E2FE4">
        <w:t xml:space="preserve"> during (2022–23&amp;2023–24 and pooled</w:t>
      </w:r>
      <w:r w:rsidRPr="005E2FE4">
        <w:t xml:space="preserve"> respectively. This was followed by </w:t>
      </w:r>
      <w:r w:rsidRPr="005E2FE4">
        <w:rPr>
          <w:rStyle w:val="Strong"/>
          <w:b w:val="0"/>
        </w:rPr>
        <w:t>T</w:t>
      </w:r>
      <w:r w:rsidR="003F4F02" w:rsidRPr="005E2FE4">
        <w:rPr>
          <w:rStyle w:val="Strong"/>
          <w:b w:val="0"/>
          <w:vertAlign w:val="subscript"/>
        </w:rPr>
        <w:t>13</w:t>
      </w:r>
      <w:r w:rsidRPr="005E2FE4">
        <w:rPr>
          <w:rStyle w:val="Strong"/>
          <w:b w:val="0"/>
        </w:rPr>
        <w:t xml:space="preserve"> (Contaminated + FYM 10 t ha⁻¹)</w:t>
      </w:r>
      <w:r w:rsidRPr="005E2FE4">
        <w:t xml:space="preserve"> which recorded comparatively higher stem values of </w:t>
      </w:r>
      <w:r w:rsidR="004D22AB" w:rsidRPr="005E2FE4">
        <w:t xml:space="preserve">(0.207, </w:t>
      </w:r>
      <w:r w:rsidRPr="005E2FE4">
        <w:t>0.184</w:t>
      </w:r>
      <w:r w:rsidR="004D22AB" w:rsidRPr="005E2FE4">
        <w:t xml:space="preserve"> and </w:t>
      </w:r>
      <w:r w:rsidR="000A434F" w:rsidRPr="005E2FE4">
        <w:t>0.195</w:t>
      </w:r>
      <w:r w:rsidR="004D22AB" w:rsidRPr="005E2FE4">
        <w:t>)</w:t>
      </w:r>
      <w:r w:rsidRPr="005E2FE4">
        <w:t xml:space="preserve"> during the </w:t>
      </w:r>
      <w:r w:rsidR="000A434F" w:rsidRPr="005E2FE4">
        <w:t>(2022–23&amp;2023–24 and pooled).</w:t>
      </w:r>
    </w:p>
    <w:p w:rsidR="006A3B89" w:rsidRPr="005E2FE4" w:rsidRDefault="00410727" w:rsidP="005F43CF">
      <w:pPr>
        <w:pStyle w:val="NormalWeb"/>
        <w:spacing w:before="0" w:beforeAutospacing="0" w:after="0" w:afterAutospacing="0"/>
        <w:jc w:val="both"/>
      </w:pPr>
      <w:r w:rsidRPr="005E2FE4">
        <w:t xml:space="preserve">However, tomato crop grown under contaminated soil conditions with different organic amendments during the years </w:t>
      </w:r>
      <w:r w:rsidRPr="005E2FE4">
        <w:rPr>
          <w:rStyle w:val="Strong"/>
          <w:b w:val="0"/>
        </w:rPr>
        <w:t>2022–23 and 2023–24</w:t>
      </w:r>
      <w:r w:rsidRPr="005E2FE4">
        <w:rPr>
          <w:b/>
        </w:rPr>
        <w:t>,</w:t>
      </w:r>
      <w:r w:rsidRPr="005E2FE4">
        <w:t xml:space="preserve"> along with pooled analysis, was assessed to determine the extent of contaminant accumulation in the stem under each treatment. The lowest stem accumulation was consistently recorded in </w:t>
      </w:r>
      <w:r w:rsidRPr="005E2FE4">
        <w:rPr>
          <w:rStyle w:val="Strong"/>
          <w:b w:val="0"/>
        </w:rPr>
        <w:t>T</w:t>
      </w:r>
      <w:r w:rsidRPr="005E2FE4">
        <w:rPr>
          <w:rStyle w:val="Strong"/>
          <w:b w:val="0"/>
          <w:vertAlign w:val="subscript"/>
        </w:rPr>
        <w:t>10</w:t>
      </w:r>
      <w:r w:rsidRPr="005E2FE4">
        <w:rPr>
          <w:rStyle w:val="Strong"/>
          <w:b w:val="0"/>
        </w:rPr>
        <w:t xml:space="preserve"> (Contaminated + Kitchen waste compost 5 t + Vermicompost 5 t ha⁻¹)</w:t>
      </w:r>
      <w:r w:rsidRPr="005E2FE4">
        <w:rPr>
          <w:b/>
        </w:rPr>
        <w:t xml:space="preserve">, </w:t>
      </w:r>
      <w:r w:rsidRPr="005E2FE4">
        <w:t xml:space="preserve">registering values of </w:t>
      </w:r>
      <w:r w:rsidR="00AA3AF4" w:rsidRPr="005E2FE4">
        <w:t>(</w:t>
      </w:r>
      <w:r w:rsidR="00146153" w:rsidRPr="005E2FE4">
        <w:t>0.057</w:t>
      </w:r>
      <w:r w:rsidRPr="005E2FE4">
        <w:rPr>
          <w:rStyle w:val="Strong"/>
        </w:rPr>
        <w:t xml:space="preserve">, </w:t>
      </w:r>
      <w:r w:rsidR="00146153" w:rsidRPr="005E2FE4">
        <w:t xml:space="preserve">0.06 </w:t>
      </w:r>
      <w:r w:rsidRPr="005E2FE4">
        <w:rPr>
          <w:rStyle w:val="Strong"/>
          <w:b w:val="0"/>
        </w:rPr>
        <w:t>and</w:t>
      </w:r>
      <w:r w:rsidR="00146153" w:rsidRPr="005E2FE4">
        <w:t>0.0585</w:t>
      </w:r>
      <w:r w:rsidR="00AA3AF4" w:rsidRPr="005E2FE4">
        <w:rPr>
          <w:rStyle w:val="Strong"/>
        </w:rPr>
        <w:t>)</w:t>
      </w:r>
      <w:r w:rsidRPr="005E2FE4">
        <w:t xml:space="preserve"> during 2022–23, 2023–24 and pooled analysis, respectively. This was followed by </w:t>
      </w:r>
      <w:r w:rsidRPr="005E2FE4">
        <w:rPr>
          <w:rStyle w:val="Strong"/>
          <w:b w:val="0"/>
        </w:rPr>
        <w:t>T</w:t>
      </w:r>
      <w:r w:rsidRPr="005E2FE4">
        <w:rPr>
          <w:rStyle w:val="Strong"/>
          <w:b w:val="0"/>
          <w:vertAlign w:val="subscript"/>
        </w:rPr>
        <w:t>11</w:t>
      </w:r>
      <w:r w:rsidRPr="005E2FE4">
        <w:rPr>
          <w:rStyle w:val="Strong"/>
          <w:b w:val="0"/>
        </w:rPr>
        <w:t xml:space="preserve"> (Contaminated + FYM 5 t + Kitchen waste compost 5 t + Vermicompost 5 t ha⁻¹)</w:t>
      </w:r>
      <w:r w:rsidRPr="005E2FE4">
        <w:t xml:space="preserve"> with stem concentrations of </w:t>
      </w:r>
      <w:r w:rsidR="00D45A6D" w:rsidRPr="005E2FE4">
        <w:t>0.056</w:t>
      </w:r>
      <w:r w:rsidRPr="005E2FE4">
        <w:rPr>
          <w:rStyle w:val="Strong"/>
        </w:rPr>
        <w:t xml:space="preserve">, </w:t>
      </w:r>
      <w:r w:rsidR="00D45A6D" w:rsidRPr="005E2FE4">
        <w:t xml:space="preserve">0.057 </w:t>
      </w:r>
      <w:r w:rsidRPr="005E2FE4">
        <w:rPr>
          <w:rStyle w:val="Strong"/>
          <w:b w:val="0"/>
        </w:rPr>
        <w:t xml:space="preserve">and </w:t>
      </w:r>
      <w:r w:rsidR="00D45A6D" w:rsidRPr="005E2FE4">
        <w:t>0.0565</w:t>
      </w:r>
      <w:r w:rsidRPr="005E2FE4">
        <w:t xml:space="preserve">, and </w:t>
      </w:r>
      <w:r w:rsidRPr="005E2FE4">
        <w:rPr>
          <w:rStyle w:val="Strong"/>
          <w:b w:val="0"/>
        </w:rPr>
        <w:t>T</w:t>
      </w:r>
      <w:r w:rsidRPr="005E2FE4">
        <w:rPr>
          <w:rStyle w:val="Strong"/>
          <w:b w:val="0"/>
          <w:vertAlign w:val="subscript"/>
        </w:rPr>
        <w:t>9</w:t>
      </w:r>
      <w:r w:rsidRPr="005E2FE4">
        <w:rPr>
          <w:rStyle w:val="Strong"/>
          <w:b w:val="0"/>
        </w:rPr>
        <w:t xml:space="preserve"> (Contaminated + FYM 5 t + Vermicompost 5 t ha⁻¹)</w:t>
      </w:r>
      <w:r w:rsidRPr="005E2FE4">
        <w:t xml:space="preserve"> which recorded </w:t>
      </w:r>
      <w:r w:rsidR="00604761" w:rsidRPr="005E2FE4">
        <w:t>(0.064</w:t>
      </w:r>
      <w:r w:rsidRPr="005E2FE4">
        <w:rPr>
          <w:rStyle w:val="Strong"/>
        </w:rPr>
        <w:t xml:space="preserve">, </w:t>
      </w:r>
      <w:r w:rsidR="00604761" w:rsidRPr="005E2FE4">
        <w:t xml:space="preserve">0.058 </w:t>
      </w:r>
      <w:r w:rsidRPr="005E2FE4">
        <w:rPr>
          <w:rStyle w:val="Strong"/>
          <w:b w:val="0"/>
        </w:rPr>
        <w:t>and</w:t>
      </w:r>
      <w:r w:rsidR="00604761" w:rsidRPr="005E2FE4">
        <w:t>0.061)</w:t>
      </w:r>
      <w:r w:rsidRPr="005E2FE4">
        <w:t>during the respective years and pooled analysis.</w:t>
      </w:r>
      <w:r w:rsidR="00772D96" w:rsidRPr="005E2FE4">
        <w:t xml:space="preserve"> However, similar observation were revealed by (</w:t>
      </w:r>
      <w:r w:rsidR="00772D96" w:rsidRPr="005E2FE4">
        <w:rPr>
          <w:shd w:val="clear" w:color="auto" w:fill="FFFFFF"/>
        </w:rPr>
        <w:t>Miteva</w:t>
      </w:r>
      <w:r w:rsidR="00772D96" w:rsidRPr="005E2FE4">
        <w:rPr>
          <w:i/>
        </w:rPr>
        <w:t>et al.,</w:t>
      </w:r>
      <w:r w:rsidR="00772D96" w:rsidRPr="005E2FE4">
        <w:t>2001 and Liu</w:t>
      </w:r>
      <w:r w:rsidR="00772D96" w:rsidRPr="005E2FE4">
        <w:rPr>
          <w:i/>
        </w:rPr>
        <w:t xml:space="preserve"> et al.,</w:t>
      </w:r>
      <w:r w:rsidR="00772D96" w:rsidRPr="005E2FE4">
        <w:t>2018).</w:t>
      </w:r>
    </w:p>
    <w:p w:rsidR="00410727" w:rsidRPr="005E2FE4" w:rsidRDefault="00410727" w:rsidP="005F43CF">
      <w:pPr>
        <w:pStyle w:val="NormalWeb"/>
        <w:spacing w:before="0" w:beforeAutospacing="0" w:after="0" w:afterAutospacing="0"/>
        <w:ind w:firstLine="720"/>
        <w:jc w:val="both"/>
      </w:pPr>
      <w:r w:rsidRPr="005E2FE4">
        <w:t xml:space="preserve">In contrast, the highest stem contaminant concentration was observed in </w:t>
      </w:r>
      <w:r w:rsidR="00844FA1" w:rsidRPr="005E2FE4">
        <w:rPr>
          <w:rStyle w:val="Strong"/>
          <w:b w:val="0"/>
        </w:rPr>
        <w:t>T</w:t>
      </w:r>
      <w:r w:rsidR="00844FA1" w:rsidRPr="005E2FE4">
        <w:rPr>
          <w:rStyle w:val="Strong"/>
          <w:b w:val="0"/>
          <w:vertAlign w:val="subscript"/>
        </w:rPr>
        <w:t>13</w:t>
      </w:r>
      <w:r w:rsidR="00844FA1" w:rsidRPr="005E2FE4">
        <w:rPr>
          <w:rStyle w:val="Strong"/>
          <w:b w:val="0"/>
        </w:rPr>
        <w:t xml:space="preserve"> (Contaminated + FYM 10 t ha⁻¹)</w:t>
      </w:r>
      <w:r w:rsidR="00844FA1" w:rsidRPr="005E2FE4">
        <w:rPr>
          <w:b/>
        </w:rPr>
        <w:t>,</w:t>
      </w:r>
      <w:r w:rsidRPr="005E2FE4">
        <w:t xml:space="preserve">with values of </w:t>
      </w:r>
      <w:r w:rsidR="00F55650" w:rsidRPr="005E2FE4">
        <w:t>(0.692</w:t>
      </w:r>
      <w:r w:rsidRPr="005E2FE4">
        <w:rPr>
          <w:rStyle w:val="Strong"/>
        </w:rPr>
        <w:t xml:space="preserve">, </w:t>
      </w:r>
      <w:r w:rsidR="00F55650" w:rsidRPr="005E2FE4">
        <w:t>0.098</w:t>
      </w:r>
      <w:r w:rsidRPr="005E2FE4">
        <w:rPr>
          <w:rStyle w:val="Strong"/>
          <w:b w:val="0"/>
        </w:rPr>
        <w:t>and</w:t>
      </w:r>
      <w:r w:rsidR="00F55650" w:rsidRPr="005E2FE4">
        <w:t>0.395</w:t>
      </w:r>
      <w:r w:rsidR="00F55650" w:rsidRPr="005E2FE4">
        <w:rPr>
          <w:rStyle w:val="Strong"/>
        </w:rPr>
        <w:t>)</w:t>
      </w:r>
      <w:r w:rsidRPr="005E2FE4">
        <w:t xml:space="preserve"> during 2022–23, 2023–24 and pooled analysis, respectively. This was followed by </w:t>
      </w:r>
      <w:r w:rsidR="00844FA1" w:rsidRPr="005E2FE4">
        <w:rPr>
          <w:rStyle w:val="Strong"/>
          <w:b w:val="0"/>
        </w:rPr>
        <w:t>T</w:t>
      </w:r>
      <w:r w:rsidR="00844FA1" w:rsidRPr="005E2FE4">
        <w:rPr>
          <w:rStyle w:val="Strong"/>
          <w:b w:val="0"/>
          <w:vertAlign w:val="subscript"/>
        </w:rPr>
        <w:t xml:space="preserve">12 </w:t>
      </w:r>
      <w:r w:rsidR="00844FA1" w:rsidRPr="005E2FE4">
        <w:rPr>
          <w:rStyle w:val="Strong"/>
        </w:rPr>
        <w:t>(</w:t>
      </w:r>
      <w:r w:rsidR="00844FA1" w:rsidRPr="005E2FE4">
        <w:t>Uncontaminated control</w:t>
      </w:r>
      <w:r w:rsidR="00844FA1" w:rsidRPr="005E2FE4">
        <w:rPr>
          <w:rStyle w:val="Strong"/>
        </w:rPr>
        <w:t>)</w:t>
      </w:r>
      <w:r w:rsidR="001D2ED2" w:rsidRPr="005E2FE4">
        <w:rPr>
          <w:rStyle w:val="Strong"/>
        </w:rPr>
        <w:t>,</w:t>
      </w:r>
      <w:r w:rsidR="001D2ED2" w:rsidRPr="005E2FE4">
        <w:t xml:space="preserve"> also recorded</w:t>
      </w:r>
      <w:r w:rsidR="00844FA1" w:rsidRPr="005E2FE4">
        <w:t>(</w:t>
      </w:r>
      <w:r w:rsidR="001D2ED2" w:rsidRPr="005E2FE4">
        <w:t>0.181</w:t>
      </w:r>
      <w:r w:rsidR="00FD4722" w:rsidRPr="005E2FE4">
        <w:rPr>
          <w:rStyle w:val="Strong"/>
          <w:b w:val="0"/>
        </w:rPr>
        <w:t>, 0.130 and 0.155</w:t>
      </w:r>
      <w:r w:rsidR="00844FA1" w:rsidRPr="005E2FE4">
        <w:rPr>
          <w:rStyle w:val="Strong"/>
          <w:b w:val="0"/>
        </w:rPr>
        <w:t>)</w:t>
      </w:r>
      <w:r w:rsidRPr="005E2FE4">
        <w:t xml:space="preserve"> during the corresponding years and pooled analysis.</w:t>
      </w:r>
    </w:p>
    <w:p w:rsidR="003C579D" w:rsidRDefault="00E26347" w:rsidP="005F43CF">
      <w:pPr>
        <w:pStyle w:val="NormalWeb"/>
        <w:spacing w:before="0" w:beforeAutospacing="0" w:after="0" w:afterAutospacing="0"/>
        <w:ind w:firstLine="720"/>
        <w:jc w:val="both"/>
      </w:pPr>
      <w:r w:rsidRPr="005E2FE4">
        <w:t xml:space="preserve">Overall, the results indicate that combined organic amendments were more effective in reducing contaminant accumulation in stems compared to single amendments. </w:t>
      </w:r>
      <w:r w:rsidR="00B818E0">
        <w:t>All treatments were evaluated under naturally Pb-contaminated soil containing approximately 100 mg kg⁻¹ Pb, and organic amendments significantly reduced Pb accumulation in both brinjal and tomato compared to the contaminated control.</w:t>
      </w:r>
      <w:r w:rsidR="00BF5E7E">
        <w:t xml:space="preserve"> </w:t>
      </w:r>
      <w:r w:rsidRPr="005E2FE4">
        <w:t>Brinjal showed relatively higher stem accumulation than tomato, indicating greater translocation or retention capacity</w:t>
      </w:r>
      <w:r w:rsidR="005C546F" w:rsidRPr="005E2FE4">
        <w:t xml:space="preserve"> as per </w:t>
      </w:r>
      <w:r w:rsidR="005C546F" w:rsidRPr="005E2FE4">
        <w:rPr>
          <w:shd w:val="clear" w:color="auto" w:fill="FFFFFF"/>
        </w:rPr>
        <w:t>Nitu</w:t>
      </w:r>
      <w:r w:rsidR="00B818E0">
        <w:rPr>
          <w:shd w:val="clear" w:color="auto" w:fill="FFFFFF"/>
        </w:rPr>
        <w:t xml:space="preserve"> </w:t>
      </w:r>
      <w:r w:rsidR="005C546F" w:rsidRPr="005E2FE4">
        <w:rPr>
          <w:i/>
          <w:shd w:val="clear" w:color="auto" w:fill="FFFFFF"/>
        </w:rPr>
        <w:t>et al</w:t>
      </w:r>
      <w:r w:rsidRPr="005E2FE4">
        <w:t>.</w:t>
      </w:r>
      <w:r w:rsidR="005C546F" w:rsidRPr="005E2FE4">
        <w:t>,(2018).</w:t>
      </w:r>
      <w:r w:rsidRPr="005E2FE4">
        <w:t xml:space="preserve"> The consistent reduction observed under integrated organic amendment treatments highlights their role in minimizing internal metal movement within plant tissues, thereby supporting safer crop production and improved phytoremediation efficiency under the agro-climatic conditions of the B</w:t>
      </w:r>
      <w:r w:rsidR="003C579D" w:rsidRPr="005E2FE4">
        <w:t>achaoli</w:t>
      </w:r>
      <w:r w:rsidR="00A11578">
        <w:t xml:space="preserve"> </w:t>
      </w:r>
      <w:r w:rsidR="003C579D" w:rsidRPr="005E2FE4">
        <w:t>Bujurg region of Jhansi. Similar, findings have been furnished by (</w:t>
      </w:r>
      <w:r w:rsidR="005C546F" w:rsidRPr="005E2FE4">
        <w:t>Murtic</w:t>
      </w:r>
      <w:r w:rsidR="00A11578">
        <w:t xml:space="preserve"> </w:t>
      </w:r>
      <w:r w:rsidR="003C579D" w:rsidRPr="005E2FE4">
        <w:rPr>
          <w:i/>
        </w:rPr>
        <w:t>et al.,</w:t>
      </w:r>
      <w:r w:rsidR="005C546F" w:rsidRPr="005E2FE4">
        <w:t>2018;Naz</w:t>
      </w:r>
      <w:r w:rsidR="00A11578">
        <w:t xml:space="preserve"> </w:t>
      </w:r>
      <w:r w:rsidR="005C546F" w:rsidRPr="005E2FE4">
        <w:rPr>
          <w:i/>
        </w:rPr>
        <w:t>et al.,</w:t>
      </w:r>
      <w:r w:rsidR="005C546F" w:rsidRPr="005E2FE4">
        <w:t xml:space="preserve">2019; </w:t>
      </w:r>
      <w:r w:rsidR="003C579D" w:rsidRPr="005E2FE4">
        <w:t xml:space="preserve"> and Shafi</w:t>
      </w:r>
      <w:r w:rsidR="00A11578">
        <w:t xml:space="preserve"> </w:t>
      </w:r>
      <w:r w:rsidR="003C579D" w:rsidRPr="005E2FE4">
        <w:rPr>
          <w:i/>
        </w:rPr>
        <w:t>et al.,</w:t>
      </w:r>
      <w:r w:rsidR="003C579D" w:rsidRPr="005E2FE4">
        <w:t>2023) who stated the mechanism of removal of heavy metals from contaminated soil.</w:t>
      </w:r>
    </w:p>
    <w:p w:rsidR="000969AF" w:rsidRPr="00740879" w:rsidRDefault="000969AF" w:rsidP="000969AF">
      <w:pPr>
        <w:rPr>
          <w:highlight w:val="yellow"/>
        </w:rPr>
      </w:pPr>
      <w:r w:rsidRPr="00740879">
        <w:rPr>
          <w:highlight w:val="yellow"/>
        </w:rPr>
        <w:t>Disclaimer (Artificial intelligence)</w:t>
      </w:r>
    </w:p>
    <w:p w:rsidR="000969AF" w:rsidRPr="007C0F1A" w:rsidRDefault="000969AF" w:rsidP="000969AF">
      <w:pPr>
        <w:rPr>
          <w:highlight w:val="yellow"/>
        </w:rPr>
      </w:pPr>
      <w:r w:rsidRPr="00740879">
        <w:rPr>
          <w:highlight w:val="yellow"/>
        </w:rPr>
        <w:t>Author(s) hereby declare that NO generative AI technologies such as Large Language Models (ChatGPT, COPILOT, etc.) and text-to-image generators have been used during the writing or editing of this manuscript.</w:t>
      </w:r>
    </w:p>
    <w:p w:rsidR="000969AF" w:rsidRPr="005E2FE4" w:rsidRDefault="000969AF" w:rsidP="005F43CF">
      <w:pPr>
        <w:pStyle w:val="NormalWeb"/>
        <w:spacing w:before="0" w:beforeAutospacing="0" w:after="0" w:afterAutospacing="0"/>
        <w:ind w:firstLine="720"/>
        <w:jc w:val="both"/>
      </w:pPr>
      <w:bookmarkStart w:id="0" w:name="_GoBack"/>
      <w:bookmarkEnd w:id="0"/>
    </w:p>
    <w:p w:rsidR="0088553F" w:rsidRPr="005E2FE4" w:rsidRDefault="0088553F" w:rsidP="005F43CF">
      <w:pPr>
        <w:spacing w:after="0"/>
        <w:jc w:val="both"/>
        <w:rPr>
          <w:rFonts w:ascii="Times New Roman" w:hAnsi="Times New Roman" w:cs="Times New Roman"/>
          <w:b/>
          <w:sz w:val="24"/>
          <w:szCs w:val="24"/>
          <w:shd w:val="clear" w:color="auto" w:fill="FFFFFF"/>
        </w:rPr>
      </w:pPr>
      <w:r w:rsidRPr="005E2FE4">
        <w:rPr>
          <w:rFonts w:ascii="Times New Roman" w:hAnsi="Times New Roman" w:cs="Times New Roman"/>
          <w:b/>
          <w:sz w:val="24"/>
          <w:szCs w:val="24"/>
          <w:shd w:val="clear" w:color="auto" w:fill="FFFFFF"/>
        </w:rPr>
        <w:t>REFERENCES</w:t>
      </w:r>
    </w:p>
    <w:p w:rsidR="00153F07" w:rsidRP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153F07">
        <w:rPr>
          <w:rFonts w:ascii="Times New Roman" w:hAnsi="Times New Roman" w:cs="Times New Roman"/>
          <w:sz w:val="24"/>
          <w:szCs w:val="24"/>
          <w:shd w:val="clear" w:color="auto" w:fill="FFFFFF"/>
        </w:rPr>
        <w:t>Al-Lahham, O., El Assi, N. M., &amp; Fayyad, M. (2007). Translocation of heavy metals to tomato (</w:t>
      </w:r>
      <w:r w:rsidRPr="00154457">
        <w:rPr>
          <w:rFonts w:ascii="Times New Roman" w:hAnsi="Times New Roman" w:cs="Times New Roman"/>
          <w:i/>
          <w:sz w:val="24"/>
          <w:szCs w:val="24"/>
          <w:shd w:val="clear" w:color="auto" w:fill="FFFFFF"/>
        </w:rPr>
        <w:t>Solanum lycopersicom</w:t>
      </w:r>
      <w:r w:rsidRPr="00153F07">
        <w:rPr>
          <w:rFonts w:ascii="Times New Roman" w:hAnsi="Times New Roman" w:cs="Times New Roman"/>
          <w:sz w:val="24"/>
          <w:szCs w:val="24"/>
          <w:shd w:val="clear" w:color="auto" w:fill="FFFFFF"/>
        </w:rPr>
        <w:t xml:space="preserve"> L.) fruit irrigated with treated wastewater. </w:t>
      </w:r>
      <w:r w:rsidRPr="00154457">
        <w:rPr>
          <w:rFonts w:ascii="Times New Roman" w:hAnsi="Times New Roman" w:cs="Times New Roman"/>
          <w:i/>
          <w:sz w:val="24"/>
          <w:szCs w:val="24"/>
          <w:shd w:val="clear" w:color="auto" w:fill="FFFFFF"/>
        </w:rPr>
        <w:t>Scientia Horticulturae</w:t>
      </w:r>
      <w:r w:rsidRPr="00153F07">
        <w:rPr>
          <w:rFonts w:ascii="Times New Roman" w:hAnsi="Times New Roman" w:cs="Times New Roman"/>
          <w:sz w:val="24"/>
          <w:szCs w:val="24"/>
          <w:shd w:val="clear" w:color="auto" w:fill="FFFFFF"/>
        </w:rPr>
        <w:t xml:space="preserve">, 113(3), 250-254. </w:t>
      </w:r>
      <w:hyperlink r:id="rId7" w:history="1">
        <w:r w:rsidRPr="004D40BA">
          <w:rPr>
            <w:rStyle w:val="Hyperlink"/>
            <w:rFonts w:ascii="Times New Roman" w:hAnsi="Times New Roman" w:cs="Times New Roman"/>
            <w:sz w:val="24"/>
            <w:szCs w:val="24"/>
            <w:shd w:val="clear" w:color="auto" w:fill="FFFFFF"/>
          </w:rPr>
          <w:t>https://doi.org/10.1016/j.scienta.2007.03.017</w:t>
        </w:r>
      </w:hyperlink>
    </w:p>
    <w:p w:rsidR="00153F07" w:rsidRP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153F07">
        <w:rPr>
          <w:rFonts w:ascii="Times New Roman" w:hAnsi="Times New Roman" w:cs="Times New Roman"/>
          <w:sz w:val="24"/>
          <w:szCs w:val="24"/>
          <w:shd w:val="clear" w:color="auto" w:fill="FFFFFF"/>
        </w:rPr>
        <w:lastRenderedPageBreak/>
        <w:t xml:space="preserve">Birghila, S., Matei, N., Dobrinas, S., Popescu, V., Soceanu, A., &amp; Niculescu, A. (2022). Assessment of heavy metal content in soil and </w:t>
      </w:r>
      <w:r w:rsidRPr="00154457">
        <w:rPr>
          <w:rFonts w:ascii="Times New Roman" w:hAnsi="Times New Roman" w:cs="Times New Roman"/>
          <w:i/>
          <w:sz w:val="24"/>
          <w:szCs w:val="24"/>
          <w:shd w:val="clear" w:color="auto" w:fill="FFFFFF"/>
        </w:rPr>
        <w:t>Lycopersicon</w:t>
      </w:r>
      <w:r w:rsidR="00154457" w:rsidRPr="00154457">
        <w:rPr>
          <w:rFonts w:ascii="Times New Roman" w:hAnsi="Times New Roman" w:cs="Times New Roman"/>
          <w:i/>
          <w:sz w:val="24"/>
          <w:szCs w:val="24"/>
          <w:shd w:val="clear" w:color="auto" w:fill="FFFFFF"/>
        </w:rPr>
        <w:t xml:space="preserve"> </w:t>
      </w:r>
      <w:r w:rsidRPr="00154457">
        <w:rPr>
          <w:rFonts w:ascii="Times New Roman" w:hAnsi="Times New Roman" w:cs="Times New Roman"/>
          <w:i/>
          <w:sz w:val="24"/>
          <w:szCs w:val="24"/>
          <w:shd w:val="clear" w:color="auto" w:fill="FFFFFF"/>
        </w:rPr>
        <w:t>esculentum</w:t>
      </w:r>
      <w:r w:rsidRPr="00153F07">
        <w:rPr>
          <w:rFonts w:ascii="Times New Roman" w:hAnsi="Times New Roman" w:cs="Times New Roman"/>
          <w:sz w:val="24"/>
          <w:szCs w:val="24"/>
          <w:shd w:val="clear" w:color="auto" w:fill="FFFFFF"/>
        </w:rPr>
        <w:t xml:space="preserve"> (tomato) and their health implications. </w:t>
      </w:r>
      <w:r w:rsidRPr="00C91E38">
        <w:rPr>
          <w:rFonts w:ascii="Times New Roman" w:hAnsi="Times New Roman" w:cs="Times New Roman"/>
          <w:i/>
          <w:sz w:val="24"/>
          <w:szCs w:val="24"/>
          <w:shd w:val="clear" w:color="auto" w:fill="FFFFFF"/>
        </w:rPr>
        <w:t>Biological Trace Element Research,</w:t>
      </w:r>
      <w:r w:rsidRPr="00153F07">
        <w:rPr>
          <w:rFonts w:ascii="Times New Roman" w:hAnsi="Times New Roman" w:cs="Times New Roman"/>
          <w:sz w:val="24"/>
          <w:szCs w:val="24"/>
          <w:shd w:val="clear" w:color="auto" w:fill="FFFFFF"/>
        </w:rPr>
        <w:t xml:space="preserve"> 201(3), 1547-1556. </w:t>
      </w:r>
      <w:hyperlink r:id="rId8" w:history="1">
        <w:r w:rsidRPr="004D40BA">
          <w:rPr>
            <w:rStyle w:val="Hyperlink"/>
            <w:rFonts w:ascii="Times New Roman" w:hAnsi="Times New Roman" w:cs="Times New Roman"/>
            <w:sz w:val="24"/>
            <w:szCs w:val="24"/>
            <w:shd w:val="clear" w:color="auto" w:fill="FFFFFF"/>
          </w:rPr>
          <w:t>https://doi.org/10.1007/s12011-022-03257-9</w:t>
        </w:r>
      </w:hyperlink>
    </w:p>
    <w:p w:rsidR="00153F07" w:rsidRP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153F07">
        <w:rPr>
          <w:rFonts w:ascii="Times New Roman" w:hAnsi="Times New Roman" w:cs="Times New Roman"/>
          <w:sz w:val="24"/>
          <w:szCs w:val="24"/>
          <w:shd w:val="clear" w:color="auto" w:fill="FFFFFF"/>
        </w:rPr>
        <w:t xml:space="preserve">Bramsiepe, C., Sievers, S., Seifert, T., Stefanidis, G. D., Vlachos, D. G., Schnitzer, H., Muster, B., Brunner, C., Sanders, J. P. M., Bruins, M. E., &amp;Schembecker, G. (2012). Low-cost small scale processing technologies for production applications in various environments—Mass produced factories. </w:t>
      </w:r>
      <w:r w:rsidRPr="00C91E38">
        <w:rPr>
          <w:rFonts w:ascii="Times New Roman" w:hAnsi="Times New Roman" w:cs="Times New Roman"/>
          <w:i/>
          <w:sz w:val="24"/>
          <w:szCs w:val="24"/>
          <w:shd w:val="clear" w:color="auto" w:fill="FFFFFF"/>
        </w:rPr>
        <w:t>Chemical Engineering and Processing: Process Intensification</w:t>
      </w:r>
      <w:r w:rsidRPr="00153F07">
        <w:rPr>
          <w:rFonts w:ascii="Times New Roman" w:hAnsi="Times New Roman" w:cs="Times New Roman"/>
          <w:sz w:val="24"/>
          <w:szCs w:val="24"/>
          <w:shd w:val="clear" w:color="auto" w:fill="FFFFFF"/>
        </w:rPr>
        <w:t xml:space="preserve">, 51, 32-52. </w:t>
      </w:r>
      <w:hyperlink r:id="rId9" w:history="1">
        <w:r w:rsidRPr="004D40BA">
          <w:rPr>
            <w:rStyle w:val="Hyperlink"/>
            <w:rFonts w:ascii="Times New Roman" w:hAnsi="Times New Roman" w:cs="Times New Roman"/>
            <w:sz w:val="24"/>
            <w:szCs w:val="24"/>
            <w:shd w:val="clear" w:color="auto" w:fill="FFFFFF"/>
          </w:rPr>
          <w:t>https://doi.org/10.1016/j.cep.2011.08.005</w:t>
        </w:r>
      </w:hyperlink>
    </w:p>
    <w:p w:rsid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shd w:val="clear" w:color="auto" w:fill="FFFFFF"/>
        </w:rPr>
      </w:pPr>
      <w:r w:rsidRPr="00153F07">
        <w:rPr>
          <w:rFonts w:ascii="Times New Roman" w:hAnsi="Times New Roman" w:cs="Times New Roman"/>
          <w:sz w:val="24"/>
          <w:szCs w:val="24"/>
          <w:shd w:val="clear" w:color="auto" w:fill="FFFFFF"/>
        </w:rPr>
        <w:t>Cobb, G. P., Sands, K., Waters, M., Wixson, B. G., &amp;Dorward-King, E. (2000). Accumulation of heavy metals by vegetables grown in mine wastes</w:t>
      </w:r>
      <w:r w:rsidRPr="00C91E38">
        <w:rPr>
          <w:rFonts w:ascii="Times New Roman" w:hAnsi="Times New Roman" w:cs="Times New Roman"/>
          <w:i/>
          <w:sz w:val="24"/>
          <w:szCs w:val="24"/>
          <w:shd w:val="clear" w:color="auto" w:fill="FFFFFF"/>
        </w:rPr>
        <w:t>. Environmental Toxicology and Chemistry,</w:t>
      </w:r>
      <w:r w:rsidRPr="00153F07">
        <w:rPr>
          <w:rFonts w:ascii="Times New Roman" w:hAnsi="Times New Roman" w:cs="Times New Roman"/>
          <w:sz w:val="24"/>
          <w:szCs w:val="24"/>
          <w:shd w:val="clear" w:color="auto" w:fill="FFFFFF"/>
        </w:rPr>
        <w:t xml:space="preserve"> 19(3), 600-607. </w:t>
      </w:r>
      <w:hyperlink r:id="rId10" w:history="1">
        <w:r w:rsidRPr="004D40BA">
          <w:rPr>
            <w:rStyle w:val="Hyperlink"/>
            <w:rFonts w:ascii="Times New Roman" w:hAnsi="Times New Roman" w:cs="Times New Roman"/>
            <w:sz w:val="24"/>
            <w:szCs w:val="24"/>
            <w:shd w:val="clear" w:color="auto" w:fill="FFFFFF"/>
          </w:rPr>
          <w:t>https://doi.org/10.1002/etc.5620190311</w:t>
        </w:r>
      </w:hyperlink>
    </w:p>
    <w:p w:rsidR="00153F07" w:rsidRP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153F07">
        <w:rPr>
          <w:rFonts w:ascii="Times New Roman" w:hAnsi="Times New Roman" w:cs="Times New Roman"/>
          <w:sz w:val="24"/>
          <w:szCs w:val="24"/>
          <w:shd w:val="clear" w:color="auto" w:fill="FFFFFF"/>
        </w:rPr>
        <w:t>Pérez-Figueroa, C. E., Salazar-Moreno, R., Fitz Rodríguez, E., López Cruz, I. L., Schmidt, U., &amp;Dannehl, D. (2023). Heavy Metals Accumulation in Lettuce and Cherry Tomatoes Cultivated in Cities</w:t>
      </w:r>
      <w:r w:rsidRPr="00A76614">
        <w:rPr>
          <w:rFonts w:ascii="Times New Roman" w:hAnsi="Times New Roman" w:cs="Times New Roman"/>
          <w:i/>
          <w:sz w:val="24"/>
          <w:szCs w:val="24"/>
          <w:shd w:val="clear" w:color="auto" w:fill="FFFFFF"/>
        </w:rPr>
        <w:t>. Polish Journal of Environmental Studies</w:t>
      </w:r>
      <w:r w:rsidRPr="00153F07">
        <w:rPr>
          <w:rFonts w:ascii="Times New Roman" w:hAnsi="Times New Roman" w:cs="Times New Roman"/>
          <w:sz w:val="24"/>
          <w:szCs w:val="24"/>
          <w:shd w:val="clear" w:color="auto" w:fill="FFFFFF"/>
        </w:rPr>
        <w:t xml:space="preserve">, 32(3). </w:t>
      </w:r>
      <w:hyperlink r:id="rId11" w:history="1">
        <w:r w:rsidRPr="004D40BA">
          <w:rPr>
            <w:rStyle w:val="Hyperlink"/>
            <w:rFonts w:ascii="Times New Roman" w:hAnsi="Times New Roman" w:cs="Times New Roman"/>
            <w:sz w:val="24"/>
            <w:szCs w:val="24"/>
            <w:shd w:val="clear" w:color="auto" w:fill="FFFFFF"/>
          </w:rPr>
          <w:t>https://doi.org/10.15244/pjoes/157316</w:t>
        </w:r>
      </w:hyperlink>
    </w:p>
    <w:p w:rsidR="001F7A6A" w:rsidRPr="005E2FE4" w:rsidRDefault="0088553F"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5E2FE4">
        <w:rPr>
          <w:rFonts w:ascii="Times New Roman" w:hAnsi="Times New Roman" w:cs="Times New Roman"/>
          <w:sz w:val="24"/>
          <w:szCs w:val="24"/>
          <w:shd w:val="clear" w:color="auto" w:fill="FFFFFF"/>
        </w:rPr>
        <w:t>Fatoba, P. O., Adepoju, A. O., &amp;Okewole, G. A. (2012). Heavy metal accumulation in the fruits of tomato and okra irrigated with industrial waste effluents. </w:t>
      </w:r>
      <w:r w:rsidRPr="005E2FE4">
        <w:rPr>
          <w:rFonts w:ascii="Times New Roman" w:hAnsi="Times New Roman" w:cs="Times New Roman"/>
          <w:i/>
          <w:iCs/>
          <w:sz w:val="24"/>
          <w:szCs w:val="24"/>
          <w:shd w:val="clear" w:color="auto" w:fill="FFFFFF"/>
        </w:rPr>
        <w:t>Jr. of Industrial Pollution Control</w:t>
      </w:r>
      <w:r w:rsidRPr="005E2FE4">
        <w:rPr>
          <w:rFonts w:ascii="Times New Roman" w:hAnsi="Times New Roman" w:cs="Times New Roman"/>
          <w:sz w:val="24"/>
          <w:szCs w:val="24"/>
          <w:shd w:val="clear" w:color="auto" w:fill="FFFFFF"/>
        </w:rPr>
        <w:t>, </w:t>
      </w:r>
      <w:r w:rsidRPr="005E2FE4">
        <w:rPr>
          <w:rFonts w:ascii="Times New Roman" w:hAnsi="Times New Roman" w:cs="Times New Roman"/>
          <w:i/>
          <w:iCs/>
          <w:sz w:val="24"/>
          <w:szCs w:val="24"/>
          <w:shd w:val="clear" w:color="auto" w:fill="FFFFFF"/>
        </w:rPr>
        <w:t>28</w:t>
      </w:r>
      <w:r w:rsidRPr="005E2FE4">
        <w:rPr>
          <w:rFonts w:ascii="Times New Roman" w:hAnsi="Times New Roman" w:cs="Times New Roman"/>
          <w:sz w:val="24"/>
          <w:szCs w:val="24"/>
          <w:shd w:val="clear" w:color="auto" w:fill="FFFFFF"/>
        </w:rPr>
        <w:t>(2), 103-107.</w:t>
      </w:r>
    </w:p>
    <w:p w:rsid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153F07">
        <w:rPr>
          <w:rFonts w:ascii="Times New Roman" w:hAnsi="Times New Roman" w:cs="Times New Roman"/>
          <w:sz w:val="24"/>
          <w:szCs w:val="24"/>
        </w:rPr>
        <w:t xml:space="preserve">Gupta, N., Yadav, K. K., Kumar, V., Kumar, S., Chadd, R. P., &amp; Kumar, A. (2019). Trace elements in soil-vegetables interface: Translocation, bioaccumulation, toxicity and amelioration - A review. </w:t>
      </w:r>
      <w:r w:rsidRPr="00542E1E">
        <w:rPr>
          <w:rFonts w:ascii="Times New Roman" w:hAnsi="Times New Roman" w:cs="Times New Roman"/>
          <w:i/>
          <w:sz w:val="24"/>
          <w:szCs w:val="24"/>
        </w:rPr>
        <w:t>Science of the Total Environment</w:t>
      </w:r>
      <w:r w:rsidRPr="00153F07">
        <w:rPr>
          <w:rFonts w:ascii="Times New Roman" w:hAnsi="Times New Roman" w:cs="Times New Roman"/>
          <w:sz w:val="24"/>
          <w:szCs w:val="24"/>
        </w:rPr>
        <w:t xml:space="preserve">, 651(2), 2927–2942. </w:t>
      </w:r>
      <w:hyperlink r:id="rId12" w:history="1">
        <w:r w:rsidRPr="004D40BA">
          <w:rPr>
            <w:rStyle w:val="Hyperlink"/>
            <w:rFonts w:ascii="Times New Roman" w:hAnsi="Times New Roman" w:cs="Times New Roman"/>
            <w:sz w:val="24"/>
            <w:szCs w:val="24"/>
          </w:rPr>
          <w:t>https://doi.org/10.1016/j.scitotenv.2018.10.047</w:t>
        </w:r>
      </w:hyperlink>
    </w:p>
    <w:p w:rsidR="00153F07" w:rsidRP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153F07">
        <w:rPr>
          <w:rFonts w:ascii="Times New Roman" w:hAnsi="Times New Roman" w:cs="Times New Roman"/>
          <w:sz w:val="24"/>
          <w:szCs w:val="24"/>
          <w:shd w:val="clear" w:color="auto" w:fill="FFFFFF"/>
        </w:rPr>
        <w:t>Hashem, H. A., Shouman, A. I., &amp;Hassanein, R. A. (2018). Physico–biochemical properties of tomato (</w:t>
      </w:r>
      <w:r w:rsidRPr="00154457">
        <w:rPr>
          <w:rFonts w:ascii="Times New Roman" w:hAnsi="Times New Roman" w:cs="Times New Roman"/>
          <w:i/>
          <w:sz w:val="24"/>
          <w:szCs w:val="24"/>
          <w:shd w:val="clear" w:color="auto" w:fill="FFFFFF"/>
        </w:rPr>
        <w:t>Solanum lycopersicum</w:t>
      </w:r>
      <w:r w:rsidR="00154457">
        <w:rPr>
          <w:rFonts w:ascii="Times New Roman" w:hAnsi="Times New Roman" w:cs="Times New Roman"/>
          <w:sz w:val="24"/>
          <w:szCs w:val="24"/>
          <w:shd w:val="clear" w:color="auto" w:fill="FFFFFF"/>
        </w:rPr>
        <w:t xml:space="preserve"> L.</w:t>
      </w:r>
      <w:r w:rsidRPr="00153F07">
        <w:rPr>
          <w:rFonts w:ascii="Times New Roman" w:hAnsi="Times New Roman" w:cs="Times New Roman"/>
          <w:sz w:val="24"/>
          <w:szCs w:val="24"/>
          <w:shd w:val="clear" w:color="auto" w:fill="FFFFFF"/>
        </w:rPr>
        <w:t xml:space="preserve">) grown in heavy–metal contaminated soil. Acta </w:t>
      </w:r>
      <w:r w:rsidRPr="00154457">
        <w:rPr>
          <w:rFonts w:ascii="Times New Roman" w:hAnsi="Times New Roman" w:cs="Times New Roman"/>
          <w:i/>
          <w:sz w:val="24"/>
          <w:szCs w:val="24"/>
          <w:shd w:val="clear" w:color="auto" w:fill="FFFFFF"/>
        </w:rPr>
        <w:t>Agriculturae</w:t>
      </w:r>
      <w:r w:rsidR="00154457" w:rsidRPr="00154457">
        <w:rPr>
          <w:rFonts w:ascii="Times New Roman" w:hAnsi="Times New Roman" w:cs="Times New Roman"/>
          <w:i/>
          <w:sz w:val="24"/>
          <w:szCs w:val="24"/>
          <w:shd w:val="clear" w:color="auto" w:fill="FFFFFF"/>
        </w:rPr>
        <w:t xml:space="preserve"> </w:t>
      </w:r>
      <w:r w:rsidRPr="00154457">
        <w:rPr>
          <w:rFonts w:ascii="Times New Roman" w:hAnsi="Times New Roman" w:cs="Times New Roman"/>
          <w:i/>
          <w:sz w:val="24"/>
          <w:szCs w:val="24"/>
          <w:shd w:val="clear" w:color="auto" w:fill="FFFFFF"/>
        </w:rPr>
        <w:t>Scandinavica, Section B—Soil &amp; Plant Science</w:t>
      </w:r>
      <w:r w:rsidRPr="00153F07">
        <w:rPr>
          <w:rFonts w:ascii="Times New Roman" w:hAnsi="Times New Roman" w:cs="Times New Roman"/>
          <w:sz w:val="24"/>
          <w:szCs w:val="24"/>
          <w:shd w:val="clear" w:color="auto" w:fill="FFFFFF"/>
        </w:rPr>
        <w:t xml:space="preserve">, 68(4), 334-341. </w:t>
      </w:r>
      <w:hyperlink r:id="rId13" w:history="1">
        <w:r w:rsidRPr="004D40BA">
          <w:rPr>
            <w:rStyle w:val="Hyperlink"/>
            <w:rFonts w:ascii="Times New Roman" w:hAnsi="Times New Roman" w:cs="Times New Roman"/>
            <w:sz w:val="24"/>
            <w:szCs w:val="24"/>
            <w:shd w:val="clear" w:color="auto" w:fill="FFFFFF"/>
          </w:rPr>
          <w:t>https://doi.org/10.1080/09064710.2017.1401113</w:t>
        </w:r>
      </w:hyperlink>
    </w:p>
    <w:p w:rsidR="00153F07" w:rsidRP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153F07">
        <w:rPr>
          <w:rFonts w:ascii="Times New Roman" w:hAnsi="Times New Roman" w:cs="Times New Roman"/>
          <w:sz w:val="24"/>
          <w:szCs w:val="24"/>
          <w:shd w:val="clear" w:color="auto" w:fill="FFFFFF"/>
        </w:rPr>
        <w:t xml:space="preserve">Leblebici, Z., &amp; Kar, M. (2018). Heavy Metals Accumulation in Vegetables Irrigated with Different Water Sources and Their Human Daily Intake in Nevsehir. </w:t>
      </w:r>
      <w:r w:rsidRPr="00542E1E">
        <w:rPr>
          <w:rFonts w:ascii="Times New Roman" w:hAnsi="Times New Roman" w:cs="Times New Roman"/>
          <w:i/>
          <w:sz w:val="24"/>
          <w:szCs w:val="24"/>
          <w:shd w:val="clear" w:color="auto" w:fill="FFFFFF"/>
        </w:rPr>
        <w:t>Journal of Agricultural Science and Technology,</w:t>
      </w:r>
      <w:r w:rsidRPr="00153F07">
        <w:rPr>
          <w:rFonts w:ascii="Times New Roman" w:hAnsi="Times New Roman" w:cs="Times New Roman"/>
          <w:sz w:val="24"/>
          <w:szCs w:val="24"/>
          <w:shd w:val="clear" w:color="auto" w:fill="FFFFFF"/>
        </w:rPr>
        <w:t xml:space="preserve"> 20(2), 401-415. </w:t>
      </w:r>
      <w:hyperlink r:id="rId14" w:history="1">
        <w:r w:rsidRPr="004D40BA">
          <w:rPr>
            <w:rStyle w:val="Hyperlink"/>
            <w:rFonts w:ascii="Times New Roman" w:hAnsi="Times New Roman" w:cs="Times New Roman"/>
            <w:sz w:val="24"/>
            <w:szCs w:val="24"/>
            <w:shd w:val="clear" w:color="auto" w:fill="FFFFFF"/>
          </w:rPr>
          <w:t>https://doi.org/10.22067/jast.v20i2.50900</w:t>
        </w:r>
      </w:hyperlink>
    </w:p>
    <w:p w:rsidR="00153F07" w:rsidRP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153F07">
        <w:rPr>
          <w:rFonts w:ascii="Times New Roman" w:hAnsi="Times New Roman" w:cs="Times New Roman"/>
          <w:sz w:val="24"/>
          <w:szCs w:val="24"/>
          <w:shd w:val="clear" w:color="auto" w:fill="FFFFFF"/>
        </w:rPr>
        <w:t xml:space="preserve">Liang, L., Wang, Z., &amp; Li, J. (2019). The effect of urbanization on environmental pollution in rapidly developing urban agglomerations. </w:t>
      </w:r>
      <w:r w:rsidRPr="00A76614">
        <w:rPr>
          <w:rFonts w:ascii="Times New Roman" w:hAnsi="Times New Roman" w:cs="Times New Roman"/>
          <w:i/>
          <w:sz w:val="24"/>
          <w:szCs w:val="24"/>
          <w:shd w:val="clear" w:color="auto" w:fill="FFFFFF"/>
        </w:rPr>
        <w:t>Journal of Cleaner Production</w:t>
      </w:r>
      <w:r w:rsidRPr="00153F07">
        <w:rPr>
          <w:rFonts w:ascii="Times New Roman" w:hAnsi="Times New Roman" w:cs="Times New Roman"/>
          <w:sz w:val="24"/>
          <w:szCs w:val="24"/>
          <w:shd w:val="clear" w:color="auto" w:fill="FFFFFF"/>
        </w:rPr>
        <w:t xml:space="preserve">, 237, 117649. </w:t>
      </w:r>
      <w:hyperlink r:id="rId15" w:history="1">
        <w:r w:rsidRPr="004D40BA">
          <w:rPr>
            <w:rStyle w:val="Hyperlink"/>
            <w:rFonts w:ascii="Times New Roman" w:hAnsi="Times New Roman" w:cs="Times New Roman"/>
            <w:sz w:val="24"/>
            <w:szCs w:val="24"/>
            <w:shd w:val="clear" w:color="auto" w:fill="FFFFFF"/>
          </w:rPr>
          <w:t>https://doi.org/10.1016/j.jclepro.2019.117649</w:t>
        </w:r>
      </w:hyperlink>
    </w:p>
    <w:p w:rsidR="00153F07" w:rsidRP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153F07">
        <w:rPr>
          <w:rFonts w:ascii="Times New Roman" w:hAnsi="Times New Roman" w:cs="Times New Roman"/>
          <w:sz w:val="24"/>
          <w:szCs w:val="24"/>
          <w:shd w:val="clear" w:color="auto" w:fill="FFFFFF"/>
        </w:rPr>
        <w:t xml:space="preserve">Liu, L., Li, W., Song, W., &amp; Guo, M. (2018). Remediation techniques for heavy metal-contaminated soils: Principles and applicability. </w:t>
      </w:r>
      <w:r w:rsidRPr="00542E1E">
        <w:rPr>
          <w:rFonts w:ascii="Times New Roman" w:hAnsi="Times New Roman" w:cs="Times New Roman"/>
          <w:i/>
          <w:sz w:val="24"/>
          <w:szCs w:val="24"/>
          <w:shd w:val="clear" w:color="auto" w:fill="FFFFFF"/>
        </w:rPr>
        <w:t>Science of the Total Environment</w:t>
      </w:r>
      <w:r w:rsidRPr="00153F07">
        <w:rPr>
          <w:rFonts w:ascii="Times New Roman" w:hAnsi="Times New Roman" w:cs="Times New Roman"/>
          <w:sz w:val="24"/>
          <w:szCs w:val="24"/>
          <w:shd w:val="clear" w:color="auto" w:fill="FFFFFF"/>
        </w:rPr>
        <w:t xml:space="preserve">, 633, 206-219. </w:t>
      </w:r>
      <w:hyperlink r:id="rId16" w:history="1">
        <w:r w:rsidRPr="004D40BA">
          <w:rPr>
            <w:rStyle w:val="Hyperlink"/>
            <w:rFonts w:ascii="Times New Roman" w:hAnsi="Times New Roman" w:cs="Times New Roman"/>
            <w:sz w:val="24"/>
            <w:szCs w:val="24"/>
            <w:shd w:val="clear" w:color="auto" w:fill="FFFFFF"/>
          </w:rPr>
          <w:t>https://doi.org/10.1016/j.scitotenv.2018.03.161</w:t>
        </w:r>
      </w:hyperlink>
    </w:p>
    <w:p w:rsidR="0088553F" w:rsidRPr="005E2FE4" w:rsidRDefault="0088553F"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5E2FE4">
        <w:rPr>
          <w:rFonts w:ascii="Times New Roman" w:hAnsi="Times New Roman" w:cs="Times New Roman"/>
          <w:sz w:val="24"/>
          <w:szCs w:val="24"/>
          <w:shd w:val="clear" w:color="auto" w:fill="FFFFFF"/>
        </w:rPr>
        <w:t>Miteva, Maneva, Hristova, &amp;Bojinova. (2001). Heavy Metal Accumulation in Virus‐infected Tomatoes. </w:t>
      </w:r>
      <w:r w:rsidRPr="005E2FE4">
        <w:rPr>
          <w:rFonts w:ascii="Times New Roman" w:hAnsi="Times New Roman" w:cs="Times New Roman"/>
          <w:i/>
          <w:iCs/>
          <w:sz w:val="24"/>
          <w:szCs w:val="24"/>
          <w:shd w:val="clear" w:color="auto" w:fill="FFFFFF"/>
        </w:rPr>
        <w:t>Journal of phytopathology</w:t>
      </w:r>
      <w:r w:rsidRPr="005E2FE4">
        <w:rPr>
          <w:rFonts w:ascii="Times New Roman" w:hAnsi="Times New Roman" w:cs="Times New Roman"/>
          <w:sz w:val="24"/>
          <w:szCs w:val="24"/>
          <w:shd w:val="clear" w:color="auto" w:fill="FFFFFF"/>
        </w:rPr>
        <w:t>, </w:t>
      </w:r>
      <w:r w:rsidRPr="005E2FE4">
        <w:rPr>
          <w:rFonts w:ascii="Times New Roman" w:hAnsi="Times New Roman" w:cs="Times New Roman"/>
          <w:i/>
          <w:iCs/>
          <w:sz w:val="24"/>
          <w:szCs w:val="24"/>
          <w:shd w:val="clear" w:color="auto" w:fill="FFFFFF"/>
        </w:rPr>
        <w:t>149</w:t>
      </w:r>
      <w:r w:rsidRPr="005E2FE4">
        <w:rPr>
          <w:rFonts w:ascii="Times New Roman" w:hAnsi="Times New Roman" w:cs="Times New Roman"/>
          <w:sz w:val="24"/>
          <w:szCs w:val="24"/>
          <w:shd w:val="clear" w:color="auto" w:fill="FFFFFF"/>
        </w:rPr>
        <w:t>(3‐4), 179-184.</w:t>
      </w:r>
    </w:p>
    <w:p w:rsidR="00153F07" w:rsidRDefault="00153F07"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shd w:val="clear" w:color="auto" w:fill="FFFFFF"/>
        </w:rPr>
      </w:pPr>
      <w:r w:rsidRPr="00153F07">
        <w:rPr>
          <w:rFonts w:ascii="Times New Roman" w:hAnsi="Times New Roman" w:cs="Times New Roman"/>
          <w:sz w:val="24"/>
          <w:szCs w:val="24"/>
          <w:shd w:val="clear" w:color="auto" w:fill="FFFFFF"/>
        </w:rPr>
        <w:t>Murtic, S., Zahirović, Ć., Čivić, H., Karić, L., &amp;Jurković, J. (2018). Uptake of heavy metals by tomato plants (</w:t>
      </w:r>
      <w:r w:rsidRPr="00154457">
        <w:rPr>
          <w:rFonts w:ascii="Times New Roman" w:hAnsi="Times New Roman" w:cs="Times New Roman"/>
          <w:i/>
          <w:sz w:val="24"/>
          <w:szCs w:val="24"/>
          <w:shd w:val="clear" w:color="auto" w:fill="FFFFFF"/>
        </w:rPr>
        <w:t>Lycopersicum</w:t>
      </w:r>
      <w:r w:rsidR="00154457" w:rsidRPr="00154457">
        <w:rPr>
          <w:rFonts w:ascii="Times New Roman" w:hAnsi="Times New Roman" w:cs="Times New Roman"/>
          <w:i/>
          <w:sz w:val="24"/>
          <w:szCs w:val="24"/>
          <w:shd w:val="clear" w:color="auto" w:fill="FFFFFF"/>
        </w:rPr>
        <w:t xml:space="preserve"> </w:t>
      </w:r>
      <w:r w:rsidRPr="00154457">
        <w:rPr>
          <w:rFonts w:ascii="Times New Roman" w:hAnsi="Times New Roman" w:cs="Times New Roman"/>
          <w:i/>
          <w:sz w:val="24"/>
          <w:szCs w:val="24"/>
          <w:shd w:val="clear" w:color="auto" w:fill="FFFFFF"/>
        </w:rPr>
        <w:t>esculentum</w:t>
      </w:r>
      <w:r w:rsidRPr="00153F07">
        <w:rPr>
          <w:rFonts w:ascii="Times New Roman" w:hAnsi="Times New Roman" w:cs="Times New Roman"/>
          <w:sz w:val="24"/>
          <w:szCs w:val="24"/>
          <w:shd w:val="clear" w:color="auto" w:fill="FFFFFF"/>
        </w:rPr>
        <w:t xml:space="preserve"> Mill.) and their distribution inside the plant. </w:t>
      </w:r>
      <w:r w:rsidRPr="00542E1E">
        <w:rPr>
          <w:rFonts w:ascii="Times New Roman" w:hAnsi="Times New Roman" w:cs="Times New Roman"/>
          <w:i/>
          <w:sz w:val="24"/>
          <w:szCs w:val="24"/>
          <w:shd w:val="clear" w:color="auto" w:fill="FFFFFF"/>
        </w:rPr>
        <w:t xml:space="preserve">Agriculture and Forestry, </w:t>
      </w:r>
      <w:r w:rsidRPr="00153F07">
        <w:rPr>
          <w:rFonts w:ascii="Times New Roman" w:hAnsi="Times New Roman" w:cs="Times New Roman"/>
          <w:sz w:val="24"/>
          <w:szCs w:val="24"/>
          <w:shd w:val="clear" w:color="auto" w:fill="FFFFFF"/>
        </w:rPr>
        <w:t xml:space="preserve">64(4), 251-261. </w:t>
      </w:r>
      <w:hyperlink r:id="rId17" w:history="1">
        <w:r w:rsidRPr="004D40BA">
          <w:rPr>
            <w:rStyle w:val="Hyperlink"/>
            <w:rFonts w:ascii="Times New Roman" w:hAnsi="Times New Roman" w:cs="Times New Roman"/>
            <w:sz w:val="24"/>
            <w:szCs w:val="24"/>
            <w:shd w:val="clear" w:color="auto" w:fill="FFFFFF"/>
          </w:rPr>
          <w:t>https://doi.org/10.17707/AgricultForest.64.4.25</w:t>
        </w:r>
      </w:hyperlink>
    </w:p>
    <w:p w:rsidR="0088553F" w:rsidRPr="005E2FE4" w:rsidRDefault="0088553F"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shd w:val="clear" w:color="auto" w:fill="FFFFFF"/>
        </w:rPr>
      </w:pPr>
      <w:r w:rsidRPr="005E2FE4">
        <w:rPr>
          <w:rFonts w:ascii="Times New Roman" w:hAnsi="Times New Roman" w:cs="Times New Roman"/>
          <w:sz w:val="24"/>
          <w:szCs w:val="24"/>
          <w:shd w:val="clear" w:color="auto" w:fill="FFFFFF"/>
        </w:rPr>
        <w:t>Naz, S., Anjum, M. A., &amp; Haider, S. T. A. (2019). Effect of different irrigation sources on growth, yield and heavy metals accumulation in tomato and okra. </w:t>
      </w:r>
      <w:r w:rsidRPr="005E2FE4">
        <w:rPr>
          <w:rFonts w:ascii="Times New Roman" w:hAnsi="Times New Roman" w:cs="Times New Roman"/>
          <w:i/>
          <w:iCs/>
          <w:sz w:val="24"/>
          <w:szCs w:val="24"/>
          <w:shd w:val="clear" w:color="auto" w:fill="FFFFFF"/>
        </w:rPr>
        <w:t>J Hortic Sci Technol</w:t>
      </w:r>
      <w:r w:rsidRPr="005E2FE4">
        <w:rPr>
          <w:rFonts w:ascii="Times New Roman" w:hAnsi="Times New Roman" w:cs="Times New Roman"/>
          <w:sz w:val="24"/>
          <w:szCs w:val="24"/>
          <w:shd w:val="clear" w:color="auto" w:fill="FFFFFF"/>
        </w:rPr>
        <w:t>, </w:t>
      </w:r>
      <w:r w:rsidRPr="005E2FE4">
        <w:rPr>
          <w:rFonts w:ascii="Times New Roman" w:hAnsi="Times New Roman" w:cs="Times New Roman"/>
          <w:i/>
          <w:iCs/>
          <w:sz w:val="24"/>
          <w:szCs w:val="24"/>
          <w:shd w:val="clear" w:color="auto" w:fill="FFFFFF"/>
        </w:rPr>
        <w:t>2</w:t>
      </w:r>
      <w:r w:rsidRPr="005E2FE4">
        <w:rPr>
          <w:rFonts w:ascii="Times New Roman" w:hAnsi="Times New Roman" w:cs="Times New Roman"/>
          <w:sz w:val="24"/>
          <w:szCs w:val="24"/>
          <w:shd w:val="clear" w:color="auto" w:fill="FFFFFF"/>
        </w:rPr>
        <w:t>, 10-19.</w:t>
      </w:r>
    </w:p>
    <w:p w:rsidR="00E83A62" w:rsidRPr="00E83A62" w:rsidRDefault="00E83A62"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E83A62">
        <w:rPr>
          <w:rFonts w:ascii="Times New Roman" w:hAnsi="Times New Roman" w:cs="Times New Roman"/>
          <w:sz w:val="24"/>
          <w:szCs w:val="24"/>
          <w:shd w:val="clear" w:color="auto" w:fill="FFFFFF"/>
        </w:rPr>
        <w:t xml:space="preserve">Niţu, M., Pruteanu, A., Bordean, D. M., Popescu, C., Deak, G., Boboc, M., &amp;Mustăţea, G. (2019). Researches on the accumulation and transfer of heavy metals in the soil in tomatoes- </w:t>
      </w:r>
      <w:r w:rsidRPr="00154457">
        <w:rPr>
          <w:rFonts w:ascii="Times New Roman" w:hAnsi="Times New Roman" w:cs="Times New Roman"/>
          <w:i/>
          <w:sz w:val="24"/>
          <w:szCs w:val="24"/>
          <w:shd w:val="clear" w:color="auto" w:fill="FFFFFF"/>
        </w:rPr>
        <w:t>Solanum lycopersicum</w:t>
      </w:r>
      <w:r w:rsidR="00154457">
        <w:rPr>
          <w:rFonts w:ascii="Times New Roman" w:hAnsi="Times New Roman" w:cs="Times New Roman"/>
          <w:i/>
          <w:sz w:val="24"/>
          <w:szCs w:val="24"/>
          <w:shd w:val="clear" w:color="auto" w:fill="FFFFFF"/>
        </w:rPr>
        <w:t xml:space="preserve"> </w:t>
      </w:r>
      <w:r w:rsidR="00154457">
        <w:rPr>
          <w:rFonts w:ascii="Times New Roman" w:hAnsi="Times New Roman" w:cs="Times New Roman"/>
          <w:sz w:val="24"/>
          <w:szCs w:val="24"/>
          <w:shd w:val="clear" w:color="auto" w:fill="FFFFFF"/>
        </w:rPr>
        <w:t>L.</w:t>
      </w:r>
      <w:r w:rsidRPr="00E83A62">
        <w:rPr>
          <w:rFonts w:ascii="Times New Roman" w:hAnsi="Times New Roman" w:cs="Times New Roman"/>
          <w:sz w:val="24"/>
          <w:szCs w:val="24"/>
          <w:shd w:val="clear" w:color="auto" w:fill="FFFFFF"/>
        </w:rPr>
        <w:t xml:space="preserve">. E3S Web of Conferences, 112, 03020. </w:t>
      </w:r>
      <w:hyperlink r:id="rId18" w:history="1">
        <w:r w:rsidRPr="004D40BA">
          <w:rPr>
            <w:rStyle w:val="Hyperlink"/>
            <w:rFonts w:ascii="Times New Roman" w:hAnsi="Times New Roman" w:cs="Times New Roman"/>
            <w:sz w:val="24"/>
            <w:szCs w:val="24"/>
            <w:shd w:val="clear" w:color="auto" w:fill="FFFFFF"/>
          </w:rPr>
          <w:t>https://doi.org/10.1051/e3sconf/201911203020</w:t>
        </w:r>
      </w:hyperlink>
    </w:p>
    <w:p w:rsidR="0088553F" w:rsidRPr="005E2FE4" w:rsidRDefault="0088553F"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5E2FE4">
        <w:rPr>
          <w:rFonts w:ascii="Times New Roman" w:hAnsi="Times New Roman" w:cs="Times New Roman"/>
          <w:sz w:val="24"/>
          <w:szCs w:val="24"/>
          <w:shd w:val="clear" w:color="auto" w:fill="FFFFFF"/>
        </w:rPr>
        <w:lastRenderedPageBreak/>
        <w:t>Ramadan, M. A., &amp; Al-Ashkar, E. A. (2007). The effect of different fertilizers on the heavy metals in soil and tomato plant. </w:t>
      </w:r>
      <w:r w:rsidRPr="005E2FE4">
        <w:rPr>
          <w:rFonts w:ascii="Times New Roman" w:hAnsi="Times New Roman" w:cs="Times New Roman"/>
          <w:i/>
          <w:iCs/>
          <w:sz w:val="24"/>
          <w:szCs w:val="24"/>
          <w:shd w:val="clear" w:color="auto" w:fill="FFFFFF"/>
        </w:rPr>
        <w:t>Australian Journal of Basic and Applied Sciences</w:t>
      </w:r>
      <w:r w:rsidRPr="005E2FE4">
        <w:rPr>
          <w:rFonts w:ascii="Times New Roman" w:hAnsi="Times New Roman" w:cs="Times New Roman"/>
          <w:sz w:val="24"/>
          <w:szCs w:val="24"/>
          <w:shd w:val="clear" w:color="auto" w:fill="FFFFFF"/>
        </w:rPr>
        <w:t>, </w:t>
      </w:r>
      <w:r w:rsidRPr="005E2FE4">
        <w:rPr>
          <w:rFonts w:ascii="Times New Roman" w:hAnsi="Times New Roman" w:cs="Times New Roman"/>
          <w:i/>
          <w:iCs/>
          <w:sz w:val="24"/>
          <w:szCs w:val="24"/>
          <w:shd w:val="clear" w:color="auto" w:fill="FFFFFF"/>
        </w:rPr>
        <w:t>1</w:t>
      </w:r>
      <w:r w:rsidRPr="005E2FE4">
        <w:rPr>
          <w:rFonts w:ascii="Times New Roman" w:hAnsi="Times New Roman" w:cs="Times New Roman"/>
          <w:sz w:val="24"/>
          <w:szCs w:val="24"/>
          <w:shd w:val="clear" w:color="auto" w:fill="FFFFFF"/>
        </w:rPr>
        <w:t>(3), 300-306.</w:t>
      </w:r>
    </w:p>
    <w:p w:rsidR="00E83A62" w:rsidRPr="00E83A62" w:rsidRDefault="00E83A62" w:rsidP="005F43CF">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E83A62">
        <w:rPr>
          <w:rFonts w:ascii="Times New Roman" w:hAnsi="Times New Roman" w:cs="Times New Roman"/>
          <w:sz w:val="24"/>
          <w:szCs w:val="24"/>
          <w:shd w:val="clear" w:color="auto" w:fill="FFFFFF"/>
        </w:rPr>
        <w:t>Salem, N. M., Albanna, L. S., &amp;Awwad, A. M. (2016). Toxic heavy metals accumulation in tomato plant (</w:t>
      </w:r>
      <w:r w:rsidRPr="007D49D0">
        <w:rPr>
          <w:rFonts w:ascii="Times New Roman" w:hAnsi="Times New Roman" w:cs="Times New Roman"/>
          <w:i/>
          <w:sz w:val="24"/>
          <w:szCs w:val="24"/>
          <w:shd w:val="clear" w:color="auto" w:fill="FFFFFF"/>
        </w:rPr>
        <w:t>Solanum lycopersicum</w:t>
      </w:r>
      <w:r w:rsidR="007D49D0">
        <w:rPr>
          <w:rFonts w:ascii="Times New Roman" w:hAnsi="Times New Roman" w:cs="Times New Roman"/>
          <w:sz w:val="24"/>
          <w:szCs w:val="24"/>
          <w:shd w:val="clear" w:color="auto" w:fill="FFFFFF"/>
        </w:rPr>
        <w:t xml:space="preserve"> L.</w:t>
      </w:r>
      <w:r w:rsidRPr="00E83A62">
        <w:rPr>
          <w:rFonts w:ascii="Times New Roman" w:hAnsi="Times New Roman" w:cs="Times New Roman"/>
          <w:sz w:val="24"/>
          <w:szCs w:val="24"/>
          <w:shd w:val="clear" w:color="auto" w:fill="FFFFFF"/>
        </w:rPr>
        <w:t xml:space="preserve">). ARPN </w:t>
      </w:r>
      <w:r w:rsidRPr="003C0CD3">
        <w:rPr>
          <w:rFonts w:ascii="Times New Roman" w:hAnsi="Times New Roman" w:cs="Times New Roman"/>
          <w:i/>
          <w:sz w:val="24"/>
          <w:szCs w:val="24"/>
          <w:shd w:val="clear" w:color="auto" w:fill="FFFFFF"/>
        </w:rPr>
        <w:t>Journal of Agricultural and Biological Science</w:t>
      </w:r>
      <w:r w:rsidRPr="00E83A62">
        <w:rPr>
          <w:rFonts w:ascii="Times New Roman" w:hAnsi="Times New Roman" w:cs="Times New Roman"/>
          <w:sz w:val="24"/>
          <w:szCs w:val="24"/>
          <w:shd w:val="clear" w:color="auto" w:fill="FFFFFF"/>
        </w:rPr>
        <w:t xml:space="preserve">, 11, 399-404. </w:t>
      </w:r>
      <w:hyperlink r:id="rId19" w:history="1">
        <w:r w:rsidRPr="004D40BA">
          <w:rPr>
            <w:rStyle w:val="Hyperlink"/>
            <w:rFonts w:ascii="Times New Roman" w:hAnsi="Times New Roman" w:cs="Times New Roman"/>
            <w:sz w:val="24"/>
            <w:szCs w:val="24"/>
            <w:shd w:val="clear" w:color="auto" w:fill="FFFFFF"/>
          </w:rPr>
          <w:t>https://journals.ju.edu.jo/ARPN/article/view/10399/900</w:t>
        </w:r>
      </w:hyperlink>
    </w:p>
    <w:p w:rsidR="00E83A62" w:rsidRPr="00E83A62" w:rsidRDefault="00E83A62" w:rsidP="000519CB">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E83A62">
        <w:rPr>
          <w:rFonts w:ascii="Times New Roman" w:hAnsi="Times New Roman" w:cs="Times New Roman"/>
          <w:sz w:val="24"/>
          <w:szCs w:val="24"/>
          <w:shd w:val="clear" w:color="auto" w:fill="FFFFFF"/>
        </w:rPr>
        <w:t xml:space="preserve">Shafi, Z., Shahid, M., Ilyas, T., &amp; Singh, K. (2025). Next-generation perspectives on microbially synthesized siderophores: molecular engineering, multi-omics insights, and applications for smart climate-resilient crops. </w:t>
      </w:r>
      <w:r w:rsidRPr="003C0CD3">
        <w:rPr>
          <w:rFonts w:ascii="Times New Roman" w:hAnsi="Times New Roman" w:cs="Times New Roman"/>
          <w:i/>
          <w:sz w:val="24"/>
          <w:szCs w:val="24"/>
          <w:shd w:val="clear" w:color="auto" w:fill="FFFFFF"/>
        </w:rPr>
        <w:t>World Journal of Microbiology and Biotechnology</w:t>
      </w:r>
      <w:r w:rsidRPr="00E83A62">
        <w:rPr>
          <w:rFonts w:ascii="Times New Roman" w:hAnsi="Times New Roman" w:cs="Times New Roman"/>
          <w:sz w:val="24"/>
          <w:szCs w:val="24"/>
          <w:shd w:val="clear" w:color="auto" w:fill="FFFFFF"/>
        </w:rPr>
        <w:t xml:space="preserve">, 41(10), 393. </w:t>
      </w:r>
      <w:hyperlink r:id="rId20" w:history="1">
        <w:r w:rsidRPr="004D40BA">
          <w:rPr>
            <w:rStyle w:val="Hyperlink"/>
            <w:rFonts w:ascii="Times New Roman" w:hAnsi="Times New Roman" w:cs="Times New Roman"/>
            <w:sz w:val="24"/>
            <w:szCs w:val="24"/>
            <w:shd w:val="clear" w:color="auto" w:fill="FFFFFF"/>
          </w:rPr>
          <w:t>https://doi.org/10.1007/s11274-025-04575-5</w:t>
        </w:r>
      </w:hyperlink>
    </w:p>
    <w:p w:rsidR="000519CB" w:rsidRPr="00E83A62" w:rsidRDefault="00E83A62" w:rsidP="000519CB">
      <w:pPr>
        <w:pStyle w:val="ListParagraph"/>
        <w:widowControl w:val="0"/>
        <w:numPr>
          <w:ilvl w:val="0"/>
          <w:numId w:val="2"/>
        </w:numPr>
        <w:autoSpaceDE w:val="0"/>
        <w:autoSpaceDN w:val="0"/>
        <w:spacing w:after="0" w:line="240" w:lineRule="auto"/>
        <w:contextualSpacing w:val="0"/>
        <w:jc w:val="both"/>
        <w:rPr>
          <w:rFonts w:ascii="Times New Roman" w:hAnsi="Times New Roman" w:cs="Times New Roman"/>
          <w:sz w:val="24"/>
          <w:szCs w:val="24"/>
        </w:rPr>
      </w:pPr>
      <w:r w:rsidRPr="00E83A62">
        <w:rPr>
          <w:rFonts w:ascii="Times New Roman" w:hAnsi="Times New Roman" w:cs="Times New Roman"/>
          <w:sz w:val="24"/>
          <w:szCs w:val="24"/>
          <w:shd w:val="clear" w:color="auto" w:fill="FFFFFF"/>
        </w:rPr>
        <w:t xml:space="preserve">Sharma, J. K., Kumar, N., Singh, N. P., &amp; Santal, A. R. (2023). Phytoremediation technologies and their mechanism for removal of heavy metal from contaminated soil: An approach for a sustainable environment. </w:t>
      </w:r>
      <w:r w:rsidRPr="003C0CD3">
        <w:rPr>
          <w:rFonts w:ascii="Times New Roman" w:hAnsi="Times New Roman" w:cs="Times New Roman"/>
          <w:i/>
          <w:sz w:val="24"/>
          <w:szCs w:val="24"/>
          <w:shd w:val="clear" w:color="auto" w:fill="FFFFFF"/>
        </w:rPr>
        <w:t>Frontiers in Plant Science</w:t>
      </w:r>
      <w:r w:rsidRPr="00E83A62">
        <w:rPr>
          <w:rFonts w:ascii="Times New Roman" w:hAnsi="Times New Roman" w:cs="Times New Roman"/>
          <w:sz w:val="24"/>
          <w:szCs w:val="24"/>
          <w:shd w:val="clear" w:color="auto" w:fill="FFFFFF"/>
        </w:rPr>
        <w:t xml:space="preserve">, 14, 1076876. </w:t>
      </w:r>
      <w:hyperlink r:id="rId21" w:history="1">
        <w:r w:rsidRPr="00E83A62">
          <w:rPr>
            <w:rStyle w:val="Hyperlink"/>
            <w:rFonts w:ascii="Times New Roman" w:hAnsi="Times New Roman" w:cs="Times New Roman"/>
            <w:sz w:val="24"/>
            <w:szCs w:val="24"/>
            <w:shd w:val="clear" w:color="auto" w:fill="FFFFFF"/>
          </w:rPr>
          <w:t>https://doi.org/10.3389/fpls.2023.1076876</w:t>
        </w:r>
      </w:hyperlink>
    </w:p>
    <w:p w:rsidR="00E83A62" w:rsidRPr="005E2FE4" w:rsidRDefault="00E83A62" w:rsidP="000519CB">
      <w:pPr>
        <w:widowControl w:val="0"/>
        <w:autoSpaceDE w:val="0"/>
        <w:autoSpaceDN w:val="0"/>
        <w:spacing w:after="0" w:line="240" w:lineRule="auto"/>
        <w:jc w:val="both"/>
        <w:rPr>
          <w:rFonts w:ascii="Times New Roman" w:hAnsi="Times New Roman" w:cs="Times New Roman"/>
          <w:sz w:val="24"/>
          <w:szCs w:val="24"/>
        </w:rPr>
      </w:pPr>
    </w:p>
    <w:p w:rsidR="000519CB" w:rsidRPr="005E2FE4" w:rsidRDefault="000519CB" w:rsidP="000519CB">
      <w:pPr>
        <w:widowControl w:val="0"/>
        <w:autoSpaceDE w:val="0"/>
        <w:autoSpaceDN w:val="0"/>
        <w:spacing w:after="0" w:line="240" w:lineRule="auto"/>
        <w:jc w:val="both"/>
        <w:rPr>
          <w:rFonts w:ascii="Times New Roman" w:hAnsi="Times New Roman" w:cs="Times New Roman"/>
          <w:sz w:val="24"/>
          <w:szCs w:val="24"/>
        </w:rPr>
      </w:pPr>
    </w:p>
    <w:p w:rsidR="000519CB" w:rsidRPr="005E2FE4" w:rsidRDefault="000519CB" w:rsidP="000519CB">
      <w:pPr>
        <w:widowControl w:val="0"/>
        <w:autoSpaceDE w:val="0"/>
        <w:autoSpaceDN w:val="0"/>
        <w:spacing w:after="0" w:line="240" w:lineRule="auto"/>
        <w:jc w:val="both"/>
        <w:rPr>
          <w:rFonts w:ascii="Times New Roman" w:hAnsi="Times New Roman" w:cs="Times New Roman"/>
          <w:sz w:val="24"/>
          <w:szCs w:val="24"/>
        </w:rPr>
        <w:sectPr w:rsidR="000519CB" w:rsidRPr="005E2FE4" w:rsidSect="00817F3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810" w:header="720" w:footer="720" w:gutter="0"/>
          <w:cols w:space="720"/>
          <w:docGrid w:linePitch="360"/>
        </w:sectPr>
      </w:pPr>
    </w:p>
    <w:p w:rsidR="002C36E3" w:rsidRPr="005E2FE4" w:rsidRDefault="002C36E3" w:rsidP="005F43CF">
      <w:pPr>
        <w:spacing w:after="0"/>
        <w:ind w:hanging="810"/>
        <w:jc w:val="both"/>
        <w:rPr>
          <w:rFonts w:ascii="Times New Roman" w:hAnsi="Times New Roman" w:cs="Times New Roman"/>
          <w:sz w:val="24"/>
          <w:szCs w:val="24"/>
        </w:rPr>
      </w:pPr>
      <w:r w:rsidRPr="005E2FE4">
        <w:rPr>
          <w:rFonts w:ascii="Times New Roman" w:hAnsi="Times New Roman" w:cs="Times New Roman"/>
          <w:sz w:val="24"/>
          <w:szCs w:val="24"/>
        </w:rPr>
        <w:lastRenderedPageBreak/>
        <w:t>Table-1:</w:t>
      </w:r>
      <w:r w:rsidR="00F05542" w:rsidRPr="00F05542">
        <w:rPr>
          <w:rFonts w:ascii="Times New Roman" w:hAnsi="Times New Roman" w:cs="Times New Roman"/>
          <w:sz w:val="24"/>
          <w:szCs w:val="24"/>
        </w:rPr>
        <w:t xml:space="preserve"> </w:t>
      </w:r>
      <w:r w:rsidR="00F05542" w:rsidRPr="00386FDD">
        <w:rPr>
          <w:rFonts w:ascii="Times New Roman" w:hAnsi="Times New Roman" w:cs="Times New Roman"/>
          <w:sz w:val="24"/>
          <w:szCs w:val="24"/>
        </w:rPr>
        <w:t xml:space="preserve">Effect of organic amendments on </w:t>
      </w:r>
      <w:r w:rsidR="00F05542" w:rsidRPr="00E70ABC">
        <w:rPr>
          <w:rStyle w:val="Strong"/>
          <w:rFonts w:ascii="Times New Roman" w:hAnsi="Times New Roman" w:cs="Times New Roman"/>
          <w:b w:val="0"/>
          <w:sz w:val="24"/>
          <w:szCs w:val="24"/>
        </w:rPr>
        <w:t>lead (Pb) accumulation (mg kg⁻¹)</w:t>
      </w:r>
      <w:r w:rsidR="00F05542" w:rsidRPr="00386FDD">
        <w:rPr>
          <w:rFonts w:ascii="Times New Roman" w:hAnsi="Times New Roman" w:cs="Times New Roman"/>
          <w:sz w:val="24"/>
          <w:szCs w:val="24"/>
        </w:rPr>
        <w:t xml:space="preserve"> in leaves of brinjal and tomato grown in </w:t>
      </w:r>
      <w:r w:rsidR="00F05542" w:rsidRPr="00E70ABC">
        <w:rPr>
          <w:rStyle w:val="Strong"/>
          <w:rFonts w:ascii="Times New Roman" w:hAnsi="Times New Roman" w:cs="Times New Roman"/>
          <w:b w:val="0"/>
          <w:sz w:val="24"/>
          <w:szCs w:val="24"/>
        </w:rPr>
        <w:t>naturally Pb-contaminated soil (100 mg kg⁻¹ Pb)</w:t>
      </w:r>
      <w:r w:rsidR="00F05542" w:rsidRPr="00386FDD">
        <w:rPr>
          <w:rFonts w:ascii="Times New Roman" w:hAnsi="Times New Roman" w:cs="Times New Roman"/>
          <w:sz w:val="24"/>
          <w:szCs w:val="24"/>
        </w:rPr>
        <w:t xml:space="preserve"> under BachaoliBujurg region of Jhansi</w:t>
      </w:r>
    </w:p>
    <w:tbl>
      <w:tblPr>
        <w:tblStyle w:val="TableGrid"/>
        <w:tblW w:w="15030" w:type="dxa"/>
        <w:tblInd w:w="-1152" w:type="dxa"/>
        <w:tblLayout w:type="fixed"/>
        <w:tblLook w:val="04A0"/>
      </w:tblPr>
      <w:tblGrid>
        <w:gridCol w:w="1440"/>
        <w:gridCol w:w="5040"/>
        <w:gridCol w:w="1260"/>
        <w:gridCol w:w="1260"/>
        <w:gridCol w:w="1530"/>
        <w:gridCol w:w="1350"/>
        <w:gridCol w:w="1350"/>
        <w:gridCol w:w="1800"/>
      </w:tblGrid>
      <w:tr w:rsidR="002C36E3" w:rsidRPr="005E2FE4" w:rsidTr="001F653B">
        <w:trPr>
          <w:trHeight w:val="287"/>
        </w:trPr>
        <w:tc>
          <w:tcPr>
            <w:tcW w:w="1440" w:type="dxa"/>
            <w:vMerge w:val="restart"/>
            <w:hideMark/>
          </w:tcPr>
          <w:p w:rsidR="002C36E3" w:rsidRPr="005E2FE4" w:rsidRDefault="002C36E3" w:rsidP="005F43CF">
            <w:pPr>
              <w:spacing w:before="48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Treatments</w:t>
            </w:r>
          </w:p>
        </w:tc>
        <w:tc>
          <w:tcPr>
            <w:tcW w:w="5040" w:type="dxa"/>
            <w:vMerge w:val="restart"/>
            <w:hideMark/>
          </w:tcPr>
          <w:p w:rsidR="002C36E3" w:rsidRPr="005E2FE4" w:rsidRDefault="002C36E3" w:rsidP="005F43CF">
            <w:pPr>
              <w:spacing w:before="48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Description</w:t>
            </w:r>
          </w:p>
        </w:tc>
        <w:tc>
          <w:tcPr>
            <w:tcW w:w="2520" w:type="dxa"/>
            <w:gridSpan w:val="2"/>
            <w:tcBorders>
              <w:bottom w:val="single" w:sz="4" w:space="0" w:color="auto"/>
            </w:tcBorders>
            <w:hideMark/>
          </w:tcPr>
          <w:p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Brinjal</w:t>
            </w:r>
          </w:p>
        </w:tc>
        <w:tc>
          <w:tcPr>
            <w:tcW w:w="1530" w:type="dxa"/>
            <w:vMerge w:val="restart"/>
            <w:hideMark/>
          </w:tcPr>
          <w:p w:rsidR="002C36E3" w:rsidRPr="005E2FE4" w:rsidRDefault="002C36E3" w:rsidP="005F43CF">
            <w:pPr>
              <w:spacing w:before="120"/>
              <w:jc w:val="both"/>
              <w:rPr>
                <w:rFonts w:ascii="Times New Roman" w:eastAsia="Times New Roman" w:hAnsi="Times New Roman" w:cs="Times New Roman"/>
                <w:b/>
                <w:bCs/>
                <w:sz w:val="24"/>
                <w:szCs w:val="24"/>
              </w:rPr>
            </w:pPr>
          </w:p>
          <w:p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Pooled data</w:t>
            </w:r>
          </w:p>
        </w:tc>
        <w:tc>
          <w:tcPr>
            <w:tcW w:w="2700" w:type="dxa"/>
            <w:gridSpan w:val="2"/>
            <w:tcBorders>
              <w:bottom w:val="single" w:sz="4" w:space="0" w:color="auto"/>
            </w:tcBorders>
            <w:hideMark/>
          </w:tcPr>
          <w:p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Tomato</w:t>
            </w:r>
          </w:p>
        </w:tc>
        <w:tc>
          <w:tcPr>
            <w:tcW w:w="1800" w:type="dxa"/>
            <w:vMerge w:val="restart"/>
            <w:hideMark/>
          </w:tcPr>
          <w:p w:rsidR="002C36E3" w:rsidRPr="005E2FE4" w:rsidRDefault="002C36E3" w:rsidP="005F43CF">
            <w:pPr>
              <w:spacing w:before="120"/>
              <w:jc w:val="both"/>
              <w:rPr>
                <w:rFonts w:ascii="Times New Roman" w:eastAsia="Times New Roman" w:hAnsi="Times New Roman" w:cs="Times New Roman"/>
                <w:b/>
                <w:bCs/>
                <w:sz w:val="24"/>
                <w:szCs w:val="24"/>
              </w:rPr>
            </w:pPr>
          </w:p>
          <w:p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Pooled data</w:t>
            </w:r>
          </w:p>
        </w:tc>
      </w:tr>
      <w:tr w:rsidR="002C36E3" w:rsidRPr="005E2FE4" w:rsidTr="001F653B">
        <w:trPr>
          <w:trHeight w:val="299"/>
        </w:trPr>
        <w:tc>
          <w:tcPr>
            <w:tcW w:w="1440" w:type="dxa"/>
            <w:vMerge/>
            <w:hideMark/>
          </w:tcPr>
          <w:p w:rsidR="002C36E3" w:rsidRPr="005E2FE4" w:rsidRDefault="002C36E3" w:rsidP="005F43CF">
            <w:pPr>
              <w:spacing w:before="480"/>
              <w:jc w:val="both"/>
              <w:rPr>
                <w:rFonts w:ascii="Times New Roman" w:eastAsia="Times New Roman" w:hAnsi="Times New Roman" w:cs="Times New Roman"/>
                <w:b/>
                <w:bCs/>
                <w:sz w:val="24"/>
                <w:szCs w:val="24"/>
              </w:rPr>
            </w:pPr>
          </w:p>
        </w:tc>
        <w:tc>
          <w:tcPr>
            <w:tcW w:w="5040" w:type="dxa"/>
            <w:vMerge/>
            <w:hideMark/>
          </w:tcPr>
          <w:p w:rsidR="002C36E3" w:rsidRPr="005E2FE4" w:rsidRDefault="002C36E3" w:rsidP="005F43CF">
            <w:pPr>
              <w:spacing w:before="480"/>
              <w:jc w:val="both"/>
              <w:rPr>
                <w:rFonts w:ascii="Times New Roman" w:eastAsia="Times New Roman" w:hAnsi="Times New Roman" w:cs="Times New Roman"/>
                <w:b/>
                <w:bCs/>
                <w:sz w:val="24"/>
                <w:szCs w:val="24"/>
              </w:rPr>
            </w:pPr>
          </w:p>
        </w:tc>
        <w:tc>
          <w:tcPr>
            <w:tcW w:w="1260" w:type="dxa"/>
            <w:tcBorders>
              <w:top w:val="single" w:sz="4" w:space="0" w:color="auto"/>
              <w:bottom w:val="single" w:sz="4" w:space="0" w:color="auto"/>
            </w:tcBorders>
            <w:hideMark/>
          </w:tcPr>
          <w:p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2022-23</w:t>
            </w:r>
          </w:p>
        </w:tc>
        <w:tc>
          <w:tcPr>
            <w:tcW w:w="1260" w:type="dxa"/>
            <w:tcBorders>
              <w:top w:val="single" w:sz="4" w:space="0" w:color="auto"/>
              <w:bottom w:val="single" w:sz="4" w:space="0" w:color="auto"/>
            </w:tcBorders>
            <w:hideMark/>
          </w:tcPr>
          <w:p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2023-24</w:t>
            </w:r>
          </w:p>
        </w:tc>
        <w:tc>
          <w:tcPr>
            <w:tcW w:w="1530" w:type="dxa"/>
            <w:vMerge/>
            <w:tcBorders>
              <w:bottom w:val="single" w:sz="4" w:space="0" w:color="auto"/>
            </w:tcBorders>
            <w:hideMark/>
          </w:tcPr>
          <w:p w:rsidR="002C36E3" w:rsidRPr="005E2FE4" w:rsidRDefault="002C36E3" w:rsidP="005F43CF">
            <w:pPr>
              <w:spacing w:before="120"/>
              <w:jc w:val="both"/>
              <w:rPr>
                <w:rFonts w:ascii="Times New Roman" w:eastAsia="Times New Roman" w:hAnsi="Times New Roman" w:cs="Times New Roman"/>
                <w:b/>
                <w:bCs/>
                <w:sz w:val="24"/>
                <w:szCs w:val="24"/>
              </w:rPr>
            </w:pPr>
          </w:p>
        </w:tc>
        <w:tc>
          <w:tcPr>
            <w:tcW w:w="1350" w:type="dxa"/>
            <w:tcBorders>
              <w:top w:val="single" w:sz="4" w:space="0" w:color="auto"/>
              <w:bottom w:val="single" w:sz="4" w:space="0" w:color="auto"/>
            </w:tcBorders>
            <w:hideMark/>
          </w:tcPr>
          <w:p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2022-23</w:t>
            </w:r>
          </w:p>
        </w:tc>
        <w:tc>
          <w:tcPr>
            <w:tcW w:w="1350" w:type="dxa"/>
            <w:tcBorders>
              <w:top w:val="single" w:sz="4" w:space="0" w:color="auto"/>
              <w:bottom w:val="single" w:sz="4" w:space="0" w:color="auto"/>
            </w:tcBorders>
            <w:hideMark/>
          </w:tcPr>
          <w:p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2023-24</w:t>
            </w:r>
          </w:p>
        </w:tc>
        <w:tc>
          <w:tcPr>
            <w:tcW w:w="1800" w:type="dxa"/>
            <w:vMerge/>
            <w:tcBorders>
              <w:bottom w:val="single" w:sz="4" w:space="0" w:color="auto"/>
            </w:tcBorders>
            <w:hideMark/>
          </w:tcPr>
          <w:p w:rsidR="002C36E3" w:rsidRPr="005E2FE4" w:rsidRDefault="002C36E3" w:rsidP="005F43CF">
            <w:pPr>
              <w:spacing w:before="120"/>
              <w:jc w:val="both"/>
              <w:rPr>
                <w:rFonts w:ascii="Times New Roman" w:eastAsia="Times New Roman" w:hAnsi="Times New Roman" w:cs="Times New Roman"/>
                <w:b/>
                <w:bCs/>
                <w:sz w:val="24"/>
                <w:szCs w:val="24"/>
              </w:rPr>
            </w:pPr>
          </w:p>
        </w:tc>
      </w:tr>
      <w:tr w:rsidR="002C36E3" w:rsidRPr="005E2FE4" w:rsidTr="001F653B">
        <w:trPr>
          <w:trHeight w:val="386"/>
        </w:trPr>
        <w:tc>
          <w:tcPr>
            <w:tcW w:w="1440" w:type="dxa"/>
            <w:vMerge/>
            <w:hideMark/>
          </w:tcPr>
          <w:p w:rsidR="002C36E3" w:rsidRPr="005E2FE4" w:rsidRDefault="002C36E3" w:rsidP="005F43CF">
            <w:pPr>
              <w:jc w:val="both"/>
              <w:rPr>
                <w:rFonts w:ascii="Times New Roman" w:eastAsia="Times New Roman" w:hAnsi="Times New Roman" w:cs="Times New Roman"/>
                <w:b/>
                <w:bCs/>
                <w:sz w:val="24"/>
                <w:szCs w:val="24"/>
              </w:rPr>
            </w:pPr>
          </w:p>
        </w:tc>
        <w:tc>
          <w:tcPr>
            <w:tcW w:w="5040" w:type="dxa"/>
            <w:vMerge/>
            <w:hideMark/>
          </w:tcPr>
          <w:p w:rsidR="002C36E3" w:rsidRPr="005E2FE4" w:rsidRDefault="002C36E3" w:rsidP="005F43CF">
            <w:pPr>
              <w:jc w:val="both"/>
              <w:rPr>
                <w:rFonts w:ascii="Times New Roman" w:eastAsia="Times New Roman" w:hAnsi="Times New Roman" w:cs="Times New Roman"/>
                <w:b/>
                <w:bCs/>
                <w:sz w:val="24"/>
                <w:szCs w:val="24"/>
              </w:rPr>
            </w:pPr>
          </w:p>
        </w:tc>
        <w:tc>
          <w:tcPr>
            <w:tcW w:w="1260" w:type="dxa"/>
            <w:tcBorders>
              <w:top w:val="single" w:sz="4" w:space="0" w:color="auto"/>
            </w:tcBorders>
            <w:hideMark/>
          </w:tcPr>
          <w:p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 xml:space="preserve">Leaf </w:t>
            </w:r>
          </w:p>
        </w:tc>
        <w:tc>
          <w:tcPr>
            <w:tcW w:w="1260" w:type="dxa"/>
            <w:tcBorders>
              <w:top w:val="single" w:sz="4" w:space="0" w:color="auto"/>
            </w:tcBorders>
            <w:hideMark/>
          </w:tcPr>
          <w:p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Leaf</w:t>
            </w:r>
          </w:p>
        </w:tc>
        <w:tc>
          <w:tcPr>
            <w:tcW w:w="1530" w:type="dxa"/>
            <w:tcBorders>
              <w:top w:val="single" w:sz="4" w:space="0" w:color="auto"/>
            </w:tcBorders>
            <w:hideMark/>
          </w:tcPr>
          <w:p w:rsidR="002C36E3" w:rsidRPr="005E2FE4" w:rsidRDefault="002C36E3" w:rsidP="005F43CF">
            <w:pPr>
              <w:spacing w:before="120"/>
              <w:jc w:val="both"/>
              <w:rPr>
                <w:rFonts w:ascii="Times New Roman" w:eastAsia="Times New Roman" w:hAnsi="Times New Roman" w:cs="Times New Roman"/>
                <w:b/>
                <w:bCs/>
                <w:sz w:val="24"/>
                <w:szCs w:val="24"/>
              </w:rPr>
            </w:pPr>
          </w:p>
        </w:tc>
        <w:tc>
          <w:tcPr>
            <w:tcW w:w="1350" w:type="dxa"/>
            <w:tcBorders>
              <w:top w:val="single" w:sz="4" w:space="0" w:color="auto"/>
            </w:tcBorders>
            <w:hideMark/>
          </w:tcPr>
          <w:p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Leaf</w:t>
            </w:r>
          </w:p>
        </w:tc>
        <w:tc>
          <w:tcPr>
            <w:tcW w:w="1350" w:type="dxa"/>
            <w:tcBorders>
              <w:top w:val="single" w:sz="4" w:space="0" w:color="auto"/>
            </w:tcBorders>
            <w:hideMark/>
          </w:tcPr>
          <w:p w:rsidR="002C36E3" w:rsidRPr="005E2FE4" w:rsidRDefault="002C36E3"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Leaf</w:t>
            </w:r>
          </w:p>
        </w:tc>
        <w:tc>
          <w:tcPr>
            <w:tcW w:w="1800" w:type="dxa"/>
            <w:tcBorders>
              <w:top w:val="single" w:sz="4" w:space="0" w:color="auto"/>
            </w:tcBorders>
            <w:hideMark/>
          </w:tcPr>
          <w:p w:rsidR="002C36E3" w:rsidRPr="005E2FE4" w:rsidRDefault="002C36E3" w:rsidP="005F43CF">
            <w:pPr>
              <w:spacing w:before="120"/>
              <w:jc w:val="both"/>
              <w:rPr>
                <w:rFonts w:ascii="Times New Roman" w:eastAsia="Times New Roman" w:hAnsi="Times New Roman" w:cs="Times New Roman"/>
                <w:b/>
                <w:bCs/>
                <w:sz w:val="24"/>
                <w:szCs w:val="24"/>
              </w:rPr>
            </w:pPr>
          </w:p>
        </w:tc>
      </w:tr>
      <w:tr w:rsidR="002C36E3" w:rsidRPr="005E2FE4" w:rsidTr="001F653B">
        <w:trPr>
          <w:trHeight w:val="423"/>
        </w:trPr>
        <w:tc>
          <w:tcPr>
            <w:tcW w:w="14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w:t>
            </w:r>
          </w:p>
        </w:tc>
        <w:tc>
          <w:tcPr>
            <w:tcW w:w="50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5 t ha⁻¹</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0.064</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0.063</w:t>
            </w:r>
          </w:p>
        </w:tc>
        <w:tc>
          <w:tcPr>
            <w:tcW w:w="1530" w:type="dxa"/>
            <w:vAlign w:val="bottom"/>
            <w:hideMark/>
          </w:tcPr>
          <w:p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0.0735</w:t>
            </w:r>
          </w:p>
        </w:tc>
        <w:tc>
          <w:tcPr>
            <w:tcW w:w="1350" w:type="dxa"/>
            <w:vAlign w:val="bottom"/>
            <w:hideMark/>
          </w:tcPr>
          <w:p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0.058</w:t>
            </w:r>
          </w:p>
        </w:tc>
        <w:tc>
          <w:tcPr>
            <w:tcW w:w="135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0.059</w:t>
            </w:r>
          </w:p>
        </w:tc>
        <w:tc>
          <w:tcPr>
            <w:tcW w:w="180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0.0585</w:t>
            </w:r>
          </w:p>
        </w:tc>
      </w:tr>
      <w:tr w:rsidR="002C36E3" w:rsidRPr="005E2FE4" w:rsidTr="001F653B">
        <w:trPr>
          <w:trHeight w:val="441"/>
        </w:trPr>
        <w:tc>
          <w:tcPr>
            <w:tcW w:w="14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2</w:t>
            </w:r>
          </w:p>
        </w:tc>
        <w:tc>
          <w:tcPr>
            <w:tcW w:w="50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10 t ha⁻¹</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0.083</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0.064</w:t>
            </w:r>
          </w:p>
        </w:tc>
        <w:tc>
          <w:tcPr>
            <w:tcW w:w="1530" w:type="dxa"/>
            <w:vAlign w:val="bottom"/>
            <w:hideMark/>
          </w:tcPr>
          <w:p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0.147</w:t>
            </w:r>
          </w:p>
        </w:tc>
        <w:tc>
          <w:tcPr>
            <w:tcW w:w="1350" w:type="dxa"/>
            <w:vAlign w:val="bottom"/>
            <w:hideMark/>
          </w:tcPr>
          <w:p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0.072</w:t>
            </w:r>
          </w:p>
        </w:tc>
        <w:tc>
          <w:tcPr>
            <w:tcW w:w="135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0.061</w:t>
            </w:r>
          </w:p>
        </w:tc>
        <w:tc>
          <w:tcPr>
            <w:tcW w:w="180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0.0665</w:t>
            </w:r>
          </w:p>
        </w:tc>
      </w:tr>
      <w:tr w:rsidR="002C36E3" w:rsidRPr="005E2FE4" w:rsidTr="001F653B">
        <w:trPr>
          <w:trHeight w:val="396"/>
        </w:trPr>
        <w:tc>
          <w:tcPr>
            <w:tcW w:w="14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3</w:t>
            </w:r>
          </w:p>
        </w:tc>
        <w:tc>
          <w:tcPr>
            <w:tcW w:w="50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Kitchen Waste Compost 5 t ha⁻¹</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0.146</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0.148</w:t>
            </w:r>
          </w:p>
        </w:tc>
        <w:tc>
          <w:tcPr>
            <w:tcW w:w="1530" w:type="dxa"/>
            <w:vAlign w:val="bottom"/>
            <w:hideMark/>
          </w:tcPr>
          <w:p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0.126</w:t>
            </w:r>
          </w:p>
        </w:tc>
        <w:tc>
          <w:tcPr>
            <w:tcW w:w="1350" w:type="dxa"/>
            <w:vAlign w:val="bottom"/>
            <w:hideMark/>
          </w:tcPr>
          <w:p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0.132</w:t>
            </w:r>
          </w:p>
        </w:tc>
        <w:tc>
          <w:tcPr>
            <w:tcW w:w="135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0.134</w:t>
            </w:r>
          </w:p>
        </w:tc>
        <w:tc>
          <w:tcPr>
            <w:tcW w:w="180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0.133</w:t>
            </w:r>
          </w:p>
        </w:tc>
      </w:tr>
      <w:tr w:rsidR="002C36E3" w:rsidRPr="005E2FE4" w:rsidTr="001F653B">
        <w:trPr>
          <w:trHeight w:val="554"/>
        </w:trPr>
        <w:tc>
          <w:tcPr>
            <w:tcW w:w="14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4</w:t>
            </w:r>
          </w:p>
        </w:tc>
        <w:tc>
          <w:tcPr>
            <w:tcW w:w="50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Kitchen Waste Compost 10 t ha⁻¹</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0.125</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0.127</w:t>
            </w:r>
          </w:p>
        </w:tc>
        <w:tc>
          <w:tcPr>
            <w:tcW w:w="1530" w:type="dxa"/>
            <w:vAlign w:val="bottom"/>
            <w:hideMark/>
          </w:tcPr>
          <w:p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0.167</w:t>
            </w:r>
          </w:p>
        </w:tc>
        <w:tc>
          <w:tcPr>
            <w:tcW w:w="1350" w:type="dxa"/>
            <w:vAlign w:val="bottom"/>
            <w:hideMark/>
          </w:tcPr>
          <w:p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0.113</w:t>
            </w:r>
          </w:p>
        </w:tc>
        <w:tc>
          <w:tcPr>
            <w:tcW w:w="135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0.115</w:t>
            </w:r>
          </w:p>
        </w:tc>
        <w:tc>
          <w:tcPr>
            <w:tcW w:w="180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0.114</w:t>
            </w:r>
          </w:p>
        </w:tc>
      </w:tr>
      <w:tr w:rsidR="002C36E3" w:rsidRPr="005E2FE4" w:rsidTr="001F653B">
        <w:trPr>
          <w:trHeight w:val="537"/>
        </w:trPr>
        <w:tc>
          <w:tcPr>
            <w:tcW w:w="14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5</w:t>
            </w:r>
          </w:p>
        </w:tc>
        <w:tc>
          <w:tcPr>
            <w:tcW w:w="50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Vermicompost 5 t ha⁻¹</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0.157</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0.177</w:t>
            </w:r>
          </w:p>
        </w:tc>
        <w:tc>
          <w:tcPr>
            <w:tcW w:w="1530" w:type="dxa"/>
            <w:vAlign w:val="bottom"/>
            <w:hideMark/>
          </w:tcPr>
          <w:p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0.138</w:t>
            </w:r>
          </w:p>
        </w:tc>
        <w:tc>
          <w:tcPr>
            <w:tcW w:w="1350" w:type="dxa"/>
            <w:vAlign w:val="bottom"/>
            <w:hideMark/>
          </w:tcPr>
          <w:p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0.142</w:t>
            </w:r>
          </w:p>
        </w:tc>
        <w:tc>
          <w:tcPr>
            <w:tcW w:w="135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0.159</w:t>
            </w:r>
          </w:p>
        </w:tc>
        <w:tc>
          <w:tcPr>
            <w:tcW w:w="180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0.1505</w:t>
            </w:r>
          </w:p>
        </w:tc>
      </w:tr>
      <w:tr w:rsidR="002C36E3" w:rsidRPr="005E2FE4" w:rsidTr="001F653B">
        <w:trPr>
          <w:trHeight w:val="537"/>
        </w:trPr>
        <w:tc>
          <w:tcPr>
            <w:tcW w:w="14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6</w:t>
            </w:r>
          </w:p>
        </w:tc>
        <w:tc>
          <w:tcPr>
            <w:tcW w:w="50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Vermicompost 10 t ha⁻¹</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0.137</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0.139</w:t>
            </w:r>
          </w:p>
        </w:tc>
        <w:tc>
          <w:tcPr>
            <w:tcW w:w="1530" w:type="dxa"/>
            <w:vAlign w:val="bottom"/>
            <w:hideMark/>
          </w:tcPr>
          <w:p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0.1215</w:t>
            </w:r>
          </w:p>
        </w:tc>
        <w:tc>
          <w:tcPr>
            <w:tcW w:w="1350" w:type="dxa"/>
            <w:vAlign w:val="bottom"/>
            <w:hideMark/>
          </w:tcPr>
          <w:p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0.125</w:t>
            </w:r>
          </w:p>
        </w:tc>
        <w:tc>
          <w:tcPr>
            <w:tcW w:w="135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0.127</w:t>
            </w:r>
          </w:p>
        </w:tc>
        <w:tc>
          <w:tcPr>
            <w:tcW w:w="180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0.126</w:t>
            </w:r>
          </w:p>
        </w:tc>
      </w:tr>
      <w:tr w:rsidR="002C36E3" w:rsidRPr="005E2FE4" w:rsidTr="001F653B">
        <w:trPr>
          <w:trHeight w:val="554"/>
        </w:trPr>
        <w:tc>
          <w:tcPr>
            <w:tcW w:w="14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7</w:t>
            </w:r>
          </w:p>
        </w:tc>
        <w:tc>
          <w:tcPr>
            <w:tcW w:w="50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5t + Kitchen Waste Compost 5t ha⁻¹</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0.123</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0.120</w:t>
            </w:r>
          </w:p>
        </w:tc>
        <w:tc>
          <w:tcPr>
            <w:tcW w:w="1530" w:type="dxa"/>
            <w:vAlign w:val="bottom"/>
            <w:hideMark/>
          </w:tcPr>
          <w:p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0.128</w:t>
            </w:r>
          </w:p>
        </w:tc>
        <w:tc>
          <w:tcPr>
            <w:tcW w:w="1350" w:type="dxa"/>
            <w:vAlign w:val="bottom"/>
            <w:hideMark/>
          </w:tcPr>
          <w:p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0.112</w:t>
            </w:r>
          </w:p>
        </w:tc>
        <w:tc>
          <w:tcPr>
            <w:tcW w:w="135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0.113</w:t>
            </w:r>
          </w:p>
        </w:tc>
        <w:tc>
          <w:tcPr>
            <w:tcW w:w="180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0.1125</w:t>
            </w:r>
          </w:p>
        </w:tc>
      </w:tr>
      <w:tr w:rsidR="002C36E3" w:rsidRPr="005E2FE4" w:rsidTr="001F653B">
        <w:trPr>
          <w:trHeight w:val="537"/>
        </w:trPr>
        <w:tc>
          <w:tcPr>
            <w:tcW w:w="14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8</w:t>
            </w:r>
          </w:p>
        </w:tc>
        <w:tc>
          <w:tcPr>
            <w:tcW w:w="50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10 t + Kitchen Waste Compost 10 t ha⁻¹</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0.127</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0.129</w:t>
            </w:r>
          </w:p>
        </w:tc>
        <w:tc>
          <w:tcPr>
            <w:tcW w:w="1530" w:type="dxa"/>
            <w:vAlign w:val="bottom"/>
            <w:hideMark/>
          </w:tcPr>
          <w:p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0.106</w:t>
            </w:r>
          </w:p>
        </w:tc>
        <w:tc>
          <w:tcPr>
            <w:tcW w:w="1350" w:type="dxa"/>
            <w:vAlign w:val="bottom"/>
            <w:hideMark/>
          </w:tcPr>
          <w:p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0.115</w:t>
            </w:r>
          </w:p>
        </w:tc>
        <w:tc>
          <w:tcPr>
            <w:tcW w:w="135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0.116</w:t>
            </w:r>
          </w:p>
        </w:tc>
        <w:tc>
          <w:tcPr>
            <w:tcW w:w="180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0.1155</w:t>
            </w:r>
          </w:p>
        </w:tc>
      </w:tr>
      <w:tr w:rsidR="002C36E3" w:rsidRPr="005E2FE4" w:rsidTr="001F653B">
        <w:trPr>
          <w:trHeight w:val="305"/>
        </w:trPr>
        <w:tc>
          <w:tcPr>
            <w:tcW w:w="14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9</w:t>
            </w:r>
          </w:p>
        </w:tc>
        <w:tc>
          <w:tcPr>
            <w:tcW w:w="50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5 t + Vermicompost 5 t ha⁻¹</w:t>
            </w:r>
          </w:p>
        </w:tc>
        <w:tc>
          <w:tcPr>
            <w:tcW w:w="1260" w:type="dxa"/>
            <w:vAlign w:val="center"/>
            <w:hideMark/>
          </w:tcPr>
          <w:p w:rsidR="002C36E3" w:rsidRPr="005E2FE4" w:rsidRDefault="002C36E3" w:rsidP="005F43CF">
            <w:pPr>
              <w:spacing w:before="120"/>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0.105</w:t>
            </w:r>
          </w:p>
        </w:tc>
        <w:tc>
          <w:tcPr>
            <w:tcW w:w="1260" w:type="dxa"/>
            <w:vAlign w:val="center"/>
            <w:hideMark/>
          </w:tcPr>
          <w:p w:rsidR="002C36E3" w:rsidRPr="005E2FE4" w:rsidRDefault="002C36E3" w:rsidP="005F43CF">
            <w:pPr>
              <w:spacing w:before="120"/>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0.107</w:t>
            </w:r>
          </w:p>
        </w:tc>
        <w:tc>
          <w:tcPr>
            <w:tcW w:w="1530" w:type="dxa"/>
            <w:vAlign w:val="bottom"/>
            <w:hideMark/>
          </w:tcPr>
          <w:p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0.116</w:t>
            </w:r>
          </w:p>
        </w:tc>
        <w:tc>
          <w:tcPr>
            <w:tcW w:w="1350" w:type="dxa"/>
            <w:vAlign w:val="bottom"/>
            <w:hideMark/>
          </w:tcPr>
          <w:p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0.096</w:t>
            </w:r>
          </w:p>
        </w:tc>
        <w:tc>
          <w:tcPr>
            <w:tcW w:w="135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0.097</w:t>
            </w:r>
          </w:p>
        </w:tc>
        <w:tc>
          <w:tcPr>
            <w:tcW w:w="180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0.0965</w:t>
            </w:r>
          </w:p>
        </w:tc>
      </w:tr>
      <w:tr w:rsidR="002C36E3" w:rsidRPr="005E2FE4" w:rsidTr="001F653B">
        <w:trPr>
          <w:trHeight w:val="548"/>
        </w:trPr>
        <w:tc>
          <w:tcPr>
            <w:tcW w:w="14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10</w:t>
            </w:r>
          </w:p>
        </w:tc>
        <w:tc>
          <w:tcPr>
            <w:tcW w:w="50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Kitchen Waste Compost 5 t + Vermicompost 5 t ha⁻¹</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0.114</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0.118</w:t>
            </w:r>
          </w:p>
        </w:tc>
        <w:tc>
          <w:tcPr>
            <w:tcW w:w="1530" w:type="dxa"/>
            <w:vAlign w:val="bottom"/>
            <w:hideMark/>
          </w:tcPr>
          <w:p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0.0975</w:t>
            </w:r>
          </w:p>
        </w:tc>
        <w:tc>
          <w:tcPr>
            <w:tcW w:w="1350" w:type="dxa"/>
            <w:vAlign w:val="bottom"/>
            <w:hideMark/>
          </w:tcPr>
          <w:p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0.104</w:t>
            </w:r>
          </w:p>
        </w:tc>
        <w:tc>
          <w:tcPr>
            <w:tcW w:w="135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0.107</w:t>
            </w:r>
          </w:p>
        </w:tc>
        <w:tc>
          <w:tcPr>
            <w:tcW w:w="180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0.1055</w:t>
            </w:r>
          </w:p>
        </w:tc>
      </w:tr>
      <w:tr w:rsidR="002C36E3" w:rsidRPr="005E2FE4" w:rsidTr="001F653B">
        <w:trPr>
          <w:trHeight w:val="710"/>
        </w:trPr>
        <w:tc>
          <w:tcPr>
            <w:tcW w:w="14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11</w:t>
            </w:r>
          </w:p>
        </w:tc>
        <w:tc>
          <w:tcPr>
            <w:tcW w:w="50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5 t + Kitchen Waste Compost 5 t + Vermicompost 5 t ha⁻¹</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0.096</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0.099</w:t>
            </w:r>
          </w:p>
        </w:tc>
        <w:tc>
          <w:tcPr>
            <w:tcW w:w="1530" w:type="dxa"/>
            <w:vAlign w:val="bottom"/>
            <w:hideMark/>
          </w:tcPr>
          <w:p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1.136</w:t>
            </w:r>
          </w:p>
        </w:tc>
        <w:tc>
          <w:tcPr>
            <w:tcW w:w="1350" w:type="dxa"/>
            <w:vAlign w:val="bottom"/>
            <w:hideMark/>
          </w:tcPr>
          <w:p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0.088</w:t>
            </w:r>
          </w:p>
        </w:tc>
        <w:tc>
          <w:tcPr>
            <w:tcW w:w="135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0.089</w:t>
            </w:r>
          </w:p>
        </w:tc>
        <w:tc>
          <w:tcPr>
            <w:tcW w:w="180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0.0885</w:t>
            </w:r>
          </w:p>
        </w:tc>
      </w:tr>
      <w:tr w:rsidR="002C36E3" w:rsidRPr="005E2FE4" w:rsidTr="001F653B">
        <w:trPr>
          <w:trHeight w:val="537"/>
        </w:trPr>
        <w:tc>
          <w:tcPr>
            <w:tcW w:w="14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12</w:t>
            </w:r>
          </w:p>
        </w:tc>
        <w:tc>
          <w:tcPr>
            <w:tcW w:w="50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 xml:space="preserve">Contaminated control                             </w:t>
            </w:r>
          </w:p>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 xml:space="preserve">   (no ammendment)</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1.135</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1.137</w:t>
            </w:r>
          </w:p>
        </w:tc>
        <w:tc>
          <w:tcPr>
            <w:tcW w:w="1530" w:type="dxa"/>
            <w:vAlign w:val="bottom"/>
            <w:hideMark/>
          </w:tcPr>
          <w:p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2.3985</w:t>
            </w:r>
          </w:p>
        </w:tc>
        <w:tc>
          <w:tcPr>
            <w:tcW w:w="1350" w:type="dxa"/>
            <w:vAlign w:val="bottom"/>
            <w:hideMark/>
          </w:tcPr>
          <w:p w:rsidR="002C36E3" w:rsidRPr="005E2FE4" w:rsidRDefault="002C36E3" w:rsidP="005F43CF">
            <w:pPr>
              <w:spacing w:before="100" w:beforeAutospacing="1"/>
              <w:jc w:val="both"/>
              <w:rPr>
                <w:rFonts w:ascii="Times New Roman" w:hAnsi="Times New Roman" w:cs="Times New Roman"/>
                <w:bCs/>
                <w:sz w:val="24"/>
                <w:szCs w:val="24"/>
              </w:rPr>
            </w:pPr>
            <w:r w:rsidRPr="005E2FE4">
              <w:rPr>
                <w:rFonts w:ascii="Times New Roman" w:hAnsi="Times New Roman" w:cs="Times New Roman"/>
                <w:bCs/>
                <w:sz w:val="24"/>
                <w:szCs w:val="24"/>
              </w:rPr>
              <w:t>0.982</w:t>
            </w:r>
          </w:p>
        </w:tc>
        <w:tc>
          <w:tcPr>
            <w:tcW w:w="1350" w:type="dxa"/>
            <w:vAlign w:val="bottom"/>
            <w:hideMark/>
          </w:tcPr>
          <w:p w:rsidR="002C36E3" w:rsidRPr="005E2FE4" w:rsidRDefault="002C36E3"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0.985</w:t>
            </w:r>
          </w:p>
        </w:tc>
        <w:tc>
          <w:tcPr>
            <w:tcW w:w="180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0.9835</w:t>
            </w:r>
          </w:p>
        </w:tc>
      </w:tr>
      <w:tr w:rsidR="002C36E3" w:rsidRPr="005E2FE4" w:rsidTr="001F653B">
        <w:trPr>
          <w:trHeight w:val="286"/>
        </w:trPr>
        <w:tc>
          <w:tcPr>
            <w:tcW w:w="14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13</w:t>
            </w:r>
          </w:p>
        </w:tc>
        <w:tc>
          <w:tcPr>
            <w:tcW w:w="50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Uncontaminated control</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2.310</w:t>
            </w:r>
          </w:p>
        </w:tc>
        <w:tc>
          <w:tcPr>
            <w:tcW w:w="1260" w:type="dxa"/>
            <w:vAlign w:val="center"/>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2.487</w:t>
            </w:r>
          </w:p>
        </w:tc>
        <w:tc>
          <w:tcPr>
            <w:tcW w:w="153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0.0735</w:t>
            </w:r>
          </w:p>
        </w:tc>
        <w:tc>
          <w:tcPr>
            <w:tcW w:w="1350" w:type="dxa"/>
            <w:vAlign w:val="bottom"/>
            <w:hideMark/>
          </w:tcPr>
          <w:p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2.015</w:t>
            </w:r>
          </w:p>
        </w:tc>
        <w:tc>
          <w:tcPr>
            <w:tcW w:w="135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2.102</w:t>
            </w:r>
          </w:p>
        </w:tc>
        <w:tc>
          <w:tcPr>
            <w:tcW w:w="180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2.0585</w:t>
            </w:r>
          </w:p>
        </w:tc>
      </w:tr>
      <w:tr w:rsidR="002C36E3" w:rsidRPr="005E2FE4" w:rsidTr="001F653B">
        <w:trPr>
          <w:trHeight w:val="269"/>
        </w:trPr>
        <w:tc>
          <w:tcPr>
            <w:tcW w:w="1440" w:type="dxa"/>
            <w:hideMark/>
          </w:tcPr>
          <w:p w:rsidR="002C36E3" w:rsidRPr="005E2FE4" w:rsidRDefault="002C36E3" w:rsidP="005F43CF">
            <w:pPr>
              <w:jc w:val="both"/>
              <w:rPr>
                <w:rFonts w:ascii="Times New Roman" w:eastAsia="Times New Roman" w:hAnsi="Times New Roman" w:cs="Times New Roman"/>
                <w:sz w:val="24"/>
                <w:szCs w:val="24"/>
              </w:rPr>
            </w:pPr>
          </w:p>
        </w:tc>
        <w:tc>
          <w:tcPr>
            <w:tcW w:w="504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S.Em. ±</w:t>
            </w:r>
          </w:p>
        </w:tc>
        <w:tc>
          <w:tcPr>
            <w:tcW w:w="126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0.056</w:t>
            </w:r>
          </w:p>
        </w:tc>
        <w:tc>
          <w:tcPr>
            <w:tcW w:w="126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0.015</w:t>
            </w:r>
          </w:p>
        </w:tc>
        <w:tc>
          <w:tcPr>
            <w:tcW w:w="153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0.018</w:t>
            </w:r>
          </w:p>
        </w:tc>
        <w:tc>
          <w:tcPr>
            <w:tcW w:w="1350" w:type="dxa"/>
            <w:vAlign w:val="bottom"/>
            <w:hideMark/>
          </w:tcPr>
          <w:p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0.049</w:t>
            </w:r>
          </w:p>
        </w:tc>
        <w:tc>
          <w:tcPr>
            <w:tcW w:w="135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0.013</w:t>
            </w:r>
          </w:p>
        </w:tc>
        <w:tc>
          <w:tcPr>
            <w:tcW w:w="180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0.018</w:t>
            </w:r>
          </w:p>
        </w:tc>
      </w:tr>
      <w:tr w:rsidR="002C36E3" w:rsidRPr="005E2FE4" w:rsidTr="001F653B">
        <w:trPr>
          <w:trHeight w:val="286"/>
        </w:trPr>
        <w:tc>
          <w:tcPr>
            <w:tcW w:w="1440" w:type="dxa"/>
            <w:hideMark/>
          </w:tcPr>
          <w:p w:rsidR="002C36E3" w:rsidRPr="005E2FE4" w:rsidRDefault="002C36E3" w:rsidP="005F43CF">
            <w:pPr>
              <w:ind w:left="-144"/>
              <w:jc w:val="both"/>
              <w:rPr>
                <w:rFonts w:ascii="Times New Roman" w:eastAsia="Times New Roman" w:hAnsi="Times New Roman" w:cs="Times New Roman"/>
                <w:sz w:val="24"/>
                <w:szCs w:val="24"/>
              </w:rPr>
            </w:pPr>
          </w:p>
        </w:tc>
        <w:tc>
          <w:tcPr>
            <w:tcW w:w="5040" w:type="dxa"/>
            <w:hideMark/>
          </w:tcPr>
          <w:p w:rsidR="002C36E3" w:rsidRPr="005E2FE4" w:rsidRDefault="002C36E3" w:rsidP="005F43CF">
            <w:pPr>
              <w:ind w:left="-144"/>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C.D (</w:t>
            </w:r>
            <w:r w:rsidRPr="005E2FE4">
              <w:rPr>
                <w:rFonts w:ascii="Times New Roman" w:eastAsia="Times New Roman" w:hAnsi="Times New Roman" w:cs="Times New Roman"/>
                <w:i/>
                <w:sz w:val="24"/>
                <w:szCs w:val="24"/>
              </w:rPr>
              <w:t>p=0.05</w:t>
            </w:r>
            <w:r w:rsidRPr="005E2FE4">
              <w:rPr>
                <w:rFonts w:ascii="Times New Roman" w:eastAsia="Times New Roman" w:hAnsi="Times New Roman" w:cs="Times New Roman"/>
                <w:sz w:val="24"/>
                <w:szCs w:val="24"/>
              </w:rPr>
              <w:t xml:space="preserve">) </w:t>
            </w:r>
          </w:p>
        </w:tc>
        <w:tc>
          <w:tcPr>
            <w:tcW w:w="126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0.164</w:t>
            </w:r>
          </w:p>
        </w:tc>
        <w:tc>
          <w:tcPr>
            <w:tcW w:w="126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0.043</w:t>
            </w:r>
          </w:p>
        </w:tc>
        <w:tc>
          <w:tcPr>
            <w:tcW w:w="1530" w:type="dxa"/>
            <w:hideMark/>
          </w:tcPr>
          <w:p w:rsidR="002C36E3" w:rsidRPr="005E2FE4" w:rsidRDefault="002C36E3"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0.049</w:t>
            </w:r>
          </w:p>
        </w:tc>
        <w:tc>
          <w:tcPr>
            <w:tcW w:w="1350" w:type="dxa"/>
            <w:vAlign w:val="bottom"/>
            <w:hideMark/>
          </w:tcPr>
          <w:p w:rsidR="002C36E3" w:rsidRPr="005E2FE4" w:rsidRDefault="002C36E3" w:rsidP="005F43CF">
            <w:pPr>
              <w:jc w:val="both"/>
              <w:rPr>
                <w:rFonts w:ascii="Times New Roman" w:hAnsi="Times New Roman" w:cs="Times New Roman"/>
                <w:bCs/>
                <w:sz w:val="24"/>
                <w:szCs w:val="24"/>
              </w:rPr>
            </w:pPr>
            <w:r w:rsidRPr="005E2FE4">
              <w:rPr>
                <w:rFonts w:ascii="Times New Roman" w:hAnsi="Times New Roman" w:cs="Times New Roman"/>
                <w:bCs/>
                <w:sz w:val="24"/>
                <w:szCs w:val="24"/>
              </w:rPr>
              <w:t>0.143</w:t>
            </w:r>
          </w:p>
        </w:tc>
        <w:tc>
          <w:tcPr>
            <w:tcW w:w="135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0.038</w:t>
            </w:r>
          </w:p>
        </w:tc>
        <w:tc>
          <w:tcPr>
            <w:tcW w:w="1800" w:type="dxa"/>
            <w:vAlign w:val="bottom"/>
            <w:hideMark/>
          </w:tcPr>
          <w:p w:rsidR="002C36E3" w:rsidRPr="005E2FE4" w:rsidRDefault="002C36E3" w:rsidP="005F43CF">
            <w:pPr>
              <w:jc w:val="both"/>
              <w:rPr>
                <w:rFonts w:ascii="Times New Roman" w:hAnsi="Times New Roman" w:cs="Times New Roman"/>
                <w:sz w:val="24"/>
                <w:szCs w:val="24"/>
              </w:rPr>
            </w:pPr>
            <w:r w:rsidRPr="005E2FE4">
              <w:rPr>
                <w:rFonts w:ascii="Times New Roman" w:hAnsi="Times New Roman" w:cs="Times New Roman"/>
                <w:sz w:val="24"/>
                <w:szCs w:val="24"/>
              </w:rPr>
              <w:t>0.045</w:t>
            </w:r>
          </w:p>
        </w:tc>
      </w:tr>
    </w:tbl>
    <w:p w:rsidR="00A8037F" w:rsidRPr="005E2FE4" w:rsidRDefault="002C36E3" w:rsidP="005F43CF">
      <w:pPr>
        <w:spacing w:after="0"/>
        <w:ind w:left="-144" w:hanging="666"/>
        <w:jc w:val="both"/>
        <w:rPr>
          <w:rFonts w:ascii="Times New Roman" w:hAnsi="Times New Roman" w:cs="Times New Roman"/>
          <w:sz w:val="24"/>
          <w:szCs w:val="24"/>
        </w:rPr>
      </w:pPr>
      <w:r w:rsidRPr="005E2FE4">
        <w:rPr>
          <w:rFonts w:ascii="Times New Roman" w:hAnsi="Times New Roman" w:cs="Times New Roman"/>
          <w:sz w:val="24"/>
          <w:szCs w:val="24"/>
        </w:rPr>
        <w:br w:type="page"/>
      </w:r>
      <w:r w:rsidR="00A8037F" w:rsidRPr="005E2FE4">
        <w:rPr>
          <w:rFonts w:ascii="Times New Roman" w:hAnsi="Times New Roman" w:cs="Times New Roman"/>
          <w:sz w:val="24"/>
          <w:szCs w:val="24"/>
        </w:rPr>
        <w:lastRenderedPageBreak/>
        <w:t xml:space="preserve">Table-2: </w:t>
      </w:r>
      <w:r w:rsidR="00386FDD" w:rsidRPr="00386FDD">
        <w:rPr>
          <w:rFonts w:ascii="Times New Roman" w:hAnsi="Times New Roman" w:cs="Times New Roman"/>
          <w:sz w:val="24"/>
          <w:szCs w:val="24"/>
        </w:rPr>
        <w:t xml:space="preserve">Effect of organic amendments on </w:t>
      </w:r>
      <w:r w:rsidR="00386FDD" w:rsidRPr="00E70ABC">
        <w:rPr>
          <w:rStyle w:val="Strong"/>
          <w:rFonts w:ascii="Times New Roman" w:hAnsi="Times New Roman" w:cs="Times New Roman"/>
          <w:b w:val="0"/>
          <w:sz w:val="24"/>
          <w:szCs w:val="24"/>
        </w:rPr>
        <w:t>lead (Pb) accumulation (mg kg⁻¹)</w:t>
      </w:r>
      <w:r w:rsidR="00F05542">
        <w:rPr>
          <w:rFonts w:ascii="Times New Roman" w:hAnsi="Times New Roman" w:cs="Times New Roman"/>
          <w:sz w:val="24"/>
          <w:szCs w:val="24"/>
        </w:rPr>
        <w:t xml:space="preserve"> in stem</w:t>
      </w:r>
      <w:r w:rsidR="00386FDD" w:rsidRPr="00386FDD">
        <w:rPr>
          <w:rFonts w:ascii="Times New Roman" w:hAnsi="Times New Roman" w:cs="Times New Roman"/>
          <w:sz w:val="24"/>
          <w:szCs w:val="24"/>
        </w:rPr>
        <w:t xml:space="preserve"> of brinjal and tomato grown in </w:t>
      </w:r>
      <w:r w:rsidR="00386FDD" w:rsidRPr="00E70ABC">
        <w:rPr>
          <w:rStyle w:val="Strong"/>
          <w:rFonts w:ascii="Times New Roman" w:hAnsi="Times New Roman" w:cs="Times New Roman"/>
          <w:b w:val="0"/>
          <w:sz w:val="24"/>
          <w:szCs w:val="24"/>
        </w:rPr>
        <w:t>naturally Pb-contaminated soil (100 mg kg⁻¹ Pb)</w:t>
      </w:r>
      <w:r w:rsidR="00386FDD" w:rsidRPr="00386FDD">
        <w:rPr>
          <w:rFonts w:ascii="Times New Roman" w:hAnsi="Times New Roman" w:cs="Times New Roman"/>
          <w:sz w:val="24"/>
          <w:szCs w:val="24"/>
        </w:rPr>
        <w:t xml:space="preserve"> </w:t>
      </w:r>
      <w:r w:rsidR="00A8037F" w:rsidRPr="00386FDD">
        <w:rPr>
          <w:rFonts w:ascii="Times New Roman" w:hAnsi="Times New Roman" w:cs="Times New Roman"/>
          <w:sz w:val="24"/>
          <w:szCs w:val="24"/>
        </w:rPr>
        <w:t>under BachaoliBujurg region of Jhansi</w:t>
      </w:r>
    </w:p>
    <w:tbl>
      <w:tblPr>
        <w:tblStyle w:val="TableGrid"/>
        <w:tblW w:w="15030" w:type="dxa"/>
        <w:tblInd w:w="-1152" w:type="dxa"/>
        <w:tblLayout w:type="fixed"/>
        <w:tblLook w:val="04A0"/>
      </w:tblPr>
      <w:tblGrid>
        <w:gridCol w:w="1440"/>
        <w:gridCol w:w="4950"/>
        <w:gridCol w:w="1350"/>
        <w:gridCol w:w="1350"/>
        <w:gridCol w:w="1530"/>
        <w:gridCol w:w="1505"/>
        <w:gridCol w:w="1375"/>
        <w:gridCol w:w="1530"/>
      </w:tblGrid>
      <w:tr w:rsidR="00A8037F" w:rsidRPr="005E2FE4" w:rsidTr="001F653B">
        <w:trPr>
          <w:trHeight w:val="287"/>
        </w:trPr>
        <w:tc>
          <w:tcPr>
            <w:tcW w:w="1440" w:type="dxa"/>
            <w:vMerge w:val="restart"/>
            <w:hideMark/>
          </w:tcPr>
          <w:p w:rsidR="00A8037F" w:rsidRPr="005E2FE4" w:rsidRDefault="00A8037F" w:rsidP="005F43CF">
            <w:pPr>
              <w:spacing w:before="48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Treatments</w:t>
            </w:r>
          </w:p>
        </w:tc>
        <w:tc>
          <w:tcPr>
            <w:tcW w:w="4950" w:type="dxa"/>
            <w:vMerge w:val="restart"/>
            <w:hideMark/>
          </w:tcPr>
          <w:p w:rsidR="00A8037F" w:rsidRPr="005E2FE4" w:rsidRDefault="00A8037F" w:rsidP="005F43CF">
            <w:pPr>
              <w:spacing w:before="48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Description</w:t>
            </w:r>
          </w:p>
        </w:tc>
        <w:tc>
          <w:tcPr>
            <w:tcW w:w="2700" w:type="dxa"/>
            <w:gridSpan w:val="2"/>
            <w:tcBorders>
              <w:bottom w:val="single" w:sz="4" w:space="0" w:color="auto"/>
            </w:tcBorders>
            <w:hideMark/>
          </w:tcPr>
          <w:p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Brinjal</w:t>
            </w:r>
          </w:p>
        </w:tc>
        <w:tc>
          <w:tcPr>
            <w:tcW w:w="1530" w:type="dxa"/>
            <w:vMerge w:val="restart"/>
            <w:hideMark/>
          </w:tcPr>
          <w:p w:rsidR="00A8037F" w:rsidRPr="005E2FE4" w:rsidRDefault="00A8037F" w:rsidP="005F43CF">
            <w:pPr>
              <w:spacing w:before="120"/>
              <w:jc w:val="both"/>
              <w:rPr>
                <w:rFonts w:ascii="Times New Roman" w:eastAsia="Times New Roman" w:hAnsi="Times New Roman" w:cs="Times New Roman"/>
                <w:b/>
                <w:bCs/>
                <w:sz w:val="24"/>
                <w:szCs w:val="24"/>
              </w:rPr>
            </w:pPr>
          </w:p>
          <w:p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Pooled data</w:t>
            </w:r>
          </w:p>
        </w:tc>
        <w:tc>
          <w:tcPr>
            <w:tcW w:w="2880" w:type="dxa"/>
            <w:gridSpan w:val="2"/>
            <w:tcBorders>
              <w:bottom w:val="single" w:sz="4" w:space="0" w:color="auto"/>
            </w:tcBorders>
            <w:hideMark/>
          </w:tcPr>
          <w:p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Tomato</w:t>
            </w:r>
          </w:p>
        </w:tc>
        <w:tc>
          <w:tcPr>
            <w:tcW w:w="1530" w:type="dxa"/>
            <w:vMerge w:val="restart"/>
            <w:hideMark/>
          </w:tcPr>
          <w:p w:rsidR="00A8037F" w:rsidRPr="005E2FE4" w:rsidRDefault="00A8037F" w:rsidP="005F43CF">
            <w:pPr>
              <w:spacing w:before="120"/>
              <w:jc w:val="both"/>
              <w:rPr>
                <w:rFonts w:ascii="Times New Roman" w:eastAsia="Times New Roman" w:hAnsi="Times New Roman" w:cs="Times New Roman"/>
                <w:b/>
                <w:bCs/>
                <w:sz w:val="24"/>
                <w:szCs w:val="24"/>
              </w:rPr>
            </w:pPr>
          </w:p>
          <w:p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Pooled data</w:t>
            </w:r>
          </w:p>
        </w:tc>
      </w:tr>
      <w:tr w:rsidR="00A8037F" w:rsidRPr="005E2FE4" w:rsidTr="001F653B">
        <w:trPr>
          <w:trHeight w:val="299"/>
        </w:trPr>
        <w:tc>
          <w:tcPr>
            <w:tcW w:w="1440" w:type="dxa"/>
            <w:vMerge/>
            <w:hideMark/>
          </w:tcPr>
          <w:p w:rsidR="00A8037F" w:rsidRPr="005E2FE4" w:rsidRDefault="00A8037F" w:rsidP="005F43CF">
            <w:pPr>
              <w:spacing w:before="480"/>
              <w:jc w:val="both"/>
              <w:rPr>
                <w:rFonts w:ascii="Times New Roman" w:eastAsia="Times New Roman" w:hAnsi="Times New Roman" w:cs="Times New Roman"/>
                <w:b/>
                <w:bCs/>
                <w:sz w:val="24"/>
                <w:szCs w:val="24"/>
              </w:rPr>
            </w:pPr>
          </w:p>
        </w:tc>
        <w:tc>
          <w:tcPr>
            <w:tcW w:w="4950" w:type="dxa"/>
            <w:vMerge/>
            <w:hideMark/>
          </w:tcPr>
          <w:p w:rsidR="00A8037F" w:rsidRPr="005E2FE4" w:rsidRDefault="00A8037F" w:rsidP="005F43CF">
            <w:pPr>
              <w:spacing w:before="480"/>
              <w:jc w:val="both"/>
              <w:rPr>
                <w:rFonts w:ascii="Times New Roman" w:eastAsia="Times New Roman" w:hAnsi="Times New Roman" w:cs="Times New Roman"/>
                <w:b/>
                <w:bCs/>
                <w:sz w:val="24"/>
                <w:szCs w:val="24"/>
              </w:rPr>
            </w:pPr>
          </w:p>
        </w:tc>
        <w:tc>
          <w:tcPr>
            <w:tcW w:w="1350" w:type="dxa"/>
            <w:tcBorders>
              <w:top w:val="single" w:sz="4" w:space="0" w:color="auto"/>
              <w:bottom w:val="single" w:sz="4" w:space="0" w:color="auto"/>
            </w:tcBorders>
            <w:hideMark/>
          </w:tcPr>
          <w:p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2022-23</w:t>
            </w:r>
          </w:p>
        </w:tc>
        <w:tc>
          <w:tcPr>
            <w:tcW w:w="1350" w:type="dxa"/>
            <w:tcBorders>
              <w:top w:val="single" w:sz="4" w:space="0" w:color="auto"/>
              <w:bottom w:val="single" w:sz="4" w:space="0" w:color="auto"/>
            </w:tcBorders>
            <w:hideMark/>
          </w:tcPr>
          <w:p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2023-24</w:t>
            </w:r>
          </w:p>
        </w:tc>
        <w:tc>
          <w:tcPr>
            <w:tcW w:w="1530" w:type="dxa"/>
            <w:vMerge/>
            <w:tcBorders>
              <w:bottom w:val="single" w:sz="4" w:space="0" w:color="auto"/>
            </w:tcBorders>
            <w:hideMark/>
          </w:tcPr>
          <w:p w:rsidR="00A8037F" w:rsidRPr="005E2FE4" w:rsidRDefault="00A8037F" w:rsidP="005F43CF">
            <w:pPr>
              <w:spacing w:before="120"/>
              <w:jc w:val="both"/>
              <w:rPr>
                <w:rFonts w:ascii="Times New Roman" w:eastAsia="Times New Roman" w:hAnsi="Times New Roman" w:cs="Times New Roman"/>
                <w:b/>
                <w:bCs/>
                <w:sz w:val="24"/>
                <w:szCs w:val="24"/>
              </w:rPr>
            </w:pPr>
          </w:p>
        </w:tc>
        <w:tc>
          <w:tcPr>
            <w:tcW w:w="1505" w:type="dxa"/>
            <w:tcBorders>
              <w:top w:val="single" w:sz="4" w:space="0" w:color="auto"/>
              <w:bottom w:val="single" w:sz="4" w:space="0" w:color="auto"/>
            </w:tcBorders>
            <w:hideMark/>
          </w:tcPr>
          <w:p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2022-23</w:t>
            </w:r>
          </w:p>
        </w:tc>
        <w:tc>
          <w:tcPr>
            <w:tcW w:w="1375" w:type="dxa"/>
            <w:tcBorders>
              <w:top w:val="single" w:sz="4" w:space="0" w:color="auto"/>
              <w:bottom w:val="single" w:sz="4" w:space="0" w:color="auto"/>
            </w:tcBorders>
            <w:hideMark/>
          </w:tcPr>
          <w:p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2023-24</w:t>
            </w:r>
          </w:p>
        </w:tc>
        <w:tc>
          <w:tcPr>
            <w:tcW w:w="1530" w:type="dxa"/>
            <w:vMerge/>
            <w:tcBorders>
              <w:bottom w:val="single" w:sz="4" w:space="0" w:color="auto"/>
            </w:tcBorders>
            <w:hideMark/>
          </w:tcPr>
          <w:p w:rsidR="00A8037F" w:rsidRPr="005E2FE4" w:rsidRDefault="00A8037F" w:rsidP="005F43CF">
            <w:pPr>
              <w:spacing w:before="120"/>
              <w:jc w:val="both"/>
              <w:rPr>
                <w:rFonts w:ascii="Times New Roman" w:eastAsia="Times New Roman" w:hAnsi="Times New Roman" w:cs="Times New Roman"/>
                <w:b/>
                <w:bCs/>
                <w:sz w:val="24"/>
                <w:szCs w:val="24"/>
              </w:rPr>
            </w:pPr>
          </w:p>
        </w:tc>
      </w:tr>
      <w:tr w:rsidR="00A8037F" w:rsidRPr="005E2FE4" w:rsidTr="001F653B">
        <w:trPr>
          <w:trHeight w:val="386"/>
        </w:trPr>
        <w:tc>
          <w:tcPr>
            <w:tcW w:w="1440" w:type="dxa"/>
            <w:vMerge/>
            <w:hideMark/>
          </w:tcPr>
          <w:p w:rsidR="00A8037F" w:rsidRPr="005E2FE4" w:rsidRDefault="00A8037F" w:rsidP="005F43CF">
            <w:pPr>
              <w:jc w:val="both"/>
              <w:rPr>
                <w:rFonts w:ascii="Times New Roman" w:eastAsia="Times New Roman" w:hAnsi="Times New Roman" w:cs="Times New Roman"/>
                <w:b/>
                <w:bCs/>
                <w:sz w:val="24"/>
                <w:szCs w:val="24"/>
              </w:rPr>
            </w:pPr>
          </w:p>
        </w:tc>
        <w:tc>
          <w:tcPr>
            <w:tcW w:w="4950" w:type="dxa"/>
            <w:vMerge/>
            <w:hideMark/>
          </w:tcPr>
          <w:p w:rsidR="00A8037F" w:rsidRPr="005E2FE4" w:rsidRDefault="00A8037F" w:rsidP="005F43CF">
            <w:pPr>
              <w:jc w:val="both"/>
              <w:rPr>
                <w:rFonts w:ascii="Times New Roman" w:eastAsia="Times New Roman" w:hAnsi="Times New Roman" w:cs="Times New Roman"/>
                <w:b/>
                <w:bCs/>
                <w:sz w:val="24"/>
                <w:szCs w:val="24"/>
              </w:rPr>
            </w:pPr>
          </w:p>
        </w:tc>
        <w:tc>
          <w:tcPr>
            <w:tcW w:w="1350" w:type="dxa"/>
            <w:tcBorders>
              <w:top w:val="single" w:sz="4" w:space="0" w:color="auto"/>
            </w:tcBorders>
            <w:hideMark/>
          </w:tcPr>
          <w:p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Stem</w:t>
            </w:r>
          </w:p>
        </w:tc>
        <w:tc>
          <w:tcPr>
            <w:tcW w:w="1350" w:type="dxa"/>
            <w:tcBorders>
              <w:top w:val="single" w:sz="4" w:space="0" w:color="auto"/>
            </w:tcBorders>
            <w:hideMark/>
          </w:tcPr>
          <w:p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Stem</w:t>
            </w:r>
          </w:p>
        </w:tc>
        <w:tc>
          <w:tcPr>
            <w:tcW w:w="1530" w:type="dxa"/>
            <w:tcBorders>
              <w:top w:val="single" w:sz="4" w:space="0" w:color="auto"/>
            </w:tcBorders>
            <w:hideMark/>
          </w:tcPr>
          <w:p w:rsidR="00A8037F" w:rsidRPr="005E2FE4" w:rsidRDefault="00A8037F" w:rsidP="005F43CF">
            <w:pPr>
              <w:spacing w:before="120"/>
              <w:jc w:val="both"/>
              <w:rPr>
                <w:rFonts w:ascii="Times New Roman" w:eastAsia="Times New Roman" w:hAnsi="Times New Roman" w:cs="Times New Roman"/>
                <w:b/>
                <w:bCs/>
                <w:sz w:val="24"/>
                <w:szCs w:val="24"/>
              </w:rPr>
            </w:pPr>
          </w:p>
        </w:tc>
        <w:tc>
          <w:tcPr>
            <w:tcW w:w="1505" w:type="dxa"/>
            <w:tcBorders>
              <w:top w:val="single" w:sz="4" w:space="0" w:color="auto"/>
            </w:tcBorders>
            <w:hideMark/>
          </w:tcPr>
          <w:p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Stem</w:t>
            </w:r>
          </w:p>
        </w:tc>
        <w:tc>
          <w:tcPr>
            <w:tcW w:w="1375" w:type="dxa"/>
            <w:tcBorders>
              <w:top w:val="single" w:sz="4" w:space="0" w:color="auto"/>
            </w:tcBorders>
            <w:hideMark/>
          </w:tcPr>
          <w:p w:rsidR="00A8037F" w:rsidRPr="005E2FE4" w:rsidRDefault="00A8037F" w:rsidP="005F43CF">
            <w:pPr>
              <w:spacing w:before="120"/>
              <w:jc w:val="both"/>
              <w:rPr>
                <w:rFonts w:ascii="Times New Roman" w:eastAsia="Times New Roman" w:hAnsi="Times New Roman" w:cs="Times New Roman"/>
                <w:b/>
                <w:bCs/>
                <w:sz w:val="24"/>
                <w:szCs w:val="24"/>
              </w:rPr>
            </w:pPr>
            <w:r w:rsidRPr="005E2FE4">
              <w:rPr>
                <w:rFonts w:ascii="Times New Roman" w:eastAsia="Times New Roman" w:hAnsi="Times New Roman" w:cs="Times New Roman"/>
                <w:b/>
                <w:bCs/>
                <w:sz w:val="24"/>
                <w:szCs w:val="24"/>
              </w:rPr>
              <w:t>Stem</w:t>
            </w:r>
          </w:p>
        </w:tc>
        <w:tc>
          <w:tcPr>
            <w:tcW w:w="1530" w:type="dxa"/>
            <w:tcBorders>
              <w:top w:val="single" w:sz="4" w:space="0" w:color="auto"/>
            </w:tcBorders>
            <w:hideMark/>
          </w:tcPr>
          <w:p w:rsidR="00A8037F" w:rsidRPr="005E2FE4" w:rsidRDefault="00A8037F" w:rsidP="005F43CF">
            <w:pPr>
              <w:spacing w:before="120"/>
              <w:jc w:val="both"/>
              <w:rPr>
                <w:rFonts w:ascii="Times New Roman" w:eastAsia="Times New Roman" w:hAnsi="Times New Roman" w:cs="Times New Roman"/>
                <w:b/>
                <w:bCs/>
                <w:sz w:val="24"/>
                <w:szCs w:val="24"/>
              </w:rPr>
            </w:pPr>
          </w:p>
        </w:tc>
      </w:tr>
      <w:tr w:rsidR="00A8037F" w:rsidRPr="005E2FE4" w:rsidTr="001F653B">
        <w:trPr>
          <w:trHeight w:val="423"/>
        </w:trPr>
        <w:tc>
          <w:tcPr>
            <w:tcW w:w="144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w:t>
            </w:r>
          </w:p>
        </w:tc>
        <w:tc>
          <w:tcPr>
            <w:tcW w:w="495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5 t ha⁻¹</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0.075</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0.075</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0.075</w:t>
            </w:r>
          </w:p>
        </w:tc>
        <w:tc>
          <w:tcPr>
            <w:tcW w:w="1505" w:type="dxa"/>
            <w:vAlign w:val="bottom"/>
            <w:hideMark/>
          </w:tcPr>
          <w:p w:rsidR="00A8037F" w:rsidRPr="005E2FE4" w:rsidRDefault="00A8037F"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0.066</w:t>
            </w:r>
          </w:p>
        </w:tc>
        <w:tc>
          <w:tcPr>
            <w:tcW w:w="137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0.066</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0.066</w:t>
            </w:r>
          </w:p>
        </w:tc>
      </w:tr>
      <w:tr w:rsidR="00A8037F" w:rsidRPr="005E2FE4" w:rsidTr="001F653B">
        <w:trPr>
          <w:trHeight w:val="441"/>
        </w:trPr>
        <w:tc>
          <w:tcPr>
            <w:tcW w:w="144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2</w:t>
            </w:r>
          </w:p>
        </w:tc>
        <w:tc>
          <w:tcPr>
            <w:tcW w:w="495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10 t ha⁻¹</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0.078</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0.066</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0.072</w:t>
            </w:r>
          </w:p>
        </w:tc>
        <w:tc>
          <w:tcPr>
            <w:tcW w:w="150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0.068</w:t>
            </w:r>
          </w:p>
        </w:tc>
        <w:tc>
          <w:tcPr>
            <w:tcW w:w="137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0.058</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0.063</w:t>
            </w:r>
          </w:p>
        </w:tc>
      </w:tr>
      <w:tr w:rsidR="00A8037F" w:rsidRPr="005E2FE4" w:rsidTr="001F653B">
        <w:trPr>
          <w:trHeight w:val="396"/>
        </w:trPr>
        <w:tc>
          <w:tcPr>
            <w:tcW w:w="144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3</w:t>
            </w:r>
          </w:p>
        </w:tc>
        <w:tc>
          <w:tcPr>
            <w:tcW w:w="495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Kitchen Waste Compost 5 t ha⁻¹</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0.117</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0.081</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0.099</w:t>
            </w:r>
          </w:p>
        </w:tc>
        <w:tc>
          <w:tcPr>
            <w:tcW w:w="1505" w:type="dxa"/>
            <w:vAlign w:val="bottom"/>
            <w:hideMark/>
          </w:tcPr>
          <w:p w:rsidR="00A8037F" w:rsidRPr="005E2FE4" w:rsidRDefault="00A8037F" w:rsidP="005F43CF">
            <w:pPr>
              <w:jc w:val="both"/>
              <w:rPr>
                <w:rFonts w:ascii="Times New Roman" w:hAnsi="Times New Roman" w:cs="Times New Roman"/>
                <w:sz w:val="24"/>
                <w:szCs w:val="24"/>
              </w:rPr>
            </w:pPr>
          </w:p>
        </w:tc>
        <w:tc>
          <w:tcPr>
            <w:tcW w:w="1375" w:type="dxa"/>
            <w:vAlign w:val="bottom"/>
            <w:hideMark/>
          </w:tcPr>
          <w:p w:rsidR="00A8037F" w:rsidRPr="005E2FE4" w:rsidRDefault="00A8037F" w:rsidP="005F43CF">
            <w:pPr>
              <w:jc w:val="both"/>
              <w:rPr>
                <w:rFonts w:ascii="Times New Roman" w:hAnsi="Times New Roman" w:cs="Times New Roman"/>
                <w:sz w:val="24"/>
                <w:szCs w:val="24"/>
              </w:rPr>
            </w:pPr>
          </w:p>
        </w:tc>
        <w:tc>
          <w:tcPr>
            <w:tcW w:w="1530" w:type="dxa"/>
            <w:vAlign w:val="bottom"/>
            <w:hideMark/>
          </w:tcPr>
          <w:p w:rsidR="00A8037F" w:rsidRPr="005E2FE4" w:rsidRDefault="00A8037F" w:rsidP="005F43CF">
            <w:pPr>
              <w:jc w:val="both"/>
              <w:rPr>
                <w:rFonts w:ascii="Times New Roman" w:hAnsi="Times New Roman" w:cs="Times New Roman"/>
                <w:sz w:val="24"/>
                <w:szCs w:val="24"/>
              </w:rPr>
            </w:pPr>
          </w:p>
        </w:tc>
      </w:tr>
      <w:tr w:rsidR="00A8037F" w:rsidRPr="005E2FE4" w:rsidTr="001F653B">
        <w:trPr>
          <w:trHeight w:val="554"/>
        </w:trPr>
        <w:tc>
          <w:tcPr>
            <w:tcW w:w="144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4</w:t>
            </w:r>
          </w:p>
        </w:tc>
        <w:tc>
          <w:tcPr>
            <w:tcW w:w="495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Kitchen Waste Compost 10 t ha⁻¹</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0.087</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0.080</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0.0835</w:t>
            </w:r>
          </w:p>
        </w:tc>
        <w:tc>
          <w:tcPr>
            <w:tcW w:w="150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0.076</w:t>
            </w:r>
          </w:p>
        </w:tc>
        <w:tc>
          <w:tcPr>
            <w:tcW w:w="137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0.071</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0.0735</w:t>
            </w:r>
          </w:p>
        </w:tc>
      </w:tr>
      <w:tr w:rsidR="00A8037F" w:rsidRPr="005E2FE4" w:rsidTr="001F653B">
        <w:trPr>
          <w:trHeight w:val="537"/>
        </w:trPr>
        <w:tc>
          <w:tcPr>
            <w:tcW w:w="144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5</w:t>
            </w:r>
          </w:p>
        </w:tc>
        <w:tc>
          <w:tcPr>
            <w:tcW w:w="495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Vermicompost 5 t ha⁻¹</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0.105</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0.097</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0.101</w:t>
            </w:r>
          </w:p>
        </w:tc>
        <w:tc>
          <w:tcPr>
            <w:tcW w:w="150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0.091</w:t>
            </w:r>
          </w:p>
        </w:tc>
        <w:tc>
          <w:tcPr>
            <w:tcW w:w="137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0.085</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0.088</w:t>
            </w:r>
          </w:p>
        </w:tc>
      </w:tr>
      <w:tr w:rsidR="00A8037F" w:rsidRPr="005E2FE4" w:rsidTr="001F653B">
        <w:trPr>
          <w:trHeight w:val="537"/>
        </w:trPr>
        <w:tc>
          <w:tcPr>
            <w:tcW w:w="144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6</w:t>
            </w:r>
          </w:p>
        </w:tc>
        <w:tc>
          <w:tcPr>
            <w:tcW w:w="495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Vermicompost 10 t ha⁻¹</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0.095</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0.088</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0.0915</w:t>
            </w:r>
          </w:p>
        </w:tc>
        <w:tc>
          <w:tcPr>
            <w:tcW w:w="150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0.083</w:t>
            </w:r>
          </w:p>
        </w:tc>
        <w:tc>
          <w:tcPr>
            <w:tcW w:w="137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0.078</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0.0805</w:t>
            </w:r>
          </w:p>
        </w:tc>
      </w:tr>
      <w:tr w:rsidR="00A8037F" w:rsidRPr="005E2FE4" w:rsidTr="001F653B">
        <w:trPr>
          <w:trHeight w:val="554"/>
        </w:trPr>
        <w:tc>
          <w:tcPr>
            <w:tcW w:w="144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7</w:t>
            </w:r>
          </w:p>
        </w:tc>
        <w:tc>
          <w:tcPr>
            <w:tcW w:w="495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5t + Kitchen Waste Compost 5t ha⁻¹</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0.085</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0.077</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0.081</w:t>
            </w:r>
          </w:p>
        </w:tc>
        <w:tc>
          <w:tcPr>
            <w:tcW w:w="150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0.074</w:t>
            </w:r>
          </w:p>
        </w:tc>
        <w:tc>
          <w:tcPr>
            <w:tcW w:w="137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0.068</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0.071</w:t>
            </w:r>
          </w:p>
        </w:tc>
      </w:tr>
      <w:tr w:rsidR="00A8037F" w:rsidRPr="005E2FE4" w:rsidTr="001F653B">
        <w:trPr>
          <w:trHeight w:val="537"/>
        </w:trPr>
        <w:tc>
          <w:tcPr>
            <w:tcW w:w="144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8</w:t>
            </w:r>
          </w:p>
        </w:tc>
        <w:tc>
          <w:tcPr>
            <w:tcW w:w="495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10 t + Kitchen Waste Compost 10 t ha⁻¹</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0.083</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0.076</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0.0795</w:t>
            </w:r>
          </w:p>
        </w:tc>
        <w:tc>
          <w:tcPr>
            <w:tcW w:w="150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0.072</w:t>
            </w:r>
          </w:p>
        </w:tc>
        <w:tc>
          <w:tcPr>
            <w:tcW w:w="137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0.067</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0.0695</w:t>
            </w:r>
          </w:p>
        </w:tc>
      </w:tr>
      <w:tr w:rsidR="00A8037F" w:rsidRPr="005E2FE4" w:rsidTr="001F653B">
        <w:trPr>
          <w:trHeight w:val="305"/>
        </w:trPr>
        <w:tc>
          <w:tcPr>
            <w:tcW w:w="144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9</w:t>
            </w:r>
          </w:p>
        </w:tc>
        <w:tc>
          <w:tcPr>
            <w:tcW w:w="495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5 t + Vermicompost 5 t ha⁻¹</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0.073</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0.066</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0.0695</w:t>
            </w:r>
          </w:p>
        </w:tc>
        <w:tc>
          <w:tcPr>
            <w:tcW w:w="150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0.064</w:t>
            </w:r>
          </w:p>
        </w:tc>
        <w:tc>
          <w:tcPr>
            <w:tcW w:w="137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0.058</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0.061</w:t>
            </w:r>
          </w:p>
        </w:tc>
      </w:tr>
      <w:tr w:rsidR="00A8037F" w:rsidRPr="005E2FE4" w:rsidTr="001F653B">
        <w:trPr>
          <w:trHeight w:val="548"/>
        </w:trPr>
        <w:tc>
          <w:tcPr>
            <w:tcW w:w="144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10</w:t>
            </w:r>
          </w:p>
        </w:tc>
        <w:tc>
          <w:tcPr>
            <w:tcW w:w="495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Kitchen Waste Compost 5 t + Vermicompost 5 t ha⁻¹</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0.065</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0.068</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0.0665</w:t>
            </w:r>
          </w:p>
        </w:tc>
        <w:tc>
          <w:tcPr>
            <w:tcW w:w="150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0.057</w:t>
            </w:r>
          </w:p>
        </w:tc>
        <w:tc>
          <w:tcPr>
            <w:tcW w:w="137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0.06</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0.0585</w:t>
            </w:r>
          </w:p>
        </w:tc>
      </w:tr>
      <w:tr w:rsidR="00A8037F" w:rsidRPr="005E2FE4" w:rsidTr="001F653B">
        <w:trPr>
          <w:trHeight w:val="710"/>
        </w:trPr>
        <w:tc>
          <w:tcPr>
            <w:tcW w:w="144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11</w:t>
            </w:r>
          </w:p>
        </w:tc>
        <w:tc>
          <w:tcPr>
            <w:tcW w:w="495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Contaminated + FYM 5 t + Kitchen Waste Compost 5 t + Vermicompost 5 t ha⁻¹</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0.064</w:t>
            </w:r>
          </w:p>
        </w:tc>
        <w:tc>
          <w:tcPr>
            <w:tcW w:w="1350" w:type="dxa"/>
            <w:vAlign w:val="center"/>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0.065</w:t>
            </w:r>
          </w:p>
        </w:tc>
        <w:tc>
          <w:tcPr>
            <w:tcW w:w="1530" w:type="dxa"/>
            <w:vAlign w:val="bottom"/>
            <w:hideMark/>
          </w:tcPr>
          <w:p w:rsidR="00A8037F" w:rsidRPr="005E2FE4" w:rsidRDefault="00A8037F" w:rsidP="005F43CF">
            <w:pPr>
              <w:spacing w:before="100" w:beforeAutospacing="1"/>
              <w:jc w:val="both"/>
              <w:rPr>
                <w:rFonts w:ascii="Times New Roman" w:hAnsi="Times New Roman" w:cs="Times New Roman"/>
                <w:sz w:val="24"/>
                <w:szCs w:val="24"/>
              </w:rPr>
            </w:pPr>
            <w:r w:rsidRPr="005E2FE4">
              <w:rPr>
                <w:rFonts w:ascii="Times New Roman" w:hAnsi="Times New Roman" w:cs="Times New Roman"/>
                <w:sz w:val="24"/>
                <w:szCs w:val="24"/>
              </w:rPr>
              <w:t>0.0645</w:t>
            </w:r>
          </w:p>
        </w:tc>
        <w:tc>
          <w:tcPr>
            <w:tcW w:w="150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0.056</w:t>
            </w:r>
          </w:p>
        </w:tc>
        <w:tc>
          <w:tcPr>
            <w:tcW w:w="137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0.057</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0.0565</w:t>
            </w:r>
          </w:p>
        </w:tc>
      </w:tr>
      <w:tr w:rsidR="00A8037F" w:rsidRPr="005E2FE4" w:rsidTr="001F653B">
        <w:trPr>
          <w:trHeight w:val="537"/>
        </w:trPr>
        <w:tc>
          <w:tcPr>
            <w:tcW w:w="144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12</w:t>
            </w:r>
          </w:p>
        </w:tc>
        <w:tc>
          <w:tcPr>
            <w:tcW w:w="495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 xml:space="preserve">Contaminated control                             </w:t>
            </w:r>
          </w:p>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 xml:space="preserve">   (no ammendment)</w:t>
            </w:r>
          </w:p>
        </w:tc>
        <w:tc>
          <w:tcPr>
            <w:tcW w:w="135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0.807</w:t>
            </w:r>
          </w:p>
        </w:tc>
        <w:tc>
          <w:tcPr>
            <w:tcW w:w="135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0.109</w:t>
            </w:r>
          </w:p>
        </w:tc>
        <w:tc>
          <w:tcPr>
            <w:tcW w:w="1530" w:type="dxa"/>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0.458</w:t>
            </w:r>
          </w:p>
        </w:tc>
        <w:tc>
          <w:tcPr>
            <w:tcW w:w="150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0.181</w:t>
            </w:r>
          </w:p>
        </w:tc>
        <w:tc>
          <w:tcPr>
            <w:tcW w:w="137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0.130</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0.155</w:t>
            </w:r>
          </w:p>
        </w:tc>
      </w:tr>
      <w:tr w:rsidR="00A8037F" w:rsidRPr="005E2FE4" w:rsidTr="001F653B">
        <w:trPr>
          <w:trHeight w:val="286"/>
        </w:trPr>
        <w:tc>
          <w:tcPr>
            <w:tcW w:w="144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T</w:t>
            </w:r>
            <w:r w:rsidRPr="005E2FE4">
              <w:rPr>
                <w:rFonts w:ascii="Times New Roman" w:eastAsia="Times New Roman" w:hAnsi="Times New Roman" w:cs="Times New Roman"/>
                <w:sz w:val="24"/>
                <w:szCs w:val="24"/>
                <w:vertAlign w:val="subscript"/>
              </w:rPr>
              <w:t>13</w:t>
            </w:r>
          </w:p>
        </w:tc>
        <w:tc>
          <w:tcPr>
            <w:tcW w:w="495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Uncontaminated control</w:t>
            </w:r>
          </w:p>
        </w:tc>
        <w:tc>
          <w:tcPr>
            <w:tcW w:w="135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0.207</w:t>
            </w:r>
          </w:p>
        </w:tc>
        <w:tc>
          <w:tcPr>
            <w:tcW w:w="1350" w:type="dxa"/>
            <w:hideMark/>
          </w:tcPr>
          <w:p w:rsidR="00A8037F" w:rsidRPr="005E2FE4" w:rsidRDefault="00A8037F"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0.184</w:t>
            </w:r>
          </w:p>
        </w:tc>
        <w:tc>
          <w:tcPr>
            <w:tcW w:w="1530" w:type="dxa"/>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0.1955</w:t>
            </w:r>
          </w:p>
        </w:tc>
        <w:tc>
          <w:tcPr>
            <w:tcW w:w="150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0.692</w:t>
            </w:r>
          </w:p>
        </w:tc>
        <w:tc>
          <w:tcPr>
            <w:tcW w:w="1375"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0.098</w:t>
            </w:r>
          </w:p>
        </w:tc>
        <w:tc>
          <w:tcPr>
            <w:tcW w:w="1530" w:type="dxa"/>
            <w:vAlign w:val="bottom"/>
            <w:hideMark/>
          </w:tcPr>
          <w:p w:rsidR="00A8037F" w:rsidRPr="005E2FE4" w:rsidRDefault="00A8037F" w:rsidP="005F43CF">
            <w:pPr>
              <w:jc w:val="both"/>
              <w:rPr>
                <w:rFonts w:ascii="Times New Roman" w:hAnsi="Times New Roman" w:cs="Times New Roman"/>
                <w:sz w:val="24"/>
                <w:szCs w:val="24"/>
              </w:rPr>
            </w:pPr>
            <w:r w:rsidRPr="005E2FE4">
              <w:rPr>
                <w:rFonts w:ascii="Times New Roman" w:hAnsi="Times New Roman" w:cs="Times New Roman"/>
                <w:sz w:val="24"/>
                <w:szCs w:val="24"/>
              </w:rPr>
              <w:t>0.395</w:t>
            </w:r>
          </w:p>
        </w:tc>
      </w:tr>
      <w:tr w:rsidR="003E29BA" w:rsidRPr="005E2FE4" w:rsidTr="001F653B">
        <w:trPr>
          <w:trHeight w:val="269"/>
        </w:trPr>
        <w:tc>
          <w:tcPr>
            <w:tcW w:w="1440" w:type="dxa"/>
            <w:hideMark/>
          </w:tcPr>
          <w:p w:rsidR="003E29BA" w:rsidRPr="005E2FE4" w:rsidRDefault="003E29BA" w:rsidP="005F43CF">
            <w:pPr>
              <w:jc w:val="both"/>
              <w:rPr>
                <w:rFonts w:ascii="Times New Roman" w:eastAsia="Times New Roman" w:hAnsi="Times New Roman" w:cs="Times New Roman"/>
                <w:sz w:val="24"/>
                <w:szCs w:val="24"/>
              </w:rPr>
            </w:pPr>
          </w:p>
        </w:tc>
        <w:tc>
          <w:tcPr>
            <w:tcW w:w="4950" w:type="dxa"/>
            <w:hideMark/>
          </w:tcPr>
          <w:p w:rsidR="003E29BA" w:rsidRPr="005E2FE4" w:rsidRDefault="003E29BA"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S.Em. ±</w:t>
            </w:r>
          </w:p>
        </w:tc>
        <w:tc>
          <w:tcPr>
            <w:tcW w:w="1350" w:type="dxa"/>
            <w:hideMark/>
          </w:tcPr>
          <w:p w:rsidR="003E29BA" w:rsidRPr="005E2FE4" w:rsidRDefault="003E29BA"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0.026</w:t>
            </w:r>
          </w:p>
        </w:tc>
        <w:tc>
          <w:tcPr>
            <w:tcW w:w="1350" w:type="dxa"/>
            <w:vAlign w:val="bottom"/>
            <w:hideMark/>
          </w:tcPr>
          <w:p w:rsidR="003E29BA" w:rsidRPr="005E2FE4" w:rsidRDefault="003E29BA" w:rsidP="005F43CF">
            <w:pPr>
              <w:jc w:val="both"/>
              <w:rPr>
                <w:rFonts w:ascii="Times New Roman" w:hAnsi="Times New Roman" w:cs="Times New Roman"/>
                <w:sz w:val="24"/>
                <w:szCs w:val="24"/>
              </w:rPr>
            </w:pPr>
            <w:r w:rsidRPr="005E2FE4">
              <w:rPr>
                <w:rFonts w:ascii="Times New Roman" w:eastAsia="Times New Roman" w:hAnsi="Times New Roman" w:cs="Times New Roman"/>
                <w:sz w:val="24"/>
                <w:szCs w:val="24"/>
              </w:rPr>
              <w:t>0.015</w:t>
            </w:r>
          </w:p>
        </w:tc>
        <w:tc>
          <w:tcPr>
            <w:tcW w:w="1530" w:type="dxa"/>
            <w:hideMark/>
          </w:tcPr>
          <w:p w:rsidR="003E29BA" w:rsidRPr="005E2FE4" w:rsidRDefault="003E29BA"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0.022</w:t>
            </w:r>
          </w:p>
        </w:tc>
        <w:tc>
          <w:tcPr>
            <w:tcW w:w="1505" w:type="dxa"/>
            <w:vAlign w:val="bottom"/>
            <w:hideMark/>
          </w:tcPr>
          <w:p w:rsidR="003E29BA" w:rsidRPr="005E2FE4" w:rsidRDefault="003E29BA" w:rsidP="005F43CF">
            <w:pPr>
              <w:jc w:val="both"/>
              <w:rPr>
                <w:rFonts w:ascii="Times New Roman" w:hAnsi="Times New Roman" w:cs="Times New Roman"/>
                <w:sz w:val="24"/>
                <w:szCs w:val="24"/>
              </w:rPr>
            </w:pPr>
            <w:r w:rsidRPr="005E2FE4">
              <w:rPr>
                <w:rFonts w:ascii="Times New Roman" w:hAnsi="Times New Roman" w:cs="Times New Roman"/>
                <w:sz w:val="24"/>
                <w:szCs w:val="24"/>
              </w:rPr>
              <w:t>0.023</w:t>
            </w:r>
          </w:p>
        </w:tc>
        <w:tc>
          <w:tcPr>
            <w:tcW w:w="1375" w:type="dxa"/>
            <w:vAlign w:val="bottom"/>
            <w:hideMark/>
          </w:tcPr>
          <w:p w:rsidR="003E29BA" w:rsidRPr="005E2FE4" w:rsidRDefault="003E29BA" w:rsidP="005F43CF">
            <w:pPr>
              <w:jc w:val="both"/>
              <w:rPr>
                <w:rFonts w:ascii="Times New Roman" w:hAnsi="Times New Roman" w:cs="Times New Roman"/>
                <w:sz w:val="24"/>
                <w:szCs w:val="24"/>
              </w:rPr>
            </w:pPr>
            <w:r w:rsidRPr="005E2FE4">
              <w:rPr>
                <w:rFonts w:ascii="Times New Roman" w:hAnsi="Times New Roman" w:cs="Times New Roman"/>
                <w:sz w:val="24"/>
                <w:szCs w:val="24"/>
              </w:rPr>
              <w:t>0.013</w:t>
            </w:r>
          </w:p>
        </w:tc>
        <w:tc>
          <w:tcPr>
            <w:tcW w:w="1530" w:type="dxa"/>
            <w:hideMark/>
          </w:tcPr>
          <w:p w:rsidR="003E29BA" w:rsidRPr="005E2FE4" w:rsidRDefault="003E29BA"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0.025</w:t>
            </w:r>
          </w:p>
        </w:tc>
      </w:tr>
      <w:tr w:rsidR="003E29BA" w:rsidRPr="005F43CF" w:rsidTr="001F653B">
        <w:trPr>
          <w:trHeight w:val="286"/>
        </w:trPr>
        <w:tc>
          <w:tcPr>
            <w:tcW w:w="1440" w:type="dxa"/>
            <w:hideMark/>
          </w:tcPr>
          <w:p w:rsidR="003E29BA" w:rsidRPr="005E2FE4" w:rsidRDefault="003E29BA" w:rsidP="005F43CF">
            <w:pPr>
              <w:ind w:left="-144"/>
              <w:jc w:val="both"/>
              <w:rPr>
                <w:rFonts w:ascii="Times New Roman" w:eastAsia="Times New Roman" w:hAnsi="Times New Roman" w:cs="Times New Roman"/>
                <w:sz w:val="24"/>
                <w:szCs w:val="24"/>
              </w:rPr>
            </w:pPr>
          </w:p>
        </w:tc>
        <w:tc>
          <w:tcPr>
            <w:tcW w:w="4950" w:type="dxa"/>
            <w:hideMark/>
          </w:tcPr>
          <w:p w:rsidR="003E29BA" w:rsidRPr="005E2FE4" w:rsidRDefault="003E29BA" w:rsidP="005F43CF">
            <w:pPr>
              <w:ind w:left="-144"/>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C.D (</w:t>
            </w:r>
            <w:r w:rsidRPr="005E2FE4">
              <w:rPr>
                <w:rFonts w:ascii="Times New Roman" w:eastAsia="Times New Roman" w:hAnsi="Times New Roman" w:cs="Times New Roman"/>
                <w:i/>
                <w:sz w:val="24"/>
                <w:szCs w:val="24"/>
              </w:rPr>
              <w:t>p=0.05</w:t>
            </w:r>
            <w:r w:rsidRPr="005E2FE4">
              <w:rPr>
                <w:rFonts w:ascii="Times New Roman" w:eastAsia="Times New Roman" w:hAnsi="Times New Roman" w:cs="Times New Roman"/>
                <w:sz w:val="24"/>
                <w:szCs w:val="24"/>
              </w:rPr>
              <w:t xml:space="preserve">) </w:t>
            </w:r>
          </w:p>
        </w:tc>
        <w:tc>
          <w:tcPr>
            <w:tcW w:w="1350" w:type="dxa"/>
            <w:hideMark/>
          </w:tcPr>
          <w:p w:rsidR="003E29BA" w:rsidRPr="005E2FE4" w:rsidRDefault="003E29BA"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0.075</w:t>
            </w:r>
          </w:p>
        </w:tc>
        <w:tc>
          <w:tcPr>
            <w:tcW w:w="1350" w:type="dxa"/>
            <w:vAlign w:val="bottom"/>
            <w:hideMark/>
          </w:tcPr>
          <w:p w:rsidR="003E29BA" w:rsidRPr="005E2FE4" w:rsidRDefault="003E29BA" w:rsidP="005F43CF">
            <w:pPr>
              <w:jc w:val="both"/>
              <w:rPr>
                <w:rFonts w:ascii="Times New Roman" w:hAnsi="Times New Roman" w:cs="Times New Roman"/>
                <w:sz w:val="24"/>
                <w:szCs w:val="24"/>
              </w:rPr>
            </w:pPr>
            <w:r w:rsidRPr="005E2FE4">
              <w:rPr>
                <w:rFonts w:ascii="Times New Roman" w:eastAsia="Times New Roman" w:hAnsi="Times New Roman" w:cs="Times New Roman"/>
                <w:sz w:val="24"/>
                <w:szCs w:val="24"/>
              </w:rPr>
              <w:t>0.044</w:t>
            </w:r>
          </w:p>
        </w:tc>
        <w:tc>
          <w:tcPr>
            <w:tcW w:w="1530" w:type="dxa"/>
            <w:hideMark/>
          </w:tcPr>
          <w:p w:rsidR="003E29BA" w:rsidRPr="005E2FE4" w:rsidRDefault="003E29BA"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0.053</w:t>
            </w:r>
          </w:p>
        </w:tc>
        <w:tc>
          <w:tcPr>
            <w:tcW w:w="1505" w:type="dxa"/>
            <w:vAlign w:val="bottom"/>
            <w:hideMark/>
          </w:tcPr>
          <w:p w:rsidR="003E29BA" w:rsidRPr="005E2FE4" w:rsidRDefault="003E29BA" w:rsidP="005F43CF">
            <w:pPr>
              <w:jc w:val="both"/>
              <w:rPr>
                <w:rFonts w:ascii="Times New Roman" w:hAnsi="Times New Roman" w:cs="Times New Roman"/>
                <w:sz w:val="24"/>
                <w:szCs w:val="24"/>
              </w:rPr>
            </w:pPr>
            <w:r w:rsidRPr="005E2FE4">
              <w:rPr>
                <w:rFonts w:ascii="Times New Roman" w:hAnsi="Times New Roman" w:cs="Times New Roman"/>
                <w:sz w:val="24"/>
                <w:szCs w:val="24"/>
              </w:rPr>
              <w:t>0.066</w:t>
            </w:r>
          </w:p>
        </w:tc>
        <w:tc>
          <w:tcPr>
            <w:tcW w:w="1375" w:type="dxa"/>
            <w:vAlign w:val="bottom"/>
            <w:hideMark/>
          </w:tcPr>
          <w:p w:rsidR="003E29BA" w:rsidRPr="005E2FE4" w:rsidRDefault="003E29BA" w:rsidP="005F43CF">
            <w:pPr>
              <w:jc w:val="both"/>
              <w:rPr>
                <w:rFonts w:ascii="Times New Roman" w:hAnsi="Times New Roman" w:cs="Times New Roman"/>
                <w:sz w:val="24"/>
                <w:szCs w:val="24"/>
              </w:rPr>
            </w:pPr>
            <w:r w:rsidRPr="005E2FE4">
              <w:rPr>
                <w:rFonts w:ascii="Times New Roman" w:hAnsi="Times New Roman" w:cs="Times New Roman"/>
                <w:sz w:val="24"/>
                <w:szCs w:val="24"/>
              </w:rPr>
              <w:t>0.038</w:t>
            </w:r>
          </w:p>
        </w:tc>
        <w:tc>
          <w:tcPr>
            <w:tcW w:w="1530" w:type="dxa"/>
            <w:hideMark/>
          </w:tcPr>
          <w:p w:rsidR="003E29BA" w:rsidRPr="005F43CF" w:rsidRDefault="003E29BA" w:rsidP="005F43CF">
            <w:pPr>
              <w:jc w:val="both"/>
              <w:rPr>
                <w:rFonts w:ascii="Times New Roman" w:eastAsia="Times New Roman" w:hAnsi="Times New Roman" w:cs="Times New Roman"/>
                <w:sz w:val="24"/>
                <w:szCs w:val="24"/>
              </w:rPr>
            </w:pPr>
            <w:r w:rsidRPr="005E2FE4">
              <w:rPr>
                <w:rFonts w:ascii="Times New Roman" w:eastAsia="Times New Roman" w:hAnsi="Times New Roman" w:cs="Times New Roman"/>
                <w:sz w:val="24"/>
                <w:szCs w:val="24"/>
              </w:rPr>
              <w:t>0.055</w:t>
            </w:r>
          </w:p>
        </w:tc>
      </w:tr>
    </w:tbl>
    <w:p w:rsidR="00EA30DF" w:rsidRPr="005F43CF" w:rsidRDefault="00EA30DF" w:rsidP="005F43CF">
      <w:pPr>
        <w:spacing w:after="0" w:line="360" w:lineRule="auto"/>
        <w:jc w:val="both"/>
        <w:rPr>
          <w:rFonts w:ascii="Times New Roman" w:hAnsi="Times New Roman" w:cs="Times New Roman"/>
          <w:sz w:val="24"/>
          <w:szCs w:val="24"/>
        </w:rPr>
      </w:pPr>
    </w:p>
    <w:sectPr w:rsidR="00EA30DF" w:rsidRPr="005F43CF" w:rsidSect="000519CB">
      <w:pgSz w:w="15840" w:h="12240" w:orient="landscape"/>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394" w:rsidRDefault="00065394" w:rsidP="00757F15">
      <w:pPr>
        <w:spacing w:after="0" w:line="240" w:lineRule="auto"/>
      </w:pPr>
      <w:r>
        <w:separator/>
      </w:r>
    </w:p>
  </w:endnote>
  <w:endnote w:type="continuationSeparator" w:id="1">
    <w:p w:rsidR="00065394" w:rsidRDefault="00065394" w:rsidP="00757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B37" w:rsidRDefault="00F92B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B37" w:rsidRDefault="00F92B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B37" w:rsidRDefault="00F92B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394" w:rsidRDefault="00065394" w:rsidP="00757F15">
      <w:pPr>
        <w:spacing w:after="0" w:line="240" w:lineRule="auto"/>
      </w:pPr>
      <w:r>
        <w:separator/>
      </w:r>
    </w:p>
  </w:footnote>
  <w:footnote w:type="continuationSeparator" w:id="1">
    <w:p w:rsidR="00065394" w:rsidRDefault="00065394" w:rsidP="00757F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B37" w:rsidRDefault="004D29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56547" o:spid="_x0000_s2050" type="#_x0000_t136" style="position:absolute;margin-left:0;margin-top:0;width:592.45pt;height:111.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B37" w:rsidRDefault="004D29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56548" o:spid="_x0000_s2051" type="#_x0000_t136" style="position:absolute;margin-left:0;margin-top:0;width:592.45pt;height:111.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B37" w:rsidRDefault="004D29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56546" o:spid="_x0000_s2049" type="#_x0000_t136" style="position:absolute;margin-left:0;margin-top:0;width:592.45pt;height:111.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062FC"/>
    <w:multiLevelType w:val="hybridMultilevel"/>
    <w:tmpl w:val="2A66F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412DB5"/>
    <w:multiLevelType w:val="hybridMultilevel"/>
    <w:tmpl w:val="4E823B92"/>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DF7EF7"/>
    <w:rsid w:val="00007EA7"/>
    <w:rsid w:val="000121B5"/>
    <w:rsid w:val="00012E13"/>
    <w:rsid w:val="00015DC2"/>
    <w:rsid w:val="00021B6C"/>
    <w:rsid w:val="00026810"/>
    <w:rsid w:val="00034C07"/>
    <w:rsid w:val="000519CB"/>
    <w:rsid w:val="00064E20"/>
    <w:rsid w:val="00065394"/>
    <w:rsid w:val="000747BA"/>
    <w:rsid w:val="000843E7"/>
    <w:rsid w:val="000846C5"/>
    <w:rsid w:val="000969AF"/>
    <w:rsid w:val="000A04CD"/>
    <w:rsid w:val="000A1873"/>
    <w:rsid w:val="000A434F"/>
    <w:rsid w:val="000A78E6"/>
    <w:rsid w:val="000B0951"/>
    <w:rsid w:val="000B4D0B"/>
    <w:rsid w:val="000B52EF"/>
    <w:rsid w:val="000D3EA5"/>
    <w:rsid w:val="000E18BB"/>
    <w:rsid w:val="000F0C4C"/>
    <w:rsid w:val="00114019"/>
    <w:rsid w:val="0011651B"/>
    <w:rsid w:val="0012372E"/>
    <w:rsid w:val="00130BEB"/>
    <w:rsid w:val="0013753A"/>
    <w:rsid w:val="00142E3F"/>
    <w:rsid w:val="00146153"/>
    <w:rsid w:val="00150600"/>
    <w:rsid w:val="00153F07"/>
    <w:rsid w:val="00154457"/>
    <w:rsid w:val="00156EBF"/>
    <w:rsid w:val="00160AE0"/>
    <w:rsid w:val="00163BB0"/>
    <w:rsid w:val="001830D1"/>
    <w:rsid w:val="00186EC8"/>
    <w:rsid w:val="001A359A"/>
    <w:rsid w:val="001B4BBB"/>
    <w:rsid w:val="001B6100"/>
    <w:rsid w:val="001C27BE"/>
    <w:rsid w:val="001C7FB5"/>
    <w:rsid w:val="001D1831"/>
    <w:rsid w:val="001D2ED2"/>
    <w:rsid w:val="001D5FED"/>
    <w:rsid w:val="001E1B94"/>
    <w:rsid w:val="001E2F5A"/>
    <w:rsid w:val="001E6303"/>
    <w:rsid w:val="001F2C24"/>
    <w:rsid w:val="001F5039"/>
    <w:rsid w:val="001F7A6A"/>
    <w:rsid w:val="00210DDE"/>
    <w:rsid w:val="0022029A"/>
    <w:rsid w:val="00222ECB"/>
    <w:rsid w:val="00225F1C"/>
    <w:rsid w:val="00232C91"/>
    <w:rsid w:val="00233034"/>
    <w:rsid w:val="00234C1F"/>
    <w:rsid w:val="0023599C"/>
    <w:rsid w:val="002449F7"/>
    <w:rsid w:val="0025454A"/>
    <w:rsid w:val="002568EE"/>
    <w:rsid w:val="002607DF"/>
    <w:rsid w:val="002638AC"/>
    <w:rsid w:val="0027478E"/>
    <w:rsid w:val="002818A7"/>
    <w:rsid w:val="00283086"/>
    <w:rsid w:val="002861C0"/>
    <w:rsid w:val="002A1633"/>
    <w:rsid w:val="002A2DA0"/>
    <w:rsid w:val="002A4BB5"/>
    <w:rsid w:val="002A5526"/>
    <w:rsid w:val="002B16D2"/>
    <w:rsid w:val="002B2298"/>
    <w:rsid w:val="002B4DDE"/>
    <w:rsid w:val="002B57DE"/>
    <w:rsid w:val="002C14CE"/>
    <w:rsid w:val="002C36E3"/>
    <w:rsid w:val="002F124D"/>
    <w:rsid w:val="002F2630"/>
    <w:rsid w:val="002F66B7"/>
    <w:rsid w:val="00301EF6"/>
    <w:rsid w:val="0031612C"/>
    <w:rsid w:val="003263F2"/>
    <w:rsid w:val="003306EE"/>
    <w:rsid w:val="00343585"/>
    <w:rsid w:val="003544B6"/>
    <w:rsid w:val="00357B49"/>
    <w:rsid w:val="003644FD"/>
    <w:rsid w:val="00365713"/>
    <w:rsid w:val="00372B97"/>
    <w:rsid w:val="00372D7F"/>
    <w:rsid w:val="00377074"/>
    <w:rsid w:val="00380696"/>
    <w:rsid w:val="00380A58"/>
    <w:rsid w:val="00386F55"/>
    <w:rsid w:val="00386FDD"/>
    <w:rsid w:val="00393B1C"/>
    <w:rsid w:val="003B0ABB"/>
    <w:rsid w:val="003B22DC"/>
    <w:rsid w:val="003B7F68"/>
    <w:rsid w:val="003C0591"/>
    <w:rsid w:val="003C0940"/>
    <w:rsid w:val="003C0CD3"/>
    <w:rsid w:val="003C2B73"/>
    <w:rsid w:val="003C579D"/>
    <w:rsid w:val="003C5AEF"/>
    <w:rsid w:val="003D222F"/>
    <w:rsid w:val="003D36E1"/>
    <w:rsid w:val="003D5AC4"/>
    <w:rsid w:val="003D6EA2"/>
    <w:rsid w:val="003E009A"/>
    <w:rsid w:val="003E29BA"/>
    <w:rsid w:val="003F18DB"/>
    <w:rsid w:val="003F1B08"/>
    <w:rsid w:val="003F4F02"/>
    <w:rsid w:val="0040313B"/>
    <w:rsid w:val="00410727"/>
    <w:rsid w:val="00411349"/>
    <w:rsid w:val="00413A8D"/>
    <w:rsid w:val="00416671"/>
    <w:rsid w:val="004248DE"/>
    <w:rsid w:val="0043418F"/>
    <w:rsid w:val="00441D5E"/>
    <w:rsid w:val="0044532A"/>
    <w:rsid w:val="00450573"/>
    <w:rsid w:val="00452104"/>
    <w:rsid w:val="00457D3C"/>
    <w:rsid w:val="0046647D"/>
    <w:rsid w:val="004821A4"/>
    <w:rsid w:val="00482849"/>
    <w:rsid w:val="00492B88"/>
    <w:rsid w:val="004B1C8C"/>
    <w:rsid w:val="004B6A8E"/>
    <w:rsid w:val="004B7199"/>
    <w:rsid w:val="004C53DF"/>
    <w:rsid w:val="004C6FC4"/>
    <w:rsid w:val="004D22AB"/>
    <w:rsid w:val="004D2924"/>
    <w:rsid w:val="004D2ADF"/>
    <w:rsid w:val="004D3E42"/>
    <w:rsid w:val="004E7893"/>
    <w:rsid w:val="004F22C5"/>
    <w:rsid w:val="004F37FE"/>
    <w:rsid w:val="004F627F"/>
    <w:rsid w:val="004F780A"/>
    <w:rsid w:val="00503A5B"/>
    <w:rsid w:val="00504A40"/>
    <w:rsid w:val="005106DD"/>
    <w:rsid w:val="00525F49"/>
    <w:rsid w:val="0052642E"/>
    <w:rsid w:val="00540395"/>
    <w:rsid w:val="005411FD"/>
    <w:rsid w:val="00542C55"/>
    <w:rsid w:val="00542E1E"/>
    <w:rsid w:val="005510EE"/>
    <w:rsid w:val="005627BA"/>
    <w:rsid w:val="00562CDE"/>
    <w:rsid w:val="00584F6A"/>
    <w:rsid w:val="005957A0"/>
    <w:rsid w:val="005A4BC8"/>
    <w:rsid w:val="005A6A2C"/>
    <w:rsid w:val="005C49BC"/>
    <w:rsid w:val="005C546F"/>
    <w:rsid w:val="005D0875"/>
    <w:rsid w:val="005E2FE4"/>
    <w:rsid w:val="005E3F00"/>
    <w:rsid w:val="005E485C"/>
    <w:rsid w:val="005F1447"/>
    <w:rsid w:val="005F3A86"/>
    <w:rsid w:val="005F43CF"/>
    <w:rsid w:val="00604761"/>
    <w:rsid w:val="00607A7B"/>
    <w:rsid w:val="006243F3"/>
    <w:rsid w:val="00631E12"/>
    <w:rsid w:val="0064085B"/>
    <w:rsid w:val="00650774"/>
    <w:rsid w:val="006518F4"/>
    <w:rsid w:val="006530E2"/>
    <w:rsid w:val="00653647"/>
    <w:rsid w:val="00661EA4"/>
    <w:rsid w:val="00666124"/>
    <w:rsid w:val="00666770"/>
    <w:rsid w:val="00670C45"/>
    <w:rsid w:val="006A30E5"/>
    <w:rsid w:val="006A3B89"/>
    <w:rsid w:val="006A4542"/>
    <w:rsid w:val="006B354B"/>
    <w:rsid w:val="006C2598"/>
    <w:rsid w:val="006D5F9A"/>
    <w:rsid w:val="006E39E2"/>
    <w:rsid w:val="006F56DF"/>
    <w:rsid w:val="007273A4"/>
    <w:rsid w:val="0074722F"/>
    <w:rsid w:val="007479C8"/>
    <w:rsid w:val="00757F15"/>
    <w:rsid w:val="00761655"/>
    <w:rsid w:val="007644F7"/>
    <w:rsid w:val="00772D96"/>
    <w:rsid w:val="007762FD"/>
    <w:rsid w:val="00780087"/>
    <w:rsid w:val="00785F5F"/>
    <w:rsid w:val="00792E62"/>
    <w:rsid w:val="007B0B2A"/>
    <w:rsid w:val="007B253A"/>
    <w:rsid w:val="007B5BAD"/>
    <w:rsid w:val="007B7826"/>
    <w:rsid w:val="007C0F1A"/>
    <w:rsid w:val="007C3839"/>
    <w:rsid w:val="007C459A"/>
    <w:rsid w:val="007C4C19"/>
    <w:rsid w:val="007C629F"/>
    <w:rsid w:val="007D49D0"/>
    <w:rsid w:val="007E2B25"/>
    <w:rsid w:val="007F4BA5"/>
    <w:rsid w:val="00804533"/>
    <w:rsid w:val="00817F35"/>
    <w:rsid w:val="00826D70"/>
    <w:rsid w:val="0083039E"/>
    <w:rsid w:val="00830931"/>
    <w:rsid w:val="0083706F"/>
    <w:rsid w:val="00844F73"/>
    <w:rsid w:val="00844FA1"/>
    <w:rsid w:val="00845E3D"/>
    <w:rsid w:val="00855E8C"/>
    <w:rsid w:val="008614D2"/>
    <w:rsid w:val="008674B8"/>
    <w:rsid w:val="008676CF"/>
    <w:rsid w:val="00870BDE"/>
    <w:rsid w:val="008719AC"/>
    <w:rsid w:val="0087517D"/>
    <w:rsid w:val="0087648C"/>
    <w:rsid w:val="00877E40"/>
    <w:rsid w:val="0088553F"/>
    <w:rsid w:val="008A173D"/>
    <w:rsid w:val="008A5ECE"/>
    <w:rsid w:val="008A6624"/>
    <w:rsid w:val="008C0827"/>
    <w:rsid w:val="008D3DB3"/>
    <w:rsid w:val="008F4063"/>
    <w:rsid w:val="00910D75"/>
    <w:rsid w:val="009240FD"/>
    <w:rsid w:val="00932734"/>
    <w:rsid w:val="0093406D"/>
    <w:rsid w:val="00942C8D"/>
    <w:rsid w:val="00944639"/>
    <w:rsid w:val="00945820"/>
    <w:rsid w:val="009510D7"/>
    <w:rsid w:val="00955759"/>
    <w:rsid w:val="00961B4C"/>
    <w:rsid w:val="00962C7E"/>
    <w:rsid w:val="00985A48"/>
    <w:rsid w:val="00985ACC"/>
    <w:rsid w:val="009868F9"/>
    <w:rsid w:val="00986D89"/>
    <w:rsid w:val="00991B99"/>
    <w:rsid w:val="009A7994"/>
    <w:rsid w:val="009B18B7"/>
    <w:rsid w:val="009B27A8"/>
    <w:rsid w:val="009B281D"/>
    <w:rsid w:val="009B4A24"/>
    <w:rsid w:val="009B6E66"/>
    <w:rsid w:val="009C11CF"/>
    <w:rsid w:val="009C3FB9"/>
    <w:rsid w:val="009D2D95"/>
    <w:rsid w:val="009E75EC"/>
    <w:rsid w:val="009F2CA4"/>
    <w:rsid w:val="009F3334"/>
    <w:rsid w:val="009F521D"/>
    <w:rsid w:val="009F675D"/>
    <w:rsid w:val="00A02B50"/>
    <w:rsid w:val="00A047B2"/>
    <w:rsid w:val="00A11578"/>
    <w:rsid w:val="00A135A9"/>
    <w:rsid w:val="00A174E3"/>
    <w:rsid w:val="00A25C21"/>
    <w:rsid w:val="00A345FB"/>
    <w:rsid w:val="00A40CA8"/>
    <w:rsid w:val="00A67722"/>
    <w:rsid w:val="00A76614"/>
    <w:rsid w:val="00A8037F"/>
    <w:rsid w:val="00A856C8"/>
    <w:rsid w:val="00A861A2"/>
    <w:rsid w:val="00A86D2D"/>
    <w:rsid w:val="00A87ABF"/>
    <w:rsid w:val="00A954B3"/>
    <w:rsid w:val="00AA25C6"/>
    <w:rsid w:val="00AA2635"/>
    <w:rsid w:val="00AA3AF4"/>
    <w:rsid w:val="00AA6E95"/>
    <w:rsid w:val="00AC61F4"/>
    <w:rsid w:val="00AE0156"/>
    <w:rsid w:val="00AF1C6A"/>
    <w:rsid w:val="00B06F83"/>
    <w:rsid w:val="00B13A94"/>
    <w:rsid w:val="00B257AB"/>
    <w:rsid w:val="00B25D1F"/>
    <w:rsid w:val="00B26AD0"/>
    <w:rsid w:val="00B277C5"/>
    <w:rsid w:val="00B27CC8"/>
    <w:rsid w:val="00B31BCE"/>
    <w:rsid w:val="00B34702"/>
    <w:rsid w:val="00B37594"/>
    <w:rsid w:val="00B43B80"/>
    <w:rsid w:val="00B43F14"/>
    <w:rsid w:val="00B512AB"/>
    <w:rsid w:val="00B6679B"/>
    <w:rsid w:val="00B818E0"/>
    <w:rsid w:val="00B83060"/>
    <w:rsid w:val="00B9648A"/>
    <w:rsid w:val="00BC413E"/>
    <w:rsid w:val="00BC7474"/>
    <w:rsid w:val="00BD0F1E"/>
    <w:rsid w:val="00BD373E"/>
    <w:rsid w:val="00BD78D4"/>
    <w:rsid w:val="00BE193F"/>
    <w:rsid w:val="00BE6D57"/>
    <w:rsid w:val="00BF3875"/>
    <w:rsid w:val="00BF5E7E"/>
    <w:rsid w:val="00C06470"/>
    <w:rsid w:val="00C0734E"/>
    <w:rsid w:val="00C079C6"/>
    <w:rsid w:val="00C24DBD"/>
    <w:rsid w:val="00C321B8"/>
    <w:rsid w:val="00C43990"/>
    <w:rsid w:val="00C43CC1"/>
    <w:rsid w:val="00C61C19"/>
    <w:rsid w:val="00C6569F"/>
    <w:rsid w:val="00C676DC"/>
    <w:rsid w:val="00C70591"/>
    <w:rsid w:val="00C72908"/>
    <w:rsid w:val="00C80D47"/>
    <w:rsid w:val="00C80E14"/>
    <w:rsid w:val="00C86998"/>
    <w:rsid w:val="00C91824"/>
    <w:rsid w:val="00C91E38"/>
    <w:rsid w:val="00C95601"/>
    <w:rsid w:val="00CA08CB"/>
    <w:rsid w:val="00CA1A6C"/>
    <w:rsid w:val="00CA5728"/>
    <w:rsid w:val="00CA6464"/>
    <w:rsid w:val="00CB473F"/>
    <w:rsid w:val="00CB711E"/>
    <w:rsid w:val="00CB72C3"/>
    <w:rsid w:val="00CC17B1"/>
    <w:rsid w:val="00CC70C4"/>
    <w:rsid w:val="00CD10A1"/>
    <w:rsid w:val="00CD3827"/>
    <w:rsid w:val="00CF46CB"/>
    <w:rsid w:val="00D10A81"/>
    <w:rsid w:val="00D23625"/>
    <w:rsid w:val="00D40C82"/>
    <w:rsid w:val="00D45A6D"/>
    <w:rsid w:val="00D460DA"/>
    <w:rsid w:val="00D61A8A"/>
    <w:rsid w:val="00D64EF0"/>
    <w:rsid w:val="00D75A0A"/>
    <w:rsid w:val="00D851B9"/>
    <w:rsid w:val="00DA18AB"/>
    <w:rsid w:val="00DA2B0A"/>
    <w:rsid w:val="00DA60F8"/>
    <w:rsid w:val="00DA7DC5"/>
    <w:rsid w:val="00DB6785"/>
    <w:rsid w:val="00DC273F"/>
    <w:rsid w:val="00DF1877"/>
    <w:rsid w:val="00DF6C27"/>
    <w:rsid w:val="00DF6F55"/>
    <w:rsid w:val="00DF7EF7"/>
    <w:rsid w:val="00E05874"/>
    <w:rsid w:val="00E10B8B"/>
    <w:rsid w:val="00E11D97"/>
    <w:rsid w:val="00E224F6"/>
    <w:rsid w:val="00E26347"/>
    <w:rsid w:val="00E3166C"/>
    <w:rsid w:val="00E3262D"/>
    <w:rsid w:val="00E57ACE"/>
    <w:rsid w:val="00E62F75"/>
    <w:rsid w:val="00E70ABC"/>
    <w:rsid w:val="00E81133"/>
    <w:rsid w:val="00E83A62"/>
    <w:rsid w:val="00E9268C"/>
    <w:rsid w:val="00EA30DF"/>
    <w:rsid w:val="00EC0049"/>
    <w:rsid w:val="00EC59F7"/>
    <w:rsid w:val="00EC68AE"/>
    <w:rsid w:val="00ED1A0A"/>
    <w:rsid w:val="00ED1C70"/>
    <w:rsid w:val="00EE4B40"/>
    <w:rsid w:val="00EE78A1"/>
    <w:rsid w:val="00EF43DB"/>
    <w:rsid w:val="00EF6C0E"/>
    <w:rsid w:val="00F02DF0"/>
    <w:rsid w:val="00F0348C"/>
    <w:rsid w:val="00F05542"/>
    <w:rsid w:val="00F13305"/>
    <w:rsid w:val="00F1467D"/>
    <w:rsid w:val="00F22106"/>
    <w:rsid w:val="00F26550"/>
    <w:rsid w:val="00F40371"/>
    <w:rsid w:val="00F47460"/>
    <w:rsid w:val="00F5217A"/>
    <w:rsid w:val="00F55650"/>
    <w:rsid w:val="00F64DCD"/>
    <w:rsid w:val="00F72965"/>
    <w:rsid w:val="00F77526"/>
    <w:rsid w:val="00F84435"/>
    <w:rsid w:val="00F86E1D"/>
    <w:rsid w:val="00F90E59"/>
    <w:rsid w:val="00F92B37"/>
    <w:rsid w:val="00FA345F"/>
    <w:rsid w:val="00FA34E2"/>
    <w:rsid w:val="00FA43AB"/>
    <w:rsid w:val="00FA44C1"/>
    <w:rsid w:val="00FA645E"/>
    <w:rsid w:val="00FA7199"/>
    <w:rsid w:val="00FB4506"/>
    <w:rsid w:val="00FC4353"/>
    <w:rsid w:val="00FC4444"/>
    <w:rsid w:val="00FD3597"/>
    <w:rsid w:val="00FD4722"/>
    <w:rsid w:val="00FD4C89"/>
    <w:rsid w:val="00FD5A7D"/>
    <w:rsid w:val="00FD5B9F"/>
    <w:rsid w:val="00FE5318"/>
    <w:rsid w:val="00FF1BFF"/>
    <w:rsid w:val="00FF3696"/>
    <w:rsid w:val="00FF55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591"/>
  </w:style>
  <w:style w:type="paragraph" w:styleId="Heading2">
    <w:name w:val="heading 2"/>
    <w:basedOn w:val="Normal"/>
    <w:link w:val="Heading2Char"/>
    <w:uiPriority w:val="9"/>
    <w:qFormat/>
    <w:rsid w:val="002202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A662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F7EF7"/>
    <w:pPr>
      <w:ind w:left="720"/>
      <w:contextualSpacing/>
    </w:pPr>
  </w:style>
  <w:style w:type="table" w:styleId="TableGrid">
    <w:name w:val="Table Grid"/>
    <w:basedOn w:val="TableNormal"/>
    <w:uiPriority w:val="59"/>
    <w:rsid w:val="00562C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57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F15"/>
  </w:style>
  <w:style w:type="paragraph" w:styleId="Footer">
    <w:name w:val="footer"/>
    <w:basedOn w:val="Normal"/>
    <w:link w:val="FooterChar"/>
    <w:uiPriority w:val="99"/>
    <w:unhideWhenUsed/>
    <w:rsid w:val="00757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F15"/>
  </w:style>
  <w:style w:type="character" w:styleId="Hyperlink">
    <w:name w:val="Hyperlink"/>
    <w:basedOn w:val="DefaultParagraphFont"/>
    <w:uiPriority w:val="99"/>
    <w:unhideWhenUsed/>
    <w:rsid w:val="008C0827"/>
    <w:rPr>
      <w:color w:val="0000FF" w:themeColor="hyperlink"/>
      <w:u w:val="single"/>
    </w:rPr>
  </w:style>
  <w:style w:type="character" w:customStyle="1" w:styleId="Heading2Char">
    <w:name w:val="Heading 2 Char"/>
    <w:basedOn w:val="DefaultParagraphFont"/>
    <w:link w:val="Heading2"/>
    <w:uiPriority w:val="9"/>
    <w:rsid w:val="0022029A"/>
    <w:rPr>
      <w:rFonts w:ascii="Times New Roman" w:eastAsia="Times New Roman" w:hAnsi="Times New Roman" w:cs="Times New Roman"/>
      <w:b/>
      <w:bCs/>
      <w:sz w:val="36"/>
      <w:szCs w:val="36"/>
    </w:rPr>
  </w:style>
  <w:style w:type="character" w:styleId="Strong">
    <w:name w:val="Strong"/>
    <w:basedOn w:val="DefaultParagraphFont"/>
    <w:uiPriority w:val="22"/>
    <w:qFormat/>
    <w:rsid w:val="0022029A"/>
    <w:rPr>
      <w:b/>
      <w:bCs/>
    </w:rPr>
  </w:style>
  <w:style w:type="paragraph" w:styleId="NormalWeb">
    <w:name w:val="Normal (Web)"/>
    <w:basedOn w:val="Normal"/>
    <w:uiPriority w:val="99"/>
    <w:unhideWhenUsed/>
    <w:rsid w:val="002202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517D"/>
    <w:rPr>
      <w:i/>
      <w:iCs/>
    </w:rPr>
  </w:style>
  <w:style w:type="character" w:customStyle="1" w:styleId="Heading3Char">
    <w:name w:val="Heading 3 Char"/>
    <w:basedOn w:val="DefaultParagraphFont"/>
    <w:link w:val="Heading3"/>
    <w:uiPriority w:val="9"/>
    <w:semiHidden/>
    <w:rsid w:val="008A6624"/>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1F503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339969">
      <w:bodyDiv w:val="1"/>
      <w:marLeft w:val="0"/>
      <w:marRight w:val="0"/>
      <w:marTop w:val="0"/>
      <w:marBottom w:val="0"/>
      <w:divBdr>
        <w:top w:val="none" w:sz="0" w:space="0" w:color="auto"/>
        <w:left w:val="none" w:sz="0" w:space="0" w:color="auto"/>
        <w:bottom w:val="none" w:sz="0" w:space="0" w:color="auto"/>
        <w:right w:val="none" w:sz="0" w:space="0" w:color="auto"/>
      </w:divBdr>
    </w:div>
    <w:div w:id="66005149">
      <w:bodyDiv w:val="1"/>
      <w:marLeft w:val="0"/>
      <w:marRight w:val="0"/>
      <w:marTop w:val="0"/>
      <w:marBottom w:val="0"/>
      <w:divBdr>
        <w:top w:val="none" w:sz="0" w:space="0" w:color="auto"/>
        <w:left w:val="none" w:sz="0" w:space="0" w:color="auto"/>
        <w:bottom w:val="none" w:sz="0" w:space="0" w:color="auto"/>
        <w:right w:val="none" w:sz="0" w:space="0" w:color="auto"/>
      </w:divBdr>
    </w:div>
    <w:div w:id="132018748">
      <w:bodyDiv w:val="1"/>
      <w:marLeft w:val="0"/>
      <w:marRight w:val="0"/>
      <w:marTop w:val="0"/>
      <w:marBottom w:val="0"/>
      <w:divBdr>
        <w:top w:val="none" w:sz="0" w:space="0" w:color="auto"/>
        <w:left w:val="none" w:sz="0" w:space="0" w:color="auto"/>
        <w:bottom w:val="none" w:sz="0" w:space="0" w:color="auto"/>
        <w:right w:val="none" w:sz="0" w:space="0" w:color="auto"/>
      </w:divBdr>
    </w:div>
    <w:div w:id="199825536">
      <w:bodyDiv w:val="1"/>
      <w:marLeft w:val="0"/>
      <w:marRight w:val="0"/>
      <w:marTop w:val="0"/>
      <w:marBottom w:val="0"/>
      <w:divBdr>
        <w:top w:val="none" w:sz="0" w:space="0" w:color="auto"/>
        <w:left w:val="none" w:sz="0" w:space="0" w:color="auto"/>
        <w:bottom w:val="none" w:sz="0" w:space="0" w:color="auto"/>
        <w:right w:val="none" w:sz="0" w:space="0" w:color="auto"/>
      </w:divBdr>
    </w:div>
    <w:div w:id="258803189">
      <w:bodyDiv w:val="1"/>
      <w:marLeft w:val="0"/>
      <w:marRight w:val="0"/>
      <w:marTop w:val="0"/>
      <w:marBottom w:val="0"/>
      <w:divBdr>
        <w:top w:val="none" w:sz="0" w:space="0" w:color="auto"/>
        <w:left w:val="none" w:sz="0" w:space="0" w:color="auto"/>
        <w:bottom w:val="none" w:sz="0" w:space="0" w:color="auto"/>
        <w:right w:val="none" w:sz="0" w:space="0" w:color="auto"/>
      </w:divBdr>
    </w:div>
    <w:div w:id="274531500">
      <w:bodyDiv w:val="1"/>
      <w:marLeft w:val="0"/>
      <w:marRight w:val="0"/>
      <w:marTop w:val="0"/>
      <w:marBottom w:val="0"/>
      <w:divBdr>
        <w:top w:val="none" w:sz="0" w:space="0" w:color="auto"/>
        <w:left w:val="none" w:sz="0" w:space="0" w:color="auto"/>
        <w:bottom w:val="none" w:sz="0" w:space="0" w:color="auto"/>
        <w:right w:val="none" w:sz="0" w:space="0" w:color="auto"/>
      </w:divBdr>
    </w:div>
    <w:div w:id="375279843">
      <w:bodyDiv w:val="1"/>
      <w:marLeft w:val="0"/>
      <w:marRight w:val="0"/>
      <w:marTop w:val="0"/>
      <w:marBottom w:val="0"/>
      <w:divBdr>
        <w:top w:val="none" w:sz="0" w:space="0" w:color="auto"/>
        <w:left w:val="none" w:sz="0" w:space="0" w:color="auto"/>
        <w:bottom w:val="none" w:sz="0" w:space="0" w:color="auto"/>
        <w:right w:val="none" w:sz="0" w:space="0" w:color="auto"/>
      </w:divBdr>
    </w:div>
    <w:div w:id="390346448">
      <w:bodyDiv w:val="1"/>
      <w:marLeft w:val="0"/>
      <w:marRight w:val="0"/>
      <w:marTop w:val="0"/>
      <w:marBottom w:val="0"/>
      <w:divBdr>
        <w:top w:val="none" w:sz="0" w:space="0" w:color="auto"/>
        <w:left w:val="none" w:sz="0" w:space="0" w:color="auto"/>
        <w:bottom w:val="none" w:sz="0" w:space="0" w:color="auto"/>
        <w:right w:val="none" w:sz="0" w:space="0" w:color="auto"/>
      </w:divBdr>
    </w:div>
    <w:div w:id="413935394">
      <w:bodyDiv w:val="1"/>
      <w:marLeft w:val="0"/>
      <w:marRight w:val="0"/>
      <w:marTop w:val="0"/>
      <w:marBottom w:val="0"/>
      <w:divBdr>
        <w:top w:val="none" w:sz="0" w:space="0" w:color="auto"/>
        <w:left w:val="none" w:sz="0" w:space="0" w:color="auto"/>
        <w:bottom w:val="none" w:sz="0" w:space="0" w:color="auto"/>
        <w:right w:val="none" w:sz="0" w:space="0" w:color="auto"/>
      </w:divBdr>
    </w:div>
    <w:div w:id="508981394">
      <w:bodyDiv w:val="1"/>
      <w:marLeft w:val="0"/>
      <w:marRight w:val="0"/>
      <w:marTop w:val="0"/>
      <w:marBottom w:val="0"/>
      <w:divBdr>
        <w:top w:val="none" w:sz="0" w:space="0" w:color="auto"/>
        <w:left w:val="none" w:sz="0" w:space="0" w:color="auto"/>
        <w:bottom w:val="none" w:sz="0" w:space="0" w:color="auto"/>
        <w:right w:val="none" w:sz="0" w:space="0" w:color="auto"/>
      </w:divBdr>
    </w:div>
    <w:div w:id="798182062">
      <w:bodyDiv w:val="1"/>
      <w:marLeft w:val="0"/>
      <w:marRight w:val="0"/>
      <w:marTop w:val="0"/>
      <w:marBottom w:val="0"/>
      <w:divBdr>
        <w:top w:val="none" w:sz="0" w:space="0" w:color="auto"/>
        <w:left w:val="none" w:sz="0" w:space="0" w:color="auto"/>
        <w:bottom w:val="none" w:sz="0" w:space="0" w:color="auto"/>
        <w:right w:val="none" w:sz="0" w:space="0" w:color="auto"/>
      </w:divBdr>
    </w:div>
    <w:div w:id="868181238">
      <w:bodyDiv w:val="1"/>
      <w:marLeft w:val="0"/>
      <w:marRight w:val="0"/>
      <w:marTop w:val="0"/>
      <w:marBottom w:val="0"/>
      <w:divBdr>
        <w:top w:val="none" w:sz="0" w:space="0" w:color="auto"/>
        <w:left w:val="none" w:sz="0" w:space="0" w:color="auto"/>
        <w:bottom w:val="none" w:sz="0" w:space="0" w:color="auto"/>
        <w:right w:val="none" w:sz="0" w:space="0" w:color="auto"/>
      </w:divBdr>
    </w:div>
    <w:div w:id="889075876">
      <w:bodyDiv w:val="1"/>
      <w:marLeft w:val="0"/>
      <w:marRight w:val="0"/>
      <w:marTop w:val="0"/>
      <w:marBottom w:val="0"/>
      <w:divBdr>
        <w:top w:val="none" w:sz="0" w:space="0" w:color="auto"/>
        <w:left w:val="none" w:sz="0" w:space="0" w:color="auto"/>
        <w:bottom w:val="none" w:sz="0" w:space="0" w:color="auto"/>
        <w:right w:val="none" w:sz="0" w:space="0" w:color="auto"/>
      </w:divBdr>
    </w:div>
    <w:div w:id="1087767290">
      <w:bodyDiv w:val="1"/>
      <w:marLeft w:val="0"/>
      <w:marRight w:val="0"/>
      <w:marTop w:val="0"/>
      <w:marBottom w:val="0"/>
      <w:divBdr>
        <w:top w:val="none" w:sz="0" w:space="0" w:color="auto"/>
        <w:left w:val="none" w:sz="0" w:space="0" w:color="auto"/>
        <w:bottom w:val="none" w:sz="0" w:space="0" w:color="auto"/>
        <w:right w:val="none" w:sz="0" w:space="0" w:color="auto"/>
      </w:divBdr>
    </w:div>
    <w:div w:id="1225331122">
      <w:bodyDiv w:val="1"/>
      <w:marLeft w:val="0"/>
      <w:marRight w:val="0"/>
      <w:marTop w:val="0"/>
      <w:marBottom w:val="0"/>
      <w:divBdr>
        <w:top w:val="none" w:sz="0" w:space="0" w:color="auto"/>
        <w:left w:val="none" w:sz="0" w:space="0" w:color="auto"/>
        <w:bottom w:val="none" w:sz="0" w:space="0" w:color="auto"/>
        <w:right w:val="none" w:sz="0" w:space="0" w:color="auto"/>
      </w:divBdr>
    </w:div>
    <w:div w:id="1300913885">
      <w:bodyDiv w:val="1"/>
      <w:marLeft w:val="0"/>
      <w:marRight w:val="0"/>
      <w:marTop w:val="0"/>
      <w:marBottom w:val="0"/>
      <w:divBdr>
        <w:top w:val="none" w:sz="0" w:space="0" w:color="auto"/>
        <w:left w:val="none" w:sz="0" w:space="0" w:color="auto"/>
        <w:bottom w:val="none" w:sz="0" w:space="0" w:color="auto"/>
        <w:right w:val="none" w:sz="0" w:space="0" w:color="auto"/>
      </w:divBdr>
    </w:div>
    <w:div w:id="1343970780">
      <w:bodyDiv w:val="1"/>
      <w:marLeft w:val="0"/>
      <w:marRight w:val="0"/>
      <w:marTop w:val="0"/>
      <w:marBottom w:val="0"/>
      <w:divBdr>
        <w:top w:val="none" w:sz="0" w:space="0" w:color="auto"/>
        <w:left w:val="none" w:sz="0" w:space="0" w:color="auto"/>
        <w:bottom w:val="none" w:sz="0" w:space="0" w:color="auto"/>
        <w:right w:val="none" w:sz="0" w:space="0" w:color="auto"/>
      </w:divBdr>
    </w:div>
    <w:div w:id="200542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011-022-03257-9" TargetMode="External"/><Relationship Id="rId13" Type="http://schemas.openxmlformats.org/officeDocument/2006/relationships/hyperlink" Target="https://doi.org/10.1080/09064710.2017.1401113" TargetMode="External"/><Relationship Id="rId18" Type="http://schemas.openxmlformats.org/officeDocument/2006/relationships/hyperlink" Target="https://doi.org/10.1051/e3sconf/201911203020"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389/fpls.2023.1076876" TargetMode="External"/><Relationship Id="rId7" Type="http://schemas.openxmlformats.org/officeDocument/2006/relationships/hyperlink" Target="https://doi.org/10.1016/j.scienta.2007.03.017" TargetMode="External"/><Relationship Id="rId12" Type="http://schemas.openxmlformats.org/officeDocument/2006/relationships/hyperlink" Target="https://doi.org/10.1016/j.scitotenv.2018.10.047" TargetMode="External"/><Relationship Id="rId17" Type="http://schemas.openxmlformats.org/officeDocument/2006/relationships/hyperlink" Target="https://doi.org/10.17707/AgricultForest.64.4.25"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scitotenv.2018.03.161" TargetMode="External"/><Relationship Id="rId20" Type="http://schemas.openxmlformats.org/officeDocument/2006/relationships/hyperlink" Target="https://doi.org/10.1007/s11274-025-04575-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244/pjoes/15731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jclepro.2019.11764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02/etc.5620190311" TargetMode="External"/><Relationship Id="rId19" Type="http://schemas.openxmlformats.org/officeDocument/2006/relationships/hyperlink" Target="https://journals.ju.edu.jo/ARPN/article/view/10399/900" TargetMode="External"/><Relationship Id="rId4" Type="http://schemas.openxmlformats.org/officeDocument/2006/relationships/webSettings" Target="webSettings.xml"/><Relationship Id="rId9" Type="http://schemas.openxmlformats.org/officeDocument/2006/relationships/hyperlink" Target="https://doi.org/10.1016/j.cep.2011.08.005" TargetMode="External"/><Relationship Id="rId14" Type="http://schemas.openxmlformats.org/officeDocument/2006/relationships/hyperlink" Target="https://doi.org/10.22067/jast.v20i2.50900"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1172</TotalTime>
  <Pages>8</Pages>
  <Words>3635</Words>
  <Characters>20721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389</cp:revision>
  <dcterms:created xsi:type="dcterms:W3CDTF">2025-11-24T03:13:00Z</dcterms:created>
  <dcterms:modified xsi:type="dcterms:W3CDTF">2025-12-29T09:07:00Z</dcterms:modified>
</cp:coreProperties>
</file>