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BDE" w:rsidRPr="00E74D2D" w:rsidRDefault="0062340A" w:rsidP="00E74D2D">
      <w:pPr>
        <w:pStyle w:val="Body"/>
        <w:spacing w:line="300" w:lineRule="auto"/>
        <w:rPr>
          <w:rFonts w:ascii="Times New Roman" w:hAnsi="Times New Roman"/>
          <w:b/>
          <w:bCs/>
          <w:sz w:val="28"/>
          <w:szCs w:val="28"/>
        </w:rPr>
      </w:pPr>
      <w:bookmarkStart w:id="0" w:name="_GoBack"/>
      <w:bookmarkEnd w:id="0"/>
      <w:r>
        <w:rPr>
          <w:rFonts w:ascii="Times New Roman" w:hAnsi="Times New Roman"/>
          <w:b/>
          <w:bCs/>
          <w:sz w:val="28"/>
          <w:szCs w:val="28"/>
        </w:rPr>
        <w:t xml:space="preserve">Revamping </w:t>
      </w:r>
      <w:r w:rsidR="00B05812">
        <w:rPr>
          <w:rFonts w:ascii="Times New Roman" w:hAnsi="Times New Roman"/>
          <w:b/>
          <w:bCs/>
          <w:sz w:val="28"/>
          <w:szCs w:val="28"/>
        </w:rPr>
        <w:t>Bangladesh</w:t>
      </w:r>
      <w:r w:rsidR="00B05812">
        <w:rPr>
          <w:rFonts w:ascii="Times New Roman" w:eastAsia="Times New Roman" w:hAnsi="Times New Roman" w:cs="Times New Roman"/>
          <w:b/>
          <w:bCs/>
          <w:sz w:val="28"/>
          <w:szCs w:val="28"/>
        </w:rPr>
        <w:t xml:space="preserve">’s </w:t>
      </w:r>
      <w:r>
        <w:rPr>
          <w:rFonts w:ascii="Times New Roman" w:eastAsia="Times New Roman" w:hAnsi="Times New Roman" w:cs="Times New Roman"/>
          <w:b/>
          <w:bCs/>
          <w:sz w:val="28"/>
          <w:szCs w:val="28"/>
        </w:rPr>
        <w:t xml:space="preserve">Foreign Exchange Policy: </w:t>
      </w:r>
      <w:r w:rsidR="00B05812">
        <w:rPr>
          <w:rFonts w:ascii="Times New Roman" w:eastAsia="Times New Roman" w:hAnsi="Times New Roman" w:cs="Times New Roman"/>
          <w:b/>
          <w:bCs/>
          <w:sz w:val="28"/>
          <w:szCs w:val="28"/>
        </w:rPr>
        <w:t>A Pathway to Strengthening Export</w:t>
      </w:r>
    </w:p>
    <w:p w:rsidR="009A35B1" w:rsidRDefault="00A22FC3" w:rsidP="00A22FC3">
      <w:pPr>
        <w:pStyle w:val="Body"/>
        <w:tabs>
          <w:tab w:val="left" w:pos="560"/>
          <w:tab w:val="left" w:pos="1120"/>
          <w:tab w:val="left" w:pos="1680"/>
          <w:tab w:val="left" w:pos="2240"/>
          <w:tab w:val="left" w:pos="2800"/>
          <w:tab w:val="left" w:pos="3360"/>
          <w:tab w:val="left" w:pos="3720"/>
          <w:tab w:val="left" w:pos="3920"/>
          <w:tab w:val="left" w:pos="4480"/>
          <w:tab w:val="left" w:pos="5040"/>
          <w:tab w:val="left" w:pos="5600"/>
          <w:tab w:val="left" w:pos="6160"/>
          <w:tab w:val="left" w:pos="6720"/>
          <w:tab w:val="left" w:pos="7280"/>
          <w:tab w:val="left" w:pos="7840"/>
          <w:tab w:val="left" w:pos="8400"/>
          <w:tab w:val="left" w:pos="8960"/>
        </w:tabs>
        <w:spacing w:line="30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9A35B1" w:rsidRDefault="001838EA">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line="300" w:lineRule="auto"/>
        <w:jc w:val="center"/>
        <w:rPr>
          <w:rFonts w:ascii="Times New Roman" w:eastAsia="Times New Roman" w:hAnsi="Times New Roman" w:cs="Times New Roman"/>
          <w:b/>
          <w:bCs/>
          <w:sz w:val="24"/>
          <w:szCs w:val="24"/>
        </w:rPr>
      </w:pPr>
      <w:r>
        <w:rPr>
          <w:rFonts w:ascii="Times New Roman" w:hAnsi="Times New Roman"/>
          <w:b/>
          <w:bCs/>
          <w:sz w:val="24"/>
          <w:szCs w:val="24"/>
        </w:rPr>
        <w:t>Abstract</w:t>
      </w:r>
    </w:p>
    <w:p w:rsidR="009A35B1" w:rsidRPr="006702FC" w:rsidRDefault="001838EA">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line="300" w:lineRule="auto"/>
        <w:jc w:val="both"/>
        <w:rPr>
          <w:rFonts w:ascii="Times New Roman" w:hAnsi="Times New Roman"/>
          <w:i/>
          <w:iCs/>
        </w:rPr>
      </w:pPr>
      <w:r>
        <w:rPr>
          <w:rFonts w:ascii="Times New Roman" w:hAnsi="Times New Roman"/>
          <w:i/>
          <w:iCs/>
        </w:rPr>
        <w:t>Bangladesh, a developing country, has witnessed remarkable economic growth and social progress in recent decades. Nevertheless, the country confronts some challenges due to the restrictive and complex foreign exchange regulations and transaction guidelines, which constrain its potential and competitiveness in the global market. This paper intends to analyze the causes, consequences, and solutions of the restrictive foreign exchange regulation and transaction guidelines that affect various sectors of the economy such as freelancing, e-commerce and f-commerce, fintech companies and their customers, and retail investment in global financial markets.</w:t>
      </w:r>
      <w:r w:rsidR="0047629B">
        <w:rPr>
          <w:rFonts w:ascii="Times New Roman" w:hAnsi="Times New Roman"/>
          <w:i/>
          <w:iCs/>
        </w:rPr>
        <w:t xml:space="preserve"> With econometrics model, the paper sheds light on the casual relationship of export with </w:t>
      </w:r>
      <w:r w:rsidR="0047629B" w:rsidRPr="0047629B">
        <w:rPr>
          <w:rFonts w:ascii="Times New Roman" w:hAnsi="Times New Roman"/>
          <w:i/>
          <w:iCs/>
        </w:rPr>
        <w:t>Export of IT and IT enabled services</w:t>
      </w:r>
      <w:r w:rsidR="0047629B">
        <w:rPr>
          <w:rFonts w:ascii="Times New Roman" w:hAnsi="Times New Roman"/>
          <w:i/>
          <w:iCs/>
        </w:rPr>
        <w:t xml:space="preserve">, FDI, efficient Macroeconomic policy management and exchange rate. </w:t>
      </w:r>
      <w:r w:rsidR="005E7865">
        <w:rPr>
          <w:rFonts w:ascii="Times New Roman" w:hAnsi="Times New Roman"/>
          <w:i/>
          <w:iCs/>
        </w:rPr>
        <w:t xml:space="preserve">The paper found that flexible exchange rate along with FDI and export of service can enhance the export growth of Bangladesh. The paper </w:t>
      </w:r>
      <w:proofErr w:type="gramStart"/>
      <w:r w:rsidR="005E7865">
        <w:rPr>
          <w:rFonts w:ascii="Times New Roman" w:hAnsi="Times New Roman"/>
          <w:i/>
          <w:iCs/>
        </w:rPr>
        <w:t xml:space="preserve">further </w:t>
      </w:r>
      <w:r>
        <w:rPr>
          <w:rFonts w:ascii="Times New Roman" w:hAnsi="Times New Roman"/>
          <w:i/>
          <w:iCs/>
        </w:rPr>
        <w:t xml:space="preserve"> investigate</w:t>
      </w:r>
      <w:proofErr w:type="gramEnd"/>
      <w:r>
        <w:rPr>
          <w:rFonts w:ascii="Times New Roman" w:hAnsi="Times New Roman"/>
          <w:i/>
          <w:iCs/>
        </w:rPr>
        <w:t xml:space="preserve"> the historical background and rationale of these regulations, as well as their current status and future implications. The paper </w:t>
      </w:r>
      <w:proofErr w:type="gramStart"/>
      <w:r>
        <w:rPr>
          <w:rFonts w:ascii="Times New Roman" w:hAnsi="Times New Roman"/>
          <w:i/>
          <w:iCs/>
        </w:rPr>
        <w:t xml:space="preserve">will </w:t>
      </w:r>
      <w:r w:rsidR="005E7865">
        <w:rPr>
          <w:rFonts w:ascii="Times New Roman" w:hAnsi="Times New Roman"/>
          <w:i/>
          <w:iCs/>
        </w:rPr>
        <w:t xml:space="preserve"> recommended</w:t>
      </w:r>
      <w:proofErr w:type="gramEnd"/>
      <w:r w:rsidR="005E7865">
        <w:rPr>
          <w:rFonts w:ascii="Times New Roman" w:hAnsi="Times New Roman"/>
          <w:i/>
          <w:iCs/>
        </w:rPr>
        <w:t xml:space="preserve"> </w:t>
      </w:r>
      <w:r>
        <w:rPr>
          <w:rFonts w:ascii="Times New Roman" w:hAnsi="Times New Roman"/>
          <w:i/>
          <w:iCs/>
        </w:rPr>
        <w:t xml:space="preserve">to </w:t>
      </w:r>
      <w:r w:rsidR="005E7865">
        <w:rPr>
          <w:rFonts w:ascii="Times New Roman" w:hAnsi="Times New Roman"/>
          <w:i/>
          <w:iCs/>
        </w:rPr>
        <w:t xml:space="preserve"> </w:t>
      </w:r>
      <w:r>
        <w:rPr>
          <w:rFonts w:ascii="Times New Roman" w:hAnsi="Times New Roman"/>
          <w:i/>
          <w:iCs/>
        </w:rPr>
        <w:t xml:space="preserve">revamp the foreign exchange policies of Bangladesh by adopting a more liberal and flexible approach to foreign exchange regulation and transaction guidelines for </w:t>
      </w:r>
      <w:r w:rsidR="005E7865">
        <w:rPr>
          <w:rFonts w:ascii="Times New Roman" w:hAnsi="Times New Roman"/>
          <w:i/>
          <w:iCs/>
        </w:rPr>
        <w:t xml:space="preserve"> IT and IT enabled services like </w:t>
      </w:r>
      <w:r w:rsidR="005E7865" w:rsidRPr="005E7865">
        <w:rPr>
          <w:rFonts w:ascii="Times New Roman" w:hAnsi="Times New Roman"/>
          <w:i/>
          <w:iCs/>
        </w:rPr>
        <w:t>freelancing, e-commerce, f-commerce, fintech</w:t>
      </w:r>
      <w:r w:rsidR="005E7865">
        <w:rPr>
          <w:rFonts w:ascii="Times New Roman" w:hAnsi="Times New Roman"/>
          <w:i/>
          <w:iCs/>
        </w:rPr>
        <w:t xml:space="preserve"> </w:t>
      </w:r>
      <w:r>
        <w:rPr>
          <w:rFonts w:ascii="Times New Roman" w:hAnsi="Times New Roman"/>
          <w:i/>
          <w:iCs/>
        </w:rPr>
        <w:t xml:space="preserve"> sectors to flourish and contribute to</w:t>
      </w:r>
      <w:r w:rsidR="005E7865">
        <w:rPr>
          <w:rFonts w:ascii="Times New Roman" w:hAnsi="Times New Roman"/>
          <w:i/>
          <w:iCs/>
        </w:rPr>
        <w:t xml:space="preserve"> export growth and</w:t>
      </w:r>
      <w:r>
        <w:rPr>
          <w:rFonts w:ascii="Times New Roman" w:hAnsi="Times New Roman"/>
          <w:i/>
          <w:iCs/>
        </w:rPr>
        <w:t xml:space="preserve"> the vision of achieving a smart economy</w:t>
      </w:r>
      <w:r w:rsidR="005E7865">
        <w:rPr>
          <w:rFonts w:ascii="Times New Roman" w:hAnsi="Times New Roman"/>
          <w:i/>
          <w:iCs/>
        </w:rPr>
        <w:t xml:space="preserve"> for Bangladesh</w:t>
      </w:r>
      <w:r>
        <w:rPr>
          <w:rFonts w:ascii="Times New Roman" w:hAnsi="Times New Roman"/>
          <w:i/>
          <w:iCs/>
        </w:rPr>
        <w:t>.</w:t>
      </w:r>
    </w:p>
    <w:p w:rsidR="009A35B1" w:rsidRDefault="009A35B1">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line="300" w:lineRule="auto"/>
        <w:jc w:val="both"/>
        <w:rPr>
          <w:rFonts w:ascii="Times New Roman" w:eastAsia="Times New Roman" w:hAnsi="Times New Roman" w:cs="Times New Roman"/>
          <w:sz w:val="24"/>
          <w:szCs w:val="24"/>
        </w:rPr>
      </w:pPr>
    </w:p>
    <w:p w:rsidR="009A35B1" w:rsidRDefault="001838EA">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line="300" w:lineRule="auto"/>
        <w:jc w:val="both"/>
      </w:pPr>
      <w:r>
        <w:rPr>
          <w:rStyle w:val="None"/>
          <w:rFonts w:ascii="Times New Roman" w:hAnsi="Times New Roman"/>
          <w:b/>
          <w:bCs/>
          <w:sz w:val="24"/>
          <w:szCs w:val="24"/>
        </w:rPr>
        <w:t>Keywords:</w:t>
      </w:r>
      <w:r>
        <w:rPr>
          <w:rFonts w:ascii="Times New Roman" w:hAnsi="Times New Roman"/>
          <w:sz w:val="24"/>
          <w:szCs w:val="24"/>
        </w:rPr>
        <w:t xml:space="preserve"> </w:t>
      </w:r>
      <w:r w:rsidR="0047629B">
        <w:rPr>
          <w:rFonts w:ascii="Times New Roman" w:hAnsi="Times New Roman"/>
          <w:sz w:val="24"/>
          <w:szCs w:val="24"/>
        </w:rPr>
        <w:t xml:space="preserve"> Export, F</w:t>
      </w:r>
      <w:r>
        <w:rPr>
          <w:rStyle w:val="None"/>
          <w:rFonts w:ascii="Times New Roman" w:hAnsi="Times New Roman"/>
          <w:sz w:val="24"/>
          <w:szCs w:val="24"/>
        </w:rPr>
        <w:t xml:space="preserve">oreign </w:t>
      </w:r>
      <w:proofErr w:type="gramStart"/>
      <w:r w:rsidR="0047629B">
        <w:rPr>
          <w:rStyle w:val="None"/>
          <w:rFonts w:ascii="Times New Roman" w:hAnsi="Times New Roman"/>
          <w:sz w:val="24"/>
          <w:szCs w:val="24"/>
        </w:rPr>
        <w:t>E</w:t>
      </w:r>
      <w:r>
        <w:rPr>
          <w:rStyle w:val="None"/>
          <w:rFonts w:ascii="Times New Roman" w:hAnsi="Times New Roman"/>
          <w:sz w:val="24"/>
          <w:szCs w:val="24"/>
        </w:rPr>
        <w:t>xchange</w:t>
      </w:r>
      <w:r w:rsidR="0047629B">
        <w:rPr>
          <w:rStyle w:val="None"/>
          <w:rFonts w:ascii="Times New Roman" w:hAnsi="Times New Roman"/>
          <w:sz w:val="24"/>
          <w:szCs w:val="24"/>
        </w:rPr>
        <w:t xml:space="preserve">, </w:t>
      </w:r>
      <w:r w:rsidR="0047629B">
        <w:rPr>
          <w:rStyle w:val="None"/>
          <w:rFonts w:ascii="Times New Roman" w:hAnsi="Times New Roman"/>
          <w:sz w:val="24"/>
          <w:szCs w:val="24"/>
          <w:shd w:val="clear" w:color="auto" w:fill="FFFFFF"/>
        </w:rPr>
        <w:t xml:space="preserve"> </w:t>
      </w:r>
      <w:r>
        <w:rPr>
          <w:rStyle w:val="None"/>
          <w:rFonts w:ascii="Times New Roman" w:hAnsi="Times New Roman"/>
          <w:sz w:val="24"/>
          <w:szCs w:val="24"/>
          <w:shd w:val="clear" w:color="auto" w:fill="FFFFFF"/>
        </w:rPr>
        <w:t xml:space="preserve"> </w:t>
      </w:r>
      <w:proofErr w:type="gramEnd"/>
      <w:r>
        <w:rPr>
          <w:rStyle w:val="None"/>
          <w:rFonts w:ascii="Times New Roman" w:hAnsi="Times New Roman"/>
          <w:sz w:val="24"/>
          <w:szCs w:val="24"/>
        </w:rPr>
        <w:t>freelancing</w:t>
      </w:r>
      <w:r>
        <w:rPr>
          <w:rStyle w:val="None"/>
          <w:rFonts w:ascii="Times New Roman" w:hAnsi="Times New Roman"/>
          <w:sz w:val="24"/>
          <w:szCs w:val="24"/>
          <w:shd w:val="clear" w:color="auto" w:fill="FFFFFF"/>
        </w:rPr>
        <w:t xml:space="preserve">, </w:t>
      </w:r>
      <w:r>
        <w:rPr>
          <w:rStyle w:val="None"/>
          <w:rFonts w:ascii="Times New Roman" w:hAnsi="Times New Roman"/>
          <w:sz w:val="24"/>
          <w:szCs w:val="24"/>
        </w:rPr>
        <w:t>e-commerce, f-commerce</w:t>
      </w:r>
      <w:r>
        <w:rPr>
          <w:rStyle w:val="None"/>
          <w:rFonts w:ascii="Times New Roman" w:hAnsi="Times New Roman"/>
          <w:sz w:val="24"/>
          <w:szCs w:val="24"/>
          <w:shd w:val="clear" w:color="auto" w:fill="FFFFFF"/>
        </w:rPr>
        <w:t xml:space="preserve">, </w:t>
      </w:r>
      <w:r>
        <w:rPr>
          <w:rStyle w:val="None"/>
          <w:rFonts w:ascii="Times New Roman" w:hAnsi="Times New Roman"/>
          <w:sz w:val="24"/>
          <w:szCs w:val="24"/>
          <w:lang w:val="pt-PT"/>
        </w:rPr>
        <w:t>fintech</w:t>
      </w:r>
      <w:r>
        <w:rPr>
          <w:rStyle w:val="None"/>
          <w:rFonts w:ascii="Times New Roman" w:hAnsi="Times New Roman"/>
          <w:sz w:val="24"/>
          <w:szCs w:val="24"/>
          <w:shd w:val="clear" w:color="auto" w:fill="FFFFFF"/>
        </w:rPr>
        <w:t>,</w:t>
      </w:r>
      <w:r>
        <w:rPr>
          <w:rStyle w:val="None"/>
          <w:rFonts w:ascii="Times New Roman" w:hAnsi="Times New Roman"/>
          <w:sz w:val="24"/>
          <w:szCs w:val="24"/>
        </w:rPr>
        <w:t xml:space="preserve"> financial markets</w:t>
      </w:r>
      <w:r w:rsidR="0047629B">
        <w:rPr>
          <w:rStyle w:val="None"/>
          <w:rFonts w:ascii="Times New Roman" w:hAnsi="Times New Roman"/>
          <w:sz w:val="24"/>
          <w:szCs w:val="24"/>
          <w:shd w:val="clear" w:color="auto" w:fill="FFFFFF"/>
        </w:rPr>
        <w:t xml:space="preserve"> and </w:t>
      </w:r>
      <w:r>
        <w:rPr>
          <w:rStyle w:val="None"/>
          <w:rFonts w:ascii="Times New Roman" w:hAnsi="Times New Roman"/>
          <w:sz w:val="24"/>
          <w:szCs w:val="24"/>
        </w:rPr>
        <w:t>liberalization</w:t>
      </w:r>
      <w:r w:rsidR="0047629B">
        <w:rPr>
          <w:rStyle w:val="None"/>
          <w:rFonts w:ascii="Times New Roman" w:hAnsi="Times New Roman"/>
          <w:sz w:val="24"/>
          <w:szCs w:val="24"/>
        </w:rPr>
        <w:t xml:space="preserve">. </w:t>
      </w:r>
      <w:r>
        <w:rPr>
          <w:rStyle w:val="None"/>
          <w:rFonts w:ascii="Arial Unicode MS" w:hAnsi="Arial Unicode MS"/>
          <w:sz w:val="24"/>
          <w:szCs w:val="24"/>
        </w:rPr>
        <w:br w:type="page"/>
      </w:r>
    </w:p>
    <w:p w:rsidR="00197BDE" w:rsidRPr="006702FC" w:rsidRDefault="002B48B8" w:rsidP="006702FC">
      <w:pPr>
        <w:pStyle w:val="Heading1"/>
      </w:pPr>
      <w:r>
        <w:rPr>
          <w:rStyle w:val="None"/>
        </w:rPr>
        <w:lastRenderedPageBreak/>
        <w:t xml:space="preserve">1. </w:t>
      </w:r>
      <w:r w:rsidR="00197BDE" w:rsidRPr="006702FC">
        <w:rPr>
          <w:rStyle w:val="None"/>
        </w:rPr>
        <w:t>Introduction</w:t>
      </w:r>
    </w:p>
    <w:p w:rsidR="009A35B1" w:rsidRDefault="001838EA" w:rsidP="002A0E90">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lang w:val="da-DK"/>
        </w:rPr>
        <w:t>Bangladesh</w:t>
      </w:r>
      <w:r>
        <w:rPr>
          <w:rStyle w:val="None"/>
          <w:rFonts w:ascii="Times New Roman" w:hAnsi="Times New Roman"/>
          <w:sz w:val="24"/>
          <w:szCs w:val="24"/>
        </w:rPr>
        <w:t xml:space="preserve"> is a developing country that has achieved remarkable economic growth and social progress in the last few decades with the presence of one thing that has remained quite constant - the reluctance of flexible foreign exchange policies involving global financial transactions. Foreign exchange policies are the rules and regulations that govern the exchange of currencies between countries. </w:t>
      </w:r>
      <w:r w:rsidR="005E0606">
        <w:rPr>
          <w:rStyle w:val="None"/>
          <w:rFonts w:ascii="Times New Roman" w:hAnsi="Times New Roman"/>
          <w:sz w:val="24"/>
          <w:szCs w:val="24"/>
        </w:rPr>
        <w:t>Foreign Exchange policy directly affect the Overall export of an economy, export of services and Foreign Direct Investment (FDI) but efficient policy management depends on</w:t>
      </w:r>
      <w:r w:rsidR="003E1DAD">
        <w:rPr>
          <w:rStyle w:val="None"/>
          <w:rFonts w:ascii="Times New Roman" w:hAnsi="Times New Roman"/>
          <w:sz w:val="24"/>
          <w:szCs w:val="24"/>
        </w:rPr>
        <w:t xml:space="preserve"> Country Policy and Institutional Assessment (CIPA) indexed by World Bank. The CIPA is a crucial diagnostic tool used by the World Bank (WB) to evaluate the quality of country’s policies and institutional framework for determining country’s performance in Economic Management, Structural Policies, Policies for Social Inclusion and Equity and Public Sector Management and Institutions. </w:t>
      </w:r>
      <w:r w:rsidR="00456164">
        <w:rPr>
          <w:rStyle w:val="None"/>
          <w:rFonts w:ascii="Times New Roman" w:hAnsi="Times New Roman"/>
          <w:sz w:val="24"/>
          <w:szCs w:val="24"/>
        </w:rPr>
        <w:t xml:space="preserve">Here in this paper, researchers have analyzed whether export has a relationship with IT and IT enables services like </w:t>
      </w:r>
      <w:r w:rsidR="00197BDE" w:rsidRPr="006702FC">
        <w:rPr>
          <w:rStyle w:val="None"/>
          <w:rFonts w:ascii="Times New Roman" w:hAnsi="Times New Roman"/>
          <w:sz w:val="24"/>
          <w:szCs w:val="24"/>
        </w:rPr>
        <w:t>Freelancing</w:t>
      </w:r>
      <w:r w:rsidR="00456164">
        <w:rPr>
          <w:rStyle w:val="None"/>
          <w:rFonts w:ascii="Times New Roman" w:hAnsi="Times New Roman"/>
          <w:sz w:val="24"/>
          <w:szCs w:val="24"/>
        </w:rPr>
        <w:t xml:space="preserve">, </w:t>
      </w:r>
      <w:r w:rsidR="00197BDE" w:rsidRPr="006702FC">
        <w:rPr>
          <w:rStyle w:val="None"/>
          <w:rFonts w:ascii="Times New Roman" w:hAnsi="Times New Roman"/>
          <w:sz w:val="24"/>
          <w:szCs w:val="24"/>
        </w:rPr>
        <w:t>E-commerce and F-commerce</w:t>
      </w:r>
      <w:r w:rsidR="00456164">
        <w:rPr>
          <w:rStyle w:val="None"/>
          <w:rFonts w:ascii="Times New Roman" w:hAnsi="Times New Roman"/>
          <w:sz w:val="24"/>
          <w:szCs w:val="24"/>
        </w:rPr>
        <w:t xml:space="preserve">, </w:t>
      </w:r>
      <w:r w:rsidR="00197BDE" w:rsidRPr="006702FC">
        <w:rPr>
          <w:rStyle w:val="None"/>
          <w:rFonts w:ascii="Times New Roman" w:hAnsi="Times New Roman"/>
          <w:sz w:val="24"/>
          <w:szCs w:val="24"/>
        </w:rPr>
        <w:t>Fintech</w:t>
      </w:r>
      <w:r w:rsidR="00456164">
        <w:rPr>
          <w:rStyle w:val="None"/>
          <w:rFonts w:ascii="Times New Roman" w:hAnsi="Times New Roman"/>
          <w:sz w:val="24"/>
          <w:szCs w:val="24"/>
        </w:rPr>
        <w:t xml:space="preserve"> and </w:t>
      </w:r>
      <w:r w:rsidR="00197BDE" w:rsidRPr="006702FC">
        <w:rPr>
          <w:rStyle w:val="None"/>
          <w:rFonts w:ascii="Times New Roman" w:hAnsi="Times New Roman"/>
          <w:sz w:val="24"/>
          <w:szCs w:val="24"/>
        </w:rPr>
        <w:t>Retail Investment in Global Financial Markets</w:t>
      </w:r>
      <w:r w:rsidR="00456164">
        <w:rPr>
          <w:rStyle w:val="None"/>
          <w:rFonts w:ascii="Times New Roman" w:hAnsi="Times New Roman"/>
          <w:sz w:val="24"/>
          <w:szCs w:val="24"/>
        </w:rPr>
        <w:t xml:space="preserve">. Hence, with econometric model the researcher </w:t>
      </w:r>
      <w:proofErr w:type="gramStart"/>
      <w:r w:rsidR="00456164">
        <w:rPr>
          <w:rStyle w:val="None"/>
          <w:rFonts w:ascii="Times New Roman" w:hAnsi="Times New Roman"/>
          <w:sz w:val="24"/>
          <w:szCs w:val="24"/>
        </w:rPr>
        <w:t>have</w:t>
      </w:r>
      <w:proofErr w:type="gramEnd"/>
      <w:r w:rsidR="00456164">
        <w:rPr>
          <w:rStyle w:val="None"/>
          <w:rFonts w:ascii="Times New Roman" w:hAnsi="Times New Roman"/>
          <w:sz w:val="24"/>
          <w:szCs w:val="24"/>
        </w:rPr>
        <w:t xml:space="preserve"> elaborated the casual relationship between export and these independent variables. </w:t>
      </w:r>
      <w:r w:rsidR="002A0E90">
        <w:rPr>
          <w:rStyle w:val="None"/>
          <w:rFonts w:ascii="Times New Roman" w:hAnsi="Times New Roman"/>
          <w:sz w:val="24"/>
          <w:szCs w:val="24"/>
        </w:rPr>
        <w:t xml:space="preserve">In brief, foreign exchange policies </w:t>
      </w:r>
      <w:proofErr w:type="gramStart"/>
      <w:r w:rsidR="002A0E90">
        <w:rPr>
          <w:rStyle w:val="None"/>
          <w:rFonts w:ascii="Times New Roman" w:hAnsi="Times New Roman"/>
          <w:sz w:val="24"/>
          <w:szCs w:val="24"/>
        </w:rPr>
        <w:t xml:space="preserve">affect </w:t>
      </w:r>
      <w:r>
        <w:rPr>
          <w:rStyle w:val="None"/>
          <w:rFonts w:ascii="Times New Roman" w:hAnsi="Times New Roman"/>
          <w:sz w:val="24"/>
          <w:szCs w:val="24"/>
        </w:rPr>
        <w:t xml:space="preserve"> trade</w:t>
      </w:r>
      <w:proofErr w:type="gramEnd"/>
      <w:r>
        <w:rPr>
          <w:rStyle w:val="None"/>
          <w:rFonts w:ascii="Times New Roman" w:hAnsi="Times New Roman"/>
          <w:sz w:val="24"/>
          <w:szCs w:val="24"/>
        </w:rPr>
        <w:t xml:space="preserve">, investment, inflation, growth, etc. Foreign exchange policies vary across countries depending on their economic, political, and strategic objectives and constraints. There are different types of foreign exchange policies such as fixed exchange rates, floating exchange rates, managed exchange rates, currency unions, etc. Each type has its advantages and disadvantages for different countries. Bangladesh with its protectionist economic legacy weighs on disadvantages much, and has kept its people refrained from sending money abroad for various purposes except for bare minimum education and health needs. As a consequence, the country also faces some challenges and constraints that limit its potential and competitiveness in the global market. These restrictive regulations affect various sectors of the economy such as Freelancing, E-commerce and F-commerce, Fintech, and, Retail Investment in global financial markets, which are the emerging trends and opportunities in the smart economy that can benefit Bangladesh in terms of creating more jobs, earning more foreign exchange earnings, increasing financial inclusion and efficiency, diversifying income sources and investment opportunities, and achieving economic growth and development. </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This paper aims to analyze the causes, consequences, and solutions of the restrictive foreign exchange regulation and transaction guidelines in Bangladesh. After the introduction, the paper will present the regulatory frameworks of foreign exchange policies in Bangladesh to explore the historical background and rationale of these regulations, as well as their current status and implementation. Next, it will examine the impact of these regulations on various sectors of the economy such as</w:t>
      </w:r>
      <w:r w:rsidR="00BB37A8">
        <w:rPr>
          <w:rStyle w:val="None"/>
          <w:rFonts w:ascii="Times New Roman" w:hAnsi="Times New Roman"/>
          <w:sz w:val="24"/>
          <w:szCs w:val="24"/>
        </w:rPr>
        <w:t xml:space="preserve"> IT and IT enabled services including</w:t>
      </w:r>
      <w:r>
        <w:rPr>
          <w:rStyle w:val="None"/>
          <w:rFonts w:ascii="Times New Roman" w:hAnsi="Times New Roman"/>
          <w:sz w:val="24"/>
          <w:szCs w:val="24"/>
        </w:rPr>
        <w:t xml:space="preserve"> Freelancing, E-commerce and F-commerce, Fintech, and, Retail Investment in global financial markets, as well as their prospects </w:t>
      </w:r>
      <w:r>
        <w:rPr>
          <w:rStyle w:val="None"/>
          <w:rFonts w:ascii="Times New Roman" w:hAnsi="Times New Roman"/>
          <w:sz w:val="24"/>
          <w:szCs w:val="24"/>
        </w:rPr>
        <w:lastRenderedPageBreak/>
        <w:t>and challenges. The paper hopes to provide a timely call for revamping the foreign exchange policies of Bangladesh to unleash its full potential in the digital economy.</w:t>
      </w:r>
    </w:p>
    <w:p w:rsidR="00197BDE" w:rsidRPr="006702FC" w:rsidRDefault="002B48B8" w:rsidP="006702FC">
      <w:pPr>
        <w:pStyle w:val="Heading1"/>
        <w:rPr>
          <w:rStyle w:val="None"/>
        </w:rPr>
      </w:pPr>
      <w:r>
        <w:rPr>
          <w:rStyle w:val="None"/>
        </w:rPr>
        <w:t xml:space="preserve">2. </w:t>
      </w:r>
      <w:r w:rsidR="00197BDE" w:rsidRPr="006702FC">
        <w:rPr>
          <w:rStyle w:val="None"/>
          <w:sz w:val="28"/>
          <w:szCs w:val="28"/>
        </w:rPr>
        <w:t>Methodology of the Study</w:t>
      </w:r>
    </w:p>
    <w:p w:rsidR="00197BDE" w:rsidRDefault="00197BDE" w:rsidP="006702FC">
      <w:pPr>
        <w:spacing w:line="276" w:lineRule="auto"/>
        <w:jc w:val="both"/>
      </w:pPr>
      <w:r w:rsidRPr="006702FC">
        <w:t xml:space="preserve">We here use both qualitative and quantitative method to explain the casual relationship of export with export of services, Foreign Direct Investment, Exchange Rate issues and Country Policy and Institutional Assessments index of World Bank. </w:t>
      </w:r>
      <w:r w:rsidR="00A77254">
        <w:t xml:space="preserve"> As quantitative study, we analyze 34 years of Export of service, </w:t>
      </w:r>
      <w:r w:rsidR="00A77254" w:rsidRPr="0041123C">
        <w:t>Exchange Rate Country Policy and Institutional Assessments index</w:t>
      </w:r>
      <w:r w:rsidR="00A77254">
        <w:t xml:space="preserve"> and FDI ranging from 1995 to 2024. </w:t>
      </w:r>
      <w:bookmarkStart w:id="1" w:name="_Hlk217155592"/>
      <w:r w:rsidR="00A77254" w:rsidRPr="00521DF0">
        <w:t xml:space="preserve">We assume that Export is dependent variable of </w:t>
      </w:r>
      <w:r w:rsidR="00A77254" w:rsidRPr="00521DF0">
        <w:rPr>
          <w:rFonts w:eastAsiaTheme="minorEastAsia"/>
          <w:noProof/>
        </w:rPr>
        <w:t>Export of IT and IT enabled services, Employment % in Service Sector, Foreign Direct Investment inflow and  Country Policy and Institutional Assessment (CPIA). Here as an independent variable how these varable affect expot we check it with the log linear regression model by usinst statiscal software STATA with time series analysis</w:t>
      </w:r>
      <w:bookmarkEnd w:id="1"/>
      <w:r w:rsidR="00A77254" w:rsidRPr="00521DF0">
        <w:rPr>
          <w:rFonts w:eastAsiaTheme="minorEastAsia"/>
          <w:noProof/>
        </w:rPr>
        <w:t xml:space="preserve">. </w:t>
      </w:r>
      <w:bookmarkStart w:id="2" w:name="_Hlk217155612"/>
      <w:r w:rsidR="00A77254" w:rsidRPr="00521DF0">
        <w:rPr>
          <w:rFonts w:eastAsiaTheme="minorEastAsia"/>
          <w:noProof/>
        </w:rPr>
        <w:t xml:space="preserve">We have checkd export of services, FDI, Employment of services from 1995 to 2004 to explore the casual relationship between the dependent and independent variable. </w:t>
      </w:r>
    </w:p>
    <w:p w:rsidR="00A77254" w:rsidRPr="00521DF0" w:rsidRDefault="00A77254" w:rsidP="002B48B8">
      <w:pPr>
        <w:spacing w:line="276" w:lineRule="auto"/>
        <w:rPr>
          <w:rFonts w:eastAsiaTheme="minorEastAsia"/>
          <w:noProof/>
        </w:rPr>
      </w:pPr>
      <m:oMathPara>
        <m:oMathParaPr>
          <m:jc m:val="left"/>
        </m:oMathParaPr>
        <m:oMath>
          <m:r>
            <w:rPr>
              <w:rFonts w:ascii="Cambria Math" w:hAnsi="Cambria Math"/>
              <w:noProof/>
            </w:rPr>
            <m:t>ln(Export)=</m:t>
          </m:r>
          <m:sSub>
            <m:sSubPr>
              <m:ctrlPr>
                <w:rPr>
                  <w:rFonts w:ascii="Cambria Math" w:hAnsi="Cambria Math"/>
                  <w:i/>
                  <w:noProof/>
                </w:rPr>
              </m:ctrlPr>
            </m:sSubPr>
            <m:e>
              <m:r>
                <w:rPr>
                  <w:rFonts w:ascii="Cambria Math" w:hAnsi="Cambria Math"/>
                  <w:noProof/>
                </w:rPr>
                <m:t>β</m:t>
              </m:r>
            </m:e>
            <m:sub>
              <m:r>
                <w:rPr>
                  <w:rFonts w:ascii="Cambria Math" w:hAnsi="Cambria Math"/>
                  <w:noProof/>
                </w:rPr>
                <m:t>0</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1</m:t>
              </m:r>
            </m:sub>
          </m:sSub>
          <m:r>
            <w:rPr>
              <w:rFonts w:ascii="Cambria Math" w:hAnsi="Cambria Math"/>
              <w:noProof/>
            </w:rPr>
            <m:t>Ex_serv+</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w:rPr>
              <w:rFonts w:ascii="Cambria Math" w:hAnsi="Cambria Math"/>
              <w:noProof/>
            </w:rPr>
            <m:t>CIPA+</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w:rPr>
              <w:rFonts w:ascii="Cambria Math" w:hAnsi="Cambria Math"/>
              <w:noProof/>
            </w:rPr>
            <m:t>Fdi+</m:t>
          </m:r>
          <m:sSub>
            <m:sSubPr>
              <m:ctrlPr>
                <w:rPr>
                  <w:rFonts w:ascii="Cambria Math" w:hAnsi="Cambria Math"/>
                  <w:i/>
                  <w:noProof/>
                </w:rPr>
              </m:ctrlPr>
            </m:sSubPr>
            <m:e>
              <m:r>
                <w:rPr>
                  <w:rFonts w:ascii="Cambria Math" w:hAnsi="Cambria Math"/>
                  <w:noProof/>
                </w:rPr>
                <m:t>β</m:t>
              </m:r>
            </m:e>
            <m:sub>
              <m:r>
                <w:rPr>
                  <w:rFonts w:ascii="Cambria Math" w:hAnsi="Cambria Math"/>
                  <w:noProof/>
                </w:rPr>
                <m:t>4</m:t>
              </m:r>
            </m:sub>
          </m:sSub>
          <m:r>
            <w:rPr>
              <w:rFonts w:ascii="Cambria Math" w:hAnsi="Cambria Math"/>
              <w:noProof/>
            </w:rPr>
            <m:t xml:space="preserve"> (ln_Excg)+</m:t>
          </m:r>
          <m:r>
            <w:rPr>
              <w:rFonts w:ascii="Cambria Math" w:hAnsi="Cambria Math"/>
            </w:rPr>
            <m:t>u</m:t>
          </m:r>
        </m:oMath>
      </m:oMathPara>
    </w:p>
    <w:p w:rsidR="00A77254" w:rsidRPr="00521DF0" w:rsidRDefault="00A77254" w:rsidP="00A77254">
      <w:pPr>
        <w:spacing w:line="276" w:lineRule="auto"/>
        <w:rPr>
          <w:rFonts w:eastAsiaTheme="minorEastAsia"/>
          <w:noProof/>
        </w:rPr>
      </w:pPr>
    </w:p>
    <w:p w:rsidR="00A77254" w:rsidRPr="00521DF0" w:rsidRDefault="00A77254" w:rsidP="00A77254">
      <w:pPr>
        <w:spacing w:line="276" w:lineRule="auto"/>
        <w:rPr>
          <w:noProof/>
        </w:rPr>
      </w:pPr>
      <m:oMath>
        <m:r>
          <w:rPr>
            <w:rFonts w:ascii="Cambria Math" w:hAnsi="Cambria Math"/>
            <w:noProof/>
          </w:rPr>
          <m:t>ln(Export)=</m:t>
        </m:r>
      </m:oMath>
      <w:r w:rsidRPr="00521DF0">
        <w:rPr>
          <w:rFonts w:eastAsiaTheme="minorEastAsia"/>
          <w:noProof/>
        </w:rPr>
        <w:t xml:space="preserve"> Export of Bangladesh </w:t>
      </w:r>
    </w:p>
    <w:p w:rsidR="00A77254" w:rsidRPr="00521DF0" w:rsidRDefault="003337D3" w:rsidP="00A77254">
      <w:pPr>
        <w:spacing w:line="276" w:lineRule="auto"/>
        <w:rPr>
          <w:rFonts w:eastAsiaTheme="minorEastAsia"/>
          <w:noProof/>
        </w:rPr>
      </w:pPr>
      <m:oMath>
        <m:sSub>
          <m:sSubPr>
            <m:ctrlPr>
              <w:rPr>
                <w:rFonts w:ascii="Cambria Math" w:hAnsi="Cambria Math"/>
                <w:i/>
                <w:noProof/>
              </w:rPr>
            </m:ctrlPr>
          </m:sSubPr>
          <m:e>
            <m:r>
              <w:rPr>
                <w:rFonts w:ascii="Cambria Math" w:hAnsi="Cambria Math"/>
                <w:noProof/>
              </w:rPr>
              <m:t>β</m:t>
            </m:r>
          </m:e>
          <m:sub>
            <m:r>
              <w:rPr>
                <w:rFonts w:ascii="Cambria Math" w:hAnsi="Cambria Math"/>
                <w:noProof/>
              </w:rPr>
              <m:t>1</m:t>
            </m:r>
          </m:sub>
        </m:sSub>
        <m:r>
          <w:rPr>
            <w:rFonts w:ascii="Cambria Math" w:hAnsi="Cambria Math"/>
            <w:noProof/>
          </w:rPr>
          <m:t>Ex_serv)=</m:t>
        </m:r>
      </m:oMath>
      <w:r w:rsidR="00A77254" w:rsidRPr="00521DF0">
        <w:rPr>
          <w:rFonts w:eastAsiaTheme="minorEastAsia"/>
          <w:noProof/>
        </w:rPr>
        <w:t xml:space="preserve"> Export of IT and IT enabled services </w:t>
      </w:r>
    </w:p>
    <w:p w:rsidR="00A77254" w:rsidRPr="00521DF0" w:rsidRDefault="003337D3" w:rsidP="00A77254">
      <w:pPr>
        <w:spacing w:line="276" w:lineRule="auto"/>
        <w:rPr>
          <w:rFonts w:eastAsiaTheme="minorEastAsia"/>
          <w:noProof/>
        </w:rPr>
      </w:pPr>
      <m:oMath>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w:rPr>
            <w:rFonts w:ascii="Cambria Math" w:hAnsi="Cambria Math"/>
            <w:noProof/>
          </w:rPr>
          <m:t>CIPA=</m:t>
        </m:r>
      </m:oMath>
      <w:r w:rsidR="00A77254" w:rsidRPr="00521DF0">
        <w:rPr>
          <w:rFonts w:eastAsiaTheme="minorEastAsia"/>
          <w:noProof/>
        </w:rPr>
        <w:t xml:space="preserve"> Country Policy and Institutional Assessment (CPIA)</w:t>
      </w:r>
    </w:p>
    <w:p w:rsidR="00A77254" w:rsidRPr="00521DF0" w:rsidRDefault="003337D3" w:rsidP="00A77254">
      <w:pPr>
        <w:spacing w:line="276" w:lineRule="auto"/>
        <w:rPr>
          <w:rFonts w:eastAsiaTheme="minorEastAsia"/>
          <w:noProof/>
        </w:rPr>
      </w:pPr>
      <m:oMath>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w:rPr>
            <w:rFonts w:ascii="Cambria Math" w:hAnsi="Cambria Math"/>
            <w:noProof/>
          </w:rPr>
          <m:t>Fdi</m:t>
        </m:r>
      </m:oMath>
      <w:r w:rsidR="00A77254" w:rsidRPr="00521DF0">
        <w:rPr>
          <w:rFonts w:eastAsiaTheme="minorEastAsia"/>
          <w:noProof/>
        </w:rPr>
        <w:t>= Foreign Direct Investment inflow from the rest of the world</w:t>
      </w:r>
    </w:p>
    <w:p w:rsidR="00A77254" w:rsidRPr="00521DF0" w:rsidRDefault="003337D3" w:rsidP="00A77254">
      <w:pPr>
        <w:spacing w:line="276" w:lineRule="auto"/>
        <w:rPr>
          <w:rFonts w:eastAsiaTheme="minorEastAsia"/>
          <w:noProof/>
        </w:rPr>
      </w:pPr>
      <m:oMath>
        <m:sSub>
          <m:sSubPr>
            <m:ctrlPr>
              <w:rPr>
                <w:rFonts w:ascii="Cambria Math" w:hAnsi="Cambria Math"/>
                <w:i/>
                <w:noProof/>
              </w:rPr>
            </m:ctrlPr>
          </m:sSubPr>
          <m:e>
            <m:r>
              <w:rPr>
                <w:rFonts w:ascii="Cambria Math" w:hAnsi="Cambria Math"/>
                <w:noProof/>
              </w:rPr>
              <m:t>β</m:t>
            </m:r>
          </m:e>
          <m:sub>
            <m:r>
              <w:rPr>
                <w:rFonts w:ascii="Cambria Math" w:hAnsi="Cambria Math"/>
                <w:noProof/>
              </w:rPr>
              <m:t xml:space="preserve">4 </m:t>
            </m:r>
          </m:sub>
        </m:sSub>
        <m:r>
          <w:rPr>
            <w:rFonts w:ascii="Cambria Math" w:hAnsi="Cambria Math"/>
            <w:noProof/>
          </w:rPr>
          <m:t>(ln_Excg)=</m:t>
        </m:r>
      </m:oMath>
      <w:r w:rsidR="00A77254" w:rsidRPr="00521DF0">
        <w:rPr>
          <w:rFonts w:eastAsiaTheme="minorEastAsia"/>
          <w:noProof/>
        </w:rPr>
        <w:t xml:space="preserve">  Exchange rate % </w:t>
      </w:r>
    </w:p>
    <w:bookmarkEnd w:id="2"/>
    <w:p w:rsidR="00197BDE" w:rsidRDefault="00A77254" w:rsidP="006702FC">
      <w:pPr>
        <w:spacing w:line="276" w:lineRule="auto"/>
        <w:jc w:val="both"/>
      </w:pPr>
      <w:r>
        <w:t xml:space="preserve"> </w:t>
      </w:r>
    </w:p>
    <w:p w:rsidR="0047629B" w:rsidRPr="006702FC" w:rsidRDefault="00A77254">
      <w:pPr>
        <w:pStyle w:val="Body"/>
        <w:spacing w:line="300" w:lineRule="auto"/>
        <w:jc w:val="both"/>
        <w:rPr>
          <w:rFonts w:ascii="Times New Roman" w:hAnsi="Times New Roman"/>
          <w:sz w:val="24"/>
          <w:szCs w:val="24"/>
        </w:rPr>
      </w:pPr>
      <w:r>
        <w:rPr>
          <w:rFonts w:ascii="Times New Roman" w:hAnsi="Times New Roman"/>
          <w:sz w:val="24"/>
          <w:szCs w:val="24"/>
        </w:rPr>
        <w:t xml:space="preserve">Here, researchers have found that there is a positive correlation between dependent and independent variable and at what extents, exports are dependent on </w:t>
      </w:r>
      <w:r w:rsidR="00B26629">
        <w:rPr>
          <w:rFonts w:ascii="Times New Roman" w:hAnsi="Times New Roman"/>
          <w:sz w:val="24"/>
          <w:szCs w:val="24"/>
        </w:rPr>
        <w:t>those independent variables</w:t>
      </w:r>
      <w:r>
        <w:rPr>
          <w:rFonts w:ascii="Times New Roman" w:hAnsi="Times New Roman"/>
          <w:sz w:val="24"/>
          <w:szCs w:val="24"/>
        </w:rPr>
        <w:t xml:space="preserve">. Finally, </w:t>
      </w:r>
      <w:r w:rsidR="0047629B">
        <w:rPr>
          <w:rFonts w:ascii="Times New Roman" w:hAnsi="Times New Roman"/>
          <w:sz w:val="24"/>
          <w:szCs w:val="24"/>
        </w:rPr>
        <w:t xml:space="preserve">it was assessed that </w:t>
      </w:r>
      <w:r>
        <w:rPr>
          <w:rFonts w:ascii="Times New Roman" w:hAnsi="Times New Roman"/>
          <w:sz w:val="24"/>
          <w:szCs w:val="24"/>
        </w:rPr>
        <w:t>foreign exchange policy does affect the overall growth of export of services of country or not?</w:t>
      </w:r>
      <w:r w:rsidR="0047629B">
        <w:rPr>
          <w:rFonts w:ascii="Times New Roman" w:hAnsi="Times New Roman"/>
          <w:sz w:val="24"/>
          <w:szCs w:val="24"/>
        </w:rPr>
        <w:t xml:space="preserve"> Along with existing literature review regarding policy and act related to foreign exchange are </w:t>
      </w:r>
      <w:r w:rsidR="005D127F">
        <w:rPr>
          <w:rFonts w:ascii="Times New Roman" w:hAnsi="Times New Roman"/>
          <w:sz w:val="24"/>
          <w:szCs w:val="24"/>
        </w:rPr>
        <w:t xml:space="preserve">also done. </w:t>
      </w:r>
    </w:p>
    <w:p w:rsidR="00197BDE" w:rsidRPr="006702FC" w:rsidRDefault="00197BDE" w:rsidP="006702FC">
      <w:pPr>
        <w:pStyle w:val="Heading1"/>
        <w:rPr>
          <w:rStyle w:val="None"/>
        </w:rPr>
      </w:pPr>
      <w:r w:rsidRPr="006702FC">
        <w:rPr>
          <w:rStyle w:val="None"/>
        </w:rPr>
        <w:t>3. Literature Review</w:t>
      </w:r>
    </w:p>
    <w:p w:rsidR="009A35B1" w:rsidRDefault="001838EA">
      <w:pPr>
        <w:pStyle w:val="Body"/>
        <w:spacing w:line="300" w:lineRule="auto"/>
        <w:jc w:val="both"/>
        <w:rPr>
          <w:rStyle w:val="None"/>
          <w:rFonts w:ascii="Times New Roman" w:eastAsia="Times New Roman" w:hAnsi="Times New Roman" w:cs="Times New Roman"/>
          <w:b/>
          <w:bCs/>
          <w:i/>
          <w:iCs/>
          <w:sz w:val="24"/>
          <w:szCs w:val="24"/>
        </w:rPr>
      </w:pPr>
      <w:r>
        <w:rPr>
          <w:rStyle w:val="None"/>
          <w:rFonts w:ascii="Times New Roman" w:hAnsi="Times New Roman"/>
          <w:b/>
          <w:bCs/>
          <w:i/>
          <w:iCs/>
          <w:sz w:val="24"/>
          <w:szCs w:val="24"/>
        </w:rPr>
        <w:t>Theoretical Propositions of Foreign Exchange Policies</w:t>
      </w:r>
    </w:p>
    <w:p w:rsidR="009A35B1" w:rsidRDefault="001838EA">
      <w:pPr>
        <w:pStyle w:val="Body"/>
        <w:spacing w:line="300" w:lineRule="auto"/>
        <w:jc w:val="both"/>
        <w:rPr>
          <w:rFonts w:ascii="Times New Roman" w:hAnsi="Times New Roman"/>
          <w:sz w:val="24"/>
          <w:szCs w:val="24"/>
        </w:rPr>
      </w:pPr>
      <w:r>
        <w:rPr>
          <w:rFonts w:ascii="Times New Roman" w:hAnsi="Times New Roman"/>
          <w:sz w:val="24"/>
          <w:szCs w:val="24"/>
          <w:lang w:val="fr-FR"/>
        </w:rPr>
        <w:t xml:space="preserve">Academic </w:t>
      </w:r>
      <w:r>
        <w:rPr>
          <w:rFonts w:ascii="Times New Roman" w:hAnsi="Times New Roman"/>
          <w:sz w:val="24"/>
          <w:szCs w:val="24"/>
        </w:rPr>
        <w:t xml:space="preserve">pieces of literature have developed various theories and frameworks to understand and explain foreign exchange policies from different perspectives. The monetary approach focuses on the role of money supply and demand in determining the exchange rate (Frenkel, 1977). According to this perspective, foreign exchange policies can affect the exchange rate by changing the money supply or the demand for money. For example, an expansionary monetary policy can lower the domestic interest rate and increase the money supply, which can lead to a depreciation of the domestic currency. In Bangladesh, the central bank (Bangladesh Bank) </w:t>
      </w:r>
      <w:r>
        <w:rPr>
          <w:rFonts w:ascii="Times New Roman" w:hAnsi="Times New Roman"/>
          <w:sz w:val="24"/>
          <w:szCs w:val="24"/>
        </w:rPr>
        <w:lastRenderedPageBreak/>
        <w:t>conducts monetary policy by using various instruments such as policy rates, reserve requirements, open market operations, and refinancing schemes.</w:t>
      </w:r>
    </w:p>
    <w:p w:rsidR="00B26629" w:rsidRDefault="00B26629" w:rsidP="00B26629">
      <w:pPr>
        <w:spacing w:line="276" w:lineRule="auto"/>
        <w:jc w:val="both"/>
      </w:pPr>
      <w:bookmarkStart w:id="3" w:name="_Hlk217154916"/>
      <w:r w:rsidRPr="00521DF0">
        <w:t>There is also a graphical presentation of the Exchange rate of Bangladesh from WB sources where we have analyzed the trends of exchange rate.</w:t>
      </w:r>
      <w:r w:rsidRPr="003F3B23">
        <w:t xml:space="preserve"> </w:t>
      </w:r>
      <w:r w:rsidRPr="00521DF0">
        <w:t xml:space="preserve">The graph presents the exchange rate of the Bangladeshi Taka (BDT) against the US Dollar (USD) from 2005 to 2024 and shows a clear long-term depreciation of the Taka. In 2005, the exchange rate was BDT 64.33 per USD, which gradually increased to around BDT 70 by 2010, indicating relative stability during this period. A noticeable adjustment occurred in 2011–2012, when the exchange rate rose sharply to BDT 81.86, reflecting growing external sector pressures. From 2013 to 2021, the exchange rate increased slowly and steadily, remaining within the range of BDT 78–85, suggesting a managed depreciation policy by the central bank. However, after 2021, the Taka experienced a sharp decline in value, with the exchange rate rising to BDT 91.75 in 2022 and exceeding BDT 115 by 2024. This recent depreciation is associated with global economic shocks, rising import costs, foreign exchange shortages, and pressure on foreign reserves. Overall, the graph highlights increasing vulnerability in Bangladesh’s external sector in the post-2021 period. </w:t>
      </w:r>
    </w:p>
    <w:p w:rsidR="002B48B8" w:rsidRDefault="002B48B8" w:rsidP="002B48B8">
      <w:pPr>
        <w:pStyle w:val="Caption"/>
      </w:pPr>
    </w:p>
    <w:p w:rsidR="00197BDE" w:rsidRDefault="00197BDE" w:rsidP="006702FC">
      <w:pPr>
        <w:pStyle w:val="Caption"/>
        <w:spacing w:after="0"/>
      </w:pPr>
      <w:r w:rsidRPr="006702FC">
        <w:rPr>
          <w:sz w:val="24"/>
          <w:szCs w:val="24"/>
        </w:rPr>
        <w:t xml:space="preserve">Figure </w:t>
      </w:r>
      <w:r w:rsidRPr="006702FC">
        <w:rPr>
          <w:sz w:val="24"/>
          <w:szCs w:val="24"/>
        </w:rPr>
        <w:fldChar w:fldCharType="begin"/>
      </w:r>
      <w:r w:rsidRPr="006702FC">
        <w:rPr>
          <w:sz w:val="24"/>
          <w:szCs w:val="24"/>
        </w:rPr>
        <w:instrText xml:space="preserve"> SEQ Figure \* ARABIC </w:instrText>
      </w:r>
      <w:r w:rsidRPr="006702FC">
        <w:rPr>
          <w:sz w:val="24"/>
          <w:szCs w:val="24"/>
        </w:rPr>
        <w:fldChar w:fldCharType="separate"/>
      </w:r>
      <w:r w:rsidRPr="006702FC">
        <w:rPr>
          <w:noProof/>
          <w:sz w:val="24"/>
          <w:szCs w:val="24"/>
        </w:rPr>
        <w:t>1</w:t>
      </w:r>
      <w:r w:rsidRPr="006702FC">
        <w:rPr>
          <w:sz w:val="24"/>
          <w:szCs w:val="24"/>
        </w:rPr>
        <w:fldChar w:fldCharType="end"/>
      </w:r>
      <w:r w:rsidRPr="006702FC">
        <w:rPr>
          <w:sz w:val="24"/>
          <w:szCs w:val="24"/>
        </w:rPr>
        <w:t xml:space="preserve"> Exchange Rate of BDT against USD</w:t>
      </w:r>
    </w:p>
    <w:p w:rsidR="00B26629" w:rsidRPr="00521DF0" w:rsidRDefault="005A1F6C" w:rsidP="00B26629">
      <w:pPr>
        <w:jc w:val="both"/>
      </w:pPr>
      <w:r>
        <w:rPr>
          <w:noProof/>
          <w:lang w:val="en-GB" w:eastAsia="en-GB" w:bidi="bn-BD"/>
        </w:rPr>
        <w:drawing>
          <wp:inline distT="0" distB="0" distL="0" distR="0">
            <wp:extent cx="6013450" cy="2510155"/>
            <wp:effectExtent l="0" t="0" r="6350" b="4445"/>
            <wp:docPr id="9" name="Chart 9">
              <a:extLst xmlns:a="http://schemas.openxmlformats.org/drawingml/2006/main">
                <a:ext uri="{FF2B5EF4-FFF2-40B4-BE49-F238E27FC236}">
                  <a16:creationId xmlns:a16="http://schemas.microsoft.com/office/drawing/2014/main" id="{74BB5A90-C7A1-4780-9A51-46593BD53A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3"/>
    <w:p w:rsidR="009A35B1" w:rsidRDefault="002B48B8">
      <w:pPr>
        <w:pStyle w:val="Default"/>
        <w:spacing w:before="0" w:after="200" w:line="300" w:lineRule="auto"/>
        <w:jc w:val="both"/>
        <w:rPr>
          <w:color w:val="111111"/>
          <w:sz w:val="24"/>
          <w:szCs w:val="24"/>
          <w:shd w:val="clear" w:color="auto" w:fill="FEFFFF"/>
        </w:rPr>
      </w:pPr>
      <w:r>
        <w:rPr>
          <w:rFonts w:eastAsia="Times New Roman" w:cs="Times New Roman"/>
          <w:sz w:val="24"/>
          <w:szCs w:val="24"/>
        </w:rPr>
        <w:t xml:space="preserve">Source: World </w:t>
      </w:r>
      <w:proofErr w:type="spellStart"/>
      <w:r>
        <w:rPr>
          <w:rFonts w:eastAsia="Times New Roman" w:cs="Times New Roman"/>
          <w:sz w:val="24"/>
          <w:szCs w:val="24"/>
        </w:rPr>
        <w:t>Bank</w:t>
      </w:r>
      <w:r w:rsidR="001838EA">
        <w:rPr>
          <w:color w:val="111111"/>
          <w:sz w:val="24"/>
          <w:szCs w:val="24"/>
          <w:shd w:val="clear" w:color="auto" w:fill="FEFFFF"/>
        </w:rPr>
        <w:t>The</w:t>
      </w:r>
      <w:proofErr w:type="spellEnd"/>
      <w:r w:rsidR="001838EA">
        <w:rPr>
          <w:color w:val="111111"/>
          <w:sz w:val="24"/>
          <w:szCs w:val="24"/>
          <w:shd w:val="clear" w:color="auto" w:fill="FEFFFF"/>
        </w:rPr>
        <w:t xml:space="preserve"> balance of payments approach focuses on the role of international transactions in determining the exchange rate (Krugman, 1979). It assumes that the exchange rate is determined by the balance of payments, which is the record of all transactions between a country and the rest of the world (Kruger, 1969). According to this perspective, foreign exchange policies can affect the exchange rate by changing the current account or the capital account (</w:t>
      </w:r>
      <w:proofErr w:type="spellStart"/>
      <w:r w:rsidR="001838EA">
        <w:rPr>
          <w:color w:val="111111"/>
          <w:sz w:val="24"/>
          <w:szCs w:val="24"/>
          <w:shd w:val="clear" w:color="auto" w:fill="FEFFFF"/>
        </w:rPr>
        <w:t>Kouri</w:t>
      </w:r>
      <w:proofErr w:type="spellEnd"/>
      <w:r w:rsidR="001838EA">
        <w:rPr>
          <w:color w:val="111111"/>
          <w:sz w:val="24"/>
          <w:szCs w:val="24"/>
          <w:shd w:val="clear" w:color="auto" w:fill="FEFFFF"/>
        </w:rPr>
        <w:t>, 1976). For example, a trade surplus can increase the demand for the domestic currency and appreciate it, while a capital outflow can decrease the supply of the domestic currency and depreciate it.</w:t>
      </w:r>
    </w:p>
    <w:p w:rsidR="009A35B1" w:rsidRDefault="001838EA">
      <w:pPr>
        <w:pStyle w:val="Default"/>
        <w:spacing w:before="0" w:after="200" w:line="300" w:lineRule="auto"/>
        <w:jc w:val="both"/>
        <w:rPr>
          <w:rStyle w:val="None"/>
          <w:color w:val="111111"/>
          <w:sz w:val="24"/>
          <w:szCs w:val="24"/>
          <w:u w:color="111111"/>
          <w:shd w:val="clear" w:color="auto" w:fill="FEFFFF"/>
        </w:rPr>
      </w:pPr>
      <w:r>
        <w:rPr>
          <w:color w:val="111111"/>
          <w:sz w:val="24"/>
          <w:szCs w:val="24"/>
          <w:shd w:val="clear" w:color="auto" w:fill="FEFFFF"/>
        </w:rPr>
        <w:lastRenderedPageBreak/>
        <w:t>The asset market approach focuses on the role of financial assets in determining the exchange rate. It assumes that the exchange rate is determined by the relative returns and risks of holding different currencies as assets (</w:t>
      </w:r>
      <w:proofErr w:type="spellStart"/>
      <w:r>
        <w:rPr>
          <w:color w:val="111111"/>
          <w:sz w:val="24"/>
          <w:szCs w:val="24"/>
          <w:shd w:val="clear" w:color="auto" w:fill="FEFFFF"/>
        </w:rPr>
        <w:t>Ethier</w:t>
      </w:r>
      <w:proofErr w:type="spellEnd"/>
      <w:r>
        <w:rPr>
          <w:color w:val="111111"/>
          <w:sz w:val="24"/>
          <w:szCs w:val="24"/>
          <w:shd w:val="clear" w:color="auto" w:fill="FEFFFF"/>
        </w:rPr>
        <w:t xml:space="preserve">, 1979). According to this perspective, foreign exchange policies can affect the exchange rate by changing the expectations or preferences of investors (Frenkel &amp; </w:t>
      </w:r>
      <w:proofErr w:type="spellStart"/>
      <w:r>
        <w:rPr>
          <w:color w:val="111111"/>
          <w:sz w:val="24"/>
          <w:szCs w:val="24"/>
          <w:shd w:val="clear" w:color="auto" w:fill="FEFFFF"/>
        </w:rPr>
        <w:t>Mussa</w:t>
      </w:r>
      <w:proofErr w:type="spellEnd"/>
      <w:r>
        <w:rPr>
          <w:color w:val="111111"/>
          <w:sz w:val="24"/>
          <w:szCs w:val="24"/>
          <w:shd w:val="clear" w:color="auto" w:fill="FEFFFF"/>
        </w:rPr>
        <w:t xml:space="preserve">, 1985). For example, a credible commitment to maintain a fixed exchange rate can reduce the risk premium and appreciate the domestic currency, while political instability can increase the uncertainty and depreciate it. </w:t>
      </w:r>
    </w:p>
    <w:p w:rsidR="009A35B1" w:rsidRDefault="001838EA">
      <w:pPr>
        <w:pStyle w:val="Default"/>
        <w:spacing w:before="0" w:after="200" w:line="300" w:lineRule="auto"/>
        <w:jc w:val="both"/>
        <w:rPr>
          <w:color w:val="111111"/>
          <w:sz w:val="24"/>
          <w:szCs w:val="24"/>
          <w:shd w:val="clear" w:color="auto" w:fill="FEFFFF"/>
        </w:rPr>
      </w:pPr>
      <w:r>
        <w:rPr>
          <w:color w:val="111111"/>
          <w:sz w:val="24"/>
          <w:szCs w:val="24"/>
          <w:shd w:val="clear" w:color="auto" w:fill="FEFFFF"/>
        </w:rPr>
        <w:t>The institutional approach focuses on the role of institutions in determining the exchange rate. It assumes that the exchange rate is determined by the formal and informal rules and norms that shape the behavior and interactions of economic agents (</w:t>
      </w:r>
      <w:proofErr w:type="spellStart"/>
      <w:r>
        <w:rPr>
          <w:color w:val="111111"/>
          <w:sz w:val="24"/>
          <w:szCs w:val="24"/>
          <w:shd w:val="clear" w:color="auto" w:fill="FEFFFF"/>
        </w:rPr>
        <w:t>Ikenberry</w:t>
      </w:r>
      <w:proofErr w:type="spellEnd"/>
      <w:r>
        <w:rPr>
          <w:color w:val="111111"/>
          <w:sz w:val="24"/>
          <w:szCs w:val="24"/>
          <w:shd w:val="clear" w:color="auto" w:fill="FEFFFF"/>
        </w:rPr>
        <w:t>, 1988). According to this perspective, foreign exchange policies can affect the exchange rate by changing or creating institutions that influence or constrain the choices and actions of economic agents (ibid, 1988). For example, a central bank's independence can enhance its credibility and effectiveness in conducting monetary policy and stabilizing the exchange rate, while a currency board can limit its discretion and flexibility in responding to external shocks.</w:t>
      </w:r>
      <w:r w:rsidR="002B48B8">
        <w:rPr>
          <w:color w:val="111111"/>
          <w:sz w:val="24"/>
          <w:szCs w:val="24"/>
          <w:shd w:val="clear" w:color="auto" w:fill="FEFFFF"/>
        </w:rPr>
        <w:t xml:space="preserve"> Hence</w:t>
      </w:r>
      <w:r w:rsidR="0047629B">
        <w:rPr>
          <w:color w:val="111111"/>
          <w:sz w:val="24"/>
          <w:szCs w:val="24"/>
          <w:shd w:val="clear" w:color="auto" w:fill="FEFFFF"/>
        </w:rPr>
        <w:t>,</w:t>
      </w:r>
      <w:r w:rsidR="002B48B8">
        <w:rPr>
          <w:color w:val="111111"/>
          <w:sz w:val="24"/>
          <w:szCs w:val="24"/>
          <w:shd w:val="clear" w:color="auto" w:fill="FEFFFF"/>
        </w:rPr>
        <w:t xml:space="preserve"> the researchers have initiated the CIPA index introduced by the world Bank and its overall impact on export growth of Bangladesh. </w:t>
      </w:r>
    </w:p>
    <w:p w:rsidR="00197BDE" w:rsidRPr="006702FC" w:rsidRDefault="0047629B" w:rsidP="006702FC">
      <w:pPr>
        <w:pStyle w:val="Heading2"/>
        <w:rPr>
          <w:rStyle w:val="None"/>
          <w:sz w:val="32"/>
          <w:szCs w:val="32"/>
        </w:rPr>
      </w:pPr>
      <w:r>
        <w:rPr>
          <w:rStyle w:val="None"/>
        </w:rPr>
        <w:t xml:space="preserve">3.1 </w:t>
      </w:r>
      <w:r w:rsidR="00197BDE" w:rsidRPr="006702FC">
        <w:rPr>
          <w:rStyle w:val="None"/>
          <w:sz w:val="32"/>
          <w:szCs w:val="32"/>
        </w:rPr>
        <w:t>Regulatory Frameworks of Bangladesh</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The regulatory mechanism of funds received and transferred through foreign currency in Bangladesh is based on the (Bangladesh Bank, 1947) and the Guidelines for Foreign Exchange Transactions (GFET) issued by the Bangladesh Bank, the central bank of Bangladesh (Bangladesh Bank, November 30, 2017). FERA provides the legal framework for regulating certain payments, dealings in foreign exchange and securities, and the import and export of currency and bullion (Bangladesh Bank, November 30, 2017). GFET contains the instructions and procedures to be followed by authorized dealers (ADs) and money changers in their reporting of foreign exchange transactions to the Bangladesh Bank.</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 xml:space="preserve">According to FERA, no person in Bangladesh can buy borrow from, sell lend to, or exchange with any person outside Bangladesh any foreign exchange without obtaining general or special permission from the Bangladesh Bank (Bangladesh Bank, 1947). Similarly, no person can make any payment to or for the credit of any person outside Bangladesh, or receive any payment from any person outside Bangladesh, without such permission. Any person who contravenes these provisions is liable to be punished with imprisonment fine or both (Bangladesh Bank, 1947). The ADs are the only entities that are allowed to transact and hold foreign exchange both at home and abroad. They are licensed by the Bangladesh Bank to deal in foreign exchange with their customers following FERA and GFET (Bangladesh Bank, November 30, 2017). The ADs are </w:t>
      </w:r>
      <w:r>
        <w:rPr>
          <w:rFonts w:ascii="Times New Roman" w:hAnsi="Times New Roman"/>
          <w:sz w:val="24"/>
          <w:szCs w:val="24"/>
        </w:rPr>
        <w:lastRenderedPageBreak/>
        <w:t>required to keep proper records of all dealings in foreign exchange and submit periodic returns and statements to the Bangladesh Bank as prescribed in GFET (Bangladesh Bank, November 30, 2017). The ADs are also responsible for ensuring compliance with the foreign exchange regulations by their customers and reporting any suspicious transactions to the Bangladesh Bank. The money changers are registered entities that can buy foreign currencies from tourists and sell them to outgoing Bangladeshi travelers as per entitlement. They are also required to maintain records and submit returns to the Bangladesh Bank as per GFET (Bangladesh Bank, November 30, 2017). Some service institutions like hotels and shops have also obtained limited money-changing licenses to accept foreign currencies from foreign tourists, but they have to sell them to ADs within a specified period (Bangladesh Bank, November 30, 2017).</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The funds received and transferred through foreign currency in Bangladesh can be categorized into two broad types: current account transactions and capital account transactions. Current account transactions are those that relate to trade, services, income, remittances, etc. Capital account transactions are those that relate to investments, loans, assets, liabilities, etc. Both types of transactions are subject to certain restrictions and conditions as per FERA and GFET. The regulatory mechanisms in this regard are the following:</w:t>
      </w:r>
    </w:p>
    <w:p w:rsidR="009A35B1" w:rsidRDefault="001838EA">
      <w:pPr>
        <w:pStyle w:val="Body"/>
        <w:numPr>
          <w:ilvl w:val="1"/>
          <w:numId w:val="2"/>
        </w:numPr>
        <w:spacing w:line="300" w:lineRule="auto"/>
        <w:jc w:val="both"/>
        <w:rPr>
          <w:rFonts w:ascii="Times New Roman" w:hAnsi="Times New Roman"/>
          <w:sz w:val="24"/>
          <w:szCs w:val="24"/>
        </w:rPr>
      </w:pPr>
      <w:r>
        <w:rPr>
          <w:rFonts w:ascii="Times New Roman" w:hAnsi="Times New Roman"/>
          <w:sz w:val="24"/>
          <w:szCs w:val="24"/>
        </w:rPr>
        <w:t>A foreign investor can bring in foreign exchange in any form including cash without limit. But for amounts over US$5,000, a declaration on the FMJ form is required to be made to the Customs Authorities at the time of entry. Amounts brought in may also be taken out freely, subject to production of the declaration where applicable (Bangladesh Bank, November 30, 2017).</w:t>
      </w:r>
    </w:p>
    <w:p w:rsidR="009A35B1" w:rsidRDefault="001838EA">
      <w:pPr>
        <w:pStyle w:val="Body"/>
        <w:numPr>
          <w:ilvl w:val="1"/>
          <w:numId w:val="2"/>
        </w:numPr>
        <w:spacing w:line="300" w:lineRule="auto"/>
        <w:jc w:val="both"/>
        <w:rPr>
          <w:rFonts w:ascii="Times New Roman" w:hAnsi="Times New Roman"/>
          <w:sz w:val="24"/>
          <w:szCs w:val="24"/>
        </w:rPr>
      </w:pPr>
      <w:r>
        <w:rPr>
          <w:rFonts w:ascii="Times New Roman" w:hAnsi="Times New Roman"/>
          <w:sz w:val="24"/>
          <w:szCs w:val="24"/>
        </w:rPr>
        <w:t>A foreign investor can repatriate their invested capital, profits, capital gains, post-tax dividends, and approved royalties and fees through an AD provided the appropriate documentation is in order (Bangladesh Bank, November 30, 2017).</w:t>
      </w:r>
    </w:p>
    <w:p w:rsidR="009A35B1" w:rsidRDefault="001838EA">
      <w:pPr>
        <w:pStyle w:val="Body"/>
        <w:numPr>
          <w:ilvl w:val="1"/>
          <w:numId w:val="2"/>
        </w:numPr>
        <w:spacing w:line="300" w:lineRule="auto"/>
        <w:jc w:val="both"/>
        <w:rPr>
          <w:rFonts w:ascii="Times New Roman" w:hAnsi="Times New Roman"/>
          <w:sz w:val="24"/>
          <w:szCs w:val="24"/>
        </w:rPr>
      </w:pPr>
      <w:r>
        <w:rPr>
          <w:rFonts w:ascii="Times New Roman" w:hAnsi="Times New Roman"/>
          <w:sz w:val="24"/>
          <w:szCs w:val="24"/>
        </w:rPr>
        <w:t>A Bangladeshi exporter can receive payment for their exports in foreign currency through an AD within four months from the date of shipment. The exporter has to surrender the foreign exchange to an AD within two working days from the date of receipt (Bangladesh Bank, 1947).</w:t>
      </w:r>
    </w:p>
    <w:p w:rsidR="009A35B1" w:rsidRDefault="001838EA">
      <w:pPr>
        <w:pStyle w:val="Body"/>
        <w:numPr>
          <w:ilvl w:val="1"/>
          <w:numId w:val="2"/>
        </w:numPr>
        <w:spacing w:line="300" w:lineRule="auto"/>
        <w:jc w:val="both"/>
        <w:rPr>
          <w:rFonts w:ascii="Times New Roman" w:hAnsi="Times New Roman"/>
          <w:sz w:val="24"/>
          <w:szCs w:val="24"/>
        </w:rPr>
      </w:pPr>
      <w:r>
        <w:rPr>
          <w:rFonts w:ascii="Times New Roman" w:hAnsi="Times New Roman"/>
          <w:sz w:val="24"/>
          <w:szCs w:val="24"/>
        </w:rPr>
        <w:t xml:space="preserve">A Bangladeshi importer can make payment for their imports in foreign currency through an AD subject to certain conditions such as registration of import contract, opening of letter of credit, submission of import documents, </w:t>
      </w:r>
      <w:proofErr w:type="spellStart"/>
      <w:r>
        <w:rPr>
          <w:rFonts w:ascii="Times New Roman" w:hAnsi="Times New Roman"/>
          <w:sz w:val="24"/>
          <w:szCs w:val="24"/>
        </w:rPr>
        <w:t>etc</w:t>
      </w:r>
      <w:proofErr w:type="spellEnd"/>
      <w:r>
        <w:rPr>
          <w:rFonts w:ascii="Times New Roman" w:hAnsi="Times New Roman"/>
          <w:sz w:val="24"/>
          <w:szCs w:val="24"/>
        </w:rPr>
        <w:t xml:space="preserve"> (Bangladesh Bank, 1947).</w:t>
      </w:r>
    </w:p>
    <w:p w:rsidR="009A35B1" w:rsidRDefault="001838EA">
      <w:pPr>
        <w:pStyle w:val="Body"/>
        <w:numPr>
          <w:ilvl w:val="1"/>
          <w:numId w:val="2"/>
        </w:numPr>
        <w:spacing w:line="300" w:lineRule="auto"/>
        <w:jc w:val="both"/>
        <w:rPr>
          <w:rFonts w:ascii="Times New Roman" w:hAnsi="Times New Roman"/>
          <w:sz w:val="24"/>
          <w:szCs w:val="24"/>
        </w:rPr>
      </w:pPr>
      <w:r>
        <w:rPr>
          <w:rFonts w:ascii="Times New Roman" w:hAnsi="Times New Roman"/>
          <w:sz w:val="24"/>
          <w:szCs w:val="24"/>
        </w:rPr>
        <w:t xml:space="preserve">A Bangladeshi resident can remit up to US$12,000 per calendar year for various purposes such as education, medical treatment, travel, etc. through an AD subject to </w:t>
      </w:r>
      <w:r>
        <w:rPr>
          <w:rFonts w:ascii="Times New Roman" w:hAnsi="Times New Roman"/>
          <w:sz w:val="24"/>
          <w:szCs w:val="24"/>
        </w:rPr>
        <w:lastRenderedPageBreak/>
        <w:t xml:space="preserve">certain conditions such as submission of application form, supporting documents, tax clearance certificate, </w:t>
      </w:r>
      <w:proofErr w:type="spellStart"/>
      <w:r>
        <w:rPr>
          <w:rFonts w:ascii="Times New Roman" w:hAnsi="Times New Roman"/>
          <w:sz w:val="24"/>
          <w:szCs w:val="24"/>
        </w:rPr>
        <w:t>etc</w:t>
      </w:r>
      <w:proofErr w:type="spellEnd"/>
      <w:r>
        <w:rPr>
          <w:rFonts w:ascii="Times New Roman" w:hAnsi="Times New Roman"/>
          <w:sz w:val="24"/>
          <w:szCs w:val="24"/>
        </w:rPr>
        <w:t xml:space="preserve"> (Bangladesh Bank, 1947).</w:t>
      </w:r>
    </w:p>
    <w:p w:rsidR="009A35B1" w:rsidRDefault="001838EA">
      <w:pPr>
        <w:pStyle w:val="Body"/>
        <w:numPr>
          <w:ilvl w:val="1"/>
          <w:numId w:val="2"/>
        </w:numPr>
        <w:spacing w:line="300" w:lineRule="auto"/>
        <w:jc w:val="both"/>
        <w:rPr>
          <w:rFonts w:ascii="Times New Roman" w:hAnsi="Times New Roman"/>
          <w:sz w:val="24"/>
          <w:szCs w:val="24"/>
        </w:rPr>
      </w:pPr>
      <w:r>
        <w:rPr>
          <w:rFonts w:ascii="Times New Roman" w:hAnsi="Times New Roman"/>
          <w:sz w:val="24"/>
          <w:szCs w:val="24"/>
        </w:rPr>
        <w:t>A Bangladeshi resident can borrow or lend in foreign currency from or to a non-resident with prior approval from the Bangladesh Bank. The borrowing or lending should be for a specific purpose and within a specified limit as per GFET (Bangladesh Bank, November 30, 2017).</w:t>
      </w:r>
    </w:p>
    <w:p w:rsidR="009A35B1" w:rsidRDefault="001838EA">
      <w:pPr>
        <w:pStyle w:val="Body"/>
        <w:numPr>
          <w:ilvl w:val="1"/>
          <w:numId w:val="2"/>
        </w:numPr>
        <w:spacing w:line="300" w:lineRule="auto"/>
        <w:jc w:val="both"/>
        <w:rPr>
          <w:rFonts w:ascii="Times New Roman" w:hAnsi="Times New Roman"/>
          <w:sz w:val="24"/>
          <w:szCs w:val="24"/>
        </w:rPr>
      </w:pPr>
      <w:r>
        <w:rPr>
          <w:rFonts w:ascii="Times New Roman" w:hAnsi="Times New Roman"/>
          <w:sz w:val="24"/>
          <w:szCs w:val="24"/>
        </w:rPr>
        <w:t>A Bangladeshi resident can invest in foreign currency-denominated securities issued by a non-resident with prior approval from the Bangladesh Bank. The investment should be for a specific purpose and within a specified limit as per GFET (Bangladesh Bank, November 30, 2017).</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The legacy of such conservative financial policies to safeguard domestic industries in Bangladesh can be traced back to the post-independence period when the country adopted a state-led development strategy that aimed to protect and promote the domestic industrial sector from foreign competition and dependence. The strategy involved high tariffs, import substitution, subsidies, public ownership, and strict controls on foreign exchange transactions. The rationale behind such policies was to foster self-reliance, economic sovereignty, and industrialization in a war-torn and underdeveloped country (</w:t>
      </w:r>
      <w:proofErr w:type="spellStart"/>
      <w:r>
        <w:rPr>
          <w:rFonts w:ascii="Times New Roman" w:hAnsi="Times New Roman"/>
          <w:sz w:val="24"/>
          <w:szCs w:val="24"/>
        </w:rPr>
        <w:t>Ffrench</w:t>
      </w:r>
      <w:proofErr w:type="spellEnd"/>
      <w:r>
        <w:rPr>
          <w:rFonts w:ascii="Times New Roman" w:hAnsi="Times New Roman"/>
          <w:sz w:val="24"/>
          <w:szCs w:val="24"/>
        </w:rPr>
        <w:t xml:space="preserve">-Davis et al., 2000; Minton &amp; </w:t>
      </w:r>
      <w:proofErr w:type="spellStart"/>
      <w:r>
        <w:rPr>
          <w:rFonts w:ascii="Times New Roman" w:hAnsi="Times New Roman"/>
          <w:sz w:val="24"/>
          <w:szCs w:val="24"/>
        </w:rPr>
        <w:t>Wruck</w:t>
      </w:r>
      <w:proofErr w:type="spellEnd"/>
      <w:r>
        <w:rPr>
          <w:rFonts w:ascii="Times New Roman" w:hAnsi="Times New Roman"/>
          <w:sz w:val="24"/>
          <w:szCs w:val="24"/>
        </w:rPr>
        <w:t xml:space="preserve">, 2001). However, the conservative financial policies also had some negative consequences for the economy. They created inefficiencies, distortions, rent-seeking, corruption, and fiscal deficits in the public sector. They also discouraged private investment, innovation, and competition in the private sector. They also isolated the country from the global market and prevented it from benefiting from trade liberalization, foreign direct investment, and technology transfer (Minton &amp; </w:t>
      </w:r>
      <w:proofErr w:type="spellStart"/>
      <w:r>
        <w:rPr>
          <w:rFonts w:ascii="Times New Roman" w:hAnsi="Times New Roman"/>
          <w:sz w:val="24"/>
          <w:szCs w:val="24"/>
        </w:rPr>
        <w:t>Wruck</w:t>
      </w:r>
      <w:proofErr w:type="spellEnd"/>
      <w:r>
        <w:rPr>
          <w:rFonts w:ascii="Times New Roman" w:hAnsi="Times New Roman"/>
          <w:sz w:val="24"/>
          <w:szCs w:val="24"/>
        </w:rPr>
        <w:t xml:space="preserve">, 2001; </w:t>
      </w:r>
      <w:proofErr w:type="spellStart"/>
      <w:r>
        <w:rPr>
          <w:rFonts w:ascii="Times New Roman" w:hAnsi="Times New Roman"/>
          <w:sz w:val="24"/>
          <w:szCs w:val="24"/>
        </w:rPr>
        <w:t>Rondinelli</w:t>
      </w:r>
      <w:proofErr w:type="spellEnd"/>
      <w:r>
        <w:rPr>
          <w:rFonts w:ascii="Times New Roman" w:hAnsi="Times New Roman"/>
          <w:sz w:val="24"/>
          <w:szCs w:val="24"/>
        </w:rPr>
        <w:t xml:space="preserve"> et al., 1983).</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The late and ineffective processes of liberalization in Bangladesh occurred as the gradual and partial reforms that were initiated in the 1980s and 1990s under the pressure of international financial institutions such as the World Bank and the IMF (IMF, 2013). The reforms aimed to reduce the role of the state and increase the role of the market in the economy. The reforms included lowering tariffs, deregulating imports, privatizing public enterprises, relaxing foreign exchange controls, and introducing market-based exchange rates (</w:t>
      </w:r>
      <w:proofErr w:type="spellStart"/>
      <w:r>
        <w:rPr>
          <w:rFonts w:ascii="Times New Roman" w:hAnsi="Times New Roman"/>
          <w:sz w:val="24"/>
          <w:szCs w:val="24"/>
        </w:rPr>
        <w:t>Kalirajan</w:t>
      </w:r>
      <w:proofErr w:type="spellEnd"/>
      <w:r>
        <w:rPr>
          <w:rFonts w:ascii="Times New Roman" w:hAnsi="Times New Roman"/>
          <w:sz w:val="24"/>
          <w:szCs w:val="24"/>
        </w:rPr>
        <w:t xml:space="preserve"> &amp; Salim, 1997; Bhattacharya, 2000). However, the liberalization processes also faced some challenges and limitations (</w:t>
      </w:r>
      <w:proofErr w:type="spellStart"/>
      <w:r>
        <w:rPr>
          <w:rFonts w:ascii="Times New Roman" w:hAnsi="Times New Roman"/>
          <w:sz w:val="24"/>
          <w:szCs w:val="24"/>
        </w:rPr>
        <w:t>Rondinelli</w:t>
      </w:r>
      <w:proofErr w:type="spellEnd"/>
      <w:r>
        <w:rPr>
          <w:rFonts w:ascii="Times New Roman" w:hAnsi="Times New Roman"/>
          <w:sz w:val="24"/>
          <w:szCs w:val="24"/>
        </w:rPr>
        <w:t xml:space="preserve"> et al., 1983). They were often resisted by powerful interest groups such as bureaucrats, politicians, businessmen, and trade unions who benefited from the status quo. They were also hampered by weak institutions, poor governance, political instability, and social unrest. They also failed to address some of the structural problems of the economy such as low productivity, poor infrastructure, inadequate human capital, and high poverty (IMF, 2013; </w:t>
      </w:r>
      <w:proofErr w:type="spellStart"/>
      <w:r>
        <w:rPr>
          <w:rFonts w:ascii="Times New Roman" w:hAnsi="Times New Roman"/>
          <w:sz w:val="24"/>
          <w:szCs w:val="24"/>
        </w:rPr>
        <w:t>Ayoo</w:t>
      </w:r>
      <w:proofErr w:type="spellEnd"/>
      <w:r>
        <w:rPr>
          <w:rFonts w:ascii="Times New Roman" w:hAnsi="Times New Roman"/>
          <w:sz w:val="24"/>
          <w:szCs w:val="24"/>
        </w:rPr>
        <w:t xml:space="preserve">, </w:t>
      </w:r>
      <w:r>
        <w:rPr>
          <w:rFonts w:ascii="Times New Roman" w:hAnsi="Times New Roman"/>
          <w:sz w:val="24"/>
          <w:szCs w:val="24"/>
        </w:rPr>
        <w:lastRenderedPageBreak/>
        <w:t>2022). As a result, we are failing to compete in many jobs and trade segments in the world of globalization and digitally structured activities</w:t>
      </w:r>
      <w:r w:rsidR="005A38E9">
        <w:rPr>
          <w:rFonts w:ascii="Times New Roman" w:hAnsi="Times New Roman"/>
          <w:sz w:val="24"/>
          <w:szCs w:val="24"/>
        </w:rPr>
        <w:t xml:space="preserve"> and expand our consistent export growth</w:t>
      </w:r>
      <w:r>
        <w:rPr>
          <w:rFonts w:ascii="Times New Roman" w:hAnsi="Times New Roman"/>
          <w:sz w:val="24"/>
          <w:szCs w:val="24"/>
        </w:rPr>
        <w:t>. These strict financial regulations are also not allowing us to take part in the emerging opportunities around the world</w:t>
      </w:r>
      <w:r w:rsidR="005A38E9">
        <w:rPr>
          <w:rFonts w:ascii="Times New Roman" w:hAnsi="Times New Roman"/>
          <w:sz w:val="24"/>
          <w:szCs w:val="24"/>
        </w:rPr>
        <w:t xml:space="preserve"> market for</w:t>
      </w:r>
      <w:r>
        <w:rPr>
          <w:rFonts w:ascii="Times New Roman" w:hAnsi="Times New Roman"/>
          <w:sz w:val="24"/>
          <w:szCs w:val="24"/>
        </w:rPr>
        <w:t xml:space="preserve"> Freelancing, E-commerce and F-commerce, Fintech and, Retail Investment in global financial markets.</w:t>
      </w:r>
    </w:p>
    <w:p w:rsidR="00197BDE" w:rsidRDefault="0047629B" w:rsidP="006702FC">
      <w:pPr>
        <w:pStyle w:val="Heading2"/>
      </w:pPr>
      <w:r>
        <w:rPr>
          <w:rStyle w:val="None"/>
        </w:rPr>
        <w:t xml:space="preserve">3.2 </w:t>
      </w:r>
      <w:r w:rsidR="00197BDE" w:rsidRPr="006702FC">
        <w:rPr>
          <w:rStyle w:val="None"/>
        </w:rPr>
        <w:t>Emerging Avenues in Smart Economy</w:t>
      </w:r>
    </w:p>
    <w:p w:rsidR="0047629B" w:rsidRDefault="0047629B">
      <w:pPr>
        <w:pStyle w:val="Body"/>
        <w:spacing w:line="300" w:lineRule="auto"/>
        <w:jc w:val="both"/>
        <w:rPr>
          <w:rStyle w:val="None"/>
          <w:rFonts w:ascii="Times New Roman" w:hAnsi="Times New Roman"/>
          <w:b/>
          <w:bCs/>
          <w:i/>
          <w:iCs/>
          <w:sz w:val="24"/>
          <w:szCs w:val="24"/>
        </w:rPr>
      </w:pPr>
    </w:p>
    <w:p w:rsidR="009A35B1" w:rsidRDefault="001838EA">
      <w:pPr>
        <w:pStyle w:val="Body"/>
        <w:spacing w:line="300" w:lineRule="auto"/>
        <w:jc w:val="both"/>
        <w:rPr>
          <w:rFonts w:ascii="Times New Roman" w:eastAsia="Times New Roman" w:hAnsi="Times New Roman" w:cs="Times New Roman"/>
          <w:sz w:val="24"/>
          <w:szCs w:val="24"/>
        </w:rPr>
      </w:pPr>
      <w:r>
        <w:rPr>
          <w:rStyle w:val="None"/>
          <w:rFonts w:ascii="Times New Roman" w:hAnsi="Times New Roman"/>
          <w:b/>
          <w:bCs/>
          <w:i/>
          <w:iCs/>
          <w:sz w:val="24"/>
          <w:szCs w:val="24"/>
        </w:rPr>
        <w:t>Freelancing</w:t>
      </w:r>
      <w:r w:rsidR="005D127F">
        <w:rPr>
          <w:rStyle w:val="None"/>
          <w:rFonts w:ascii="Times New Roman" w:hAnsi="Times New Roman"/>
          <w:b/>
          <w:bCs/>
          <w:i/>
          <w:iCs/>
          <w:sz w:val="24"/>
          <w:szCs w:val="24"/>
        </w:rPr>
        <w:t xml:space="preserve"> </w:t>
      </w:r>
      <w:proofErr w:type="spellStart"/>
      <w:r>
        <w:rPr>
          <w:rFonts w:ascii="Times New Roman" w:hAnsi="Times New Roman"/>
          <w:sz w:val="24"/>
          <w:szCs w:val="24"/>
        </w:rPr>
        <w:t>Freelancing</w:t>
      </w:r>
      <w:proofErr w:type="spellEnd"/>
      <w:r>
        <w:rPr>
          <w:rFonts w:ascii="Times New Roman" w:hAnsi="Times New Roman"/>
          <w:sz w:val="24"/>
          <w:szCs w:val="24"/>
        </w:rPr>
        <w:t xml:space="preserve"> is a form of self-employment that allows individuals to offer their skills and services to clients across the world through online platforms. Freelancing has been an emerging profession in Bangladesh for the last decade, as it provides opportunities for income generation, skill development, and flexibility. </w:t>
      </w:r>
      <w:r>
        <w:rPr>
          <w:rStyle w:val="None"/>
          <w:rFonts w:ascii="Times New Roman" w:hAnsi="Times New Roman"/>
          <w:sz w:val="24"/>
          <w:szCs w:val="24"/>
          <w:u w:color="111111"/>
        </w:rPr>
        <w:t>According to a report by the Oxford Internet Institute</w:t>
      </w:r>
      <w:r>
        <w:rPr>
          <w:rFonts w:ascii="Times New Roman" w:hAnsi="Times New Roman"/>
          <w:sz w:val="24"/>
          <w:szCs w:val="24"/>
        </w:rPr>
        <w:t xml:space="preserve">, Bangladesh ranked second in the world in terms of online workers per 10,000 people, with over a million freelancers in total (Dhaka Tribune, July 22, 2017). The most popular categories of freelancing in Bangladesh are graphic design, web development, content writing, data entry, digital marketing, etc. The prospects of freelancing in Bangladesh are promising, as the demand for online work is increasing due to the COVID-19 pandemic and the digital transformation of the economy. Freelancing can help Bangladesh to create more jobs, especially for the youth and women, who face high unemployment rates. Freelancing can also help Bangladesh earn more foreign exchange remittances, which are vital for its balance of payments and economic growth. </w:t>
      </w:r>
      <w:hyperlink r:id="rId9" w:history="1">
        <w:r>
          <w:rPr>
            <w:rStyle w:val="Hyperlink1"/>
            <w:rFonts w:ascii="Times New Roman" w:hAnsi="Times New Roman"/>
            <w:sz w:val="24"/>
            <w:szCs w:val="24"/>
          </w:rPr>
          <w:t xml:space="preserve">According to a study by </w:t>
        </w:r>
        <w:proofErr w:type="spellStart"/>
        <w:r>
          <w:rPr>
            <w:rStyle w:val="Hyperlink1"/>
            <w:rFonts w:ascii="Times New Roman" w:hAnsi="Times New Roman"/>
            <w:sz w:val="24"/>
            <w:szCs w:val="24"/>
          </w:rPr>
          <w:t>Payoneer</w:t>
        </w:r>
        <w:proofErr w:type="spellEnd"/>
      </w:hyperlink>
      <w:r>
        <w:rPr>
          <w:rFonts w:ascii="Times New Roman" w:hAnsi="Times New Roman"/>
          <w:sz w:val="24"/>
          <w:szCs w:val="24"/>
        </w:rPr>
        <w:t>, a global payment platform for freelancers, Bangladesh earned $474 million from freelancing in 2020, ranking sixth in the world (The Daily Star, July 27, 2021). However, freelancing also faces some challenges due to the foreign exchange regulations and transaction guidelines in Bangladesh.</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One of the main challenges is the restriction on receiving and transferring funds in foreign currency. According to the FERA and GEFT, no person in Bangladesh can buy or sell foreign exchange without obtaining permission from the Bangladesh Bank (Bangladesh Bank, 1947). This means that freelancers cannot receive payments from their clients or pay for their expenses in foreign currency through online platforms like PayPal</w:t>
      </w:r>
      <w:r>
        <w:rPr>
          <w:rStyle w:val="None"/>
          <w:rFonts w:ascii="Times New Roman" w:eastAsia="Times New Roman" w:hAnsi="Times New Roman" w:cs="Times New Roman"/>
          <w:sz w:val="24"/>
          <w:szCs w:val="24"/>
          <w:vertAlign w:val="superscript"/>
        </w:rPr>
        <w:footnoteReference w:id="2"/>
      </w:r>
      <w:r>
        <w:rPr>
          <w:rStyle w:val="None"/>
          <w:rFonts w:ascii="Times New Roman" w:hAnsi="Times New Roman"/>
          <w:sz w:val="24"/>
          <w:szCs w:val="24"/>
        </w:rPr>
        <w:t xml:space="preserve">, </w:t>
      </w:r>
      <w:proofErr w:type="spellStart"/>
      <w:r>
        <w:rPr>
          <w:rStyle w:val="None"/>
          <w:rFonts w:ascii="Times New Roman" w:hAnsi="Times New Roman"/>
          <w:sz w:val="24"/>
          <w:szCs w:val="24"/>
        </w:rPr>
        <w:t>Payoneer</w:t>
      </w:r>
      <w:proofErr w:type="spellEnd"/>
      <w:r>
        <w:rPr>
          <w:rStyle w:val="None"/>
          <w:rFonts w:ascii="Times New Roman" w:eastAsia="Times New Roman" w:hAnsi="Times New Roman" w:cs="Times New Roman"/>
          <w:sz w:val="24"/>
          <w:szCs w:val="24"/>
          <w:vertAlign w:val="superscript"/>
        </w:rPr>
        <w:footnoteReference w:id="3"/>
      </w:r>
      <w:r>
        <w:rPr>
          <w:rStyle w:val="None"/>
          <w:rFonts w:ascii="Times New Roman" w:hAnsi="Times New Roman"/>
          <w:sz w:val="24"/>
          <w:szCs w:val="24"/>
        </w:rPr>
        <w:t>, etc. They have to rely on alternative methods such as bank transfers, mobile wallets, or cash transactions, which are often costly, time-consuming, and risky.</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Another challenge is the limitation on purchasing software, web applications, technical products, and services that are essential for freelancing. Many of these products and services are not available or affordable in Bangladesh and require payment in foreign currency. For example, a graphic designer may need to buy Adobe Photoshop or Illustrator licenses, a web developer may need to buy domain names or hosting services, a content writer may need to buy Grammarly</w:t>
      </w:r>
      <w:r>
        <w:rPr>
          <w:rStyle w:val="None"/>
          <w:rFonts w:ascii="Times New Roman" w:eastAsia="Times New Roman" w:hAnsi="Times New Roman" w:cs="Times New Roman"/>
          <w:sz w:val="24"/>
          <w:szCs w:val="24"/>
          <w:vertAlign w:val="superscript"/>
        </w:rPr>
        <w:footnoteReference w:id="4"/>
      </w:r>
      <w:r>
        <w:rPr>
          <w:rStyle w:val="None"/>
          <w:rFonts w:ascii="Times New Roman" w:hAnsi="Times New Roman"/>
          <w:sz w:val="24"/>
          <w:szCs w:val="24"/>
        </w:rPr>
        <w:t xml:space="preserve"> or </w:t>
      </w:r>
      <w:proofErr w:type="spellStart"/>
      <w:r>
        <w:rPr>
          <w:rStyle w:val="None"/>
          <w:rFonts w:ascii="Times New Roman" w:hAnsi="Times New Roman"/>
          <w:sz w:val="24"/>
          <w:szCs w:val="24"/>
        </w:rPr>
        <w:t>Quilbot</w:t>
      </w:r>
      <w:proofErr w:type="spellEnd"/>
      <w:r>
        <w:rPr>
          <w:rStyle w:val="None"/>
          <w:rFonts w:ascii="Times New Roman" w:eastAsia="Times New Roman" w:hAnsi="Times New Roman" w:cs="Times New Roman"/>
          <w:sz w:val="24"/>
          <w:szCs w:val="24"/>
          <w:vertAlign w:val="superscript"/>
        </w:rPr>
        <w:footnoteReference w:id="5"/>
      </w:r>
      <w:r>
        <w:rPr>
          <w:rStyle w:val="None"/>
          <w:rFonts w:ascii="Times New Roman" w:hAnsi="Times New Roman"/>
          <w:sz w:val="24"/>
          <w:szCs w:val="24"/>
        </w:rPr>
        <w:t xml:space="preserve"> subscriptions, etc. However, due to foreign exchange regulations and transaction guidelines, freelancers cannot buy these products and services directly from the providers or online marketplaces. They have to use intermediaries such as friends, relatives, or agents who have access to foreign currency accounts or cards.</w:t>
      </w:r>
    </w:p>
    <w:p w:rsidR="009A35B1" w:rsidRDefault="001838EA">
      <w:pPr>
        <w:pStyle w:val="Body"/>
        <w:spacing w:line="300" w:lineRule="auto"/>
        <w:jc w:val="both"/>
        <w:rPr>
          <w:rStyle w:val="None"/>
          <w:rFonts w:ascii="Times New Roman" w:hAnsi="Times New Roman"/>
          <w:sz w:val="24"/>
          <w:szCs w:val="24"/>
        </w:rPr>
      </w:pPr>
      <w:r>
        <w:rPr>
          <w:rStyle w:val="None"/>
          <w:rFonts w:ascii="Times New Roman" w:hAnsi="Times New Roman"/>
          <w:sz w:val="24"/>
          <w:szCs w:val="24"/>
        </w:rPr>
        <w:t>A third challenge is the difficulty in scaling up their business and expanding their market. Freelancers often need to invest in their professional development and growth by acquiring new skills, upgrading their equipment, hiring assistants, etc. Also, freelancers are finding it difficult to scale up their business since the money transfer system doesn't allow them to initiate transactions in online marketplaces like Upwork</w:t>
      </w:r>
      <w:r>
        <w:rPr>
          <w:rStyle w:val="None"/>
          <w:rFonts w:ascii="Times New Roman" w:eastAsia="Times New Roman" w:hAnsi="Times New Roman" w:cs="Times New Roman"/>
          <w:sz w:val="24"/>
          <w:szCs w:val="24"/>
          <w:vertAlign w:val="superscript"/>
        </w:rPr>
        <w:footnoteReference w:id="6"/>
      </w:r>
      <w:r>
        <w:rPr>
          <w:rStyle w:val="None"/>
          <w:rFonts w:ascii="Times New Roman" w:hAnsi="Times New Roman"/>
          <w:sz w:val="24"/>
          <w:szCs w:val="24"/>
          <w:lang w:val="nl-NL"/>
        </w:rPr>
        <w:t>, Freelancers</w:t>
      </w:r>
      <w:r>
        <w:rPr>
          <w:rStyle w:val="None"/>
          <w:rFonts w:ascii="Times New Roman" w:eastAsia="Times New Roman" w:hAnsi="Times New Roman" w:cs="Times New Roman"/>
          <w:sz w:val="24"/>
          <w:szCs w:val="24"/>
          <w:vertAlign w:val="superscript"/>
        </w:rPr>
        <w:footnoteReference w:id="7"/>
      </w:r>
      <w:r>
        <w:rPr>
          <w:rStyle w:val="None"/>
          <w:rFonts w:ascii="Times New Roman" w:hAnsi="Times New Roman"/>
          <w:sz w:val="24"/>
          <w:szCs w:val="24"/>
        </w:rPr>
        <w:t xml:space="preserve"> , </w:t>
      </w:r>
      <w:r>
        <w:rPr>
          <w:rStyle w:val="None"/>
          <w:rFonts w:ascii="Times New Roman" w:hAnsi="Times New Roman"/>
          <w:sz w:val="24"/>
          <w:szCs w:val="24"/>
          <w:lang w:val="de-DE"/>
        </w:rPr>
        <w:t>or Fiverr</w:t>
      </w:r>
      <w:r>
        <w:rPr>
          <w:rStyle w:val="None"/>
          <w:rFonts w:ascii="Times New Roman" w:eastAsia="Times New Roman" w:hAnsi="Times New Roman" w:cs="Times New Roman"/>
          <w:sz w:val="24"/>
          <w:szCs w:val="24"/>
          <w:vertAlign w:val="superscript"/>
        </w:rPr>
        <w:footnoteReference w:id="8"/>
      </w:r>
      <w:r>
        <w:rPr>
          <w:rStyle w:val="None"/>
          <w:rFonts w:ascii="Times New Roman" w:hAnsi="Times New Roman"/>
          <w:sz w:val="24"/>
          <w:szCs w:val="24"/>
        </w:rPr>
        <w:t xml:space="preserve"> to purchase services. They also need to access new clients and markets by creating portfolios, bidding for projects, joining networks, etc. However, due to foreign exchange regulations and transaction guidelines, freelancers cannot access many of the online resources and platforms that can help them achieve these goals. They have to use local or limited options that may not meet their needs or expectations. </w:t>
      </w:r>
    </w:p>
    <w:p w:rsidR="00197BDE" w:rsidRPr="006702FC" w:rsidRDefault="00197BDE" w:rsidP="006702FC">
      <w:pPr>
        <w:pStyle w:val="Body"/>
        <w:jc w:val="both"/>
        <w:rPr>
          <w:rStyle w:val="None"/>
          <w:rFonts w:ascii="Times New Roman" w:hAnsi="Times New Roman" w:cs="Times New Roman"/>
          <w:sz w:val="24"/>
          <w:szCs w:val="24"/>
        </w:rPr>
      </w:pPr>
      <w:r w:rsidRPr="006702FC">
        <w:rPr>
          <w:rStyle w:val="None"/>
        </w:rPr>
        <w:t xml:space="preserve">The total export of service in Bangladesh in FY 2024 was USD700 Million in 2024. Here is a graphical presentation of </w:t>
      </w:r>
      <w:r w:rsidRPr="006702FC">
        <w:rPr>
          <w:rStyle w:val="None"/>
          <w:rFonts w:ascii="Times New Roman" w:hAnsi="Times New Roman"/>
          <w:sz w:val="24"/>
          <w:szCs w:val="24"/>
        </w:rPr>
        <w:t>IT and IT enables Services ‘export</w:t>
      </w:r>
      <w:r w:rsidRPr="006702FC">
        <w:rPr>
          <w:rStyle w:val="None"/>
        </w:rPr>
        <w:t xml:space="preserve"> growth. </w:t>
      </w:r>
      <w:r w:rsidRPr="006702FC">
        <w:rPr>
          <w:rStyle w:val="None"/>
          <w:rFonts w:ascii="Times New Roman" w:hAnsi="Times New Roman"/>
          <w:sz w:val="24"/>
          <w:szCs w:val="24"/>
        </w:rPr>
        <w:t xml:space="preserve">The graph illustrates the trend of IT and IT-enabled services (ITES) exports measured in USD million from 2005 to 2024. Export earnings were relatively low in the early years, remaining below USD 100 million until 2007, but began to rise steadily from 2008 onward as the sector expanded. A strong growth phase is visible between 2009 and 2011, when exports increased sharply, reflecting improved digital infrastructure and growing global demand for outsourcing services. Although there were some fluctuations during 2012–2014, the overall trend remained upward, indicating gradual consolidation of the industry. Exports reached a notable peak around 2016–2018, exceeding USD 600 million, before experiencing a temporary decline in 2019–2020, likely due to global economic disruptions and the COVID-19 pandemic. After 2020, IT and ITES exports rebounded </w:t>
      </w:r>
      <w:r w:rsidRPr="006702FC">
        <w:rPr>
          <w:rStyle w:val="None"/>
          <w:rFonts w:ascii="Times New Roman" w:hAnsi="Times New Roman"/>
          <w:sz w:val="24"/>
          <w:szCs w:val="24"/>
        </w:rPr>
        <w:lastRenderedPageBreak/>
        <w:t xml:space="preserve">strongly, reaching their highest levels during 2022–2024, which highlights the sector’s resilience and its increasing importance as </w:t>
      </w:r>
      <w:r w:rsidRPr="006702FC">
        <w:rPr>
          <w:rStyle w:val="None"/>
          <w:rFonts w:ascii="Times New Roman" w:hAnsi="Times New Roman" w:cs="Times New Roman"/>
          <w:sz w:val="24"/>
          <w:szCs w:val="24"/>
        </w:rPr>
        <w:t xml:space="preserve">a source of foreign exchange earnings. </w:t>
      </w:r>
    </w:p>
    <w:p w:rsidR="00197BDE" w:rsidRPr="006702FC" w:rsidRDefault="00197BDE" w:rsidP="006702FC">
      <w:pPr>
        <w:pStyle w:val="Body"/>
        <w:jc w:val="both"/>
        <w:rPr>
          <w:rStyle w:val="None"/>
        </w:rPr>
      </w:pPr>
      <w:r w:rsidRPr="006702FC">
        <w:rPr>
          <w:rStyle w:val="None"/>
        </w:rPr>
        <w:t xml:space="preserve">The export trend of IT and IT-Enabled Services (ITES) in Bangladesh is characterized by a high-growth trajectory that is currently navigating a critical "scaling" phase. Over the last decade, the sector has transitioned from a small, local-focused market into a significant foreign exchange earner, reaching approximately 702 million in annual revenue (when including unofficial freelancer earnings), with a target of $5 billion in the near future. </w:t>
      </w:r>
    </w:p>
    <w:p w:rsidR="00197BDE" w:rsidRDefault="00197BDE" w:rsidP="006702FC">
      <w:pPr>
        <w:pStyle w:val="Caption"/>
        <w:spacing w:after="0"/>
      </w:pPr>
      <w:r w:rsidRPr="006702FC">
        <w:rPr>
          <w:sz w:val="24"/>
          <w:szCs w:val="24"/>
        </w:rPr>
        <w:t xml:space="preserve">Figure </w:t>
      </w:r>
      <w:r w:rsidRPr="006702FC">
        <w:rPr>
          <w:sz w:val="24"/>
          <w:szCs w:val="24"/>
        </w:rPr>
        <w:fldChar w:fldCharType="begin"/>
      </w:r>
      <w:r w:rsidRPr="006702FC">
        <w:rPr>
          <w:sz w:val="24"/>
          <w:szCs w:val="24"/>
        </w:rPr>
        <w:instrText xml:space="preserve"> SEQ Figure \* ARABIC </w:instrText>
      </w:r>
      <w:r w:rsidRPr="006702FC">
        <w:rPr>
          <w:sz w:val="24"/>
          <w:szCs w:val="24"/>
        </w:rPr>
        <w:fldChar w:fldCharType="separate"/>
      </w:r>
      <w:r w:rsidRPr="006702FC">
        <w:rPr>
          <w:noProof/>
          <w:sz w:val="24"/>
          <w:szCs w:val="24"/>
        </w:rPr>
        <w:t>2</w:t>
      </w:r>
      <w:r w:rsidRPr="006702FC">
        <w:rPr>
          <w:sz w:val="24"/>
          <w:szCs w:val="24"/>
        </w:rPr>
        <w:fldChar w:fldCharType="end"/>
      </w:r>
      <w:r w:rsidRPr="006702FC">
        <w:rPr>
          <w:sz w:val="24"/>
          <w:szCs w:val="24"/>
        </w:rPr>
        <w:t xml:space="preserve"> Export of IT &amp; ITES Services </w:t>
      </w:r>
      <w:r w:rsidR="00C24CAB">
        <w:rPr>
          <w:sz w:val="24"/>
          <w:szCs w:val="24"/>
        </w:rPr>
        <w:t>i</w:t>
      </w:r>
      <w:r w:rsidRPr="006702FC">
        <w:rPr>
          <w:sz w:val="24"/>
          <w:szCs w:val="24"/>
        </w:rPr>
        <w:t>n USD Million</w:t>
      </w:r>
    </w:p>
    <w:p w:rsidR="00197BDE" w:rsidRDefault="005A1F6C" w:rsidP="006702FC">
      <w:pPr>
        <w:pStyle w:val="NoSpacing"/>
      </w:pPr>
      <w:r>
        <w:rPr>
          <w:noProof/>
          <w:lang w:val="en-GB" w:eastAsia="en-GB" w:bidi="bn-BD"/>
        </w:rPr>
        <w:drawing>
          <wp:inline distT="0" distB="0" distL="0" distR="0">
            <wp:extent cx="6057900" cy="2522220"/>
            <wp:effectExtent l="0" t="0" r="0" b="11430"/>
            <wp:docPr id="1" name="Chart 1">
              <a:extLst xmlns:a="http://schemas.openxmlformats.org/drawingml/2006/main">
                <a:ext uri="{FF2B5EF4-FFF2-40B4-BE49-F238E27FC236}">
                  <a16:creationId xmlns:a16="http://schemas.microsoft.com/office/drawing/2014/main" id="{D5996946-FC58-4EA5-8F41-9AD02E023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7629B" w:rsidRDefault="002A522F">
      <w:pPr>
        <w:pStyle w:val="Body"/>
        <w:spacing w:after="0" w:line="300" w:lineRule="auto"/>
        <w:jc w:val="both"/>
        <w:rPr>
          <w:rStyle w:val="None"/>
          <w:rFonts w:ascii="Times New Roman" w:hAnsi="Times New Roman"/>
          <w:b/>
          <w:bCs/>
          <w:i/>
          <w:iCs/>
          <w:sz w:val="24"/>
          <w:szCs w:val="24"/>
        </w:rPr>
      </w:pPr>
      <w:r>
        <w:rPr>
          <w:rFonts w:ascii="Times New Roman" w:eastAsia="Times New Roman" w:hAnsi="Times New Roman" w:cs="Times New Roman"/>
          <w:sz w:val="24"/>
          <w:szCs w:val="24"/>
        </w:rPr>
        <w:t>Source</w:t>
      </w:r>
      <w:r w:rsidR="00844370">
        <w:rPr>
          <w:rFonts w:ascii="Times New Roman" w:eastAsia="Times New Roman" w:hAnsi="Times New Roman" w:cs="Times New Roman"/>
          <w:sz w:val="24"/>
          <w:szCs w:val="24"/>
        </w:rPr>
        <w:t>: ITC,</w:t>
      </w:r>
      <w:r w:rsidR="0062340A">
        <w:rPr>
          <w:rFonts w:ascii="Times New Roman" w:eastAsia="Times New Roman" w:hAnsi="Times New Roman" w:cs="Times New Roman"/>
          <w:sz w:val="24"/>
          <w:szCs w:val="24"/>
        </w:rPr>
        <w:t xml:space="preserve"> Export </w:t>
      </w:r>
      <w:proofErr w:type="spellStart"/>
      <w:r w:rsidR="0062340A">
        <w:rPr>
          <w:rFonts w:ascii="Times New Roman" w:eastAsia="Times New Roman" w:hAnsi="Times New Roman" w:cs="Times New Roman"/>
          <w:sz w:val="24"/>
          <w:szCs w:val="24"/>
        </w:rPr>
        <w:t>ot</w:t>
      </w:r>
      <w:proofErr w:type="spellEnd"/>
      <w:r w:rsidR="00844370">
        <w:rPr>
          <w:rFonts w:ascii="Times New Roman" w:eastAsia="Times New Roman" w:hAnsi="Times New Roman" w:cs="Times New Roman"/>
          <w:sz w:val="24"/>
          <w:szCs w:val="24"/>
        </w:rPr>
        <w:t xml:space="preserve"> </w:t>
      </w:r>
      <w:r w:rsidR="00844370" w:rsidRPr="00844370">
        <w:rPr>
          <w:rFonts w:ascii="Times New Roman" w:eastAsia="Times New Roman" w:hAnsi="Times New Roman" w:cs="Times New Roman"/>
          <w:sz w:val="24"/>
          <w:szCs w:val="24"/>
        </w:rPr>
        <w:t>Telecommunications, computer, and information services</w:t>
      </w:r>
      <w:r w:rsidR="00844370">
        <w:rPr>
          <w:rFonts w:ascii="Times New Roman" w:eastAsia="Times New Roman" w:hAnsi="Times New Roman" w:cs="Times New Roman"/>
          <w:sz w:val="24"/>
          <w:szCs w:val="24"/>
        </w:rPr>
        <w:t xml:space="preserve">, </w:t>
      </w:r>
      <w:r w:rsidR="0062340A">
        <w:rPr>
          <w:rFonts w:ascii="Times New Roman" w:eastAsia="Times New Roman" w:hAnsi="Times New Roman" w:cs="Times New Roman"/>
          <w:sz w:val="24"/>
          <w:szCs w:val="24"/>
        </w:rPr>
        <w:t xml:space="preserve">2025. </w:t>
      </w:r>
    </w:p>
    <w:p w:rsidR="00197BDE" w:rsidRDefault="001838EA" w:rsidP="006702FC">
      <w:pPr>
        <w:pStyle w:val="Body"/>
        <w:spacing w:after="0" w:line="300" w:lineRule="auto"/>
        <w:jc w:val="both"/>
        <w:rPr>
          <w:rStyle w:val="None"/>
          <w:rFonts w:ascii="Times New Roman" w:eastAsia="Times New Roman" w:hAnsi="Times New Roman" w:cs="Times New Roman"/>
          <w:i/>
          <w:iCs/>
          <w:color w:val="auto"/>
          <w:sz w:val="24"/>
          <w:szCs w:val="24"/>
        </w:rPr>
      </w:pPr>
      <w:r>
        <w:rPr>
          <w:rStyle w:val="None"/>
          <w:rFonts w:ascii="Times New Roman" w:hAnsi="Times New Roman"/>
          <w:b/>
          <w:bCs/>
          <w:i/>
          <w:iCs/>
          <w:sz w:val="24"/>
          <w:szCs w:val="24"/>
        </w:rPr>
        <w:t>E-commerce and F-commerce</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E-commerce and f-commerce are forms of online commerce that allow individuals and businesses to buy and sell goods and services through the Internet. E-commerce and f-commerce have been growing rapidly in Bangladesh for the last few years, as they provide convenience, variety, and affordability for consumers and sellers. According to a report by e-CAB, the apex trade body of e-commerce in Bangladesh, the e-commerce market size in Bangladesh was estimated at $2.5 billion in 2020, with over 50, 000 e-commerce platforms operating in the country (The Business Standard, September 08, 2021). The most popular categories of e-commerce and f-commerce in Bangladesh are fashion, electronics, groceries, healthcare, education, travel, etc.</w:t>
      </w:r>
      <w:r>
        <w:rPr>
          <w:rStyle w:val="None"/>
          <w:rFonts w:ascii="Times New Roman" w:hAnsi="Times New Roman"/>
          <w:sz w:val="24"/>
          <w:szCs w:val="24"/>
          <w:shd w:val="clear" w:color="auto" w:fill="FFFFFF"/>
        </w:rPr>
        <w:t xml:space="preserve"> </w:t>
      </w:r>
      <w:r>
        <w:rPr>
          <w:rFonts w:ascii="Times New Roman" w:hAnsi="Times New Roman"/>
          <w:sz w:val="24"/>
          <w:szCs w:val="24"/>
        </w:rPr>
        <w:t>The prospects of e-commerce and f-commerce in Bangladesh are promising, as the demand for online shopping is increasing due to the COVID-19 pandemic and the digital transformation of the economy. E-commerce and f-commerce can help Bangladesh to create more jobs, especially for the micro, small, and medium enterprises (MSMEs), which account for 99% of all businesses in the country (</w:t>
      </w:r>
      <w:proofErr w:type="spellStart"/>
      <w:r>
        <w:rPr>
          <w:rFonts w:ascii="Times New Roman" w:hAnsi="Times New Roman"/>
          <w:sz w:val="24"/>
          <w:szCs w:val="24"/>
        </w:rPr>
        <w:t>Banga</w:t>
      </w:r>
      <w:proofErr w:type="spellEnd"/>
      <w:r>
        <w:rPr>
          <w:rFonts w:ascii="Times New Roman" w:hAnsi="Times New Roman"/>
          <w:sz w:val="24"/>
          <w:szCs w:val="24"/>
        </w:rPr>
        <w:t xml:space="preserve"> &amp; Mendez-Parra, 2021). E-commerce and F-commerce can also help Bangladesh earn more foreign exchange earnings by exporting products to international customers. According to ADB</w:t>
      </w:r>
      <w:r>
        <w:rPr>
          <w:rFonts w:ascii="Times New Roman" w:hAnsi="Times New Roman"/>
          <w:sz w:val="24"/>
          <w:szCs w:val="24"/>
          <w:lang w:val="da-DK"/>
        </w:rPr>
        <w:t>, Bangladesh</w:t>
      </w:r>
      <w:r>
        <w:rPr>
          <w:rFonts w:ascii="Times New Roman" w:hAnsi="Times New Roman"/>
          <w:sz w:val="24"/>
          <w:szCs w:val="24"/>
          <w:rtl/>
        </w:rPr>
        <w:t>’</w:t>
      </w:r>
      <w:r>
        <w:rPr>
          <w:rFonts w:ascii="Times New Roman" w:hAnsi="Times New Roman"/>
          <w:sz w:val="24"/>
          <w:szCs w:val="24"/>
        </w:rPr>
        <w:t xml:space="preserve">s e-commerce market is to </w:t>
      </w:r>
      <w:r>
        <w:rPr>
          <w:rFonts w:ascii="Times New Roman" w:hAnsi="Times New Roman"/>
          <w:sz w:val="24"/>
          <w:szCs w:val="24"/>
        </w:rPr>
        <w:lastRenderedPageBreak/>
        <w:t>triple by 2023, expecting $3 billion worth of products through e-commerce and f-commerce platforms (Dhaka Tribune, February 26, 2022). However, e-commerce and f-commerce also face some challenges due to the foreign exchange regulations and transaction guidelines in Bangladesh.</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One of the main challenges is the restriction on importing and exporting goods and services in foreign currency. According to the FERA and GEFT, E-commerce and F-commerce platforms cannot accept or process payments from foreign customers or pay for foreign vendors in foreign currency through online payment gateways like PayPal, Stripe, etc. They have to use alternative methods such as bank transfers, mobile wallets, or cash on delivery, which are often costly, time-consuming, and risky.</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Another challenge is the high taxation rates and duties on imported goods and services. According to the National Board of Revenue (NBR), imported goods and services are subject to various taxes and duties such as customs duty, value-added tax (VAT), supplementary duty (SD), advance income tax (AIT), advance trade VAT (ATV), regulatory duty (RD), etc. These taxes and duties increase the cost of imported goods and services and reduce the competitiveness of e-commerce and f-commerce platforms in the market. They also create incentives for tax evasion and smuggling of goods.</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A third challenge is the lack of access to online business support and solutions from international marketplaces. Many e-commerce and f-commerce platforms need to use online resources and tools that can help them improve their operations, marketing, customer service, etc. For example, an e-commerce platform may need to use Shopify</w:t>
      </w:r>
      <w:r>
        <w:rPr>
          <w:rStyle w:val="None"/>
          <w:rFonts w:ascii="Times New Roman" w:eastAsia="Times New Roman" w:hAnsi="Times New Roman" w:cs="Times New Roman"/>
          <w:sz w:val="24"/>
          <w:szCs w:val="24"/>
          <w:vertAlign w:val="superscript"/>
        </w:rPr>
        <w:footnoteReference w:id="9"/>
      </w:r>
      <w:r>
        <w:rPr>
          <w:rStyle w:val="None"/>
          <w:rFonts w:ascii="Times New Roman" w:hAnsi="Times New Roman"/>
          <w:sz w:val="24"/>
          <w:szCs w:val="24"/>
        </w:rPr>
        <w:t xml:space="preserve"> or WooCommerce</w:t>
      </w:r>
      <w:r>
        <w:rPr>
          <w:rStyle w:val="None"/>
          <w:rFonts w:ascii="Times New Roman" w:eastAsia="Times New Roman" w:hAnsi="Times New Roman" w:cs="Times New Roman"/>
          <w:sz w:val="24"/>
          <w:szCs w:val="24"/>
          <w:vertAlign w:val="superscript"/>
        </w:rPr>
        <w:footnoteReference w:id="10"/>
      </w:r>
      <w:r>
        <w:rPr>
          <w:rStyle w:val="None"/>
          <w:rFonts w:ascii="Times New Roman" w:hAnsi="Times New Roman"/>
          <w:sz w:val="24"/>
          <w:szCs w:val="24"/>
        </w:rPr>
        <w:t xml:space="preserve"> to create an online store, Google Ads</w:t>
      </w:r>
      <w:r>
        <w:rPr>
          <w:rStyle w:val="None"/>
          <w:rFonts w:ascii="Times New Roman" w:eastAsia="Times New Roman" w:hAnsi="Times New Roman" w:cs="Times New Roman"/>
          <w:sz w:val="24"/>
          <w:szCs w:val="24"/>
          <w:vertAlign w:val="superscript"/>
        </w:rPr>
        <w:footnoteReference w:id="11"/>
      </w:r>
      <w:r>
        <w:rPr>
          <w:rStyle w:val="None"/>
          <w:rFonts w:ascii="Times New Roman" w:hAnsi="Times New Roman"/>
          <w:sz w:val="24"/>
          <w:szCs w:val="24"/>
        </w:rPr>
        <w:t xml:space="preserve"> , </w:t>
      </w:r>
      <w:r>
        <w:rPr>
          <w:rStyle w:val="None"/>
          <w:rFonts w:ascii="Times New Roman" w:hAnsi="Times New Roman"/>
          <w:sz w:val="24"/>
          <w:szCs w:val="24"/>
          <w:lang w:val="nl-NL"/>
        </w:rPr>
        <w:t>or Facebook Ads</w:t>
      </w:r>
      <w:r>
        <w:rPr>
          <w:rStyle w:val="None"/>
          <w:rFonts w:ascii="Times New Roman" w:eastAsia="Times New Roman" w:hAnsi="Times New Roman" w:cs="Times New Roman"/>
          <w:sz w:val="24"/>
          <w:szCs w:val="24"/>
          <w:vertAlign w:val="superscript"/>
        </w:rPr>
        <w:footnoteReference w:id="12"/>
      </w:r>
      <w:r>
        <w:rPr>
          <w:rStyle w:val="None"/>
          <w:rFonts w:ascii="Times New Roman" w:hAnsi="Times New Roman"/>
          <w:sz w:val="24"/>
          <w:szCs w:val="24"/>
        </w:rPr>
        <w:t xml:space="preserve"> to promote their products and provide customer support, etc. However, due to foreign exchange regulations and transaction guidelines, e-commerce and f-commerce platforms cannot purchase these resources and tools directly from providers or online marketplaces. They have to use intermediaries such as friends, relatives, or agents who have access to foreign currency accounts or cards.</w:t>
      </w:r>
    </w:p>
    <w:p w:rsidR="009A35B1" w:rsidRDefault="001838EA">
      <w:pPr>
        <w:pStyle w:val="Body"/>
        <w:spacing w:line="300" w:lineRule="auto"/>
        <w:jc w:val="both"/>
        <w:rPr>
          <w:rStyle w:val="None"/>
          <w:rFonts w:ascii="Times New Roman" w:eastAsia="Times New Roman" w:hAnsi="Times New Roman" w:cs="Times New Roman"/>
          <w:b/>
          <w:bCs/>
          <w:i/>
          <w:iCs/>
          <w:sz w:val="24"/>
          <w:szCs w:val="24"/>
        </w:rPr>
      </w:pPr>
      <w:r>
        <w:rPr>
          <w:rStyle w:val="None"/>
          <w:rFonts w:ascii="Times New Roman" w:hAnsi="Times New Roman"/>
          <w:b/>
          <w:bCs/>
          <w:i/>
          <w:iCs/>
          <w:sz w:val="24"/>
          <w:szCs w:val="24"/>
        </w:rPr>
        <w:t>Fintech</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 xml:space="preserve">Fintech companies have managed to revolutionize the modern way of transferring money around the globe and empowering people to be their banks. The fintech market size in Bangladesh was </w:t>
      </w:r>
      <w:r>
        <w:rPr>
          <w:rFonts w:ascii="Times New Roman" w:hAnsi="Times New Roman"/>
          <w:sz w:val="24"/>
          <w:szCs w:val="24"/>
        </w:rPr>
        <w:lastRenderedPageBreak/>
        <w:t xml:space="preserve">estimated at $1.45 billion in 2022, with over 200 fintech companies operating in the country (Prove, January 12, 2022). The most popular categories of fintech in Bangladesh are mobile financial services, payment gateways, peer-to-peer lending, </w:t>
      </w:r>
      <w:proofErr w:type="spellStart"/>
      <w:r>
        <w:rPr>
          <w:rFonts w:ascii="Times New Roman" w:hAnsi="Times New Roman"/>
          <w:sz w:val="24"/>
          <w:szCs w:val="24"/>
        </w:rPr>
        <w:t>robo</w:t>
      </w:r>
      <w:proofErr w:type="spellEnd"/>
      <w:r>
        <w:rPr>
          <w:rFonts w:ascii="Times New Roman" w:hAnsi="Times New Roman"/>
          <w:sz w:val="24"/>
          <w:szCs w:val="24"/>
        </w:rPr>
        <w:t xml:space="preserve">-advisory, etc. with companies </w:t>
      </w:r>
      <w:r>
        <w:rPr>
          <w:rStyle w:val="None"/>
          <w:rFonts w:ascii="Times New Roman" w:hAnsi="Times New Roman"/>
          <w:sz w:val="24"/>
          <w:szCs w:val="24"/>
          <w:shd w:val="clear" w:color="auto" w:fill="FFFFFF"/>
        </w:rPr>
        <w:t xml:space="preserve">like </w:t>
      </w:r>
      <w:proofErr w:type="spellStart"/>
      <w:r>
        <w:rPr>
          <w:rStyle w:val="None"/>
          <w:rFonts w:ascii="Times New Roman" w:hAnsi="Times New Roman"/>
          <w:sz w:val="24"/>
          <w:szCs w:val="24"/>
          <w:shd w:val="clear" w:color="auto" w:fill="FFFFFF"/>
        </w:rPr>
        <w:t>Bkash</w:t>
      </w:r>
      <w:proofErr w:type="spellEnd"/>
      <w:r>
        <w:rPr>
          <w:rStyle w:val="None"/>
          <w:rFonts w:ascii="Times New Roman" w:eastAsia="Times New Roman" w:hAnsi="Times New Roman" w:cs="Times New Roman"/>
          <w:sz w:val="24"/>
          <w:szCs w:val="24"/>
          <w:shd w:val="clear" w:color="auto" w:fill="FFFFFF"/>
          <w:vertAlign w:val="superscript"/>
        </w:rPr>
        <w:footnoteReference w:id="13"/>
      </w:r>
      <w:r>
        <w:rPr>
          <w:rStyle w:val="None"/>
          <w:rFonts w:ascii="Times New Roman" w:hAnsi="Times New Roman"/>
          <w:sz w:val="24"/>
          <w:szCs w:val="24"/>
          <w:shd w:val="clear" w:color="auto" w:fill="FFFFFF"/>
        </w:rPr>
        <w:t xml:space="preserve">, </w:t>
      </w:r>
      <w:proofErr w:type="spellStart"/>
      <w:r>
        <w:rPr>
          <w:rStyle w:val="None"/>
          <w:rFonts w:ascii="Times New Roman" w:hAnsi="Times New Roman"/>
          <w:sz w:val="24"/>
          <w:szCs w:val="24"/>
          <w:shd w:val="clear" w:color="auto" w:fill="FFFFFF"/>
        </w:rPr>
        <w:t>Nagad</w:t>
      </w:r>
      <w:proofErr w:type="spellEnd"/>
      <w:r>
        <w:rPr>
          <w:rStyle w:val="None"/>
          <w:rFonts w:ascii="Times New Roman" w:eastAsia="Times New Roman" w:hAnsi="Times New Roman" w:cs="Times New Roman"/>
          <w:sz w:val="24"/>
          <w:szCs w:val="24"/>
          <w:shd w:val="clear" w:color="auto" w:fill="FFFFFF"/>
          <w:vertAlign w:val="superscript"/>
        </w:rPr>
        <w:footnoteReference w:id="14"/>
      </w:r>
      <w:r>
        <w:rPr>
          <w:rStyle w:val="None"/>
          <w:rFonts w:ascii="Times New Roman" w:hAnsi="Times New Roman"/>
          <w:sz w:val="24"/>
          <w:szCs w:val="24"/>
          <w:shd w:val="clear" w:color="auto" w:fill="FFFFFF"/>
        </w:rPr>
        <w:t>, and Rocket</w:t>
      </w:r>
      <w:r>
        <w:rPr>
          <w:rStyle w:val="None"/>
          <w:rFonts w:ascii="Times New Roman" w:eastAsia="Times New Roman" w:hAnsi="Times New Roman" w:cs="Times New Roman"/>
          <w:sz w:val="24"/>
          <w:szCs w:val="24"/>
          <w:shd w:val="clear" w:color="auto" w:fill="FFFFFF"/>
          <w:vertAlign w:val="superscript"/>
        </w:rPr>
        <w:footnoteReference w:id="15"/>
      </w:r>
      <w:r>
        <w:rPr>
          <w:rStyle w:val="None"/>
          <w:rFonts w:ascii="Times New Roman" w:hAnsi="Times New Roman"/>
          <w:sz w:val="24"/>
          <w:szCs w:val="24"/>
          <w:shd w:val="clear" w:color="auto" w:fill="FFFFFF"/>
        </w:rPr>
        <w:t xml:space="preserve"> flourishing in this space for a sustained period. </w:t>
      </w:r>
      <w:r>
        <w:rPr>
          <w:rFonts w:ascii="Times New Roman" w:hAnsi="Times New Roman"/>
          <w:sz w:val="24"/>
          <w:szCs w:val="24"/>
        </w:rPr>
        <w:t>The prospects of fintech in Bangladesh are promising, as the demand for digital financial services is increasing due to the COVID-19 pandemic and the digital transformation of the economy. Fintech can help Bangladesh to increase financial inclusion, especially for the unbanked and underbanked population, which accounts for 47% of the adult population (PwC, May 2023). According to a study by BCG, a global management consulting firm, fintech can potentially add $6.2 billion to Bangladesh</w:t>
      </w:r>
      <w:r>
        <w:rPr>
          <w:rFonts w:ascii="Times New Roman" w:hAnsi="Times New Roman"/>
          <w:sz w:val="24"/>
          <w:szCs w:val="24"/>
          <w:rtl/>
        </w:rPr>
        <w:t>’</w:t>
      </w:r>
      <w:r>
        <w:rPr>
          <w:rFonts w:ascii="Times New Roman" w:hAnsi="Times New Roman"/>
          <w:sz w:val="24"/>
          <w:szCs w:val="24"/>
        </w:rPr>
        <w:t>s GDP by 2025 (The Business Standard, April 20, 2022). However, fintech companies and their customers in Bangladesh face some challenges due to the foreign exchange regulations and transaction guidelines in Bangladesh.</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One of the main challenges is the lack of access to international payment gateways, credit cards, or digital wallets. According to the FERA and GEFT, fintech companies cannot operate or integrate their services with international platforms such as PayPal, </w:t>
      </w:r>
      <w:proofErr w:type="spellStart"/>
      <w:r>
        <w:rPr>
          <w:rStyle w:val="None"/>
          <w:rFonts w:ascii="Times New Roman" w:hAnsi="Times New Roman"/>
          <w:sz w:val="24"/>
          <w:szCs w:val="24"/>
        </w:rPr>
        <w:t>Payoneer</w:t>
      </w:r>
      <w:proofErr w:type="spellEnd"/>
      <w:r>
        <w:rPr>
          <w:rStyle w:val="None"/>
          <w:rFonts w:ascii="Times New Roman" w:hAnsi="Times New Roman"/>
          <w:sz w:val="24"/>
          <w:szCs w:val="24"/>
        </w:rPr>
        <w:t>, Western Union</w:t>
      </w:r>
      <w:r>
        <w:rPr>
          <w:rStyle w:val="None"/>
          <w:rFonts w:ascii="Times New Roman" w:eastAsia="Times New Roman" w:hAnsi="Times New Roman" w:cs="Times New Roman"/>
          <w:sz w:val="24"/>
          <w:szCs w:val="24"/>
          <w:vertAlign w:val="superscript"/>
        </w:rPr>
        <w:footnoteReference w:id="16"/>
      </w:r>
      <w:r>
        <w:rPr>
          <w:rStyle w:val="None"/>
          <w:rFonts w:ascii="Times New Roman" w:hAnsi="Times New Roman"/>
          <w:sz w:val="24"/>
          <w:szCs w:val="24"/>
        </w:rPr>
        <w:t>, etc. These platforms are widely used by millions of people around the world for online payment, money transfer, e-commerce, freelancing, etc. They also offer convenience, security, and low fees for their users. However, due to foreign exchange regulation and transaction guidelines, fintech companies and their customers in Bangladesh cannot use these platforms for their transactions. They have to use alternative methods such as bank transfers, mobile wallets, or cash transactions, which are often costly, time-consuming, and risky.</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Another challenge is the limitation on purchasing or selling goods and services from or to international e-commerce websites. Many fintech companies and their customers in Bangladesh want to buy or sell products from or to international e-commerce websites such as Amazon</w:t>
      </w:r>
      <w:r>
        <w:rPr>
          <w:rStyle w:val="None"/>
          <w:rFonts w:ascii="Times New Roman" w:eastAsia="Times New Roman" w:hAnsi="Times New Roman" w:cs="Times New Roman"/>
          <w:sz w:val="24"/>
          <w:szCs w:val="24"/>
          <w:vertAlign w:val="superscript"/>
        </w:rPr>
        <w:footnoteReference w:id="17"/>
      </w:r>
      <w:r>
        <w:rPr>
          <w:rStyle w:val="None"/>
          <w:rFonts w:ascii="Times New Roman" w:hAnsi="Times New Roman"/>
          <w:sz w:val="24"/>
          <w:szCs w:val="24"/>
        </w:rPr>
        <w:t>, eBay</w:t>
      </w:r>
      <w:r>
        <w:rPr>
          <w:rStyle w:val="None"/>
          <w:rFonts w:ascii="Times New Roman" w:eastAsia="Times New Roman" w:hAnsi="Times New Roman" w:cs="Times New Roman"/>
          <w:sz w:val="24"/>
          <w:szCs w:val="24"/>
          <w:vertAlign w:val="superscript"/>
        </w:rPr>
        <w:footnoteReference w:id="18"/>
      </w:r>
      <w:r>
        <w:rPr>
          <w:rStyle w:val="None"/>
          <w:rFonts w:ascii="Times New Roman" w:hAnsi="Times New Roman"/>
          <w:sz w:val="24"/>
          <w:szCs w:val="24"/>
        </w:rPr>
        <w:t>, AliExpress</w:t>
      </w:r>
      <w:r>
        <w:rPr>
          <w:rStyle w:val="None"/>
          <w:rFonts w:ascii="Times New Roman" w:eastAsia="Times New Roman" w:hAnsi="Times New Roman" w:cs="Times New Roman"/>
          <w:sz w:val="24"/>
          <w:szCs w:val="24"/>
          <w:vertAlign w:val="superscript"/>
        </w:rPr>
        <w:footnoteReference w:id="19"/>
      </w:r>
      <w:r>
        <w:rPr>
          <w:rStyle w:val="None"/>
          <w:rFonts w:ascii="Times New Roman" w:hAnsi="Times New Roman"/>
          <w:sz w:val="24"/>
          <w:szCs w:val="24"/>
        </w:rPr>
        <w:t xml:space="preserve">, etc. These websites offer a wide range of products at competitive prices and deliver them to the customers' doorstep. However, due to foreign exchange regulation and transaction guidelines, fintech companies and their customers in Bangladesh cannot purchase or </w:t>
      </w:r>
      <w:r>
        <w:rPr>
          <w:rStyle w:val="None"/>
          <w:rFonts w:ascii="Times New Roman" w:hAnsi="Times New Roman"/>
          <w:sz w:val="24"/>
          <w:szCs w:val="24"/>
        </w:rPr>
        <w:lastRenderedPageBreak/>
        <w:t>sell products from or to these websites using their preferred payment methods. They have to use intermediaries such as friends, relatives, or agents who have access to foreign currency accounts or cards. They also have to pay high taxes and duties on imported goods and services.</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A third challenge is the difficulty in expanding their market and reaching new customers. Fintech companies and their customers in Bangladesh want to access new markets and customers by offering their services across borders. They want to tap into the huge potential of the global fintech market, which is expected to reach $305 billion by 2025 (MIT Sloan, February 04, 2021). They also want to benefit from the network effects and economies of scale that come with a larger customer base. However, due to foreign exchange regulation and transaction guidelines, fintech companies and their customers in Bangladesh cannot expand their market and reach new customers easily. </w:t>
      </w:r>
    </w:p>
    <w:p w:rsidR="009A35B1" w:rsidRDefault="001838EA">
      <w:pPr>
        <w:pStyle w:val="Body"/>
        <w:spacing w:line="300" w:lineRule="auto"/>
        <w:jc w:val="both"/>
        <w:rPr>
          <w:rStyle w:val="None"/>
          <w:rFonts w:ascii="Times New Roman" w:eastAsia="Times New Roman" w:hAnsi="Times New Roman" w:cs="Times New Roman"/>
          <w:b/>
          <w:bCs/>
          <w:i/>
          <w:iCs/>
          <w:sz w:val="24"/>
          <w:szCs w:val="24"/>
        </w:rPr>
      </w:pPr>
      <w:r>
        <w:rPr>
          <w:rStyle w:val="None"/>
          <w:rFonts w:ascii="Times New Roman" w:hAnsi="Times New Roman"/>
          <w:b/>
          <w:bCs/>
          <w:i/>
          <w:iCs/>
          <w:sz w:val="24"/>
          <w:szCs w:val="24"/>
        </w:rPr>
        <w:t>Retail Investment in Global Financial Markets</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 xml:space="preserve">Investing in financial markets is a form of saving or allocating money for future returns. It involves buying and selling various financial assets such as stocks, bonds, currencies, commodities, etc. Investing in financial markets can help individuals and businesses to diversify their income sources, hedge against risks, and achieve their financial goals. </w:t>
      </w:r>
      <w:r>
        <w:rPr>
          <w:rStyle w:val="None"/>
          <w:rFonts w:ascii="Times New Roman" w:hAnsi="Times New Roman"/>
          <w:sz w:val="24"/>
          <w:szCs w:val="24"/>
          <w:u w:color="5B9BD5"/>
        </w:rPr>
        <w:t xml:space="preserve">The perspective of public investors can be categorized threefold. </w:t>
      </w:r>
      <w:r>
        <w:rPr>
          <w:rFonts w:ascii="Times New Roman" w:hAnsi="Times New Roman"/>
          <w:sz w:val="24"/>
          <w:szCs w:val="24"/>
        </w:rPr>
        <w:t xml:space="preserve">First, the exchange-traded financial instrument is an assurance of having long-term profit because it is designed to perform in the long run as only the best-performing companies are listed in it. Second, </w:t>
      </w:r>
      <w:r>
        <w:rPr>
          <w:rFonts w:ascii="Times New Roman" w:hAnsi="Times New Roman"/>
          <w:sz w:val="24"/>
          <w:szCs w:val="24"/>
          <w:lang w:val="fr-FR"/>
        </w:rPr>
        <w:t>exchange</w:t>
      </w:r>
      <w:r>
        <w:rPr>
          <w:rFonts w:ascii="Times New Roman" w:hAnsi="Times New Roman"/>
          <w:sz w:val="24"/>
          <w:szCs w:val="24"/>
        </w:rPr>
        <w:t>-traded</w:t>
      </w:r>
      <w:r>
        <w:rPr>
          <w:rFonts w:ascii="Times New Roman" w:hAnsi="Times New Roman"/>
          <w:sz w:val="24"/>
          <w:szCs w:val="24"/>
          <w:lang w:val="pt-PT"/>
        </w:rPr>
        <w:t xml:space="preserve"> financial instrument</w:t>
      </w:r>
      <w:r>
        <w:rPr>
          <w:rFonts w:ascii="Times New Roman" w:hAnsi="Times New Roman"/>
          <w:sz w:val="24"/>
          <w:szCs w:val="24"/>
        </w:rPr>
        <w:t xml:space="preserve">s act as an asset, inflation becomes a worth riser for it where bank interest loses valuation by fighting against inflation. </w:t>
      </w:r>
      <w:proofErr w:type="gramStart"/>
      <w:r>
        <w:rPr>
          <w:rFonts w:ascii="Times New Roman" w:hAnsi="Times New Roman"/>
          <w:sz w:val="24"/>
          <w:szCs w:val="24"/>
        </w:rPr>
        <w:t>So</w:t>
      </w:r>
      <w:proofErr w:type="gramEnd"/>
      <w:r>
        <w:rPr>
          <w:rFonts w:ascii="Times New Roman" w:hAnsi="Times New Roman"/>
          <w:sz w:val="24"/>
          <w:szCs w:val="24"/>
        </w:rPr>
        <w:t xml:space="preserve"> </w:t>
      </w:r>
      <w:r>
        <w:rPr>
          <w:rStyle w:val="None"/>
          <w:rFonts w:ascii="Times New Roman" w:hAnsi="Times New Roman"/>
          <w:sz w:val="24"/>
          <w:szCs w:val="24"/>
          <w:u w:color="5B9BD5"/>
        </w:rPr>
        <w:t>exchange traded instruments</w:t>
      </w:r>
      <w:r>
        <w:rPr>
          <w:rFonts w:ascii="Times New Roman" w:hAnsi="Times New Roman"/>
          <w:sz w:val="24"/>
          <w:szCs w:val="24"/>
        </w:rPr>
        <w:t xml:space="preserve"> almost every time stay ahead in the game of better return. Finally, it allows diversifying a portfolio as the listing gets time to time considering the performance graph. So public investors do not have to worry about whether their investment decisions are right or wrong. However, investing in financial markets in Bangladesh faces some challenges due to the foreign exchange regulations and transaction guidelines in Bangladesh.</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One of the main challenges is the lack of access to international financial markets. According to the FERA and GEFT, retail investors in Bangladesh cannot deposit money in international stock exchanges, buy bonds, foreign currencies, precious metals, commodities, real estate, etc. without prior approval from the central bank. They have to use alternative methods such as mutual funds, exchange-traded funds (ETFs), or foreign currency deposits (FCDs) that are offered by ADs or money changers. However, these methods are often limited in scope, availability, and performance.</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w:t>
      </w:r>
    </w:p>
    <w:p w:rsidR="00197BDE" w:rsidRPr="006702FC" w:rsidRDefault="0062340A" w:rsidP="006702FC">
      <w:pPr>
        <w:pStyle w:val="Heading2"/>
        <w:rPr>
          <w:rStyle w:val="None"/>
        </w:rPr>
      </w:pPr>
      <w:r>
        <w:rPr>
          <w:rStyle w:val="None"/>
        </w:rPr>
        <w:lastRenderedPageBreak/>
        <w:t xml:space="preserve">4. </w:t>
      </w:r>
      <w:r w:rsidR="00062D3A">
        <w:rPr>
          <w:rStyle w:val="None"/>
        </w:rPr>
        <w:t>Results</w:t>
      </w:r>
    </w:p>
    <w:p w:rsidR="0062340A" w:rsidRDefault="0062340A">
      <w:pPr>
        <w:spacing w:line="276" w:lineRule="auto"/>
        <w:jc w:val="both"/>
        <w:rPr>
          <w:rFonts w:eastAsiaTheme="minorEastAsia"/>
          <w:noProof/>
        </w:rPr>
      </w:pPr>
    </w:p>
    <w:p w:rsidR="00197BDE" w:rsidRDefault="009B7718" w:rsidP="006702FC">
      <w:pPr>
        <w:spacing w:line="276" w:lineRule="auto"/>
        <w:jc w:val="both"/>
      </w:pPr>
      <w:r w:rsidRPr="00521DF0">
        <w:rPr>
          <w:rFonts w:eastAsiaTheme="minorEastAsia"/>
          <w:noProof/>
        </w:rPr>
        <w:t xml:space="preserve">We have checkd export of services, FDI, Employment of services from 1995 to 2004 to explore the casual relationship between the dependent and independent variable. </w:t>
      </w:r>
    </w:p>
    <w:p w:rsidR="009B7718" w:rsidRPr="00521DF0" w:rsidRDefault="009B7718" w:rsidP="00B26629">
      <w:pPr>
        <w:spacing w:line="276" w:lineRule="auto"/>
        <w:rPr>
          <w:rFonts w:eastAsiaTheme="minorEastAsia"/>
          <w:noProof/>
        </w:rPr>
      </w:pPr>
      <m:oMathPara>
        <m:oMathParaPr>
          <m:jc m:val="left"/>
        </m:oMathParaPr>
        <m:oMath>
          <m:r>
            <w:rPr>
              <w:rFonts w:ascii="Cambria Math" w:hAnsi="Cambria Math"/>
              <w:noProof/>
            </w:rPr>
            <m:t>ln(Export)=</m:t>
          </m:r>
          <m:sSub>
            <m:sSubPr>
              <m:ctrlPr>
                <w:rPr>
                  <w:rFonts w:ascii="Cambria Math" w:hAnsi="Cambria Math"/>
                  <w:i/>
                  <w:noProof/>
                </w:rPr>
              </m:ctrlPr>
            </m:sSubPr>
            <m:e>
              <m:r>
                <w:rPr>
                  <w:rFonts w:ascii="Cambria Math" w:hAnsi="Cambria Math"/>
                  <w:noProof/>
                </w:rPr>
                <m:t>β</m:t>
              </m:r>
            </m:e>
            <m:sub>
              <m:r>
                <w:rPr>
                  <w:rFonts w:ascii="Cambria Math" w:hAnsi="Cambria Math"/>
                  <w:noProof/>
                </w:rPr>
                <m:t>0</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1</m:t>
              </m:r>
            </m:sub>
          </m:sSub>
          <m:r>
            <w:rPr>
              <w:rFonts w:ascii="Cambria Math" w:hAnsi="Cambria Math"/>
              <w:noProof/>
            </w:rPr>
            <m:t>Ex_serv+</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w:rPr>
              <w:rFonts w:ascii="Cambria Math" w:hAnsi="Cambria Math"/>
              <w:noProof/>
            </w:rPr>
            <m:t>CIPA+</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w:rPr>
              <w:rFonts w:ascii="Cambria Math" w:hAnsi="Cambria Math"/>
              <w:noProof/>
            </w:rPr>
            <m:t>Fdi+</m:t>
          </m:r>
          <m:sSub>
            <m:sSubPr>
              <m:ctrlPr>
                <w:rPr>
                  <w:rFonts w:ascii="Cambria Math" w:hAnsi="Cambria Math"/>
                  <w:i/>
                  <w:noProof/>
                </w:rPr>
              </m:ctrlPr>
            </m:sSubPr>
            <m:e>
              <m:r>
                <w:rPr>
                  <w:rFonts w:ascii="Cambria Math" w:hAnsi="Cambria Math"/>
                  <w:noProof/>
                </w:rPr>
                <m:t>β</m:t>
              </m:r>
            </m:e>
            <m:sub>
              <m:r>
                <w:rPr>
                  <w:rFonts w:ascii="Cambria Math" w:hAnsi="Cambria Math"/>
                  <w:noProof/>
                </w:rPr>
                <m:t>4</m:t>
              </m:r>
            </m:sub>
          </m:sSub>
          <m:r>
            <w:rPr>
              <w:rFonts w:ascii="Cambria Math" w:hAnsi="Cambria Math"/>
              <w:noProof/>
            </w:rPr>
            <m:t xml:space="preserve"> (ln_Excg)+</m:t>
          </m:r>
          <m:r>
            <w:rPr>
              <w:rFonts w:ascii="Cambria Math" w:hAnsi="Cambria Math"/>
            </w:rPr>
            <m:t>u</m:t>
          </m:r>
        </m:oMath>
      </m:oMathPara>
    </w:p>
    <w:p w:rsidR="009B7718" w:rsidRPr="00521DF0" w:rsidRDefault="00B26629" w:rsidP="00B26629">
      <w:pPr>
        <w:spacing w:line="276" w:lineRule="auto"/>
        <w:rPr>
          <w:rFonts w:eastAsiaTheme="minorEastAsia"/>
          <w:noProof/>
        </w:rPr>
      </w:pPr>
      <w:r>
        <w:rPr>
          <w:rFonts w:eastAsiaTheme="minorEastAsia"/>
          <w:noProof/>
        </w:rPr>
        <w:t xml:space="preserve">Where </w:t>
      </w:r>
    </w:p>
    <w:p w:rsidR="009B7718" w:rsidRPr="00521DF0" w:rsidRDefault="009B7718" w:rsidP="00B26629">
      <w:pPr>
        <w:spacing w:line="276" w:lineRule="auto"/>
        <w:rPr>
          <w:noProof/>
        </w:rPr>
      </w:pPr>
      <m:oMath>
        <m:r>
          <w:rPr>
            <w:rFonts w:ascii="Cambria Math" w:hAnsi="Cambria Math"/>
            <w:noProof/>
          </w:rPr>
          <m:t>ln(Export)=</m:t>
        </m:r>
      </m:oMath>
      <w:r w:rsidRPr="00521DF0">
        <w:rPr>
          <w:rFonts w:eastAsiaTheme="minorEastAsia"/>
          <w:noProof/>
        </w:rPr>
        <w:t xml:space="preserve"> Export of Bangladesh </w:t>
      </w:r>
    </w:p>
    <w:p w:rsidR="009B7718" w:rsidRPr="00521DF0" w:rsidRDefault="003337D3" w:rsidP="005E0606">
      <w:pPr>
        <w:spacing w:line="276" w:lineRule="auto"/>
        <w:rPr>
          <w:rFonts w:eastAsiaTheme="minorEastAsia"/>
          <w:noProof/>
        </w:rPr>
      </w:pPr>
      <m:oMath>
        <m:sSub>
          <m:sSubPr>
            <m:ctrlPr>
              <w:rPr>
                <w:rFonts w:ascii="Cambria Math" w:hAnsi="Cambria Math"/>
                <w:i/>
                <w:noProof/>
              </w:rPr>
            </m:ctrlPr>
          </m:sSubPr>
          <m:e>
            <m:r>
              <w:rPr>
                <w:rFonts w:ascii="Cambria Math" w:hAnsi="Cambria Math"/>
                <w:noProof/>
              </w:rPr>
              <m:t>β</m:t>
            </m:r>
          </m:e>
          <m:sub>
            <m:r>
              <w:rPr>
                <w:rFonts w:ascii="Cambria Math" w:hAnsi="Cambria Math"/>
                <w:noProof/>
              </w:rPr>
              <m:t>1</m:t>
            </m:r>
          </m:sub>
        </m:sSub>
        <m:r>
          <w:rPr>
            <w:rFonts w:ascii="Cambria Math" w:hAnsi="Cambria Math"/>
            <w:noProof/>
          </w:rPr>
          <m:t>Ex_serv)=</m:t>
        </m:r>
      </m:oMath>
      <w:r w:rsidR="009B7718" w:rsidRPr="00521DF0">
        <w:rPr>
          <w:rFonts w:eastAsiaTheme="minorEastAsia"/>
          <w:noProof/>
        </w:rPr>
        <w:t xml:space="preserve"> Export of IT and IT enabled services </w:t>
      </w:r>
    </w:p>
    <w:p w:rsidR="009B7718" w:rsidRPr="00521DF0" w:rsidRDefault="003337D3" w:rsidP="005E0606">
      <w:pPr>
        <w:spacing w:line="276" w:lineRule="auto"/>
        <w:rPr>
          <w:rFonts w:eastAsiaTheme="minorEastAsia"/>
          <w:noProof/>
        </w:rPr>
      </w:pPr>
      <m:oMath>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w:rPr>
            <w:rFonts w:ascii="Cambria Math" w:hAnsi="Cambria Math"/>
            <w:noProof/>
          </w:rPr>
          <m:t>CIPA=</m:t>
        </m:r>
      </m:oMath>
      <w:r w:rsidR="009B7718" w:rsidRPr="00521DF0">
        <w:rPr>
          <w:rFonts w:eastAsiaTheme="minorEastAsia"/>
          <w:noProof/>
        </w:rPr>
        <w:t xml:space="preserve"> Country Policy and Institutional Assessment (CPIA)</w:t>
      </w:r>
    </w:p>
    <w:p w:rsidR="009B7718" w:rsidRPr="00521DF0" w:rsidRDefault="003337D3" w:rsidP="005E0606">
      <w:pPr>
        <w:spacing w:line="276" w:lineRule="auto"/>
        <w:rPr>
          <w:rFonts w:eastAsiaTheme="minorEastAsia"/>
          <w:noProof/>
        </w:rPr>
      </w:pPr>
      <m:oMath>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w:rPr>
            <w:rFonts w:ascii="Cambria Math" w:hAnsi="Cambria Math"/>
            <w:noProof/>
          </w:rPr>
          <m:t>Fdi</m:t>
        </m:r>
      </m:oMath>
      <w:r w:rsidR="009B7718" w:rsidRPr="00521DF0">
        <w:rPr>
          <w:rFonts w:eastAsiaTheme="minorEastAsia"/>
          <w:noProof/>
        </w:rPr>
        <w:t>= Foreign Direct Investment inflow from the rest of the world</w:t>
      </w:r>
    </w:p>
    <w:p w:rsidR="009B7718" w:rsidRPr="00521DF0" w:rsidRDefault="003337D3" w:rsidP="003E1DAD">
      <w:pPr>
        <w:spacing w:line="276" w:lineRule="auto"/>
        <w:rPr>
          <w:rFonts w:eastAsiaTheme="minorEastAsia"/>
          <w:noProof/>
        </w:rPr>
      </w:pPr>
      <m:oMath>
        <m:sSub>
          <m:sSubPr>
            <m:ctrlPr>
              <w:rPr>
                <w:rFonts w:ascii="Cambria Math" w:hAnsi="Cambria Math"/>
                <w:i/>
                <w:noProof/>
              </w:rPr>
            </m:ctrlPr>
          </m:sSubPr>
          <m:e>
            <m:r>
              <w:rPr>
                <w:rFonts w:ascii="Cambria Math" w:hAnsi="Cambria Math"/>
                <w:noProof/>
              </w:rPr>
              <m:t>β</m:t>
            </m:r>
          </m:e>
          <m:sub>
            <m:r>
              <w:rPr>
                <w:rFonts w:ascii="Cambria Math" w:hAnsi="Cambria Math"/>
                <w:noProof/>
              </w:rPr>
              <m:t xml:space="preserve">4 </m:t>
            </m:r>
          </m:sub>
        </m:sSub>
        <m:r>
          <w:rPr>
            <w:rFonts w:ascii="Cambria Math" w:hAnsi="Cambria Math"/>
            <w:noProof/>
          </w:rPr>
          <m:t>(ln_Excg)=</m:t>
        </m:r>
      </m:oMath>
      <w:r w:rsidR="009B7718" w:rsidRPr="00521DF0">
        <w:rPr>
          <w:rFonts w:eastAsiaTheme="minorEastAsia"/>
          <w:noProof/>
        </w:rPr>
        <w:t xml:space="preserve">  Exchange rate % </w:t>
      </w:r>
    </w:p>
    <w:p w:rsidR="009B7718" w:rsidRPr="00521DF0" w:rsidRDefault="009B7718" w:rsidP="009B7718">
      <w:pPr>
        <w:rPr>
          <w:rFonts w:eastAsiaTheme="minorEastAsia"/>
          <w:noProof/>
        </w:rPr>
      </w:pPr>
    </w:p>
    <w:p w:rsidR="00197BDE" w:rsidRPr="006702FC" w:rsidRDefault="00197BDE" w:rsidP="006702FC">
      <w:pPr>
        <w:pStyle w:val="Caption"/>
        <w:spacing w:after="0"/>
        <w:rPr>
          <w:rFonts w:ascii="Garamond" w:hAnsi="Garamond"/>
          <w:sz w:val="24"/>
          <w:szCs w:val="24"/>
        </w:rPr>
      </w:pPr>
      <w:r w:rsidRPr="006702FC">
        <w:rPr>
          <w:sz w:val="24"/>
          <w:szCs w:val="24"/>
        </w:rPr>
        <w:t xml:space="preserve">Table </w:t>
      </w:r>
      <w:r w:rsidRPr="006702FC">
        <w:rPr>
          <w:sz w:val="24"/>
          <w:szCs w:val="24"/>
        </w:rPr>
        <w:fldChar w:fldCharType="begin"/>
      </w:r>
      <w:r w:rsidRPr="006702FC">
        <w:rPr>
          <w:sz w:val="24"/>
          <w:szCs w:val="24"/>
        </w:rPr>
        <w:instrText xml:space="preserve"> SEQ Table \* ARABIC </w:instrText>
      </w:r>
      <w:r w:rsidRPr="006702FC">
        <w:rPr>
          <w:sz w:val="24"/>
          <w:szCs w:val="24"/>
        </w:rPr>
        <w:fldChar w:fldCharType="separate"/>
      </w:r>
      <w:r w:rsidRPr="006702FC">
        <w:rPr>
          <w:noProof/>
          <w:sz w:val="24"/>
          <w:szCs w:val="24"/>
        </w:rPr>
        <w:t>1</w:t>
      </w:r>
      <w:r w:rsidRPr="006702FC">
        <w:rPr>
          <w:sz w:val="24"/>
          <w:szCs w:val="24"/>
        </w:rPr>
        <w:fldChar w:fldCharType="end"/>
      </w:r>
      <w:r w:rsidRPr="006702FC">
        <w:rPr>
          <w:sz w:val="24"/>
          <w:szCs w:val="24"/>
        </w:rPr>
        <w:t xml:space="preserve"> Linear regression</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9B7718" w:rsidTr="0041123C">
        <w:tc>
          <w:tcPr>
            <w:tcW w:w="1708" w:type="dxa"/>
            <w:tcBorders>
              <w:top w:val="single" w:sz="4" w:space="0" w:color="auto"/>
              <w:left w:val="nil"/>
              <w:bottom w:val="single" w:sz="8" w:space="0" w:color="auto"/>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ln_Export</w:t>
            </w:r>
            <w:proofErr w:type="spellEnd"/>
          </w:p>
        </w:tc>
        <w:tc>
          <w:tcPr>
            <w:tcW w:w="1200" w:type="dxa"/>
            <w:gridSpan w:val="2"/>
            <w:tcBorders>
              <w:top w:val="single" w:sz="4" w:space="0" w:color="auto"/>
              <w:left w:val="nil"/>
              <w:bottom w:val="single" w:sz="8" w:space="0" w:color="auto"/>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 xml:space="preserve"> Coef.</w:t>
            </w:r>
          </w:p>
        </w:tc>
        <w:tc>
          <w:tcPr>
            <w:tcW w:w="1200" w:type="dxa"/>
            <w:tcBorders>
              <w:top w:val="single" w:sz="4" w:space="0" w:color="auto"/>
              <w:left w:val="nil"/>
              <w:bottom w:val="single" w:sz="8" w:space="0" w:color="auto"/>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 xml:space="preserve"> </w:t>
            </w:r>
            <w:proofErr w:type="spellStart"/>
            <w:proofErr w:type="gramStart"/>
            <w:r>
              <w:rPr>
                <w:rFonts w:ascii="Garamond" w:hAnsi="Garamond"/>
                <w:sz w:val="20"/>
                <w:szCs w:val="20"/>
              </w:rPr>
              <w:t>St.Err</w:t>
            </w:r>
            <w:proofErr w:type="spellEnd"/>
            <w:proofErr w:type="gramEnd"/>
            <w:r>
              <w:rPr>
                <w:rFonts w:ascii="Garamond" w:hAnsi="Garamond"/>
                <w:sz w:val="20"/>
                <w:szCs w:val="20"/>
              </w:rPr>
              <w:t>.</w:t>
            </w:r>
          </w:p>
        </w:tc>
        <w:tc>
          <w:tcPr>
            <w:tcW w:w="850" w:type="dxa"/>
            <w:gridSpan w:val="2"/>
            <w:tcBorders>
              <w:top w:val="single" w:sz="4" w:space="0" w:color="auto"/>
              <w:left w:val="nil"/>
              <w:bottom w:val="single" w:sz="8" w:space="0" w:color="auto"/>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 xml:space="preserve"> t-value</w:t>
            </w:r>
          </w:p>
        </w:tc>
        <w:tc>
          <w:tcPr>
            <w:tcW w:w="900" w:type="dxa"/>
            <w:tcBorders>
              <w:top w:val="single" w:sz="4" w:space="0" w:color="auto"/>
              <w:left w:val="nil"/>
              <w:bottom w:val="single" w:sz="8" w:space="0" w:color="auto"/>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 xml:space="preserve"> p-value</w:t>
            </w:r>
          </w:p>
        </w:tc>
        <w:tc>
          <w:tcPr>
            <w:tcW w:w="1200" w:type="dxa"/>
            <w:gridSpan w:val="2"/>
            <w:tcBorders>
              <w:top w:val="single" w:sz="4" w:space="0" w:color="auto"/>
              <w:left w:val="nil"/>
              <w:bottom w:val="single" w:sz="8" w:space="0" w:color="auto"/>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 xml:space="preserve"> [95% Conf</w:t>
            </w:r>
          </w:p>
        </w:tc>
        <w:tc>
          <w:tcPr>
            <w:tcW w:w="1200" w:type="dxa"/>
            <w:gridSpan w:val="2"/>
            <w:tcBorders>
              <w:top w:val="single" w:sz="4" w:space="0" w:color="auto"/>
              <w:left w:val="nil"/>
              <w:bottom w:val="single" w:sz="8" w:space="0" w:color="auto"/>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 xml:space="preserve"> Interval]</w:t>
            </w:r>
          </w:p>
        </w:tc>
        <w:tc>
          <w:tcPr>
            <w:tcW w:w="600" w:type="dxa"/>
            <w:tcBorders>
              <w:top w:val="single" w:sz="4" w:space="0" w:color="auto"/>
              <w:left w:val="nil"/>
              <w:bottom w:val="single" w:sz="8" w:space="0" w:color="auto"/>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 xml:space="preserve"> Sig</w:t>
            </w:r>
          </w:p>
        </w:tc>
      </w:tr>
      <w:tr w:rsidR="009B7718" w:rsidTr="0041123C">
        <w:tc>
          <w:tcPr>
            <w:tcW w:w="1708" w:type="dxa"/>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proofErr w:type="spellStart"/>
            <w:r>
              <w:rPr>
                <w:rFonts w:ascii="Garamond" w:hAnsi="Garamond"/>
                <w:sz w:val="20"/>
                <w:szCs w:val="20"/>
              </w:rPr>
              <w:t>Ex_serv</w:t>
            </w:r>
            <w:proofErr w:type="spellEnd"/>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1.495</w:t>
            </w:r>
          </w:p>
        </w:tc>
        <w:tc>
          <w:tcPr>
            <w:tcW w:w="12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.217</w:t>
            </w:r>
          </w:p>
        </w:tc>
        <w:tc>
          <w:tcPr>
            <w:tcW w:w="85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6.90</w:t>
            </w:r>
          </w:p>
        </w:tc>
        <w:tc>
          <w:tcPr>
            <w:tcW w:w="9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1.049</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1.941</w:t>
            </w:r>
          </w:p>
        </w:tc>
        <w:tc>
          <w:tcPr>
            <w:tcW w:w="6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w:t>
            </w:r>
          </w:p>
        </w:tc>
      </w:tr>
      <w:tr w:rsidR="009B7718" w:rsidTr="0041123C">
        <w:tc>
          <w:tcPr>
            <w:tcW w:w="1708" w:type="dxa"/>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CIPA</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.079</w:t>
            </w:r>
          </w:p>
        </w:tc>
        <w:tc>
          <w:tcPr>
            <w:tcW w:w="12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.033</w:t>
            </w:r>
          </w:p>
        </w:tc>
        <w:tc>
          <w:tcPr>
            <w:tcW w:w="85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2.41</w:t>
            </w:r>
          </w:p>
        </w:tc>
        <w:tc>
          <w:tcPr>
            <w:tcW w:w="9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.024</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.011</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.146</w:t>
            </w:r>
          </w:p>
        </w:tc>
        <w:tc>
          <w:tcPr>
            <w:tcW w:w="6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w:t>
            </w:r>
          </w:p>
        </w:tc>
      </w:tr>
      <w:tr w:rsidR="009B7718" w:rsidTr="0041123C">
        <w:tc>
          <w:tcPr>
            <w:tcW w:w="1708" w:type="dxa"/>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proofErr w:type="spellStart"/>
            <w:r>
              <w:rPr>
                <w:rFonts w:ascii="Garamond" w:hAnsi="Garamond"/>
                <w:sz w:val="20"/>
                <w:szCs w:val="20"/>
              </w:rPr>
              <w:t>Fdi</w:t>
            </w:r>
            <w:proofErr w:type="spellEnd"/>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.132</w:t>
            </w:r>
          </w:p>
        </w:tc>
        <w:tc>
          <w:tcPr>
            <w:tcW w:w="12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.052</w:t>
            </w:r>
          </w:p>
        </w:tc>
        <w:tc>
          <w:tcPr>
            <w:tcW w:w="85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2.55</w:t>
            </w:r>
          </w:p>
        </w:tc>
        <w:tc>
          <w:tcPr>
            <w:tcW w:w="9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.017</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.025</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.239</w:t>
            </w:r>
          </w:p>
        </w:tc>
        <w:tc>
          <w:tcPr>
            <w:tcW w:w="6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w:t>
            </w:r>
          </w:p>
        </w:tc>
      </w:tr>
      <w:tr w:rsidR="009B7718" w:rsidTr="0041123C">
        <w:tc>
          <w:tcPr>
            <w:tcW w:w="1708" w:type="dxa"/>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proofErr w:type="spellStart"/>
            <w:r>
              <w:rPr>
                <w:rFonts w:ascii="Garamond" w:hAnsi="Garamond"/>
                <w:sz w:val="20"/>
                <w:szCs w:val="20"/>
              </w:rPr>
              <w:t>ln_Excg</w:t>
            </w:r>
            <w:proofErr w:type="spellEnd"/>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1.127</w:t>
            </w:r>
          </w:p>
        </w:tc>
        <w:tc>
          <w:tcPr>
            <w:tcW w:w="12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.219</w:t>
            </w:r>
          </w:p>
        </w:tc>
        <w:tc>
          <w:tcPr>
            <w:tcW w:w="85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5.16</w:t>
            </w:r>
          </w:p>
        </w:tc>
        <w:tc>
          <w:tcPr>
            <w:tcW w:w="9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.677</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1.578</w:t>
            </w:r>
          </w:p>
        </w:tc>
        <w:tc>
          <w:tcPr>
            <w:tcW w:w="6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w:t>
            </w:r>
          </w:p>
        </w:tc>
      </w:tr>
      <w:tr w:rsidR="009B7718" w:rsidTr="0041123C">
        <w:tc>
          <w:tcPr>
            <w:tcW w:w="1708" w:type="dxa"/>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Constant</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-2.654</w:t>
            </w:r>
          </w:p>
        </w:tc>
        <w:tc>
          <w:tcPr>
            <w:tcW w:w="12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.858</w:t>
            </w:r>
          </w:p>
        </w:tc>
        <w:tc>
          <w:tcPr>
            <w:tcW w:w="85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-3.09</w:t>
            </w:r>
          </w:p>
        </w:tc>
        <w:tc>
          <w:tcPr>
            <w:tcW w:w="9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.005</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-4.421</w:t>
            </w:r>
          </w:p>
        </w:tc>
        <w:tc>
          <w:tcPr>
            <w:tcW w:w="120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-.888</w:t>
            </w:r>
          </w:p>
        </w:tc>
        <w:tc>
          <w:tcPr>
            <w:tcW w:w="600" w:type="dxa"/>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w:t>
            </w:r>
          </w:p>
        </w:tc>
      </w:tr>
      <w:tr w:rsidR="009B7718" w:rsidTr="0041123C">
        <w:tc>
          <w:tcPr>
            <w:tcW w:w="8858" w:type="dxa"/>
            <w:gridSpan w:val="12"/>
            <w:tcBorders>
              <w:top w:val="nil"/>
              <w:left w:val="nil"/>
              <w:bottom w:val="single" w:sz="4" w:space="0" w:color="auto"/>
              <w:right w:val="nil"/>
            </w:tcBorders>
          </w:tcPr>
          <w:p w:rsidR="009B7718" w:rsidRDefault="009B7718" w:rsidP="0041123C">
            <w:pPr>
              <w:widowControl w:val="0"/>
              <w:autoSpaceDE w:val="0"/>
              <w:autoSpaceDN w:val="0"/>
              <w:adjustRightInd w:val="0"/>
              <w:rPr>
                <w:rFonts w:ascii="Garamond" w:hAnsi="Garamond"/>
                <w:sz w:val="20"/>
                <w:szCs w:val="20"/>
              </w:rPr>
            </w:pPr>
          </w:p>
        </w:tc>
      </w:tr>
      <w:tr w:rsidR="009B7718" w:rsidTr="0041123C">
        <w:trPr>
          <w:gridAfter w:val="2"/>
          <w:wAfter w:w="650" w:type="dxa"/>
        </w:trPr>
        <w:tc>
          <w:tcPr>
            <w:tcW w:w="2408" w:type="dxa"/>
            <w:gridSpan w:val="2"/>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Mean dependent var</w:t>
            </w:r>
          </w:p>
        </w:tc>
        <w:tc>
          <w:tcPr>
            <w:tcW w:w="1750" w:type="dxa"/>
            <w:gridSpan w:val="3"/>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2.829</w:t>
            </w:r>
          </w:p>
        </w:tc>
        <w:tc>
          <w:tcPr>
            <w:tcW w:w="2300" w:type="dxa"/>
            <w:gridSpan w:val="3"/>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 xml:space="preserve">SD dependent var </w:t>
            </w:r>
          </w:p>
        </w:tc>
        <w:tc>
          <w:tcPr>
            <w:tcW w:w="175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0.875</w:t>
            </w:r>
          </w:p>
        </w:tc>
      </w:tr>
      <w:tr w:rsidR="009B7718" w:rsidTr="0041123C">
        <w:trPr>
          <w:gridAfter w:val="2"/>
          <w:wAfter w:w="650" w:type="dxa"/>
        </w:trPr>
        <w:tc>
          <w:tcPr>
            <w:tcW w:w="2408" w:type="dxa"/>
            <w:gridSpan w:val="2"/>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 xml:space="preserve">R-squared </w:t>
            </w:r>
          </w:p>
        </w:tc>
        <w:tc>
          <w:tcPr>
            <w:tcW w:w="1750" w:type="dxa"/>
            <w:gridSpan w:val="3"/>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0.984</w:t>
            </w:r>
          </w:p>
        </w:tc>
        <w:tc>
          <w:tcPr>
            <w:tcW w:w="2300" w:type="dxa"/>
            <w:gridSpan w:val="3"/>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 xml:space="preserve">Number of </w:t>
            </w:r>
            <w:proofErr w:type="spellStart"/>
            <w:r>
              <w:rPr>
                <w:rFonts w:ascii="Garamond" w:hAnsi="Garamond"/>
                <w:sz w:val="20"/>
                <w:szCs w:val="20"/>
              </w:rPr>
              <w:t>obs</w:t>
            </w:r>
            <w:proofErr w:type="spellEnd"/>
            <w:r>
              <w:rPr>
                <w:rFonts w:ascii="Garamond" w:hAnsi="Garamond"/>
                <w:sz w:val="20"/>
                <w:szCs w:val="20"/>
              </w:rPr>
              <w:t xml:space="preserve">  </w:t>
            </w:r>
          </w:p>
        </w:tc>
        <w:tc>
          <w:tcPr>
            <w:tcW w:w="175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30</w:t>
            </w:r>
          </w:p>
        </w:tc>
      </w:tr>
      <w:tr w:rsidR="009B7718" w:rsidTr="0041123C">
        <w:trPr>
          <w:gridAfter w:val="2"/>
          <w:wAfter w:w="650" w:type="dxa"/>
        </w:trPr>
        <w:tc>
          <w:tcPr>
            <w:tcW w:w="2408" w:type="dxa"/>
            <w:gridSpan w:val="2"/>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 xml:space="preserve">F-test  </w:t>
            </w:r>
          </w:p>
        </w:tc>
        <w:tc>
          <w:tcPr>
            <w:tcW w:w="1750" w:type="dxa"/>
            <w:gridSpan w:val="3"/>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377.958</w:t>
            </w:r>
          </w:p>
        </w:tc>
        <w:tc>
          <w:tcPr>
            <w:tcW w:w="2300" w:type="dxa"/>
            <w:gridSpan w:val="3"/>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 xml:space="preserve">Prob &gt; F </w:t>
            </w:r>
          </w:p>
        </w:tc>
        <w:tc>
          <w:tcPr>
            <w:tcW w:w="175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0.000</w:t>
            </w:r>
          </w:p>
        </w:tc>
      </w:tr>
      <w:tr w:rsidR="009B7718" w:rsidTr="0041123C">
        <w:trPr>
          <w:gridAfter w:val="2"/>
          <w:wAfter w:w="650" w:type="dxa"/>
        </w:trPr>
        <w:tc>
          <w:tcPr>
            <w:tcW w:w="2408" w:type="dxa"/>
            <w:gridSpan w:val="2"/>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Akaike crit. (AIC)</w:t>
            </w:r>
          </w:p>
        </w:tc>
        <w:tc>
          <w:tcPr>
            <w:tcW w:w="1750" w:type="dxa"/>
            <w:gridSpan w:val="3"/>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-37.459</w:t>
            </w:r>
          </w:p>
        </w:tc>
        <w:tc>
          <w:tcPr>
            <w:tcW w:w="2300" w:type="dxa"/>
            <w:gridSpan w:val="3"/>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sz w:val="20"/>
                <w:szCs w:val="20"/>
              </w:rPr>
              <w:t>Bayesian crit. (BIC)</w:t>
            </w:r>
          </w:p>
        </w:tc>
        <w:tc>
          <w:tcPr>
            <w:tcW w:w="1750" w:type="dxa"/>
            <w:gridSpan w:val="2"/>
            <w:tcBorders>
              <w:top w:val="nil"/>
              <w:left w:val="nil"/>
              <w:bottom w:val="nil"/>
              <w:right w:val="nil"/>
            </w:tcBorders>
          </w:tcPr>
          <w:p w:rsidR="009B7718" w:rsidRDefault="009B7718" w:rsidP="0041123C">
            <w:pPr>
              <w:widowControl w:val="0"/>
              <w:autoSpaceDE w:val="0"/>
              <w:autoSpaceDN w:val="0"/>
              <w:adjustRightInd w:val="0"/>
              <w:jc w:val="right"/>
              <w:rPr>
                <w:rFonts w:ascii="Garamond" w:hAnsi="Garamond"/>
                <w:sz w:val="20"/>
                <w:szCs w:val="20"/>
              </w:rPr>
            </w:pPr>
            <w:r>
              <w:rPr>
                <w:rFonts w:ascii="Garamond" w:hAnsi="Garamond"/>
                <w:sz w:val="20"/>
                <w:szCs w:val="20"/>
              </w:rPr>
              <w:t>-30.453</w:t>
            </w:r>
          </w:p>
        </w:tc>
      </w:tr>
      <w:tr w:rsidR="009B7718" w:rsidTr="0041123C">
        <w:tc>
          <w:tcPr>
            <w:tcW w:w="8858" w:type="dxa"/>
            <w:gridSpan w:val="12"/>
            <w:tcBorders>
              <w:top w:val="single" w:sz="6" w:space="0" w:color="auto"/>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r>
              <w:rPr>
                <w:rFonts w:ascii="Garamond" w:hAnsi="Garamond"/>
                <w:i/>
                <w:iCs/>
                <w:sz w:val="20"/>
                <w:szCs w:val="20"/>
              </w:rPr>
              <w:t>*** p&lt;.01, ** p&lt;.05, * p&lt;.1</w:t>
            </w:r>
          </w:p>
        </w:tc>
      </w:tr>
      <w:tr w:rsidR="009B7718" w:rsidTr="0041123C">
        <w:tc>
          <w:tcPr>
            <w:tcW w:w="8858" w:type="dxa"/>
            <w:gridSpan w:val="12"/>
            <w:tcBorders>
              <w:top w:val="nil"/>
              <w:left w:val="nil"/>
              <w:bottom w:val="nil"/>
              <w:right w:val="nil"/>
            </w:tcBorders>
          </w:tcPr>
          <w:p w:rsidR="009B7718" w:rsidRDefault="009B7718" w:rsidP="0041123C">
            <w:pPr>
              <w:widowControl w:val="0"/>
              <w:autoSpaceDE w:val="0"/>
              <w:autoSpaceDN w:val="0"/>
              <w:adjustRightInd w:val="0"/>
              <w:rPr>
                <w:rFonts w:ascii="Garamond" w:hAnsi="Garamond"/>
                <w:sz w:val="20"/>
                <w:szCs w:val="20"/>
              </w:rPr>
            </w:pPr>
          </w:p>
        </w:tc>
      </w:tr>
    </w:tbl>
    <w:p w:rsidR="00B26629" w:rsidRDefault="005D127F" w:rsidP="00B26629">
      <w:pPr>
        <w:spacing w:line="276" w:lineRule="auto"/>
        <w:jc w:val="both"/>
        <w:rPr>
          <w:noProof/>
        </w:rPr>
      </w:pPr>
      <w:r>
        <w:rPr>
          <w:noProof/>
        </w:rPr>
        <w:t xml:space="preserve">Source: Authors’ Own </w:t>
      </w:r>
      <w:r w:rsidR="003A4FD6">
        <w:rPr>
          <w:noProof/>
        </w:rPr>
        <w:t>Calculation</w:t>
      </w:r>
    </w:p>
    <w:p w:rsidR="005D127F" w:rsidRDefault="005D127F" w:rsidP="00B26629">
      <w:pPr>
        <w:spacing w:line="276" w:lineRule="auto"/>
        <w:jc w:val="both"/>
        <w:rPr>
          <w:noProof/>
        </w:rPr>
      </w:pPr>
    </w:p>
    <w:p w:rsidR="00197BDE" w:rsidRDefault="009B7718" w:rsidP="006702FC">
      <w:pPr>
        <w:spacing w:line="276" w:lineRule="auto"/>
        <w:jc w:val="both"/>
        <w:rPr>
          <w:noProof/>
        </w:rPr>
      </w:pPr>
      <w:r w:rsidRPr="00521DF0">
        <w:rPr>
          <w:noProof/>
        </w:rPr>
        <w:t xml:space="preserve">Here in this model, Export of Bangladesh is considered as independent variable. We can see there is positive casual relation export of Bangaldesh  with Ex_serv (export of IT and ITESservices), Fdi (Foreign Direct Investment) and ln_Excg (% Exchange rate). As we have considered export in billion and export of Service in USD billion but exchange rate is around 120 against One USD, therefore we converted exchange rate into Log.   Considering service export, It can be said that that one-unit increase in Ex_serv increases </w:t>
      </w:r>
      <w:r w:rsidRPr="00DC35C3">
        <w:rPr>
          <w:noProof/>
        </w:rPr>
        <w:t xml:space="preserve">exports by approximately 149% (since the dependent variable is in logs and Ex_serv is in levels), holding other variables constant. This effect is positive and highly significant. </w:t>
      </w:r>
      <w:r w:rsidRPr="00DC35C3">
        <w:t xml:space="preserve">Along with this, it is shown that one-unit increase in </w:t>
      </w:r>
      <w:r w:rsidR="00197BDE" w:rsidRPr="006702FC">
        <w:rPr>
          <w:rStyle w:val="Strong"/>
          <w:b w:val="0"/>
        </w:rPr>
        <w:t>FDI</w:t>
      </w:r>
      <w:r w:rsidRPr="00DC35C3">
        <w:t xml:space="preserve"> increases exports by approximately </w:t>
      </w:r>
      <w:r w:rsidR="00197BDE" w:rsidRPr="006702FC">
        <w:rPr>
          <w:rStyle w:val="Strong"/>
          <w:b w:val="0"/>
        </w:rPr>
        <w:t>13%</w:t>
      </w:r>
      <w:r w:rsidRPr="00DC35C3">
        <w:t xml:space="preserve">, holding </w:t>
      </w:r>
      <w:proofErr w:type="gramStart"/>
      <w:r w:rsidRPr="00DC35C3">
        <w:t>other</w:t>
      </w:r>
      <w:proofErr w:type="gramEnd"/>
      <w:r w:rsidRPr="00DC35C3">
        <w:t xml:space="preserve"> factors constant. The effect is </w:t>
      </w:r>
      <w:r w:rsidR="00197BDE" w:rsidRPr="006702FC">
        <w:rPr>
          <w:rStyle w:val="Strong"/>
          <w:b w:val="0"/>
        </w:rPr>
        <w:t>positive and statistically significant at the 5% level</w:t>
      </w:r>
      <w:r w:rsidRPr="00DC35C3">
        <w:t xml:space="preserve">, indicating FDI contributes to export growth. </w:t>
      </w:r>
      <w:r w:rsidRPr="00DC35C3">
        <w:rPr>
          <w:noProof/>
        </w:rPr>
        <w:t xml:space="preserve">Moreovere, our FDI and higher points in CIPA </w:t>
      </w:r>
      <w:r w:rsidR="00197BDE" w:rsidRPr="006702FC">
        <w:rPr>
          <w:noProof/>
        </w:rPr>
        <w:t>(</w:t>
      </w:r>
      <w:r w:rsidR="00197BDE" w:rsidRPr="006702FC">
        <w:rPr>
          <w:rStyle w:val="Strong"/>
          <w:b w:val="0"/>
          <w:color w:val="0A0A0A"/>
          <w:shd w:val="clear" w:color="auto" w:fill="FFFFFF"/>
        </w:rPr>
        <w:t>Country Policy and Institutional Assessment)</w:t>
      </w:r>
      <w:r w:rsidRPr="00DC35C3">
        <w:rPr>
          <w:noProof/>
        </w:rPr>
        <w:t xml:space="preserve"> can positively impact our export growth but  lowe indexing 3.0 since since 2005 to 2004 has made litte effects on our export.  In this model the multicolinerity of the variable is checked which is 4.75 , proving that the model is </w:t>
      </w:r>
      <w:r w:rsidR="00B26629" w:rsidRPr="002A522F">
        <w:rPr>
          <w:noProof/>
        </w:rPr>
        <w:t>statiscally significant</w:t>
      </w:r>
      <w:r w:rsidRPr="002A522F">
        <w:rPr>
          <w:noProof/>
        </w:rPr>
        <w:t xml:space="preserve">. </w:t>
      </w:r>
    </w:p>
    <w:p w:rsidR="00197BDE" w:rsidRPr="006702FC" w:rsidRDefault="009B7718" w:rsidP="006702FC">
      <w:pPr>
        <w:spacing w:before="100" w:beforeAutospacing="1" w:after="100" w:afterAutospacing="1" w:line="276" w:lineRule="auto"/>
        <w:jc w:val="both"/>
        <w:rPr>
          <w:rStyle w:val="None"/>
          <w:rFonts w:eastAsia="Times New Roman"/>
        </w:rPr>
      </w:pPr>
      <w:r w:rsidRPr="002A522F">
        <w:rPr>
          <w:rFonts w:eastAsia="Times New Roman"/>
        </w:rPr>
        <w:lastRenderedPageBreak/>
        <w:t xml:space="preserve">The constant term represents the </w:t>
      </w:r>
      <w:r w:rsidR="00197BDE" w:rsidRPr="006702FC">
        <w:rPr>
          <w:rFonts w:eastAsia="Times New Roman"/>
          <w:bCs/>
        </w:rPr>
        <w:t>expected value of the dependent variable</w:t>
      </w:r>
      <w:r w:rsidRPr="00DC35C3">
        <w:rPr>
          <w:rFonts w:eastAsia="Times New Roman"/>
        </w:rPr>
        <w:t xml:space="preserve">—here, </w:t>
      </w:r>
      <w:proofErr w:type="gramStart"/>
      <w:r w:rsidR="00197BDE" w:rsidRPr="006702FC">
        <w:rPr>
          <w:rFonts w:eastAsia="Times New Roman"/>
          <w:bCs/>
        </w:rPr>
        <w:t>ln(</w:t>
      </w:r>
      <w:proofErr w:type="gramEnd"/>
      <w:r w:rsidR="00197BDE" w:rsidRPr="006702FC">
        <w:rPr>
          <w:rFonts w:eastAsia="Times New Roman"/>
          <w:bCs/>
        </w:rPr>
        <w:t>Export)</w:t>
      </w:r>
      <w:r w:rsidRPr="00DC35C3">
        <w:rPr>
          <w:rFonts w:eastAsia="Times New Roman"/>
        </w:rPr>
        <w:t xml:space="preserve">—when </w:t>
      </w:r>
      <w:r w:rsidR="00197BDE" w:rsidRPr="006702FC">
        <w:rPr>
          <w:rFonts w:eastAsia="Times New Roman"/>
          <w:bCs/>
        </w:rPr>
        <w:t>all explanatory variables are equal to zero</w:t>
      </w:r>
      <w:r w:rsidRPr="00DC35C3">
        <w:rPr>
          <w:rFonts w:eastAsia="Times New Roman"/>
        </w:rPr>
        <w:t xml:space="preserve">. Specifically, it means that: When </w:t>
      </w:r>
      <w:proofErr w:type="gramStart"/>
      <w:r w:rsidR="00197BDE" w:rsidRPr="006702FC">
        <w:rPr>
          <w:rFonts w:eastAsia="Times New Roman"/>
          <w:bCs/>
        </w:rPr>
        <w:t>ln(</w:t>
      </w:r>
      <w:proofErr w:type="spellStart"/>
      <w:proofErr w:type="gramEnd"/>
      <w:r w:rsidR="00197BDE" w:rsidRPr="006702FC">
        <w:rPr>
          <w:rFonts w:eastAsia="Times New Roman"/>
          <w:bCs/>
        </w:rPr>
        <w:t>Ex_serv</w:t>
      </w:r>
      <w:proofErr w:type="spellEnd"/>
      <w:r w:rsidR="00197BDE" w:rsidRPr="006702FC">
        <w:rPr>
          <w:rFonts w:eastAsia="Times New Roman"/>
          <w:bCs/>
        </w:rPr>
        <w:t>)</w:t>
      </w:r>
      <w:r w:rsidRPr="00DC35C3">
        <w:rPr>
          <w:rFonts w:eastAsia="Times New Roman"/>
        </w:rPr>
        <w:t xml:space="preserve">, </w:t>
      </w:r>
      <w:r w:rsidR="00197BDE" w:rsidRPr="006702FC">
        <w:rPr>
          <w:rFonts w:eastAsia="Times New Roman"/>
          <w:bCs/>
        </w:rPr>
        <w:t>ln(</w:t>
      </w:r>
      <w:proofErr w:type="spellStart"/>
      <w:r w:rsidR="00197BDE" w:rsidRPr="006702FC">
        <w:rPr>
          <w:rFonts w:eastAsia="Times New Roman"/>
          <w:bCs/>
        </w:rPr>
        <w:t>Excg</w:t>
      </w:r>
      <w:proofErr w:type="spellEnd"/>
      <w:r w:rsidR="00197BDE" w:rsidRPr="006702FC">
        <w:rPr>
          <w:rFonts w:eastAsia="Times New Roman"/>
          <w:bCs/>
        </w:rPr>
        <w:t>)</w:t>
      </w:r>
      <w:r w:rsidRPr="00DC35C3">
        <w:rPr>
          <w:rFonts w:eastAsia="Times New Roman"/>
        </w:rPr>
        <w:t xml:space="preserve">, </w:t>
      </w:r>
      <w:r w:rsidR="00197BDE" w:rsidRPr="006702FC">
        <w:rPr>
          <w:rFonts w:eastAsia="Times New Roman"/>
          <w:bCs/>
        </w:rPr>
        <w:t>CIPA</w:t>
      </w:r>
      <w:r w:rsidRPr="00DC35C3">
        <w:rPr>
          <w:rFonts w:eastAsia="Times New Roman"/>
        </w:rPr>
        <w:t xml:space="preserve">, </w:t>
      </w:r>
      <w:r w:rsidR="00197BDE" w:rsidRPr="006702FC">
        <w:rPr>
          <w:rFonts w:eastAsia="Times New Roman"/>
          <w:bCs/>
        </w:rPr>
        <w:t>FDI</w:t>
      </w:r>
      <w:r w:rsidRPr="00DC35C3">
        <w:rPr>
          <w:rFonts w:eastAsia="Times New Roman"/>
        </w:rPr>
        <w:t xml:space="preserve">, and </w:t>
      </w:r>
      <w:proofErr w:type="spellStart"/>
      <w:r w:rsidR="00197BDE" w:rsidRPr="006702FC">
        <w:rPr>
          <w:rFonts w:eastAsia="Times New Roman"/>
          <w:bCs/>
        </w:rPr>
        <w:t>Emp_ser</w:t>
      </w:r>
      <w:proofErr w:type="spellEnd"/>
      <w:r w:rsidRPr="00DC35C3">
        <w:rPr>
          <w:rFonts w:eastAsia="Times New Roman"/>
        </w:rPr>
        <w:t xml:space="preserve"> are all zero</w:t>
      </w:r>
      <w:r w:rsidRPr="00BB13FE">
        <w:rPr>
          <w:rFonts w:eastAsia="Times New Roman"/>
        </w:rPr>
        <w:t xml:space="preserve">, the predicted value of </w:t>
      </w:r>
      <w:r w:rsidRPr="00BB13FE">
        <w:rPr>
          <w:rFonts w:eastAsia="Times New Roman"/>
          <w:b/>
          <w:bCs/>
        </w:rPr>
        <w:t>ln(Export)</w:t>
      </w:r>
      <w:r w:rsidRPr="00BB13FE">
        <w:rPr>
          <w:rFonts w:eastAsia="Times New Roman"/>
        </w:rPr>
        <w:t xml:space="preserve"> is </w:t>
      </w:r>
      <w:r w:rsidRPr="00BB13FE">
        <w:rPr>
          <w:rFonts w:eastAsia="Times New Roman"/>
          <w:b/>
          <w:bCs/>
        </w:rPr>
        <w:t>−2.93</w:t>
      </w:r>
      <w:r>
        <w:rPr>
          <w:rFonts w:eastAsia="Times New Roman"/>
        </w:rPr>
        <w:t>, which</w:t>
      </w:r>
      <w:r w:rsidRPr="00BB13FE">
        <w:rPr>
          <w:rFonts w:eastAsia="Times New Roman"/>
        </w:rPr>
        <w:t xml:space="preserve"> convert</w:t>
      </w:r>
      <w:r>
        <w:rPr>
          <w:rFonts w:eastAsia="Times New Roman"/>
        </w:rPr>
        <w:t xml:space="preserve">ed to </w:t>
      </w:r>
      <w:r w:rsidRPr="00BB13FE">
        <w:rPr>
          <w:rFonts w:eastAsia="Times New Roman"/>
        </w:rPr>
        <w:t>log</w:t>
      </w:r>
      <w:r>
        <w:rPr>
          <w:rFonts w:eastAsia="Times New Roman"/>
        </w:rPr>
        <w:t xml:space="preserve"> and  the result is 0.</w:t>
      </w:r>
      <w:r w:rsidRPr="00BB13FE">
        <w:rPr>
          <w:rFonts w:eastAsia="Times New Roman"/>
        </w:rPr>
        <w:t>053</w:t>
      </w:r>
      <w:r>
        <w:rPr>
          <w:rFonts w:eastAsia="Times New Roman"/>
        </w:rPr>
        <w:t xml:space="preserve">. </w:t>
      </w:r>
      <w:r w:rsidRPr="00BB13FE">
        <w:rPr>
          <w:rFonts w:eastAsia="Times New Roman"/>
        </w:rPr>
        <w:t>This implies a very low baseline level of exports when all explanatory variables are absent.</w:t>
      </w:r>
      <w:r w:rsidR="00B26629">
        <w:rPr>
          <w:rFonts w:eastAsia="Times New Roman"/>
        </w:rPr>
        <w:t xml:space="preserve"> </w:t>
      </w:r>
      <w:r w:rsidRPr="00521DF0">
        <w:rPr>
          <w:rFonts w:eastAsia="Times New Roman"/>
        </w:rPr>
        <w:t xml:space="preserve">The model is statistically significant as </w:t>
      </w:r>
      <w:r w:rsidRPr="00521DF0">
        <w:rPr>
          <w:rFonts w:eastAsia="Times New Roman"/>
          <w:b/>
          <w:bCs/>
        </w:rPr>
        <w:t>R² = 0.9837 and 98.37% of variation in exports</w:t>
      </w:r>
      <w:r w:rsidRPr="00521DF0">
        <w:rPr>
          <w:rFonts w:eastAsia="Times New Roman"/>
        </w:rPr>
        <w:t xml:space="preserve"> can be explained with this model if other things remain constant. The log–linear regression results indicate that service exports and foreign direct investment exert statistically significant and positive effects on export performance. Overall, the model explains nearly 98 percent of the variation in export performance.</w:t>
      </w:r>
    </w:p>
    <w:p w:rsidR="00197BDE" w:rsidRPr="006702FC" w:rsidRDefault="0062340A" w:rsidP="006702FC">
      <w:pPr>
        <w:pStyle w:val="Heading1"/>
        <w:rPr>
          <w:rStyle w:val="None"/>
        </w:rPr>
      </w:pPr>
      <w:r>
        <w:rPr>
          <w:rStyle w:val="None"/>
        </w:rPr>
        <w:t>5</w:t>
      </w:r>
      <w:r w:rsidR="0047629B">
        <w:rPr>
          <w:rStyle w:val="None"/>
        </w:rPr>
        <w:t>.</w:t>
      </w:r>
      <w:r w:rsidR="00197BDE" w:rsidRPr="006702FC">
        <w:rPr>
          <w:rStyle w:val="None"/>
        </w:rPr>
        <w:t>Discussion</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There has been a skeptical attitude in the nexus between the legacy of conservative financial policies to safeguard domestic industries and, the late and ineffective processes of liberalization in Bangladesh. As a result, the aforementioned challenges on</w:t>
      </w:r>
      <w:r w:rsidR="00DC35C3">
        <w:rPr>
          <w:rFonts w:ascii="Times New Roman" w:hAnsi="Times New Roman"/>
          <w:sz w:val="24"/>
          <w:szCs w:val="24"/>
        </w:rPr>
        <w:t xml:space="preserve"> IT and IT enabled services </w:t>
      </w:r>
      <w:r w:rsidR="008B74DE">
        <w:rPr>
          <w:rFonts w:ascii="Times New Roman" w:hAnsi="Times New Roman"/>
          <w:sz w:val="24"/>
          <w:szCs w:val="24"/>
        </w:rPr>
        <w:t>like Freelancing</w:t>
      </w:r>
      <w:r>
        <w:rPr>
          <w:rFonts w:ascii="Times New Roman" w:hAnsi="Times New Roman"/>
          <w:sz w:val="24"/>
          <w:szCs w:val="24"/>
        </w:rPr>
        <w:t>, E-commerce and F-commerce, Fintech, and, Investment in global financial markets are</w:t>
      </w:r>
      <w:r>
        <w:rPr>
          <w:rFonts w:ascii="Times New Roman" w:hAnsi="Times New Roman"/>
          <w:sz w:val="24"/>
          <w:szCs w:val="24"/>
          <w:lang w:val="it-IT"/>
        </w:rPr>
        <w:t xml:space="preserve"> significant</w:t>
      </w:r>
      <w:r>
        <w:rPr>
          <w:rFonts w:ascii="Times New Roman" w:hAnsi="Times New Roman"/>
          <w:sz w:val="24"/>
          <w:szCs w:val="24"/>
        </w:rPr>
        <w:t xml:space="preserve"> in the context of Bangladesh. It affects the quality, quantity, and diversity of the work that working professionals and enterprises can offer. It reduces the income potential and profitability of these potential sectors. It discourages many potential employees from entering or continuing this field. It also deprives the country of valuable</w:t>
      </w:r>
      <w:r w:rsidR="00B67945">
        <w:rPr>
          <w:rFonts w:ascii="Times New Roman" w:hAnsi="Times New Roman"/>
          <w:sz w:val="24"/>
          <w:szCs w:val="24"/>
        </w:rPr>
        <w:t xml:space="preserve"> service export,</w:t>
      </w:r>
      <w:r>
        <w:rPr>
          <w:rFonts w:ascii="Times New Roman" w:hAnsi="Times New Roman"/>
          <w:sz w:val="24"/>
          <w:szCs w:val="24"/>
        </w:rPr>
        <w:t xml:space="preserve"> remittance inflows and economic opportunities that these sectors can generate. The underlying aspects of such a scenario can be explained by the following factors: the historical experience, the existing context, and the prospects.</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 xml:space="preserve">The historical experience of Bangladesh with protectionism and liberalization has been mixed and controversial. On one hand, protectionism helped to create a domestic industrial base and a sense of national identity in a newly independent country. On the other hand, protectionism also led to economic stagnation and isolation from the world economy. Similarly, liberalization helped to improve economic efficiency and integration with the global market. However, liberalization also exposed the country to external shocks and increased inequality (Winters, 2004; Raihan, 2008). </w:t>
      </w:r>
      <w:r>
        <w:rPr>
          <w:rStyle w:val="Hyperlink1"/>
          <w:rFonts w:ascii="Times New Roman" w:hAnsi="Times New Roman"/>
          <w:sz w:val="24"/>
          <w:szCs w:val="24"/>
        </w:rPr>
        <w:t>In Bangladesh, the balance of payments has been deteriorating in recent years due to widening trade deficits, declining remittances, and rising external debt</w:t>
      </w:r>
      <w:r>
        <w:rPr>
          <w:rFonts w:ascii="Times New Roman" w:hAnsi="Times New Roman"/>
          <w:sz w:val="24"/>
          <w:szCs w:val="24"/>
        </w:rPr>
        <w:t xml:space="preserve">. (Salman, 2009). </w:t>
      </w:r>
      <w:r>
        <w:rPr>
          <w:rStyle w:val="Hyperlink1"/>
          <w:rFonts w:ascii="Times New Roman" w:hAnsi="Times New Roman"/>
          <w:sz w:val="24"/>
          <w:szCs w:val="24"/>
        </w:rPr>
        <w:t>The country also faces some constraints in managing its balance of payments, such as low export diversification, high import dependence, limited foreign exchange reserves, and weak governance</w:t>
      </w:r>
      <w:r>
        <w:rPr>
          <w:rFonts w:ascii="Times New Roman" w:hAnsi="Times New Roman"/>
          <w:sz w:val="24"/>
          <w:szCs w:val="24"/>
        </w:rPr>
        <w:t xml:space="preserve"> (</w:t>
      </w:r>
      <w:proofErr w:type="spellStart"/>
      <w:r>
        <w:rPr>
          <w:rFonts w:ascii="Times New Roman" w:hAnsi="Times New Roman"/>
          <w:sz w:val="24"/>
          <w:szCs w:val="24"/>
        </w:rPr>
        <w:t>Bhowmick</w:t>
      </w:r>
      <w:proofErr w:type="spellEnd"/>
      <w:r>
        <w:rPr>
          <w:rFonts w:ascii="Times New Roman" w:hAnsi="Times New Roman"/>
          <w:sz w:val="24"/>
          <w:szCs w:val="24"/>
        </w:rPr>
        <w:t>, 20 December 2022).</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 xml:space="preserve">The current situation in Bangladesh concerning foreign exchange regulation and transaction guidelines is still restrictive and inconsistent. Despite some reforms in recent years, Bangladesh still maintains a complex and cumbersome system of foreign exchange regulation that involves multiple authorities, multiple rates, multiple restrictions, multiple approvals, and multiple </w:t>
      </w:r>
      <w:r>
        <w:rPr>
          <w:rFonts w:ascii="Times New Roman" w:hAnsi="Times New Roman"/>
          <w:sz w:val="24"/>
          <w:szCs w:val="24"/>
        </w:rPr>
        <w:lastRenderedPageBreak/>
        <w:t xml:space="preserve">documents (Raihan, 2008). The system creates uncertainty, delays, costs, and risks for both domestic and foreign participants in various sectors such as freelancing, e-commerce and f-commerce, fintech companies and their customers, and investing in global financial markets. </w:t>
      </w:r>
      <w:r>
        <w:rPr>
          <w:rStyle w:val="Hyperlink1"/>
          <w:rFonts w:ascii="Times New Roman" w:hAnsi="Times New Roman"/>
          <w:sz w:val="24"/>
          <w:szCs w:val="24"/>
        </w:rPr>
        <w:t xml:space="preserve">From the monetary approach of foreign exchange policies, the central bank aims to control inflation, generate employment, and promote GDP growth through policy actions </w:t>
      </w:r>
      <w:r>
        <w:rPr>
          <w:rFonts w:ascii="Times New Roman" w:hAnsi="Times New Roman"/>
          <w:sz w:val="24"/>
          <w:szCs w:val="24"/>
        </w:rPr>
        <w:t xml:space="preserve">(The Daily Star. August 02, 2021). </w:t>
      </w:r>
      <w:r>
        <w:rPr>
          <w:rStyle w:val="Hyperlink1"/>
          <w:rFonts w:ascii="Times New Roman" w:hAnsi="Times New Roman"/>
          <w:sz w:val="24"/>
          <w:szCs w:val="24"/>
        </w:rPr>
        <w:t>However, Bangladesh faces some challenges in implementing effective monetary policy, such as high fiscal deficits, weak financial sector, low tax revenue, and external shocks</w:t>
      </w:r>
      <w:r>
        <w:rPr>
          <w:rFonts w:ascii="Times New Roman" w:hAnsi="Times New Roman"/>
          <w:sz w:val="24"/>
          <w:szCs w:val="24"/>
        </w:rPr>
        <w:t xml:space="preserve"> (IMF, 2013). </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The prospects of Bangladesh concerning foreign exchange regulation and transaction guidelines are uncertain and dependent on various factors. Some of these factors include the political will and commitment of the government to further liberalize and simplify the system; the institutional capacity and governance of the relevant authorities to implement and monitor the system; the social consensus and acceptance of the stakeholders to support and comply with the system; the economic performance and resilience of the country to cope with the potential benefits and costs of the system; and the external environment and opportunities of the global market to offer attractive incentives and alternatives for the system (IMF, 2013).</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Money laundering has been one of the major concerns being reserved with monetary policies since billions of dollars are going out of the country every year (IMF, 2013; The Daily Star, July 02, 2020). Now from the philosophical point of view, there is a concern that easing up the transactional regulations will make the scenario worse. But if we look at the money laundering incidents closely, we will find a strong correlation of corruption with it. People who are involved with these illegitimate activities do not care about the system being digitalized or not. They even do not need to send millions of dollars abroad through digital procedures since they have strong connections to serve their interests through the existing system (IMF, 2013; </w:t>
      </w:r>
      <w:proofErr w:type="spellStart"/>
      <w:r>
        <w:rPr>
          <w:rStyle w:val="None"/>
          <w:rFonts w:ascii="Times New Roman" w:hAnsi="Times New Roman"/>
          <w:sz w:val="24"/>
          <w:szCs w:val="24"/>
        </w:rPr>
        <w:t>Ayoo</w:t>
      </w:r>
      <w:proofErr w:type="spellEnd"/>
      <w:r>
        <w:rPr>
          <w:rStyle w:val="None"/>
          <w:rFonts w:ascii="Times New Roman" w:hAnsi="Times New Roman"/>
          <w:sz w:val="24"/>
          <w:szCs w:val="24"/>
        </w:rPr>
        <w:t>, 2022). So, restricting retailers from transacting money abroad does not necessarily stop money laundering. Rather, the government should focus more on eradicating corruption with strict law enforcement and system cleansing.</w:t>
      </w:r>
    </w:p>
    <w:p w:rsidR="009A35B1" w:rsidRDefault="001838EA">
      <w:pPr>
        <w:pStyle w:val="Body"/>
        <w:spacing w:line="300" w:lineRule="auto"/>
        <w:jc w:val="both"/>
        <w:rPr>
          <w:rFonts w:ascii="Times New Roman" w:eastAsia="Times New Roman" w:hAnsi="Times New Roman" w:cs="Times New Roman"/>
          <w:sz w:val="24"/>
          <w:szCs w:val="24"/>
        </w:rPr>
      </w:pPr>
      <w:r>
        <w:rPr>
          <w:rFonts w:ascii="Times New Roman" w:hAnsi="Times New Roman"/>
          <w:sz w:val="24"/>
          <w:szCs w:val="24"/>
        </w:rPr>
        <w:t xml:space="preserve">Strict monetary policies are also caused by the conventional mindset of keeping money in the domestic economy for the sake of an adequate supply of capital for economic activities (Huh, 2021). Since our independence, we struggled to maintain sustainable economic development for a long time. </w:t>
      </w:r>
      <w:r>
        <w:rPr>
          <w:rStyle w:val="Hyperlink1"/>
          <w:rFonts w:ascii="Times New Roman" w:hAnsi="Times New Roman"/>
          <w:sz w:val="24"/>
          <w:szCs w:val="24"/>
        </w:rPr>
        <w:t>In Bangladesh, the asset market is still underdeveloped and dominated by banks and government securities</w:t>
      </w:r>
      <w:r>
        <w:rPr>
          <w:rFonts w:ascii="Times New Roman" w:hAnsi="Times New Roman"/>
          <w:sz w:val="24"/>
          <w:szCs w:val="24"/>
        </w:rPr>
        <w:t xml:space="preserve">. (IMF, 2013). </w:t>
      </w:r>
      <w:r>
        <w:rPr>
          <w:rStyle w:val="Hyperlink1"/>
          <w:rFonts w:ascii="Times New Roman" w:hAnsi="Times New Roman"/>
          <w:sz w:val="24"/>
          <w:szCs w:val="24"/>
        </w:rPr>
        <w:t xml:space="preserve">The country also faces some challenges in developing its asset market, such as low financial inclusion, high interest rates, weak regulation, and limited access to international capital markets </w:t>
      </w:r>
      <w:r>
        <w:rPr>
          <w:rFonts w:ascii="Times New Roman" w:hAnsi="Times New Roman"/>
          <w:sz w:val="24"/>
          <w:szCs w:val="24"/>
        </w:rPr>
        <w:t xml:space="preserve">(The Daily Star. August 02, 2021). To mitigate that, there has been a tendency of the government to encourage more inward investment for the local industries to grow. Easing up transactional facilities is considered to be a threat to the distortion </w:t>
      </w:r>
      <w:r>
        <w:rPr>
          <w:rFonts w:ascii="Times New Roman" w:hAnsi="Times New Roman"/>
          <w:sz w:val="24"/>
          <w:szCs w:val="24"/>
        </w:rPr>
        <w:lastRenderedPageBreak/>
        <w:t xml:space="preserve">of the local economy (Minton &amp; </w:t>
      </w:r>
      <w:proofErr w:type="spellStart"/>
      <w:r>
        <w:rPr>
          <w:rFonts w:ascii="Times New Roman" w:hAnsi="Times New Roman"/>
          <w:sz w:val="24"/>
          <w:szCs w:val="24"/>
        </w:rPr>
        <w:t>Wruck</w:t>
      </w:r>
      <w:proofErr w:type="spellEnd"/>
      <w:r>
        <w:rPr>
          <w:rFonts w:ascii="Times New Roman" w:hAnsi="Times New Roman"/>
          <w:sz w:val="24"/>
          <w:szCs w:val="24"/>
        </w:rPr>
        <w:t xml:space="preserve">, 2001; </w:t>
      </w:r>
      <w:proofErr w:type="spellStart"/>
      <w:r>
        <w:rPr>
          <w:rFonts w:ascii="Times New Roman" w:hAnsi="Times New Roman"/>
          <w:sz w:val="24"/>
          <w:szCs w:val="24"/>
        </w:rPr>
        <w:t>Rondinelli</w:t>
      </w:r>
      <w:proofErr w:type="spellEnd"/>
      <w:r>
        <w:rPr>
          <w:rFonts w:ascii="Times New Roman" w:hAnsi="Times New Roman"/>
          <w:sz w:val="24"/>
          <w:szCs w:val="24"/>
        </w:rPr>
        <w:t xml:space="preserve"> et al., 1983). But in the era of globalization, money needs to move cyclically all over the globe to achieve better exposure to trade and finance. As flexible regulations will bring newer opportunities, the money supply will increase and the investment facilities will be much more widespread. By that, the domestic economy will eventually benefit and the industries will acquire international recognition which will boost the economy in the long run.</w:t>
      </w:r>
    </w:p>
    <w:p w:rsidR="009A35B1" w:rsidRDefault="001838EA">
      <w:pPr>
        <w:pStyle w:val="Body"/>
        <w:spacing w:line="300" w:lineRule="auto"/>
        <w:jc w:val="both"/>
        <w:rPr>
          <w:rFonts w:ascii="Times New Roman" w:hAnsi="Times New Roman"/>
          <w:sz w:val="24"/>
          <w:szCs w:val="24"/>
        </w:rPr>
      </w:pPr>
      <w:r>
        <w:rPr>
          <w:rFonts w:ascii="Times New Roman" w:hAnsi="Times New Roman"/>
          <w:sz w:val="24"/>
          <w:szCs w:val="24"/>
        </w:rPr>
        <w:t>The convenient global transaction is key for the fintech startups to bring diverse options of financial instruments and services. However, the government is fearful of the byproduct of this feature, less control over</w:t>
      </w:r>
      <w:r>
        <w:rPr>
          <w:rFonts w:ascii="Times New Roman" w:hAnsi="Times New Roman"/>
          <w:sz w:val="24"/>
          <w:szCs w:val="24"/>
          <w:lang w:val="it-IT"/>
        </w:rPr>
        <w:t xml:space="preserve"> financial security</w:t>
      </w:r>
      <w:r>
        <w:rPr>
          <w:rFonts w:ascii="Times New Roman" w:hAnsi="Times New Roman"/>
          <w:sz w:val="24"/>
          <w:szCs w:val="24"/>
        </w:rPr>
        <w:t xml:space="preserve"> (The Daily Star, January 10, 2022). Since the transfer of money will become easier, more people will likely get scammed without a proper institutional framework. </w:t>
      </w:r>
      <w:r>
        <w:rPr>
          <w:rStyle w:val="Hyperlink1"/>
          <w:rFonts w:ascii="Times New Roman" w:hAnsi="Times New Roman"/>
          <w:sz w:val="24"/>
          <w:szCs w:val="24"/>
        </w:rPr>
        <w:t>In Bangladesh, the institutional quality is still low and affects various aspects of economic performance</w:t>
      </w:r>
      <w:r>
        <w:rPr>
          <w:rFonts w:ascii="Times New Roman" w:hAnsi="Times New Roman"/>
          <w:sz w:val="24"/>
          <w:szCs w:val="24"/>
        </w:rPr>
        <w:t xml:space="preserve"> (IMF, 2013). </w:t>
      </w:r>
      <w:hyperlink r:id="rId11" w:history="1">
        <w:r>
          <w:rPr>
            <w:rStyle w:val="Hyperlink1"/>
            <w:rFonts w:ascii="Times New Roman" w:hAnsi="Times New Roman"/>
            <w:sz w:val="24"/>
            <w:szCs w:val="24"/>
          </w:rPr>
          <w:t>The country also faces some challenges in improving its institutional quality, such as corruption, political interference, lack of transparency, and weak enforcement</w:t>
        </w:r>
      </w:hyperlink>
      <w:r>
        <w:rPr>
          <w:rFonts w:ascii="Times New Roman" w:hAnsi="Times New Roman"/>
          <w:sz w:val="24"/>
          <w:szCs w:val="24"/>
        </w:rPr>
        <w:t xml:space="preserve">. As we have a bitter history of financial vulnerability and Ponzi schemes, the government has remained protective on this subject for a long time (The Daily Star, August 31, 2023). But </w:t>
      </w:r>
      <w:r w:rsidR="002A522F">
        <w:rPr>
          <w:rFonts w:ascii="Times New Roman" w:hAnsi="Times New Roman"/>
          <w:sz w:val="24"/>
          <w:szCs w:val="24"/>
        </w:rPr>
        <w:t>again,</w:t>
      </w:r>
      <w:r>
        <w:rPr>
          <w:rFonts w:ascii="Times New Roman" w:hAnsi="Times New Roman"/>
          <w:sz w:val="24"/>
          <w:szCs w:val="24"/>
        </w:rPr>
        <w:t xml:space="preserve"> when it comes to calculating the pros and cons, the advantages of transactional freedom </w:t>
      </w:r>
      <w:r w:rsidR="002A522F">
        <w:rPr>
          <w:rFonts w:ascii="Times New Roman" w:hAnsi="Times New Roman"/>
          <w:sz w:val="24"/>
          <w:szCs w:val="24"/>
        </w:rPr>
        <w:t>outpace</w:t>
      </w:r>
      <w:r>
        <w:rPr>
          <w:rFonts w:ascii="Times New Roman" w:hAnsi="Times New Roman"/>
          <w:sz w:val="24"/>
          <w:szCs w:val="24"/>
        </w:rPr>
        <w:t xml:space="preserve"> the drawbacks by some distance. The government should try to limit the disadvantages of international transactions by regulating the potential scamming possibilities and maintaining authenticity rather than limiting the movement of money.</w:t>
      </w:r>
    </w:p>
    <w:p w:rsidR="00DF3B5D" w:rsidRDefault="00DF3B5D">
      <w:pPr>
        <w:pStyle w:val="Body"/>
        <w:spacing w:line="300" w:lineRule="auto"/>
        <w:jc w:val="both"/>
        <w:rPr>
          <w:rFonts w:ascii="Times New Roman" w:eastAsia="Times New Roman" w:hAnsi="Times New Roman" w:cs="Times New Roman"/>
          <w:sz w:val="24"/>
          <w:szCs w:val="24"/>
        </w:rPr>
      </w:pPr>
    </w:p>
    <w:p w:rsidR="00DF3B5D" w:rsidRPr="00DF3B5D" w:rsidRDefault="00DF3B5D" w:rsidP="00DF3B5D">
      <w:pPr>
        <w:keepNext/>
        <w:keepLines/>
        <w:spacing w:before="240"/>
        <w:outlineLvl w:val="0"/>
        <w:rPr>
          <w:rFonts w:asciiTheme="majorHAnsi" w:eastAsia="Times New Roman" w:hAnsiTheme="majorHAnsi"/>
          <w:color w:val="365F91" w:themeColor="accent1" w:themeShade="BF"/>
          <w:sz w:val="32"/>
          <w:szCs w:val="32"/>
        </w:rPr>
      </w:pPr>
      <w:r>
        <w:rPr>
          <w:rFonts w:asciiTheme="majorHAnsi" w:eastAsiaTheme="majorEastAsia" w:hAnsiTheme="majorHAnsi" w:cstheme="majorBidi"/>
          <w:color w:val="365F91" w:themeColor="accent1" w:themeShade="BF"/>
          <w:sz w:val="32"/>
          <w:szCs w:val="32"/>
        </w:rPr>
        <w:t>6</w:t>
      </w:r>
      <w:r w:rsidRPr="00DF3B5D">
        <w:rPr>
          <w:rFonts w:asciiTheme="majorHAnsi" w:eastAsiaTheme="majorEastAsia" w:hAnsiTheme="majorHAnsi" w:cstheme="majorBidi"/>
          <w:color w:val="365F91" w:themeColor="accent1" w:themeShade="BF"/>
          <w:sz w:val="32"/>
          <w:szCs w:val="32"/>
        </w:rPr>
        <w:t>. Conclusion</w:t>
      </w:r>
    </w:p>
    <w:p w:rsidR="00DF3B5D" w:rsidRPr="00DF3B5D" w:rsidRDefault="00DF3B5D" w:rsidP="00DF3B5D">
      <w:pPr>
        <w:spacing w:after="200" w:line="300" w:lineRule="auto"/>
        <w:jc w:val="both"/>
        <w:rPr>
          <w:rFonts w:eastAsia="Times New Roman"/>
          <w:color w:val="000000"/>
          <w:u w:color="000000"/>
        </w:rPr>
      </w:pPr>
      <w:r w:rsidRPr="00DF3B5D">
        <w:rPr>
          <w:rFonts w:cs="Arial Unicode MS"/>
          <w:color w:val="000000"/>
          <w:u w:color="000000"/>
        </w:rPr>
        <w:t xml:space="preserve">The smart economy based on IT and IT enabled services can expand our export and offer immense potential and opportunities for Bangladesh, but it also poses some barriers and challenges that hinder its full participation and integration in the global </w:t>
      </w:r>
      <w:proofErr w:type="gramStart"/>
      <w:r w:rsidRPr="00DF3B5D">
        <w:rPr>
          <w:rFonts w:cs="Arial Unicode MS"/>
          <w:color w:val="000000"/>
          <w:u w:color="000000"/>
        </w:rPr>
        <w:t>market  One</w:t>
      </w:r>
      <w:proofErr w:type="gramEnd"/>
      <w:r w:rsidRPr="00DF3B5D">
        <w:rPr>
          <w:rFonts w:cs="Arial Unicode MS"/>
          <w:color w:val="000000"/>
          <w:u w:color="000000"/>
        </w:rPr>
        <w:t xml:space="preserve"> of these barriers is the restrictive and complex foreign exchange regulation and transaction guidelines that govern the inflow and outflow of foreign currency in the country and affect export. Flexible international transaction policies have been a necessity for the people of our country </w:t>
      </w:r>
      <w:proofErr w:type="gramStart"/>
      <w:r w:rsidRPr="00DF3B5D">
        <w:rPr>
          <w:rFonts w:cs="Arial Unicode MS"/>
          <w:color w:val="000000"/>
          <w:u w:color="000000"/>
        </w:rPr>
        <w:t>since  the</w:t>
      </w:r>
      <w:proofErr w:type="gramEnd"/>
      <w:r w:rsidRPr="00DF3B5D">
        <w:rPr>
          <w:rFonts w:cs="Arial Unicode MS"/>
          <w:color w:val="000000"/>
          <w:u w:color="000000"/>
        </w:rPr>
        <w:t xml:space="preserve"> world is constantly getting globally engaged financially.  . IT and IT enabled services like Freelancing, E-commerce and F-commerce, Fintech, and, Retail Investment in global financial markets are some of the emerging trends and opportunities in the digital economy that can expand export </w:t>
      </w:r>
      <w:proofErr w:type="gramStart"/>
      <w:r w:rsidRPr="00DF3B5D">
        <w:rPr>
          <w:rFonts w:cs="Arial Unicode MS"/>
          <w:color w:val="000000"/>
          <w:u w:color="000000"/>
        </w:rPr>
        <w:t>of  Bangladesh</w:t>
      </w:r>
      <w:proofErr w:type="gramEnd"/>
      <w:r w:rsidRPr="00DF3B5D">
        <w:rPr>
          <w:rFonts w:cs="Arial Unicode MS"/>
          <w:color w:val="000000"/>
          <w:u w:color="000000"/>
        </w:rPr>
        <w:t xml:space="preserve">. In this paper, we have tried to understand the origins, effects, and solutions of the restrictive foreign exchange regulation and transaction guidelines in Bangladesh. By having global access to our funds, we can achieve significant outcomes in our already involved digital activities and explore potential involvement in the ocean of numerous options the modern world has presented to us.  The Government needs to assess the scenario to </w:t>
      </w:r>
      <w:r w:rsidRPr="00DF3B5D">
        <w:rPr>
          <w:rFonts w:cs="Arial Unicode MS"/>
          <w:color w:val="000000"/>
          <w:u w:color="000000"/>
        </w:rPr>
        <w:lastRenderedPageBreak/>
        <w:t>overcome the challenges in the process of customizing the desired policies which will empower the people to cash in the high-yield opportunities export and remover the bar of financial activities of the country to international standards.</w:t>
      </w:r>
    </w:p>
    <w:p w:rsidR="00DF3B5D" w:rsidRDefault="00DF3B5D">
      <w:pPr>
        <w:pStyle w:val="Body"/>
        <w:spacing w:line="300" w:lineRule="auto"/>
        <w:jc w:val="both"/>
        <w:rPr>
          <w:rFonts w:ascii="Times New Roman" w:eastAsia="Times New Roman" w:hAnsi="Times New Roman" w:cs="Times New Roman"/>
          <w:sz w:val="24"/>
          <w:szCs w:val="24"/>
        </w:rPr>
      </w:pPr>
    </w:p>
    <w:p w:rsidR="00197BDE" w:rsidRPr="006702FC" w:rsidRDefault="00DF3B5D" w:rsidP="006702FC">
      <w:pPr>
        <w:pStyle w:val="Heading1"/>
        <w:rPr>
          <w:rStyle w:val="None"/>
        </w:rPr>
      </w:pPr>
      <w:r>
        <w:rPr>
          <w:rStyle w:val="None"/>
        </w:rPr>
        <w:t>7</w:t>
      </w:r>
      <w:r w:rsidR="0047629B">
        <w:rPr>
          <w:rStyle w:val="None"/>
        </w:rPr>
        <w:t xml:space="preserve">. </w:t>
      </w:r>
      <w:r w:rsidR="00197BDE" w:rsidRPr="006702FC">
        <w:rPr>
          <w:rStyle w:val="None"/>
        </w:rPr>
        <w:t>Recommendations</w:t>
      </w:r>
    </w:p>
    <w:p w:rsidR="009A35B1" w:rsidRDefault="001838EA">
      <w:pPr>
        <w:pStyle w:val="Body"/>
        <w:spacing w:line="30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Since the government is quite concerned about the negative impacts of a more open system of transferring money internationally, here are some recommendations to bridge the gap between comfort and protection and create a better framework for international transaction policies.</w:t>
      </w:r>
    </w:p>
    <w:p w:rsidR="009A35B1" w:rsidRDefault="001838EA">
      <w:pPr>
        <w:pStyle w:val="ListParagraph"/>
        <w:numPr>
          <w:ilvl w:val="0"/>
          <w:numId w:val="4"/>
        </w:numPr>
        <w:spacing w:line="300" w:lineRule="auto"/>
        <w:jc w:val="both"/>
        <w:rPr>
          <w:rFonts w:ascii="Times New Roman" w:hAnsi="Times New Roman"/>
          <w:sz w:val="24"/>
          <w:szCs w:val="24"/>
        </w:rPr>
      </w:pPr>
      <w:r>
        <w:rPr>
          <w:rFonts w:ascii="Times New Roman" w:hAnsi="Times New Roman"/>
          <w:sz w:val="24"/>
          <w:szCs w:val="24"/>
        </w:rPr>
        <w:t>Relaxing the foreign exchange regulation and transaction guidelines for Freelancers, E-commerce and F-commerce platforms, fintech companies and their customers, and, retail investors in global financial markets by allowing them to open and operate foreign currency accounts or cards with ADs or money changers.</w:t>
      </w:r>
      <w:r w:rsidR="002A522F">
        <w:rPr>
          <w:rFonts w:ascii="Times New Roman" w:hAnsi="Times New Roman"/>
          <w:sz w:val="24"/>
          <w:szCs w:val="24"/>
        </w:rPr>
        <w:t xml:space="preserve"> This policy will enhance Bangladesh IT and IT enabled services export from </w:t>
      </w:r>
      <w:proofErr w:type="spellStart"/>
      <w:r w:rsidR="002A522F">
        <w:rPr>
          <w:rFonts w:ascii="Times New Roman" w:hAnsi="Times New Roman"/>
          <w:sz w:val="24"/>
          <w:szCs w:val="24"/>
        </w:rPr>
        <w:t>Bangaldesh</w:t>
      </w:r>
      <w:proofErr w:type="spellEnd"/>
      <w:r w:rsidR="002A522F">
        <w:rPr>
          <w:rFonts w:ascii="Times New Roman" w:hAnsi="Times New Roman"/>
          <w:sz w:val="24"/>
          <w:szCs w:val="24"/>
        </w:rPr>
        <w:t>.</w:t>
      </w:r>
      <w:r>
        <w:rPr>
          <w:rFonts w:ascii="Times New Roman" w:hAnsi="Times New Roman"/>
          <w:sz w:val="24"/>
          <w:szCs w:val="24"/>
        </w:rPr>
        <w:t xml:space="preserve"> Proper monitoring of International transactions should be ensured while allowing them to access international financial markets without prior approval from the Bangladesh Bank rather than complete restriction.</w:t>
      </w:r>
    </w:p>
    <w:p w:rsidR="002A522F" w:rsidRDefault="001838EA">
      <w:pPr>
        <w:pStyle w:val="ListParagraph"/>
        <w:numPr>
          <w:ilvl w:val="0"/>
          <w:numId w:val="4"/>
        </w:numPr>
        <w:spacing w:line="300" w:lineRule="auto"/>
        <w:jc w:val="both"/>
        <w:rPr>
          <w:rFonts w:ascii="Times New Roman" w:hAnsi="Times New Roman"/>
          <w:sz w:val="24"/>
          <w:szCs w:val="24"/>
        </w:rPr>
      </w:pPr>
      <w:r>
        <w:rPr>
          <w:rFonts w:ascii="Times New Roman" w:hAnsi="Times New Roman"/>
          <w:sz w:val="24"/>
          <w:szCs w:val="24"/>
        </w:rPr>
        <w:t>Reducing the taxation rates and duties on imported goods and services by rationalizing the tariff structure</w:t>
      </w:r>
      <w:r w:rsidR="002A522F">
        <w:rPr>
          <w:rFonts w:ascii="Times New Roman" w:hAnsi="Times New Roman"/>
          <w:sz w:val="24"/>
          <w:szCs w:val="24"/>
        </w:rPr>
        <w:t xml:space="preserve"> is essential</w:t>
      </w:r>
      <w:r>
        <w:rPr>
          <w:rFonts w:ascii="Times New Roman" w:hAnsi="Times New Roman"/>
          <w:sz w:val="24"/>
          <w:szCs w:val="24"/>
        </w:rPr>
        <w:t>. Taxes should be calculated and paid properly with administrative efficiency and convenience to the taxpayers by simplifying the tax administration and providing exemptions or refunds for</w:t>
      </w:r>
      <w:r w:rsidR="002A522F">
        <w:rPr>
          <w:rFonts w:ascii="Times New Roman" w:hAnsi="Times New Roman"/>
          <w:sz w:val="24"/>
          <w:szCs w:val="24"/>
        </w:rPr>
        <w:t xml:space="preserve"> IT and IT enabled services. </w:t>
      </w:r>
    </w:p>
    <w:p w:rsidR="009A35B1" w:rsidRDefault="001838EA" w:rsidP="002A522F">
      <w:pPr>
        <w:pStyle w:val="ListParagraph"/>
        <w:numPr>
          <w:ilvl w:val="0"/>
          <w:numId w:val="4"/>
        </w:numPr>
        <w:spacing w:line="300" w:lineRule="auto"/>
        <w:jc w:val="both"/>
        <w:rPr>
          <w:rFonts w:ascii="Times New Roman" w:hAnsi="Times New Roman"/>
          <w:sz w:val="24"/>
          <w:szCs w:val="24"/>
        </w:rPr>
      </w:pPr>
      <w:r>
        <w:rPr>
          <w:rFonts w:ascii="Times New Roman" w:hAnsi="Times New Roman"/>
          <w:sz w:val="24"/>
          <w:szCs w:val="24"/>
        </w:rPr>
        <w:t>The information about Inflows and outflows of money should be transparent. Transactional details should be well preserved to avoid the unwanted occurrence. Suspicious financial activities should remain under strict observation to counter money laundering. Scamming and illegal monetary activities such as gambling or betting should strictly be prohibited to safeguard people's rights to financial transactions.</w:t>
      </w:r>
      <w:r w:rsidR="002A522F">
        <w:rPr>
          <w:rFonts w:ascii="Times New Roman" w:hAnsi="Times New Roman"/>
          <w:sz w:val="24"/>
          <w:szCs w:val="24"/>
        </w:rPr>
        <w:t xml:space="preserve"> </w:t>
      </w:r>
      <w:r w:rsidR="002A522F">
        <w:rPr>
          <w:rStyle w:val="None"/>
          <w:rFonts w:ascii="Times New Roman" w:hAnsi="Times New Roman"/>
          <w:sz w:val="24"/>
          <w:szCs w:val="24"/>
        </w:rPr>
        <w:t>Strong institutional framework for determining country’s performance in Economic Management, Structural Policies, Policies for Social Inclusion and Equity and Public Sector Management and Institutions need to be ensued.</w:t>
      </w:r>
      <w:r w:rsidR="002A522F">
        <w:rPr>
          <w:rFonts w:ascii="Times New Roman" w:hAnsi="Times New Roman"/>
          <w:sz w:val="24"/>
          <w:szCs w:val="24"/>
        </w:rPr>
        <w:t xml:space="preserve"> </w:t>
      </w:r>
      <w:proofErr w:type="gramStart"/>
      <w:r w:rsidR="002A522F">
        <w:rPr>
          <w:rFonts w:ascii="Times New Roman" w:hAnsi="Times New Roman"/>
          <w:sz w:val="24"/>
          <w:szCs w:val="24"/>
        </w:rPr>
        <w:t xml:space="preserve">Then </w:t>
      </w:r>
      <w:r>
        <w:rPr>
          <w:rFonts w:ascii="Times New Roman" w:hAnsi="Times New Roman"/>
          <w:sz w:val="24"/>
          <w:szCs w:val="24"/>
        </w:rPr>
        <w:t xml:space="preserve"> a</w:t>
      </w:r>
      <w:proofErr w:type="gramEnd"/>
      <w:r>
        <w:rPr>
          <w:rFonts w:ascii="Times New Roman" w:hAnsi="Times New Roman"/>
          <w:sz w:val="24"/>
          <w:szCs w:val="24"/>
        </w:rPr>
        <w:t xml:space="preserve"> stable growth of the financial market brings trust, competition, and proper monitoring to the table which attracts people to invest and experience a long-term gradual growth of wealth.</w:t>
      </w:r>
    </w:p>
    <w:p w:rsidR="009A35B1" w:rsidRDefault="001838EA">
      <w:pPr>
        <w:pStyle w:val="ListParagraph"/>
        <w:numPr>
          <w:ilvl w:val="0"/>
          <w:numId w:val="4"/>
        </w:numPr>
        <w:spacing w:line="300" w:lineRule="auto"/>
        <w:jc w:val="both"/>
        <w:rPr>
          <w:rFonts w:ascii="Times New Roman" w:hAnsi="Times New Roman"/>
          <w:sz w:val="24"/>
          <w:szCs w:val="24"/>
        </w:rPr>
      </w:pPr>
      <w:r>
        <w:rPr>
          <w:rFonts w:ascii="Times New Roman" w:hAnsi="Times New Roman"/>
          <w:sz w:val="24"/>
          <w:szCs w:val="24"/>
        </w:rPr>
        <w:t xml:space="preserve">Laws regarding financial corruption should be redesigned and applied to take the facilities of international transactions for Freelancers, E-commerce and F-commerce platforms, Fintech companies and their customers, and, retail investors in global financial </w:t>
      </w:r>
      <w:r>
        <w:rPr>
          <w:rFonts w:ascii="Times New Roman" w:hAnsi="Times New Roman"/>
          <w:sz w:val="24"/>
          <w:szCs w:val="24"/>
        </w:rPr>
        <w:lastRenderedPageBreak/>
        <w:t>markets into account. All the stakeholders should be allowed to participate in the discussion about bringing regulations around transferring money internationally.</w:t>
      </w:r>
    </w:p>
    <w:p w:rsidR="009A35B1" w:rsidRDefault="001838EA">
      <w:pPr>
        <w:pStyle w:val="ListParagraph"/>
        <w:numPr>
          <w:ilvl w:val="0"/>
          <w:numId w:val="4"/>
        </w:numPr>
        <w:spacing w:line="300" w:lineRule="auto"/>
        <w:jc w:val="both"/>
        <w:rPr>
          <w:rFonts w:ascii="Times New Roman" w:hAnsi="Times New Roman"/>
          <w:sz w:val="24"/>
          <w:szCs w:val="24"/>
        </w:rPr>
      </w:pPr>
      <w:r>
        <w:rPr>
          <w:rFonts w:ascii="Times New Roman" w:hAnsi="Times New Roman"/>
          <w:sz w:val="24"/>
          <w:szCs w:val="24"/>
        </w:rPr>
        <w:t>Recognizing Freelancing as a formal sector and providing legal protection, social security, taxation benefits, and other facilities for freelancers</w:t>
      </w:r>
      <w:r w:rsidR="002A522F">
        <w:rPr>
          <w:rFonts w:ascii="Times New Roman" w:hAnsi="Times New Roman"/>
          <w:sz w:val="24"/>
          <w:szCs w:val="24"/>
        </w:rPr>
        <w:t xml:space="preserve"> so that it directly </w:t>
      </w:r>
      <w:proofErr w:type="gramStart"/>
      <w:r w:rsidR="002A522F">
        <w:rPr>
          <w:rFonts w:ascii="Times New Roman" w:hAnsi="Times New Roman"/>
          <w:sz w:val="24"/>
          <w:szCs w:val="24"/>
        </w:rPr>
        <w:t>contribute</w:t>
      </w:r>
      <w:proofErr w:type="gramEnd"/>
      <w:r w:rsidR="002A522F">
        <w:rPr>
          <w:rFonts w:ascii="Times New Roman" w:hAnsi="Times New Roman"/>
          <w:sz w:val="24"/>
          <w:szCs w:val="24"/>
        </w:rPr>
        <w:t xml:space="preserve"> to enhance our export growth</w:t>
      </w:r>
      <w:r>
        <w:rPr>
          <w:rFonts w:ascii="Times New Roman" w:hAnsi="Times New Roman"/>
          <w:sz w:val="24"/>
          <w:szCs w:val="24"/>
        </w:rPr>
        <w:t>. Supporting freelancers to access online resources and platforms that can help them improve their skills, showcase their work, find new clients, and join global networks.</w:t>
      </w:r>
    </w:p>
    <w:p w:rsidR="009A35B1" w:rsidRDefault="001838EA">
      <w:pPr>
        <w:pStyle w:val="ListParagraph"/>
        <w:numPr>
          <w:ilvl w:val="0"/>
          <w:numId w:val="4"/>
        </w:numPr>
        <w:spacing w:line="300" w:lineRule="auto"/>
        <w:jc w:val="both"/>
        <w:rPr>
          <w:rFonts w:ascii="Times New Roman" w:hAnsi="Times New Roman"/>
          <w:sz w:val="24"/>
          <w:szCs w:val="24"/>
        </w:rPr>
      </w:pPr>
      <w:r>
        <w:rPr>
          <w:rFonts w:ascii="Times New Roman" w:hAnsi="Times New Roman"/>
          <w:sz w:val="24"/>
          <w:szCs w:val="24"/>
        </w:rPr>
        <w:t>Local fintech services should be encouraged for global expansion</w:t>
      </w:r>
      <w:r w:rsidR="002A522F">
        <w:rPr>
          <w:rFonts w:ascii="Times New Roman" w:hAnsi="Times New Roman"/>
          <w:sz w:val="24"/>
          <w:szCs w:val="24"/>
        </w:rPr>
        <w:t xml:space="preserve"> to enhance export</w:t>
      </w:r>
      <w:r>
        <w:rPr>
          <w:rFonts w:ascii="Times New Roman" w:hAnsi="Times New Roman"/>
          <w:sz w:val="24"/>
          <w:szCs w:val="24"/>
        </w:rPr>
        <w:t xml:space="preserve"> but necessary accountabilities to the government need to ensure by facilitating their payment options, providing incentives or subsidies for their purchases, creating partnerships or collaborations with foreign providers or platforms, etc.</w:t>
      </w:r>
    </w:p>
    <w:p w:rsidR="009A35B1" w:rsidRDefault="001838EA">
      <w:pPr>
        <w:pStyle w:val="ListParagraph"/>
        <w:numPr>
          <w:ilvl w:val="0"/>
          <w:numId w:val="4"/>
        </w:numPr>
        <w:spacing w:line="300" w:lineRule="auto"/>
        <w:jc w:val="both"/>
        <w:rPr>
          <w:rFonts w:ascii="Times New Roman" w:hAnsi="Times New Roman"/>
          <w:sz w:val="24"/>
          <w:szCs w:val="24"/>
        </w:rPr>
      </w:pPr>
      <w:r>
        <w:rPr>
          <w:rFonts w:ascii="Times New Roman" w:hAnsi="Times New Roman"/>
          <w:sz w:val="24"/>
          <w:szCs w:val="24"/>
        </w:rPr>
        <w:t>Global marketplaces, E-commerce and F-commerce industries, investment solutions, and fintech services should be welcome</w:t>
      </w:r>
      <w:r w:rsidR="002A522F">
        <w:rPr>
          <w:rFonts w:ascii="Times New Roman" w:hAnsi="Times New Roman"/>
          <w:sz w:val="24"/>
          <w:szCs w:val="24"/>
        </w:rPr>
        <w:t>. It will facilitate foreign direct investment in Bangladesh</w:t>
      </w:r>
      <w:r>
        <w:rPr>
          <w:rFonts w:ascii="Times New Roman" w:hAnsi="Times New Roman"/>
          <w:sz w:val="24"/>
          <w:szCs w:val="24"/>
        </w:rPr>
        <w:t xml:space="preserve"> </w:t>
      </w:r>
      <w:r w:rsidR="002A522F">
        <w:rPr>
          <w:rFonts w:ascii="Times New Roman" w:hAnsi="Times New Roman"/>
          <w:sz w:val="24"/>
          <w:szCs w:val="24"/>
        </w:rPr>
        <w:t>facilitate foreign</w:t>
      </w:r>
      <w:r>
        <w:rPr>
          <w:rFonts w:ascii="Times New Roman" w:hAnsi="Times New Roman"/>
          <w:sz w:val="24"/>
          <w:szCs w:val="24"/>
        </w:rPr>
        <w:t xml:space="preserve"> partnerships with the local ones in Bangladesh</w:t>
      </w:r>
      <w:r w:rsidR="002A522F">
        <w:rPr>
          <w:rFonts w:ascii="Times New Roman" w:hAnsi="Times New Roman"/>
          <w:sz w:val="24"/>
          <w:szCs w:val="24"/>
        </w:rPr>
        <w:t xml:space="preserve">. </w:t>
      </w:r>
      <w:r w:rsidR="0047629B">
        <w:rPr>
          <w:rFonts w:ascii="Times New Roman" w:hAnsi="Times New Roman"/>
          <w:sz w:val="24"/>
          <w:szCs w:val="24"/>
        </w:rPr>
        <w:t xml:space="preserve">Therefore, </w:t>
      </w:r>
      <w:r>
        <w:rPr>
          <w:rFonts w:ascii="Times New Roman" w:hAnsi="Times New Roman"/>
          <w:sz w:val="24"/>
          <w:szCs w:val="24"/>
        </w:rPr>
        <w:t>making necessary changes in the policies, supporting their customers to access international payment gateways, credit cards, or digital wallets by facilitating their integration options, providing incentives or subsidies for their usage</w:t>
      </w:r>
      <w:r w:rsidR="0047629B">
        <w:rPr>
          <w:rFonts w:ascii="Times New Roman" w:hAnsi="Times New Roman"/>
          <w:sz w:val="24"/>
          <w:szCs w:val="24"/>
        </w:rPr>
        <w:t xml:space="preserve"> need to be ensured</w:t>
      </w:r>
      <w:r>
        <w:rPr>
          <w:rFonts w:ascii="Times New Roman" w:hAnsi="Times New Roman"/>
          <w:sz w:val="24"/>
          <w:szCs w:val="24"/>
        </w:rPr>
        <w:t>.</w:t>
      </w:r>
    </w:p>
    <w:p w:rsidR="009A35B1" w:rsidRDefault="001838EA">
      <w:pPr>
        <w:pStyle w:val="ListParagraph"/>
        <w:numPr>
          <w:ilvl w:val="0"/>
          <w:numId w:val="4"/>
        </w:numPr>
        <w:spacing w:line="300" w:lineRule="auto"/>
        <w:jc w:val="both"/>
        <w:rPr>
          <w:rFonts w:ascii="Times New Roman" w:hAnsi="Times New Roman"/>
          <w:sz w:val="24"/>
          <w:szCs w:val="24"/>
        </w:rPr>
      </w:pPr>
      <w:r>
        <w:rPr>
          <w:rFonts w:ascii="Times New Roman" w:hAnsi="Times New Roman"/>
          <w:sz w:val="24"/>
          <w:szCs w:val="24"/>
        </w:rPr>
        <w:t xml:space="preserve">Introducing complex and facilitated forms of financial instruments in the domestic financial markets by developing new products, creating new platforms, providing education and awareness, and encouraging innovation. </w:t>
      </w:r>
      <w:r>
        <w:rPr>
          <w:rStyle w:val="None"/>
          <w:rFonts w:ascii="Times New Roman" w:hAnsi="Times New Roman"/>
          <w:sz w:val="24"/>
          <w:szCs w:val="24"/>
          <w:u w:color="5B9BD5"/>
        </w:rPr>
        <w:t>The b</w:t>
      </w:r>
      <w:r>
        <w:rPr>
          <w:rFonts w:ascii="Times New Roman" w:hAnsi="Times New Roman"/>
          <w:sz w:val="24"/>
          <w:szCs w:val="24"/>
        </w:rPr>
        <w:t xml:space="preserve">usinesses have less havoc getting public investment than getting investments through bank loans. It will ease capital accumulation and run the business rather than paying interest no matter what the business is doing. In addition, there will be healthy competition among the businesses both </w:t>
      </w:r>
      <w:proofErr w:type="gramStart"/>
      <w:r>
        <w:rPr>
          <w:rFonts w:ascii="Times New Roman" w:hAnsi="Times New Roman"/>
          <w:sz w:val="24"/>
          <w:szCs w:val="24"/>
        </w:rPr>
        <w:t xml:space="preserve">listed </w:t>
      </w:r>
      <w:r w:rsidR="0047629B">
        <w:rPr>
          <w:rFonts w:ascii="Times New Roman" w:hAnsi="Times New Roman"/>
          <w:sz w:val="24"/>
          <w:szCs w:val="24"/>
        </w:rPr>
        <w:t xml:space="preserve"> and</w:t>
      </w:r>
      <w:proofErr w:type="gramEnd"/>
      <w:r w:rsidR="0047629B">
        <w:rPr>
          <w:rFonts w:ascii="Times New Roman" w:hAnsi="Times New Roman"/>
          <w:sz w:val="24"/>
          <w:szCs w:val="24"/>
        </w:rPr>
        <w:t xml:space="preserve"> non-listed</w:t>
      </w:r>
      <w:r>
        <w:rPr>
          <w:rFonts w:ascii="Times New Roman" w:hAnsi="Times New Roman"/>
          <w:sz w:val="24"/>
          <w:szCs w:val="24"/>
        </w:rPr>
        <w:t xml:space="preserve"> traded financial instruments</w:t>
      </w:r>
      <w:r w:rsidR="0047629B">
        <w:rPr>
          <w:rFonts w:ascii="Times New Roman" w:hAnsi="Times New Roman"/>
          <w:sz w:val="24"/>
          <w:szCs w:val="24"/>
        </w:rPr>
        <w:t>,</w:t>
      </w:r>
      <w:r>
        <w:rPr>
          <w:rFonts w:ascii="Times New Roman" w:hAnsi="Times New Roman"/>
          <w:sz w:val="24"/>
          <w:szCs w:val="24"/>
        </w:rPr>
        <w:t xml:space="preserve"> as the companies will try their best to have positive revenue, earnings, and cash flow to remain or enter the listing for getting better funding in the future.</w:t>
      </w:r>
    </w:p>
    <w:p w:rsidR="009A35B1" w:rsidRDefault="001838EA">
      <w:pPr>
        <w:pStyle w:val="ListParagraph"/>
        <w:numPr>
          <w:ilvl w:val="0"/>
          <w:numId w:val="4"/>
        </w:numPr>
        <w:spacing w:line="300" w:lineRule="auto"/>
        <w:jc w:val="both"/>
        <w:rPr>
          <w:rFonts w:ascii="Times New Roman" w:hAnsi="Times New Roman"/>
          <w:sz w:val="24"/>
          <w:szCs w:val="24"/>
        </w:rPr>
      </w:pPr>
      <w:r>
        <w:rPr>
          <w:rFonts w:ascii="Times New Roman" w:hAnsi="Times New Roman"/>
          <w:sz w:val="24"/>
          <w:szCs w:val="24"/>
        </w:rPr>
        <w:t>Last but not least, it is imperative to improve the governance, transparency, liquidity, and stability of the domestic financial markets by strengthening the regulatory framework, protecting consumer rights, data security, cybercrime prevention, enhancing disclosure standards, promoting market competition, and developing market infrastructure.</w:t>
      </w:r>
    </w:p>
    <w:p w:rsidR="009A35B1" w:rsidRDefault="009A35B1">
      <w:pPr>
        <w:pStyle w:val="Body"/>
        <w:spacing w:line="300" w:lineRule="auto"/>
        <w:jc w:val="both"/>
        <w:rPr>
          <w:rFonts w:ascii="Times New Roman" w:eastAsia="Times New Roman" w:hAnsi="Times New Roman" w:cs="Times New Roman"/>
          <w:sz w:val="24"/>
          <w:szCs w:val="24"/>
        </w:rPr>
      </w:pPr>
    </w:p>
    <w:p w:rsidR="00062D3A" w:rsidRPr="00062D3A" w:rsidRDefault="00062D3A" w:rsidP="00062D3A">
      <w:pPr>
        <w:pStyle w:val="Body"/>
        <w:spacing w:line="300" w:lineRule="auto"/>
        <w:jc w:val="both"/>
        <w:rPr>
          <w:rFonts w:ascii="Arial Unicode MS" w:hAnsi="Arial Unicode MS"/>
          <w:b/>
          <w:sz w:val="24"/>
          <w:szCs w:val="24"/>
        </w:rPr>
      </w:pPr>
      <w:r w:rsidRPr="00062D3A">
        <w:rPr>
          <w:rFonts w:ascii="Arial Unicode MS" w:hAnsi="Arial Unicode MS"/>
          <w:b/>
          <w:sz w:val="24"/>
          <w:szCs w:val="24"/>
        </w:rPr>
        <w:t>Disclaimer (Artificial intelligence)</w:t>
      </w:r>
    </w:p>
    <w:p w:rsidR="00062D3A" w:rsidRPr="00062D3A" w:rsidRDefault="00062D3A" w:rsidP="00062D3A">
      <w:pPr>
        <w:pStyle w:val="Body"/>
        <w:spacing w:line="300" w:lineRule="auto"/>
        <w:jc w:val="both"/>
        <w:rPr>
          <w:rFonts w:ascii="Arial Unicode MS" w:hAnsi="Arial Unicode MS"/>
          <w:sz w:val="24"/>
          <w:szCs w:val="24"/>
        </w:rPr>
      </w:pPr>
      <w:r w:rsidRPr="00062D3A">
        <w:rPr>
          <w:rFonts w:ascii="Arial Unicode MS" w:hAnsi="Arial Unicode MS"/>
          <w:sz w:val="24"/>
          <w:szCs w:val="24"/>
        </w:rPr>
        <w:lastRenderedPageBreak/>
        <w:t xml:space="preserve">Option 1: </w:t>
      </w:r>
    </w:p>
    <w:p w:rsidR="00062D3A" w:rsidRPr="00062D3A" w:rsidRDefault="00062D3A" w:rsidP="00062D3A">
      <w:pPr>
        <w:pStyle w:val="Body"/>
        <w:spacing w:line="300" w:lineRule="auto"/>
        <w:jc w:val="both"/>
        <w:rPr>
          <w:rFonts w:ascii="Arial Unicode MS" w:hAnsi="Arial Unicode MS"/>
          <w:sz w:val="24"/>
          <w:szCs w:val="24"/>
        </w:rPr>
      </w:pPr>
      <w:r w:rsidRPr="00062D3A">
        <w:rPr>
          <w:rFonts w:ascii="Arial Unicode MS" w:hAnsi="Arial Unicode MS"/>
          <w:sz w:val="24"/>
          <w:szCs w:val="24"/>
        </w:rPr>
        <w:t>Author(s) hereby declare that NO generative AI technologies such as Large Language Models (</w:t>
      </w:r>
      <w:proofErr w:type="spellStart"/>
      <w:r w:rsidRPr="00062D3A">
        <w:rPr>
          <w:rFonts w:ascii="Arial Unicode MS" w:hAnsi="Arial Unicode MS"/>
          <w:sz w:val="24"/>
          <w:szCs w:val="24"/>
        </w:rPr>
        <w:t>ChatGPT</w:t>
      </w:r>
      <w:proofErr w:type="spellEnd"/>
      <w:r w:rsidRPr="00062D3A">
        <w:rPr>
          <w:rFonts w:ascii="Arial Unicode MS" w:hAnsi="Arial Unicode MS"/>
          <w:sz w:val="24"/>
          <w:szCs w:val="24"/>
        </w:rPr>
        <w:t xml:space="preserve">, COPILOT, etc.) and text-to-image generators have been used during the writing or editing of this manuscript. </w:t>
      </w:r>
    </w:p>
    <w:p w:rsidR="00062D3A" w:rsidRPr="00062D3A" w:rsidRDefault="00062D3A" w:rsidP="00062D3A">
      <w:pPr>
        <w:pStyle w:val="Body"/>
        <w:spacing w:line="300" w:lineRule="auto"/>
        <w:jc w:val="both"/>
        <w:rPr>
          <w:rFonts w:ascii="Arial Unicode MS" w:hAnsi="Arial Unicode MS"/>
          <w:sz w:val="24"/>
          <w:szCs w:val="24"/>
        </w:rPr>
      </w:pPr>
      <w:r w:rsidRPr="00062D3A">
        <w:rPr>
          <w:rFonts w:ascii="Arial Unicode MS" w:hAnsi="Arial Unicode MS"/>
          <w:sz w:val="24"/>
          <w:szCs w:val="24"/>
        </w:rPr>
        <w:t xml:space="preserve">Option 2: </w:t>
      </w:r>
    </w:p>
    <w:p w:rsidR="00062D3A" w:rsidRPr="00062D3A" w:rsidRDefault="00062D3A" w:rsidP="00062D3A">
      <w:pPr>
        <w:pStyle w:val="Body"/>
        <w:spacing w:line="300" w:lineRule="auto"/>
        <w:jc w:val="both"/>
        <w:rPr>
          <w:rFonts w:ascii="Arial Unicode MS" w:hAnsi="Arial Unicode MS"/>
          <w:sz w:val="24"/>
          <w:szCs w:val="24"/>
        </w:rPr>
      </w:pPr>
      <w:r w:rsidRPr="00062D3A">
        <w:rPr>
          <w:rFonts w:ascii="Arial Unicode MS" w:hAnsi="Arial Unicode M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62D3A" w:rsidRPr="00062D3A" w:rsidRDefault="00062D3A" w:rsidP="00062D3A">
      <w:pPr>
        <w:pStyle w:val="Body"/>
        <w:spacing w:line="300" w:lineRule="auto"/>
        <w:jc w:val="both"/>
        <w:rPr>
          <w:rFonts w:ascii="Arial Unicode MS" w:hAnsi="Arial Unicode MS"/>
          <w:sz w:val="24"/>
          <w:szCs w:val="24"/>
        </w:rPr>
      </w:pPr>
      <w:r w:rsidRPr="00062D3A">
        <w:rPr>
          <w:rFonts w:ascii="Arial Unicode MS" w:hAnsi="Arial Unicode MS"/>
          <w:sz w:val="24"/>
          <w:szCs w:val="24"/>
        </w:rPr>
        <w:t>Details of the AI usage are given below:</w:t>
      </w:r>
    </w:p>
    <w:p w:rsidR="00062D3A" w:rsidRPr="00062D3A" w:rsidRDefault="00062D3A" w:rsidP="00062D3A">
      <w:pPr>
        <w:pStyle w:val="Body"/>
        <w:spacing w:line="300" w:lineRule="auto"/>
        <w:jc w:val="both"/>
        <w:rPr>
          <w:rFonts w:ascii="Arial Unicode MS" w:hAnsi="Arial Unicode MS"/>
          <w:sz w:val="24"/>
          <w:szCs w:val="24"/>
        </w:rPr>
      </w:pPr>
      <w:r w:rsidRPr="00062D3A">
        <w:rPr>
          <w:rFonts w:ascii="Arial Unicode MS" w:hAnsi="Arial Unicode MS"/>
          <w:sz w:val="24"/>
          <w:szCs w:val="24"/>
        </w:rPr>
        <w:t>1.</w:t>
      </w:r>
    </w:p>
    <w:p w:rsidR="00062D3A" w:rsidRPr="00062D3A" w:rsidRDefault="00062D3A" w:rsidP="00062D3A">
      <w:pPr>
        <w:pStyle w:val="Body"/>
        <w:spacing w:line="300" w:lineRule="auto"/>
        <w:jc w:val="both"/>
        <w:rPr>
          <w:rFonts w:ascii="Arial Unicode MS" w:hAnsi="Arial Unicode MS"/>
          <w:sz w:val="24"/>
          <w:szCs w:val="24"/>
        </w:rPr>
      </w:pPr>
      <w:r w:rsidRPr="00062D3A">
        <w:rPr>
          <w:rFonts w:ascii="Arial Unicode MS" w:hAnsi="Arial Unicode MS"/>
          <w:sz w:val="24"/>
          <w:szCs w:val="24"/>
        </w:rPr>
        <w:t>2.</w:t>
      </w:r>
    </w:p>
    <w:p w:rsidR="009A35B1" w:rsidRDefault="00062D3A" w:rsidP="00062D3A">
      <w:pPr>
        <w:pStyle w:val="Body"/>
        <w:spacing w:line="300" w:lineRule="auto"/>
        <w:jc w:val="both"/>
      </w:pPr>
      <w:r w:rsidRPr="00062D3A">
        <w:rPr>
          <w:rFonts w:ascii="Arial Unicode MS" w:hAnsi="Arial Unicode MS"/>
          <w:sz w:val="24"/>
          <w:szCs w:val="24"/>
        </w:rPr>
        <w:t>3.</w:t>
      </w:r>
      <w:r w:rsidR="001838EA">
        <w:rPr>
          <w:rFonts w:ascii="Arial Unicode MS" w:hAnsi="Arial Unicode MS"/>
          <w:sz w:val="24"/>
          <w:szCs w:val="24"/>
        </w:rPr>
        <w:br w:type="page"/>
      </w:r>
    </w:p>
    <w:p w:rsidR="009A35B1" w:rsidRDefault="001838EA">
      <w:pPr>
        <w:pStyle w:val="Body"/>
        <w:spacing w:line="30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References</w:t>
      </w:r>
    </w:p>
    <w:p w:rsidR="009A35B1" w:rsidRDefault="001838EA">
      <w:pPr>
        <w:pStyle w:val="Body"/>
        <w:numPr>
          <w:ilvl w:val="0"/>
          <w:numId w:val="5"/>
        </w:numPr>
        <w:spacing w:line="300" w:lineRule="auto"/>
        <w:jc w:val="both"/>
        <w:rPr>
          <w:rFonts w:ascii="Times New Roman" w:hAnsi="Times New Roman"/>
          <w:sz w:val="24"/>
          <w:szCs w:val="24"/>
        </w:rPr>
      </w:pPr>
      <w:proofErr w:type="spellStart"/>
      <w:r>
        <w:rPr>
          <w:rFonts w:ascii="Times New Roman" w:hAnsi="Times New Roman"/>
          <w:sz w:val="24"/>
          <w:szCs w:val="24"/>
        </w:rPr>
        <w:t>Ayoo</w:t>
      </w:r>
      <w:proofErr w:type="spellEnd"/>
      <w:r>
        <w:rPr>
          <w:rFonts w:ascii="Times New Roman" w:hAnsi="Times New Roman"/>
          <w:sz w:val="24"/>
          <w:szCs w:val="24"/>
        </w:rPr>
        <w:t xml:space="preserve">, C. (2022). Poverty reduction strategies in developing countries. </w:t>
      </w:r>
      <w:r>
        <w:rPr>
          <w:rStyle w:val="None"/>
          <w:rFonts w:ascii="Times New Roman" w:hAnsi="Times New Roman"/>
          <w:i/>
          <w:iCs/>
          <w:sz w:val="24"/>
          <w:szCs w:val="24"/>
        </w:rPr>
        <w:t>Rural Development-Education, Sustainability, Multifunctionality</w:t>
      </w:r>
      <w:r>
        <w:rPr>
          <w:rFonts w:ascii="Times New Roman" w:hAnsi="Times New Roman"/>
          <w:sz w:val="24"/>
          <w:szCs w:val="24"/>
        </w:rPr>
        <w:t>.</w:t>
      </w:r>
    </w:p>
    <w:p w:rsidR="009A35B1" w:rsidRDefault="001838EA">
      <w:pPr>
        <w:pStyle w:val="Body"/>
        <w:numPr>
          <w:ilvl w:val="0"/>
          <w:numId w:val="5"/>
        </w:numPr>
        <w:spacing w:line="300" w:lineRule="auto"/>
        <w:jc w:val="both"/>
        <w:rPr>
          <w:rFonts w:ascii="Times New Roman" w:hAnsi="Times New Roman"/>
          <w:sz w:val="24"/>
          <w:szCs w:val="24"/>
        </w:rPr>
      </w:pPr>
      <w:proofErr w:type="spellStart"/>
      <w:r>
        <w:rPr>
          <w:rFonts w:ascii="Times New Roman" w:hAnsi="Times New Roman"/>
          <w:sz w:val="24"/>
          <w:szCs w:val="24"/>
        </w:rPr>
        <w:t>Banga</w:t>
      </w:r>
      <w:proofErr w:type="spellEnd"/>
      <w:r>
        <w:rPr>
          <w:rFonts w:ascii="Times New Roman" w:hAnsi="Times New Roman"/>
          <w:sz w:val="24"/>
          <w:szCs w:val="24"/>
        </w:rPr>
        <w:t xml:space="preserve">, K., &amp; Mendez-Parra, M. (2021). Leveraging E-Commerce in Bangladesh for Post-Crisis Recovery. </w:t>
      </w:r>
      <w:r>
        <w:rPr>
          <w:rStyle w:val="None"/>
          <w:rFonts w:ascii="Times New Roman" w:hAnsi="Times New Roman"/>
          <w:i/>
          <w:iCs/>
          <w:sz w:val="24"/>
          <w:szCs w:val="24"/>
        </w:rPr>
        <w:t>Bangladesh Trade Policy and Negotiation Capacity Building Support Project.</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Bangladesh Bank. (1947). </w:t>
      </w:r>
      <w:r>
        <w:rPr>
          <w:rStyle w:val="None"/>
          <w:rFonts w:ascii="Times New Roman" w:hAnsi="Times New Roman"/>
          <w:i/>
          <w:iCs/>
          <w:sz w:val="24"/>
          <w:szCs w:val="24"/>
        </w:rPr>
        <w:t>Foreign Exchange Regulation Act 1947</w:t>
      </w:r>
      <w:r>
        <w:rPr>
          <w:rFonts w:ascii="Times New Roman" w:hAnsi="Times New Roman"/>
          <w:sz w:val="24"/>
          <w:szCs w:val="24"/>
        </w:rPr>
        <w:t>. Bangladesh Bank.</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Bangladesh Bank. (2017, November 30). </w:t>
      </w:r>
      <w:r>
        <w:rPr>
          <w:rStyle w:val="None"/>
          <w:rFonts w:ascii="Times New Roman" w:hAnsi="Times New Roman"/>
          <w:i/>
          <w:iCs/>
          <w:sz w:val="24"/>
          <w:szCs w:val="24"/>
        </w:rPr>
        <w:t>Guidelines for Foreign Exchange Transactions (GFET)</w:t>
      </w:r>
      <w:r>
        <w:rPr>
          <w:rFonts w:ascii="Times New Roman" w:hAnsi="Times New Roman"/>
          <w:sz w:val="24"/>
          <w:szCs w:val="24"/>
        </w:rPr>
        <w:t>. Bangladesh Bank.</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Bhattacharya, R. (2000). External Sector Reform and Public Enterprise Restructuring.</w:t>
      </w:r>
    </w:p>
    <w:p w:rsidR="009A35B1" w:rsidRDefault="001838EA">
      <w:pPr>
        <w:pStyle w:val="Body"/>
        <w:numPr>
          <w:ilvl w:val="0"/>
          <w:numId w:val="5"/>
        </w:numPr>
        <w:spacing w:line="300" w:lineRule="auto"/>
        <w:jc w:val="both"/>
        <w:rPr>
          <w:rFonts w:ascii="Times New Roman" w:hAnsi="Times New Roman"/>
          <w:sz w:val="24"/>
          <w:szCs w:val="24"/>
        </w:rPr>
      </w:pPr>
      <w:proofErr w:type="spellStart"/>
      <w:r>
        <w:rPr>
          <w:rFonts w:ascii="Times New Roman" w:hAnsi="Times New Roman"/>
          <w:sz w:val="24"/>
          <w:szCs w:val="24"/>
        </w:rPr>
        <w:t>Bhowmick</w:t>
      </w:r>
      <w:proofErr w:type="spellEnd"/>
      <w:r>
        <w:rPr>
          <w:rFonts w:ascii="Times New Roman" w:hAnsi="Times New Roman"/>
          <w:sz w:val="24"/>
          <w:szCs w:val="24"/>
        </w:rPr>
        <w:t xml:space="preserve">, S. (2022, December 20). </w:t>
      </w:r>
      <w:proofErr w:type="spellStart"/>
      <w:r>
        <w:rPr>
          <w:rFonts w:ascii="Times New Roman" w:hAnsi="Times New Roman"/>
          <w:sz w:val="24"/>
          <w:szCs w:val="24"/>
        </w:rPr>
        <w:t>Analysing</w:t>
      </w:r>
      <w:proofErr w:type="spellEnd"/>
      <w:r>
        <w:rPr>
          <w:rFonts w:ascii="Times New Roman" w:hAnsi="Times New Roman"/>
          <w:sz w:val="24"/>
          <w:szCs w:val="24"/>
        </w:rPr>
        <w:t xml:space="preserve"> Bangladesh</w:t>
      </w:r>
      <w:r>
        <w:rPr>
          <w:rFonts w:ascii="Times New Roman" w:hAnsi="Times New Roman"/>
          <w:sz w:val="24"/>
          <w:szCs w:val="24"/>
          <w:rtl/>
        </w:rPr>
        <w:t>’</w:t>
      </w:r>
      <w:r>
        <w:rPr>
          <w:rFonts w:ascii="Times New Roman" w:hAnsi="Times New Roman"/>
          <w:sz w:val="24"/>
          <w:szCs w:val="24"/>
        </w:rPr>
        <w:t xml:space="preserve">s balance of payments situation. </w:t>
      </w:r>
      <w:r>
        <w:rPr>
          <w:rStyle w:val="None"/>
          <w:rFonts w:ascii="Times New Roman" w:hAnsi="Times New Roman"/>
          <w:i/>
          <w:iCs/>
          <w:sz w:val="24"/>
          <w:szCs w:val="24"/>
        </w:rPr>
        <w:t>Observer Research Foundation.</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Dhaka Tribune. (2017, July 22). Oxford: Bangladesh second largest source of online workers. </w:t>
      </w:r>
      <w:r>
        <w:rPr>
          <w:rStyle w:val="None"/>
          <w:rFonts w:ascii="Times New Roman" w:hAnsi="Times New Roman"/>
          <w:i/>
          <w:iCs/>
          <w:sz w:val="24"/>
          <w:szCs w:val="24"/>
        </w:rPr>
        <w:t xml:space="preserve">Dhaka Tribune. </w:t>
      </w:r>
      <w:r>
        <w:rPr>
          <w:rFonts w:ascii="Times New Roman" w:hAnsi="Times New Roman"/>
          <w:sz w:val="24"/>
          <w:szCs w:val="24"/>
        </w:rPr>
        <w:t>Retrieved from https://www.dhakatribune.com/around-the-web/41969/oxford-bangladesh-second-largest-source-of-online</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Dhaka Tribune. (2022, February 26). </w:t>
      </w:r>
      <w:r>
        <w:rPr>
          <w:rFonts w:ascii="Times New Roman" w:hAnsi="Times New Roman"/>
          <w:sz w:val="24"/>
          <w:szCs w:val="24"/>
          <w:lang w:val="da-DK"/>
        </w:rPr>
        <w:t>Bangladesh</w:t>
      </w:r>
      <w:r>
        <w:rPr>
          <w:rFonts w:ascii="Times New Roman" w:hAnsi="Times New Roman"/>
          <w:sz w:val="24"/>
          <w:szCs w:val="24"/>
          <w:rtl/>
        </w:rPr>
        <w:t>’</w:t>
      </w:r>
      <w:r>
        <w:rPr>
          <w:rFonts w:ascii="Times New Roman" w:hAnsi="Times New Roman"/>
          <w:sz w:val="24"/>
          <w:szCs w:val="24"/>
        </w:rPr>
        <w:t xml:space="preserve">s e-commerce market to triple by 2023, predicts ADB. </w:t>
      </w:r>
      <w:r>
        <w:rPr>
          <w:rStyle w:val="None"/>
          <w:rFonts w:ascii="Times New Roman" w:hAnsi="Times New Roman"/>
          <w:i/>
          <w:iCs/>
          <w:sz w:val="24"/>
          <w:szCs w:val="24"/>
        </w:rPr>
        <w:t xml:space="preserve">Dhaka Tribune. </w:t>
      </w:r>
      <w:r>
        <w:rPr>
          <w:rFonts w:ascii="Times New Roman" w:hAnsi="Times New Roman"/>
          <w:sz w:val="24"/>
          <w:szCs w:val="24"/>
        </w:rPr>
        <w:t>Retrieved from https://www.dhakatribune.com/business/264544/bangladesh</w:t>
      </w:r>
      <w:r>
        <w:rPr>
          <w:rFonts w:ascii="Times New Roman" w:hAnsi="Times New Roman"/>
          <w:sz w:val="24"/>
          <w:szCs w:val="24"/>
          <w:rtl/>
        </w:rPr>
        <w:t>’</w:t>
      </w:r>
      <w:r>
        <w:rPr>
          <w:rFonts w:ascii="Times New Roman" w:hAnsi="Times New Roman"/>
          <w:sz w:val="24"/>
          <w:szCs w:val="24"/>
        </w:rPr>
        <w:t>s-e-commerce-market-to-triple-by-2023</w:t>
      </w:r>
    </w:p>
    <w:p w:rsidR="009A35B1" w:rsidRDefault="001838EA">
      <w:pPr>
        <w:pStyle w:val="Body"/>
        <w:numPr>
          <w:ilvl w:val="0"/>
          <w:numId w:val="5"/>
        </w:numPr>
        <w:spacing w:line="300" w:lineRule="auto"/>
        <w:jc w:val="both"/>
        <w:rPr>
          <w:rFonts w:ascii="Times New Roman" w:hAnsi="Times New Roman"/>
          <w:sz w:val="24"/>
          <w:szCs w:val="24"/>
        </w:rPr>
      </w:pPr>
      <w:proofErr w:type="spellStart"/>
      <w:r>
        <w:rPr>
          <w:rFonts w:ascii="Times New Roman" w:hAnsi="Times New Roman"/>
          <w:sz w:val="24"/>
          <w:szCs w:val="24"/>
        </w:rPr>
        <w:t>Ethier</w:t>
      </w:r>
      <w:proofErr w:type="spellEnd"/>
      <w:r>
        <w:rPr>
          <w:rFonts w:ascii="Times New Roman" w:hAnsi="Times New Roman"/>
          <w:sz w:val="24"/>
          <w:szCs w:val="24"/>
        </w:rPr>
        <w:t xml:space="preserve">, W. (1979). Expectations and the asset-market approach to the exchange rate. </w:t>
      </w:r>
      <w:r>
        <w:rPr>
          <w:rStyle w:val="None"/>
          <w:rFonts w:ascii="Times New Roman" w:hAnsi="Times New Roman"/>
          <w:i/>
          <w:iCs/>
          <w:sz w:val="24"/>
          <w:szCs w:val="24"/>
        </w:rPr>
        <w:t>Journal of Monetary Economics</w:t>
      </w:r>
      <w:r>
        <w:rPr>
          <w:rFonts w:ascii="Times New Roman" w:hAnsi="Times New Roman"/>
          <w:sz w:val="24"/>
          <w:szCs w:val="24"/>
        </w:rPr>
        <w:t xml:space="preserve">, </w:t>
      </w:r>
      <w:r>
        <w:rPr>
          <w:rStyle w:val="None"/>
          <w:rFonts w:ascii="Times New Roman" w:hAnsi="Times New Roman"/>
          <w:i/>
          <w:iCs/>
          <w:sz w:val="24"/>
          <w:szCs w:val="24"/>
        </w:rPr>
        <w:t>5</w:t>
      </w:r>
      <w:r>
        <w:rPr>
          <w:rFonts w:ascii="Times New Roman" w:hAnsi="Times New Roman"/>
          <w:sz w:val="24"/>
          <w:szCs w:val="24"/>
        </w:rPr>
        <w:t xml:space="preserve">(2), 259-282. </w:t>
      </w:r>
    </w:p>
    <w:p w:rsidR="009A35B1" w:rsidRDefault="001838EA">
      <w:pPr>
        <w:pStyle w:val="Body"/>
        <w:numPr>
          <w:ilvl w:val="0"/>
          <w:numId w:val="5"/>
        </w:numPr>
        <w:spacing w:line="300" w:lineRule="auto"/>
        <w:jc w:val="both"/>
        <w:rPr>
          <w:rFonts w:ascii="Times New Roman" w:hAnsi="Times New Roman"/>
          <w:sz w:val="24"/>
          <w:szCs w:val="24"/>
          <w:lang w:val="it-IT"/>
        </w:rPr>
      </w:pPr>
      <w:r>
        <w:rPr>
          <w:rFonts w:ascii="Times New Roman" w:hAnsi="Times New Roman"/>
          <w:sz w:val="24"/>
          <w:szCs w:val="24"/>
          <w:lang w:val="it-IT"/>
        </w:rPr>
        <w:t xml:space="preserve">Ffrench-Davis, R., Pietrobelli, C., Zamagni, S., &amp; Ocampo, J. A. (2000). </w:t>
      </w:r>
      <w:r>
        <w:rPr>
          <w:rStyle w:val="None"/>
          <w:rFonts w:ascii="Times New Roman" w:hAnsi="Times New Roman"/>
          <w:i/>
          <w:iCs/>
          <w:sz w:val="24"/>
          <w:szCs w:val="24"/>
        </w:rPr>
        <w:t>Financial globalization and the emerging economies</w:t>
      </w:r>
      <w:r>
        <w:rPr>
          <w:rFonts w:ascii="Times New Roman" w:hAnsi="Times New Roman"/>
          <w:sz w:val="24"/>
          <w:szCs w:val="24"/>
          <w:lang w:val="de-DE"/>
        </w:rPr>
        <w:t>. ECLAC.</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Frenkel, J. A. (1977). A monetary approach to the exchange rate: doctrinal aspects and empirical evidence. In </w:t>
      </w:r>
      <w:r>
        <w:rPr>
          <w:rStyle w:val="None"/>
          <w:rFonts w:ascii="Times New Roman" w:hAnsi="Times New Roman"/>
          <w:i/>
          <w:iCs/>
          <w:sz w:val="24"/>
          <w:szCs w:val="24"/>
        </w:rPr>
        <w:t>Flexible Exchange rates and stabilization policy</w:t>
      </w:r>
      <w:r>
        <w:rPr>
          <w:rFonts w:ascii="Times New Roman" w:hAnsi="Times New Roman"/>
          <w:sz w:val="24"/>
          <w:szCs w:val="24"/>
          <w:lang w:val="it-IT"/>
        </w:rPr>
        <w:t xml:space="preserve"> (pp. 68-92). London: Palgrave Macmillan UK.</w:t>
      </w:r>
      <w:r>
        <w:rPr>
          <w:rFonts w:ascii="Times New Roman" w:hAnsi="Times New Roman"/>
          <w:sz w:val="24"/>
          <w:szCs w:val="24"/>
        </w:rPr>
        <w:t xml:space="preserve"> </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Frenkel, J. A., &amp; </w:t>
      </w:r>
      <w:proofErr w:type="spellStart"/>
      <w:r>
        <w:rPr>
          <w:rFonts w:ascii="Times New Roman" w:hAnsi="Times New Roman"/>
          <w:sz w:val="24"/>
          <w:szCs w:val="24"/>
        </w:rPr>
        <w:t>Mussa</w:t>
      </w:r>
      <w:proofErr w:type="spellEnd"/>
      <w:r>
        <w:rPr>
          <w:rFonts w:ascii="Times New Roman" w:hAnsi="Times New Roman"/>
          <w:sz w:val="24"/>
          <w:szCs w:val="24"/>
        </w:rPr>
        <w:t xml:space="preserve">, M. L. (1985). Asset markets, exchange rates and the balance of payments. </w:t>
      </w:r>
      <w:r>
        <w:rPr>
          <w:rStyle w:val="None"/>
          <w:rFonts w:ascii="Times New Roman" w:hAnsi="Times New Roman"/>
          <w:i/>
          <w:iCs/>
          <w:sz w:val="24"/>
          <w:szCs w:val="24"/>
        </w:rPr>
        <w:t>Handbook of international economics</w:t>
      </w:r>
      <w:r>
        <w:rPr>
          <w:rFonts w:ascii="Times New Roman" w:hAnsi="Times New Roman"/>
          <w:sz w:val="24"/>
          <w:szCs w:val="24"/>
        </w:rPr>
        <w:t xml:space="preserve">, </w:t>
      </w:r>
      <w:r>
        <w:rPr>
          <w:rStyle w:val="None"/>
          <w:rFonts w:ascii="Times New Roman" w:hAnsi="Times New Roman"/>
          <w:i/>
          <w:iCs/>
          <w:sz w:val="24"/>
          <w:szCs w:val="24"/>
        </w:rPr>
        <w:t>2</w:t>
      </w:r>
      <w:r>
        <w:rPr>
          <w:rFonts w:ascii="Times New Roman" w:hAnsi="Times New Roman"/>
          <w:sz w:val="24"/>
          <w:szCs w:val="24"/>
        </w:rPr>
        <w:t>, 679-747.</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Huh, I. (2021). Monetary Policy Transmission Mechanism of Bangladesh.</w:t>
      </w:r>
    </w:p>
    <w:p w:rsidR="009A35B1" w:rsidRDefault="001838EA">
      <w:pPr>
        <w:pStyle w:val="Body"/>
        <w:numPr>
          <w:ilvl w:val="0"/>
          <w:numId w:val="5"/>
        </w:numPr>
        <w:spacing w:line="300" w:lineRule="auto"/>
        <w:jc w:val="both"/>
        <w:rPr>
          <w:rFonts w:ascii="Times New Roman" w:hAnsi="Times New Roman"/>
          <w:sz w:val="24"/>
          <w:szCs w:val="24"/>
        </w:rPr>
      </w:pPr>
      <w:proofErr w:type="spellStart"/>
      <w:r>
        <w:rPr>
          <w:rFonts w:ascii="Times New Roman" w:hAnsi="Times New Roman"/>
          <w:sz w:val="24"/>
          <w:szCs w:val="24"/>
        </w:rPr>
        <w:lastRenderedPageBreak/>
        <w:t>Ikenberry</w:t>
      </w:r>
      <w:proofErr w:type="spellEnd"/>
      <w:r>
        <w:rPr>
          <w:rFonts w:ascii="Times New Roman" w:hAnsi="Times New Roman"/>
          <w:sz w:val="24"/>
          <w:szCs w:val="24"/>
        </w:rPr>
        <w:t xml:space="preserve">, G. J. (1988). Conclusion: an institutional approach to American foreign economic policy. </w:t>
      </w:r>
      <w:r>
        <w:rPr>
          <w:rStyle w:val="None"/>
          <w:rFonts w:ascii="Times New Roman" w:hAnsi="Times New Roman"/>
          <w:i/>
          <w:iCs/>
          <w:sz w:val="24"/>
          <w:szCs w:val="24"/>
        </w:rPr>
        <w:t>International organization</w:t>
      </w:r>
      <w:r>
        <w:rPr>
          <w:rFonts w:ascii="Times New Roman" w:hAnsi="Times New Roman"/>
          <w:sz w:val="24"/>
          <w:szCs w:val="24"/>
        </w:rPr>
        <w:t xml:space="preserve">, </w:t>
      </w:r>
      <w:r>
        <w:rPr>
          <w:rStyle w:val="None"/>
          <w:rFonts w:ascii="Times New Roman" w:hAnsi="Times New Roman"/>
          <w:i/>
          <w:iCs/>
          <w:sz w:val="24"/>
          <w:szCs w:val="24"/>
        </w:rPr>
        <w:t>42</w:t>
      </w:r>
      <w:r>
        <w:rPr>
          <w:rFonts w:ascii="Times New Roman" w:hAnsi="Times New Roman"/>
          <w:sz w:val="24"/>
          <w:szCs w:val="24"/>
        </w:rPr>
        <w:t>(1), 219-243.</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International Monetary Fund. (2013, March). </w:t>
      </w:r>
      <w:r>
        <w:rPr>
          <w:rStyle w:val="None"/>
          <w:rFonts w:ascii="Times New Roman" w:hAnsi="Times New Roman"/>
          <w:i/>
          <w:iCs/>
          <w:sz w:val="24"/>
          <w:szCs w:val="24"/>
        </w:rPr>
        <w:t>Bangladesh: Poverty Reduction Strategy Paper</w:t>
      </w:r>
      <w:r>
        <w:rPr>
          <w:rFonts w:ascii="Times New Roman" w:hAnsi="Times New Roman"/>
          <w:sz w:val="24"/>
          <w:szCs w:val="24"/>
        </w:rPr>
        <w:t xml:space="preserve">. IMF Country Report No. 13/63, Washington D.C. </w:t>
      </w:r>
      <w:r>
        <w:rPr>
          <w:rFonts w:ascii="Times New Roman" w:hAnsi="Times New Roman"/>
          <w:sz w:val="24"/>
          <w:szCs w:val="24"/>
          <w:lang w:val="de-DE"/>
        </w:rPr>
        <w:t xml:space="preserve">© </w:t>
      </w:r>
      <w:r>
        <w:rPr>
          <w:rFonts w:ascii="Times New Roman" w:hAnsi="Times New Roman"/>
          <w:sz w:val="24"/>
          <w:szCs w:val="24"/>
        </w:rPr>
        <w:t>2013 International Monetary Fund.</w:t>
      </w:r>
    </w:p>
    <w:p w:rsidR="00197BDE" w:rsidRPr="006702FC" w:rsidRDefault="00197BDE" w:rsidP="006702FC">
      <w:pPr>
        <w:pStyle w:val="Body"/>
        <w:numPr>
          <w:ilvl w:val="0"/>
          <w:numId w:val="5"/>
        </w:numPr>
        <w:spacing w:after="0" w:line="240" w:lineRule="auto"/>
        <w:jc w:val="both"/>
        <w:rPr>
          <w:rFonts w:asciiTheme="minorHAnsi" w:hAnsiTheme="minorHAnsi" w:cstheme="minorHAnsi"/>
          <w:sz w:val="24"/>
          <w:szCs w:val="24"/>
        </w:rPr>
      </w:pPr>
      <w:r w:rsidRPr="006702FC">
        <w:rPr>
          <w:rFonts w:asciiTheme="minorHAnsi" w:hAnsiTheme="minorHAnsi" w:cstheme="minorHAnsi"/>
          <w:sz w:val="24"/>
          <w:szCs w:val="24"/>
        </w:rPr>
        <w:t xml:space="preserve">International Trade Centre. (n.d.). </w:t>
      </w:r>
      <w:r w:rsidRPr="006702FC">
        <w:rPr>
          <w:rStyle w:val="Emphasis"/>
          <w:rFonts w:asciiTheme="minorHAnsi" w:hAnsiTheme="minorHAnsi" w:cstheme="minorHAnsi"/>
          <w:sz w:val="24"/>
          <w:szCs w:val="24"/>
        </w:rPr>
        <w:t>Service exports — Bangladesh</w:t>
      </w:r>
      <w:r w:rsidRPr="006702FC">
        <w:rPr>
          <w:rFonts w:asciiTheme="minorHAnsi" w:hAnsiTheme="minorHAnsi" w:cstheme="minorHAnsi"/>
          <w:sz w:val="24"/>
          <w:szCs w:val="24"/>
        </w:rPr>
        <w:t xml:space="preserve"> (Trade Map). Retrieved </w:t>
      </w:r>
      <w:r w:rsidRPr="006702FC">
        <w:rPr>
          <w:rStyle w:val="Strong"/>
          <w:rFonts w:asciiTheme="minorHAnsi" w:hAnsiTheme="minorHAnsi" w:cstheme="minorHAnsi"/>
          <w:b w:val="0"/>
          <w:sz w:val="24"/>
          <w:szCs w:val="24"/>
        </w:rPr>
        <w:t>December 21, 2025</w:t>
      </w:r>
      <w:r w:rsidRPr="006702FC">
        <w:rPr>
          <w:rFonts w:asciiTheme="minorHAnsi" w:hAnsiTheme="minorHAnsi" w:cstheme="minorHAnsi"/>
          <w:sz w:val="24"/>
          <w:szCs w:val="24"/>
        </w:rPr>
        <w:t xml:space="preserve">, from </w:t>
      </w:r>
      <w:hyperlink r:id="rId12" w:tgtFrame="_new" w:history="1">
        <w:r w:rsidRPr="006702FC">
          <w:rPr>
            <w:rStyle w:val="Hyperlink"/>
            <w:rFonts w:asciiTheme="minorHAnsi" w:hAnsiTheme="minorHAnsi" w:cstheme="minorHAnsi"/>
            <w:sz w:val="24"/>
            <w:szCs w:val="24"/>
          </w:rPr>
          <w:t>https://www.trademap.org/Service_SelCountry_TS.aspx?nvpm=1%7c050%7c%7c%7c%7c%7c%7cS09%7c2%7c3%7c1%7c1%7c2%7c1%7c5%7c1%7c1%7c1</w:t>
        </w:r>
      </w:hyperlink>
    </w:p>
    <w:p w:rsidR="009A35B1" w:rsidRDefault="001838EA">
      <w:pPr>
        <w:pStyle w:val="Body"/>
        <w:numPr>
          <w:ilvl w:val="0"/>
          <w:numId w:val="5"/>
        </w:numPr>
        <w:spacing w:line="300" w:lineRule="auto"/>
        <w:jc w:val="both"/>
        <w:rPr>
          <w:rFonts w:ascii="Times New Roman" w:hAnsi="Times New Roman"/>
          <w:sz w:val="24"/>
          <w:szCs w:val="24"/>
        </w:rPr>
      </w:pPr>
      <w:proofErr w:type="spellStart"/>
      <w:r>
        <w:rPr>
          <w:rFonts w:ascii="Times New Roman" w:hAnsi="Times New Roman"/>
          <w:sz w:val="24"/>
          <w:szCs w:val="24"/>
        </w:rPr>
        <w:t>Kalirajan</w:t>
      </w:r>
      <w:proofErr w:type="spellEnd"/>
      <w:r>
        <w:rPr>
          <w:rFonts w:ascii="Times New Roman" w:hAnsi="Times New Roman"/>
          <w:sz w:val="24"/>
          <w:szCs w:val="24"/>
        </w:rPr>
        <w:t xml:space="preserve">, K. P., &amp; Salim, R. A. (1997). Economic Reforms and Productive Capacity </w:t>
      </w:r>
      <w:proofErr w:type="spellStart"/>
      <w:r>
        <w:rPr>
          <w:rFonts w:ascii="Times New Roman" w:hAnsi="Times New Roman"/>
          <w:sz w:val="24"/>
          <w:szCs w:val="24"/>
        </w:rPr>
        <w:t>Realisation</w:t>
      </w:r>
      <w:proofErr w:type="spellEnd"/>
      <w:r>
        <w:rPr>
          <w:rFonts w:ascii="Times New Roman" w:hAnsi="Times New Roman"/>
          <w:sz w:val="24"/>
          <w:szCs w:val="24"/>
        </w:rPr>
        <w:t xml:space="preserve"> in Bangladesh: An Empirical Analysis. The Journal of Industrial Economics, 45(4), 387–403. http://www.jstor.org/stable/2950608</w:t>
      </w:r>
    </w:p>
    <w:p w:rsidR="009A35B1" w:rsidRDefault="001838EA">
      <w:pPr>
        <w:pStyle w:val="Body"/>
        <w:numPr>
          <w:ilvl w:val="0"/>
          <w:numId w:val="5"/>
        </w:numPr>
        <w:spacing w:line="300" w:lineRule="auto"/>
        <w:jc w:val="both"/>
        <w:rPr>
          <w:rFonts w:ascii="Times New Roman" w:hAnsi="Times New Roman"/>
          <w:sz w:val="24"/>
          <w:szCs w:val="24"/>
        </w:rPr>
      </w:pPr>
      <w:proofErr w:type="spellStart"/>
      <w:r>
        <w:rPr>
          <w:rFonts w:ascii="Times New Roman" w:hAnsi="Times New Roman"/>
          <w:sz w:val="24"/>
          <w:szCs w:val="24"/>
        </w:rPr>
        <w:t>Kouri</w:t>
      </w:r>
      <w:proofErr w:type="spellEnd"/>
      <w:r>
        <w:rPr>
          <w:rFonts w:ascii="Times New Roman" w:hAnsi="Times New Roman"/>
          <w:sz w:val="24"/>
          <w:szCs w:val="24"/>
        </w:rPr>
        <w:t xml:space="preserve">, P. J. (1976). The exchange rate and the balance of payments in the short run and in the long run: A monetary approach. In </w:t>
      </w:r>
      <w:r>
        <w:rPr>
          <w:rStyle w:val="None"/>
          <w:rFonts w:ascii="Times New Roman" w:hAnsi="Times New Roman"/>
          <w:i/>
          <w:iCs/>
          <w:sz w:val="24"/>
          <w:szCs w:val="24"/>
        </w:rPr>
        <w:t>Flexible Exchange Rates and Stabilization Policy</w:t>
      </w:r>
      <w:r>
        <w:rPr>
          <w:rFonts w:ascii="Times New Roman" w:hAnsi="Times New Roman"/>
          <w:sz w:val="24"/>
          <w:szCs w:val="24"/>
          <w:lang w:val="it-IT"/>
        </w:rPr>
        <w:t xml:space="preserve"> (pp. 148-172). London: Palgrave Macmillan UK.</w:t>
      </w:r>
      <w:r>
        <w:rPr>
          <w:rFonts w:ascii="Times New Roman" w:hAnsi="Times New Roman"/>
          <w:sz w:val="24"/>
          <w:szCs w:val="24"/>
        </w:rPr>
        <w:t xml:space="preserve"> </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Krueger, A. O. (1969). Balance-of-payments theory. </w:t>
      </w:r>
      <w:r>
        <w:rPr>
          <w:rStyle w:val="None"/>
          <w:rFonts w:ascii="Times New Roman" w:hAnsi="Times New Roman"/>
          <w:i/>
          <w:iCs/>
          <w:sz w:val="24"/>
          <w:szCs w:val="24"/>
        </w:rPr>
        <w:t>Journal of Economic Literature</w:t>
      </w:r>
      <w:r>
        <w:rPr>
          <w:rFonts w:ascii="Times New Roman" w:hAnsi="Times New Roman"/>
          <w:sz w:val="24"/>
          <w:szCs w:val="24"/>
        </w:rPr>
        <w:t xml:space="preserve">, </w:t>
      </w:r>
      <w:r>
        <w:rPr>
          <w:rStyle w:val="None"/>
          <w:rFonts w:ascii="Times New Roman" w:hAnsi="Times New Roman"/>
          <w:i/>
          <w:iCs/>
          <w:sz w:val="24"/>
          <w:szCs w:val="24"/>
        </w:rPr>
        <w:t>7</w:t>
      </w:r>
      <w:r>
        <w:rPr>
          <w:rFonts w:ascii="Times New Roman" w:hAnsi="Times New Roman"/>
          <w:sz w:val="24"/>
          <w:szCs w:val="24"/>
        </w:rPr>
        <w:t>(1), 1-26.</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Krugman, P. (1979). A model of balance-of-payments crises. </w:t>
      </w:r>
      <w:r>
        <w:rPr>
          <w:rStyle w:val="None"/>
          <w:rFonts w:ascii="Times New Roman" w:hAnsi="Times New Roman"/>
          <w:i/>
          <w:iCs/>
          <w:sz w:val="24"/>
          <w:szCs w:val="24"/>
        </w:rPr>
        <w:t>Journal of money, credit and banking</w:t>
      </w:r>
      <w:r>
        <w:rPr>
          <w:rFonts w:ascii="Times New Roman" w:hAnsi="Times New Roman"/>
          <w:sz w:val="24"/>
          <w:szCs w:val="24"/>
        </w:rPr>
        <w:t xml:space="preserve">, </w:t>
      </w:r>
      <w:r>
        <w:rPr>
          <w:rStyle w:val="None"/>
          <w:rFonts w:ascii="Times New Roman" w:hAnsi="Times New Roman"/>
          <w:i/>
          <w:iCs/>
          <w:sz w:val="24"/>
          <w:szCs w:val="24"/>
        </w:rPr>
        <w:t>11</w:t>
      </w:r>
      <w:r>
        <w:rPr>
          <w:rFonts w:ascii="Times New Roman" w:hAnsi="Times New Roman"/>
          <w:sz w:val="24"/>
          <w:szCs w:val="24"/>
        </w:rPr>
        <w:t xml:space="preserve">(3), 311-325. </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Minton, B. A., &amp; </w:t>
      </w:r>
      <w:proofErr w:type="spellStart"/>
      <w:r>
        <w:rPr>
          <w:rFonts w:ascii="Times New Roman" w:hAnsi="Times New Roman"/>
          <w:sz w:val="24"/>
          <w:szCs w:val="24"/>
        </w:rPr>
        <w:t>Wruck</w:t>
      </w:r>
      <w:proofErr w:type="spellEnd"/>
      <w:r>
        <w:rPr>
          <w:rFonts w:ascii="Times New Roman" w:hAnsi="Times New Roman"/>
          <w:sz w:val="24"/>
          <w:szCs w:val="24"/>
        </w:rPr>
        <w:t xml:space="preserve">, K. H. (2001). Financial conservatism: Evidence on capital structure from low leverage firms. </w:t>
      </w:r>
      <w:r>
        <w:rPr>
          <w:rStyle w:val="None"/>
          <w:rFonts w:ascii="Times New Roman" w:hAnsi="Times New Roman"/>
          <w:i/>
          <w:iCs/>
          <w:sz w:val="24"/>
          <w:szCs w:val="24"/>
        </w:rPr>
        <w:t>Available at SSRN 269608</w:t>
      </w:r>
      <w:r>
        <w:rPr>
          <w:rFonts w:ascii="Times New Roman" w:hAnsi="Times New Roman"/>
          <w:sz w:val="24"/>
          <w:szCs w:val="24"/>
        </w:rPr>
        <w:t>.</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MIT Sloan. (2021, February 04). Fintech, explained. </w:t>
      </w:r>
      <w:r>
        <w:rPr>
          <w:rStyle w:val="None"/>
          <w:rFonts w:ascii="Times New Roman" w:hAnsi="Times New Roman"/>
          <w:i/>
          <w:iCs/>
          <w:sz w:val="24"/>
          <w:szCs w:val="24"/>
        </w:rPr>
        <w:t xml:space="preserve">MIT Sloan. </w:t>
      </w:r>
      <w:r>
        <w:rPr>
          <w:rFonts w:ascii="Times New Roman" w:hAnsi="Times New Roman"/>
          <w:sz w:val="24"/>
          <w:szCs w:val="24"/>
        </w:rPr>
        <w:t xml:space="preserve">Retrieved from https://mitsloan.mit.edu/ideas-made-to-matter/fintech-explained </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Prove. (2022, January 12). Bangladesh – The Rising FinTech Star in South Asia. </w:t>
      </w:r>
      <w:proofErr w:type="gramStart"/>
      <w:r>
        <w:rPr>
          <w:rStyle w:val="None"/>
          <w:rFonts w:ascii="Times New Roman" w:hAnsi="Times New Roman"/>
          <w:i/>
          <w:iCs/>
          <w:sz w:val="24"/>
          <w:szCs w:val="24"/>
        </w:rPr>
        <w:t>Prove..</w:t>
      </w:r>
      <w:proofErr w:type="gramEnd"/>
      <w:r>
        <w:rPr>
          <w:rStyle w:val="None"/>
          <w:rFonts w:ascii="Times New Roman" w:hAnsi="Times New Roman"/>
          <w:i/>
          <w:iCs/>
          <w:sz w:val="24"/>
          <w:szCs w:val="24"/>
        </w:rPr>
        <w:t xml:space="preserve"> </w:t>
      </w:r>
      <w:r>
        <w:rPr>
          <w:rFonts w:ascii="Times New Roman" w:hAnsi="Times New Roman"/>
          <w:sz w:val="24"/>
          <w:szCs w:val="24"/>
        </w:rPr>
        <w:t xml:space="preserve">Retrieved from https://www.prove.com/blog/bangladesh-the-rising-fintech-star-in-south-asia </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PwC. (2023, May). The next banking evolution in Bangladesh: Driven by digital transformation. </w:t>
      </w:r>
      <w:r>
        <w:rPr>
          <w:rStyle w:val="None"/>
          <w:rFonts w:ascii="Times New Roman" w:hAnsi="Times New Roman"/>
          <w:i/>
          <w:iCs/>
          <w:sz w:val="24"/>
          <w:szCs w:val="24"/>
        </w:rPr>
        <w:t xml:space="preserve">PwC. </w:t>
      </w:r>
      <w:r>
        <w:rPr>
          <w:rFonts w:ascii="Times New Roman" w:hAnsi="Times New Roman"/>
          <w:sz w:val="24"/>
          <w:szCs w:val="24"/>
        </w:rPr>
        <w:t>Retrieved from https://www.pwc.com/bd/en/assets/pdfs/research-insights/2023/TheNextBankingEvolutionInBangladeshFinal.pdf</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Raihan, S. (2008). Trade </w:t>
      </w:r>
      <w:proofErr w:type="spellStart"/>
      <w:r>
        <w:rPr>
          <w:rFonts w:ascii="Times New Roman" w:hAnsi="Times New Roman"/>
          <w:sz w:val="24"/>
          <w:szCs w:val="24"/>
        </w:rPr>
        <w:t>Liberalisation</w:t>
      </w:r>
      <w:proofErr w:type="spellEnd"/>
      <w:r>
        <w:rPr>
          <w:rFonts w:ascii="Times New Roman" w:hAnsi="Times New Roman"/>
          <w:sz w:val="24"/>
          <w:szCs w:val="24"/>
        </w:rPr>
        <w:t>, Growth, Employment and Poverty in Bangladesh.</w:t>
      </w:r>
    </w:p>
    <w:p w:rsidR="009A35B1" w:rsidRDefault="001838EA">
      <w:pPr>
        <w:pStyle w:val="Body"/>
        <w:numPr>
          <w:ilvl w:val="0"/>
          <w:numId w:val="5"/>
        </w:numPr>
        <w:spacing w:line="300" w:lineRule="auto"/>
        <w:jc w:val="both"/>
        <w:rPr>
          <w:rFonts w:ascii="Times New Roman" w:hAnsi="Times New Roman"/>
          <w:sz w:val="24"/>
          <w:szCs w:val="24"/>
        </w:rPr>
      </w:pPr>
      <w:proofErr w:type="spellStart"/>
      <w:r>
        <w:rPr>
          <w:rFonts w:ascii="Times New Roman" w:hAnsi="Times New Roman"/>
          <w:sz w:val="24"/>
          <w:szCs w:val="24"/>
        </w:rPr>
        <w:t>Rondinelli</w:t>
      </w:r>
      <w:proofErr w:type="spellEnd"/>
      <w:r>
        <w:rPr>
          <w:rFonts w:ascii="Times New Roman" w:hAnsi="Times New Roman"/>
          <w:sz w:val="24"/>
          <w:szCs w:val="24"/>
        </w:rPr>
        <w:t xml:space="preserve">, D. A., </w:t>
      </w:r>
      <w:proofErr w:type="spellStart"/>
      <w:r>
        <w:rPr>
          <w:rFonts w:ascii="Times New Roman" w:hAnsi="Times New Roman"/>
          <w:sz w:val="24"/>
          <w:szCs w:val="24"/>
        </w:rPr>
        <w:t>Nellis</w:t>
      </w:r>
      <w:proofErr w:type="spellEnd"/>
      <w:r>
        <w:rPr>
          <w:rFonts w:ascii="Times New Roman" w:hAnsi="Times New Roman"/>
          <w:sz w:val="24"/>
          <w:szCs w:val="24"/>
        </w:rPr>
        <w:t xml:space="preserve">, J. R., &amp; Cheema, G. S. (1983). Decentralization in developing countries. </w:t>
      </w:r>
      <w:r>
        <w:rPr>
          <w:rStyle w:val="None"/>
          <w:rFonts w:ascii="Times New Roman" w:hAnsi="Times New Roman"/>
          <w:i/>
          <w:iCs/>
          <w:sz w:val="24"/>
          <w:szCs w:val="24"/>
        </w:rPr>
        <w:t>World Bank staff working paper</w:t>
      </w:r>
      <w:r>
        <w:rPr>
          <w:rFonts w:ascii="Times New Roman" w:hAnsi="Times New Roman"/>
          <w:sz w:val="24"/>
          <w:szCs w:val="24"/>
        </w:rPr>
        <w:t xml:space="preserve">, </w:t>
      </w:r>
      <w:r>
        <w:rPr>
          <w:rStyle w:val="None"/>
          <w:rFonts w:ascii="Times New Roman" w:hAnsi="Times New Roman"/>
          <w:i/>
          <w:iCs/>
          <w:sz w:val="24"/>
          <w:szCs w:val="24"/>
          <w:lang w:val="ru-RU"/>
        </w:rPr>
        <w:t>581</w:t>
      </w:r>
      <w:r>
        <w:rPr>
          <w:rFonts w:ascii="Times New Roman" w:hAnsi="Times New Roman"/>
          <w:sz w:val="24"/>
          <w:szCs w:val="24"/>
        </w:rPr>
        <w:t>, 13-28.</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lastRenderedPageBreak/>
        <w:t xml:space="preserve">Salman, A. (2009). Bangladesh's economy: surrounded by deadly threats. </w:t>
      </w:r>
      <w:r>
        <w:rPr>
          <w:rStyle w:val="None"/>
          <w:rFonts w:ascii="Times New Roman" w:hAnsi="Times New Roman"/>
          <w:i/>
          <w:iCs/>
          <w:sz w:val="24"/>
          <w:szCs w:val="24"/>
        </w:rPr>
        <w:t>International Journal of Social Economics</w:t>
      </w:r>
      <w:r>
        <w:rPr>
          <w:rFonts w:ascii="Times New Roman" w:hAnsi="Times New Roman"/>
          <w:sz w:val="24"/>
          <w:szCs w:val="24"/>
        </w:rPr>
        <w:t xml:space="preserve">, </w:t>
      </w:r>
      <w:r>
        <w:rPr>
          <w:rStyle w:val="None"/>
          <w:rFonts w:ascii="Times New Roman" w:hAnsi="Times New Roman"/>
          <w:i/>
          <w:iCs/>
          <w:sz w:val="24"/>
          <w:szCs w:val="24"/>
        </w:rPr>
        <w:t>36</w:t>
      </w:r>
      <w:r>
        <w:rPr>
          <w:rFonts w:ascii="Times New Roman" w:hAnsi="Times New Roman"/>
          <w:sz w:val="24"/>
          <w:szCs w:val="24"/>
        </w:rPr>
        <w:t>(1/2), 138-181.</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The Business Standard. (2021, September 08). Bangladesh now has a thriving e-commerce industry: </w:t>
      </w:r>
      <w:proofErr w:type="spellStart"/>
      <w:r>
        <w:rPr>
          <w:rFonts w:ascii="Times New Roman" w:hAnsi="Times New Roman"/>
          <w:sz w:val="24"/>
          <w:szCs w:val="24"/>
        </w:rPr>
        <w:t>Daraz</w:t>
      </w:r>
      <w:proofErr w:type="spellEnd"/>
      <w:r>
        <w:rPr>
          <w:rFonts w:ascii="Times New Roman" w:hAnsi="Times New Roman"/>
          <w:sz w:val="24"/>
          <w:szCs w:val="24"/>
        </w:rPr>
        <w:t xml:space="preserve"> CMO. </w:t>
      </w:r>
      <w:r>
        <w:rPr>
          <w:rStyle w:val="None"/>
          <w:rFonts w:ascii="Times New Roman" w:hAnsi="Times New Roman"/>
          <w:i/>
          <w:iCs/>
          <w:sz w:val="24"/>
          <w:szCs w:val="24"/>
        </w:rPr>
        <w:t xml:space="preserve">The Business Standard. </w:t>
      </w:r>
      <w:r>
        <w:rPr>
          <w:rFonts w:ascii="Times New Roman" w:hAnsi="Times New Roman"/>
          <w:sz w:val="24"/>
          <w:szCs w:val="24"/>
        </w:rPr>
        <w:t>Retrieved from https://www.tbsnews.net/features/panorama/bangladesh-now-has-thriving-e-commerce-industry-daraz-cmo-29945</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The Business Standard. (2022, April 20). Digital payments to boost Bangladesh GDP by 1.7%: Report. </w:t>
      </w:r>
      <w:r>
        <w:rPr>
          <w:rStyle w:val="None"/>
          <w:rFonts w:ascii="Times New Roman" w:hAnsi="Times New Roman"/>
          <w:i/>
          <w:iCs/>
          <w:sz w:val="24"/>
          <w:szCs w:val="24"/>
        </w:rPr>
        <w:t xml:space="preserve">The Business Standard. </w:t>
      </w:r>
      <w:r>
        <w:rPr>
          <w:rFonts w:ascii="Times New Roman" w:hAnsi="Times New Roman"/>
          <w:sz w:val="24"/>
          <w:szCs w:val="24"/>
        </w:rPr>
        <w:t>Retrieved from https://www.tbsnews.net/economy/digital-payments-boost-bangladesh-gdp-17-report-406790</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The Daily Star. (2021, June 27). Pandemic proves a boon for IT freelancers. </w:t>
      </w:r>
      <w:r>
        <w:rPr>
          <w:rStyle w:val="None"/>
          <w:rFonts w:ascii="Times New Roman" w:hAnsi="Times New Roman"/>
          <w:i/>
          <w:iCs/>
          <w:sz w:val="24"/>
          <w:szCs w:val="24"/>
        </w:rPr>
        <w:t xml:space="preserve">The Daily Star. </w:t>
      </w:r>
      <w:r>
        <w:rPr>
          <w:rFonts w:ascii="Times New Roman" w:hAnsi="Times New Roman"/>
          <w:sz w:val="24"/>
          <w:szCs w:val="24"/>
        </w:rPr>
        <w:t xml:space="preserve">Retrieved from https://www.thedailystar.net/business/economy/industries/ict/news/pandemic-proves-boon-it-freelancers-2137896 </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The Daily Star. (2021, August 02). Monetary policy during the pandemic. </w:t>
      </w:r>
      <w:r>
        <w:rPr>
          <w:rStyle w:val="None"/>
          <w:rFonts w:ascii="Times New Roman" w:hAnsi="Times New Roman"/>
          <w:i/>
          <w:iCs/>
          <w:sz w:val="24"/>
          <w:szCs w:val="24"/>
        </w:rPr>
        <w:t xml:space="preserve">The Daily Star. </w:t>
      </w:r>
      <w:r>
        <w:rPr>
          <w:rFonts w:ascii="Times New Roman" w:hAnsi="Times New Roman"/>
          <w:sz w:val="24"/>
          <w:szCs w:val="24"/>
        </w:rPr>
        <w:t xml:space="preserve">Retrieved from https://www.thedailystar.net/opinion/macro-mirror/news/monetary-policy-during-the-pandemic-2142436 </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The Daily Star. (2022, January 10). Seven key factors to fuel fintech innovation. </w:t>
      </w:r>
      <w:r>
        <w:rPr>
          <w:rStyle w:val="None"/>
          <w:rFonts w:ascii="Times New Roman" w:hAnsi="Times New Roman"/>
          <w:i/>
          <w:iCs/>
          <w:sz w:val="24"/>
          <w:szCs w:val="24"/>
        </w:rPr>
        <w:t xml:space="preserve">The Daily Star. </w:t>
      </w:r>
      <w:r>
        <w:rPr>
          <w:rFonts w:ascii="Times New Roman" w:hAnsi="Times New Roman"/>
          <w:sz w:val="24"/>
          <w:szCs w:val="24"/>
        </w:rPr>
        <w:t xml:space="preserve">Retrieved from https://www.thedailystar.net/business/news/seven-key-factors-fuel-fintech-innovation-2936416 </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The Daily Star. (2023, August 31). Why scams thrive in Bangladesh. </w:t>
      </w:r>
      <w:r>
        <w:rPr>
          <w:rStyle w:val="None"/>
          <w:rFonts w:ascii="Times New Roman" w:hAnsi="Times New Roman"/>
          <w:i/>
          <w:iCs/>
          <w:sz w:val="24"/>
          <w:szCs w:val="24"/>
        </w:rPr>
        <w:t xml:space="preserve">The Daily Star. </w:t>
      </w:r>
      <w:r>
        <w:rPr>
          <w:rFonts w:ascii="Times New Roman" w:hAnsi="Times New Roman"/>
          <w:sz w:val="24"/>
          <w:szCs w:val="24"/>
        </w:rPr>
        <w:t xml:space="preserve">Retrieved from https://www.thedailystar.net/opinion/views/news/why-scams-thrive-bangladesh-3407316 </w:t>
      </w:r>
    </w:p>
    <w:p w:rsidR="009A35B1" w:rsidRDefault="001838EA">
      <w:pPr>
        <w:pStyle w:val="Body"/>
        <w:numPr>
          <w:ilvl w:val="0"/>
          <w:numId w:val="5"/>
        </w:numPr>
        <w:spacing w:line="300" w:lineRule="auto"/>
        <w:jc w:val="both"/>
        <w:rPr>
          <w:rFonts w:ascii="Times New Roman" w:hAnsi="Times New Roman"/>
          <w:sz w:val="24"/>
          <w:szCs w:val="24"/>
        </w:rPr>
      </w:pPr>
      <w:r>
        <w:rPr>
          <w:rFonts w:ascii="Times New Roman" w:hAnsi="Times New Roman"/>
          <w:sz w:val="24"/>
          <w:szCs w:val="24"/>
        </w:rPr>
        <w:t xml:space="preserve">Winters, L. A. (2004). Trade </w:t>
      </w:r>
      <w:proofErr w:type="spellStart"/>
      <w:r>
        <w:rPr>
          <w:rFonts w:ascii="Times New Roman" w:hAnsi="Times New Roman"/>
          <w:sz w:val="24"/>
          <w:szCs w:val="24"/>
        </w:rPr>
        <w:t>liberalisation</w:t>
      </w:r>
      <w:proofErr w:type="spellEnd"/>
      <w:r>
        <w:rPr>
          <w:rFonts w:ascii="Times New Roman" w:hAnsi="Times New Roman"/>
          <w:sz w:val="24"/>
          <w:szCs w:val="24"/>
        </w:rPr>
        <w:t xml:space="preserve"> and economic performance: an overview. </w:t>
      </w:r>
      <w:r>
        <w:rPr>
          <w:rStyle w:val="None"/>
          <w:rFonts w:ascii="Times New Roman" w:hAnsi="Times New Roman"/>
          <w:i/>
          <w:iCs/>
          <w:sz w:val="24"/>
          <w:szCs w:val="24"/>
          <w:lang w:val="fr-FR"/>
        </w:rPr>
        <w:t xml:space="preserve">The </w:t>
      </w:r>
      <w:proofErr w:type="spellStart"/>
      <w:r>
        <w:rPr>
          <w:rStyle w:val="None"/>
          <w:rFonts w:ascii="Times New Roman" w:hAnsi="Times New Roman"/>
          <w:i/>
          <w:iCs/>
          <w:sz w:val="24"/>
          <w:szCs w:val="24"/>
          <w:lang w:val="fr-FR"/>
        </w:rPr>
        <w:t>economic</w:t>
      </w:r>
      <w:proofErr w:type="spellEnd"/>
      <w:r>
        <w:rPr>
          <w:rStyle w:val="None"/>
          <w:rFonts w:ascii="Times New Roman" w:hAnsi="Times New Roman"/>
          <w:i/>
          <w:iCs/>
          <w:sz w:val="24"/>
          <w:szCs w:val="24"/>
          <w:lang w:val="fr-FR"/>
        </w:rPr>
        <w:t xml:space="preserve"> journal</w:t>
      </w:r>
      <w:r>
        <w:rPr>
          <w:rFonts w:ascii="Times New Roman" w:hAnsi="Times New Roman"/>
          <w:sz w:val="24"/>
          <w:szCs w:val="24"/>
        </w:rPr>
        <w:t xml:space="preserve">, </w:t>
      </w:r>
      <w:r>
        <w:rPr>
          <w:rStyle w:val="None"/>
          <w:rFonts w:ascii="Times New Roman" w:hAnsi="Times New Roman"/>
          <w:i/>
          <w:iCs/>
          <w:sz w:val="24"/>
          <w:szCs w:val="24"/>
        </w:rPr>
        <w:t>114</w:t>
      </w:r>
      <w:r>
        <w:rPr>
          <w:rFonts w:ascii="Times New Roman" w:hAnsi="Times New Roman"/>
          <w:sz w:val="24"/>
          <w:szCs w:val="24"/>
        </w:rPr>
        <w:t>(493), F4-F21.</w:t>
      </w:r>
    </w:p>
    <w:p w:rsidR="00267BDA" w:rsidRPr="006702FC" w:rsidRDefault="00197BDE">
      <w:pPr>
        <w:pStyle w:val="Body"/>
        <w:numPr>
          <w:ilvl w:val="0"/>
          <w:numId w:val="5"/>
        </w:numPr>
        <w:spacing w:line="300" w:lineRule="auto"/>
        <w:jc w:val="both"/>
        <w:rPr>
          <w:rFonts w:asciiTheme="majorHAnsi" w:hAnsiTheme="majorHAnsi" w:cstheme="majorHAnsi"/>
          <w:sz w:val="24"/>
          <w:szCs w:val="24"/>
        </w:rPr>
      </w:pPr>
      <w:r w:rsidRPr="006702FC">
        <w:rPr>
          <w:rFonts w:asciiTheme="majorHAnsi" w:hAnsiTheme="majorHAnsi" w:cstheme="majorHAnsi"/>
          <w:sz w:val="24"/>
          <w:szCs w:val="24"/>
        </w:rPr>
        <w:t xml:space="preserve">World Bank. (n.d.). </w:t>
      </w:r>
      <w:r w:rsidRPr="006702FC">
        <w:rPr>
          <w:rStyle w:val="Emphasis"/>
          <w:rFonts w:asciiTheme="majorHAnsi" w:hAnsiTheme="majorHAnsi" w:cstheme="majorHAnsi"/>
          <w:sz w:val="24"/>
          <w:szCs w:val="24"/>
        </w:rPr>
        <w:t>Real effective exchange rate index (2010 = 100) – World, Bangladesh</w:t>
      </w:r>
      <w:r w:rsidRPr="006702FC">
        <w:rPr>
          <w:rFonts w:asciiTheme="majorHAnsi" w:hAnsiTheme="majorHAnsi" w:cstheme="majorHAnsi"/>
          <w:sz w:val="24"/>
          <w:szCs w:val="24"/>
        </w:rPr>
        <w:t xml:space="preserve"> (Indicator PX.REX.REER). Retrieved </w:t>
      </w:r>
      <w:r w:rsidRPr="006702FC">
        <w:rPr>
          <w:rStyle w:val="Strong"/>
          <w:rFonts w:asciiTheme="majorHAnsi" w:hAnsiTheme="majorHAnsi" w:cstheme="majorHAnsi"/>
          <w:sz w:val="24"/>
          <w:szCs w:val="24"/>
        </w:rPr>
        <w:t>December 21, 2025</w:t>
      </w:r>
      <w:r w:rsidRPr="006702FC">
        <w:rPr>
          <w:rFonts w:asciiTheme="majorHAnsi" w:hAnsiTheme="majorHAnsi" w:cstheme="majorHAnsi"/>
          <w:sz w:val="24"/>
          <w:szCs w:val="24"/>
        </w:rPr>
        <w:t xml:space="preserve">, from </w:t>
      </w:r>
      <w:hyperlink r:id="rId13" w:tgtFrame="_new" w:history="1">
        <w:r w:rsidRPr="006702FC">
          <w:rPr>
            <w:rStyle w:val="Hyperlink"/>
            <w:rFonts w:asciiTheme="majorHAnsi" w:hAnsiTheme="majorHAnsi" w:cstheme="majorHAnsi"/>
            <w:sz w:val="24"/>
            <w:szCs w:val="24"/>
          </w:rPr>
          <w:t>https://data.worldbank.org/indicator/PX.REX.REER?locations=1W-BD</w:t>
        </w:r>
      </w:hyperlink>
    </w:p>
    <w:p w:rsidR="00B05812" w:rsidRPr="006702FC" w:rsidRDefault="00197BDE">
      <w:pPr>
        <w:pStyle w:val="Body"/>
        <w:numPr>
          <w:ilvl w:val="0"/>
          <w:numId w:val="5"/>
        </w:numPr>
        <w:spacing w:line="300" w:lineRule="auto"/>
        <w:jc w:val="both"/>
        <w:rPr>
          <w:rFonts w:asciiTheme="majorHAnsi" w:hAnsiTheme="majorHAnsi" w:cstheme="majorHAnsi"/>
          <w:sz w:val="24"/>
          <w:szCs w:val="24"/>
        </w:rPr>
      </w:pPr>
      <w:r w:rsidRPr="006702FC">
        <w:rPr>
          <w:rFonts w:asciiTheme="majorHAnsi" w:hAnsiTheme="majorHAnsi" w:cstheme="majorHAnsi"/>
          <w:sz w:val="24"/>
          <w:szCs w:val="24"/>
        </w:rPr>
        <w:t xml:space="preserve">World Bank. (n.d.). </w:t>
      </w:r>
      <w:r w:rsidRPr="006702FC">
        <w:rPr>
          <w:rStyle w:val="Emphasis"/>
          <w:rFonts w:asciiTheme="majorHAnsi" w:hAnsiTheme="majorHAnsi" w:cstheme="majorHAnsi"/>
          <w:sz w:val="24"/>
          <w:szCs w:val="24"/>
        </w:rPr>
        <w:t>Foreign direct investment, net inflows (</w:t>
      </w:r>
      <w:proofErr w:type="spellStart"/>
      <w:r w:rsidRPr="006702FC">
        <w:rPr>
          <w:rStyle w:val="Emphasis"/>
          <w:rFonts w:asciiTheme="majorHAnsi" w:hAnsiTheme="majorHAnsi" w:cstheme="majorHAnsi"/>
          <w:sz w:val="24"/>
          <w:szCs w:val="24"/>
        </w:rPr>
        <w:t>BoP</w:t>
      </w:r>
      <w:proofErr w:type="spellEnd"/>
      <w:r w:rsidRPr="006702FC">
        <w:rPr>
          <w:rStyle w:val="Emphasis"/>
          <w:rFonts w:asciiTheme="majorHAnsi" w:hAnsiTheme="majorHAnsi" w:cstheme="majorHAnsi"/>
          <w:sz w:val="24"/>
          <w:szCs w:val="24"/>
        </w:rPr>
        <w:t>, current US$) – World, Bangladesh</w:t>
      </w:r>
      <w:r w:rsidRPr="006702FC">
        <w:rPr>
          <w:rFonts w:asciiTheme="majorHAnsi" w:hAnsiTheme="majorHAnsi" w:cstheme="majorHAnsi"/>
          <w:sz w:val="24"/>
          <w:szCs w:val="24"/>
        </w:rPr>
        <w:t xml:space="preserve"> (Indicator BX.KLT.DINV.CD.WD). Retrieved </w:t>
      </w:r>
      <w:r w:rsidRPr="006702FC">
        <w:rPr>
          <w:rStyle w:val="Strong"/>
          <w:rFonts w:asciiTheme="majorHAnsi" w:hAnsiTheme="majorHAnsi" w:cstheme="majorHAnsi"/>
          <w:sz w:val="24"/>
          <w:szCs w:val="24"/>
        </w:rPr>
        <w:t>December 21, 2025</w:t>
      </w:r>
      <w:r w:rsidRPr="006702FC">
        <w:rPr>
          <w:rFonts w:asciiTheme="majorHAnsi" w:hAnsiTheme="majorHAnsi" w:cstheme="majorHAnsi"/>
          <w:sz w:val="24"/>
          <w:szCs w:val="24"/>
        </w:rPr>
        <w:t xml:space="preserve">, from </w:t>
      </w:r>
      <w:hyperlink r:id="rId14" w:tgtFrame="_new" w:history="1">
        <w:r w:rsidRPr="006702FC">
          <w:rPr>
            <w:rStyle w:val="Hyperlink"/>
            <w:rFonts w:asciiTheme="majorHAnsi" w:hAnsiTheme="majorHAnsi" w:cstheme="majorHAnsi"/>
            <w:sz w:val="24"/>
            <w:szCs w:val="24"/>
          </w:rPr>
          <w:t>https://data.worldbank.org/indicator/BX.KLT.DINV.CD.WD?locations=1W-BD</w:t>
        </w:r>
      </w:hyperlink>
    </w:p>
    <w:p w:rsidR="00B05812" w:rsidRPr="00C52DAD" w:rsidRDefault="00197BDE">
      <w:pPr>
        <w:pStyle w:val="Body"/>
        <w:numPr>
          <w:ilvl w:val="0"/>
          <w:numId w:val="5"/>
        </w:numPr>
        <w:spacing w:line="300" w:lineRule="auto"/>
        <w:jc w:val="both"/>
        <w:rPr>
          <w:rStyle w:val="Hyperlink"/>
          <w:rFonts w:asciiTheme="majorHAnsi" w:hAnsiTheme="majorHAnsi" w:cstheme="majorHAnsi"/>
          <w:sz w:val="24"/>
          <w:szCs w:val="24"/>
          <w:u w:val="none"/>
        </w:rPr>
      </w:pPr>
      <w:r w:rsidRPr="006702FC">
        <w:rPr>
          <w:rFonts w:asciiTheme="majorHAnsi" w:hAnsiTheme="majorHAnsi" w:cstheme="majorHAnsi"/>
          <w:sz w:val="24"/>
          <w:szCs w:val="24"/>
        </w:rPr>
        <w:t xml:space="preserve">World Bank. (n.d.). </w:t>
      </w:r>
      <w:r w:rsidRPr="006702FC">
        <w:rPr>
          <w:rStyle w:val="Emphasis"/>
          <w:rFonts w:asciiTheme="majorHAnsi" w:hAnsiTheme="majorHAnsi" w:cstheme="majorHAnsi"/>
          <w:sz w:val="24"/>
          <w:szCs w:val="24"/>
        </w:rPr>
        <w:t>Exports of goods and services (% of GDP)</w:t>
      </w:r>
      <w:r w:rsidRPr="006702FC">
        <w:rPr>
          <w:rFonts w:asciiTheme="majorHAnsi" w:hAnsiTheme="majorHAnsi" w:cstheme="majorHAnsi"/>
          <w:sz w:val="24"/>
          <w:szCs w:val="24"/>
        </w:rPr>
        <w:t xml:space="preserve">. In </w:t>
      </w:r>
      <w:r w:rsidRPr="006702FC">
        <w:rPr>
          <w:rStyle w:val="Emphasis"/>
          <w:rFonts w:asciiTheme="majorHAnsi" w:hAnsiTheme="majorHAnsi" w:cstheme="majorHAnsi"/>
          <w:sz w:val="24"/>
          <w:szCs w:val="24"/>
        </w:rPr>
        <w:t>World Development Indicators</w:t>
      </w:r>
      <w:r w:rsidRPr="006702FC">
        <w:rPr>
          <w:rFonts w:asciiTheme="majorHAnsi" w:hAnsiTheme="majorHAnsi" w:cstheme="majorHAnsi"/>
          <w:sz w:val="24"/>
          <w:szCs w:val="24"/>
        </w:rPr>
        <w:t xml:space="preserve">. Retrieved December 21, 2025, from </w:t>
      </w:r>
      <w:hyperlink r:id="rId15" w:tgtFrame="_new" w:history="1">
        <w:r w:rsidRPr="006702FC">
          <w:rPr>
            <w:rStyle w:val="Hyperlink"/>
            <w:rFonts w:asciiTheme="majorHAnsi" w:hAnsiTheme="majorHAnsi" w:cstheme="majorHAnsi"/>
            <w:sz w:val="24"/>
            <w:szCs w:val="24"/>
          </w:rPr>
          <w:t>https://data.worldbank.org/</w:t>
        </w:r>
      </w:hyperlink>
    </w:p>
    <w:p w:rsidR="00C52DAD" w:rsidRPr="006702FC" w:rsidRDefault="00C52DAD">
      <w:pPr>
        <w:pStyle w:val="Body"/>
        <w:numPr>
          <w:ilvl w:val="0"/>
          <w:numId w:val="5"/>
        </w:numPr>
        <w:spacing w:line="300" w:lineRule="auto"/>
        <w:jc w:val="both"/>
        <w:rPr>
          <w:rFonts w:asciiTheme="majorHAnsi" w:hAnsiTheme="majorHAnsi" w:cstheme="majorHAnsi"/>
          <w:sz w:val="24"/>
          <w:szCs w:val="24"/>
        </w:rPr>
      </w:pPr>
      <w:r w:rsidRPr="00C52DAD">
        <w:rPr>
          <w:rFonts w:asciiTheme="majorHAnsi" w:hAnsiTheme="majorHAnsi" w:cstheme="majorHAnsi"/>
          <w:sz w:val="24"/>
          <w:szCs w:val="24"/>
        </w:rPr>
        <w:lastRenderedPageBreak/>
        <w:t xml:space="preserve">E. Adedeji Kayode, O. </w:t>
      </w:r>
      <w:proofErr w:type="spellStart"/>
      <w:r w:rsidRPr="00C52DAD">
        <w:rPr>
          <w:rFonts w:asciiTheme="majorHAnsi" w:hAnsiTheme="majorHAnsi" w:cstheme="majorHAnsi"/>
          <w:sz w:val="24"/>
          <w:szCs w:val="24"/>
        </w:rPr>
        <w:t>Apinran</w:t>
      </w:r>
      <w:proofErr w:type="spellEnd"/>
      <w:r w:rsidRPr="00C52DAD">
        <w:rPr>
          <w:rFonts w:asciiTheme="majorHAnsi" w:hAnsiTheme="majorHAnsi" w:cstheme="majorHAnsi"/>
          <w:sz w:val="24"/>
          <w:szCs w:val="24"/>
        </w:rPr>
        <w:t xml:space="preserve"> Martins &amp; I. </w:t>
      </w:r>
      <w:proofErr w:type="spellStart"/>
      <w:r w:rsidRPr="00C52DAD">
        <w:rPr>
          <w:rFonts w:asciiTheme="majorHAnsi" w:hAnsiTheme="majorHAnsi" w:cstheme="majorHAnsi"/>
          <w:sz w:val="24"/>
          <w:szCs w:val="24"/>
        </w:rPr>
        <w:t>Awoniyi</w:t>
      </w:r>
      <w:proofErr w:type="spellEnd"/>
      <w:r w:rsidRPr="00C52DAD">
        <w:rPr>
          <w:rFonts w:asciiTheme="majorHAnsi" w:hAnsiTheme="majorHAnsi" w:cstheme="majorHAnsi"/>
          <w:sz w:val="24"/>
          <w:szCs w:val="24"/>
        </w:rPr>
        <w:t xml:space="preserve"> Bisola. (2021). Foreign Exchange Market Intervention and Exchange Rate Stability: An Empirical </w:t>
      </w:r>
      <w:proofErr w:type="spellStart"/>
      <w:r w:rsidRPr="00C52DAD">
        <w:rPr>
          <w:rFonts w:asciiTheme="majorHAnsi" w:hAnsiTheme="majorHAnsi" w:cstheme="majorHAnsi"/>
          <w:sz w:val="24"/>
          <w:szCs w:val="24"/>
        </w:rPr>
        <w:t>Anayisis</w:t>
      </w:r>
      <w:proofErr w:type="spellEnd"/>
      <w:r w:rsidRPr="00C52DAD">
        <w:rPr>
          <w:rFonts w:asciiTheme="majorHAnsi" w:hAnsiTheme="majorHAnsi" w:cstheme="majorHAnsi"/>
          <w:sz w:val="24"/>
          <w:szCs w:val="24"/>
        </w:rPr>
        <w:t xml:space="preserve"> for Nigeria. South Asian Journal of Social Studies and Economics, 11(2), 34–45. https://doi.org/10.9734/sajsse/2021/v11i230281</w:t>
      </w:r>
    </w:p>
    <w:sectPr w:rsidR="00C52DAD" w:rsidRPr="006702FC" w:rsidSect="00FC5158">
      <w:headerReference w:type="default" r:id="rId16"/>
      <w:footerReference w:type="default" r:id="rId17"/>
      <w:footerReference w:type="firs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7D3" w:rsidRDefault="003337D3">
      <w:r>
        <w:separator/>
      </w:r>
    </w:p>
  </w:endnote>
  <w:endnote w:type="continuationSeparator" w:id="0">
    <w:p w:rsidR="003337D3" w:rsidRDefault="0033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5B1" w:rsidRPr="00187083" w:rsidRDefault="009A35B1" w:rsidP="00A22FC3">
    <w:pPr>
      <w:pStyle w:val="Footer"/>
      <w:ind w:left="79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158" w:rsidRDefault="00FC5158" w:rsidP="00670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7D3" w:rsidRDefault="003337D3">
      <w:r>
        <w:separator/>
      </w:r>
    </w:p>
  </w:footnote>
  <w:footnote w:type="continuationSeparator" w:id="0">
    <w:p w:rsidR="003337D3" w:rsidRDefault="003337D3">
      <w:r>
        <w:continuationSeparator/>
      </w:r>
    </w:p>
  </w:footnote>
  <w:footnote w:type="continuationNotice" w:id="1">
    <w:p w:rsidR="003337D3" w:rsidRDefault="003337D3"/>
  </w:footnote>
  <w:footnote w:id="2">
    <w:p w:rsidR="009A35B1" w:rsidRDefault="001838EA">
      <w:pPr>
        <w:pStyle w:val="Footnote"/>
      </w:pPr>
      <w:r>
        <w:rPr>
          <w:rStyle w:val="None"/>
          <w:sz w:val="20"/>
          <w:szCs w:val="20"/>
          <w:vertAlign w:val="superscript"/>
        </w:rPr>
        <w:footnoteRef/>
      </w:r>
      <w:r>
        <w:rPr>
          <w:sz w:val="20"/>
          <w:szCs w:val="20"/>
        </w:rPr>
        <w:t xml:space="preserve"> An American multinational financial technology company operating an online payments system in the majority of countries that support online money transfers, and serves as an electronic alternative to traditional paper methods such as checks and money orders.</w:t>
      </w:r>
    </w:p>
  </w:footnote>
  <w:footnote w:id="3">
    <w:p w:rsidR="009A35B1" w:rsidRDefault="001838EA">
      <w:pPr>
        <w:pStyle w:val="Footnote"/>
      </w:pPr>
      <w:r>
        <w:rPr>
          <w:rStyle w:val="None"/>
          <w:sz w:val="20"/>
          <w:szCs w:val="20"/>
          <w:vertAlign w:val="superscript"/>
        </w:rPr>
        <w:footnoteRef/>
      </w:r>
      <w:r>
        <w:rPr>
          <w:sz w:val="20"/>
          <w:szCs w:val="20"/>
        </w:rPr>
        <w:t xml:space="preserve"> An American financial services company that provides online money transfer, digital payment services and provides customers with working capital. </w:t>
      </w:r>
    </w:p>
  </w:footnote>
  <w:footnote w:id="4">
    <w:p w:rsidR="009A35B1" w:rsidRDefault="001838EA">
      <w:pPr>
        <w:pStyle w:val="Footnote"/>
      </w:pPr>
      <w:r>
        <w:rPr>
          <w:rStyle w:val="None"/>
          <w:sz w:val="20"/>
          <w:szCs w:val="20"/>
          <w:vertAlign w:val="superscript"/>
        </w:rPr>
        <w:footnoteRef/>
      </w:r>
      <w:r>
        <w:rPr>
          <w:sz w:val="20"/>
          <w:szCs w:val="20"/>
        </w:rPr>
        <w:t xml:space="preserve"> An American cloud-based typing assistant. It reviews spelling, grammar, punctuation, clarity, engagement, and delivery mistakes in English texts, detects plagiarism, and suggests replacements for the identified errors.</w:t>
      </w:r>
    </w:p>
  </w:footnote>
  <w:footnote w:id="5">
    <w:p w:rsidR="009A35B1" w:rsidRDefault="001838EA">
      <w:pPr>
        <w:pStyle w:val="Footnote"/>
      </w:pPr>
      <w:r>
        <w:rPr>
          <w:rStyle w:val="None"/>
          <w:sz w:val="20"/>
          <w:szCs w:val="20"/>
          <w:vertAlign w:val="superscript"/>
        </w:rPr>
        <w:footnoteRef/>
      </w:r>
      <w:r>
        <w:rPr>
          <w:sz w:val="20"/>
          <w:szCs w:val="20"/>
        </w:rPr>
        <w:t xml:space="preserve"> An AI-powered writing assistant designed to help people improve their writing skills. It uses natural language processing and deep learning to provide users with personalized feedback on their writings</w:t>
      </w:r>
    </w:p>
  </w:footnote>
  <w:footnote w:id="6">
    <w:p w:rsidR="009A35B1" w:rsidRDefault="001838EA">
      <w:pPr>
        <w:pStyle w:val="Footnote"/>
      </w:pPr>
      <w:r>
        <w:rPr>
          <w:rStyle w:val="None"/>
          <w:sz w:val="20"/>
          <w:szCs w:val="20"/>
          <w:vertAlign w:val="superscript"/>
        </w:rPr>
        <w:footnoteRef/>
      </w:r>
      <w:r>
        <w:rPr>
          <w:sz w:val="20"/>
          <w:szCs w:val="20"/>
        </w:rPr>
        <w:t xml:space="preserve"> An American freelancing platform formerly known as Elance-oDesk before merging in 2015 </w:t>
      </w:r>
    </w:p>
  </w:footnote>
  <w:footnote w:id="7">
    <w:p w:rsidR="009A35B1" w:rsidRDefault="001838EA">
      <w:pPr>
        <w:pStyle w:val="Footnote"/>
      </w:pPr>
      <w:r>
        <w:rPr>
          <w:rStyle w:val="None"/>
          <w:sz w:val="20"/>
          <w:szCs w:val="20"/>
          <w:vertAlign w:val="superscript"/>
        </w:rPr>
        <w:footnoteRef/>
      </w:r>
      <w:r>
        <w:rPr>
          <w:sz w:val="20"/>
          <w:szCs w:val="20"/>
        </w:rPr>
        <w:t xml:space="preserve"> An Australian freelance marketplace website, which allows potential employers to post jobs that freelancers can then bid to complete.</w:t>
      </w:r>
    </w:p>
  </w:footnote>
  <w:footnote w:id="8">
    <w:p w:rsidR="009A35B1" w:rsidRDefault="001838EA">
      <w:pPr>
        <w:pStyle w:val="Footnote"/>
      </w:pPr>
      <w:r>
        <w:rPr>
          <w:rStyle w:val="None"/>
          <w:sz w:val="20"/>
          <w:szCs w:val="20"/>
          <w:vertAlign w:val="superscript"/>
        </w:rPr>
        <w:footnoteRef/>
      </w:r>
      <w:r>
        <w:rPr>
          <w:sz w:val="20"/>
          <w:szCs w:val="20"/>
        </w:rPr>
        <w:t xml:space="preserve"> An Israeli multinational online marketplace for freelance services. </w:t>
      </w:r>
    </w:p>
  </w:footnote>
  <w:footnote w:id="9">
    <w:p w:rsidR="009A35B1" w:rsidRDefault="001838EA">
      <w:pPr>
        <w:pStyle w:val="Footnote"/>
      </w:pPr>
      <w:r>
        <w:rPr>
          <w:rStyle w:val="None"/>
          <w:sz w:val="20"/>
          <w:szCs w:val="20"/>
          <w:vertAlign w:val="superscript"/>
        </w:rPr>
        <w:footnoteRef/>
      </w:r>
      <w:r>
        <w:rPr>
          <w:sz w:val="20"/>
          <w:szCs w:val="20"/>
        </w:rPr>
        <w:t xml:space="preserve"> An Canadian multinational e-commerce company with its proprietary e-commerce platform for online stores and retail point-of-sale systems.</w:t>
      </w:r>
    </w:p>
  </w:footnote>
  <w:footnote w:id="10">
    <w:p w:rsidR="009A35B1" w:rsidRDefault="001838EA">
      <w:pPr>
        <w:pStyle w:val="Footnote"/>
      </w:pPr>
      <w:r>
        <w:rPr>
          <w:rStyle w:val="None"/>
          <w:sz w:val="20"/>
          <w:szCs w:val="20"/>
          <w:vertAlign w:val="superscript"/>
        </w:rPr>
        <w:footnoteRef/>
      </w:r>
      <w:r>
        <w:rPr>
          <w:sz w:val="20"/>
          <w:szCs w:val="20"/>
        </w:rPr>
        <w:t xml:space="preserve"> An open-source e-commerce plugin for WordPress, designed for small to large-sized online merchants</w:t>
      </w:r>
    </w:p>
  </w:footnote>
  <w:footnote w:id="11">
    <w:p w:rsidR="009A35B1" w:rsidRDefault="001838EA">
      <w:pPr>
        <w:pStyle w:val="Footnote"/>
      </w:pPr>
      <w:r>
        <w:rPr>
          <w:rStyle w:val="None"/>
          <w:sz w:val="20"/>
          <w:szCs w:val="20"/>
          <w:vertAlign w:val="superscript"/>
        </w:rPr>
        <w:footnoteRef/>
      </w:r>
      <w:r>
        <w:rPr>
          <w:sz w:val="20"/>
          <w:szCs w:val="20"/>
        </w:rPr>
        <w:t xml:space="preserve"> An online advertising platform developed by Google, where advertisers bid to display brief advertisements, service offerings, product listings, and videos to web users.</w:t>
      </w:r>
    </w:p>
  </w:footnote>
  <w:footnote w:id="12">
    <w:p w:rsidR="009A35B1" w:rsidRDefault="001838EA">
      <w:pPr>
        <w:pStyle w:val="Footnote"/>
      </w:pPr>
      <w:r>
        <w:rPr>
          <w:rStyle w:val="None"/>
          <w:sz w:val="20"/>
          <w:szCs w:val="20"/>
          <w:vertAlign w:val="superscript"/>
        </w:rPr>
        <w:footnoteRef/>
      </w:r>
      <w:r>
        <w:rPr>
          <w:sz w:val="20"/>
          <w:szCs w:val="20"/>
        </w:rPr>
        <w:t xml:space="preserve"> A paid messages that businesses place on Facebook</w:t>
      </w:r>
    </w:p>
  </w:footnote>
  <w:footnote w:id="13">
    <w:p w:rsidR="009A35B1" w:rsidRDefault="001838EA">
      <w:pPr>
        <w:pStyle w:val="Footnote"/>
      </w:pPr>
      <w:r>
        <w:rPr>
          <w:rStyle w:val="None"/>
          <w:sz w:val="20"/>
          <w:szCs w:val="20"/>
          <w:vertAlign w:val="superscript"/>
        </w:rPr>
        <w:footnoteRef/>
      </w:r>
      <w:r>
        <w:rPr>
          <w:sz w:val="20"/>
          <w:szCs w:val="20"/>
        </w:rPr>
        <w:t xml:space="preserve"> A mobile financial service (MFS) in Bangladesh operating under the authority of Bangladesh Bank as a subsidiary of BRAC Bank PLC.</w:t>
      </w:r>
    </w:p>
  </w:footnote>
  <w:footnote w:id="14">
    <w:p w:rsidR="009A35B1" w:rsidRDefault="001838EA">
      <w:pPr>
        <w:pStyle w:val="Footnote"/>
      </w:pPr>
      <w:r>
        <w:rPr>
          <w:rStyle w:val="None"/>
          <w:sz w:val="20"/>
          <w:szCs w:val="20"/>
          <w:vertAlign w:val="superscript"/>
        </w:rPr>
        <w:footnoteRef/>
      </w:r>
      <w:r>
        <w:rPr>
          <w:sz w:val="20"/>
          <w:szCs w:val="20"/>
        </w:rPr>
        <w:t xml:space="preserve"> A Bangladeshi Digital Financial Service, operating under the authority of Bangladesh Post Office, an attached department of the Ministry of Post and Telecommunication.</w:t>
      </w:r>
    </w:p>
  </w:footnote>
  <w:footnote w:id="15">
    <w:p w:rsidR="009A35B1" w:rsidRDefault="001838EA">
      <w:pPr>
        <w:pStyle w:val="Footnote"/>
      </w:pPr>
      <w:r>
        <w:rPr>
          <w:rStyle w:val="None"/>
          <w:sz w:val="20"/>
          <w:szCs w:val="20"/>
          <w:vertAlign w:val="superscript"/>
        </w:rPr>
        <w:footnoteRef/>
      </w:r>
      <w:r>
        <w:rPr>
          <w:sz w:val="20"/>
          <w:szCs w:val="20"/>
        </w:rPr>
        <w:t xml:space="preserve"> A Banking process without bank branch which provides financial services to unbanked communities efficiently and at affordable cost.</w:t>
      </w:r>
    </w:p>
  </w:footnote>
  <w:footnote w:id="16">
    <w:p w:rsidR="009A35B1" w:rsidRDefault="001838EA">
      <w:pPr>
        <w:pStyle w:val="Footnote"/>
      </w:pPr>
      <w:r>
        <w:rPr>
          <w:rStyle w:val="None"/>
          <w:sz w:val="20"/>
          <w:szCs w:val="20"/>
          <w:vertAlign w:val="superscript"/>
        </w:rPr>
        <w:footnoteRef/>
      </w:r>
      <w:r>
        <w:rPr>
          <w:sz w:val="20"/>
          <w:szCs w:val="20"/>
        </w:rPr>
        <w:t xml:space="preserve"> A global payment gateway network backed by </w:t>
      </w:r>
      <w:r>
        <w:rPr>
          <w:sz w:val="20"/>
          <w:szCs w:val="20"/>
          <w:lang w:val="fr-FR"/>
        </w:rPr>
        <w:t>American multinational financial services corporation</w:t>
      </w:r>
    </w:p>
  </w:footnote>
  <w:footnote w:id="17">
    <w:p w:rsidR="009A35B1" w:rsidRDefault="001838EA">
      <w:pPr>
        <w:pStyle w:val="Footnote"/>
      </w:pPr>
      <w:r>
        <w:rPr>
          <w:rStyle w:val="None"/>
          <w:sz w:val="20"/>
          <w:szCs w:val="20"/>
          <w:vertAlign w:val="superscript"/>
        </w:rPr>
        <w:footnoteRef/>
      </w:r>
      <w:r>
        <w:rPr>
          <w:sz w:val="20"/>
          <w:szCs w:val="20"/>
        </w:rPr>
        <w:t xml:space="preserve"> An American multinational technology company focusing on e-commerce, cloud computing, online advertising, digital streaming, and artificial intelligence.</w:t>
      </w:r>
    </w:p>
  </w:footnote>
  <w:footnote w:id="18">
    <w:p w:rsidR="009A35B1" w:rsidRDefault="001838EA">
      <w:pPr>
        <w:pStyle w:val="Footnote"/>
      </w:pPr>
      <w:r>
        <w:rPr>
          <w:rStyle w:val="None"/>
          <w:sz w:val="20"/>
          <w:szCs w:val="20"/>
          <w:vertAlign w:val="superscript"/>
        </w:rPr>
        <w:footnoteRef/>
      </w:r>
      <w:r>
        <w:rPr>
          <w:sz w:val="20"/>
          <w:szCs w:val="20"/>
        </w:rPr>
        <w:t xml:space="preserve"> An American multinational e-commerce company that facilitates consumer-to-consumer and business-to-consumer sales through its website.</w:t>
      </w:r>
    </w:p>
  </w:footnote>
  <w:footnote w:id="19">
    <w:p w:rsidR="009A35B1" w:rsidRDefault="001838EA">
      <w:pPr>
        <w:pStyle w:val="Footnote"/>
      </w:pPr>
      <w:r>
        <w:rPr>
          <w:rStyle w:val="None"/>
          <w:sz w:val="20"/>
          <w:szCs w:val="20"/>
          <w:vertAlign w:val="superscript"/>
        </w:rPr>
        <w:footnoteRef/>
      </w:r>
      <w:r>
        <w:rPr>
          <w:sz w:val="20"/>
          <w:szCs w:val="20"/>
        </w:rPr>
        <w:t xml:space="preserve"> An online retail service based in China and owned by the Alibaba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158" w:rsidRDefault="00FC5158">
    <w:pPr>
      <w:pStyle w:val="Header"/>
    </w:pPr>
  </w:p>
  <w:p w:rsidR="00FC5158" w:rsidRDefault="00FC5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6C7"/>
    <w:multiLevelType w:val="hybridMultilevel"/>
    <w:tmpl w:val="11F67258"/>
    <w:lvl w:ilvl="0" w:tplc="309078CA">
      <w:start w:val="1"/>
      <w:numFmt w:val="decimal"/>
      <w:lvlText w:val="%1."/>
      <w:lvlJc w:val="left"/>
      <w:pPr>
        <w:ind w:left="7200" w:hanging="360"/>
      </w:pPr>
      <w:rPr>
        <w:rFonts w:ascii="Times New Roman" w:eastAsia="Arial Unicode MS" w:hAnsi="Times New Roman" w:cs="Arial Unicode MS"/>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 w15:restartNumberingAfterBreak="0">
    <w:nsid w:val="01F3700E"/>
    <w:multiLevelType w:val="hybridMultilevel"/>
    <w:tmpl w:val="43A0BF70"/>
    <w:numStyleLink w:val="ImportedStyle1"/>
  </w:abstractNum>
  <w:abstractNum w:abstractNumId="2" w15:restartNumberingAfterBreak="0">
    <w:nsid w:val="20AE7333"/>
    <w:multiLevelType w:val="multilevel"/>
    <w:tmpl w:val="6868F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4041D"/>
    <w:multiLevelType w:val="hybridMultilevel"/>
    <w:tmpl w:val="A87055AE"/>
    <w:lvl w:ilvl="0" w:tplc="05D07144">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 w15:restartNumberingAfterBreak="0">
    <w:nsid w:val="392B6211"/>
    <w:multiLevelType w:val="multilevel"/>
    <w:tmpl w:val="01C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B6D12"/>
    <w:multiLevelType w:val="hybridMultilevel"/>
    <w:tmpl w:val="420AD9CE"/>
    <w:styleLink w:val="Bullets"/>
    <w:lvl w:ilvl="0" w:tplc="2B748FC8">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rPr>
    </w:lvl>
    <w:lvl w:ilvl="1" w:tplc="98A8F9BC">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rPr>
    </w:lvl>
    <w:lvl w:ilvl="2" w:tplc="32762128">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rPr>
    </w:lvl>
    <w:lvl w:ilvl="3" w:tplc="4E94D44C">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rPr>
    </w:lvl>
    <w:lvl w:ilvl="4" w:tplc="03CABAB4">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rPr>
    </w:lvl>
    <w:lvl w:ilvl="5" w:tplc="4612B332">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rPr>
    </w:lvl>
    <w:lvl w:ilvl="6" w:tplc="100CE2E2">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rPr>
    </w:lvl>
    <w:lvl w:ilvl="7" w:tplc="8D7EC7F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rPr>
    </w:lvl>
    <w:lvl w:ilvl="8" w:tplc="D5DE2F4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5094739D"/>
    <w:multiLevelType w:val="hybridMultilevel"/>
    <w:tmpl w:val="43A0BF70"/>
    <w:styleLink w:val="ImportedStyle1"/>
    <w:lvl w:ilvl="0" w:tplc="B3DEB9C2">
      <w:start w:val="1"/>
      <w:numFmt w:val="bullet"/>
      <w:lvlText w:val="·"/>
      <w:lvlJc w:val="left"/>
      <w:pPr>
        <w:ind w:left="75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76A8E3E">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4E4E296">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B36A">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1DABC98">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696A91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1B25998">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3C7D78">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9F4BBCC">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6B9E52B7"/>
    <w:multiLevelType w:val="hybridMultilevel"/>
    <w:tmpl w:val="AD0657AE"/>
    <w:lvl w:ilvl="0" w:tplc="0012F280">
      <w:start w:val="1"/>
      <w:numFmt w:val="decimal"/>
      <w:lvlText w:val="%1."/>
      <w:lvlJc w:val="left"/>
      <w:pPr>
        <w:ind w:left="720" w:hanging="360"/>
      </w:pPr>
      <w:rPr>
        <w:rFonts w:ascii="Times New Roman" w:eastAsiaTheme="majorEastAsia" w:hAnsi="Times New Roman" w:cstheme="maj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756217"/>
    <w:multiLevelType w:val="hybridMultilevel"/>
    <w:tmpl w:val="420AD9CE"/>
    <w:numStyleLink w:val="Bullets"/>
  </w:abstractNum>
  <w:abstractNum w:abstractNumId="9" w15:restartNumberingAfterBreak="0">
    <w:nsid w:val="7841228E"/>
    <w:multiLevelType w:val="hybridMultilevel"/>
    <w:tmpl w:val="8AC2D7AE"/>
    <w:lvl w:ilvl="0" w:tplc="3D94B8DE">
      <w:start w:val="1"/>
      <w:numFmt w:val="decimal"/>
      <w:lvlText w:val="%1."/>
      <w:lvlJc w:val="left"/>
      <w:pPr>
        <w:ind w:left="7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1"/>
  </w:num>
  <w:num w:numId="5">
    <w:abstractNumId w:val="8"/>
    <w:lvlOverride w:ilvl="0">
      <w:lvl w:ilvl="0" w:tplc="DDCC851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92549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7832F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84A141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53609B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BE2BB8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ACC6C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FAA876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67E262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3"/>
  </w:num>
  <w:num w:numId="8">
    <w:abstractNumId w:val="4"/>
  </w:num>
  <w:num w:numId="9">
    <w:abstractNumId w:val="2"/>
  </w:num>
  <w:num w:numId="10">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35B1"/>
    <w:rsid w:val="00010AFD"/>
    <w:rsid w:val="00062D3A"/>
    <w:rsid w:val="0007044C"/>
    <w:rsid w:val="001740FC"/>
    <w:rsid w:val="00181776"/>
    <w:rsid w:val="001838EA"/>
    <w:rsid w:val="00187083"/>
    <w:rsid w:val="00197BDE"/>
    <w:rsid w:val="001A308B"/>
    <w:rsid w:val="001D4C09"/>
    <w:rsid w:val="00267BDA"/>
    <w:rsid w:val="00281D97"/>
    <w:rsid w:val="002A0E90"/>
    <w:rsid w:val="002A522F"/>
    <w:rsid w:val="002B48B8"/>
    <w:rsid w:val="002C71BB"/>
    <w:rsid w:val="002D5EE1"/>
    <w:rsid w:val="003337D3"/>
    <w:rsid w:val="003A4FD6"/>
    <w:rsid w:val="003E1DAD"/>
    <w:rsid w:val="00456164"/>
    <w:rsid w:val="0047629B"/>
    <w:rsid w:val="004902E7"/>
    <w:rsid w:val="004B55B8"/>
    <w:rsid w:val="005063F5"/>
    <w:rsid w:val="00594971"/>
    <w:rsid w:val="005A1F6C"/>
    <w:rsid w:val="005A38E9"/>
    <w:rsid w:val="005D127F"/>
    <w:rsid w:val="005E0606"/>
    <w:rsid w:val="005E7865"/>
    <w:rsid w:val="005F1DA9"/>
    <w:rsid w:val="0062340A"/>
    <w:rsid w:val="006702FC"/>
    <w:rsid w:val="00730CC9"/>
    <w:rsid w:val="007407A3"/>
    <w:rsid w:val="007B54A6"/>
    <w:rsid w:val="00844370"/>
    <w:rsid w:val="008B74DE"/>
    <w:rsid w:val="009102E1"/>
    <w:rsid w:val="009507CD"/>
    <w:rsid w:val="009A35B1"/>
    <w:rsid w:val="009B7718"/>
    <w:rsid w:val="00A22FC3"/>
    <w:rsid w:val="00A50428"/>
    <w:rsid w:val="00A70A8A"/>
    <w:rsid w:val="00A77254"/>
    <w:rsid w:val="00B05812"/>
    <w:rsid w:val="00B26629"/>
    <w:rsid w:val="00B3213C"/>
    <w:rsid w:val="00B67945"/>
    <w:rsid w:val="00BB37A8"/>
    <w:rsid w:val="00C1191F"/>
    <w:rsid w:val="00C24CAB"/>
    <w:rsid w:val="00C37817"/>
    <w:rsid w:val="00C37BCF"/>
    <w:rsid w:val="00C52DAD"/>
    <w:rsid w:val="00CB4439"/>
    <w:rsid w:val="00D73AF6"/>
    <w:rsid w:val="00DC35C3"/>
    <w:rsid w:val="00DF3B5D"/>
    <w:rsid w:val="00E06CA2"/>
    <w:rsid w:val="00E74D2D"/>
    <w:rsid w:val="00E8378A"/>
    <w:rsid w:val="00EB346C"/>
    <w:rsid w:val="00EE08C6"/>
    <w:rsid w:val="00F9723C"/>
    <w:rsid w:val="00FB044F"/>
    <w:rsid w:val="00FC5158"/>
  </w:rsids>
  <m:mathPr>
    <m:mathFont m:val="Cambria Math"/>
    <m:brkBin m:val="before"/>
    <m:brkBinSub m:val="--"/>
    <m:smallFrac/>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F545"/>
  <w15:docId w15:val="{59DC58EF-629D-43AD-A16C-47CB2AC2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B346C"/>
    <w:rPr>
      <w:sz w:val="24"/>
      <w:szCs w:val="24"/>
    </w:rPr>
  </w:style>
  <w:style w:type="paragraph" w:styleId="Heading1">
    <w:name w:val="heading 1"/>
    <w:basedOn w:val="Normal"/>
    <w:next w:val="Normal"/>
    <w:link w:val="Heading1Char"/>
    <w:uiPriority w:val="9"/>
    <w:qFormat/>
    <w:rsid w:val="002B48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62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2662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346C"/>
    <w:rPr>
      <w:u w:val="single"/>
    </w:rPr>
  </w:style>
  <w:style w:type="paragraph" w:customStyle="1" w:styleId="HeaderFooter">
    <w:name w:val="Header &amp; Footer"/>
    <w:rsid w:val="00EB346C"/>
    <w:pPr>
      <w:tabs>
        <w:tab w:val="right" w:pos="9020"/>
      </w:tabs>
    </w:pPr>
    <w:rPr>
      <w:rFonts w:cs="Arial Unicode MS"/>
      <w:color w:val="000000"/>
      <w:sz w:val="26"/>
      <w:szCs w:val="26"/>
    </w:rPr>
  </w:style>
  <w:style w:type="paragraph" w:customStyle="1" w:styleId="Body">
    <w:name w:val="Body"/>
    <w:rsid w:val="00EB346C"/>
    <w:pPr>
      <w:spacing w:after="200" w:line="276" w:lineRule="auto"/>
    </w:pPr>
    <w:rPr>
      <w:rFonts w:ascii="Calibri" w:hAnsi="Calibri" w:cs="Arial Unicode MS"/>
      <w:color w:val="000000"/>
      <w:sz w:val="22"/>
      <w:szCs w:val="22"/>
      <w:u w:color="000000"/>
    </w:rPr>
  </w:style>
  <w:style w:type="character" w:customStyle="1" w:styleId="None">
    <w:name w:val="None"/>
    <w:rsid w:val="00EB346C"/>
  </w:style>
  <w:style w:type="character" w:customStyle="1" w:styleId="Hyperlink0">
    <w:name w:val="Hyperlink.0"/>
    <w:basedOn w:val="None"/>
    <w:rsid w:val="00EB346C"/>
    <w:rPr>
      <w:color w:val="0000FF"/>
      <w:sz w:val="20"/>
      <w:szCs w:val="20"/>
      <w:u w:val="single" w:color="0000FF"/>
    </w:rPr>
  </w:style>
  <w:style w:type="paragraph" w:customStyle="1" w:styleId="Default">
    <w:name w:val="Default"/>
    <w:rsid w:val="00EB346C"/>
    <w:pPr>
      <w:spacing w:before="160" w:line="288" w:lineRule="auto"/>
    </w:pPr>
    <w:rPr>
      <w:rFonts w:cs="Arial Unicode MS"/>
      <w:color w:val="000000"/>
      <w:sz w:val="26"/>
      <w:szCs w:val="26"/>
    </w:rPr>
  </w:style>
  <w:style w:type="numbering" w:customStyle="1" w:styleId="Bullets">
    <w:name w:val="Bullets"/>
    <w:rsid w:val="00EB346C"/>
    <w:pPr>
      <w:numPr>
        <w:numId w:val="1"/>
      </w:numPr>
    </w:pPr>
  </w:style>
  <w:style w:type="character" w:customStyle="1" w:styleId="Hyperlink1">
    <w:name w:val="Hyperlink.1"/>
    <w:basedOn w:val="None"/>
    <w:rsid w:val="00EB346C"/>
    <w:rPr>
      <w:u w:color="111111"/>
    </w:rPr>
  </w:style>
  <w:style w:type="paragraph" w:customStyle="1" w:styleId="Footnote">
    <w:name w:val="Footnote"/>
    <w:rsid w:val="00EB346C"/>
    <w:rPr>
      <w:rFonts w:eastAsia="Times New Roman"/>
      <w:color w:val="000000"/>
      <w:sz w:val="24"/>
      <w:szCs w:val="24"/>
    </w:rPr>
  </w:style>
  <w:style w:type="paragraph" w:styleId="ListParagraph">
    <w:name w:val="List Paragraph"/>
    <w:rsid w:val="00EB346C"/>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rsid w:val="00EB346C"/>
    <w:pPr>
      <w:numPr>
        <w:numId w:val="3"/>
      </w:numPr>
    </w:pPr>
  </w:style>
  <w:style w:type="paragraph" w:styleId="Header">
    <w:name w:val="header"/>
    <w:basedOn w:val="Normal"/>
    <w:link w:val="HeaderChar"/>
    <w:uiPriority w:val="99"/>
    <w:unhideWhenUsed/>
    <w:rsid w:val="00187083"/>
    <w:pPr>
      <w:tabs>
        <w:tab w:val="center" w:pos="4513"/>
        <w:tab w:val="right" w:pos="9026"/>
      </w:tabs>
    </w:pPr>
  </w:style>
  <w:style w:type="character" w:customStyle="1" w:styleId="HeaderChar">
    <w:name w:val="Header Char"/>
    <w:basedOn w:val="DefaultParagraphFont"/>
    <w:link w:val="Header"/>
    <w:uiPriority w:val="99"/>
    <w:rsid w:val="00187083"/>
    <w:rPr>
      <w:sz w:val="24"/>
      <w:szCs w:val="24"/>
    </w:rPr>
  </w:style>
  <w:style w:type="paragraph" w:styleId="Footer">
    <w:name w:val="footer"/>
    <w:basedOn w:val="Normal"/>
    <w:link w:val="FooterChar"/>
    <w:uiPriority w:val="99"/>
    <w:unhideWhenUsed/>
    <w:rsid w:val="00187083"/>
    <w:pPr>
      <w:tabs>
        <w:tab w:val="center" w:pos="4513"/>
        <w:tab w:val="right" w:pos="9026"/>
      </w:tabs>
    </w:pPr>
  </w:style>
  <w:style w:type="character" w:customStyle="1" w:styleId="FooterChar">
    <w:name w:val="Footer Char"/>
    <w:basedOn w:val="DefaultParagraphFont"/>
    <w:link w:val="Footer"/>
    <w:uiPriority w:val="99"/>
    <w:rsid w:val="00187083"/>
    <w:rPr>
      <w:sz w:val="24"/>
      <w:szCs w:val="24"/>
    </w:rPr>
  </w:style>
  <w:style w:type="paragraph" w:styleId="BalloonText">
    <w:name w:val="Balloon Text"/>
    <w:basedOn w:val="Normal"/>
    <w:link w:val="BalloonTextChar"/>
    <w:uiPriority w:val="99"/>
    <w:semiHidden/>
    <w:unhideWhenUsed/>
    <w:rsid w:val="00187083"/>
    <w:rPr>
      <w:rFonts w:ascii="Tahoma" w:hAnsi="Tahoma" w:cs="Tahoma"/>
      <w:sz w:val="16"/>
      <w:szCs w:val="16"/>
    </w:rPr>
  </w:style>
  <w:style w:type="character" w:customStyle="1" w:styleId="BalloonTextChar">
    <w:name w:val="Balloon Text Char"/>
    <w:basedOn w:val="DefaultParagraphFont"/>
    <w:link w:val="BalloonText"/>
    <w:uiPriority w:val="99"/>
    <w:semiHidden/>
    <w:rsid w:val="00187083"/>
    <w:rPr>
      <w:rFonts w:ascii="Tahoma" w:hAnsi="Tahoma" w:cs="Tahoma"/>
      <w:sz w:val="16"/>
      <w:szCs w:val="16"/>
    </w:rPr>
  </w:style>
  <w:style w:type="paragraph" w:styleId="NormalWeb">
    <w:name w:val="Normal (Web)"/>
    <w:basedOn w:val="Normal"/>
    <w:uiPriority w:val="99"/>
    <w:semiHidden/>
    <w:unhideWhenUsed/>
    <w:rsid w:val="009B77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9B7718"/>
    <w:rPr>
      <w:b/>
      <w:bCs/>
    </w:rPr>
  </w:style>
  <w:style w:type="character" w:customStyle="1" w:styleId="Heading3Char">
    <w:name w:val="Heading 3 Char"/>
    <w:basedOn w:val="DefaultParagraphFont"/>
    <w:link w:val="Heading3"/>
    <w:uiPriority w:val="9"/>
    <w:rsid w:val="00B26629"/>
    <w:rPr>
      <w:rFonts w:eastAsia="Times New Roman"/>
      <w:b/>
      <w:bCs/>
      <w:sz w:val="27"/>
      <w:szCs w:val="27"/>
      <w:bdr w:val="none" w:sz="0" w:space="0" w:color="auto"/>
    </w:rPr>
  </w:style>
  <w:style w:type="paragraph" w:styleId="NoSpacing">
    <w:name w:val="No Spacing"/>
    <w:uiPriority w:val="1"/>
    <w:qFormat/>
    <w:rsid w:val="00B26629"/>
    <w:rPr>
      <w:sz w:val="24"/>
      <w:szCs w:val="24"/>
    </w:rPr>
  </w:style>
  <w:style w:type="character" w:customStyle="1" w:styleId="vkekvd">
    <w:name w:val="vkekvd"/>
    <w:basedOn w:val="DefaultParagraphFont"/>
    <w:rsid w:val="003E1DAD"/>
  </w:style>
  <w:style w:type="character" w:customStyle="1" w:styleId="t286pc">
    <w:name w:val="t286pc"/>
    <w:basedOn w:val="DefaultParagraphFont"/>
    <w:rsid w:val="003E1DAD"/>
  </w:style>
  <w:style w:type="paragraph" w:styleId="Caption">
    <w:name w:val="caption"/>
    <w:basedOn w:val="Normal"/>
    <w:next w:val="Normal"/>
    <w:uiPriority w:val="35"/>
    <w:unhideWhenUsed/>
    <w:qFormat/>
    <w:rsid w:val="002B48B8"/>
    <w:pPr>
      <w:spacing w:after="200"/>
    </w:pPr>
    <w:rPr>
      <w:i/>
      <w:iCs/>
      <w:color w:val="A7A7A7" w:themeColor="text2"/>
      <w:sz w:val="18"/>
      <w:szCs w:val="18"/>
    </w:rPr>
  </w:style>
  <w:style w:type="character" w:customStyle="1" w:styleId="Heading1Char">
    <w:name w:val="Heading 1 Char"/>
    <w:basedOn w:val="DefaultParagraphFont"/>
    <w:link w:val="Heading1"/>
    <w:uiPriority w:val="9"/>
    <w:rsid w:val="002B48B8"/>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9723C"/>
    <w:rPr>
      <w:sz w:val="16"/>
      <w:szCs w:val="16"/>
    </w:rPr>
  </w:style>
  <w:style w:type="paragraph" w:styleId="CommentText">
    <w:name w:val="annotation text"/>
    <w:basedOn w:val="Normal"/>
    <w:link w:val="CommentTextChar"/>
    <w:uiPriority w:val="99"/>
    <w:semiHidden/>
    <w:unhideWhenUsed/>
    <w:rsid w:val="00F9723C"/>
    <w:rPr>
      <w:sz w:val="20"/>
      <w:szCs w:val="20"/>
    </w:rPr>
  </w:style>
  <w:style w:type="character" w:customStyle="1" w:styleId="CommentTextChar">
    <w:name w:val="Comment Text Char"/>
    <w:basedOn w:val="DefaultParagraphFont"/>
    <w:link w:val="CommentText"/>
    <w:uiPriority w:val="99"/>
    <w:semiHidden/>
    <w:rsid w:val="00F9723C"/>
  </w:style>
  <w:style w:type="paragraph" w:styleId="CommentSubject">
    <w:name w:val="annotation subject"/>
    <w:basedOn w:val="CommentText"/>
    <w:next w:val="CommentText"/>
    <w:link w:val="CommentSubjectChar"/>
    <w:uiPriority w:val="99"/>
    <w:semiHidden/>
    <w:unhideWhenUsed/>
    <w:rsid w:val="00F9723C"/>
    <w:rPr>
      <w:b/>
      <w:bCs/>
    </w:rPr>
  </w:style>
  <w:style w:type="character" w:customStyle="1" w:styleId="CommentSubjectChar">
    <w:name w:val="Comment Subject Char"/>
    <w:basedOn w:val="CommentTextChar"/>
    <w:link w:val="CommentSubject"/>
    <w:uiPriority w:val="99"/>
    <w:semiHidden/>
    <w:rsid w:val="00F9723C"/>
    <w:rPr>
      <w:b/>
      <w:bCs/>
    </w:rPr>
  </w:style>
  <w:style w:type="character" w:customStyle="1" w:styleId="Heading2Char">
    <w:name w:val="Heading 2 Char"/>
    <w:basedOn w:val="DefaultParagraphFont"/>
    <w:link w:val="Heading2"/>
    <w:uiPriority w:val="9"/>
    <w:rsid w:val="0047629B"/>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B058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723993">
      <w:bodyDiv w:val="1"/>
      <w:marLeft w:val="0"/>
      <w:marRight w:val="0"/>
      <w:marTop w:val="0"/>
      <w:marBottom w:val="0"/>
      <w:divBdr>
        <w:top w:val="none" w:sz="0" w:space="0" w:color="auto"/>
        <w:left w:val="none" w:sz="0" w:space="0" w:color="auto"/>
        <w:bottom w:val="none" w:sz="0" w:space="0" w:color="auto"/>
        <w:right w:val="none" w:sz="0" w:space="0" w:color="auto"/>
      </w:divBdr>
    </w:div>
    <w:div w:id="888613631">
      <w:bodyDiv w:val="1"/>
      <w:marLeft w:val="0"/>
      <w:marRight w:val="0"/>
      <w:marTop w:val="0"/>
      <w:marBottom w:val="0"/>
      <w:divBdr>
        <w:top w:val="none" w:sz="0" w:space="0" w:color="auto"/>
        <w:left w:val="none" w:sz="0" w:space="0" w:color="auto"/>
        <w:bottom w:val="none" w:sz="0" w:space="0" w:color="auto"/>
        <w:right w:val="none" w:sz="0" w:space="0" w:color="auto"/>
      </w:divBdr>
      <w:divsChild>
        <w:div w:id="899169000">
          <w:marLeft w:val="0"/>
          <w:marRight w:val="0"/>
          <w:marTop w:val="0"/>
          <w:marBottom w:val="300"/>
          <w:divBdr>
            <w:top w:val="none" w:sz="0" w:space="0" w:color="auto"/>
            <w:left w:val="none" w:sz="0" w:space="0" w:color="auto"/>
            <w:bottom w:val="none" w:sz="0" w:space="0" w:color="auto"/>
            <w:right w:val="none" w:sz="0" w:space="0" w:color="auto"/>
          </w:divBdr>
        </w:div>
        <w:div w:id="1790851955">
          <w:marLeft w:val="0"/>
          <w:marRight w:val="0"/>
          <w:marTop w:val="150"/>
          <w:marBottom w:val="300"/>
          <w:divBdr>
            <w:top w:val="none" w:sz="0" w:space="0" w:color="auto"/>
            <w:left w:val="none" w:sz="0" w:space="0" w:color="auto"/>
            <w:bottom w:val="none" w:sz="0" w:space="0" w:color="auto"/>
            <w:right w:val="none" w:sz="0" w:space="0" w:color="auto"/>
          </w:divBdr>
        </w:div>
      </w:divsChild>
    </w:div>
    <w:div w:id="1847284981">
      <w:bodyDiv w:val="1"/>
      <w:marLeft w:val="0"/>
      <w:marRight w:val="0"/>
      <w:marTop w:val="0"/>
      <w:marBottom w:val="0"/>
      <w:divBdr>
        <w:top w:val="none" w:sz="0" w:space="0" w:color="auto"/>
        <w:left w:val="none" w:sz="0" w:space="0" w:color="auto"/>
        <w:bottom w:val="none" w:sz="0" w:space="0" w:color="auto"/>
        <w:right w:val="none" w:sz="0" w:space="0" w:color="auto"/>
      </w:divBdr>
    </w:div>
    <w:div w:id="188818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ata.worldbank.org/indicator/PX.REX.REER?locations=1W-B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demap.org/Service_SelCountry_TS.aspx?nvpm=1%7c050%7c%7c%7c%7c%7c%7cS09%7c2%7c3%7c1%7c1%7c2%7c1%7c5%7c1%7c1%7c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dailystar.net/opinion/macro-mirror/news/monetary-policy-during-the-pandemic-2142436" TargetMode="External"/><Relationship Id="rId5" Type="http://schemas.openxmlformats.org/officeDocument/2006/relationships/webSettings" Target="webSettings.xml"/><Relationship Id="rId15" Type="http://schemas.openxmlformats.org/officeDocument/2006/relationships/hyperlink" Target="https://data.worldbank.org/"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chfunnel.com/fintech/e-commerce-and-fintech/" TargetMode="External"/><Relationship Id="rId14" Type="http://schemas.openxmlformats.org/officeDocument/2006/relationships/hyperlink" Target="https://data.worldbank.org/indicator/BX.KLT.DINV.CD.WD?locations=1W-B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New%20Arefin%20Shams\Arefin%20Shams\Reaz%20Sir%20task\Forex%20Reserve_Reaz%20Sir%20Data%20for%20Explanation%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New%20Arefin%20Shams\Arefin%20Shams\Reaz%20Sir%20task\Forex%20Reserve_Reaz%20Sir%20Data%20for%20Explanation%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31256599788808E-2"/>
          <c:y val="0"/>
          <c:w val="0.95353748680042238"/>
          <c:h val="0.93485811550986064"/>
        </c:manualLayout>
      </c:layout>
      <c:barChart>
        <c:barDir val="col"/>
        <c:grouping val="clustered"/>
        <c:varyColors val="0"/>
        <c:ser>
          <c:idx val="0"/>
          <c:order val="0"/>
          <c:tx>
            <c:strRef>
              <c:f>Sheet3!$K$38</c:f>
              <c:strCache>
                <c:ptCount val="1"/>
                <c:pt idx="0">
                  <c:v>Exchange Rate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Sheet3!$J$39:$J$58</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Sheet3!$K$39:$K$58</c:f>
              <c:numCache>
                <c:formatCode>0.00</c:formatCode>
                <c:ptCount val="20"/>
                <c:pt idx="0">
                  <c:v>64.327474999999978</c:v>
                </c:pt>
                <c:pt idx="1">
                  <c:v>68.933233333333362</c:v>
                </c:pt>
                <c:pt idx="2">
                  <c:v>68.874874999999989</c:v>
                </c:pt>
                <c:pt idx="3">
                  <c:v>68.598275000000001</c:v>
                </c:pt>
                <c:pt idx="4">
                  <c:v>69.039066666666656</c:v>
                </c:pt>
                <c:pt idx="5">
                  <c:v>69.649291666666684</c:v>
                </c:pt>
                <c:pt idx="6">
                  <c:v>74.152399999999943</c:v>
                </c:pt>
                <c:pt idx="7">
                  <c:v>81.862658333333258</c:v>
                </c:pt>
                <c:pt idx="8">
                  <c:v>78.103234999999998</c:v>
                </c:pt>
                <c:pt idx="9">
                  <c:v>77.641408333333288</c:v>
                </c:pt>
                <c:pt idx="10">
                  <c:v>77.946908333333312</c:v>
                </c:pt>
                <c:pt idx="11">
                  <c:v>78.46809166666668</c:v>
                </c:pt>
                <c:pt idx="12">
                  <c:v>80.437541666666675</c:v>
                </c:pt>
                <c:pt idx="13">
                  <c:v>83.466201916666648</c:v>
                </c:pt>
                <c:pt idx="14">
                  <c:v>84.453522500000005</c:v>
                </c:pt>
                <c:pt idx="15">
                  <c:v>84.871391666666625</c:v>
                </c:pt>
                <c:pt idx="16">
                  <c:v>85.083763250000004</c:v>
                </c:pt>
                <c:pt idx="17">
                  <c:v>91.745454439696104</c:v>
                </c:pt>
                <c:pt idx="18">
                  <c:v>106.30948429748332</c:v>
                </c:pt>
                <c:pt idx="19">
                  <c:v>115.6036537966482</c:v>
                </c:pt>
              </c:numCache>
            </c:numRef>
          </c:val>
          <c:extLst>
            <c:ext xmlns:c16="http://schemas.microsoft.com/office/drawing/2014/chart" uri="{C3380CC4-5D6E-409C-BE32-E72D297353CC}">
              <c16:uniqueId val="{00000000-9E46-4EE4-B12C-A6473BB5A61F}"/>
            </c:ext>
          </c:extLst>
        </c:ser>
        <c:dLbls>
          <c:showLegendKey val="0"/>
          <c:showVal val="1"/>
          <c:showCatName val="0"/>
          <c:showSerName val="0"/>
          <c:showPercent val="0"/>
          <c:showBubbleSize val="0"/>
        </c:dLbls>
        <c:gapWidth val="444"/>
        <c:overlap val="-90"/>
        <c:axId val="144820096"/>
        <c:axId val="144821632"/>
      </c:barChart>
      <c:catAx>
        <c:axId val="14482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600" b="0" i="0" u="none" strike="noStrike" kern="1200" cap="all" spc="120" normalizeH="0" baseline="0">
                <a:solidFill>
                  <a:schemeClr val="tx1">
                    <a:lumMod val="65000"/>
                    <a:lumOff val="35000"/>
                  </a:schemeClr>
                </a:solidFill>
                <a:latin typeface="+mn-lt"/>
                <a:ea typeface="+mn-ea"/>
                <a:cs typeface="+mn-cs"/>
              </a:defRPr>
            </a:pPr>
            <a:endParaRPr lang="en-US"/>
          </a:p>
        </c:txPr>
        <c:crossAx val="144821632"/>
        <c:crosses val="autoZero"/>
        <c:auto val="1"/>
        <c:lblAlgn val="ctr"/>
        <c:lblOffset val="100"/>
        <c:noMultiLvlLbl val="0"/>
      </c:catAx>
      <c:valAx>
        <c:axId val="144821632"/>
        <c:scaling>
          <c:orientation val="minMax"/>
        </c:scaling>
        <c:delete val="1"/>
        <c:axPos val="l"/>
        <c:numFmt formatCode="0.00" sourceLinked="1"/>
        <c:majorTickMark val="none"/>
        <c:minorTickMark val="none"/>
        <c:tickLblPos val="nextTo"/>
        <c:crossAx val="1448200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196140576767526E-2"/>
          <c:y val="4.6712962962962984E-2"/>
          <c:w val="0.97560771884646491"/>
          <c:h val="0.8754763660584729"/>
        </c:manualLayout>
      </c:layout>
      <c:barChart>
        <c:barDir val="col"/>
        <c:grouping val="clustered"/>
        <c:varyColors val="0"/>
        <c:ser>
          <c:idx val="0"/>
          <c:order val="0"/>
          <c:tx>
            <c:strRef>
              <c:f>Sheet3!$H$16</c:f>
              <c:strCache>
                <c:ptCount val="1"/>
                <c:pt idx="0">
                  <c:v>Export of IT &amp; ITES services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Sheet3!$G$17:$G$36</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Sheet3!$H$17:$H$36</c:f>
              <c:numCache>
                <c:formatCode>0</c:formatCode>
                <c:ptCount val="20"/>
                <c:pt idx="0">
                  <c:v>37.949000000000005</c:v>
                </c:pt>
                <c:pt idx="1">
                  <c:v>90.150999999999982</c:v>
                </c:pt>
                <c:pt idx="2">
                  <c:v>89.07</c:v>
                </c:pt>
                <c:pt idx="3">
                  <c:v>137.846</c:v>
                </c:pt>
                <c:pt idx="4">
                  <c:v>219.81400000000002</c:v>
                </c:pt>
                <c:pt idx="5">
                  <c:v>313.24800000000005</c:v>
                </c:pt>
                <c:pt idx="6">
                  <c:v>456.29299999999978</c:v>
                </c:pt>
                <c:pt idx="7">
                  <c:v>410.69</c:v>
                </c:pt>
                <c:pt idx="8">
                  <c:v>381.45599999999979</c:v>
                </c:pt>
                <c:pt idx="9">
                  <c:v>431.35</c:v>
                </c:pt>
                <c:pt idx="10">
                  <c:v>481.79099999999966</c:v>
                </c:pt>
                <c:pt idx="11">
                  <c:v>623.38099999999997</c:v>
                </c:pt>
                <c:pt idx="12">
                  <c:v>527.79400000000044</c:v>
                </c:pt>
                <c:pt idx="13">
                  <c:v>587.84299999999928</c:v>
                </c:pt>
                <c:pt idx="14">
                  <c:v>511.50099999999975</c:v>
                </c:pt>
                <c:pt idx="15">
                  <c:v>405.08300000000003</c:v>
                </c:pt>
                <c:pt idx="16">
                  <c:v>618.49900000000002</c:v>
                </c:pt>
                <c:pt idx="17">
                  <c:v>721.19100000000003</c:v>
                </c:pt>
                <c:pt idx="18">
                  <c:v>636.69299999999998</c:v>
                </c:pt>
                <c:pt idx="19">
                  <c:v>701.75900000000001</c:v>
                </c:pt>
              </c:numCache>
            </c:numRef>
          </c:val>
          <c:extLst>
            <c:ext xmlns:c16="http://schemas.microsoft.com/office/drawing/2014/chart" uri="{C3380CC4-5D6E-409C-BE32-E72D297353CC}">
              <c16:uniqueId val="{00000000-F61A-45A1-8827-91ED449FEAA5}"/>
            </c:ext>
          </c:extLst>
        </c:ser>
        <c:dLbls>
          <c:showLegendKey val="0"/>
          <c:showVal val="1"/>
          <c:showCatName val="0"/>
          <c:showSerName val="0"/>
          <c:showPercent val="0"/>
          <c:showBubbleSize val="0"/>
        </c:dLbls>
        <c:gapWidth val="444"/>
        <c:overlap val="-90"/>
        <c:axId val="108207104"/>
        <c:axId val="108233472"/>
      </c:barChart>
      <c:catAx>
        <c:axId val="10820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600" b="0" i="0" u="none" strike="noStrike" kern="1200" cap="all" spc="120" normalizeH="0" baseline="0">
                <a:solidFill>
                  <a:schemeClr val="tx1">
                    <a:lumMod val="65000"/>
                    <a:lumOff val="35000"/>
                  </a:schemeClr>
                </a:solidFill>
                <a:latin typeface="+mn-lt"/>
                <a:ea typeface="+mn-ea"/>
                <a:cs typeface="+mn-cs"/>
              </a:defRPr>
            </a:pPr>
            <a:endParaRPr lang="en-US"/>
          </a:p>
        </c:txPr>
        <c:crossAx val="108233472"/>
        <c:crosses val="autoZero"/>
        <c:auto val="1"/>
        <c:lblAlgn val="ctr"/>
        <c:lblOffset val="100"/>
        <c:noMultiLvlLbl val="0"/>
      </c:catAx>
      <c:valAx>
        <c:axId val="108233472"/>
        <c:scaling>
          <c:orientation val="minMax"/>
        </c:scaling>
        <c:delete val="1"/>
        <c:axPos val="l"/>
        <c:numFmt formatCode="0" sourceLinked="1"/>
        <c:majorTickMark val="none"/>
        <c:minorTickMark val="none"/>
        <c:tickLblPos val="nextTo"/>
        <c:crossAx val="10820710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81B9-6196-47E9-99FA-A22033DE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8660</Words>
  <Characters>49362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Fahmida Sultana</dc:creator>
  <cp:lastModifiedBy>SDI 1158</cp:lastModifiedBy>
  <cp:revision>11</cp:revision>
  <cp:lastPrinted>2024-02-19T10:31:00Z</cp:lastPrinted>
  <dcterms:created xsi:type="dcterms:W3CDTF">2025-12-21T16:35:00Z</dcterms:created>
  <dcterms:modified xsi:type="dcterms:W3CDTF">2025-12-30T07:04:00Z</dcterms:modified>
</cp:coreProperties>
</file>