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B766B" w14:textId="77777777" w:rsidR="00625E61" w:rsidRDefault="00625E61" w:rsidP="00347E8D">
      <w:pPr>
        <w:pStyle w:val="Title"/>
        <w:tabs>
          <w:tab w:val="left" w:pos="9356"/>
        </w:tabs>
        <w:spacing w:line="256" w:lineRule="auto"/>
      </w:pPr>
    </w:p>
    <w:p w14:paraId="3681DE2F" w14:textId="7CBAECAE" w:rsidR="00625E61" w:rsidRDefault="00514F76" w:rsidP="00514F76">
      <w:pPr>
        <w:pStyle w:val="Title"/>
        <w:tabs>
          <w:tab w:val="left" w:pos="9356"/>
        </w:tabs>
        <w:spacing w:line="256" w:lineRule="auto"/>
      </w:pPr>
      <w:bookmarkStart w:id="0" w:name="_Hlk219556072"/>
      <w:r>
        <w:t xml:space="preserve">Comprehensive Toxicological Evaluation of Nanoparticles in Food on Organic/Inorganic Nanostructure frame work </w:t>
      </w:r>
    </w:p>
    <w:bookmarkEnd w:id="0"/>
    <w:p w14:paraId="2F3594E1" w14:textId="77777777" w:rsidR="00625E61" w:rsidRDefault="00625E61" w:rsidP="00347E8D">
      <w:pPr>
        <w:pStyle w:val="Heading1"/>
        <w:tabs>
          <w:tab w:val="left" w:pos="9356"/>
        </w:tabs>
        <w:spacing w:before="165"/>
        <w:ind w:firstLine="165"/>
      </w:pPr>
    </w:p>
    <w:p w14:paraId="359D537B" w14:textId="77777777" w:rsidR="00625E61" w:rsidRDefault="005C4DDE" w:rsidP="00347E8D">
      <w:pPr>
        <w:pStyle w:val="Heading1"/>
        <w:tabs>
          <w:tab w:val="left" w:pos="9356"/>
        </w:tabs>
        <w:spacing w:before="165"/>
        <w:ind w:firstLine="165"/>
      </w:pPr>
      <w:r>
        <w:t>Abstract</w:t>
      </w:r>
    </w:p>
    <w:p w14:paraId="6F98640E" w14:textId="1245D808" w:rsidR="00625E61" w:rsidRDefault="005C4DDE" w:rsidP="00347E8D">
      <w:pPr>
        <w:pBdr>
          <w:top w:val="nil"/>
          <w:left w:val="nil"/>
          <w:bottom w:val="nil"/>
          <w:right w:val="nil"/>
          <w:between w:val="nil"/>
        </w:pBdr>
        <w:tabs>
          <w:tab w:val="left" w:pos="9356"/>
        </w:tabs>
        <w:spacing w:before="179" w:line="259" w:lineRule="auto"/>
        <w:ind w:left="165" w:right="1150"/>
        <w:jc w:val="both"/>
        <w:rPr>
          <w:color w:val="000000"/>
          <w:sz w:val="24"/>
          <w:szCs w:val="24"/>
        </w:rPr>
      </w:pPr>
      <w:r>
        <w:rPr>
          <w:color w:val="000000"/>
          <w:sz w:val="24"/>
          <w:szCs w:val="24"/>
        </w:rPr>
        <w:t>Food science has seen a revolution because of nanotechnology, which uses materials at the nanoscale to improve quality, safety, and usefulness. With sizes ranging from 1 to 100 nm, nanoparticles (NPs) have special physical and chemical characteristics that</w:t>
      </w:r>
      <w:r>
        <w:rPr>
          <w:color w:val="000000"/>
          <w:sz w:val="24"/>
          <w:szCs w:val="24"/>
        </w:rPr>
        <w:t xml:space="preserve"> set them apart from their bulk counterparts. These substances are used in packaging for antibacterial and preservation reasons, as well as in food systems to enhance texture, stability, </w:t>
      </w:r>
      <w:proofErr w:type="spellStart"/>
      <w:r>
        <w:rPr>
          <w:color w:val="000000"/>
          <w:sz w:val="24"/>
          <w:szCs w:val="24"/>
        </w:rPr>
        <w:t>colour</w:t>
      </w:r>
      <w:proofErr w:type="spellEnd"/>
      <w:r>
        <w:rPr>
          <w:color w:val="000000"/>
          <w:sz w:val="24"/>
          <w:szCs w:val="24"/>
        </w:rPr>
        <w:t xml:space="preserve">, and nutrition delivery. </w:t>
      </w:r>
      <w:r w:rsidRPr="00514F76">
        <w:rPr>
          <w:color w:val="000000"/>
          <w:sz w:val="24"/>
          <w:szCs w:val="24"/>
          <w:highlight w:val="yellow"/>
        </w:rPr>
        <w:t>However, there are serious safety and</w:t>
      </w:r>
      <w:r w:rsidRPr="00514F76">
        <w:rPr>
          <w:color w:val="000000"/>
          <w:sz w:val="24"/>
          <w:szCs w:val="24"/>
          <w:highlight w:val="yellow"/>
        </w:rPr>
        <w:t xml:space="preserve"> toxicological issues</w:t>
      </w:r>
      <w:r w:rsidR="00514F76" w:rsidRPr="00514F76">
        <w:rPr>
          <w:color w:val="000000"/>
          <w:sz w:val="24"/>
          <w:szCs w:val="24"/>
          <w:highlight w:val="yellow"/>
        </w:rPr>
        <w:t>, frame work and risk Factors</w:t>
      </w:r>
      <w:r w:rsidRPr="00514F76">
        <w:rPr>
          <w:color w:val="000000"/>
          <w:sz w:val="24"/>
          <w:szCs w:val="24"/>
          <w:highlight w:val="yellow"/>
        </w:rPr>
        <w:t xml:space="preserve"> with the increasing use of engineered nanomaterials (ENMs) in food</w:t>
      </w:r>
      <w:r w:rsidR="00514F76">
        <w:rPr>
          <w:color w:val="000000"/>
          <w:sz w:val="24"/>
          <w:szCs w:val="24"/>
          <w:highlight w:val="yellow"/>
        </w:rPr>
        <w:t xml:space="preserve"> and feed </w:t>
      </w:r>
      <w:r w:rsidR="00514F76" w:rsidRPr="00514F76">
        <w:rPr>
          <w:color w:val="000000"/>
          <w:sz w:val="24"/>
          <w:szCs w:val="24"/>
          <w:highlight w:val="yellow"/>
        </w:rPr>
        <w:t>items</w:t>
      </w:r>
      <w:r w:rsidRPr="00514F76">
        <w:rPr>
          <w:color w:val="000000"/>
          <w:sz w:val="24"/>
          <w:szCs w:val="24"/>
          <w:highlight w:val="yellow"/>
        </w:rPr>
        <w:t>.</w:t>
      </w:r>
      <w:r>
        <w:rPr>
          <w:color w:val="000000"/>
          <w:sz w:val="24"/>
          <w:szCs w:val="24"/>
        </w:rPr>
        <w:t xml:space="preserve"> Both inorganic (like silver, titanium dioxide, iron oxide, and zinc oxide) and organic (like lipid, protein, and carbohydr</w:t>
      </w:r>
      <w:r>
        <w:rPr>
          <w:color w:val="000000"/>
          <w:sz w:val="24"/>
          <w:szCs w:val="24"/>
        </w:rPr>
        <w:t>ate- based nanoparticles) food-related nanoparticles are classified in this review, along with their fate and possible toxicity in the gastrointestinal tract (GIT). Organic nanoparticles are often less harmful because of enzymatic breakdown, whereas inorga</w:t>
      </w:r>
      <w:r>
        <w:rPr>
          <w:color w:val="000000"/>
          <w:sz w:val="24"/>
          <w:szCs w:val="24"/>
        </w:rPr>
        <w:t xml:space="preserve">nic nanoparticles have demonstrated variable levels of accumulation and organ toxicity based on size, solubility, and reactivity. </w:t>
      </w:r>
      <w:r w:rsidRPr="00514F76">
        <w:rPr>
          <w:color w:val="000000"/>
          <w:sz w:val="24"/>
          <w:szCs w:val="24"/>
          <w:highlight w:val="yellow"/>
        </w:rPr>
        <w:t>Limited and contradictory toxicological data highlight the urgent need for thorough long-term studies on nanoparticle exposure</w:t>
      </w:r>
      <w:r w:rsidRPr="00514F76">
        <w:rPr>
          <w:color w:val="000000"/>
          <w:sz w:val="24"/>
          <w:szCs w:val="24"/>
          <w:highlight w:val="yellow"/>
        </w:rPr>
        <w:t xml:space="preserve"> through diet, </w:t>
      </w:r>
      <w:r w:rsidR="00514F76" w:rsidRPr="00514F76">
        <w:rPr>
          <w:color w:val="000000"/>
          <w:sz w:val="24"/>
          <w:szCs w:val="24"/>
          <w:highlight w:val="yellow"/>
        </w:rPr>
        <w:t xml:space="preserve">medicines, </w:t>
      </w:r>
      <w:r w:rsidRPr="00514F76">
        <w:rPr>
          <w:color w:val="000000"/>
          <w:sz w:val="24"/>
          <w:szCs w:val="24"/>
          <w:highlight w:val="yellow"/>
        </w:rPr>
        <w:t>despite promised functional improvements.</w:t>
      </w:r>
      <w:r>
        <w:rPr>
          <w:color w:val="000000"/>
          <w:sz w:val="24"/>
          <w:szCs w:val="24"/>
        </w:rPr>
        <w:t xml:space="preserve"> </w:t>
      </w:r>
      <w:r w:rsidR="00514F76" w:rsidRPr="00514F76">
        <w:rPr>
          <w:color w:val="000000"/>
          <w:sz w:val="24"/>
          <w:szCs w:val="24"/>
          <w:highlight w:val="yellow"/>
        </w:rPr>
        <w:t>The fast-developing</w:t>
      </w:r>
      <w:r w:rsidRPr="00514F76">
        <w:rPr>
          <w:color w:val="000000"/>
          <w:sz w:val="24"/>
          <w:szCs w:val="24"/>
          <w:highlight w:val="yellow"/>
        </w:rPr>
        <w:t xml:space="preserve"> </w:t>
      </w:r>
      <w:proofErr w:type="spellStart"/>
      <w:r w:rsidRPr="00514F76">
        <w:rPr>
          <w:color w:val="000000"/>
          <w:sz w:val="24"/>
          <w:szCs w:val="24"/>
          <w:highlight w:val="yellow"/>
        </w:rPr>
        <w:t>nano</w:t>
      </w:r>
      <w:proofErr w:type="spellEnd"/>
      <w:r w:rsidRPr="00514F76">
        <w:rPr>
          <w:color w:val="000000"/>
          <w:sz w:val="24"/>
          <w:szCs w:val="24"/>
          <w:highlight w:val="yellow"/>
        </w:rPr>
        <w:t>-enabled food technology</w:t>
      </w:r>
      <w:r w:rsidR="00514F76" w:rsidRPr="00514F76">
        <w:rPr>
          <w:color w:val="000000"/>
          <w:sz w:val="24"/>
          <w:szCs w:val="24"/>
          <w:highlight w:val="yellow"/>
        </w:rPr>
        <w:t xml:space="preserve"> and feed</w:t>
      </w:r>
      <w:r w:rsidRPr="00514F76">
        <w:rPr>
          <w:color w:val="000000"/>
          <w:sz w:val="24"/>
          <w:szCs w:val="24"/>
          <w:highlight w:val="yellow"/>
        </w:rPr>
        <w:t xml:space="preserve">, it is crucial to comprehend </w:t>
      </w:r>
      <w:r w:rsidR="00514F76">
        <w:rPr>
          <w:color w:val="000000"/>
          <w:sz w:val="24"/>
          <w:szCs w:val="24"/>
          <w:highlight w:val="yellow"/>
        </w:rPr>
        <w:t>the risk factors, the</w:t>
      </w:r>
      <w:r w:rsidRPr="00514F76">
        <w:rPr>
          <w:color w:val="000000"/>
          <w:sz w:val="24"/>
          <w:szCs w:val="24"/>
          <w:highlight w:val="yellow"/>
        </w:rPr>
        <w:t xml:space="preserve"> nanoparticles interact with biological systems in order to create appropriate r</w:t>
      </w:r>
      <w:r w:rsidRPr="00514F76">
        <w:rPr>
          <w:color w:val="000000"/>
          <w:sz w:val="24"/>
          <w:szCs w:val="24"/>
          <w:highlight w:val="yellow"/>
        </w:rPr>
        <w:t>egulatory frameworks and guarantee consumer safety.</w:t>
      </w:r>
    </w:p>
    <w:p w14:paraId="44436D23" w14:textId="77777777" w:rsidR="00625E61" w:rsidRDefault="005C4DDE" w:rsidP="00347E8D">
      <w:pPr>
        <w:pBdr>
          <w:top w:val="nil"/>
          <w:left w:val="nil"/>
          <w:bottom w:val="nil"/>
          <w:right w:val="nil"/>
          <w:between w:val="nil"/>
        </w:pBdr>
        <w:tabs>
          <w:tab w:val="left" w:pos="9356"/>
        </w:tabs>
        <w:spacing w:before="159" w:line="256" w:lineRule="auto"/>
        <w:ind w:left="165" w:right="1167"/>
        <w:rPr>
          <w:color w:val="000000"/>
          <w:sz w:val="24"/>
          <w:szCs w:val="24"/>
        </w:rPr>
      </w:pPr>
      <w:r>
        <w:rPr>
          <w:color w:val="000000"/>
          <w:sz w:val="24"/>
          <w:szCs w:val="24"/>
        </w:rPr>
        <w:t>Keywords: Nanotechnology; Engineered nanomaterials (ENMs); Food safety; Nanoparticle toxicity; Gastrointestinal tract (GIT), Reactive Oxygen Species</w:t>
      </w:r>
    </w:p>
    <w:p w14:paraId="69BEC1E3" w14:textId="77777777" w:rsidR="00625E61" w:rsidRDefault="005C4DDE" w:rsidP="00347E8D">
      <w:pPr>
        <w:pStyle w:val="Heading1"/>
        <w:tabs>
          <w:tab w:val="left" w:pos="9356"/>
        </w:tabs>
        <w:spacing w:before="164"/>
        <w:ind w:firstLine="165"/>
      </w:pPr>
      <w:r>
        <w:t>Introduction</w:t>
      </w:r>
    </w:p>
    <w:p w14:paraId="604DACED" w14:textId="77777777" w:rsidR="00625E61" w:rsidRDefault="005C4DDE" w:rsidP="00347E8D">
      <w:pPr>
        <w:pBdr>
          <w:top w:val="nil"/>
          <w:left w:val="nil"/>
          <w:bottom w:val="nil"/>
          <w:right w:val="nil"/>
          <w:between w:val="nil"/>
        </w:pBdr>
        <w:tabs>
          <w:tab w:val="left" w:pos="9356"/>
        </w:tabs>
        <w:spacing w:before="185" w:line="259" w:lineRule="auto"/>
        <w:ind w:left="165" w:right="1152"/>
        <w:jc w:val="both"/>
        <w:rPr>
          <w:sz w:val="24"/>
          <w:szCs w:val="24"/>
        </w:rPr>
      </w:pPr>
      <w:r>
        <w:rPr>
          <w:color w:val="000000"/>
          <w:sz w:val="24"/>
          <w:szCs w:val="24"/>
        </w:rPr>
        <w:t xml:space="preserve">Nanoparticles with sizes ranging from 1 to 100 nm, that </w:t>
      </w:r>
      <w:r>
        <w:rPr>
          <w:sz w:val="24"/>
          <w:szCs w:val="24"/>
        </w:rPr>
        <w:t>determine</w:t>
      </w:r>
      <w:r>
        <w:rPr>
          <w:color w:val="000000"/>
          <w:sz w:val="24"/>
          <w:szCs w:val="24"/>
        </w:rPr>
        <w:t xml:space="preserve"> the unique physical and chemical characteristics, are very different from those of their bulk forms. Because of their size, nanoparticles (NPs) have surface modifications that have enabled t</w:t>
      </w:r>
      <w:r>
        <w:rPr>
          <w:color w:val="000000"/>
          <w:sz w:val="24"/>
          <w:szCs w:val="24"/>
        </w:rPr>
        <w:t>heir use in a wide range of applications. They can create supramolecular ensembles that resemble those seen in nature (Chaudhry et al., 2008</w:t>
      </w:r>
      <w:r>
        <w:rPr>
          <w:sz w:val="24"/>
          <w:szCs w:val="24"/>
        </w:rPr>
        <w:t>;</w:t>
      </w:r>
      <w:r>
        <w:rPr>
          <w:color w:val="000000"/>
          <w:sz w:val="24"/>
          <w:szCs w:val="24"/>
        </w:rPr>
        <w:t xml:space="preserve"> </w:t>
      </w:r>
      <w:proofErr w:type="spellStart"/>
      <w:r>
        <w:rPr>
          <w:sz w:val="24"/>
          <w:szCs w:val="24"/>
        </w:rPr>
        <w:t>Eker</w:t>
      </w:r>
      <w:proofErr w:type="spellEnd"/>
      <w:r>
        <w:rPr>
          <w:sz w:val="24"/>
          <w:szCs w:val="24"/>
        </w:rPr>
        <w:t xml:space="preserve"> et al., 2024</w:t>
      </w:r>
      <w:r>
        <w:rPr>
          <w:color w:val="000000"/>
          <w:sz w:val="24"/>
          <w:szCs w:val="24"/>
        </w:rPr>
        <w:t xml:space="preserve">). The nanosized materials are </w:t>
      </w:r>
      <w:proofErr w:type="spellStart"/>
      <w:r>
        <w:rPr>
          <w:color w:val="000000"/>
          <w:sz w:val="24"/>
          <w:szCs w:val="24"/>
        </w:rPr>
        <w:t>categorised</w:t>
      </w:r>
      <w:proofErr w:type="spellEnd"/>
      <w:r>
        <w:rPr>
          <w:color w:val="000000"/>
          <w:sz w:val="24"/>
          <w:szCs w:val="24"/>
        </w:rPr>
        <w:t xml:space="preserve"> into many classes according to their size, shape, chem</w:t>
      </w:r>
      <w:r>
        <w:rPr>
          <w:color w:val="000000"/>
          <w:sz w:val="24"/>
          <w:szCs w:val="24"/>
        </w:rPr>
        <w:t>ical composition, drugs, cosmetics, surface, phase state, and other characteristics. Material-wise, they can be mainly organic, inorganic and carbon-based, and others are metal or non-metal or metal-oxide based nanoparticles/materials (</w:t>
      </w:r>
      <w:r>
        <w:rPr>
          <w:sz w:val="24"/>
          <w:szCs w:val="24"/>
        </w:rPr>
        <w:t xml:space="preserve">Ijaz et al, 2020; </w:t>
      </w:r>
      <w:proofErr w:type="spellStart"/>
      <w:r>
        <w:rPr>
          <w:sz w:val="24"/>
          <w:szCs w:val="24"/>
        </w:rPr>
        <w:t>Pe</w:t>
      </w:r>
      <w:r>
        <w:rPr>
          <w:sz w:val="24"/>
          <w:szCs w:val="24"/>
        </w:rPr>
        <w:t>trove</w:t>
      </w:r>
      <w:proofErr w:type="spellEnd"/>
      <w:r>
        <w:rPr>
          <w:sz w:val="24"/>
          <w:szCs w:val="24"/>
        </w:rPr>
        <w:t xml:space="preserve"> et al, 2025</w:t>
      </w:r>
      <w:r>
        <w:rPr>
          <w:color w:val="000000"/>
          <w:sz w:val="24"/>
          <w:szCs w:val="24"/>
        </w:rPr>
        <w:t xml:space="preserve">). The tangible and </w:t>
      </w:r>
      <w:r>
        <w:rPr>
          <w:sz w:val="24"/>
          <w:szCs w:val="24"/>
        </w:rPr>
        <w:t>chemical</w:t>
      </w:r>
      <w:r>
        <w:rPr>
          <w:color w:val="000000"/>
          <w:sz w:val="24"/>
          <w:szCs w:val="24"/>
        </w:rPr>
        <w:t xml:space="preserve"> characteristics of materials that have been created at the nanoscale are essential for assessing potential environmental risks and identifying toxicity to biological systems, including medicine (</w:t>
      </w:r>
      <w:proofErr w:type="spellStart"/>
      <w:r>
        <w:rPr>
          <w:color w:val="000000"/>
          <w:sz w:val="24"/>
          <w:szCs w:val="24"/>
        </w:rPr>
        <w:t>Maharramov</w:t>
      </w:r>
      <w:proofErr w:type="spellEnd"/>
      <w:r>
        <w:rPr>
          <w:color w:val="000000"/>
          <w:sz w:val="24"/>
          <w:szCs w:val="24"/>
        </w:rPr>
        <w:t xml:space="preserve"> et a</w:t>
      </w:r>
      <w:r>
        <w:rPr>
          <w:color w:val="000000"/>
          <w:sz w:val="24"/>
          <w:szCs w:val="24"/>
        </w:rPr>
        <w:t>l., 2019). Novel qualities, advantageous for specific commercial applications, can result from controlling the structure and characteristics of materials at this scale. Within the food industry, food quality, shelf life, safety, cost, and nutritional advan</w:t>
      </w:r>
      <w:r>
        <w:rPr>
          <w:color w:val="000000"/>
          <w:sz w:val="24"/>
          <w:szCs w:val="24"/>
        </w:rPr>
        <w:t>tages can all be enhanced with nanotechnology, the changing world during the Anthropocene epoch (</w:t>
      </w:r>
      <w:proofErr w:type="spellStart"/>
      <w:r>
        <w:rPr>
          <w:color w:val="000000"/>
          <w:sz w:val="24"/>
          <w:szCs w:val="24"/>
        </w:rPr>
        <w:t>Sozer</w:t>
      </w:r>
      <w:proofErr w:type="spellEnd"/>
      <w:r>
        <w:rPr>
          <w:color w:val="000000"/>
          <w:sz w:val="24"/>
          <w:szCs w:val="24"/>
        </w:rPr>
        <w:t xml:space="preserve"> &amp; </w:t>
      </w:r>
      <w:proofErr w:type="spellStart"/>
      <w:r>
        <w:rPr>
          <w:color w:val="000000"/>
          <w:sz w:val="24"/>
          <w:szCs w:val="24"/>
        </w:rPr>
        <w:t>Kokini</w:t>
      </w:r>
      <w:proofErr w:type="spellEnd"/>
      <w:r>
        <w:rPr>
          <w:color w:val="000000"/>
          <w:sz w:val="24"/>
          <w:szCs w:val="24"/>
        </w:rPr>
        <w:t xml:space="preserve">, 2009; </w:t>
      </w:r>
      <w:r>
        <w:rPr>
          <w:sz w:val="24"/>
          <w:szCs w:val="24"/>
        </w:rPr>
        <w:t>Mishra et al., 2017; Biswas et al., 2022; Han et al., 2025).</w:t>
      </w:r>
    </w:p>
    <w:p w14:paraId="19B440DA" w14:textId="77777777" w:rsidR="00223202" w:rsidRDefault="00E24E1F" w:rsidP="00347E8D">
      <w:pPr>
        <w:pBdr>
          <w:top w:val="nil"/>
          <w:left w:val="nil"/>
          <w:bottom w:val="nil"/>
          <w:right w:val="nil"/>
          <w:between w:val="nil"/>
        </w:pBdr>
        <w:tabs>
          <w:tab w:val="left" w:pos="9356"/>
        </w:tabs>
        <w:spacing w:before="185" w:line="259" w:lineRule="auto"/>
        <w:ind w:left="165" w:right="1152"/>
        <w:jc w:val="both"/>
        <w:rPr>
          <w:sz w:val="24"/>
          <w:szCs w:val="24"/>
        </w:rPr>
      </w:pPr>
      <w:r w:rsidRPr="00E24E1F">
        <w:rPr>
          <w:sz w:val="24"/>
          <w:szCs w:val="24"/>
          <w:highlight w:val="yellow"/>
        </w:rPr>
        <w:t xml:space="preserve">Nanoparticles (NPs) exhibit unique properties due to their quantum-size effects and high surface-area-to-volume ratio. These characteristics give them distinct chemical, electrical, </w:t>
      </w:r>
      <w:r w:rsidRPr="00E24E1F">
        <w:rPr>
          <w:sz w:val="24"/>
          <w:szCs w:val="24"/>
          <w:highlight w:val="yellow"/>
        </w:rPr>
        <w:lastRenderedPageBreak/>
        <w:t>magnetic, and optical properties that are not found in bulk materials. NPs demonstrate excellent applications in various areas, including enhancing human foods and animal feeds, drug delivery, antimicrobial activity in human metabolism, water purification, pollution control, and bioimaging. However, long-term use of these nanoparticles may negatively impact human health. It is essential to conduct thorough research to assess the extent of their impact on human health.</w:t>
      </w:r>
    </w:p>
    <w:p w14:paraId="4C8BF788" w14:textId="60240357" w:rsidR="00625E61" w:rsidRDefault="00591EA8" w:rsidP="00347E8D">
      <w:pPr>
        <w:pBdr>
          <w:top w:val="nil"/>
          <w:left w:val="nil"/>
          <w:bottom w:val="nil"/>
          <w:right w:val="nil"/>
          <w:between w:val="nil"/>
        </w:pBdr>
        <w:tabs>
          <w:tab w:val="left" w:pos="9356"/>
        </w:tabs>
        <w:spacing w:before="66" w:line="259" w:lineRule="auto"/>
        <w:ind w:left="165" w:right="1150"/>
        <w:jc w:val="both"/>
        <w:rPr>
          <w:sz w:val="24"/>
          <w:szCs w:val="24"/>
        </w:rPr>
      </w:pPr>
      <w:r>
        <w:rPr>
          <w:color w:val="000000"/>
          <w:sz w:val="24"/>
          <w:szCs w:val="24"/>
        </w:rPr>
        <w:t xml:space="preserve">The assessment of polymer, zinc oxide, titanium dioxide, and graphene oxide nanoparticles </w:t>
      </w:r>
      <w:proofErr w:type="gramStart"/>
      <w:r>
        <w:rPr>
          <w:color w:val="000000"/>
          <w:sz w:val="24"/>
          <w:szCs w:val="24"/>
        </w:rPr>
        <w:t>highlights</w:t>
      </w:r>
      <w:proofErr w:type="gramEnd"/>
      <w:r>
        <w:rPr>
          <w:color w:val="000000"/>
          <w:sz w:val="24"/>
          <w:szCs w:val="24"/>
        </w:rPr>
        <w:t xml:space="preserve"> their potential risks (</w:t>
      </w:r>
      <w:proofErr w:type="spellStart"/>
      <w:r>
        <w:rPr>
          <w:color w:val="000000"/>
          <w:sz w:val="24"/>
          <w:szCs w:val="24"/>
        </w:rPr>
        <w:t>Vinardell</w:t>
      </w:r>
      <w:proofErr w:type="spellEnd"/>
      <w:r>
        <w:rPr>
          <w:color w:val="000000"/>
          <w:sz w:val="24"/>
          <w:szCs w:val="24"/>
        </w:rPr>
        <w:t xml:space="preserve"> et al., 2025). Nanomaterials in the food industry, particularly in packaging, are generally not intended to enter food products. While some nanomaterials are designed for direct use in food for altering properties or ensuring safety, concerns about health risks focus on ingested nanomaterials (</w:t>
      </w:r>
      <w:proofErr w:type="spellStart"/>
      <w:r>
        <w:rPr>
          <w:color w:val="000000"/>
          <w:sz w:val="24"/>
          <w:szCs w:val="24"/>
        </w:rPr>
        <w:t>Livney</w:t>
      </w:r>
      <w:proofErr w:type="spellEnd"/>
      <w:r>
        <w:rPr>
          <w:color w:val="000000"/>
          <w:sz w:val="24"/>
          <w:szCs w:val="24"/>
        </w:rPr>
        <w:t xml:space="preserve">, 2010; </w:t>
      </w:r>
      <w:proofErr w:type="spellStart"/>
      <w:r>
        <w:rPr>
          <w:color w:val="000000"/>
          <w:sz w:val="24"/>
          <w:szCs w:val="24"/>
        </w:rPr>
        <w:t>Abegunde</w:t>
      </w:r>
      <w:proofErr w:type="spellEnd"/>
      <w:r>
        <w:rPr>
          <w:color w:val="000000"/>
          <w:sz w:val="24"/>
          <w:szCs w:val="24"/>
        </w:rPr>
        <w:t xml:space="preserve"> et al., 2025). It’s important to differentiate between naturally occurring nanoscale molecules in foods, like casein micelles in milk, and engineered nanoscale materials (ENMs) that may be purposefully added or unintentionally introduced from packaging (</w:t>
      </w:r>
      <w:proofErr w:type="spellStart"/>
      <w:r>
        <w:rPr>
          <w:color w:val="000000"/>
          <w:sz w:val="24"/>
          <w:szCs w:val="24"/>
        </w:rPr>
        <w:t>Szakal</w:t>
      </w:r>
      <w:proofErr w:type="spellEnd"/>
      <w:r>
        <w:rPr>
          <w:color w:val="000000"/>
          <w:sz w:val="24"/>
          <w:szCs w:val="24"/>
        </w:rPr>
        <w:t xml:space="preserve"> et al., 2014; Muthu et al., 2025). ENMs are specifically designed with particular characteristics to enhance food texture, stability, and delivery of nutrients or additives (Yada et al., 2014; De </w:t>
      </w:r>
      <w:proofErr w:type="spellStart"/>
      <w:r>
        <w:rPr>
          <w:color w:val="000000"/>
          <w:sz w:val="24"/>
          <w:szCs w:val="24"/>
        </w:rPr>
        <w:t>Olieveria</w:t>
      </w:r>
      <w:proofErr w:type="spellEnd"/>
      <w:r>
        <w:rPr>
          <w:color w:val="000000"/>
          <w:sz w:val="24"/>
          <w:szCs w:val="24"/>
        </w:rPr>
        <w:t xml:space="preserve"> et al., 2021). Additionally, common food processing methods can inadvertently produce nanoscale structures (Gupta et al., 2016; Shafiq et al., 2025).</w:t>
      </w:r>
    </w:p>
    <w:p w14:paraId="30A3EF94" w14:textId="6168A257" w:rsidR="00625E61" w:rsidRDefault="00591EA8" w:rsidP="00591EA8">
      <w:pPr>
        <w:pBdr>
          <w:top w:val="nil"/>
          <w:left w:val="nil"/>
          <w:bottom w:val="nil"/>
          <w:right w:val="nil"/>
          <w:between w:val="nil"/>
        </w:pBdr>
        <w:tabs>
          <w:tab w:val="left" w:pos="9356"/>
        </w:tabs>
        <w:spacing w:before="66" w:line="259" w:lineRule="auto"/>
        <w:ind w:left="165" w:right="1150"/>
        <w:jc w:val="both"/>
        <w:rPr>
          <w:color w:val="000000"/>
          <w:sz w:val="24"/>
          <w:szCs w:val="24"/>
        </w:rPr>
      </w:pPr>
      <w:r w:rsidRPr="00591EA8">
        <w:rPr>
          <w:sz w:val="24"/>
          <w:szCs w:val="24"/>
        </w:rPr>
        <w:t xml:space="preserve"> </w:t>
      </w:r>
      <w:r w:rsidRPr="00157DF1">
        <w:rPr>
          <w:sz w:val="24"/>
          <w:szCs w:val="24"/>
          <w:highlight w:val="yellow"/>
        </w:rPr>
        <w:t>This study examines the EU's legal framework, including the 2011 and 2022 Commission recommendations, Regulation (EC) No 178/2002, Regulation (EU) 2015/2283, and EFSA guidance documents.</w:t>
      </w:r>
      <w:r>
        <w:rPr>
          <w:sz w:val="24"/>
          <w:szCs w:val="24"/>
        </w:rPr>
        <w:t xml:space="preserve"> Both acute and chronic toxicity can occur with nanoparticles, but chronic toxicity is more prevalent.</w:t>
      </w:r>
      <w:r>
        <w:rPr>
          <w:color w:val="000000"/>
          <w:sz w:val="24"/>
          <w:szCs w:val="24"/>
        </w:rPr>
        <w:t xml:space="preserve"> significant in meals, as over time, comparatively tiny concentrations of nanoparticles are likely to be ingested. Generally speaking, a nanoparticle's toxicity is determined by its capacity to harm human cells or organs, which would hurt health or well-being. Numerous locations within the gastrointestinal tract (GIT), as well as following the </w:t>
      </w:r>
      <w:r w:rsidR="00AA3D1C">
        <w:rPr>
          <w:color w:val="000000"/>
          <w:sz w:val="24"/>
          <w:szCs w:val="24"/>
        </w:rPr>
        <w:t>nanoparticles'</w:t>
      </w:r>
      <w:r>
        <w:rPr>
          <w:color w:val="000000"/>
          <w:sz w:val="24"/>
          <w:szCs w:val="24"/>
        </w:rPr>
        <w:t xml:space="preserve"> (NPs) absorption into the body, may experience cellular or organ damage. Additionally, nanoparticles could harm the microbial cells that often make up the human GIT, potentially indirectly changing human health.</w:t>
      </w:r>
    </w:p>
    <w:p w14:paraId="69076E9C" w14:textId="77777777" w:rsidR="001B1AC3" w:rsidRDefault="005C4DDE" w:rsidP="00347E8D">
      <w:pPr>
        <w:pBdr>
          <w:top w:val="nil"/>
          <w:left w:val="nil"/>
          <w:bottom w:val="nil"/>
          <w:right w:val="nil"/>
          <w:between w:val="nil"/>
        </w:pBdr>
        <w:tabs>
          <w:tab w:val="left" w:pos="9356"/>
        </w:tabs>
        <w:spacing w:before="157" w:line="259" w:lineRule="auto"/>
        <w:ind w:left="165" w:right="1155"/>
        <w:jc w:val="both"/>
        <w:rPr>
          <w:b/>
          <w:bCs/>
          <w:color w:val="000000"/>
          <w:sz w:val="24"/>
          <w:szCs w:val="24"/>
        </w:rPr>
      </w:pPr>
      <w:r>
        <w:rPr>
          <w:b/>
          <w:bCs/>
          <w:color w:val="000000"/>
          <w:sz w:val="24"/>
          <w:szCs w:val="24"/>
        </w:rPr>
        <w:t>Causes for NP toxicity:</w:t>
      </w:r>
    </w:p>
    <w:p w14:paraId="30D86D0C" w14:textId="5C274178" w:rsidR="00C01D28" w:rsidRPr="001B1AC3" w:rsidRDefault="00C01D28" w:rsidP="00347E8D">
      <w:pPr>
        <w:pBdr>
          <w:top w:val="nil"/>
          <w:left w:val="nil"/>
          <w:bottom w:val="nil"/>
          <w:right w:val="nil"/>
          <w:between w:val="nil"/>
        </w:pBdr>
        <w:tabs>
          <w:tab w:val="left" w:pos="9356"/>
        </w:tabs>
        <w:spacing w:before="157" w:line="259" w:lineRule="auto"/>
        <w:ind w:left="165" w:right="1155"/>
        <w:jc w:val="both"/>
        <w:rPr>
          <w:b/>
          <w:bCs/>
          <w:color w:val="000000"/>
          <w:sz w:val="24"/>
          <w:szCs w:val="24"/>
        </w:rPr>
      </w:pPr>
      <w:r w:rsidRPr="001B1AC3">
        <w:rPr>
          <w:sz w:val="24"/>
          <w:szCs w:val="24"/>
          <w:highlight w:val="yellow"/>
        </w:rPr>
        <w:t>Nanoparticle toxicity can occur at both the cellular and whole-body levels, and when these toxic effects are not properly controlled, they can become severe or even fatal. The harmful potential of nanoparticles is largely influenced by their very small size, which gives them a high surface area relative to their volume, allowing greater interaction with surrounding biological molecules. Their chemical composition and reactivity further determine how they behave inside the body and how strongly they respond with cells and tissues. The surface charge of nanoparticles also plays an important role, as it affects electrostatic interactions with cell membranes and proteins. In addition, hydrophobic or lipophilic groups on nanoparticles can bind easily with proteins and lipid membranes, disturbing normal cellular functions. Even particles considered chemically inert may not be completely harmless, as the body can recognize them as foreign and respond by forming fibrous tissue or scars around them, which can interfere with normal tissue structure and function.</w:t>
      </w:r>
    </w:p>
    <w:p w14:paraId="2188F481" w14:textId="47DE2905" w:rsidR="00625E61" w:rsidRDefault="005C4DDE" w:rsidP="00347E8D">
      <w:pPr>
        <w:pStyle w:val="Heading1"/>
        <w:tabs>
          <w:tab w:val="left" w:pos="9356"/>
        </w:tabs>
        <w:ind w:firstLine="165"/>
      </w:pPr>
      <w:r>
        <w:t>Types of nanoparticles and their toxicity</w:t>
      </w:r>
    </w:p>
    <w:p w14:paraId="1E18AA2B" w14:textId="77777777" w:rsidR="00625E61" w:rsidRDefault="005C4DDE" w:rsidP="00347E8D">
      <w:pPr>
        <w:pBdr>
          <w:top w:val="nil"/>
          <w:left w:val="nil"/>
          <w:bottom w:val="nil"/>
          <w:right w:val="nil"/>
          <w:between w:val="nil"/>
        </w:pBdr>
        <w:tabs>
          <w:tab w:val="left" w:pos="9356"/>
        </w:tabs>
        <w:spacing w:before="184" w:line="259" w:lineRule="auto"/>
        <w:ind w:left="165" w:right="1544"/>
        <w:jc w:val="both"/>
        <w:rPr>
          <w:color w:val="000000"/>
          <w:sz w:val="24"/>
          <w:szCs w:val="24"/>
        </w:rPr>
      </w:pPr>
      <w:r>
        <w:rPr>
          <w:color w:val="000000"/>
          <w:sz w:val="24"/>
          <w:szCs w:val="24"/>
        </w:rPr>
        <w:t>Indians are still in the habit of ancient methods of food habits, and all ingredients are organic; the toxicity of NP fortified foods is yet to be felt (</w:t>
      </w:r>
      <w:r>
        <w:rPr>
          <w:sz w:val="24"/>
          <w:szCs w:val="24"/>
        </w:rPr>
        <w:t>Mishra et al, 2020</w:t>
      </w:r>
      <w:r>
        <w:rPr>
          <w:color w:val="000000"/>
          <w:sz w:val="24"/>
          <w:szCs w:val="24"/>
        </w:rPr>
        <w:t xml:space="preserve">). Since </w:t>
      </w:r>
      <w:r>
        <w:rPr>
          <w:color w:val="000000"/>
          <w:sz w:val="24"/>
          <w:szCs w:val="24"/>
        </w:rPr>
        <w:t>their composition greatly affects their gastrointestinal fate and possible toxicity, the nanoparticles found in meals may generally be conveniently classified as either organic or inorganic.</w:t>
      </w:r>
    </w:p>
    <w:p w14:paraId="3344FB07" w14:textId="77777777" w:rsidR="00625E61" w:rsidRDefault="005C4DDE" w:rsidP="00347E8D">
      <w:pPr>
        <w:pStyle w:val="Heading1"/>
        <w:tabs>
          <w:tab w:val="left" w:pos="9356"/>
        </w:tabs>
        <w:spacing w:before="156"/>
        <w:ind w:left="225"/>
      </w:pPr>
      <w:r>
        <w:lastRenderedPageBreak/>
        <w:t>Inorganic nanoparticles</w:t>
      </w:r>
    </w:p>
    <w:p w14:paraId="785F195A" w14:textId="77777777" w:rsidR="00625E61" w:rsidRDefault="005C4DDE" w:rsidP="00347E8D">
      <w:pPr>
        <w:pBdr>
          <w:top w:val="nil"/>
          <w:left w:val="nil"/>
          <w:bottom w:val="nil"/>
          <w:right w:val="nil"/>
          <w:between w:val="nil"/>
        </w:pBdr>
        <w:tabs>
          <w:tab w:val="left" w:pos="9356"/>
        </w:tabs>
        <w:spacing w:before="180" w:line="276" w:lineRule="auto"/>
        <w:ind w:left="165" w:right="1150"/>
        <w:jc w:val="both"/>
        <w:rPr>
          <w:color w:val="000000"/>
          <w:sz w:val="24"/>
          <w:szCs w:val="24"/>
        </w:rPr>
      </w:pPr>
      <w:r>
        <w:rPr>
          <w:color w:val="000000"/>
          <w:sz w:val="24"/>
          <w:szCs w:val="24"/>
        </w:rPr>
        <w:t>Inorganic substances like silver, iron ox</w:t>
      </w:r>
      <w:r>
        <w:rPr>
          <w:color w:val="000000"/>
          <w:sz w:val="24"/>
          <w:szCs w:val="24"/>
        </w:rPr>
        <w:t>ide, titanium dioxide, silicon dioxide, or zinc oxide make up the majority of the various kinds of nanoparticles found in food. Either crystalline or amorphous solids at room temperature, which can vary in size, shape, and surface properties based on the r</w:t>
      </w:r>
      <w:r>
        <w:rPr>
          <w:color w:val="000000"/>
          <w:sz w:val="24"/>
          <w:szCs w:val="24"/>
        </w:rPr>
        <w:t>aw materials and manufacturing conditions. The toxicity and GIT fate of inorganic nanoparticles are significantly influenced by their chemical reactivities and propensity to dissolve in various solution conditions (such as pH and ionic strength) (</w:t>
      </w:r>
      <w:proofErr w:type="spellStart"/>
      <w:r>
        <w:rPr>
          <w:color w:val="000000"/>
          <w:sz w:val="24"/>
          <w:szCs w:val="24"/>
        </w:rPr>
        <w:t>Pietroius</w:t>
      </w:r>
      <w:r>
        <w:rPr>
          <w:color w:val="000000"/>
          <w:sz w:val="24"/>
          <w:szCs w:val="24"/>
        </w:rPr>
        <w:t>ti</w:t>
      </w:r>
      <w:proofErr w:type="spellEnd"/>
      <w:r>
        <w:rPr>
          <w:color w:val="000000"/>
          <w:sz w:val="24"/>
          <w:szCs w:val="24"/>
        </w:rPr>
        <w:t xml:space="preserve"> et al., 2016; </w:t>
      </w:r>
      <w:r>
        <w:rPr>
          <w:sz w:val="24"/>
          <w:szCs w:val="24"/>
        </w:rPr>
        <w:t>Dash et al., 2022</w:t>
      </w:r>
      <w:r>
        <w:rPr>
          <w:color w:val="000000"/>
          <w:sz w:val="24"/>
          <w:szCs w:val="24"/>
        </w:rPr>
        <w:t>).</w:t>
      </w:r>
    </w:p>
    <w:p w14:paraId="735C7B6B" w14:textId="77777777" w:rsidR="00625E61" w:rsidRDefault="005C4DDE" w:rsidP="00347E8D">
      <w:pPr>
        <w:pStyle w:val="Heading1"/>
        <w:tabs>
          <w:tab w:val="left" w:pos="9356"/>
        </w:tabs>
        <w:spacing w:before="164"/>
        <w:ind w:firstLine="165"/>
      </w:pPr>
      <w:r>
        <w:t>Silver nanoparticle</w:t>
      </w:r>
    </w:p>
    <w:p w14:paraId="3DF79D1A" w14:textId="77777777" w:rsidR="00625E61" w:rsidRDefault="00625E61" w:rsidP="00347E8D">
      <w:pPr>
        <w:tabs>
          <w:tab w:val="left" w:pos="9356"/>
        </w:tabs>
      </w:pPr>
    </w:p>
    <w:p w14:paraId="5F52B134" w14:textId="77777777" w:rsidR="00625E61" w:rsidRDefault="005C4DDE" w:rsidP="00347E8D">
      <w:pPr>
        <w:pBdr>
          <w:top w:val="nil"/>
          <w:left w:val="nil"/>
          <w:bottom w:val="nil"/>
          <w:right w:val="nil"/>
          <w:between w:val="nil"/>
        </w:pBdr>
        <w:tabs>
          <w:tab w:val="left" w:pos="9356"/>
        </w:tabs>
        <w:spacing w:before="66" w:line="259" w:lineRule="auto"/>
        <w:ind w:left="165" w:right="1155"/>
        <w:jc w:val="both"/>
        <w:rPr>
          <w:color w:val="000000"/>
          <w:sz w:val="24"/>
          <w:szCs w:val="24"/>
        </w:rPr>
      </w:pPr>
      <w:r>
        <w:rPr>
          <w:color w:val="000000"/>
          <w:sz w:val="24"/>
          <w:szCs w:val="24"/>
        </w:rPr>
        <w:t>The silver nanoparticles (</w:t>
      </w:r>
      <w:proofErr w:type="spellStart"/>
      <w:r>
        <w:rPr>
          <w:color w:val="000000"/>
          <w:sz w:val="24"/>
          <w:szCs w:val="24"/>
        </w:rPr>
        <w:t>AgNPs</w:t>
      </w:r>
      <w:proofErr w:type="spellEnd"/>
      <w:r>
        <w:rPr>
          <w:color w:val="000000"/>
          <w:sz w:val="24"/>
          <w:szCs w:val="24"/>
        </w:rPr>
        <w:t xml:space="preserve">) are at the forefront in the food sector. They have been </w:t>
      </w:r>
      <w:r>
        <w:rPr>
          <w:sz w:val="24"/>
          <w:szCs w:val="24"/>
        </w:rPr>
        <w:t>utilized</w:t>
      </w:r>
      <w:r>
        <w:rPr>
          <w:color w:val="000000"/>
          <w:sz w:val="24"/>
          <w:szCs w:val="24"/>
        </w:rPr>
        <w:t xml:space="preserve"> in food and food packaging products as antibacterial agents. For instance, producers in the United States have said that silver nanoparticles are </w:t>
      </w:r>
      <w:proofErr w:type="spellStart"/>
      <w:r>
        <w:rPr>
          <w:color w:val="000000"/>
          <w:sz w:val="24"/>
          <w:szCs w:val="24"/>
        </w:rPr>
        <w:t>utilised</w:t>
      </w:r>
      <w:proofErr w:type="spellEnd"/>
      <w:r>
        <w:rPr>
          <w:color w:val="000000"/>
          <w:sz w:val="24"/>
          <w:szCs w:val="24"/>
        </w:rPr>
        <w:t xml:space="preserve"> in specific food containers due to their antibacterial properties (e.g., Kinetic Go Green basic </w:t>
      </w:r>
      <w:proofErr w:type="spellStart"/>
      <w:r>
        <w:rPr>
          <w:color w:val="000000"/>
          <w:sz w:val="24"/>
          <w:szCs w:val="24"/>
        </w:rPr>
        <w:t>nano</w:t>
      </w:r>
      <w:proofErr w:type="spellEnd"/>
      <w:r>
        <w:rPr>
          <w:color w:val="000000"/>
          <w:sz w:val="24"/>
          <w:szCs w:val="24"/>
        </w:rPr>
        <w:t xml:space="preserve"> silver food storage container, Fresher Longer TM plastic storage bags, and Oso fresh food storage containers) (</w:t>
      </w:r>
      <w:proofErr w:type="spellStart"/>
      <w:r>
        <w:rPr>
          <w:color w:val="000000"/>
          <w:sz w:val="24"/>
          <w:szCs w:val="24"/>
        </w:rPr>
        <w:t>Gaillet</w:t>
      </w:r>
      <w:proofErr w:type="spellEnd"/>
      <w:r>
        <w:rPr>
          <w:color w:val="000000"/>
          <w:sz w:val="24"/>
          <w:szCs w:val="24"/>
        </w:rPr>
        <w:t xml:space="preserve"> &amp; </w:t>
      </w:r>
      <w:proofErr w:type="spellStart"/>
      <w:r>
        <w:rPr>
          <w:color w:val="000000"/>
          <w:sz w:val="24"/>
          <w:szCs w:val="24"/>
        </w:rPr>
        <w:t>Rouanet</w:t>
      </w:r>
      <w:proofErr w:type="spellEnd"/>
      <w:r>
        <w:rPr>
          <w:color w:val="000000"/>
          <w:sz w:val="24"/>
          <w:szCs w:val="24"/>
        </w:rPr>
        <w:t>, 2015</w:t>
      </w:r>
      <w:r>
        <w:rPr>
          <w:sz w:val="24"/>
          <w:szCs w:val="24"/>
        </w:rPr>
        <w:t>;</w:t>
      </w:r>
      <w:r>
        <w:rPr>
          <w:color w:val="000000"/>
          <w:sz w:val="24"/>
          <w:szCs w:val="24"/>
        </w:rPr>
        <w:t xml:space="preserve"> </w:t>
      </w:r>
      <w:proofErr w:type="spellStart"/>
      <w:r>
        <w:rPr>
          <w:sz w:val="24"/>
          <w:szCs w:val="24"/>
        </w:rPr>
        <w:t>Ihtisham</w:t>
      </w:r>
      <w:proofErr w:type="spellEnd"/>
      <w:r>
        <w:rPr>
          <w:sz w:val="24"/>
          <w:szCs w:val="24"/>
        </w:rPr>
        <w:t xml:space="preserve"> et al., 2021</w:t>
      </w:r>
      <w:r>
        <w:rPr>
          <w:color w:val="000000"/>
          <w:sz w:val="24"/>
          <w:szCs w:val="24"/>
        </w:rPr>
        <w:t>). Some of these silver nanoparticles might move from these containers into food items, where they</w:t>
      </w:r>
      <w:r>
        <w:rPr>
          <w:color w:val="000000"/>
          <w:sz w:val="24"/>
          <w:szCs w:val="24"/>
        </w:rPr>
        <w:t xml:space="preserve"> could be consumed by people. Additionally, when soluble silver salts interact with other substances in biological media (such as gastrointestinal tract (GIT) fluids or meals), silver nanoparticles (</w:t>
      </w:r>
      <w:proofErr w:type="spellStart"/>
      <w:r>
        <w:rPr>
          <w:color w:val="000000"/>
          <w:sz w:val="24"/>
          <w:szCs w:val="24"/>
        </w:rPr>
        <w:t>AgNPs</w:t>
      </w:r>
      <w:proofErr w:type="spellEnd"/>
      <w:r>
        <w:rPr>
          <w:color w:val="000000"/>
          <w:sz w:val="24"/>
          <w:szCs w:val="24"/>
        </w:rPr>
        <w:t>) may develop on their own (</w:t>
      </w:r>
      <w:proofErr w:type="spellStart"/>
      <w:r>
        <w:rPr>
          <w:color w:val="000000"/>
          <w:sz w:val="24"/>
          <w:szCs w:val="24"/>
        </w:rPr>
        <w:t>Pulit-Prociak</w:t>
      </w:r>
      <w:proofErr w:type="spellEnd"/>
      <w:r>
        <w:rPr>
          <w:color w:val="000000"/>
          <w:sz w:val="24"/>
          <w:szCs w:val="24"/>
        </w:rPr>
        <w:t xml:space="preserve"> et al., 20</w:t>
      </w:r>
      <w:r>
        <w:rPr>
          <w:color w:val="000000"/>
          <w:sz w:val="24"/>
          <w:szCs w:val="24"/>
        </w:rPr>
        <w:t>15</w:t>
      </w:r>
      <w:r>
        <w:rPr>
          <w:sz w:val="24"/>
          <w:szCs w:val="24"/>
        </w:rPr>
        <w:t>;</w:t>
      </w:r>
      <w:r>
        <w:rPr>
          <w:color w:val="000000"/>
          <w:sz w:val="24"/>
          <w:szCs w:val="24"/>
        </w:rPr>
        <w:t xml:space="preserve"> </w:t>
      </w:r>
      <w:proofErr w:type="spellStart"/>
      <w:r>
        <w:rPr>
          <w:sz w:val="24"/>
          <w:szCs w:val="24"/>
        </w:rPr>
        <w:t>Ahari</w:t>
      </w:r>
      <w:proofErr w:type="spellEnd"/>
      <w:r>
        <w:rPr>
          <w:sz w:val="24"/>
          <w:szCs w:val="24"/>
        </w:rPr>
        <w:t xml:space="preserve"> et al, 2021</w:t>
      </w:r>
      <w:r>
        <w:rPr>
          <w:color w:val="000000"/>
          <w:sz w:val="24"/>
          <w:szCs w:val="24"/>
        </w:rPr>
        <w:t xml:space="preserve">). According to estimates, humans may eat 20–80 µgram of silver each day, of which only a small portion is in the form of nanoparticles. The possible toxicity of silver nanoparticles consumed through food is still poorly understood at </w:t>
      </w:r>
      <w:r>
        <w:rPr>
          <w:color w:val="000000"/>
          <w:sz w:val="24"/>
          <w:szCs w:val="24"/>
        </w:rPr>
        <w:t>this time, with some research finding no harm and others finding significant toxicity. Since the GIT is one of the first tissues exposed to dietary nanoparticles following ingestion, it may be especially vulnerable to toxicity caused by these particles (</w:t>
      </w:r>
      <w:proofErr w:type="spellStart"/>
      <w:r>
        <w:rPr>
          <w:color w:val="000000"/>
          <w:sz w:val="24"/>
          <w:szCs w:val="24"/>
        </w:rPr>
        <w:t>Ec</w:t>
      </w:r>
      <w:r>
        <w:rPr>
          <w:color w:val="000000"/>
          <w:sz w:val="24"/>
          <w:szCs w:val="24"/>
        </w:rPr>
        <w:t>hegoyen</w:t>
      </w:r>
      <w:proofErr w:type="spellEnd"/>
      <w:r>
        <w:rPr>
          <w:color w:val="000000"/>
          <w:sz w:val="24"/>
          <w:szCs w:val="24"/>
        </w:rPr>
        <w:t xml:space="preserve"> et al., 2013</w:t>
      </w:r>
      <w:r>
        <w:rPr>
          <w:sz w:val="24"/>
          <w:szCs w:val="24"/>
        </w:rPr>
        <w:t>;</w:t>
      </w:r>
      <w:r>
        <w:rPr>
          <w:color w:val="000000"/>
          <w:sz w:val="24"/>
          <w:szCs w:val="24"/>
        </w:rPr>
        <w:t xml:space="preserve"> </w:t>
      </w:r>
      <w:r>
        <w:rPr>
          <w:sz w:val="24"/>
          <w:szCs w:val="24"/>
        </w:rPr>
        <w:t>Ferdous et al., 2020</w:t>
      </w:r>
      <w:r>
        <w:rPr>
          <w:color w:val="000000"/>
          <w:sz w:val="24"/>
          <w:szCs w:val="24"/>
        </w:rPr>
        <w:t>).</w:t>
      </w:r>
    </w:p>
    <w:p w14:paraId="02651207" w14:textId="0A3B0D25" w:rsidR="00625E61" w:rsidRDefault="005C4DDE" w:rsidP="00347E8D">
      <w:pPr>
        <w:pBdr>
          <w:top w:val="nil"/>
          <w:left w:val="nil"/>
          <w:bottom w:val="nil"/>
          <w:right w:val="nil"/>
          <w:between w:val="nil"/>
        </w:pBdr>
        <w:tabs>
          <w:tab w:val="left" w:pos="9356"/>
        </w:tabs>
        <w:spacing w:before="156" w:line="259" w:lineRule="auto"/>
        <w:ind w:left="165" w:right="1151" w:firstLine="55"/>
        <w:jc w:val="both"/>
        <w:rPr>
          <w:sz w:val="24"/>
          <w:szCs w:val="24"/>
        </w:rPr>
      </w:pPr>
      <w:r>
        <w:rPr>
          <w:color w:val="000000"/>
          <w:sz w:val="24"/>
          <w:szCs w:val="24"/>
        </w:rPr>
        <w:t xml:space="preserve">The detrimental effects of silver nanoparticles on the GIT are still up for debate, though. According to several animal studies, ingesting silver nanoparticles through the diet resulted in lymphocyte </w:t>
      </w:r>
      <w:r>
        <w:rPr>
          <w:color w:val="000000"/>
          <w:sz w:val="24"/>
          <w:szCs w:val="24"/>
        </w:rPr>
        <w:t>infiltration, villi pigmentation, mucus granule discharge, and an aberrant mucus composition in the intestine (</w:t>
      </w:r>
      <w:proofErr w:type="spellStart"/>
      <w:r>
        <w:rPr>
          <w:color w:val="000000"/>
          <w:sz w:val="24"/>
          <w:szCs w:val="24"/>
        </w:rPr>
        <w:t>Hajipour</w:t>
      </w:r>
      <w:proofErr w:type="spellEnd"/>
      <w:r>
        <w:rPr>
          <w:color w:val="000000"/>
          <w:sz w:val="24"/>
          <w:szCs w:val="24"/>
        </w:rPr>
        <w:t xml:space="preserve"> et al., 2012</w:t>
      </w:r>
      <w:r>
        <w:rPr>
          <w:sz w:val="24"/>
          <w:szCs w:val="24"/>
        </w:rPr>
        <w:t>;</w:t>
      </w:r>
      <w:r>
        <w:rPr>
          <w:color w:val="000000"/>
          <w:sz w:val="24"/>
          <w:szCs w:val="24"/>
        </w:rPr>
        <w:t xml:space="preserve"> </w:t>
      </w:r>
      <w:r>
        <w:rPr>
          <w:sz w:val="24"/>
          <w:szCs w:val="24"/>
        </w:rPr>
        <w:t>Ferdous et al., 2020</w:t>
      </w:r>
      <w:r>
        <w:rPr>
          <w:color w:val="000000"/>
          <w:sz w:val="24"/>
          <w:szCs w:val="24"/>
        </w:rPr>
        <w:t>). According to research on animals, silver nanoparticles can build up in the stomach, small intestine</w:t>
      </w:r>
      <w:r>
        <w:rPr>
          <w:color w:val="000000"/>
          <w:sz w:val="24"/>
          <w:szCs w:val="24"/>
        </w:rPr>
        <w:t>, liver, kidneys, spleen, and other organs after consumption. According to these findings, silver nanoparticles may enter the systemic circulation through the GIT and subsequently disperse throughout different organs. However, the bulk of ingested silver n</w:t>
      </w:r>
      <w:r>
        <w:rPr>
          <w:color w:val="000000"/>
          <w:sz w:val="24"/>
          <w:szCs w:val="24"/>
        </w:rPr>
        <w:t xml:space="preserve">anoparticles was likely eliminated in the urine or </w:t>
      </w:r>
      <w:proofErr w:type="spellStart"/>
      <w:r>
        <w:rPr>
          <w:color w:val="000000"/>
          <w:sz w:val="24"/>
          <w:szCs w:val="24"/>
        </w:rPr>
        <w:t>faeces</w:t>
      </w:r>
      <w:proofErr w:type="spellEnd"/>
      <w:r>
        <w:rPr>
          <w:color w:val="000000"/>
          <w:sz w:val="24"/>
          <w:szCs w:val="24"/>
        </w:rPr>
        <w:t xml:space="preserve"> because just a small fraction (&lt;1%) usually accumulates in tissues (</w:t>
      </w:r>
      <w:proofErr w:type="spellStart"/>
      <w:r>
        <w:rPr>
          <w:color w:val="000000"/>
          <w:sz w:val="24"/>
          <w:szCs w:val="24"/>
        </w:rPr>
        <w:t>Pugliara</w:t>
      </w:r>
      <w:proofErr w:type="spellEnd"/>
      <w:r>
        <w:rPr>
          <w:color w:val="000000"/>
          <w:sz w:val="24"/>
          <w:szCs w:val="24"/>
        </w:rPr>
        <w:t xml:space="preserve"> et al., 2016; </w:t>
      </w:r>
      <w:r>
        <w:rPr>
          <w:sz w:val="24"/>
          <w:szCs w:val="24"/>
        </w:rPr>
        <w:t>Carnevale et al., 2021</w:t>
      </w:r>
      <w:r>
        <w:rPr>
          <w:color w:val="000000"/>
          <w:sz w:val="24"/>
          <w:szCs w:val="24"/>
        </w:rPr>
        <w:t>). Following oral gavage, no toxicity of the silver nanoparticles was seen at the con</w:t>
      </w:r>
      <w:r>
        <w:rPr>
          <w:color w:val="000000"/>
          <w:sz w:val="24"/>
          <w:szCs w:val="24"/>
        </w:rPr>
        <w:t xml:space="preserve">centrations </w:t>
      </w:r>
      <w:r w:rsidR="00A63E26">
        <w:rPr>
          <w:color w:val="000000"/>
          <w:sz w:val="24"/>
          <w:szCs w:val="24"/>
        </w:rPr>
        <w:t>utilized</w:t>
      </w:r>
      <w:r>
        <w:rPr>
          <w:color w:val="000000"/>
          <w:sz w:val="24"/>
          <w:szCs w:val="24"/>
        </w:rPr>
        <w:t xml:space="preserve"> in this investigation (2000 and 250 mg/kg body weight for single and multiple administrations, respectively). Study reveals that while ingesting silver nanoparticles at doses of 30, 300, and 1000 mg/kg and recently (1000mg/Kg) for 28 d</w:t>
      </w:r>
      <w:r>
        <w:rPr>
          <w:color w:val="000000"/>
          <w:sz w:val="24"/>
          <w:szCs w:val="24"/>
        </w:rPr>
        <w:t>ays did not result in any significant harmful consequences, the highest doses employed caused some minor liver damage (</w:t>
      </w:r>
      <w:proofErr w:type="spellStart"/>
      <w:r>
        <w:rPr>
          <w:color w:val="000000"/>
          <w:sz w:val="24"/>
          <w:szCs w:val="24"/>
        </w:rPr>
        <w:t>Mackevica</w:t>
      </w:r>
      <w:proofErr w:type="spellEnd"/>
      <w:r>
        <w:rPr>
          <w:color w:val="000000"/>
          <w:sz w:val="24"/>
          <w:szCs w:val="24"/>
        </w:rPr>
        <w:t xml:space="preserve"> et al., 2016; </w:t>
      </w:r>
      <w:r>
        <w:rPr>
          <w:sz w:val="24"/>
          <w:szCs w:val="24"/>
        </w:rPr>
        <w:t>Padilla et al., 2022).</w:t>
      </w:r>
      <w:r>
        <w:rPr>
          <w:color w:val="000000"/>
          <w:sz w:val="24"/>
          <w:szCs w:val="24"/>
        </w:rPr>
        <w:t xml:space="preserve"> According to other research, mice's liver and renal function may suffer if they consume si</w:t>
      </w:r>
      <w:r>
        <w:rPr>
          <w:color w:val="000000"/>
          <w:sz w:val="24"/>
          <w:szCs w:val="24"/>
        </w:rPr>
        <w:t xml:space="preserve">lver nanoparticles repeatedly. The limit is 125 mg/kg of silver nanoparticles when negative liver effects are reported (Cha et al., 2008; </w:t>
      </w:r>
      <w:r>
        <w:rPr>
          <w:sz w:val="24"/>
          <w:szCs w:val="24"/>
        </w:rPr>
        <w:t>Hashim et al., 2022</w:t>
      </w:r>
      <w:r>
        <w:rPr>
          <w:color w:val="000000"/>
          <w:sz w:val="24"/>
          <w:szCs w:val="24"/>
        </w:rPr>
        <w:t>). In conclusion, research on animals has demonstrated that when consumed in sufficient quantities,</w:t>
      </w:r>
      <w:r>
        <w:rPr>
          <w:color w:val="000000"/>
          <w:sz w:val="24"/>
          <w:szCs w:val="24"/>
        </w:rPr>
        <w:t xml:space="preserve"> silver nanoparticles may build up in the body and cause toxicity; however, it is unclear if these levels are comparable to those that may be attained through diet (</w:t>
      </w:r>
      <w:proofErr w:type="spellStart"/>
      <w:r>
        <w:rPr>
          <w:sz w:val="24"/>
          <w:szCs w:val="24"/>
        </w:rPr>
        <w:t>Frippiat</w:t>
      </w:r>
      <w:proofErr w:type="spellEnd"/>
      <w:r>
        <w:rPr>
          <w:sz w:val="24"/>
          <w:szCs w:val="24"/>
        </w:rPr>
        <w:t xml:space="preserve"> et al., 2025)</w:t>
      </w:r>
      <w:r>
        <w:rPr>
          <w:color w:val="000000"/>
          <w:sz w:val="24"/>
          <w:szCs w:val="24"/>
        </w:rPr>
        <w:t>. It warrants conducting long-term chronic toxicity studies in the fu</w:t>
      </w:r>
      <w:r>
        <w:rPr>
          <w:color w:val="000000"/>
          <w:sz w:val="24"/>
          <w:szCs w:val="24"/>
        </w:rPr>
        <w:t xml:space="preserve">ture with nanoparticle levels that are closer to those that are really </w:t>
      </w:r>
      <w:r>
        <w:rPr>
          <w:color w:val="000000"/>
          <w:sz w:val="24"/>
          <w:szCs w:val="24"/>
        </w:rPr>
        <w:lastRenderedPageBreak/>
        <w:t xml:space="preserve">absorbed in the human diet. Furthermore, more research is needed to ascertain if silver nanoparticles dissolve in gastrointestinal fluids (GIF) and whether the </w:t>
      </w:r>
      <w:proofErr w:type="spellStart"/>
      <w:r>
        <w:rPr>
          <w:color w:val="000000"/>
          <w:sz w:val="24"/>
          <w:szCs w:val="24"/>
        </w:rPr>
        <w:t>behaviour</w:t>
      </w:r>
      <w:proofErr w:type="spellEnd"/>
      <w:r>
        <w:rPr>
          <w:color w:val="000000"/>
          <w:sz w:val="24"/>
          <w:szCs w:val="24"/>
        </w:rPr>
        <w:t xml:space="preserve"> of silver taken</w:t>
      </w:r>
      <w:r>
        <w:rPr>
          <w:color w:val="000000"/>
          <w:sz w:val="24"/>
          <w:szCs w:val="24"/>
        </w:rPr>
        <w:t xml:space="preserve"> in soluble or nanoparticle form differs (</w:t>
      </w:r>
      <w:proofErr w:type="spellStart"/>
      <w:r>
        <w:rPr>
          <w:sz w:val="24"/>
          <w:szCs w:val="24"/>
        </w:rPr>
        <w:t>Efaky</w:t>
      </w:r>
      <w:proofErr w:type="spellEnd"/>
      <w:r>
        <w:rPr>
          <w:sz w:val="24"/>
          <w:szCs w:val="24"/>
        </w:rPr>
        <w:t xml:space="preserve"> et al., 2022; Abbas et al., 2025).</w:t>
      </w:r>
    </w:p>
    <w:p w14:paraId="7A714CDD" w14:textId="77777777" w:rsidR="00625E61" w:rsidRDefault="005C4DDE" w:rsidP="00347E8D">
      <w:pPr>
        <w:pStyle w:val="Heading1"/>
        <w:tabs>
          <w:tab w:val="left" w:pos="9356"/>
        </w:tabs>
        <w:ind w:firstLine="165"/>
        <w:jc w:val="both"/>
      </w:pPr>
      <w:r>
        <w:t>Titanium dioxide (TiO2) nanoparticles</w:t>
      </w:r>
    </w:p>
    <w:p w14:paraId="679EAE93" w14:textId="28CE6F50" w:rsidR="00625E61" w:rsidRDefault="005C4DDE" w:rsidP="00347E8D">
      <w:pPr>
        <w:pBdr>
          <w:top w:val="nil"/>
          <w:left w:val="nil"/>
          <w:bottom w:val="nil"/>
          <w:right w:val="nil"/>
          <w:between w:val="nil"/>
        </w:pBdr>
        <w:tabs>
          <w:tab w:val="left" w:pos="9356"/>
        </w:tabs>
        <w:spacing w:before="184" w:line="259" w:lineRule="auto"/>
        <w:ind w:left="165" w:right="1155"/>
        <w:jc w:val="both"/>
        <w:rPr>
          <w:color w:val="000000"/>
          <w:sz w:val="24"/>
          <w:szCs w:val="24"/>
        </w:rPr>
      </w:pPr>
      <w:r>
        <w:rPr>
          <w:color w:val="000000"/>
          <w:sz w:val="24"/>
          <w:szCs w:val="24"/>
        </w:rPr>
        <w:t xml:space="preserve">TiO2 particles are </w:t>
      </w:r>
      <w:r w:rsidR="00A63E26">
        <w:rPr>
          <w:color w:val="000000"/>
          <w:sz w:val="24"/>
          <w:szCs w:val="24"/>
        </w:rPr>
        <w:t>utilized</w:t>
      </w:r>
      <w:r>
        <w:rPr>
          <w:color w:val="000000"/>
          <w:sz w:val="24"/>
          <w:szCs w:val="24"/>
        </w:rPr>
        <w:t xml:space="preserve"> as functional additives in some foods to give them distinctive optical qualities like greater brightness and lightness (Weir et al., 2012</w:t>
      </w:r>
      <w:r>
        <w:rPr>
          <w:sz w:val="24"/>
          <w:szCs w:val="24"/>
        </w:rPr>
        <w:t>; Cruz-Rosa et al., 2023</w:t>
      </w:r>
      <w:r>
        <w:rPr>
          <w:color w:val="000000"/>
          <w:sz w:val="24"/>
          <w:szCs w:val="24"/>
        </w:rPr>
        <w:t>). The TiO2 substances used as lightening agents in the food sector are usually designed to ha</w:t>
      </w:r>
      <w:r>
        <w:rPr>
          <w:color w:val="000000"/>
          <w:sz w:val="24"/>
          <w:szCs w:val="24"/>
        </w:rPr>
        <w:t xml:space="preserve">ve particle sizes between 100 and 300 nm to improve their light scattering capabilities (Jovanović, 2014; </w:t>
      </w:r>
      <w:proofErr w:type="spellStart"/>
      <w:r>
        <w:rPr>
          <w:sz w:val="24"/>
          <w:szCs w:val="24"/>
        </w:rPr>
        <w:t>Ziental</w:t>
      </w:r>
      <w:proofErr w:type="spellEnd"/>
      <w:r>
        <w:rPr>
          <w:sz w:val="24"/>
          <w:szCs w:val="24"/>
        </w:rPr>
        <w:t xml:space="preserve"> et al., 2020</w:t>
      </w:r>
      <w:r>
        <w:rPr>
          <w:color w:val="000000"/>
          <w:sz w:val="24"/>
          <w:szCs w:val="24"/>
        </w:rPr>
        <w:t>). However, these components include a variety of particle sizes, and a sizable percentage of them may have diameters less than 10</w:t>
      </w:r>
      <w:r>
        <w:rPr>
          <w:color w:val="000000"/>
          <w:sz w:val="24"/>
          <w:szCs w:val="24"/>
        </w:rPr>
        <w:t>0 nm, making them nanoparticles (</w:t>
      </w:r>
      <w:proofErr w:type="spellStart"/>
      <w:r>
        <w:rPr>
          <w:color w:val="000000"/>
          <w:sz w:val="24"/>
          <w:szCs w:val="24"/>
        </w:rPr>
        <w:t>Warheit</w:t>
      </w:r>
      <w:proofErr w:type="spellEnd"/>
      <w:r>
        <w:rPr>
          <w:color w:val="000000"/>
          <w:sz w:val="24"/>
          <w:szCs w:val="24"/>
        </w:rPr>
        <w:t xml:space="preserve"> et al., 2015; </w:t>
      </w:r>
      <w:r>
        <w:rPr>
          <w:sz w:val="24"/>
          <w:szCs w:val="24"/>
        </w:rPr>
        <w:t>Shakeel et al., 2025</w:t>
      </w:r>
      <w:r>
        <w:rPr>
          <w:color w:val="000000"/>
          <w:sz w:val="24"/>
          <w:szCs w:val="24"/>
        </w:rPr>
        <w:t>). The average particle diameter of food-grade TiO2 (E171) powders sourced from multiple manufacturers was approximately 110 nm, with over 36% of the particles falling below the 100</w:t>
      </w:r>
      <w:r>
        <w:rPr>
          <w:color w:val="000000"/>
          <w:sz w:val="24"/>
          <w:szCs w:val="24"/>
        </w:rPr>
        <w:t xml:space="preserve"> nm threshold. According to reports, humans in the US and the UK may be exposed to up to 2.2 and 1.1 mg/kg body weight/day of TiO2 nanoparticles through their diet, respectively (Weir et al., 2012).1.5–5.1 mg of TiO2 nanoparticles can be consumed by chewin</w:t>
      </w:r>
      <w:r>
        <w:rPr>
          <w:color w:val="000000"/>
          <w:sz w:val="24"/>
          <w:szCs w:val="24"/>
        </w:rPr>
        <w:t xml:space="preserve">g one piece of gum. It is interesting to notice that children consumed 2–4 times as many TiO2 nanoparticles as adults did. This could be because several of the products that children consume the most, like candies, gums, desserts, and beverages, have some </w:t>
      </w:r>
      <w:r>
        <w:rPr>
          <w:color w:val="000000"/>
          <w:sz w:val="24"/>
          <w:szCs w:val="24"/>
        </w:rPr>
        <w:t>of the highest concentrations of TiO2 nanoparticles (Yang et al., 2014). The toxicity and GIT fate of TiO2 nanoparticles will be influenced by their diverse sizes, morphologies, crystal forms, interfacial characteristics, and aggregation states (J. Wang et</w:t>
      </w:r>
      <w:r>
        <w:rPr>
          <w:color w:val="000000"/>
          <w:sz w:val="24"/>
          <w:szCs w:val="24"/>
        </w:rPr>
        <w:t xml:space="preserve"> al., 2007; </w:t>
      </w:r>
      <w:r>
        <w:rPr>
          <w:sz w:val="24"/>
          <w:szCs w:val="24"/>
        </w:rPr>
        <w:t>Nadeem et al., 2018</w:t>
      </w:r>
      <w:r>
        <w:rPr>
          <w:color w:val="000000"/>
          <w:sz w:val="24"/>
          <w:szCs w:val="24"/>
        </w:rPr>
        <w:t>). In addition to concentrating, accumulating, and magnifying in the tissues of mammals and other vertebrates, TiO2 nanoparticles also have a very low rate of clearance, according to a recent analysis of 16 animal investigati</w:t>
      </w:r>
      <w:r>
        <w:rPr>
          <w:color w:val="000000"/>
          <w:sz w:val="24"/>
          <w:szCs w:val="24"/>
        </w:rPr>
        <w:t xml:space="preserve">ons. TiO2 nanoparticles' oral toxicity has been investigated in rodents both acutely and </w:t>
      </w:r>
      <w:proofErr w:type="spellStart"/>
      <w:r>
        <w:rPr>
          <w:color w:val="000000"/>
          <w:sz w:val="24"/>
          <w:szCs w:val="24"/>
        </w:rPr>
        <w:t>subchronically</w:t>
      </w:r>
      <w:proofErr w:type="spellEnd"/>
      <w:r>
        <w:rPr>
          <w:color w:val="000000"/>
          <w:sz w:val="24"/>
          <w:szCs w:val="24"/>
        </w:rPr>
        <w:t>. Mice's liver, spleen, kidney, and lung tissues accumulated TiO2 nanoparticles (25, 80, or 155 nm) after a single oral dose of 5000 mg/kg body weight. T</w:t>
      </w:r>
      <w:r>
        <w:rPr>
          <w:color w:val="000000"/>
          <w:sz w:val="24"/>
          <w:szCs w:val="24"/>
        </w:rPr>
        <w:t xml:space="preserve">his accumulation also caused hepatic injury, nephrotoxicity, and cardiac damage (Cho et al., 2013; </w:t>
      </w:r>
      <w:r>
        <w:rPr>
          <w:sz w:val="24"/>
          <w:szCs w:val="24"/>
        </w:rPr>
        <w:t>Kim et al., 2025</w:t>
      </w:r>
      <w:r>
        <w:rPr>
          <w:color w:val="000000"/>
          <w:sz w:val="24"/>
          <w:szCs w:val="24"/>
        </w:rPr>
        <w:t>).</w:t>
      </w:r>
    </w:p>
    <w:p w14:paraId="4D9C2AB9" w14:textId="6F728CE2" w:rsidR="00625E61" w:rsidRDefault="005C4DDE" w:rsidP="00347E8D">
      <w:pPr>
        <w:pBdr>
          <w:top w:val="nil"/>
          <w:left w:val="nil"/>
          <w:bottom w:val="nil"/>
          <w:right w:val="nil"/>
          <w:between w:val="nil"/>
        </w:pBdr>
        <w:tabs>
          <w:tab w:val="left" w:pos="9356"/>
        </w:tabs>
        <w:spacing w:before="157" w:line="259" w:lineRule="auto"/>
        <w:ind w:left="165" w:right="1145" w:firstLine="60"/>
        <w:jc w:val="both"/>
        <w:rPr>
          <w:color w:val="000000"/>
          <w:sz w:val="24"/>
          <w:szCs w:val="24"/>
        </w:rPr>
      </w:pPr>
      <w:r>
        <w:rPr>
          <w:color w:val="000000"/>
          <w:sz w:val="24"/>
          <w:szCs w:val="24"/>
        </w:rPr>
        <w:t>In a different study, mice received intragastric administration of TiO2 nanoparticles in the anatase form (5 nm) at doses of 62.5, 125, an</w:t>
      </w:r>
      <w:r>
        <w:rPr>
          <w:color w:val="000000"/>
          <w:sz w:val="24"/>
          <w:szCs w:val="24"/>
        </w:rPr>
        <w:t>d 250 mg/kg body weight for 30 days. TiO2 nanoparticles harmed the immune system, ho</w:t>
      </w:r>
      <w:r w:rsidR="00BB6DC6">
        <w:rPr>
          <w:color w:val="000000"/>
          <w:sz w:val="24"/>
          <w:szCs w:val="24"/>
        </w:rPr>
        <w:t>meo</w:t>
      </w:r>
      <w:r>
        <w:rPr>
          <w:color w:val="000000"/>
          <w:sz w:val="24"/>
          <w:szCs w:val="24"/>
        </w:rPr>
        <w:t xml:space="preserve">stasis, blood system, and liver function at greater doses (Y. Wang et al., 2013; </w:t>
      </w:r>
      <w:proofErr w:type="spellStart"/>
      <w:r>
        <w:rPr>
          <w:sz w:val="24"/>
          <w:szCs w:val="24"/>
        </w:rPr>
        <w:t>Jie</w:t>
      </w:r>
      <w:proofErr w:type="spellEnd"/>
      <w:r>
        <w:rPr>
          <w:sz w:val="24"/>
          <w:szCs w:val="24"/>
        </w:rPr>
        <w:t xml:space="preserve"> et al., 2016</w:t>
      </w:r>
      <w:r>
        <w:rPr>
          <w:color w:val="000000"/>
          <w:sz w:val="24"/>
          <w:szCs w:val="24"/>
        </w:rPr>
        <w:t>). However, other research has found that ingested TiO2 nanoparticles do</w:t>
      </w:r>
      <w:r>
        <w:rPr>
          <w:color w:val="000000"/>
          <w:sz w:val="24"/>
          <w:szCs w:val="24"/>
        </w:rPr>
        <w:t xml:space="preserve"> not accumulate or cause any harm. As an illustration, a study in which rats were repeatedly given TiO2 nanoparticles (a mixture of anatase and rutile at 21 nm) at doses ranging from 260 to 1041 mg/kg revealed no appreciable toxicity or TiO2 buildup in tis</w:t>
      </w:r>
      <w:r>
        <w:rPr>
          <w:color w:val="000000"/>
          <w:sz w:val="24"/>
          <w:szCs w:val="24"/>
        </w:rPr>
        <w:t>sues or urine, but rather high levels of titanium dioxide in feces, indicating that the TiO2 nanoparticles were largely removed (Tada-Oikawa et al., 2016). There are several possible explanations for the reported discrepancies between several animal invest</w:t>
      </w:r>
      <w:r>
        <w:rPr>
          <w:color w:val="000000"/>
          <w:sz w:val="24"/>
          <w:szCs w:val="24"/>
        </w:rPr>
        <w:t>igations, including industrial pollution and the toxicity removal of TiO2 nanoparticles. First, there are variations in the nanoparticles' surface properties, aggregation state, size, crystal shape, and oral dosage. Second, the effects of the food matrix a</w:t>
      </w:r>
      <w:r>
        <w:rPr>
          <w:color w:val="000000"/>
          <w:sz w:val="24"/>
          <w:szCs w:val="24"/>
        </w:rPr>
        <w:t>nd GIT passage on the nanoparticles' characteristics are frequently disregarded or considered differently. Third, several analytical techniques and animal models may be employed to assess toxicity and accumulation (Song et al., 2015). The age of the experi</w:t>
      </w:r>
      <w:r>
        <w:rPr>
          <w:color w:val="000000"/>
          <w:sz w:val="24"/>
          <w:szCs w:val="24"/>
        </w:rPr>
        <w:t xml:space="preserve">mental animals </w:t>
      </w:r>
      <w:r w:rsidR="00A63E26">
        <w:rPr>
          <w:color w:val="000000"/>
          <w:sz w:val="24"/>
          <w:szCs w:val="24"/>
        </w:rPr>
        <w:t>utilized</w:t>
      </w:r>
      <w:r>
        <w:rPr>
          <w:color w:val="000000"/>
          <w:sz w:val="24"/>
          <w:szCs w:val="24"/>
        </w:rPr>
        <w:t xml:space="preserve">, for instance, has been demonstrated to have a significant impact. While adult animals showed very mild toxic effects, young mice showed heart damage, liver </w:t>
      </w:r>
      <w:proofErr w:type="spellStart"/>
      <w:r>
        <w:rPr>
          <w:color w:val="000000"/>
          <w:sz w:val="24"/>
          <w:szCs w:val="24"/>
        </w:rPr>
        <w:t>oedema</w:t>
      </w:r>
      <w:proofErr w:type="spellEnd"/>
      <w:r>
        <w:rPr>
          <w:color w:val="000000"/>
          <w:sz w:val="24"/>
          <w:szCs w:val="24"/>
        </w:rPr>
        <w:t>, and non-allergic mast cell activation in stomach tissue. Considerin</w:t>
      </w:r>
      <w:r>
        <w:rPr>
          <w:color w:val="000000"/>
          <w:sz w:val="24"/>
          <w:szCs w:val="24"/>
        </w:rPr>
        <w:t>g that children are thought to consume significantly more TiO2 nanoparticles than adults, this finding is especially significant (</w:t>
      </w:r>
      <w:r>
        <w:rPr>
          <w:sz w:val="24"/>
          <w:szCs w:val="24"/>
        </w:rPr>
        <w:t>Rashid et al., 2021</w:t>
      </w:r>
      <w:r>
        <w:rPr>
          <w:color w:val="000000"/>
          <w:sz w:val="24"/>
          <w:szCs w:val="24"/>
        </w:rPr>
        <w:t>).</w:t>
      </w:r>
    </w:p>
    <w:p w14:paraId="7B1FD591" w14:textId="77777777" w:rsidR="00625E61" w:rsidRDefault="005C4DDE" w:rsidP="00347E8D">
      <w:pPr>
        <w:pStyle w:val="Heading1"/>
        <w:tabs>
          <w:tab w:val="left" w:pos="9356"/>
        </w:tabs>
        <w:spacing w:before="156"/>
        <w:ind w:firstLine="165"/>
        <w:jc w:val="both"/>
      </w:pPr>
      <w:r>
        <w:lastRenderedPageBreak/>
        <w:t>Iron oxide nanoparticles</w:t>
      </w:r>
    </w:p>
    <w:p w14:paraId="0F511E21" w14:textId="0A5EDB42" w:rsidR="00625E61" w:rsidRDefault="005C4DDE" w:rsidP="00347E8D">
      <w:pPr>
        <w:pBdr>
          <w:top w:val="nil"/>
          <w:left w:val="nil"/>
          <w:bottom w:val="nil"/>
          <w:right w:val="nil"/>
          <w:between w:val="nil"/>
        </w:pBdr>
        <w:tabs>
          <w:tab w:val="left" w:pos="9356"/>
        </w:tabs>
        <w:spacing w:before="184" w:line="259" w:lineRule="auto"/>
        <w:ind w:left="165" w:right="1150"/>
        <w:jc w:val="both"/>
        <w:rPr>
          <w:color w:val="000000"/>
          <w:sz w:val="24"/>
          <w:szCs w:val="24"/>
        </w:rPr>
      </w:pPr>
      <w:r>
        <w:rPr>
          <w:color w:val="000000"/>
          <w:sz w:val="24"/>
          <w:szCs w:val="24"/>
        </w:rPr>
        <w:t>Iron oxide nanoparticles (Fe</w:t>
      </w:r>
      <w:r>
        <w:rPr>
          <w:color w:val="000000"/>
          <w:sz w:val="24"/>
          <w:szCs w:val="24"/>
          <w:vertAlign w:val="subscript"/>
        </w:rPr>
        <w:t>2</w:t>
      </w:r>
      <w:r>
        <w:rPr>
          <w:color w:val="000000"/>
          <w:sz w:val="24"/>
          <w:szCs w:val="24"/>
        </w:rPr>
        <w:t>O</w:t>
      </w:r>
      <w:r>
        <w:rPr>
          <w:color w:val="000000"/>
          <w:sz w:val="24"/>
          <w:szCs w:val="24"/>
          <w:vertAlign w:val="subscript"/>
        </w:rPr>
        <w:t>3</w:t>
      </w:r>
      <w:r>
        <w:rPr>
          <w:color w:val="000000"/>
          <w:sz w:val="24"/>
          <w:szCs w:val="24"/>
        </w:rPr>
        <w:t xml:space="preserve">NPs) can be used as bioavailable iron sources or as </w:t>
      </w:r>
      <w:r w:rsidR="00BB6DC6">
        <w:rPr>
          <w:color w:val="000000"/>
          <w:sz w:val="24"/>
          <w:szCs w:val="24"/>
        </w:rPr>
        <w:t>colorants</w:t>
      </w:r>
      <w:r>
        <w:rPr>
          <w:color w:val="000000"/>
          <w:sz w:val="24"/>
          <w:szCs w:val="24"/>
        </w:rPr>
        <w:t xml:space="preserve"> in food and act as antibacterial, and magnetic hyperthermia (MH) (</w:t>
      </w:r>
      <w:proofErr w:type="spellStart"/>
      <w:r>
        <w:rPr>
          <w:color w:val="000000"/>
          <w:sz w:val="24"/>
          <w:szCs w:val="24"/>
        </w:rPr>
        <w:t>Raspopov</w:t>
      </w:r>
      <w:proofErr w:type="spellEnd"/>
      <w:r>
        <w:rPr>
          <w:color w:val="000000"/>
          <w:sz w:val="24"/>
          <w:szCs w:val="24"/>
        </w:rPr>
        <w:t xml:space="preserve"> et al., 2011</w:t>
      </w:r>
      <w:r>
        <w:rPr>
          <w:sz w:val="24"/>
          <w:szCs w:val="24"/>
        </w:rPr>
        <w:t>;</w:t>
      </w:r>
      <w:r>
        <w:rPr>
          <w:color w:val="000000"/>
          <w:sz w:val="24"/>
          <w:szCs w:val="24"/>
        </w:rPr>
        <w:t xml:space="preserve"> </w:t>
      </w:r>
      <w:proofErr w:type="spellStart"/>
      <w:r>
        <w:rPr>
          <w:sz w:val="24"/>
          <w:szCs w:val="24"/>
        </w:rPr>
        <w:t>Baledia</w:t>
      </w:r>
      <w:proofErr w:type="spellEnd"/>
      <w:r>
        <w:rPr>
          <w:sz w:val="24"/>
          <w:szCs w:val="24"/>
        </w:rPr>
        <w:t xml:space="preserve"> et al., 2025</w:t>
      </w:r>
      <w:r>
        <w:rPr>
          <w:color w:val="000000"/>
          <w:sz w:val="24"/>
          <w:szCs w:val="24"/>
        </w:rPr>
        <w:t xml:space="preserve">). Iron oxide has a very limited range of uses as a food </w:t>
      </w:r>
      <w:proofErr w:type="spellStart"/>
      <w:r w:rsidR="00A63E26">
        <w:rPr>
          <w:color w:val="000000"/>
          <w:sz w:val="24"/>
          <w:szCs w:val="24"/>
        </w:rPr>
        <w:t>colouring</w:t>
      </w:r>
      <w:proofErr w:type="spellEnd"/>
      <w:r>
        <w:rPr>
          <w:color w:val="000000"/>
          <w:sz w:val="24"/>
          <w:szCs w:val="24"/>
        </w:rPr>
        <w:t xml:space="preserve"> in the US, typical</w:t>
      </w:r>
      <w:r>
        <w:rPr>
          <w:color w:val="000000"/>
          <w:sz w:val="24"/>
          <w:szCs w:val="24"/>
        </w:rPr>
        <w:t>ly up to 0.1 weight per cent in sausage casings. The average daily consumption of iron oxide from users of these items was calculated to be approximately 450 µ grams. However, consumers who consume functional meals or mineral-fortified supplements may cons</w:t>
      </w:r>
      <w:r>
        <w:rPr>
          <w:color w:val="000000"/>
          <w:sz w:val="24"/>
          <w:szCs w:val="24"/>
        </w:rPr>
        <w:t xml:space="preserve">ume significantly more iron. For instance, the daily intake of iron from dietary supplements can range from 10 to 32 mg, but the daily intake from enriched/fortified foods can range from 10 to 23 mg (Additives, 2007). It should be </w:t>
      </w:r>
      <w:proofErr w:type="spellStart"/>
      <w:r w:rsidR="00A63E26">
        <w:rPr>
          <w:color w:val="000000"/>
          <w:sz w:val="24"/>
          <w:szCs w:val="24"/>
        </w:rPr>
        <w:t>emphasised</w:t>
      </w:r>
      <w:proofErr w:type="spellEnd"/>
      <w:r>
        <w:rPr>
          <w:color w:val="000000"/>
          <w:sz w:val="24"/>
          <w:szCs w:val="24"/>
        </w:rPr>
        <w:t xml:space="preserve"> that iron oxid</w:t>
      </w:r>
      <w:r>
        <w:rPr>
          <w:color w:val="000000"/>
          <w:sz w:val="24"/>
          <w:szCs w:val="24"/>
        </w:rPr>
        <w:t>e or nanoparticles are not typically used to supply this kind of iron. However, these amounts may exist if iron oxide nanoparticles were employed for this purpose. The toxicity of iron oxide nanoparticles may vary depending on their size, shape, and crysta</w:t>
      </w:r>
      <w:r>
        <w:rPr>
          <w:color w:val="000000"/>
          <w:sz w:val="24"/>
          <w:szCs w:val="24"/>
        </w:rPr>
        <w:t>l structure (</w:t>
      </w:r>
      <w:proofErr w:type="spellStart"/>
      <w:r>
        <w:rPr>
          <w:color w:val="000000"/>
          <w:sz w:val="24"/>
          <w:szCs w:val="24"/>
        </w:rPr>
        <w:t>Fulgoni</w:t>
      </w:r>
      <w:proofErr w:type="spellEnd"/>
      <w:r>
        <w:rPr>
          <w:color w:val="000000"/>
          <w:sz w:val="24"/>
          <w:szCs w:val="24"/>
        </w:rPr>
        <w:t xml:space="preserve"> III et al., 2011</w:t>
      </w:r>
      <w:r>
        <w:rPr>
          <w:sz w:val="24"/>
          <w:szCs w:val="24"/>
        </w:rPr>
        <w:t xml:space="preserve">; </w:t>
      </w:r>
      <w:proofErr w:type="spellStart"/>
      <w:r>
        <w:rPr>
          <w:sz w:val="24"/>
          <w:szCs w:val="24"/>
        </w:rPr>
        <w:t>Pourmadadi</w:t>
      </w:r>
      <w:proofErr w:type="spellEnd"/>
      <w:r>
        <w:rPr>
          <w:sz w:val="24"/>
          <w:szCs w:val="24"/>
        </w:rPr>
        <w:t xml:space="preserve"> et al., 2022</w:t>
      </w:r>
      <w:r>
        <w:rPr>
          <w:color w:val="000000"/>
          <w:sz w:val="24"/>
          <w:szCs w:val="24"/>
        </w:rPr>
        <w:t>). The most plausible explanation for iron oxide nanoparticles' possible toxicity has been suggested to be their capacity to produce ROS. According to a study, rats given iron oxide nanoparticle</w:t>
      </w:r>
      <w:r>
        <w:rPr>
          <w:color w:val="000000"/>
          <w:sz w:val="24"/>
          <w:szCs w:val="24"/>
        </w:rPr>
        <w:t>s orally for 13 weeks at a dose of roughly 3 mg/kg body weight did not develop toxicity or accumulate in organs. Iron oxide nanoparticles were given orally at a much greater dose (250–1000 mg/kg body weight) for 13 weeks in another rat feeding research; ho</w:t>
      </w:r>
      <w:r>
        <w:rPr>
          <w:color w:val="000000"/>
          <w:sz w:val="24"/>
          <w:szCs w:val="24"/>
        </w:rPr>
        <w:t xml:space="preserve">wever, neither male nor female rats showed any signs of tissue buildup or toxicity (Patil et al., 2015; </w:t>
      </w:r>
      <w:proofErr w:type="spellStart"/>
      <w:r>
        <w:rPr>
          <w:sz w:val="24"/>
          <w:szCs w:val="24"/>
        </w:rPr>
        <w:t>Salehirozveh</w:t>
      </w:r>
      <w:proofErr w:type="spellEnd"/>
      <w:r>
        <w:rPr>
          <w:sz w:val="24"/>
          <w:szCs w:val="24"/>
        </w:rPr>
        <w:t xml:space="preserve"> et al., 2024</w:t>
      </w:r>
      <w:r>
        <w:rPr>
          <w:color w:val="000000"/>
          <w:sz w:val="24"/>
          <w:szCs w:val="24"/>
        </w:rPr>
        <w:t>).</w:t>
      </w:r>
    </w:p>
    <w:p w14:paraId="35FD949B" w14:textId="77777777" w:rsidR="00625E61" w:rsidRDefault="005C4DDE" w:rsidP="00347E8D">
      <w:pPr>
        <w:pStyle w:val="Heading1"/>
        <w:tabs>
          <w:tab w:val="left" w:pos="9356"/>
        </w:tabs>
        <w:spacing w:before="158"/>
        <w:ind w:firstLine="165"/>
      </w:pPr>
      <w:r>
        <w:t>Zinc oxide nanoparticles</w:t>
      </w:r>
    </w:p>
    <w:p w14:paraId="5C3AD620" w14:textId="0E824C24" w:rsidR="00625E61" w:rsidRDefault="005C4DDE" w:rsidP="00347E8D">
      <w:pPr>
        <w:pBdr>
          <w:top w:val="nil"/>
          <w:left w:val="nil"/>
          <w:bottom w:val="nil"/>
          <w:right w:val="nil"/>
          <w:between w:val="nil"/>
        </w:pBdr>
        <w:tabs>
          <w:tab w:val="left" w:pos="9356"/>
        </w:tabs>
        <w:spacing w:before="183" w:line="259" w:lineRule="auto"/>
        <w:ind w:left="165" w:right="1153"/>
        <w:jc w:val="both"/>
        <w:rPr>
          <w:color w:val="000000"/>
          <w:sz w:val="24"/>
          <w:szCs w:val="24"/>
        </w:rPr>
      </w:pPr>
      <w:r>
        <w:rPr>
          <w:color w:val="000000"/>
          <w:sz w:val="24"/>
          <w:szCs w:val="24"/>
        </w:rPr>
        <w:t>Zinc oxide (</w:t>
      </w:r>
      <w:proofErr w:type="spellStart"/>
      <w:r>
        <w:rPr>
          <w:color w:val="000000"/>
          <w:sz w:val="24"/>
          <w:szCs w:val="24"/>
        </w:rPr>
        <w:t>ZnO</w:t>
      </w:r>
      <w:proofErr w:type="spellEnd"/>
      <w:r>
        <w:rPr>
          <w:color w:val="000000"/>
          <w:sz w:val="24"/>
          <w:szCs w:val="24"/>
        </w:rPr>
        <w:t xml:space="preserve">) nanoparticles can be </w:t>
      </w:r>
      <w:r w:rsidR="00A63E26">
        <w:rPr>
          <w:sz w:val="24"/>
          <w:szCs w:val="24"/>
        </w:rPr>
        <w:t>utilized</w:t>
      </w:r>
      <w:r>
        <w:rPr>
          <w:color w:val="000000"/>
          <w:sz w:val="24"/>
          <w:szCs w:val="24"/>
        </w:rPr>
        <w:t xml:space="preserve"> as a source of zinc in functional foods and supplements because it is a necessary trace element for human health and wellness (Y. Wang et al., 2014</w:t>
      </w:r>
      <w:r w:rsidR="00A63E26">
        <w:rPr>
          <w:color w:val="000000"/>
          <w:sz w:val="24"/>
          <w:szCs w:val="24"/>
        </w:rPr>
        <w:t>;</w:t>
      </w:r>
      <w:r>
        <w:rPr>
          <w:color w:val="000000"/>
          <w:sz w:val="24"/>
          <w:szCs w:val="24"/>
        </w:rPr>
        <w:t xml:space="preserve"> </w:t>
      </w:r>
      <w:r>
        <w:rPr>
          <w:sz w:val="24"/>
          <w:szCs w:val="24"/>
        </w:rPr>
        <w:t>Mendes et al., 2024</w:t>
      </w:r>
      <w:r>
        <w:rPr>
          <w:color w:val="000000"/>
          <w:sz w:val="24"/>
          <w:szCs w:val="24"/>
        </w:rPr>
        <w:t xml:space="preserve">). </w:t>
      </w:r>
      <w:proofErr w:type="spellStart"/>
      <w:r>
        <w:rPr>
          <w:color w:val="000000"/>
          <w:sz w:val="24"/>
          <w:szCs w:val="24"/>
        </w:rPr>
        <w:t>ZnO</w:t>
      </w:r>
      <w:proofErr w:type="spellEnd"/>
      <w:r>
        <w:rPr>
          <w:color w:val="000000"/>
          <w:sz w:val="24"/>
          <w:szCs w:val="24"/>
        </w:rPr>
        <w:t xml:space="preserve"> nanoparticles can also be used in food packaging as ultraviolet (UV) light absor</w:t>
      </w:r>
      <w:r>
        <w:rPr>
          <w:color w:val="000000"/>
          <w:sz w:val="24"/>
          <w:szCs w:val="24"/>
        </w:rPr>
        <w:t>bers to shield foods that are vulnerable to UV light exposure or as antimicrobial agents to stop dangerous germs from contaminating food (</w:t>
      </w:r>
      <w:proofErr w:type="spellStart"/>
      <w:r>
        <w:rPr>
          <w:color w:val="000000"/>
          <w:sz w:val="24"/>
          <w:szCs w:val="24"/>
        </w:rPr>
        <w:t>Sirelkhatim</w:t>
      </w:r>
      <w:proofErr w:type="spellEnd"/>
      <w:r>
        <w:rPr>
          <w:color w:val="000000"/>
          <w:sz w:val="24"/>
          <w:szCs w:val="24"/>
        </w:rPr>
        <w:t xml:space="preserve"> et al., 2015; </w:t>
      </w:r>
      <w:r>
        <w:rPr>
          <w:sz w:val="24"/>
          <w:szCs w:val="24"/>
        </w:rPr>
        <w:t>Romano et al., 2024</w:t>
      </w:r>
      <w:r>
        <w:rPr>
          <w:color w:val="000000"/>
          <w:sz w:val="24"/>
          <w:szCs w:val="24"/>
        </w:rPr>
        <w:t>). It is theoretically possible for nanoparticles in packaging to seep in</w:t>
      </w:r>
      <w:r>
        <w:rPr>
          <w:color w:val="000000"/>
          <w:sz w:val="24"/>
          <w:szCs w:val="24"/>
        </w:rPr>
        <w:t xml:space="preserve">to food items and be consumed by humans. </w:t>
      </w:r>
      <w:r>
        <w:rPr>
          <w:sz w:val="24"/>
          <w:szCs w:val="24"/>
        </w:rPr>
        <w:t>In a recent</w:t>
      </w:r>
      <w:r>
        <w:rPr>
          <w:color w:val="000000"/>
          <w:sz w:val="24"/>
          <w:szCs w:val="24"/>
        </w:rPr>
        <w:t xml:space="preserve"> risk assessment, </w:t>
      </w:r>
      <w:proofErr w:type="spellStart"/>
      <w:r>
        <w:rPr>
          <w:color w:val="000000"/>
          <w:sz w:val="24"/>
          <w:szCs w:val="24"/>
        </w:rPr>
        <w:t>ZnO</w:t>
      </w:r>
      <w:proofErr w:type="spellEnd"/>
      <w:r>
        <w:rPr>
          <w:color w:val="000000"/>
          <w:sz w:val="24"/>
          <w:szCs w:val="24"/>
        </w:rPr>
        <w:t xml:space="preserve"> nanoparticles do not experience this to a significant degree (McClements &amp; Xiao, 2017; </w:t>
      </w:r>
      <w:proofErr w:type="spellStart"/>
      <w:r>
        <w:rPr>
          <w:sz w:val="24"/>
          <w:szCs w:val="24"/>
        </w:rPr>
        <w:t>Adly</w:t>
      </w:r>
      <w:proofErr w:type="spellEnd"/>
      <w:r>
        <w:rPr>
          <w:sz w:val="24"/>
          <w:szCs w:val="24"/>
        </w:rPr>
        <w:t xml:space="preserve"> et al., 2025).</w:t>
      </w:r>
      <w:r>
        <w:rPr>
          <w:color w:val="000000"/>
          <w:sz w:val="24"/>
          <w:szCs w:val="24"/>
        </w:rPr>
        <w:t xml:space="preserve"> </w:t>
      </w:r>
      <w:proofErr w:type="spellStart"/>
      <w:r>
        <w:rPr>
          <w:color w:val="000000"/>
          <w:sz w:val="24"/>
          <w:szCs w:val="24"/>
        </w:rPr>
        <w:t>ZnO</w:t>
      </w:r>
      <w:proofErr w:type="spellEnd"/>
      <w:r>
        <w:rPr>
          <w:color w:val="000000"/>
          <w:sz w:val="24"/>
          <w:szCs w:val="24"/>
        </w:rPr>
        <w:t xml:space="preserve"> nanoparticles' antibacterial action has been partially ascribed to thei</w:t>
      </w:r>
      <w:r>
        <w:rPr>
          <w:color w:val="000000"/>
          <w:sz w:val="24"/>
          <w:szCs w:val="24"/>
        </w:rPr>
        <w:t>r capacity to enter microbial cells and produce ROS, which harm essential cellular constituents and cause cytotoxicity. Ingestion of large enough amounts of this kind of nanoparticle, followed by absorption by the human body, could result in negative healt</w:t>
      </w:r>
      <w:r>
        <w:rPr>
          <w:color w:val="000000"/>
          <w:sz w:val="24"/>
          <w:szCs w:val="24"/>
        </w:rPr>
        <w:t>h repercussions for humans (</w:t>
      </w:r>
      <w:proofErr w:type="spellStart"/>
      <w:r>
        <w:rPr>
          <w:sz w:val="24"/>
          <w:szCs w:val="24"/>
        </w:rPr>
        <w:t>Okur</w:t>
      </w:r>
      <w:proofErr w:type="spellEnd"/>
      <w:r>
        <w:rPr>
          <w:sz w:val="24"/>
          <w:szCs w:val="24"/>
        </w:rPr>
        <w:t xml:space="preserve"> et al., 2025</w:t>
      </w:r>
      <w:r>
        <w:rPr>
          <w:color w:val="000000"/>
          <w:sz w:val="24"/>
          <w:szCs w:val="24"/>
        </w:rPr>
        <w:t>).</w:t>
      </w:r>
    </w:p>
    <w:p w14:paraId="58355EF8" w14:textId="77777777" w:rsidR="00625E61" w:rsidRDefault="005C4DDE" w:rsidP="00347E8D">
      <w:pPr>
        <w:pBdr>
          <w:top w:val="nil"/>
          <w:left w:val="nil"/>
          <w:bottom w:val="nil"/>
          <w:right w:val="nil"/>
          <w:between w:val="nil"/>
        </w:pBdr>
        <w:tabs>
          <w:tab w:val="left" w:pos="9356"/>
        </w:tabs>
        <w:spacing w:before="160" w:line="259" w:lineRule="auto"/>
        <w:ind w:left="165" w:right="1155" w:firstLine="60"/>
        <w:jc w:val="both"/>
        <w:rPr>
          <w:color w:val="000000"/>
          <w:sz w:val="24"/>
          <w:szCs w:val="24"/>
        </w:rPr>
      </w:pPr>
      <w:r>
        <w:rPr>
          <w:color w:val="000000"/>
          <w:sz w:val="24"/>
          <w:szCs w:val="24"/>
        </w:rPr>
        <w:t xml:space="preserve">Particle size-dependent effects on intestinal absorption of </w:t>
      </w:r>
      <w:proofErr w:type="spellStart"/>
      <w:r>
        <w:rPr>
          <w:color w:val="000000"/>
          <w:sz w:val="24"/>
          <w:szCs w:val="24"/>
        </w:rPr>
        <w:t>ZnO</w:t>
      </w:r>
      <w:proofErr w:type="spellEnd"/>
      <w:r>
        <w:rPr>
          <w:color w:val="000000"/>
          <w:sz w:val="24"/>
          <w:szCs w:val="24"/>
        </w:rPr>
        <w:t xml:space="preserve"> nanoparticles have been shown in several rodent feeding studies; a smaller particle size results in a higher uptake (</w:t>
      </w:r>
      <w:proofErr w:type="spellStart"/>
      <w:r>
        <w:rPr>
          <w:color w:val="000000"/>
          <w:sz w:val="24"/>
          <w:szCs w:val="24"/>
        </w:rPr>
        <w:t>Vandebriel</w:t>
      </w:r>
      <w:proofErr w:type="spellEnd"/>
      <w:r>
        <w:rPr>
          <w:color w:val="000000"/>
          <w:sz w:val="24"/>
          <w:szCs w:val="24"/>
        </w:rPr>
        <w:t xml:space="preserve"> &amp; De Jong, 2012). One study found that a single oral dose of </w:t>
      </w:r>
      <w:proofErr w:type="spellStart"/>
      <w:r>
        <w:rPr>
          <w:color w:val="000000"/>
          <w:sz w:val="24"/>
          <w:szCs w:val="24"/>
        </w:rPr>
        <w:t>ZnO</w:t>
      </w:r>
      <w:proofErr w:type="spellEnd"/>
      <w:r>
        <w:rPr>
          <w:color w:val="000000"/>
          <w:sz w:val="24"/>
          <w:szCs w:val="24"/>
        </w:rPr>
        <w:t xml:space="preserve"> nanoparticles resulted in lung damage, renal toxicity, and liver harm (</w:t>
      </w:r>
      <w:proofErr w:type="spellStart"/>
      <w:r>
        <w:rPr>
          <w:color w:val="000000"/>
          <w:sz w:val="24"/>
          <w:szCs w:val="24"/>
        </w:rPr>
        <w:t>Pasupuleti</w:t>
      </w:r>
      <w:proofErr w:type="spellEnd"/>
      <w:r>
        <w:rPr>
          <w:color w:val="000000"/>
          <w:sz w:val="24"/>
          <w:szCs w:val="24"/>
        </w:rPr>
        <w:t xml:space="preserve"> et al., 2012; </w:t>
      </w:r>
      <w:proofErr w:type="spellStart"/>
      <w:r>
        <w:rPr>
          <w:sz w:val="24"/>
          <w:szCs w:val="24"/>
        </w:rPr>
        <w:t>Hasim</w:t>
      </w:r>
      <w:proofErr w:type="spellEnd"/>
      <w:r>
        <w:rPr>
          <w:sz w:val="24"/>
          <w:szCs w:val="24"/>
        </w:rPr>
        <w:t xml:space="preserve"> et al, 2022</w:t>
      </w:r>
      <w:r>
        <w:rPr>
          <w:color w:val="000000"/>
          <w:sz w:val="24"/>
          <w:szCs w:val="24"/>
        </w:rPr>
        <w:t xml:space="preserve">). Curiously, one study demonstrated that </w:t>
      </w:r>
      <w:proofErr w:type="spellStart"/>
      <w:r>
        <w:rPr>
          <w:color w:val="000000"/>
          <w:sz w:val="24"/>
          <w:szCs w:val="24"/>
        </w:rPr>
        <w:t>ZnO</w:t>
      </w:r>
      <w:proofErr w:type="spellEnd"/>
      <w:r>
        <w:rPr>
          <w:color w:val="000000"/>
          <w:sz w:val="24"/>
          <w:szCs w:val="24"/>
        </w:rPr>
        <w:t xml:space="preserve"> nanoparticles were not harmful when used alone, but that when combined with ascorbic acid, they </w:t>
      </w:r>
      <w:r>
        <w:rPr>
          <w:color w:val="000000"/>
          <w:sz w:val="24"/>
          <w:szCs w:val="24"/>
        </w:rPr>
        <w:t>became poisonous. This implies that it's critical to quantify how particular food ingredients affect the toxicity of this kind of nanoparticle (</w:t>
      </w:r>
      <w:proofErr w:type="spellStart"/>
      <w:r>
        <w:rPr>
          <w:color w:val="000000"/>
          <w:sz w:val="24"/>
          <w:szCs w:val="24"/>
        </w:rPr>
        <w:t>Vandebriel</w:t>
      </w:r>
      <w:proofErr w:type="spellEnd"/>
      <w:r>
        <w:rPr>
          <w:color w:val="000000"/>
          <w:sz w:val="24"/>
          <w:szCs w:val="24"/>
        </w:rPr>
        <w:t xml:space="preserve"> &amp; De Jong, 2012; </w:t>
      </w:r>
      <w:r>
        <w:rPr>
          <w:sz w:val="24"/>
          <w:szCs w:val="24"/>
        </w:rPr>
        <w:t>Jung et al., 2021</w:t>
      </w:r>
      <w:r>
        <w:rPr>
          <w:color w:val="000000"/>
          <w:sz w:val="24"/>
          <w:szCs w:val="24"/>
        </w:rPr>
        <w:t>).</w:t>
      </w:r>
    </w:p>
    <w:p w14:paraId="128925AA" w14:textId="77777777" w:rsidR="00625E61" w:rsidRDefault="005C4DDE" w:rsidP="00347E8D">
      <w:pPr>
        <w:pStyle w:val="Heading1"/>
        <w:tabs>
          <w:tab w:val="left" w:pos="9356"/>
        </w:tabs>
        <w:spacing w:before="157"/>
        <w:ind w:left="225"/>
      </w:pPr>
      <w:r>
        <w:t>Organic nanoparticles</w:t>
      </w:r>
    </w:p>
    <w:p w14:paraId="3276AEDE" w14:textId="77777777" w:rsidR="00625E61" w:rsidRDefault="005C4DDE" w:rsidP="00347E8D">
      <w:pPr>
        <w:pBdr>
          <w:top w:val="nil"/>
          <w:left w:val="nil"/>
          <w:bottom w:val="nil"/>
          <w:right w:val="nil"/>
          <w:between w:val="nil"/>
        </w:pBdr>
        <w:tabs>
          <w:tab w:val="left" w:pos="9356"/>
        </w:tabs>
        <w:spacing w:before="183" w:line="256" w:lineRule="auto"/>
        <w:ind w:left="164" w:right="1167"/>
        <w:jc w:val="both"/>
        <w:rPr>
          <w:color w:val="000000"/>
          <w:sz w:val="24"/>
          <w:szCs w:val="24"/>
        </w:rPr>
      </w:pPr>
      <w:r>
        <w:rPr>
          <w:color w:val="000000"/>
          <w:sz w:val="24"/>
          <w:szCs w:val="24"/>
        </w:rPr>
        <w:t>Organic materials like lipids, proteins, a</w:t>
      </w:r>
      <w:r>
        <w:rPr>
          <w:color w:val="000000"/>
          <w:sz w:val="24"/>
          <w:szCs w:val="24"/>
        </w:rPr>
        <w:t>nd/or carbohydrates make up the majority of this kind of nanoparticle. Depending on their composition and processing circumstances, these</w:t>
      </w:r>
    </w:p>
    <w:p w14:paraId="0E1F58C3" w14:textId="77777777" w:rsidR="00625E61" w:rsidRDefault="005C4DDE" w:rsidP="00347E8D">
      <w:pPr>
        <w:pBdr>
          <w:top w:val="nil"/>
          <w:left w:val="nil"/>
          <w:bottom w:val="nil"/>
          <w:right w:val="nil"/>
          <w:between w:val="nil"/>
        </w:pBdr>
        <w:tabs>
          <w:tab w:val="left" w:pos="9356"/>
        </w:tabs>
        <w:spacing w:before="5"/>
        <w:ind w:left="164"/>
        <w:jc w:val="both"/>
        <w:rPr>
          <w:color w:val="000000"/>
          <w:sz w:val="24"/>
          <w:szCs w:val="24"/>
        </w:rPr>
      </w:pPr>
      <w:r>
        <w:rPr>
          <w:color w:val="000000"/>
          <w:sz w:val="24"/>
          <w:szCs w:val="24"/>
        </w:rPr>
        <w:t>Substances often exist at room temperature as liquids, semi-solids (gelled), or solids</w:t>
      </w:r>
    </w:p>
    <w:p w14:paraId="639CE9B5" w14:textId="77777777" w:rsidR="00625E61" w:rsidRDefault="005C4DDE" w:rsidP="00347E8D">
      <w:pPr>
        <w:pBdr>
          <w:top w:val="nil"/>
          <w:left w:val="nil"/>
          <w:bottom w:val="nil"/>
          <w:right w:val="nil"/>
          <w:between w:val="nil"/>
        </w:pBdr>
        <w:tabs>
          <w:tab w:val="left" w:pos="9356"/>
        </w:tabs>
        <w:spacing w:before="19" w:line="259" w:lineRule="auto"/>
        <w:ind w:left="164" w:right="1167"/>
        <w:jc w:val="both"/>
        <w:rPr>
          <w:color w:val="000000"/>
          <w:sz w:val="24"/>
          <w:szCs w:val="24"/>
        </w:rPr>
      </w:pPr>
      <w:r>
        <w:rPr>
          <w:color w:val="000000"/>
          <w:sz w:val="24"/>
          <w:szCs w:val="24"/>
        </w:rPr>
        <w:lastRenderedPageBreak/>
        <w:t>(crystalline or amorphous). The</w:t>
      </w:r>
      <w:r>
        <w:rPr>
          <w:color w:val="000000"/>
          <w:sz w:val="24"/>
          <w:szCs w:val="24"/>
        </w:rPr>
        <w:t xml:space="preserve"> majority of organic nanoparticles that are frequently found in food are spherical, yet in certain cases (such as with nanofibers), they may not be. Depending on their compositions and structures, organic materials might behave very differently in the mout</w:t>
      </w:r>
      <w:r>
        <w:rPr>
          <w:color w:val="000000"/>
          <w:sz w:val="24"/>
          <w:szCs w:val="24"/>
        </w:rPr>
        <w:t>h, stomach, small intestine, or colon. For example, they may dissolve, precipitate, or undergo digestion in these areas. Since organic nanoparticles are frequently completely broken down in the human GIT and are not bio-persistent, it is generally believed</w:t>
      </w:r>
      <w:r>
        <w:rPr>
          <w:color w:val="000000"/>
          <w:sz w:val="24"/>
          <w:szCs w:val="24"/>
        </w:rPr>
        <w:t xml:space="preserve"> that they are less harmful than inorganic ones (</w:t>
      </w:r>
      <w:proofErr w:type="spellStart"/>
      <w:r>
        <w:rPr>
          <w:sz w:val="24"/>
          <w:szCs w:val="24"/>
        </w:rPr>
        <w:t>Razaei</w:t>
      </w:r>
      <w:proofErr w:type="spellEnd"/>
      <w:r>
        <w:rPr>
          <w:sz w:val="24"/>
          <w:szCs w:val="24"/>
        </w:rPr>
        <w:t xml:space="preserve"> et al., 2021; Mishra et al., 2025</w:t>
      </w:r>
      <w:r>
        <w:rPr>
          <w:color w:val="000000"/>
          <w:sz w:val="24"/>
          <w:szCs w:val="24"/>
        </w:rPr>
        <w:t>).</w:t>
      </w:r>
    </w:p>
    <w:p w14:paraId="15BEBFCA" w14:textId="77777777" w:rsidR="00625E61" w:rsidRDefault="00625E61" w:rsidP="00347E8D">
      <w:pPr>
        <w:pBdr>
          <w:top w:val="nil"/>
          <w:left w:val="nil"/>
          <w:bottom w:val="nil"/>
          <w:right w:val="nil"/>
          <w:between w:val="nil"/>
        </w:pBdr>
        <w:tabs>
          <w:tab w:val="left" w:pos="9356"/>
        </w:tabs>
        <w:rPr>
          <w:color w:val="000000"/>
        </w:rPr>
      </w:pPr>
    </w:p>
    <w:p w14:paraId="51D06599" w14:textId="77777777" w:rsidR="00625E61" w:rsidRDefault="005C4DDE" w:rsidP="00347E8D">
      <w:pPr>
        <w:pStyle w:val="Heading1"/>
        <w:tabs>
          <w:tab w:val="left" w:pos="9356"/>
        </w:tabs>
        <w:spacing w:before="66"/>
        <w:ind w:firstLine="165"/>
        <w:jc w:val="both"/>
      </w:pPr>
      <w:r>
        <w:t>Lipid nanoparticles</w:t>
      </w:r>
    </w:p>
    <w:p w14:paraId="42D687C8" w14:textId="79E0B4D1" w:rsidR="00625E61" w:rsidRDefault="005C4DDE" w:rsidP="00347E8D">
      <w:pPr>
        <w:pBdr>
          <w:top w:val="nil"/>
          <w:left w:val="nil"/>
          <w:bottom w:val="nil"/>
          <w:right w:val="nil"/>
          <w:between w:val="nil"/>
        </w:pBdr>
        <w:tabs>
          <w:tab w:val="left" w:pos="9356"/>
        </w:tabs>
        <w:spacing w:before="179" w:line="276" w:lineRule="auto"/>
        <w:ind w:left="165" w:right="1150"/>
        <w:jc w:val="both"/>
        <w:rPr>
          <w:color w:val="000000"/>
          <w:sz w:val="24"/>
          <w:szCs w:val="24"/>
        </w:rPr>
      </w:pPr>
      <w:r>
        <w:rPr>
          <w:color w:val="000000"/>
          <w:sz w:val="24"/>
          <w:szCs w:val="24"/>
        </w:rPr>
        <w:t>Many commercial food products include lipid nanoparticles, and their potential for use in other goods is being researched (McClements, 2013). S</w:t>
      </w:r>
      <w:r>
        <w:rPr>
          <w:color w:val="000000"/>
          <w:sz w:val="24"/>
          <w:szCs w:val="24"/>
        </w:rPr>
        <w:t>mall oil droplets scattered in water are found in beverage emulsions, which include fruit juices, dairy products, soft drinks, and fortified waters. A significant portion of the oil droplets in these goods are nanoscale (d &lt; 100 nm) (</w:t>
      </w:r>
      <w:proofErr w:type="spellStart"/>
      <w:r>
        <w:rPr>
          <w:color w:val="000000"/>
          <w:sz w:val="24"/>
          <w:szCs w:val="24"/>
        </w:rPr>
        <w:t>Piorkowski</w:t>
      </w:r>
      <w:proofErr w:type="spellEnd"/>
      <w:r>
        <w:rPr>
          <w:color w:val="000000"/>
          <w:sz w:val="24"/>
          <w:szCs w:val="24"/>
        </w:rPr>
        <w:t xml:space="preserve"> &amp; McClement</w:t>
      </w:r>
      <w:r>
        <w:rPr>
          <w:color w:val="000000"/>
          <w:sz w:val="24"/>
          <w:szCs w:val="24"/>
        </w:rPr>
        <w:t xml:space="preserve">s, 2014). As colloidal delivery methods, lipid nanoparticles are also being developed to encapsulate, shield, and release hydrophobic </w:t>
      </w:r>
      <w:proofErr w:type="spellStart"/>
      <w:r w:rsidR="00A63E26">
        <w:rPr>
          <w:color w:val="000000"/>
          <w:sz w:val="24"/>
          <w:szCs w:val="24"/>
        </w:rPr>
        <w:t>bioactives</w:t>
      </w:r>
      <w:proofErr w:type="spellEnd"/>
      <w:r>
        <w:rPr>
          <w:color w:val="000000"/>
          <w:sz w:val="24"/>
          <w:szCs w:val="24"/>
        </w:rPr>
        <w:t xml:space="preserve">, including nutrients, tastes, antimicrobials, antioxidants, </w:t>
      </w:r>
      <w:proofErr w:type="spellStart"/>
      <w:r>
        <w:rPr>
          <w:color w:val="000000"/>
          <w:sz w:val="24"/>
          <w:szCs w:val="24"/>
        </w:rPr>
        <w:t>colours</w:t>
      </w:r>
      <w:proofErr w:type="spellEnd"/>
      <w:r>
        <w:rPr>
          <w:color w:val="000000"/>
          <w:sz w:val="24"/>
          <w:szCs w:val="24"/>
        </w:rPr>
        <w:t>, and nutraceuticals (</w:t>
      </w:r>
      <w:proofErr w:type="spellStart"/>
      <w:r>
        <w:rPr>
          <w:color w:val="000000"/>
          <w:sz w:val="24"/>
          <w:szCs w:val="24"/>
        </w:rPr>
        <w:t>Livney</w:t>
      </w:r>
      <w:proofErr w:type="spellEnd"/>
      <w:r>
        <w:rPr>
          <w:color w:val="000000"/>
          <w:sz w:val="24"/>
          <w:szCs w:val="24"/>
        </w:rPr>
        <w:t>, 2015). Lipid n</w:t>
      </w:r>
      <w:r>
        <w:rPr>
          <w:color w:val="000000"/>
          <w:sz w:val="24"/>
          <w:szCs w:val="24"/>
        </w:rPr>
        <w:t>anoparticles have three main benefits when used in these applications: they can improve the bioavailability and/or functional performance of encapsulated components; they can be made optically transparent, which is advantageous for clear foods and beverage</w:t>
      </w:r>
      <w:r>
        <w:rPr>
          <w:color w:val="000000"/>
          <w:sz w:val="24"/>
          <w:szCs w:val="24"/>
        </w:rPr>
        <w:t>s; and they can improve the product's physical stability because small particles are less prone to aggregation and gravitational separation (McClements, 2015). Foods may contain a variety of lipid nanoparticles with different compositions, shapes, and size</w:t>
      </w:r>
      <w:r>
        <w:rPr>
          <w:color w:val="000000"/>
          <w:sz w:val="24"/>
          <w:szCs w:val="24"/>
        </w:rPr>
        <w:t xml:space="preserve">s, such as micelles, vesicles, oil droplets, and fat crystals. Lipid nanoparticles can range in diameter from a few </w:t>
      </w:r>
      <w:proofErr w:type="spellStart"/>
      <w:r>
        <w:rPr>
          <w:color w:val="000000"/>
          <w:sz w:val="24"/>
          <w:szCs w:val="24"/>
        </w:rPr>
        <w:t>nanometres</w:t>
      </w:r>
      <w:proofErr w:type="spellEnd"/>
      <w:r>
        <w:rPr>
          <w:color w:val="000000"/>
          <w:sz w:val="24"/>
          <w:szCs w:val="24"/>
        </w:rPr>
        <w:t xml:space="preserve"> (surfactant micelles) to several hundred </w:t>
      </w:r>
      <w:proofErr w:type="spellStart"/>
      <w:r>
        <w:rPr>
          <w:color w:val="000000"/>
          <w:sz w:val="24"/>
          <w:szCs w:val="24"/>
        </w:rPr>
        <w:t>nanometres</w:t>
      </w:r>
      <w:proofErr w:type="spellEnd"/>
      <w:r>
        <w:rPr>
          <w:color w:val="000000"/>
          <w:sz w:val="24"/>
          <w:szCs w:val="24"/>
        </w:rPr>
        <w:t xml:space="preserve"> (solid lipid nanoparticles or oil droplets). Lipid nanoparticles' electrical </w:t>
      </w:r>
      <w:r>
        <w:rPr>
          <w:color w:val="000000"/>
          <w:sz w:val="24"/>
          <w:szCs w:val="24"/>
        </w:rPr>
        <w:t xml:space="preserve">properties are determined by the kind of molecules that are present on their surfaces (Shin et al., 2015, </w:t>
      </w:r>
      <w:proofErr w:type="spellStart"/>
      <w:r>
        <w:rPr>
          <w:sz w:val="24"/>
          <w:szCs w:val="24"/>
        </w:rPr>
        <w:t>Ketebo</w:t>
      </w:r>
      <w:proofErr w:type="spellEnd"/>
      <w:r>
        <w:rPr>
          <w:sz w:val="24"/>
          <w:szCs w:val="24"/>
        </w:rPr>
        <w:t xml:space="preserve"> et al., 2023</w:t>
      </w:r>
      <w:r>
        <w:rPr>
          <w:color w:val="000000"/>
          <w:sz w:val="24"/>
          <w:szCs w:val="24"/>
        </w:rPr>
        <w:t>).</w:t>
      </w:r>
    </w:p>
    <w:p w14:paraId="3B23DE65" w14:textId="77777777" w:rsidR="00625E61" w:rsidRDefault="005C4DDE" w:rsidP="00347E8D">
      <w:pPr>
        <w:pBdr>
          <w:top w:val="nil"/>
          <w:left w:val="nil"/>
          <w:bottom w:val="nil"/>
          <w:right w:val="nil"/>
          <w:between w:val="nil"/>
        </w:pBdr>
        <w:tabs>
          <w:tab w:val="left" w:pos="9356"/>
        </w:tabs>
        <w:spacing w:before="167" w:line="259" w:lineRule="auto"/>
        <w:ind w:left="165" w:right="1152"/>
        <w:jc w:val="both"/>
        <w:rPr>
          <w:sz w:val="24"/>
          <w:szCs w:val="24"/>
        </w:rPr>
      </w:pPr>
      <w:r>
        <w:rPr>
          <w:color w:val="000000"/>
          <w:sz w:val="24"/>
          <w:szCs w:val="24"/>
        </w:rPr>
        <w:t xml:space="preserve">Neutral lipids (such as triacylglycerols (TAGs), diacylglycerols (DAGs), monoacylglycerols (MAGs), hydrocarbons, and terpenes) </w:t>
      </w:r>
      <w:r>
        <w:rPr>
          <w:color w:val="000000"/>
          <w:sz w:val="24"/>
          <w:szCs w:val="24"/>
        </w:rPr>
        <w:t xml:space="preserve">or polar lipids (like free fatty acids (FFAs), surfactants, and phospholipids) are typically included in food-grade lipid nanoparticles. Lipid nanoparticles' ability to be </w:t>
      </w:r>
      <w:proofErr w:type="spellStart"/>
      <w:r>
        <w:rPr>
          <w:color w:val="000000"/>
          <w:sz w:val="24"/>
          <w:szCs w:val="24"/>
        </w:rPr>
        <w:t>hydrolysed</w:t>
      </w:r>
      <w:proofErr w:type="spellEnd"/>
      <w:r>
        <w:rPr>
          <w:color w:val="000000"/>
          <w:sz w:val="24"/>
          <w:szCs w:val="24"/>
        </w:rPr>
        <w:t xml:space="preserve"> by digestive enzymes like lipase and phospholipase determines their fate </w:t>
      </w:r>
      <w:r>
        <w:rPr>
          <w:color w:val="000000"/>
          <w:sz w:val="24"/>
          <w:szCs w:val="24"/>
        </w:rPr>
        <w:t xml:space="preserve">in the gastrointestinal tract. Lipases in the GIT </w:t>
      </w:r>
      <w:proofErr w:type="spellStart"/>
      <w:r>
        <w:rPr>
          <w:color w:val="000000"/>
          <w:sz w:val="24"/>
          <w:szCs w:val="24"/>
        </w:rPr>
        <w:t>hydrolyse</w:t>
      </w:r>
      <w:proofErr w:type="spellEnd"/>
      <w:r>
        <w:rPr>
          <w:color w:val="000000"/>
          <w:sz w:val="24"/>
          <w:szCs w:val="24"/>
        </w:rPr>
        <w:t xml:space="preserve"> a wide variety of lipids, such as phospholipids, DAGs, and TAGs. FFAs and MAGs are released when the hydrolysable ester link in these lipids is broken. The cells of the epithelium can absorb FFAs </w:t>
      </w:r>
      <w:r>
        <w:rPr>
          <w:color w:val="000000"/>
          <w:sz w:val="24"/>
          <w:szCs w:val="24"/>
        </w:rPr>
        <w:t xml:space="preserve">and MAGs after they are integrated into mixed micelles (Yao et al., 2015). Since digestible lipid nanoparticles have a high specific surface area and are therefore unlikely to be directly absorbed in their intact condition, they are often </w:t>
      </w:r>
      <w:proofErr w:type="spellStart"/>
      <w:r>
        <w:rPr>
          <w:color w:val="000000"/>
          <w:sz w:val="24"/>
          <w:szCs w:val="24"/>
        </w:rPr>
        <w:t>hydrolysed</w:t>
      </w:r>
      <w:proofErr w:type="spellEnd"/>
      <w:r>
        <w:rPr>
          <w:color w:val="000000"/>
          <w:sz w:val="24"/>
          <w:szCs w:val="24"/>
        </w:rPr>
        <w:t xml:space="preserve"> quickl</w:t>
      </w:r>
      <w:r>
        <w:rPr>
          <w:color w:val="000000"/>
          <w:sz w:val="24"/>
          <w:szCs w:val="24"/>
        </w:rPr>
        <w:t>y in the GIT. Therefore, it would be surprising if this kind of nanoparticle might increase toxicity as a result of absorption and buildup in intestinal cells and other organs (McClements &amp; Rao, 2011</w:t>
      </w:r>
      <w:r>
        <w:rPr>
          <w:sz w:val="24"/>
          <w:szCs w:val="24"/>
        </w:rPr>
        <w:t>;</w:t>
      </w:r>
      <w:r>
        <w:rPr>
          <w:color w:val="000000"/>
          <w:sz w:val="24"/>
          <w:szCs w:val="24"/>
        </w:rPr>
        <w:t xml:space="preserve"> </w:t>
      </w:r>
      <w:r>
        <w:rPr>
          <w:sz w:val="24"/>
          <w:szCs w:val="24"/>
        </w:rPr>
        <w:t>Yang et al., 2021).</w:t>
      </w:r>
    </w:p>
    <w:p w14:paraId="6A17A141" w14:textId="77777777" w:rsidR="00625E61" w:rsidRDefault="005C4DDE" w:rsidP="00347E8D">
      <w:pPr>
        <w:pBdr>
          <w:top w:val="nil"/>
          <w:left w:val="nil"/>
          <w:bottom w:val="nil"/>
          <w:right w:val="nil"/>
          <w:between w:val="nil"/>
        </w:pBdr>
        <w:tabs>
          <w:tab w:val="left" w:pos="9356"/>
        </w:tabs>
        <w:spacing w:before="149" w:line="276" w:lineRule="auto"/>
        <w:ind w:left="165" w:right="1151"/>
        <w:jc w:val="both"/>
        <w:rPr>
          <w:color w:val="000000"/>
          <w:sz w:val="24"/>
          <w:szCs w:val="24"/>
        </w:rPr>
      </w:pPr>
      <w:r>
        <w:rPr>
          <w:color w:val="000000"/>
          <w:sz w:val="24"/>
          <w:szCs w:val="24"/>
        </w:rPr>
        <w:t>The enzymes in the GIT are unable t</w:t>
      </w:r>
      <w:r>
        <w:rPr>
          <w:color w:val="000000"/>
          <w:sz w:val="24"/>
          <w:szCs w:val="24"/>
        </w:rPr>
        <w:t xml:space="preserve">o break down several lipid nanoparticle forms that are currently or might be employed in food. This could happen because the oil phase being used, such as the terpenes and hydrocarbons included in certain </w:t>
      </w:r>
      <w:proofErr w:type="spellStart"/>
      <w:r>
        <w:rPr>
          <w:color w:val="000000"/>
          <w:sz w:val="24"/>
          <w:szCs w:val="24"/>
        </w:rPr>
        <w:t>flavour</w:t>
      </w:r>
      <w:proofErr w:type="spellEnd"/>
      <w:r>
        <w:rPr>
          <w:color w:val="000000"/>
          <w:sz w:val="24"/>
          <w:szCs w:val="24"/>
        </w:rPr>
        <w:t>, essential, or mineral oils, is indigestibl</w:t>
      </w:r>
      <w:r>
        <w:rPr>
          <w:color w:val="000000"/>
          <w:sz w:val="24"/>
          <w:szCs w:val="24"/>
        </w:rPr>
        <w:t xml:space="preserve">e. On the other hand, this might happen because the oil droplets have an interfacial layer covering them that prevents the encapsulated lipids from being </w:t>
      </w:r>
      <w:proofErr w:type="spellStart"/>
      <w:r>
        <w:rPr>
          <w:color w:val="000000"/>
          <w:sz w:val="24"/>
          <w:szCs w:val="24"/>
        </w:rPr>
        <w:t>hydrolysed</w:t>
      </w:r>
      <w:proofErr w:type="spellEnd"/>
      <w:r>
        <w:rPr>
          <w:color w:val="000000"/>
          <w:sz w:val="24"/>
          <w:szCs w:val="24"/>
        </w:rPr>
        <w:t xml:space="preserve"> by the digestive enzymes. In certain situations, the human body could be able to swallow in</w:t>
      </w:r>
      <w:r>
        <w:rPr>
          <w:color w:val="000000"/>
          <w:sz w:val="24"/>
          <w:szCs w:val="24"/>
        </w:rPr>
        <w:t xml:space="preserve">digestible lipid nanoparticles undigested. However, as far as the authors are aware, no research has been done on the possible toxicity or post-absorption fate of this kind of nanoparticle (McClements </w:t>
      </w:r>
      <w:r>
        <w:rPr>
          <w:color w:val="000000"/>
          <w:sz w:val="24"/>
          <w:szCs w:val="24"/>
        </w:rPr>
        <w:lastRenderedPageBreak/>
        <w:t xml:space="preserve">&amp; Xiao, 2012; </w:t>
      </w:r>
      <w:proofErr w:type="spellStart"/>
      <w:r>
        <w:rPr>
          <w:sz w:val="24"/>
          <w:szCs w:val="24"/>
        </w:rPr>
        <w:t>Egbuna</w:t>
      </w:r>
      <w:proofErr w:type="spellEnd"/>
      <w:r>
        <w:rPr>
          <w:sz w:val="24"/>
          <w:szCs w:val="24"/>
        </w:rPr>
        <w:t xml:space="preserve"> et al., 2021</w:t>
      </w:r>
      <w:r>
        <w:rPr>
          <w:color w:val="000000"/>
          <w:sz w:val="24"/>
          <w:szCs w:val="24"/>
        </w:rPr>
        <w:t>).</w:t>
      </w:r>
    </w:p>
    <w:p w14:paraId="27922F47" w14:textId="77777777" w:rsidR="00625E61" w:rsidRDefault="005C4DDE" w:rsidP="00347E8D">
      <w:pPr>
        <w:pStyle w:val="Heading1"/>
        <w:tabs>
          <w:tab w:val="left" w:pos="9356"/>
        </w:tabs>
        <w:spacing w:before="169"/>
        <w:ind w:firstLine="165"/>
        <w:jc w:val="both"/>
      </w:pPr>
      <w:r>
        <w:t>Carbohydrate nanopa</w:t>
      </w:r>
      <w:r>
        <w:t>rticles</w:t>
      </w:r>
    </w:p>
    <w:p w14:paraId="2E2C8984" w14:textId="77777777" w:rsidR="00625E61" w:rsidRDefault="005C4DDE" w:rsidP="00347E8D">
      <w:pPr>
        <w:pBdr>
          <w:top w:val="nil"/>
          <w:left w:val="nil"/>
          <w:bottom w:val="nil"/>
          <w:right w:val="nil"/>
          <w:between w:val="nil"/>
        </w:pBdr>
        <w:tabs>
          <w:tab w:val="left" w:pos="9356"/>
        </w:tabs>
        <w:spacing w:before="175" w:line="278" w:lineRule="auto"/>
        <w:ind w:left="165" w:right="1164"/>
        <w:jc w:val="both"/>
        <w:rPr>
          <w:color w:val="000000"/>
          <w:sz w:val="24"/>
          <w:szCs w:val="24"/>
        </w:rPr>
      </w:pPr>
      <w:r>
        <w:rPr>
          <w:color w:val="000000"/>
          <w:sz w:val="24"/>
          <w:szCs w:val="24"/>
        </w:rPr>
        <w:t>Starch, cellulose, alginate, carrageenan, pectin, and xanthan are examples of digestible or indigestible polysaccharides that are commonly used to create carbohydrate nanoparticles.</w:t>
      </w:r>
    </w:p>
    <w:p w14:paraId="24566A75" w14:textId="3ECE1123" w:rsidR="00625E61" w:rsidRDefault="005C4DDE" w:rsidP="00347E8D">
      <w:pPr>
        <w:pBdr>
          <w:top w:val="nil"/>
          <w:left w:val="nil"/>
          <w:bottom w:val="nil"/>
          <w:right w:val="nil"/>
          <w:between w:val="nil"/>
        </w:pBdr>
        <w:tabs>
          <w:tab w:val="left" w:pos="9356"/>
        </w:tabs>
        <w:spacing w:before="61" w:line="276" w:lineRule="auto"/>
        <w:ind w:left="165" w:right="1155"/>
        <w:jc w:val="both"/>
        <w:rPr>
          <w:color w:val="000000"/>
          <w:sz w:val="24"/>
          <w:szCs w:val="24"/>
        </w:rPr>
      </w:pPr>
      <w:r>
        <w:rPr>
          <w:color w:val="000000"/>
          <w:sz w:val="24"/>
          <w:szCs w:val="24"/>
        </w:rPr>
        <w:t xml:space="preserve">These nanoparticles can be produced by dissolving bigger natural </w:t>
      </w:r>
      <w:r>
        <w:rPr>
          <w:color w:val="000000"/>
          <w:sz w:val="24"/>
          <w:szCs w:val="24"/>
        </w:rPr>
        <w:t>structures like cellulose fibrils, chitosan fibrils, or starch granules (Myrick et al., 2014). As an alternative, they could be made by encouraging the bonding of polysaccharide molecules, for example, by introducing particular mineral ions, employing enzy</w:t>
      </w:r>
      <w:r>
        <w:rPr>
          <w:color w:val="000000"/>
          <w:sz w:val="24"/>
          <w:szCs w:val="24"/>
        </w:rPr>
        <w:t>mes, or altering the temperature (</w:t>
      </w:r>
      <w:proofErr w:type="spellStart"/>
      <w:r>
        <w:rPr>
          <w:color w:val="000000"/>
          <w:sz w:val="24"/>
          <w:szCs w:val="24"/>
        </w:rPr>
        <w:t>Joye</w:t>
      </w:r>
      <w:proofErr w:type="spellEnd"/>
      <w:r>
        <w:rPr>
          <w:color w:val="000000"/>
          <w:sz w:val="24"/>
          <w:szCs w:val="24"/>
        </w:rPr>
        <w:t xml:space="preserve"> et al., 2014). Depending on where they come from, carbohydrates can be either spherical or non-spherical, and the upper gastrointestinal tract can either digest or not. The mouth and small intestine contain amylases t</w:t>
      </w:r>
      <w:r>
        <w:rPr>
          <w:color w:val="000000"/>
          <w:sz w:val="24"/>
          <w:szCs w:val="24"/>
        </w:rPr>
        <w:t xml:space="preserve">hat quickly </w:t>
      </w:r>
      <w:proofErr w:type="spellStart"/>
      <w:r>
        <w:rPr>
          <w:color w:val="000000"/>
          <w:sz w:val="24"/>
          <w:szCs w:val="24"/>
        </w:rPr>
        <w:t>hydrolyse</w:t>
      </w:r>
      <w:proofErr w:type="spellEnd"/>
      <w:r>
        <w:rPr>
          <w:color w:val="000000"/>
          <w:sz w:val="24"/>
          <w:szCs w:val="24"/>
        </w:rPr>
        <w:t xml:space="preserve"> some forms of carbohydrates, converting them into glucose and oligosaccharides (Jones &amp; McClements, 2010</w:t>
      </w:r>
      <w:r w:rsidR="00A63E26">
        <w:rPr>
          <w:color w:val="000000"/>
          <w:sz w:val="24"/>
          <w:szCs w:val="24"/>
        </w:rPr>
        <w:t>;</w:t>
      </w:r>
      <w:r>
        <w:rPr>
          <w:color w:val="000000"/>
          <w:sz w:val="24"/>
          <w:szCs w:val="24"/>
        </w:rPr>
        <w:t xml:space="preserve"> </w:t>
      </w:r>
      <w:proofErr w:type="spellStart"/>
      <w:r>
        <w:rPr>
          <w:sz w:val="24"/>
          <w:szCs w:val="24"/>
        </w:rPr>
        <w:t>Angelopoulou</w:t>
      </w:r>
      <w:proofErr w:type="spellEnd"/>
      <w:r>
        <w:rPr>
          <w:sz w:val="24"/>
          <w:szCs w:val="24"/>
        </w:rPr>
        <w:t xml:space="preserve"> et al., 2022</w:t>
      </w:r>
      <w:r>
        <w:rPr>
          <w:color w:val="000000"/>
          <w:sz w:val="24"/>
          <w:szCs w:val="24"/>
        </w:rPr>
        <w:t xml:space="preserve">). On the other hand, some starches are more or less resistant to being </w:t>
      </w:r>
      <w:proofErr w:type="spellStart"/>
      <w:r>
        <w:rPr>
          <w:color w:val="000000"/>
          <w:sz w:val="24"/>
          <w:szCs w:val="24"/>
        </w:rPr>
        <w:t>hydrolysed</w:t>
      </w:r>
      <w:proofErr w:type="spellEnd"/>
      <w:r>
        <w:rPr>
          <w:color w:val="000000"/>
          <w:sz w:val="24"/>
          <w:szCs w:val="24"/>
        </w:rPr>
        <w:t xml:space="preserve"> by the digestive enz</w:t>
      </w:r>
      <w:r>
        <w:rPr>
          <w:color w:val="000000"/>
          <w:sz w:val="24"/>
          <w:szCs w:val="24"/>
        </w:rPr>
        <w:t xml:space="preserve">ymes in the gastrointestinal tract due to their structural arrangements. </w:t>
      </w:r>
      <w:r w:rsidRPr="00591EA8">
        <w:rPr>
          <w:color w:val="000000"/>
          <w:sz w:val="24"/>
          <w:szCs w:val="24"/>
          <w:highlight w:val="yellow"/>
        </w:rPr>
        <w:t xml:space="preserve">The majority of other polysaccharides, referred to as dietary </w:t>
      </w:r>
      <w:proofErr w:type="spellStart"/>
      <w:r w:rsidRPr="00591EA8">
        <w:rPr>
          <w:color w:val="000000"/>
          <w:sz w:val="24"/>
          <w:szCs w:val="24"/>
          <w:highlight w:val="yellow"/>
        </w:rPr>
        <w:t>fibres</w:t>
      </w:r>
      <w:proofErr w:type="spellEnd"/>
      <w:r w:rsidRPr="00591EA8">
        <w:rPr>
          <w:color w:val="000000"/>
          <w:sz w:val="24"/>
          <w:szCs w:val="24"/>
          <w:highlight w:val="yellow"/>
        </w:rPr>
        <w:t xml:space="preserve">, that are </w:t>
      </w:r>
      <w:proofErr w:type="spellStart"/>
      <w:r w:rsidR="00A63E26" w:rsidRPr="00591EA8">
        <w:rPr>
          <w:color w:val="000000"/>
          <w:sz w:val="24"/>
          <w:szCs w:val="24"/>
          <w:highlight w:val="yellow"/>
        </w:rPr>
        <w:t>utilised</w:t>
      </w:r>
      <w:proofErr w:type="spellEnd"/>
      <w:r w:rsidRPr="00591EA8">
        <w:rPr>
          <w:color w:val="000000"/>
          <w:sz w:val="24"/>
          <w:szCs w:val="24"/>
          <w:highlight w:val="yellow"/>
        </w:rPr>
        <w:t xml:space="preserve"> to create carbohydrate nanoparticles are not broken down in the upper gastrointestinal tract (m</w:t>
      </w:r>
      <w:r w:rsidRPr="00591EA8">
        <w:rPr>
          <w:color w:val="000000"/>
          <w:sz w:val="24"/>
          <w:szCs w:val="24"/>
          <w:highlight w:val="yellow"/>
        </w:rPr>
        <w:t xml:space="preserve">outh, stomach, and small intestine), but they may be fermented in the lower gastrointestinal tract (colon) by enzymes secreted by the microbiota (Le </w:t>
      </w:r>
      <w:proofErr w:type="spellStart"/>
      <w:r w:rsidRPr="00591EA8">
        <w:rPr>
          <w:color w:val="000000"/>
          <w:sz w:val="24"/>
          <w:szCs w:val="24"/>
          <w:highlight w:val="yellow"/>
        </w:rPr>
        <w:t>Corre</w:t>
      </w:r>
      <w:proofErr w:type="spellEnd"/>
      <w:r w:rsidRPr="00591EA8">
        <w:rPr>
          <w:color w:val="000000"/>
          <w:sz w:val="24"/>
          <w:szCs w:val="24"/>
          <w:highlight w:val="yellow"/>
        </w:rPr>
        <w:t xml:space="preserve"> et al., 2010).</w:t>
      </w:r>
      <w:r>
        <w:rPr>
          <w:color w:val="000000"/>
          <w:sz w:val="24"/>
          <w:szCs w:val="24"/>
        </w:rPr>
        <w:t xml:space="preserve"> </w:t>
      </w:r>
      <w:r w:rsidR="00591EA8">
        <w:rPr>
          <w:color w:val="000000"/>
          <w:sz w:val="24"/>
          <w:szCs w:val="24"/>
        </w:rPr>
        <w:t>The potential gastrointestinal fate of carbohydrate nanoparticles is greatly influenced by the digestibility of dietary fibers.</w:t>
      </w:r>
      <w:r>
        <w:rPr>
          <w:color w:val="000000"/>
          <w:sz w:val="24"/>
          <w:szCs w:val="24"/>
        </w:rPr>
        <w:t xml:space="preserve"> Since they create identical digestion products (simple sugars) as traditional forms of carbohydrates, fully digested carbohydrate nanoparticles in the upper gastrointestinal tract are unlikely to show any harm (McClements, 2012).</w:t>
      </w:r>
    </w:p>
    <w:p w14:paraId="223EDBA7" w14:textId="77777777" w:rsidR="00625E61" w:rsidRDefault="005C4DDE" w:rsidP="00347E8D">
      <w:pPr>
        <w:pStyle w:val="Heading1"/>
        <w:tabs>
          <w:tab w:val="left" w:pos="9356"/>
        </w:tabs>
        <w:spacing w:before="166"/>
        <w:ind w:firstLine="165"/>
        <w:jc w:val="both"/>
      </w:pPr>
      <w:r>
        <w:t>Protein nanoparticles</w:t>
      </w:r>
    </w:p>
    <w:p w14:paraId="607D64A4" w14:textId="77777777" w:rsidR="00625E61" w:rsidRDefault="005C4DDE" w:rsidP="00347E8D">
      <w:pPr>
        <w:pBdr>
          <w:top w:val="nil"/>
          <w:left w:val="nil"/>
          <w:bottom w:val="nil"/>
          <w:right w:val="nil"/>
          <w:between w:val="nil"/>
        </w:pBdr>
        <w:tabs>
          <w:tab w:val="left" w:pos="9356"/>
        </w:tabs>
        <w:spacing w:before="185" w:line="259" w:lineRule="auto"/>
        <w:ind w:left="165" w:right="1151"/>
        <w:jc w:val="both"/>
        <w:rPr>
          <w:color w:val="000000"/>
          <w:sz w:val="24"/>
          <w:szCs w:val="24"/>
        </w:rPr>
      </w:pPr>
      <w:r>
        <w:rPr>
          <w:color w:val="000000"/>
          <w:sz w:val="24"/>
          <w:szCs w:val="24"/>
        </w:rPr>
        <w:t>The</w:t>
      </w:r>
      <w:r>
        <w:rPr>
          <w:color w:val="000000"/>
          <w:sz w:val="24"/>
          <w:szCs w:val="24"/>
        </w:rPr>
        <w:t xml:space="preserve"> casein micelles, which are tiny collections of casein molecules and calcium phosphate ions present in cow's milk and other dairy products, are the most prevalent protein nanoparticles in food. There is less worry over the possible toxicity of this kind of</w:t>
      </w:r>
      <w:r>
        <w:rPr>
          <w:color w:val="000000"/>
          <w:sz w:val="24"/>
          <w:szCs w:val="24"/>
        </w:rPr>
        <w:t xml:space="preserve"> nanoparticle because people have been consuming it in large quantities for many centuries. In fact, nature's desire to give babies an effective way to get nutrients (proteins and minerals) is likely what gave rise to the nanostructure of casein micelles (</w:t>
      </w:r>
      <w:proofErr w:type="spellStart"/>
      <w:r>
        <w:rPr>
          <w:color w:val="000000"/>
          <w:sz w:val="24"/>
          <w:szCs w:val="24"/>
        </w:rPr>
        <w:t>Oftedal</w:t>
      </w:r>
      <w:proofErr w:type="spellEnd"/>
      <w:r>
        <w:rPr>
          <w:color w:val="000000"/>
          <w:sz w:val="24"/>
          <w:szCs w:val="24"/>
        </w:rPr>
        <w:t>, 2012). There has been interest lately in creating different kinds of protein nanoparticles for use in food. Protein nanoparticles, which resemble lipid nanoparticles, are specifically being developed to produce delivery systems that encapsulate, p</w:t>
      </w:r>
      <w:r>
        <w:rPr>
          <w:color w:val="000000"/>
          <w:sz w:val="24"/>
          <w:szCs w:val="24"/>
        </w:rPr>
        <w:t xml:space="preserve">reserve, and transport bioactive compounds, including </w:t>
      </w:r>
      <w:proofErr w:type="spellStart"/>
      <w:r>
        <w:rPr>
          <w:color w:val="000000"/>
          <w:sz w:val="24"/>
          <w:szCs w:val="24"/>
        </w:rPr>
        <w:t>colours</w:t>
      </w:r>
      <w:proofErr w:type="spellEnd"/>
      <w:r>
        <w:rPr>
          <w:color w:val="000000"/>
          <w:sz w:val="24"/>
          <w:szCs w:val="24"/>
        </w:rPr>
        <w:t>, tastes, preservatives, vitamins, minerals, and nutraceuticals (Rajendran et al., 2016). Protein nanoparticles are often made up of a collection of aggregated protein molecules bound together by</w:t>
      </w:r>
      <w:r>
        <w:rPr>
          <w:color w:val="000000"/>
          <w:sz w:val="24"/>
          <w:szCs w:val="24"/>
        </w:rPr>
        <w:t xml:space="preserve"> covalent connections (like disulfide bonds) or physical interactions (such as hydrophobic, hydrogen bonding, van der Waals, or electrostatic attraction) (Davidov-Pardo et al., 2015).</w:t>
      </w:r>
    </w:p>
    <w:p w14:paraId="458AD2A7" w14:textId="77777777" w:rsidR="00625E61" w:rsidRDefault="005C4DDE" w:rsidP="00347E8D">
      <w:pPr>
        <w:pBdr>
          <w:top w:val="nil"/>
          <w:left w:val="nil"/>
          <w:bottom w:val="nil"/>
          <w:right w:val="nil"/>
          <w:between w:val="nil"/>
        </w:pBdr>
        <w:tabs>
          <w:tab w:val="left" w:pos="9356"/>
        </w:tabs>
        <w:spacing w:before="156" w:line="259" w:lineRule="auto"/>
        <w:ind w:left="165" w:right="1150"/>
        <w:jc w:val="both"/>
        <w:rPr>
          <w:color w:val="000000"/>
          <w:sz w:val="24"/>
          <w:szCs w:val="24"/>
        </w:rPr>
      </w:pPr>
      <w:r>
        <w:rPr>
          <w:color w:val="000000"/>
          <w:sz w:val="24"/>
          <w:szCs w:val="24"/>
        </w:rPr>
        <w:t xml:space="preserve">While covalent connections are created </w:t>
      </w:r>
      <w:proofErr w:type="spellStart"/>
      <w:r>
        <w:rPr>
          <w:color w:val="000000"/>
          <w:sz w:val="24"/>
          <w:szCs w:val="24"/>
        </w:rPr>
        <w:t>utilising</w:t>
      </w:r>
      <w:proofErr w:type="spellEnd"/>
      <w:r>
        <w:rPr>
          <w:color w:val="000000"/>
          <w:sz w:val="24"/>
          <w:szCs w:val="24"/>
        </w:rPr>
        <w:t xml:space="preserve"> certain chemical or bio</w:t>
      </w:r>
      <w:r>
        <w:rPr>
          <w:color w:val="000000"/>
          <w:sz w:val="24"/>
          <w:szCs w:val="24"/>
        </w:rPr>
        <w:t>chemical reaction circumstances, physical bonds are typically created by modifying solution parameters, including pH, ionic strength, solvent quality, and ingredient interactions. The GIT destiny of protein nanoparticles is determined by the kind of protei</w:t>
      </w:r>
      <w:r>
        <w:rPr>
          <w:color w:val="000000"/>
          <w:sz w:val="24"/>
          <w:szCs w:val="24"/>
        </w:rPr>
        <w:t xml:space="preserve">n </w:t>
      </w:r>
      <w:proofErr w:type="spellStart"/>
      <w:r>
        <w:rPr>
          <w:color w:val="000000"/>
          <w:sz w:val="24"/>
          <w:szCs w:val="24"/>
        </w:rPr>
        <w:t>utilised</w:t>
      </w:r>
      <w:proofErr w:type="spellEnd"/>
      <w:r>
        <w:rPr>
          <w:color w:val="000000"/>
          <w:sz w:val="24"/>
          <w:szCs w:val="24"/>
        </w:rPr>
        <w:t xml:space="preserve"> and the sort of bonding that occurs between them. Casein micelles, </w:t>
      </w:r>
      <w:proofErr w:type="spellStart"/>
      <w:r>
        <w:rPr>
          <w:color w:val="000000"/>
          <w:sz w:val="24"/>
          <w:szCs w:val="24"/>
        </w:rPr>
        <w:t>zein</w:t>
      </w:r>
      <w:proofErr w:type="spellEnd"/>
      <w:r>
        <w:rPr>
          <w:color w:val="000000"/>
          <w:sz w:val="24"/>
          <w:szCs w:val="24"/>
        </w:rPr>
        <w:t xml:space="preserve">, gliadin, whey, and soy protein particles are examples of protein nanoparticles that range in size from a few </w:t>
      </w:r>
      <w:proofErr w:type="spellStart"/>
      <w:r>
        <w:rPr>
          <w:color w:val="000000"/>
          <w:sz w:val="24"/>
          <w:szCs w:val="24"/>
        </w:rPr>
        <w:t>nanometres</w:t>
      </w:r>
      <w:proofErr w:type="spellEnd"/>
      <w:r>
        <w:rPr>
          <w:color w:val="000000"/>
          <w:sz w:val="24"/>
          <w:szCs w:val="24"/>
        </w:rPr>
        <w:t xml:space="preserve"> (individual globular proteins) to hundreds of </w:t>
      </w:r>
      <w:proofErr w:type="spellStart"/>
      <w:r>
        <w:rPr>
          <w:color w:val="000000"/>
          <w:sz w:val="24"/>
          <w:szCs w:val="24"/>
        </w:rPr>
        <w:t>nanome</w:t>
      </w:r>
      <w:r>
        <w:rPr>
          <w:color w:val="000000"/>
          <w:sz w:val="24"/>
          <w:szCs w:val="24"/>
        </w:rPr>
        <w:t>tres</w:t>
      </w:r>
      <w:proofErr w:type="spellEnd"/>
      <w:r>
        <w:rPr>
          <w:color w:val="000000"/>
          <w:sz w:val="24"/>
          <w:szCs w:val="24"/>
        </w:rPr>
        <w:t xml:space="preserve"> (Myrick et al., 2014).</w:t>
      </w:r>
    </w:p>
    <w:p w14:paraId="60C01ECC" w14:textId="72305DBA" w:rsidR="00625E61" w:rsidRDefault="005C4DDE" w:rsidP="00347E8D">
      <w:pPr>
        <w:pBdr>
          <w:top w:val="nil"/>
          <w:left w:val="nil"/>
          <w:bottom w:val="nil"/>
          <w:right w:val="nil"/>
          <w:between w:val="nil"/>
        </w:pBdr>
        <w:tabs>
          <w:tab w:val="left" w:pos="9356"/>
        </w:tabs>
        <w:spacing w:before="159" w:line="259" w:lineRule="auto"/>
        <w:ind w:left="165" w:right="1155"/>
        <w:jc w:val="both"/>
        <w:rPr>
          <w:color w:val="000000"/>
          <w:sz w:val="24"/>
          <w:szCs w:val="24"/>
        </w:rPr>
      </w:pPr>
      <w:r>
        <w:rPr>
          <w:color w:val="000000"/>
          <w:sz w:val="24"/>
          <w:szCs w:val="24"/>
        </w:rPr>
        <w:t xml:space="preserve">The table presents a clear classification of both inorganic and organic nanoparticles commonly used in food and packaging systems, highlighting their unique compositions and roles. It </w:t>
      </w:r>
      <w:r>
        <w:rPr>
          <w:color w:val="000000"/>
          <w:sz w:val="24"/>
          <w:szCs w:val="24"/>
        </w:rPr>
        <w:lastRenderedPageBreak/>
        <w:t xml:space="preserve">outlines how each type behaves in the gastrointestinal tract and </w:t>
      </w:r>
      <w:proofErr w:type="spellStart"/>
      <w:r w:rsidR="00970CBA">
        <w:rPr>
          <w:color w:val="000000"/>
          <w:sz w:val="24"/>
          <w:szCs w:val="24"/>
        </w:rPr>
        <w:t>summarises</w:t>
      </w:r>
      <w:proofErr w:type="spellEnd"/>
      <w:r>
        <w:rPr>
          <w:color w:val="000000"/>
          <w:sz w:val="24"/>
          <w:szCs w:val="24"/>
        </w:rPr>
        <w:t xml:space="preserve"> their potential toxicity based on size, structure, and digestibility (Table 1).</w:t>
      </w:r>
    </w:p>
    <w:p w14:paraId="1DD6266C" w14:textId="77777777" w:rsidR="00AF2809" w:rsidRDefault="00AF2809" w:rsidP="00347E8D">
      <w:pPr>
        <w:pBdr>
          <w:top w:val="nil"/>
          <w:left w:val="nil"/>
          <w:bottom w:val="nil"/>
          <w:right w:val="nil"/>
          <w:between w:val="nil"/>
        </w:pBdr>
        <w:tabs>
          <w:tab w:val="left" w:pos="9356"/>
        </w:tabs>
        <w:spacing w:before="159" w:line="259" w:lineRule="auto"/>
        <w:ind w:left="165" w:right="1155"/>
        <w:jc w:val="both"/>
        <w:rPr>
          <w:color w:val="000000"/>
          <w:sz w:val="24"/>
          <w:szCs w:val="24"/>
        </w:rPr>
      </w:pPr>
    </w:p>
    <w:p w14:paraId="4CADAEAE" w14:textId="324EB9E7" w:rsidR="00AF2809" w:rsidRDefault="00AF2809" w:rsidP="00347E8D">
      <w:pPr>
        <w:pBdr>
          <w:top w:val="nil"/>
          <w:left w:val="nil"/>
          <w:bottom w:val="nil"/>
          <w:right w:val="nil"/>
          <w:between w:val="nil"/>
        </w:pBdr>
        <w:tabs>
          <w:tab w:val="left" w:pos="9356"/>
        </w:tabs>
        <w:spacing w:before="159" w:line="259" w:lineRule="auto"/>
        <w:ind w:left="165" w:right="1155"/>
        <w:jc w:val="both"/>
        <w:rPr>
          <w:b/>
          <w:bCs/>
          <w:color w:val="000000"/>
          <w:sz w:val="24"/>
          <w:szCs w:val="24"/>
        </w:rPr>
      </w:pPr>
      <w:r w:rsidRPr="00AF2809">
        <w:rPr>
          <w:b/>
          <w:bCs/>
          <w:color w:val="000000"/>
          <w:sz w:val="24"/>
          <w:szCs w:val="24"/>
        </w:rPr>
        <w:t xml:space="preserve">Framework of Nanoparticles Food and </w:t>
      </w:r>
      <w:r w:rsidR="00970CBA">
        <w:rPr>
          <w:b/>
          <w:bCs/>
          <w:color w:val="000000"/>
          <w:sz w:val="24"/>
          <w:szCs w:val="24"/>
        </w:rPr>
        <w:t>F</w:t>
      </w:r>
      <w:r w:rsidRPr="00AF2809">
        <w:rPr>
          <w:b/>
          <w:bCs/>
          <w:color w:val="000000"/>
          <w:sz w:val="24"/>
          <w:szCs w:val="24"/>
        </w:rPr>
        <w:t xml:space="preserve">eed:  </w:t>
      </w:r>
    </w:p>
    <w:p w14:paraId="01EBCAE5" w14:textId="6B393F10" w:rsidR="00970CBA" w:rsidRPr="00BC6525" w:rsidRDefault="00AF2809" w:rsidP="00347E8D">
      <w:pPr>
        <w:pBdr>
          <w:top w:val="nil"/>
          <w:left w:val="nil"/>
          <w:bottom w:val="nil"/>
          <w:right w:val="nil"/>
          <w:between w:val="nil"/>
        </w:pBdr>
        <w:tabs>
          <w:tab w:val="left" w:pos="9356"/>
        </w:tabs>
        <w:spacing w:before="159" w:line="259" w:lineRule="auto"/>
        <w:ind w:left="165" w:right="1155"/>
        <w:jc w:val="both"/>
        <w:rPr>
          <w:color w:val="000000"/>
          <w:sz w:val="24"/>
          <w:szCs w:val="24"/>
          <w:highlight w:val="yellow"/>
        </w:rPr>
      </w:pPr>
      <w:r w:rsidRPr="00BC6525">
        <w:rPr>
          <w:color w:val="000000"/>
          <w:sz w:val="24"/>
          <w:szCs w:val="24"/>
          <w:highlight w:val="yellow"/>
        </w:rPr>
        <w:t xml:space="preserve">According to the European Union concept of </w:t>
      </w:r>
      <w:r w:rsidR="0026204F" w:rsidRPr="00BC6525">
        <w:rPr>
          <w:color w:val="000000"/>
          <w:sz w:val="24"/>
          <w:szCs w:val="24"/>
          <w:highlight w:val="yellow"/>
        </w:rPr>
        <w:t>NPs,</w:t>
      </w:r>
      <w:r w:rsidRPr="00BC6525">
        <w:rPr>
          <w:color w:val="000000"/>
          <w:sz w:val="24"/>
          <w:szCs w:val="24"/>
          <w:highlight w:val="yellow"/>
        </w:rPr>
        <w:t xml:space="preserve"> </w:t>
      </w:r>
      <w:r w:rsidR="0026204F" w:rsidRPr="00BC6525">
        <w:rPr>
          <w:color w:val="000000"/>
          <w:sz w:val="24"/>
          <w:szCs w:val="24"/>
          <w:highlight w:val="yellow"/>
        </w:rPr>
        <w:t>the</w:t>
      </w:r>
      <w:r w:rsidRPr="00BC6525">
        <w:rPr>
          <w:color w:val="000000"/>
          <w:sz w:val="24"/>
          <w:szCs w:val="24"/>
          <w:highlight w:val="yellow"/>
        </w:rPr>
        <w:t xml:space="preserve"> 2011</w:t>
      </w:r>
      <w:r w:rsidR="0026204F" w:rsidRPr="00BC6525">
        <w:rPr>
          <w:color w:val="000000"/>
          <w:sz w:val="24"/>
          <w:szCs w:val="24"/>
          <w:highlight w:val="yellow"/>
        </w:rPr>
        <w:t xml:space="preserve"> (2011/696/EU)</w:t>
      </w:r>
      <w:r w:rsidRPr="00BC6525">
        <w:rPr>
          <w:color w:val="000000"/>
          <w:sz w:val="24"/>
          <w:szCs w:val="24"/>
          <w:highlight w:val="yellow"/>
        </w:rPr>
        <w:t xml:space="preserve"> </w:t>
      </w:r>
      <w:r w:rsidR="0026204F" w:rsidRPr="00BC6525">
        <w:rPr>
          <w:color w:val="000000"/>
          <w:sz w:val="24"/>
          <w:szCs w:val="24"/>
          <w:highlight w:val="yellow"/>
        </w:rPr>
        <w:t>has been</w:t>
      </w:r>
      <w:r w:rsidRPr="00BC6525">
        <w:rPr>
          <w:color w:val="000000"/>
          <w:sz w:val="24"/>
          <w:szCs w:val="24"/>
          <w:highlight w:val="yellow"/>
        </w:rPr>
        <w:t xml:space="preserve"> </w:t>
      </w:r>
      <w:r w:rsidR="0026204F" w:rsidRPr="00BC6525">
        <w:rPr>
          <w:color w:val="000000"/>
          <w:sz w:val="24"/>
          <w:szCs w:val="24"/>
          <w:highlight w:val="yellow"/>
        </w:rPr>
        <w:t>revised in</w:t>
      </w:r>
      <w:r w:rsidRPr="00BC6525">
        <w:rPr>
          <w:color w:val="000000"/>
          <w:sz w:val="24"/>
          <w:szCs w:val="24"/>
          <w:highlight w:val="yellow"/>
        </w:rPr>
        <w:t xml:space="preserve"> 2022. </w:t>
      </w:r>
      <w:r w:rsidR="0026204F" w:rsidRPr="00BC6525">
        <w:rPr>
          <w:color w:val="000000"/>
          <w:sz w:val="24"/>
          <w:szCs w:val="24"/>
          <w:highlight w:val="yellow"/>
        </w:rPr>
        <w:t xml:space="preserve">The 2011 European Commission definition of nanomaterial is considered a natural, manmade, or incidental particle, found in a free state, or at least 50% or more of the particles are in the number-based size distribution, have one or more dimensions within the range of 1–100 nm.  The revised definition </w:t>
      </w:r>
      <w:r w:rsidR="00970CBA" w:rsidRPr="00BC6525">
        <w:rPr>
          <w:color w:val="000000"/>
          <w:sz w:val="24"/>
          <w:szCs w:val="24"/>
          <w:highlight w:val="yellow"/>
        </w:rPr>
        <w:t>of nanoparticles</w:t>
      </w:r>
      <w:r w:rsidR="0026204F" w:rsidRPr="00BC6525">
        <w:rPr>
          <w:color w:val="000000"/>
          <w:sz w:val="24"/>
          <w:szCs w:val="24"/>
          <w:highlight w:val="yellow"/>
        </w:rPr>
        <w:t xml:space="preserve"> </w:t>
      </w:r>
      <w:r w:rsidR="00970CBA" w:rsidRPr="00BC6525">
        <w:rPr>
          <w:color w:val="000000"/>
          <w:sz w:val="24"/>
          <w:szCs w:val="24"/>
          <w:highlight w:val="yellow"/>
        </w:rPr>
        <w:t>in 2022, as per the Commission’s Recommendation (2022/C 229/01</w:t>
      </w:r>
      <w:r w:rsidR="0026204F" w:rsidRPr="00BC6525">
        <w:rPr>
          <w:color w:val="000000"/>
          <w:sz w:val="24"/>
          <w:szCs w:val="24"/>
          <w:highlight w:val="yellow"/>
        </w:rPr>
        <w:t xml:space="preserve">, </w:t>
      </w:r>
      <w:r w:rsidR="00970CBA" w:rsidRPr="00BC6525">
        <w:rPr>
          <w:color w:val="000000"/>
          <w:sz w:val="24"/>
          <w:szCs w:val="24"/>
          <w:highlight w:val="yellow"/>
        </w:rPr>
        <w:t>states that t</w:t>
      </w:r>
      <w:r w:rsidR="0026204F" w:rsidRPr="00BC6525">
        <w:rPr>
          <w:color w:val="000000"/>
          <w:sz w:val="24"/>
          <w:szCs w:val="24"/>
          <w:highlight w:val="yellow"/>
        </w:rPr>
        <w:t xml:space="preserve">he materials are solid particles </w:t>
      </w:r>
      <w:r w:rsidR="00970CBA" w:rsidRPr="00BC6525">
        <w:rPr>
          <w:color w:val="000000"/>
          <w:sz w:val="24"/>
          <w:szCs w:val="24"/>
          <w:highlight w:val="yellow"/>
        </w:rPr>
        <w:t xml:space="preserve">(≥50%) </w:t>
      </w:r>
      <w:r w:rsidR="0026204F" w:rsidRPr="00BC6525">
        <w:rPr>
          <w:color w:val="000000"/>
          <w:sz w:val="24"/>
          <w:szCs w:val="24"/>
          <w:highlight w:val="yellow"/>
        </w:rPr>
        <w:t xml:space="preserve">that </w:t>
      </w:r>
      <w:r w:rsidR="00970CBA" w:rsidRPr="00BC6525">
        <w:rPr>
          <w:color w:val="000000"/>
          <w:sz w:val="24"/>
          <w:szCs w:val="24"/>
          <w:highlight w:val="yellow"/>
        </w:rPr>
        <w:t xml:space="preserve">occur individually or as identifiable constituent particles of size </w:t>
      </w:r>
      <w:r w:rsidR="00103093" w:rsidRPr="00BC6525">
        <w:rPr>
          <w:color w:val="000000"/>
          <w:sz w:val="24"/>
          <w:szCs w:val="24"/>
          <w:highlight w:val="yellow"/>
        </w:rPr>
        <w:t>(</w:t>
      </w:r>
      <w:r w:rsidR="00970CBA" w:rsidRPr="00BC6525">
        <w:rPr>
          <w:color w:val="000000"/>
          <w:sz w:val="24"/>
          <w:szCs w:val="24"/>
          <w:highlight w:val="yellow"/>
        </w:rPr>
        <w:t>1-100nm) in aggregates or agglomerates, satisfying any of the conditions</w:t>
      </w:r>
      <w:r w:rsidR="008146A7" w:rsidRPr="00BC6525">
        <w:rPr>
          <w:color w:val="000000"/>
          <w:sz w:val="24"/>
          <w:szCs w:val="24"/>
          <w:highlight w:val="yellow"/>
        </w:rPr>
        <w:t xml:space="preserve"> (</w:t>
      </w:r>
      <w:proofErr w:type="spellStart"/>
      <w:r w:rsidR="008146A7" w:rsidRPr="00BC6525">
        <w:rPr>
          <w:color w:val="00B0F0"/>
          <w:sz w:val="24"/>
          <w:szCs w:val="24"/>
          <w:highlight w:val="yellow"/>
        </w:rPr>
        <w:t>Wrześniewska</w:t>
      </w:r>
      <w:proofErr w:type="spellEnd"/>
      <w:r w:rsidR="008146A7" w:rsidRPr="00BC6525">
        <w:rPr>
          <w:color w:val="00B0F0"/>
          <w:sz w:val="24"/>
          <w:szCs w:val="24"/>
          <w:highlight w:val="yellow"/>
        </w:rPr>
        <w:t>-Wal et al, 2025</w:t>
      </w:r>
      <w:r w:rsidR="008146A7" w:rsidRPr="00BC6525">
        <w:rPr>
          <w:color w:val="000000"/>
          <w:sz w:val="24"/>
          <w:szCs w:val="24"/>
          <w:highlight w:val="yellow"/>
        </w:rPr>
        <w:t>)</w:t>
      </w:r>
    </w:p>
    <w:p w14:paraId="27C15BE1" w14:textId="77FA02AE" w:rsidR="00103093" w:rsidRPr="00BC6525" w:rsidRDefault="00970CBA" w:rsidP="00103093">
      <w:pPr>
        <w:pStyle w:val="ListParagraph"/>
        <w:numPr>
          <w:ilvl w:val="0"/>
          <w:numId w:val="1"/>
        </w:num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 xml:space="preserve"> </w:t>
      </w:r>
      <w:r w:rsidR="00103093" w:rsidRPr="00BC6525">
        <w:rPr>
          <w:color w:val="000000"/>
          <w:sz w:val="24"/>
          <w:szCs w:val="24"/>
          <w:highlight w:val="yellow"/>
        </w:rPr>
        <w:t>Except: Fullerenes, graphene flakes, and single-walled carbon nanotubes with at least one external dimension below 1 nm are also classified as nanomaterials</w:t>
      </w:r>
    </w:p>
    <w:p w14:paraId="3FEE9EC8" w14:textId="41801F30" w:rsidR="00103093" w:rsidRPr="00BC6525" w:rsidRDefault="00103093" w:rsidP="00103093">
      <w:pPr>
        <w:pStyle w:val="ListParagraph"/>
        <w:numPr>
          <w:ilvl w:val="0"/>
          <w:numId w:val="1"/>
        </w:num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 xml:space="preserve">The particle has an elongated shape (such as a rod, </w:t>
      </w:r>
      <w:proofErr w:type="spellStart"/>
      <w:r w:rsidR="008146A7" w:rsidRPr="00BC6525">
        <w:rPr>
          <w:color w:val="000000"/>
          <w:sz w:val="24"/>
          <w:szCs w:val="24"/>
          <w:highlight w:val="yellow"/>
        </w:rPr>
        <w:t>fibre</w:t>
      </w:r>
      <w:proofErr w:type="spellEnd"/>
      <w:r w:rsidRPr="00BC6525">
        <w:rPr>
          <w:color w:val="000000"/>
          <w:sz w:val="24"/>
          <w:szCs w:val="24"/>
          <w:highlight w:val="yellow"/>
        </w:rPr>
        <w:t>, or tube), where two external dimensions are smaller than 1 nm, while the third dimension exceeds 100 nm</w:t>
      </w:r>
    </w:p>
    <w:p w14:paraId="5E9998BA" w14:textId="77777777" w:rsidR="008146A7" w:rsidRPr="00BC6525" w:rsidRDefault="00103093" w:rsidP="00103093">
      <w:pPr>
        <w:pStyle w:val="ListParagraph"/>
        <w:numPr>
          <w:ilvl w:val="0"/>
          <w:numId w:val="1"/>
        </w:num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The particle has a plate-like shape, where one external dimension is smaller than</w:t>
      </w:r>
      <w:r w:rsidR="008146A7" w:rsidRPr="00BC6525">
        <w:rPr>
          <w:color w:val="000000"/>
          <w:sz w:val="24"/>
          <w:szCs w:val="24"/>
          <w:highlight w:val="yellow"/>
        </w:rPr>
        <w:t xml:space="preserve"> 1 nm, while the other dimensions exceed 100 nm</w:t>
      </w:r>
      <w:r w:rsidRPr="00BC6525">
        <w:rPr>
          <w:color w:val="000000"/>
          <w:sz w:val="24"/>
          <w:szCs w:val="24"/>
          <w:highlight w:val="yellow"/>
        </w:rPr>
        <w:t xml:space="preserve"> </w:t>
      </w:r>
    </w:p>
    <w:p w14:paraId="6BE36D97" w14:textId="2795FEA6" w:rsidR="003E507B" w:rsidRPr="00BC6525" w:rsidRDefault="008146A7" w:rsidP="008146A7">
      <w:p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 xml:space="preserve">The difference between the </w:t>
      </w:r>
      <w:r w:rsidR="003E507B" w:rsidRPr="00BC6525">
        <w:rPr>
          <w:color w:val="000000"/>
          <w:sz w:val="24"/>
          <w:szCs w:val="24"/>
          <w:highlight w:val="yellow"/>
        </w:rPr>
        <w:t xml:space="preserve">recommendations of 2011 and 2022 </w:t>
      </w:r>
      <w:r w:rsidR="00BC6525" w:rsidRPr="00BC6525">
        <w:rPr>
          <w:color w:val="000000"/>
          <w:sz w:val="24"/>
          <w:szCs w:val="24"/>
          <w:highlight w:val="yellow"/>
        </w:rPr>
        <w:t>is</w:t>
      </w:r>
      <w:r w:rsidR="003E507B" w:rsidRPr="00BC6525">
        <w:rPr>
          <w:color w:val="000000"/>
          <w:sz w:val="24"/>
          <w:szCs w:val="24"/>
          <w:highlight w:val="yellow"/>
        </w:rPr>
        <w:t>:</w:t>
      </w:r>
    </w:p>
    <w:p w14:paraId="4391F735" w14:textId="77777777" w:rsidR="00394D71" w:rsidRPr="00BC6525" w:rsidRDefault="003E507B" w:rsidP="003E507B">
      <w:p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 xml:space="preserve"> </w:t>
      </w:r>
      <w:r w:rsidR="0026204F" w:rsidRPr="00BC6525">
        <w:rPr>
          <w:color w:val="000000"/>
          <w:sz w:val="24"/>
          <w:szCs w:val="24"/>
          <w:highlight w:val="yellow"/>
        </w:rPr>
        <w:t xml:space="preserve"> </w:t>
      </w:r>
      <w:r w:rsidR="00103093" w:rsidRPr="00BC6525">
        <w:rPr>
          <w:color w:val="000000"/>
          <w:sz w:val="24"/>
          <w:szCs w:val="24"/>
          <w:highlight w:val="yellow"/>
        </w:rPr>
        <w:t xml:space="preserve">   </w:t>
      </w:r>
      <w:r w:rsidRPr="00BC6525">
        <w:rPr>
          <w:color w:val="000000"/>
          <w:sz w:val="24"/>
          <w:szCs w:val="24"/>
          <w:highlight w:val="yellow"/>
        </w:rPr>
        <w:t xml:space="preserve">1. According to the 2022 definition, nanomaterials are solid particles, excluding liquids and gases.  </w:t>
      </w:r>
    </w:p>
    <w:p w14:paraId="0CA618D3" w14:textId="77777777" w:rsidR="00394D71" w:rsidRPr="00BC6525" w:rsidRDefault="00394D71" w:rsidP="003E507B">
      <w:pPr>
        <w:pBdr>
          <w:top w:val="nil"/>
          <w:left w:val="nil"/>
          <w:bottom w:val="nil"/>
          <w:right w:val="nil"/>
          <w:between w:val="nil"/>
        </w:pBdr>
        <w:tabs>
          <w:tab w:val="left" w:pos="9356"/>
        </w:tabs>
        <w:spacing w:before="159" w:line="259" w:lineRule="auto"/>
        <w:ind w:right="1155"/>
        <w:jc w:val="both"/>
        <w:rPr>
          <w:color w:val="000000"/>
          <w:sz w:val="24"/>
          <w:szCs w:val="24"/>
          <w:highlight w:val="yellow"/>
        </w:rPr>
      </w:pPr>
      <w:r w:rsidRPr="00BC6525">
        <w:rPr>
          <w:color w:val="000000"/>
          <w:sz w:val="24"/>
          <w:szCs w:val="24"/>
          <w:highlight w:val="yellow"/>
        </w:rPr>
        <w:t xml:space="preserve">     </w:t>
      </w:r>
      <w:r w:rsidR="003E507B" w:rsidRPr="00BC6525">
        <w:rPr>
          <w:color w:val="000000"/>
          <w:sz w:val="24"/>
          <w:szCs w:val="24"/>
          <w:highlight w:val="yellow"/>
        </w:rPr>
        <w:t xml:space="preserve"> 2. The 2022 recommendation points to the problem of Emerging and Newly Identified Health Risks (SCENIHR, 2010). The fullerenes, graphene flakes, and single-wall carbon nanotubes with external dimensions below 1 nm are excluded in the 2022 EC recommendations and replaced by all elongated particles (</w:t>
      </w:r>
      <w:r w:rsidR="003E507B" w:rsidRPr="00BC6525">
        <w:rPr>
          <w:sz w:val="24"/>
          <w:szCs w:val="24"/>
          <w:highlight w:val="yellow"/>
        </w:rPr>
        <w:t>Rauscher et al., 2023</w:t>
      </w:r>
      <w:r w:rsidR="003E507B" w:rsidRPr="00BC6525">
        <w:rPr>
          <w:color w:val="000000"/>
          <w:sz w:val="24"/>
          <w:szCs w:val="24"/>
          <w:highlight w:val="yellow"/>
        </w:rPr>
        <w:t xml:space="preserve">). </w:t>
      </w:r>
    </w:p>
    <w:p w14:paraId="2D4A1937" w14:textId="77777777" w:rsidR="00AF2809" w:rsidRDefault="00394D71" w:rsidP="003E507B">
      <w:pPr>
        <w:pBdr>
          <w:top w:val="nil"/>
          <w:left w:val="nil"/>
          <w:bottom w:val="nil"/>
          <w:right w:val="nil"/>
          <w:between w:val="nil"/>
        </w:pBdr>
        <w:tabs>
          <w:tab w:val="left" w:pos="9356"/>
        </w:tabs>
        <w:spacing w:before="159" w:line="259" w:lineRule="auto"/>
        <w:ind w:right="1155"/>
        <w:jc w:val="both"/>
        <w:rPr>
          <w:color w:val="000000"/>
          <w:sz w:val="24"/>
          <w:szCs w:val="24"/>
        </w:rPr>
      </w:pPr>
      <w:r w:rsidRPr="00BC6525">
        <w:rPr>
          <w:color w:val="000000"/>
          <w:sz w:val="24"/>
          <w:szCs w:val="24"/>
          <w:highlight w:val="yellow"/>
        </w:rPr>
        <w:t xml:space="preserve">      3. </w:t>
      </w:r>
      <w:r w:rsidR="003E507B" w:rsidRPr="00BC6525">
        <w:rPr>
          <w:color w:val="000000"/>
          <w:sz w:val="24"/>
          <w:szCs w:val="24"/>
          <w:highlight w:val="yellow"/>
        </w:rPr>
        <w:t xml:space="preserve">The 2022 EU </w:t>
      </w:r>
      <w:r w:rsidRPr="00BC6525">
        <w:rPr>
          <w:color w:val="000000"/>
          <w:sz w:val="24"/>
          <w:szCs w:val="24"/>
          <w:highlight w:val="yellow"/>
        </w:rPr>
        <w:t>recommendation excludes</w:t>
      </w:r>
      <w:r w:rsidR="003E507B" w:rsidRPr="00BC6525">
        <w:rPr>
          <w:color w:val="000000"/>
          <w:sz w:val="24"/>
          <w:szCs w:val="24"/>
          <w:highlight w:val="yellow"/>
        </w:rPr>
        <w:t xml:space="preserve"> materials with a volume specific surface area (VSSA) of less than 6 m2 cm−3 from the nanomaterials (Commission Recommendation, (2022/C 229/01)</w:t>
      </w:r>
    </w:p>
    <w:p w14:paraId="5B5B4196" w14:textId="77777777" w:rsidR="00DF7E98" w:rsidRDefault="00DF7E98" w:rsidP="003E507B">
      <w:pPr>
        <w:pBdr>
          <w:top w:val="nil"/>
          <w:left w:val="nil"/>
          <w:bottom w:val="nil"/>
          <w:right w:val="nil"/>
          <w:between w:val="nil"/>
        </w:pBdr>
        <w:tabs>
          <w:tab w:val="left" w:pos="9356"/>
        </w:tabs>
        <w:spacing w:before="159" w:line="259" w:lineRule="auto"/>
        <w:ind w:right="1155"/>
        <w:jc w:val="both"/>
        <w:rPr>
          <w:b/>
          <w:bCs/>
          <w:color w:val="000000"/>
          <w:sz w:val="24"/>
          <w:szCs w:val="24"/>
        </w:rPr>
      </w:pPr>
      <w:r w:rsidRPr="00DF7E98">
        <w:rPr>
          <w:b/>
          <w:bCs/>
          <w:color w:val="000000"/>
          <w:sz w:val="24"/>
          <w:szCs w:val="24"/>
        </w:rPr>
        <w:t>Types, Features and Uses of Nanoparticles</w:t>
      </w:r>
    </w:p>
    <w:p w14:paraId="02C97A01" w14:textId="77777777" w:rsidR="00DF7E98" w:rsidRDefault="00DF7E98" w:rsidP="003E507B">
      <w:pPr>
        <w:pBdr>
          <w:top w:val="nil"/>
          <w:left w:val="nil"/>
          <w:bottom w:val="nil"/>
          <w:right w:val="nil"/>
          <w:between w:val="nil"/>
        </w:pBdr>
        <w:tabs>
          <w:tab w:val="left" w:pos="9356"/>
        </w:tabs>
        <w:spacing w:before="159" w:line="259" w:lineRule="auto"/>
        <w:ind w:right="1155"/>
        <w:jc w:val="both"/>
        <w:rPr>
          <w:color w:val="000000"/>
          <w:sz w:val="24"/>
          <w:szCs w:val="24"/>
        </w:rPr>
      </w:pPr>
      <w:r w:rsidRPr="00A63E26">
        <w:rPr>
          <w:color w:val="000000"/>
          <w:sz w:val="24"/>
          <w:szCs w:val="24"/>
          <w:highlight w:val="yellow"/>
        </w:rPr>
        <w:t>Nanoparticles (NPs) can be classified mainly as organic and nonorganic. They have unique properties like high surface area, enabling applications in medicine (drug delivery, imaging), electronics (efficient components), cosmetics (UV protection, texture), and environmental cleanup (water/air purification), with types including metal (gold, silver), ceramic (oxides, carbides), carbon-based (fullerenes, nanotubes), and polymeric NPs, each offering specific features like antimicrobial activity, enhanced conductivity, or catalytic efficiency.  As medicine</w:t>
      </w:r>
      <w:r w:rsidR="00C5372F" w:rsidRPr="00A63E26">
        <w:rPr>
          <w:color w:val="000000"/>
          <w:sz w:val="24"/>
          <w:szCs w:val="24"/>
          <w:highlight w:val="yellow"/>
        </w:rPr>
        <w:t>,</w:t>
      </w:r>
      <w:r w:rsidRPr="00A63E26">
        <w:rPr>
          <w:color w:val="000000"/>
          <w:sz w:val="24"/>
          <w:szCs w:val="24"/>
          <w:highlight w:val="yellow"/>
        </w:rPr>
        <w:t xml:space="preserve"> they </w:t>
      </w:r>
      <w:r w:rsidR="00C5372F" w:rsidRPr="00A63E26">
        <w:rPr>
          <w:color w:val="000000"/>
          <w:sz w:val="24"/>
          <w:szCs w:val="24"/>
          <w:highlight w:val="yellow"/>
        </w:rPr>
        <w:t>are Biosensors</w:t>
      </w:r>
      <w:r w:rsidRPr="00A63E26">
        <w:rPr>
          <w:color w:val="000000"/>
          <w:sz w:val="24"/>
          <w:szCs w:val="24"/>
          <w:highlight w:val="yellow"/>
        </w:rPr>
        <w:t xml:space="preserve">, imaging, targeted therapies, </w:t>
      </w:r>
      <w:r w:rsidR="00C5372F" w:rsidRPr="00A63E26">
        <w:rPr>
          <w:color w:val="000000"/>
          <w:sz w:val="24"/>
          <w:szCs w:val="24"/>
          <w:highlight w:val="yellow"/>
        </w:rPr>
        <w:t xml:space="preserve">and </w:t>
      </w:r>
      <w:proofErr w:type="spellStart"/>
      <w:r w:rsidR="00C5372F" w:rsidRPr="00A63E26">
        <w:rPr>
          <w:color w:val="000000"/>
          <w:sz w:val="24"/>
          <w:szCs w:val="24"/>
          <w:highlight w:val="yellow"/>
        </w:rPr>
        <w:t>antibacterials</w:t>
      </w:r>
      <w:proofErr w:type="spellEnd"/>
      <w:r w:rsidRPr="00A63E26">
        <w:rPr>
          <w:color w:val="000000"/>
          <w:sz w:val="24"/>
          <w:szCs w:val="24"/>
          <w:highlight w:val="yellow"/>
        </w:rPr>
        <w:t>.</w:t>
      </w:r>
      <w:r w:rsidR="00C5372F" w:rsidRPr="00A63E26">
        <w:rPr>
          <w:color w:val="000000"/>
          <w:sz w:val="24"/>
          <w:szCs w:val="24"/>
          <w:highlight w:val="yellow"/>
        </w:rPr>
        <w:t xml:space="preserve"> As Cosmetics: used for Sunscreens (</w:t>
      </w:r>
      <w:proofErr w:type="spellStart"/>
      <w:r w:rsidR="00C5372F" w:rsidRPr="00A63E26">
        <w:rPr>
          <w:color w:val="000000"/>
          <w:sz w:val="24"/>
          <w:szCs w:val="24"/>
          <w:highlight w:val="yellow"/>
        </w:rPr>
        <w:t>ZnO</w:t>
      </w:r>
      <w:proofErr w:type="spellEnd"/>
      <w:r w:rsidR="00C5372F" w:rsidRPr="00A63E26">
        <w:rPr>
          <w:color w:val="000000"/>
          <w:sz w:val="24"/>
          <w:szCs w:val="24"/>
          <w:highlight w:val="yellow"/>
        </w:rPr>
        <w:t>, TiO2), anti-stain fabrics (Silver).</w:t>
      </w:r>
      <w:r w:rsidRPr="00A63E26">
        <w:rPr>
          <w:color w:val="000000"/>
          <w:sz w:val="24"/>
          <w:szCs w:val="24"/>
          <w:highlight w:val="yellow"/>
        </w:rPr>
        <w:t xml:space="preserve"> </w:t>
      </w:r>
      <w:r w:rsidR="00C5372F" w:rsidRPr="00A63E26">
        <w:rPr>
          <w:color w:val="000000"/>
          <w:sz w:val="24"/>
          <w:szCs w:val="24"/>
          <w:highlight w:val="yellow"/>
        </w:rPr>
        <w:t>It is used as a water purifier for the Environment (Table 1).</w:t>
      </w:r>
      <w:r w:rsidRPr="00C5372F">
        <w:rPr>
          <w:color w:val="000000"/>
          <w:sz w:val="24"/>
          <w:szCs w:val="24"/>
        </w:rPr>
        <w:t xml:space="preserve"> </w:t>
      </w:r>
    </w:p>
    <w:p w14:paraId="4D30DEB1" w14:textId="77777777" w:rsidR="00D13B4B" w:rsidRDefault="00D13B4B" w:rsidP="003E507B">
      <w:pPr>
        <w:pBdr>
          <w:top w:val="nil"/>
          <w:left w:val="nil"/>
          <w:bottom w:val="nil"/>
          <w:right w:val="nil"/>
          <w:between w:val="nil"/>
        </w:pBdr>
        <w:tabs>
          <w:tab w:val="left" w:pos="9356"/>
        </w:tabs>
        <w:spacing w:before="159" w:line="259" w:lineRule="auto"/>
        <w:ind w:right="1155"/>
        <w:jc w:val="both"/>
        <w:rPr>
          <w:color w:val="000000"/>
          <w:sz w:val="24"/>
          <w:szCs w:val="24"/>
        </w:rPr>
      </w:pPr>
    </w:p>
    <w:p w14:paraId="59AA8BBD" w14:textId="77777777" w:rsidR="00625E61" w:rsidRDefault="005C4DDE" w:rsidP="00347E8D">
      <w:pPr>
        <w:pBdr>
          <w:top w:val="nil"/>
          <w:left w:val="nil"/>
          <w:bottom w:val="nil"/>
          <w:right w:val="nil"/>
          <w:between w:val="nil"/>
        </w:pBdr>
        <w:tabs>
          <w:tab w:val="left" w:pos="9356"/>
        </w:tabs>
        <w:spacing w:before="66"/>
        <w:ind w:left="165"/>
        <w:rPr>
          <w:color w:val="000000"/>
          <w:sz w:val="24"/>
          <w:szCs w:val="24"/>
        </w:rPr>
      </w:pPr>
      <w:r>
        <w:rPr>
          <w:color w:val="000000"/>
          <w:sz w:val="24"/>
          <w:szCs w:val="24"/>
        </w:rPr>
        <w:t>Table 1: Classification of various Nanoparticles, their related Features and use</w:t>
      </w:r>
      <w:r>
        <w:rPr>
          <w:color w:val="000000"/>
          <w:sz w:val="24"/>
          <w:szCs w:val="24"/>
        </w:rPr>
        <w:t>s</w:t>
      </w:r>
    </w:p>
    <w:p w14:paraId="7EBFA966" w14:textId="77777777" w:rsidR="00625E61" w:rsidRDefault="00625E61" w:rsidP="00347E8D">
      <w:pPr>
        <w:pBdr>
          <w:top w:val="nil"/>
          <w:left w:val="nil"/>
          <w:bottom w:val="nil"/>
          <w:right w:val="nil"/>
          <w:between w:val="nil"/>
        </w:pBdr>
        <w:tabs>
          <w:tab w:val="left" w:pos="9356"/>
        </w:tabs>
        <w:spacing w:before="6"/>
        <w:rPr>
          <w:color w:val="000000"/>
          <w:sz w:val="15"/>
          <w:szCs w:val="15"/>
        </w:rPr>
      </w:pPr>
    </w:p>
    <w:tbl>
      <w:tblPr>
        <w:tblStyle w:val="a"/>
        <w:tblW w:w="988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1526"/>
        <w:gridCol w:w="1566"/>
        <w:gridCol w:w="1741"/>
        <w:gridCol w:w="3509"/>
      </w:tblGrid>
      <w:tr w:rsidR="00625E61" w14:paraId="48C9FE0B" w14:textId="77777777">
        <w:trPr>
          <w:trHeight w:val="550"/>
        </w:trPr>
        <w:tc>
          <w:tcPr>
            <w:tcW w:w="1546" w:type="dxa"/>
          </w:tcPr>
          <w:p w14:paraId="19D2A2CC" w14:textId="77777777" w:rsidR="00625E61" w:rsidRDefault="005C4DDE" w:rsidP="00347E8D">
            <w:pPr>
              <w:pBdr>
                <w:top w:val="nil"/>
                <w:left w:val="nil"/>
                <w:bottom w:val="nil"/>
                <w:right w:val="nil"/>
                <w:between w:val="nil"/>
              </w:pBdr>
              <w:tabs>
                <w:tab w:val="left" w:pos="9356"/>
              </w:tabs>
              <w:spacing w:before="1"/>
              <w:ind w:left="105"/>
              <w:rPr>
                <w:color w:val="000000"/>
                <w:sz w:val="24"/>
                <w:szCs w:val="24"/>
              </w:rPr>
            </w:pPr>
            <w:r>
              <w:rPr>
                <w:color w:val="000000"/>
                <w:sz w:val="24"/>
                <w:szCs w:val="24"/>
              </w:rPr>
              <w:t>Category</w:t>
            </w:r>
          </w:p>
        </w:tc>
        <w:tc>
          <w:tcPr>
            <w:tcW w:w="1526" w:type="dxa"/>
          </w:tcPr>
          <w:p w14:paraId="40BC1F96" w14:textId="77777777" w:rsidR="00625E61" w:rsidRDefault="005C4DDE" w:rsidP="00347E8D">
            <w:pPr>
              <w:pBdr>
                <w:top w:val="nil"/>
                <w:left w:val="nil"/>
                <w:bottom w:val="nil"/>
                <w:right w:val="nil"/>
                <w:between w:val="nil"/>
              </w:pBdr>
              <w:tabs>
                <w:tab w:val="left" w:pos="9356"/>
              </w:tabs>
              <w:spacing w:before="1" w:line="275" w:lineRule="auto"/>
              <w:ind w:left="110"/>
              <w:rPr>
                <w:color w:val="000000"/>
                <w:sz w:val="24"/>
                <w:szCs w:val="24"/>
              </w:rPr>
            </w:pPr>
            <w:r>
              <w:rPr>
                <w:color w:val="000000"/>
                <w:sz w:val="24"/>
                <w:szCs w:val="24"/>
              </w:rPr>
              <w:t>Type of</w:t>
            </w:r>
          </w:p>
          <w:p w14:paraId="0C148F2B" w14:textId="77777777" w:rsidR="00625E61" w:rsidRDefault="005C4DDE" w:rsidP="00347E8D">
            <w:pPr>
              <w:pBdr>
                <w:top w:val="nil"/>
                <w:left w:val="nil"/>
                <w:bottom w:val="nil"/>
                <w:right w:val="nil"/>
                <w:between w:val="nil"/>
              </w:pBdr>
              <w:tabs>
                <w:tab w:val="left" w:pos="9356"/>
              </w:tabs>
              <w:spacing w:line="254" w:lineRule="auto"/>
              <w:ind w:left="110"/>
              <w:rPr>
                <w:color w:val="000000"/>
                <w:sz w:val="24"/>
                <w:szCs w:val="24"/>
              </w:rPr>
            </w:pPr>
            <w:r>
              <w:rPr>
                <w:color w:val="000000"/>
                <w:sz w:val="24"/>
                <w:szCs w:val="24"/>
              </w:rPr>
              <w:t>Nanoparticle</w:t>
            </w:r>
          </w:p>
        </w:tc>
        <w:tc>
          <w:tcPr>
            <w:tcW w:w="1566" w:type="dxa"/>
          </w:tcPr>
          <w:p w14:paraId="0BC517A7" w14:textId="77777777" w:rsidR="00625E61" w:rsidRDefault="005C4DDE" w:rsidP="00347E8D">
            <w:pPr>
              <w:pBdr>
                <w:top w:val="nil"/>
                <w:left w:val="nil"/>
                <w:bottom w:val="nil"/>
                <w:right w:val="nil"/>
                <w:between w:val="nil"/>
              </w:pBdr>
              <w:tabs>
                <w:tab w:val="left" w:pos="9356"/>
              </w:tabs>
              <w:spacing w:before="1" w:line="275" w:lineRule="auto"/>
              <w:ind w:left="109"/>
              <w:rPr>
                <w:color w:val="000000"/>
                <w:sz w:val="24"/>
                <w:szCs w:val="24"/>
              </w:rPr>
            </w:pPr>
            <w:r>
              <w:rPr>
                <w:color w:val="000000"/>
                <w:sz w:val="24"/>
                <w:szCs w:val="24"/>
              </w:rPr>
              <w:t>Composition</w:t>
            </w:r>
          </w:p>
          <w:p w14:paraId="23290988" w14:textId="77777777" w:rsidR="00625E61" w:rsidRDefault="005C4DDE" w:rsidP="00347E8D">
            <w:pPr>
              <w:pBdr>
                <w:top w:val="nil"/>
                <w:left w:val="nil"/>
                <w:bottom w:val="nil"/>
                <w:right w:val="nil"/>
                <w:between w:val="nil"/>
              </w:pBdr>
              <w:tabs>
                <w:tab w:val="left" w:pos="9356"/>
              </w:tabs>
              <w:spacing w:line="254" w:lineRule="auto"/>
              <w:ind w:left="109"/>
              <w:rPr>
                <w:color w:val="000000"/>
                <w:sz w:val="24"/>
                <w:szCs w:val="24"/>
              </w:rPr>
            </w:pPr>
            <w:r>
              <w:rPr>
                <w:color w:val="000000"/>
                <w:sz w:val="24"/>
                <w:szCs w:val="24"/>
              </w:rPr>
              <w:t>/ Structure</w:t>
            </w:r>
          </w:p>
        </w:tc>
        <w:tc>
          <w:tcPr>
            <w:tcW w:w="1741" w:type="dxa"/>
          </w:tcPr>
          <w:p w14:paraId="785F7228" w14:textId="77777777" w:rsidR="00625E61" w:rsidRDefault="005C4DDE" w:rsidP="00347E8D">
            <w:pPr>
              <w:pBdr>
                <w:top w:val="nil"/>
                <w:left w:val="nil"/>
                <w:bottom w:val="nil"/>
                <w:right w:val="nil"/>
                <w:between w:val="nil"/>
              </w:pBdr>
              <w:tabs>
                <w:tab w:val="left" w:pos="9356"/>
              </w:tabs>
              <w:spacing w:line="276" w:lineRule="auto"/>
              <w:ind w:left="104" w:right="367"/>
              <w:rPr>
                <w:color w:val="000000"/>
                <w:sz w:val="24"/>
                <w:szCs w:val="24"/>
              </w:rPr>
            </w:pPr>
            <w:r>
              <w:rPr>
                <w:color w:val="000000"/>
                <w:sz w:val="24"/>
                <w:szCs w:val="24"/>
              </w:rPr>
              <w:t>Major Food- Related Uses</w:t>
            </w:r>
          </w:p>
        </w:tc>
        <w:tc>
          <w:tcPr>
            <w:tcW w:w="3509" w:type="dxa"/>
          </w:tcPr>
          <w:p w14:paraId="00AB5AE0" w14:textId="77777777" w:rsidR="00625E61" w:rsidRDefault="005C4DDE" w:rsidP="00347E8D">
            <w:pPr>
              <w:pBdr>
                <w:top w:val="nil"/>
                <w:left w:val="nil"/>
                <w:bottom w:val="nil"/>
                <w:right w:val="nil"/>
                <w:between w:val="nil"/>
              </w:pBdr>
              <w:tabs>
                <w:tab w:val="left" w:pos="9356"/>
              </w:tabs>
              <w:spacing w:before="1"/>
              <w:ind w:left="108"/>
              <w:rPr>
                <w:color w:val="000000"/>
                <w:sz w:val="24"/>
                <w:szCs w:val="24"/>
              </w:rPr>
            </w:pPr>
            <w:r>
              <w:rPr>
                <w:color w:val="000000"/>
                <w:sz w:val="24"/>
                <w:szCs w:val="24"/>
              </w:rPr>
              <w:t>GIT Fate &amp; Toxicity Features</w:t>
            </w:r>
          </w:p>
        </w:tc>
      </w:tr>
      <w:tr w:rsidR="00625E61" w14:paraId="729C651B" w14:textId="77777777">
        <w:trPr>
          <w:trHeight w:val="1378"/>
        </w:trPr>
        <w:tc>
          <w:tcPr>
            <w:tcW w:w="1546" w:type="dxa"/>
          </w:tcPr>
          <w:p w14:paraId="0823CE75" w14:textId="77777777" w:rsidR="00625E61" w:rsidRDefault="005C4DDE" w:rsidP="00347E8D">
            <w:pPr>
              <w:pBdr>
                <w:top w:val="nil"/>
                <w:left w:val="nil"/>
                <w:bottom w:val="nil"/>
                <w:right w:val="nil"/>
                <w:between w:val="nil"/>
              </w:pBdr>
              <w:tabs>
                <w:tab w:val="left" w:pos="9356"/>
              </w:tabs>
              <w:ind w:left="105" w:right="517"/>
              <w:rPr>
                <w:color w:val="000000"/>
                <w:sz w:val="24"/>
                <w:szCs w:val="24"/>
              </w:rPr>
            </w:pPr>
            <w:r>
              <w:rPr>
                <w:color w:val="000000"/>
                <w:sz w:val="24"/>
                <w:szCs w:val="24"/>
              </w:rPr>
              <w:lastRenderedPageBreak/>
              <w:t>Inorganic Nano-</w:t>
            </w:r>
          </w:p>
          <w:p w14:paraId="60B41101" w14:textId="77777777" w:rsidR="00625E61" w:rsidRDefault="005C4DDE" w:rsidP="00347E8D">
            <w:pPr>
              <w:pBdr>
                <w:top w:val="nil"/>
                <w:left w:val="nil"/>
                <w:bottom w:val="nil"/>
                <w:right w:val="nil"/>
                <w:between w:val="nil"/>
              </w:pBdr>
              <w:tabs>
                <w:tab w:val="left" w:pos="9356"/>
              </w:tabs>
              <w:spacing w:line="274" w:lineRule="auto"/>
              <w:ind w:left="105"/>
              <w:rPr>
                <w:color w:val="000000"/>
                <w:sz w:val="24"/>
                <w:szCs w:val="24"/>
              </w:rPr>
            </w:pPr>
            <w:r>
              <w:rPr>
                <w:color w:val="000000"/>
                <w:sz w:val="24"/>
                <w:szCs w:val="24"/>
              </w:rPr>
              <w:t>particles</w:t>
            </w:r>
          </w:p>
        </w:tc>
        <w:tc>
          <w:tcPr>
            <w:tcW w:w="1526" w:type="dxa"/>
          </w:tcPr>
          <w:p w14:paraId="76FD3D89" w14:textId="77777777" w:rsidR="00625E61" w:rsidRDefault="005C4DDE" w:rsidP="00347E8D">
            <w:pPr>
              <w:pBdr>
                <w:top w:val="nil"/>
                <w:left w:val="nil"/>
                <w:bottom w:val="nil"/>
                <w:right w:val="nil"/>
                <w:between w:val="nil"/>
              </w:pBdr>
              <w:tabs>
                <w:tab w:val="left" w:pos="9356"/>
              </w:tabs>
              <w:spacing w:line="275" w:lineRule="auto"/>
              <w:ind w:left="110"/>
              <w:rPr>
                <w:color w:val="000000"/>
                <w:sz w:val="24"/>
                <w:szCs w:val="24"/>
              </w:rPr>
            </w:pPr>
            <w:r>
              <w:rPr>
                <w:color w:val="000000"/>
                <w:sz w:val="24"/>
                <w:szCs w:val="24"/>
              </w:rPr>
              <w:t>Silver</w:t>
            </w:r>
          </w:p>
          <w:p w14:paraId="6C2E995E" w14:textId="77777777" w:rsidR="00625E61" w:rsidRDefault="005C4DDE" w:rsidP="00347E8D">
            <w:pPr>
              <w:pBdr>
                <w:top w:val="nil"/>
                <w:left w:val="nil"/>
                <w:bottom w:val="nil"/>
                <w:right w:val="nil"/>
                <w:between w:val="nil"/>
              </w:pBdr>
              <w:tabs>
                <w:tab w:val="left" w:pos="9356"/>
              </w:tabs>
              <w:ind w:left="110"/>
              <w:rPr>
                <w:color w:val="000000"/>
                <w:sz w:val="24"/>
                <w:szCs w:val="24"/>
              </w:rPr>
            </w:pPr>
            <w:r>
              <w:rPr>
                <w:color w:val="000000"/>
                <w:sz w:val="24"/>
                <w:szCs w:val="24"/>
              </w:rPr>
              <w:t>nanoparticles (Ag NPs)</w:t>
            </w:r>
          </w:p>
        </w:tc>
        <w:tc>
          <w:tcPr>
            <w:tcW w:w="1566" w:type="dxa"/>
          </w:tcPr>
          <w:p w14:paraId="52BE9ADE" w14:textId="77777777" w:rsidR="00625E61" w:rsidRDefault="005C4DDE" w:rsidP="00347E8D">
            <w:pPr>
              <w:pBdr>
                <w:top w:val="nil"/>
                <w:left w:val="nil"/>
                <w:bottom w:val="nil"/>
                <w:right w:val="nil"/>
                <w:between w:val="nil"/>
              </w:pBdr>
              <w:tabs>
                <w:tab w:val="left" w:pos="9356"/>
              </w:tabs>
              <w:ind w:left="109" w:right="643"/>
              <w:rPr>
                <w:color w:val="000000"/>
                <w:sz w:val="24"/>
                <w:szCs w:val="24"/>
              </w:rPr>
            </w:pPr>
            <w:r>
              <w:rPr>
                <w:color w:val="000000"/>
                <w:sz w:val="24"/>
                <w:szCs w:val="24"/>
              </w:rPr>
              <w:t>Metallic silver;</w:t>
            </w:r>
          </w:p>
          <w:p w14:paraId="754809E4" w14:textId="77777777" w:rsidR="00625E61" w:rsidRDefault="005C4DDE" w:rsidP="00347E8D">
            <w:pPr>
              <w:pBdr>
                <w:top w:val="nil"/>
                <w:left w:val="nil"/>
                <w:bottom w:val="nil"/>
                <w:right w:val="nil"/>
                <w:between w:val="nil"/>
              </w:pBdr>
              <w:tabs>
                <w:tab w:val="left" w:pos="9356"/>
              </w:tabs>
              <w:spacing w:line="242" w:lineRule="auto"/>
              <w:ind w:left="109" w:right="176"/>
              <w:rPr>
                <w:color w:val="000000"/>
                <w:sz w:val="24"/>
                <w:szCs w:val="24"/>
              </w:rPr>
            </w:pPr>
            <w:r>
              <w:rPr>
                <w:color w:val="000000"/>
                <w:sz w:val="24"/>
                <w:szCs w:val="24"/>
              </w:rPr>
              <w:t>variable size, shape</w:t>
            </w:r>
          </w:p>
        </w:tc>
        <w:tc>
          <w:tcPr>
            <w:tcW w:w="1741" w:type="dxa"/>
          </w:tcPr>
          <w:p w14:paraId="67B06876" w14:textId="77777777" w:rsidR="00625E61" w:rsidRDefault="005C4DDE" w:rsidP="00347E8D">
            <w:pPr>
              <w:pBdr>
                <w:top w:val="nil"/>
                <w:left w:val="nil"/>
                <w:bottom w:val="nil"/>
                <w:right w:val="nil"/>
                <w:between w:val="nil"/>
              </w:pBdr>
              <w:tabs>
                <w:tab w:val="left" w:pos="9356"/>
              </w:tabs>
              <w:ind w:left="104" w:right="349"/>
              <w:rPr>
                <w:color w:val="000000"/>
                <w:sz w:val="24"/>
                <w:szCs w:val="24"/>
              </w:rPr>
            </w:pPr>
            <w:r>
              <w:rPr>
                <w:color w:val="000000"/>
                <w:sz w:val="24"/>
                <w:szCs w:val="24"/>
              </w:rPr>
              <w:t>Antibacterial agents; food packaging</w:t>
            </w:r>
          </w:p>
          <w:p w14:paraId="75A461C9" w14:textId="77777777" w:rsidR="00625E61" w:rsidRDefault="005C4DDE" w:rsidP="00347E8D">
            <w:pPr>
              <w:pBdr>
                <w:top w:val="nil"/>
                <w:left w:val="nil"/>
                <w:bottom w:val="nil"/>
                <w:right w:val="nil"/>
                <w:between w:val="nil"/>
              </w:pBdr>
              <w:tabs>
                <w:tab w:val="left" w:pos="9356"/>
              </w:tabs>
              <w:spacing w:line="276" w:lineRule="auto"/>
              <w:ind w:left="104" w:right="349"/>
              <w:rPr>
                <w:color w:val="000000"/>
                <w:sz w:val="24"/>
                <w:szCs w:val="24"/>
              </w:rPr>
            </w:pPr>
            <w:r>
              <w:rPr>
                <w:color w:val="000000"/>
                <w:sz w:val="24"/>
                <w:szCs w:val="24"/>
              </w:rPr>
              <w:t xml:space="preserve">(containers, </w:t>
            </w:r>
            <w:r>
              <w:rPr>
                <w:color w:val="000000"/>
                <w:sz w:val="24"/>
                <w:szCs w:val="24"/>
              </w:rPr>
              <w:t>storage bags)</w:t>
            </w:r>
          </w:p>
        </w:tc>
        <w:tc>
          <w:tcPr>
            <w:tcW w:w="3509" w:type="dxa"/>
          </w:tcPr>
          <w:p w14:paraId="3E4863F1" w14:textId="77777777" w:rsidR="00625E61" w:rsidRDefault="005C4DDE" w:rsidP="00347E8D">
            <w:pPr>
              <w:pBdr>
                <w:top w:val="nil"/>
                <w:left w:val="nil"/>
                <w:bottom w:val="nil"/>
                <w:right w:val="nil"/>
                <w:between w:val="nil"/>
              </w:pBdr>
              <w:tabs>
                <w:tab w:val="left" w:pos="9356"/>
              </w:tabs>
              <w:ind w:left="108"/>
              <w:rPr>
                <w:color w:val="000000"/>
                <w:sz w:val="24"/>
                <w:szCs w:val="24"/>
              </w:rPr>
            </w:pPr>
            <w:r>
              <w:rPr>
                <w:color w:val="000000"/>
                <w:sz w:val="24"/>
                <w:szCs w:val="24"/>
              </w:rPr>
              <w:t>May migrate into food; small % absorbed; can accumulate in GIT,</w:t>
            </w:r>
          </w:p>
          <w:p w14:paraId="7A2EDB34" w14:textId="77777777" w:rsidR="00625E61" w:rsidRDefault="005C4DDE" w:rsidP="00347E8D">
            <w:pPr>
              <w:pBdr>
                <w:top w:val="nil"/>
                <w:left w:val="nil"/>
                <w:bottom w:val="nil"/>
                <w:right w:val="nil"/>
                <w:between w:val="nil"/>
              </w:pBdr>
              <w:tabs>
                <w:tab w:val="left" w:pos="9356"/>
              </w:tabs>
              <w:spacing w:line="274" w:lineRule="auto"/>
              <w:ind w:left="108"/>
              <w:rPr>
                <w:color w:val="000000"/>
                <w:sz w:val="24"/>
                <w:szCs w:val="24"/>
              </w:rPr>
            </w:pPr>
            <w:r>
              <w:rPr>
                <w:color w:val="000000"/>
                <w:sz w:val="24"/>
                <w:szCs w:val="24"/>
              </w:rPr>
              <w:t>liver, kidney; may cause liver/kidney changes in high doses; &lt;1% retained in tissues.</w:t>
            </w:r>
          </w:p>
        </w:tc>
      </w:tr>
      <w:tr w:rsidR="00625E61" w14:paraId="633CEC8B" w14:textId="77777777">
        <w:trPr>
          <w:trHeight w:val="1928"/>
        </w:trPr>
        <w:tc>
          <w:tcPr>
            <w:tcW w:w="1546" w:type="dxa"/>
          </w:tcPr>
          <w:p w14:paraId="74DFA987"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526" w:type="dxa"/>
          </w:tcPr>
          <w:p w14:paraId="43778F76" w14:textId="77777777" w:rsidR="00625E61" w:rsidRDefault="005C4DDE" w:rsidP="00347E8D">
            <w:pPr>
              <w:pBdr>
                <w:top w:val="nil"/>
                <w:left w:val="nil"/>
                <w:bottom w:val="nil"/>
                <w:right w:val="nil"/>
                <w:between w:val="nil"/>
              </w:pBdr>
              <w:tabs>
                <w:tab w:val="left" w:pos="9356"/>
              </w:tabs>
              <w:ind w:left="110"/>
              <w:rPr>
                <w:color w:val="000000"/>
                <w:sz w:val="24"/>
                <w:szCs w:val="24"/>
              </w:rPr>
            </w:pPr>
            <w:r>
              <w:rPr>
                <w:color w:val="000000"/>
                <w:sz w:val="24"/>
                <w:szCs w:val="24"/>
              </w:rPr>
              <w:t>Titanium dioxide</w:t>
            </w:r>
          </w:p>
          <w:p w14:paraId="5CC77F9A" w14:textId="77777777" w:rsidR="00625E61" w:rsidRDefault="005C4DDE" w:rsidP="00347E8D">
            <w:pPr>
              <w:pBdr>
                <w:top w:val="nil"/>
                <w:left w:val="nil"/>
                <w:bottom w:val="nil"/>
                <w:right w:val="nil"/>
                <w:between w:val="nil"/>
              </w:pBdr>
              <w:tabs>
                <w:tab w:val="left" w:pos="9356"/>
              </w:tabs>
              <w:spacing w:line="242" w:lineRule="auto"/>
              <w:ind w:left="110"/>
              <w:rPr>
                <w:color w:val="000000"/>
                <w:sz w:val="24"/>
                <w:szCs w:val="24"/>
              </w:rPr>
            </w:pPr>
            <w:r>
              <w:rPr>
                <w:color w:val="000000"/>
                <w:sz w:val="24"/>
                <w:szCs w:val="24"/>
              </w:rPr>
              <w:t>nanoparticles (</w:t>
            </w:r>
            <w:proofErr w:type="spellStart"/>
            <w:r>
              <w:rPr>
                <w:color w:val="000000"/>
                <w:sz w:val="24"/>
                <w:szCs w:val="24"/>
              </w:rPr>
              <w:t>TiO</w:t>
            </w:r>
            <w:proofErr w:type="spellEnd"/>
            <w:r>
              <w:rPr>
                <w:color w:val="000000"/>
                <w:sz w:val="24"/>
                <w:szCs w:val="24"/>
              </w:rPr>
              <w:t>₂)</w:t>
            </w:r>
          </w:p>
        </w:tc>
        <w:tc>
          <w:tcPr>
            <w:tcW w:w="1566" w:type="dxa"/>
          </w:tcPr>
          <w:p w14:paraId="6C7719B3" w14:textId="77777777" w:rsidR="00625E61" w:rsidRDefault="005C4DDE" w:rsidP="00347E8D">
            <w:pPr>
              <w:pBdr>
                <w:top w:val="nil"/>
                <w:left w:val="nil"/>
                <w:bottom w:val="nil"/>
                <w:right w:val="nil"/>
                <w:between w:val="nil"/>
              </w:pBdr>
              <w:tabs>
                <w:tab w:val="left" w:pos="9356"/>
              </w:tabs>
              <w:spacing w:line="275" w:lineRule="auto"/>
              <w:ind w:left="109"/>
              <w:rPr>
                <w:color w:val="000000"/>
                <w:sz w:val="24"/>
                <w:szCs w:val="24"/>
              </w:rPr>
            </w:pPr>
            <w:r>
              <w:rPr>
                <w:color w:val="000000"/>
                <w:sz w:val="24"/>
                <w:szCs w:val="24"/>
              </w:rPr>
              <w:t>Crystalline</w:t>
            </w:r>
          </w:p>
          <w:p w14:paraId="3021D14E" w14:textId="77777777" w:rsidR="00625E61" w:rsidRDefault="005C4DDE" w:rsidP="00347E8D">
            <w:pPr>
              <w:pBdr>
                <w:top w:val="nil"/>
                <w:left w:val="nil"/>
                <w:bottom w:val="nil"/>
                <w:right w:val="nil"/>
                <w:between w:val="nil"/>
              </w:pBdr>
              <w:tabs>
                <w:tab w:val="left" w:pos="9356"/>
              </w:tabs>
              <w:ind w:left="109"/>
              <w:rPr>
                <w:color w:val="000000"/>
                <w:sz w:val="24"/>
                <w:szCs w:val="24"/>
              </w:rPr>
            </w:pPr>
            <w:r>
              <w:rPr>
                <w:color w:val="000000"/>
                <w:sz w:val="24"/>
                <w:szCs w:val="24"/>
              </w:rPr>
              <w:t>anatase/rutile; 100–300 nm,</w:t>
            </w:r>
          </w:p>
          <w:p w14:paraId="1C6758C2" w14:textId="77777777" w:rsidR="00625E61" w:rsidRDefault="005C4DDE" w:rsidP="00347E8D">
            <w:pPr>
              <w:pBdr>
                <w:top w:val="nil"/>
                <w:left w:val="nil"/>
                <w:bottom w:val="nil"/>
                <w:right w:val="nil"/>
                <w:between w:val="nil"/>
              </w:pBdr>
              <w:tabs>
                <w:tab w:val="left" w:pos="9356"/>
              </w:tabs>
              <w:spacing w:before="3" w:line="275" w:lineRule="auto"/>
              <w:ind w:left="109"/>
              <w:rPr>
                <w:color w:val="000000"/>
                <w:sz w:val="24"/>
                <w:szCs w:val="24"/>
              </w:rPr>
            </w:pPr>
            <w:r>
              <w:rPr>
                <w:color w:val="000000"/>
                <w:sz w:val="24"/>
                <w:szCs w:val="24"/>
              </w:rPr>
              <w:t>but many</w:t>
            </w:r>
          </w:p>
          <w:p w14:paraId="43C4BF87" w14:textId="77777777" w:rsidR="00625E61" w:rsidRDefault="005C4DDE" w:rsidP="00347E8D">
            <w:pPr>
              <w:pBdr>
                <w:top w:val="nil"/>
                <w:left w:val="nil"/>
                <w:bottom w:val="nil"/>
                <w:right w:val="nil"/>
                <w:between w:val="nil"/>
              </w:pBdr>
              <w:tabs>
                <w:tab w:val="left" w:pos="9356"/>
              </w:tabs>
              <w:spacing w:line="275" w:lineRule="auto"/>
              <w:ind w:left="109"/>
              <w:rPr>
                <w:color w:val="000000"/>
                <w:sz w:val="24"/>
                <w:szCs w:val="24"/>
              </w:rPr>
            </w:pPr>
            <w:r>
              <w:rPr>
                <w:color w:val="000000"/>
                <w:sz w:val="24"/>
                <w:szCs w:val="24"/>
              </w:rPr>
              <w:t>&lt;100 nm</w:t>
            </w:r>
          </w:p>
        </w:tc>
        <w:tc>
          <w:tcPr>
            <w:tcW w:w="1741" w:type="dxa"/>
          </w:tcPr>
          <w:p w14:paraId="6DF46898" w14:textId="77777777" w:rsidR="00625E61" w:rsidRDefault="005C4DDE" w:rsidP="00347E8D">
            <w:pPr>
              <w:pBdr>
                <w:top w:val="nil"/>
                <w:left w:val="nil"/>
                <w:bottom w:val="nil"/>
                <w:right w:val="nil"/>
                <w:between w:val="nil"/>
              </w:pBdr>
              <w:tabs>
                <w:tab w:val="left" w:pos="9356"/>
              </w:tabs>
              <w:ind w:left="104" w:right="108"/>
              <w:jc w:val="both"/>
              <w:rPr>
                <w:color w:val="000000"/>
                <w:sz w:val="24"/>
                <w:szCs w:val="24"/>
              </w:rPr>
            </w:pPr>
            <w:r>
              <w:rPr>
                <w:color w:val="000000"/>
                <w:sz w:val="24"/>
                <w:szCs w:val="24"/>
              </w:rPr>
              <w:t xml:space="preserve">Whitening/light </w:t>
            </w:r>
            <w:proofErr w:type="spellStart"/>
            <w:r>
              <w:rPr>
                <w:color w:val="000000"/>
                <w:sz w:val="24"/>
                <w:szCs w:val="24"/>
              </w:rPr>
              <w:t>ening</w:t>
            </w:r>
            <w:proofErr w:type="spellEnd"/>
            <w:r>
              <w:rPr>
                <w:color w:val="000000"/>
                <w:sz w:val="24"/>
                <w:szCs w:val="24"/>
              </w:rPr>
              <w:t xml:space="preserve"> agent</w:t>
            </w:r>
          </w:p>
          <w:p w14:paraId="545D8528" w14:textId="77777777" w:rsidR="00625E61" w:rsidRDefault="005C4DDE" w:rsidP="00347E8D">
            <w:pPr>
              <w:pBdr>
                <w:top w:val="nil"/>
                <w:left w:val="nil"/>
                <w:bottom w:val="nil"/>
                <w:right w:val="nil"/>
                <w:between w:val="nil"/>
              </w:pBdr>
              <w:tabs>
                <w:tab w:val="left" w:pos="9356"/>
              </w:tabs>
              <w:spacing w:line="242" w:lineRule="auto"/>
              <w:ind w:left="104" w:right="164"/>
              <w:jc w:val="both"/>
              <w:rPr>
                <w:color w:val="000000"/>
                <w:sz w:val="24"/>
                <w:szCs w:val="24"/>
              </w:rPr>
            </w:pPr>
            <w:r>
              <w:rPr>
                <w:color w:val="000000"/>
                <w:sz w:val="24"/>
                <w:szCs w:val="24"/>
              </w:rPr>
              <w:t>(E171); high in candies, gums, desserts</w:t>
            </w:r>
          </w:p>
        </w:tc>
        <w:tc>
          <w:tcPr>
            <w:tcW w:w="3509" w:type="dxa"/>
          </w:tcPr>
          <w:p w14:paraId="637038B9" w14:textId="49F15842" w:rsidR="00625E61" w:rsidRDefault="00D13B4B" w:rsidP="00D13B4B">
            <w:pPr>
              <w:pBdr>
                <w:top w:val="nil"/>
                <w:left w:val="nil"/>
                <w:bottom w:val="nil"/>
                <w:right w:val="nil"/>
                <w:between w:val="nil"/>
              </w:pBdr>
              <w:tabs>
                <w:tab w:val="left" w:pos="9356"/>
              </w:tabs>
              <w:ind w:left="108" w:right="157"/>
              <w:rPr>
                <w:color w:val="000000"/>
                <w:sz w:val="24"/>
                <w:szCs w:val="24"/>
              </w:rPr>
            </w:pPr>
            <w:r>
              <w:rPr>
                <w:color w:val="000000"/>
                <w:sz w:val="24"/>
                <w:szCs w:val="24"/>
              </w:rPr>
              <w:t xml:space="preserve">Studies show accrual in the liver, spleen, and kidney; potential liver, </w:t>
            </w:r>
            <w:proofErr w:type="gramStart"/>
            <w:r>
              <w:rPr>
                <w:color w:val="000000"/>
                <w:sz w:val="24"/>
                <w:szCs w:val="24"/>
              </w:rPr>
              <w:t>cardiac,  immune</w:t>
            </w:r>
            <w:proofErr w:type="gramEnd"/>
            <w:r>
              <w:rPr>
                <w:color w:val="000000"/>
                <w:sz w:val="24"/>
                <w:szCs w:val="24"/>
              </w:rPr>
              <w:t xml:space="preserve"> toxicity; others show minimal absorption and </w:t>
            </w:r>
            <w:proofErr w:type="spellStart"/>
            <w:r>
              <w:rPr>
                <w:color w:val="000000"/>
                <w:sz w:val="24"/>
                <w:szCs w:val="24"/>
              </w:rPr>
              <w:t>faecal</w:t>
            </w:r>
            <w:proofErr w:type="spellEnd"/>
            <w:r>
              <w:rPr>
                <w:color w:val="000000"/>
                <w:sz w:val="24"/>
                <w:szCs w:val="24"/>
              </w:rPr>
              <w:t xml:space="preserve"> excretion; toxicity influenced by size, crystal form, age, and food matrix.</w:t>
            </w:r>
          </w:p>
        </w:tc>
      </w:tr>
      <w:tr w:rsidR="00625E61" w14:paraId="65DDEE31" w14:textId="77777777" w:rsidTr="00D13B4B">
        <w:trPr>
          <w:trHeight w:val="1398"/>
        </w:trPr>
        <w:tc>
          <w:tcPr>
            <w:tcW w:w="1546" w:type="dxa"/>
          </w:tcPr>
          <w:p w14:paraId="334B7A72"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526" w:type="dxa"/>
          </w:tcPr>
          <w:p w14:paraId="71A53B1B" w14:textId="77777777" w:rsidR="00625E61" w:rsidRDefault="005C4DDE" w:rsidP="00347E8D">
            <w:pPr>
              <w:pBdr>
                <w:top w:val="nil"/>
                <w:left w:val="nil"/>
                <w:bottom w:val="nil"/>
                <w:right w:val="nil"/>
                <w:between w:val="nil"/>
              </w:pBdr>
              <w:tabs>
                <w:tab w:val="left" w:pos="9356"/>
              </w:tabs>
              <w:spacing w:before="1" w:line="275" w:lineRule="auto"/>
              <w:ind w:left="110"/>
              <w:rPr>
                <w:color w:val="000000"/>
                <w:sz w:val="24"/>
                <w:szCs w:val="24"/>
              </w:rPr>
            </w:pPr>
            <w:r>
              <w:rPr>
                <w:color w:val="000000"/>
                <w:sz w:val="24"/>
                <w:szCs w:val="24"/>
              </w:rPr>
              <w:t>Iron oxide</w:t>
            </w:r>
          </w:p>
          <w:p w14:paraId="6AD976E3" w14:textId="77777777" w:rsidR="00625E61" w:rsidRDefault="005C4DDE" w:rsidP="00347E8D">
            <w:pPr>
              <w:pBdr>
                <w:top w:val="nil"/>
                <w:left w:val="nil"/>
                <w:bottom w:val="nil"/>
                <w:right w:val="nil"/>
                <w:between w:val="nil"/>
              </w:pBdr>
              <w:tabs>
                <w:tab w:val="left" w:pos="9356"/>
              </w:tabs>
              <w:spacing w:line="242" w:lineRule="auto"/>
              <w:ind w:left="110"/>
              <w:rPr>
                <w:color w:val="000000"/>
                <w:sz w:val="24"/>
                <w:szCs w:val="24"/>
              </w:rPr>
            </w:pPr>
            <w:r>
              <w:rPr>
                <w:color w:val="000000"/>
                <w:sz w:val="24"/>
                <w:szCs w:val="24"/>
              </w:rPr>
              <w:t>nanoparticles (</w:t>
            </w:r>
            <w:proofErr w:type="spellStart"/>
            <w:r>
              <w:rPr>
                <w:color w:val="000000"/>
                <w:sz w:val="24"/>
                <w:szCs w:val="24"/>
              </w:rPr>
              <w:t>Fe₂O</w:t>
            </w:r>
            <w:proofErr w:type="spellEnd"/>
            <w:r>
              <w:rPr>
                <w:color w:val="000000"/>
                <w:sz w:val="24"/>
                <w:szCs w:val="24"/>
              </w:rPr>
              <w:t>₃)</w:t>
            </w:r>
          </w:p>
        </w:tc>
        <w:tc>
          <w:tcPr>
            <w:tcW w:w="1566" w:type="dxa"/>
          </w:tcPr>
          <w:p w14:paraId="6F839951" w14:textId="1F7F524B" w:rsidR="00625E61" w:rsidRDefault="005C4DDE" w:rsidP="00D13B4B">
            <w:pPr>
              <w:pBdr>
                <w:top w:val="nil"/>
                <w:left w:val="nil"/>
                <w:bottom w:val="nil"/>
                <w:right w:val="nil"/>
                <w:between w:val="nil"/>
              </w:pBdr>
              <w:tabs>
                <w:tab w:val="left" w:pos="9356"/>
              </w:tabs>
              <w:spacing w:before="1"/>
              <w:ind w:left="109" w:right="248"/>
              <w:rPr>
                <w:color w:val="000000"/>
                <w:sz w:val="24"/>
                <w:szCs w:val="24"/>
              </w:rPr>
            </w:pPr>
            <w:r>
              <w:rPr>
                <w:color w:val="000000"/>
                <w:sz w:val="24"/>
                <w:szCs w:val="24"/>
              </w:rPr>
              <w:t>Iron oxides with various shapes and crystalline</w:t>
            </w:r>
            <w:r w:rsidR="00D13B4B">
              <w:rPr>
                <w:color w:val="000000"/>
                <w:sz w:val="24"/>
                <w:szCs w:val="24"/>
              </w:rPr>
              <w:t xml:space="preserve"> forms</w:t>
            </w:r>
          </w:p>
        </w:tc>
        <w:tc>
          <w:tcPr>
            <w:tcW w:w="1741" w:type="dxa"/>
          </w:tcPr>
          <w:p w14:paraId="269D9F61" w14:textId="77777777" w:rsidR="00625E61" w:rsidRDefault="005C4DDE" w:rsidP="00347E8D">
            <w:pPr>
              <w:pBdr>
                <w:top w:val="nil"/>
                <w:left w:val="nil"/>
                <w:bottom w:val="nil"/>
                <w:right w:val="nil"/>
                <w:between w:val="nil"/>
              </w:pBdr>
              <w:tabs>
                <w:tab w:val="left" w:pos="9356"/>
              </w:tabs>
              <w:spacing w:before="1" w:line="242" w:lineRule="auto"/>
              <w:ind w:left="104" w:right="388"/>
              <w:rPr>
                <w:color w:val="000000"/>
                <w:sz w:val="24"/>
                <w:szCs w:val="24"/>
              </w:rPr>
            </w:pPr>
            <w:proofErr w:type="spellStart"/>
            <w:r>
              <w:rPr>
                <w:color w:val="000000"/>
                <w:sz w:val="24"/>
                <w:szCs w:val="24"/>
              </w:rPr>
              <w:t>Colourants</w:t>
            </w:r>
            <w:proofErr w:type="spellEnd"/>
            <w:r>
              <w:rPr>
                <w:color w:val="000000"/>
                <w:sz w:val="24"/>
                <w:szCs w:val="24"/>
              </w:rPr>
              <w:t>; possible iron fortification</w:t>
            </w:r>
          </w:p>
        </w:tc>
        <w:tc>
          <w:tcPr>
            <w:tcW w:w="3509" w:type="dxa"/>
          </w:tcPr>
          <w:p w14:paraId="07F815E6" w14:textId="77777777" w:rsidR="00625E61" w:rsidRDefault="005C4DDE" w:rsidP="00347E8D">
            <w:pPr>
              <w:pBdr>
                <w:top w:val="nil"/>
                <w:left w:val="nil"/>
                <w:bottom w:val="nil"/>
                <w:right w:val="nil"/>
                <w:between w:val="nil"/>
              </w:pBdr>
              <w:tabs>
                <w:tab w:val="left" w:pos="9356"/>
              </w:tabs>
              <w:spacing w:before="1" w:line="275" w:lineRule="auto"/>
              <w:ind w:left="108"/>
              <w:rPr>
                <w:color w:val="000000"/>
                <w:sz w:val="24"/>
                <w:szCs w:val="24"/>
              </w:rPr>
            </w:pPr>
            <w:r>
              <w:rPr>
                <w:color w:val="000000"/>
                <w:sz w:val="24"/>
                <w:szCs w:val="24"/>
              </w:rPr>
              <w:t>Generally low toxicity; little</w:t>
            </w:r>
          </w:p>
          <w:p w14:paraId="0D49DE32" w14:textId="25751E20" w:rsidR="00625E61" w:rsidRDefault="005C4DDE" w:rsidP="00D13B4B">
            <w:pPr>
              <w:pBdr>
                <w:top w:val="nil"/>
                <w:left w:val="nil"/>
                <w:bottom w:val="nil"/>
                <w:right w:val="nil"/>
                <w:between w:val="nil"/>
              </w:pBdr>
              <w:tabs>
                <w:tab w:val="left" w:pos="9356"/>
              </w:tabs>
              <w:spacing w:line="242" w:lineRule="auto"/>
              <w:ind w:left="108"/>
              <w:rPr>
                <w:color w:val="000000"/>
                <w:sz w:val="24"/>
                <w:szCs w:val="24"/>
              </w:rPr>
            </w:pPr>
            <w:r>
              <w:rPr>
                <w:color w:val="000000"/>
                <w:sz w:val="24"/>
                <w:szCs w:val="24"/>
              </w:rPr>
              <w:t xml:space="preserve">accumulation found; reactive oxygen species (ROS) </w:t>
            </w:r>
            <w:r>
              <w:rPr>
                <w:color w:val="000000"/>
                <w:sz w:val="24"/>
                <w:szCs w:val="24"/>
              </w:rPr>
              <w:t>production; high</w:t>
            </w:r>
            <w:r w:rsidR="00D13B4B">
              <w:rPr>
                <w:color w:val="000000"/>
                <w:sz w:val="24"/>
                <w:szCs w:val="24"/>
              </w:rPr>
              <w:t xml:space="preserve"> </w:t>
            </w:r>
            <w:r>
              <w:rPr>
                <w:color w:val="000000"/>
                <w:sz w:val="24"/>
                <w:szCs w:val="24"/>
              </w:rPr>
              <w:t>doses (up to 1000 mg/kg) show no major toxicity in rats.</w:t>
            </w:r>
          </w:p>
        </w:tc>
      </w:tr>
      <w:tr w:rsidR="00625E61" w14:paraId="1EFE4E87" w14:textId="77777777">
        <w:trPr>
          <w:trHeight w:val="1929"/>
        </w:trPr>
        <w:tc>
          <w:tcPr>
            <w:tcW w:w="1546" w:type="dxa"/>
          </w:tcPr>
          <w:p w14:paraId="0E07B954"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526" w:type="dxa"/>
          </w:tcPr>
          <w:p w14:paraId="595D71BA" w14:textId="77777777" w:rsidR="00625E61" w:rsidRDefault="005C4DDE" w:rsidP="00347E8D">
            <w:pPr>
              <w:pBdr>
                <w:top w:val="nil"/>
                <w:left w:val="nil"/>
                <w:bottom w:val="nil"/>
                <w:right w:val="nil"/>
                <w:between w:val="nil"/>
              </w:pBdr>
              <w:tabs>
                <w:tab w:val="left" w:pos="9356"/>
              </w:tabs>
              <w:spacing w:line="271" w:lineRule="auto"/>
              <w:ind w:left="110"/>
              <w:rPr>
                <w:color w:val="000000"/>
                <w:sz w:val="24"/>
                <w:szCs w:val="24"/>
              </w:rPr>
            </w:pPr>
            <w:r>
              <w:rPr>
                <w:color w:val="000000"/>
                <w:sz w:val="24"/>
                <w:szCs w:val="24"/>
              </w:rPr>
              <w:t>Zinc oxide</w:t>
            </w:r>
          </w:p>
          <w:p w14:paraId="70E0DED5" w14:textId="77777777" w:rsidR="00625E61" w:rsidRDefault="005C4DDE" w:rsidP="00347E8D">
            <w:pPr>
              <w:pBdr>
                <w:top w:val="nil"/>
                <w:left w:val="nil"/>
                <w:bottom w:val="nil"/>
                <w:right w:val="nil"/>
                <w:between w:val="nil"/>
              </w:pBdr>
              <w:tabs>
                <w:tab w:val="left" w:pos="9356"/>
              </w:tabs>
              <w:spacing w:line="242" w:lineRule="auto"/>
              <w:ind w:left="110"/>
              <w:rPr>
                <w:color w:val="000000"/>
                <w:sz w:val="24"/>
                <w:szCs w:val="24"/>
              </w:rPr>
            </w:pPr>
            <w:r>
              <w:rPr>
                <w:color w:val="000000"/>
                <w:sz w:val="24"/>
                <w:szCs w:val="24"/>
              </w:rPr>
              <w:t>nanoparticles (</w:t>
            </w:r>
            <w:proofErr w:type="spellStart"/>
            <w:r>
              <w:rPr>
                <w:color w:val="000000"/>
                <w:sz w:val="24"/>
                <w:szCs w:val="24"/>
              </w:rPr>
              <w:t>ZnO</w:t>
            </w:r>
            <w:proofErr w:type="spellEnd"/>
            <w:r>
              <w:rPr>
                <w:color w:val="000000"/>
                <w:sz w:val="24"/>
                <w:szCs w:val="24"/>
              </w:rPr>
              <w:t>)</w:t>
            </w:r>
          </w:p>
        </w:tc>
        <w:tc>
          <w:tcPr>
            <w:tcW w:w="1566" w:type="dxa"/>
          </w:tcPr>
          <w:p w14:paraId="7DD191A7" w14:textId="77777777" w:rsidR="00625E61" w:rsidRDefault="005C4DDE" w:rsidP="00347E8D">
            <w:pPr>
              <w:pBdr>
                <w:top w:val="nil"/>
                <w:left w:val="nil"/>
                <w:bottom w:val="nil"/>
                <w:right w:val="nil"/>
                <w:between w:val="nil"/>
              </w:pBdr>
              <w:tabs>
                <w:tab w:val="left" w:pos="9356"/>
              </w:tabs>
              <w:spacing w:line="242" w:lineRule="auto"/>
              <w:ind w:left="109" w:right="413"/>
              <w:rPr>
                <w:color w:val="000000"/>
                <w:sz w:val="24"/>
                <w:szCs w:val="24"/>
              </w:rPr>
            </w:pPr>
            <w:r>
              <w:rPr>
                <w:color w:val="000000"/>
                <w:sz w:val="24"/>
                <w:szCs w:val="24"/>
              </w:rPr>
              <w:t>Zinc oxide particles; size-</w:t>
            </w:r>
          </w:p>
          <w:p w14:paraId="6BCDB2AB" w14:textId="77777777" w:rsidR="00625E61" w:rsidRDefault="005C4DDE" w:rsidP="00347E8D">
            <w:pPr>
              <w:pBdr>
                <w:top w:val="nil"/>
                <w:left w:val="nil"/>
                <w:bottom w:val="nil"/>
                <w:right w:val="nil"/>
                <w:between w:val="nil"/>
              </w:pBdr>
              <w:tabs>
                <w:tab w:val="left" w:pos="9356"/>
              </w:tabs>
              <w:ind w:left="109" w:right="433"/>
              <w:rPr>
                <w:color w:val="000000"/>
                <w:sz w:val="24"/>
                <w:szCs w:val="24"/>
              </w:rPr>
            </w:pPr>
            <w:r>
              <w:rPr>
                <w:color w:val="000000"/>
                <w:sz w:val="24"/>
                <w:szCs w:val="24"/>
              </w:rPr>
              <w:t>dependent absorption</w:t>
            </w:r>
          </w:p>
        </w:tc>
        <w:tc>
          <w:tcPr>
            <w:tcW w:w="1741" w:type="dxa"/>
          </w:tcPr>
          <w:p w14:paraId="4D4C45D4" w14:textId="77777777" w:rsidR="00625E61" w:rsidRDefault="005C4DDE" w:rsidP="00347E8D">
            <w:pPr>
              <w:pBdr>
                <w:top w:val="nil"/>
                <w:left w:val="nil"/>
                <w:bottom w:val="nil"/>
                <w:right w:val="nil"/>
                <w:between w:val="nil"/>
              </w:pBdr>
              <w:tabs>
                <w:tab w:val="left" w:pos="9356"/>
              </w:tabs>
              <w:spacing w:line="271" w:lineRule="auto"/>
              <w:ind w:left="104"/>
              <w:rPr>
                <w:color w:val="000000"/>
                <w:sz w:val="24"/>
                <w:szCs w:val="24"/>
              </w:rPr>
            </w:pPr>
            <w:r>
              <w:rPr>
                <w:color w:val="000000"/>
                <w:sz w:val="24"/>
                <w:szCs w:val="24"/>
              </w:rPr>
              <w:t>Zinc</w:t>
            </w:r>
          </w:p>
          <w:p w14:paraId="021FABAA" w14:textId="77777777" w:rsidR="00625E61" w:rsidRDefault="005C4DDE" w:rsidP="00347E8D">
            <w:pPr>
              <w:pBdr>
                <w:top w:val="nil"/>
                <w:left w:val="nil"/>
                <w:bottom w:val="nil"/>
                <w:right w:val="nil"/>
                <w:between w:val="nil"/>
              </w:pBdr>
              <w:tabs>
                <w:tab w:val="left" w:pos="9356"/>
              </w:tabs>
              <w:spacing w:line="242" w:lineRule="auto"/>
              <w:ind w:left="104"/>
              <w:rPr>
                <w:color w:val="000000"/>
                <w:sz w:val="24"/>
                <w:szCs w:val="24"/>
              </w:rPr>
            </w:pPr>
            <w:r>
              <w:rPr>
                <w:color w:val="000000"/>
                <w:sz w:val="24"/>
                <w:szCs w:val="24"/>
              </w:rPr>
              <w:t>supplements; antimicrobial</w:t>
            </w:r>
          </w:p>
          <w:p w14:paraId="14093D7A" w14:textId="77777777" w:rsidR="00625E61" w:rsidRDefault="005C4DDE" w:rsidP="00347E8D">
            <w:pPr>
              <w:pBdr>
                <w:top w:val="nil"/>
                <w:left w:val="nil"/>
                <w:bottom w:val="nil"/>
                <w:right w:val="nil"/>
                <w:between w:val="nil"/>
              </w:pBdr>
              <w:tabs>
                <w:tab w:val="left" w:pos="9356"/>
              </w:tabs>
              <w:ind w:left="104" w:right="106"/>
              <w:rPr>
                <w:color w:val="000000"/>
                <w:sz w:val="24"/>
                <w:szCs w:val="24"/>
              </w:rPr>
            </w:pPr>
            <w:r>
              <w:rPr>
                <w:color w:val="000000"/>
                <w:sz w:val="24"/>
                <w:szCs w:val="24"/>
              </w:rPr>
              <w:t>packaging; UV- absorber</w:t>
            </w:r>
          </w:p>
        </w:tc>
        <w:tc>
          <w:tcPr>
            <w:tcW w:w="3509" w:type="dxa"/>
          </w:tcPr>
          <w:p w14:paraId="418824F3" w14:textId="254E1CFC" w:rsidR="00625E61" w:rsidRDefault="005C4DDE" w:rsidP="00347E8D">
            <w:pPr>
              <w:pBdr>
                <w:top w:val="nil"/>
                <w:left w:val="nil"/>
                <w:bottom w:val="nil"/>
                <w:right w:val="nil"/>
                <w:between w:val="nil"/>
              </w:pBdr>
              <w:tabs>
                <w:tab w:val="left" w:pos="9356"/>
              </w:tabs>
              <w:ind w:left="108"/>
              <w:rPr>
                <w:color w:val="000000"/>
                <w:sz w:val="24"/>
                <w:szCs w:val="24"/>
              </w:rPr>
            </w:pPr>
            <w:r>
              <w:rPr>
                <w:color w:val="000000"/>
                <w:sz w:val="24"/>
                <w:szCs w:val="24"/>
              </w:rPr>
              <w:t xml:space="preserve">High absorption for smaller particles; may cause liver, lung, and kidney damage, toxicity at high doses; toxicity </w:t>
            </w:r>
            <w:r w:rsidR="00D13B4B">
              <w:rPr>
                <w:color w:val="000000"/>
                <w:sz w:val="24"/>
                <w:szCs w:val="24"/>
              </w:rPr>
              <w:t>increases</w:t>
            </w:r>
            <w:r>
              <w:rPr>
                <w:color w:val="000000"/>
                <w:sz w:val="24"/>
                <w:szCs w:val="24"/>
              </w:rPr>
              <w:t xml:space="preserve"> with some food components (e.g., ascorbic acid); limited migration from packaging into food.</w:t>
            </w:r>
          </w:p>
        </w:tc>
      </w:tr>
      <w:tr w:rsidR="00625E61" w14:paraId="2ABD685B" w14:textId="77777777">
        <w:trPr>
          <w:trHeight w:val="1378"/>
        </w:trPr>
        <w:tc>
          <w:tcPr>
            <w:tcW w:w="1546" w:type="dxa"/>
          </w:tcPr>
          <w:p w14:paraId="1D175920" w14:textId="77777777" w:rsidR="00625E61" w:rsidRDefault="005C4DDE" w:rsidP="00347E8D">
            <w:pPr>
              <w:pBdr>
                <w:top w:val="nil"/>
                <w:left w:val="nil"/>
                <w:bottom w:val="nil"/>
                <w:right w:val="nil"/>
                <w:between w:val="nil"/>
              </w:pBdr>
              <w:tabs>
                <w:tab w:val="left" w:pos="9356"/>
              </w:tabs>
              <w:spacing w:line="275" w:lineRule="auto"/>
              <w:ind w:left="105"/>
              <w:rPr>
                <w:color w:val="000000"/>
                <w:sz w:val="24"/>
                <w:szCs w:val="24"/>
              </w:rPr>
            </w:pPr>
            <w:r>
              <w:rPr>
                <w:color w:val="000000"/>
                <w:sz w:val="24"/>
                <w:szCs w:val="24"/>
              </w:rPr>
              <w:t>Organic</w:t>
            </w:r>
          </w:p>
          <w:p w14:paraId="23C2F06D" w14:textId="77777777" w:rsidR="00625E61" w:rsidRDefault="005C4DDE" w:rsidP="00347E8D">
            <w:pPr>
              <w:pBdr>
                <w:top w:val="nil"/>
                <w:left w:val="nil"/>
                <w:bottom w:val="nil"/>
                <w:right w:val="nil"/>
                <w:between w:val="nil"/>
              </w:pBdr>
              <w:tabs>
                <w:tab w:val="left" w:pos="9356"/>
              </w:tabs>
              <w:ind w:left="105"/>
              <w:rPr>
                <w:color w:val="000000"/>
                <w:sz w:val="24"/>
                <w:szCs w:val="24"/>
              </w:rPr>
            </w:pPr>
            <w:r>
              <w:rPr>
                <w:color w:val="000000"/>
                <w:sz w:val="24"/>
                <w:szCs w:val="24"/>
              </w:rPr>
              <w:t>Nanoparticles</w:t>
            </w:r>
          </w:p>
        </w:tc>
        <w:tc>
          <w:tcPr>
            <w:tcW w:w="1526" w:type="dxa"/>
          </w:tcPr>
          <w:p w14:paraId="088E4A3C" w14:textId="77777777" w:rsidR="00625E61" w:rsidRDefault="005C4DDE" w:rsidP="00347E8D">
            <w:pPr>
              <w:pBdr>
                <w:top w:val="nil"/>
                <w:left w:val="nil"/>
                <w:bottom w:val="nil"/>
                <w:right w:val="nil"/>
                <w:between w:val="nil"/>
              </w:pBdr>
              <w:tabs>
                <w:tab w:val="left" w:pos="9356"/>
              </w:tabs>
              <w:spacing w:line="275" w:lineRule="auto"/>
              <w:ind w:left="110"/>
              <w:rPr>
                <w:color w:val="000000"/>
                <w:sz w:val="24"/>
                <w:szCs w:val="24"/>
              </w:rPr>
            </w:pPr>
            <w:r>
              <w:rPr>
                <w:color w:val="000000"/>
                <w:sz w:val="24"/>
                <w:szCs w:val="24"/>
              </w:rPr>
              <w:t>Lipid</w:t>
            </w:r>
          </w:p>
          <w:p w14:paraId="55C2A1F5" w14:textId="77777777" w:rsidR="00625E61" w:rsidRDefault="005C4DDE" w:rsidP="00347E8D">
            <w:pPr>
              <w:pBdr>
                <w:top w:val="nil"/>
                <w:left w:val="nil"/>
                <w:bottom w:val="nil"/>
                <w:right w:val="nil"/>
                <w:between w:val="nil"/>
              </w:pBdr>
              <w:tabs>
                <w:tab w:val="left" w:pos="9356"/>
              </w:tabs>
              <w:ind w:left="110"/>
              <w:rPr>
                <w:color w:val="000000"/>
                <w:sz w:val="24"/>
                <w:szCs w:val="24"/>
              </w:rPr>
            </w:pPr>
            <w:r>
              <w:rPr>
                <w:color w:val="000000"/>
                <w:sz w:val="24"/>
                <w:szCs w:val="24"/>
              </w:rPr>
              <w:t>nanoparticles</w:t>
            </w:r>
          </w:p>
        </w:tc>
        <w:tc>
          <w:tcPr>
            <w:tcW w:w="1566" w:type="dxa"/>
          </w:tcPr>
          <w:p w14:paraId="26CC1CC1" w14:textId="77777777" w:rsidR="00625E61" w:rsidRDefault="005C4DDE" w:rsidP="00347E8D">
            <w:pPr>
              <w:pBdr>
                <w:top w:val="nil"/>
                <w:left w:val="nil"/>
                <w:bottom w:val="nil"/>
                <w:right w:val="nil"/>
                <w:between w:val="nil"/>
              </w:pBdr>
              <w:tabs>
                <w:tab w:val="left" w:pos="9356"/>
              </w:tabs>
              <w:spacing w:line="275" w:lineRule="auto"/>
              <w:ind w:left="109"/>
              <w:rPr>
                <w:color w:val="000000"/>
                <w:sz w:val="24"/>
                <w:szCs w:val="24"/>
              </w:rPr>
            </w:pPr>
            <w:r>
              <w:rPr>
                <w:color w:val="000000"/>
                <w:sz w:val="24"/>
                <w:szCs w:val="24"/>
              </w:rPr>
              <w:t>Micelles,</w:t>
            </w:r>
          </w:p>
          <w:p w14:paraId="7F77EF67" w14:textId="77777777" w:rsidR="00625E61" w:rsidRDefault="005C4DDE" w:rsidP="00347E8D">
            <w:pPr>
              <w:pBdr>
                <w:top w:val="nil"/>
                <w:left w:val="nil"/>
                <w:bottom w:val="nil"/>
                <w:right w:val="nil"/>
                <w:between w:val="nil"/>
              </w:pBdr>
              <w:tabs>
                <w:tab w:val="left" w:pos="9356"/>
              </w:tabs>
              <w:ind w:left="109" w:right="202"/>
              <w:rPr>
                <w:color w:val="000000"/>
                <w:sz w:val="24"/>
                <w:szCs w:val="24"/>
              </w:rPr>
            </w:pPr>
            <w:r>
              <w:rPr>
                <w:color w:val="000000"/>
                <w:sz w:val="24"/>
                <w:szCs w:val="24"/>
              </w:rPr>
              <w:t>vesicles, oil droplets, and solid lipid</w:t>
            </w:r>
          </w:p>
          <w:p w14:paraId="372833B6" w14:textId="77777777" w:rsidR="00625E61" w:rsidRDefault="005C4DDE" w:rsidP="00347E8D">
            <w:pPr>
              <w:pBdr>
                <w:top w:val="nil"/>
                <w:left w:val="nil"/>
                <w:bottom w:val="nil"/>
                <w:right w:val="nil"/>
                <w:between w:val="nil"/>
              </w:pBdr>
              <w:tabs>
                <w:tab w:val="left" w:pos="9356"/>
              </w:tabs>
              <w:spacing w:line="256" w:lineRule="auto"/>
              <w:ind w:left="109"/>
              <w:rPr>
                <w:color w:val="000000"/>
                <w:sz w:val="24"/>
                <w:szCs w:val="24"/>
              </w:rPr>
            </w:pPr>
            <w:r>
              <w:rPr>
                <w:color w:val="000000"/>
                <w:sz w:val="24"/>
                <w:szCs w:val="24"/>
              </w:rPr>
              <w:t>nanoparticles</w:t>
            </w:r>
          </w:p>
        </w:tc>
        <w:tc>
          <w:tcPr>
            <w:tcW w:w="1741" w:type="dxa"/>
          </w:tcPr>
          <w:p w14:paraId="1C54992C" w14:textId="77777777" w:rsidR="00625E61" w:rsidRDefault="005C4DDE" w:rsidP="00347E8D">
            <w:pPr>
              <w:pBdr>
                <w:top w:val="nil"/>
                <w:left w:val="nil"/>
                <w:bottom w:val="nil"/>
                <w:right w:val="nil"/>
                <w:between w:val="nil"/>
              </w:pBdr>
              <w:tabs>
                <w:tab w:val="left" w:pos="9356"/>
              </w:tabs>
              <w:ind w:left="104" w:right="109"/>
              <w:rPr>
                <w:color w:val="000000"/>
                <w:sz w:val="24"/>
                <w:szCs w:val="24"/>
              </w:rPr>
            </w:pPr>
            <w:r>
              <w:rPr>
                <w:color w:val="000000"/>
                <w:sz w:val="24"/>
                <w:szCs w:val="24"/>
              </w:rPr>
              <w:t xml:space="preserve">Give nutrients, </w:t>
            </w:r>
            <w:proofErr w:type="spellStart"/>
            <w:r>
              <w:rPr>
                <w:color w:val="000000"/>
                <w:sz w:val="24"/>
                <w:szCs w:val="24"/>
              </w:rPr>
              <w:t>flavours</w:t>
            </w:r>
            <w:proofErr w:type="spellEnd"/>
            <w:r>
              <w:rPr>
                <w:color w:val="000000"/>
                <w:sz w:val="24"/>
                <w:szCs w:val="24"/>
              </w:rPr>
              <w:t>, and anti-microbials used in beverages &amp; emulsions</w:t>
            </w:r>
          </w:p>
        </w:tc>
        <w:tc>
          <w:tcPr>
            <w:tcW w:w="3509" w:type="dxa"/>
          </w:tcPr>
          <w:p w14:paraId="7484EE78" w14:textId="77777777" w:rsidR="00625E61" w:rsidRDefault="005C4DDE" w:rsidP="00347E8D">
            <w:pPr>
              <w:pBdr>
                <w:top w:val="nil"/>
                <w:left w:val="nil"/>
                <w:bottom w:val="nil"/>
                <w:right w:val="nil"/>
                <w:between w:val="nil"/>
              </w:pBdr>
              <w:tabs>
                <w:tab w:val="left" w:pos="9356"/>
              </w:tabs>
              <w:ind w:left="108"/>
              <w:rPr>
                <w:color w:val="000000"/>
                <w:sz w:val="24"/>
                <w:szCs w:val="24"/>
              </w:rPr>
            </w:pPr>
            <w:r>
              <w:rPr>
                <w:color w:val="000000"/>
                <w:sz w:val="24"/>
                <w:szCs w:val="24"/>
              </w:rPr>
              <w:t xml:space="preserve">Mostly digestible; broken down by lipases; releases FFA/MAG; minimal toxicity expected; indigestible </w:t>
            </w:r>
            <w:r>
              <w:rPr>
                <w:color w:val="000000"/>
                <w:sz w:val="24"/>
                <w:szCs w:val="24"/>
              </w:rPr>
              <w:t>lipids (terpenes, hydrocarbons) may resist digestion—little data on toxicity.</w:t>
            </w:r>
          </w:p>
        </w:tc>
      </w:tr>
      <w:tr w:rsidR="00625E61" w14:paraId="751758F3" w14:textId="77777777">
        <w:trPr>
          <w:trHeight w:val="1099"/>
        </w:trPr>
        <w:tc>
          <w:tcPr>
            <w:tcW w:w="1546" w:type="dxa"/>
          </w:tcPr>
          <w:p w14:paraId="3F594127"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526" w:type="dxa"/>
          </w:tcPr>
          <w:p w14:paraId="5E2543B1" w14:textId="77777777" w:rsidR="00625E61" w:rsidRDefault="005C4DDE" w:rsidP="00347E8D">
            <w:pPr>
              <w:pBdr>
                <w:top w:val="nil"/>
                <w:left w:val="nil"/>
                <w:bottom w:val="nil"/>
                <w:right w:val="nil"/>
                <w:between w:val="nil"/>
              </w:pBdr>
              <w:tabs>
                <w:tab w:val="left" w:pos="9356"/>
              </w:tabs>
              <w:ind w:left="110"/>
              <w:rPr>
                <w:color w:val="000000"/>
                <w:sz w:val="24"/>
                <w:szCs w:val="24"/>
              </w:rPr>
            </w:pPr>
            <w:r>
              <w:rPr>
                <w:color w:val="000000"/>
                <w:sz w:val="24"/>
                <w:szCs w:val="24"/>
              </w:rPr>
              <w:t>Carbohydrate nanoparticles</w:t>
            </w:r>
          </w:p>
        </w:tc>
        <w:tc>
          <w:tcPr>
            <w:tcW w:w="1566" w:type="dxa"/>
          </w:tcPr>
          <w:p w14:paraId="56A2C4ED" w14:textId="77777777" w:rsidR="00625E61" w:rsidRDefault="005C4DDE" w:rsidP="00347E8D">
            <w:pPr>
              <w:pBdr>
                <w:top w:val="nil"/>
                <w:left w:val="nil"/>
                <w:bottom w:val="nil"/>
                <w:right w:val="nil"/>
                <w:between w:val="nil"/>
              </w:pBdr>
              <w:tabs>
                <w:tab w:val="left" w:pos="9356"/>
              </w:tabs>
              <w:ind w:left="109" w:right="228"/>
              <w:rPr>
                <w:color w:val="000000"/>
                <w:sz w:val="24"/>
                <w:szCs w:val="24"/>
              </w:rPr>
            </w:pPr>
            <w:r>
              <w:rPr>
                <w:color w:val="000000"/>
                <w:sz w:val="24"/>
                <w:szCs w:val="24"/>
              </w:rPr>
              <w:t>From starch, cellulose,</w:t>
            </w:r>
          </w:p>
          <w:p w14:paraId="3D6999F4" w14:textId="77777777" w:rsidR="00625E61" w:rsidRDefault="005C4DDE" w:rsidP="00347E8D">
            <w:pPr>
              <w:pBdr>
                <w:top w:val="nil"/>
                <w:left w:val="nil"/>
                <w:bottom w:val="nil"/>
                <w:right w:val="nil"/>
                <w:between w:val="nil"/>
              </w:pBdr>
              <w:tabs>
                <w:tab w:val="left" w:pos="9356"/>
              </w:tabs>
              <w:spacing w:line="276" w:lineRule="auto"/>
              <w:ind w:left="109" w:right="585"/>
              <w:rPr>
                <w:color w:val="000000"/>
                <w:sz w:val="24"/>
                <w:szCs w:val="24"/>
              </w:rPr>
            </w:pPr>
            <w:r>
              <w:rPr>
                <w:color w:val="000000"/>
                <w:sz w:val="24"/>
                <w:szCs w:val="24"/>
              </w:rPr>
              <w:t>chitosan, alginate,</w:t>
            </w:r>
          </w:p>
        </w:tc>
        <w:tc>
          <w:tcPr>
            <w:tcW w:w="1741" w:type="dxa"/>
          </w:tcPr>
          <w:p w14:paraId="17440806" w14:textId="33F94E07" w:rsidR="00625E61" w:rsidRDefault="005C4DDE" w:rsidP="00347E8D">
            <w:pPr>
              <w:pBdr>
                <w:top w:val="nil"/>
                <w:left w:val="nil"/>
                <w:bottom w:val="nil"/>
                <w:right w:val="nil"/>
                <w:between w:val="nil"/>
              </w:pBdr>
              <w:tabs>
                <w:tab w:val="left" w:pos="9356"/>
              </w:tabs>
              <w:ind w:left="104" w:right="349"/>
              <w:rPr>
                <w:color w:val="000000"/>
                <w:sz w:val="24"/>
                <w:szCs w:val="24"/>
              </w:rPr>
            </w:pPr>
            <w:r>
              <w:rPr>
                <w:color w:val="000000"/>
                <w:sz w:val="24"/>
                <w:szCs w:val="24"/>
              </w:rPr>
              <w:t xml:space="preserve">Thickeners, </w:t>
            </w:r>
            <w:r w:rsidR="00A63E26">
              <w:rPr>
                <w:color w:val="000000"/>
                <w:sz w:val="24"/>
                <w:szCs w:val="24"/>
              </w:rPr>
              <w:t>stabilizers</w:t>
            </w:r>
            <w:r>
              <w:rPr>
                <w:color w:val="000000"/>
                <w:sz w:val="24"/>
                <w:szCs w:val="24"/>
              </w:rPr>
              <w:t>,</w:t>
            </w:r>
          </w:p>
          <w:p w14:paraId="27F4949D" w14:textId="77777777" w:rsidR="00625E61" w:rsidRDefault="005C4DDE" w:rsidP="00347E8D">
            <w:pPr>
              <w:pBdr>
                <w:top w:val="nil"/>
                <w:left w:val="nil"/>
                <w:bottom w:val="nil"/>
                <w:right w:val="nil"/>
                <w:between w:val="nil"/>
              </w:pBdr>
              <w:tabs>
                <w:tab w:val="left" w:pos="9356"/>
              </w:tabs>
              <w:spacing w:line="276" w:lineRule="auto"/>
              <w:ind w:left="104"/>
              <w:rPr>
                <w:color w:val="000000"/>
                <w:sz w:val="24"/>
                <w:szCs w:val="24"/>
              </w:rPr>
            </w:pPr>
            <w:r>
              <w:rPr>
                <w:color w:val="000000"/>
                <w:sz w:val="24"/>
                <w:szCs w:val="24"/>
              </w:rPr>
              <w:t>Encapsulation systems</w:t>
            </w:r>
          </w:p>
        </w:tc>
        <w:tc>
          <w:tcPr>
            <w:tcW w:w="3509" w:type="dxa"/>
          </w:tcPr>
          <w:p w14:paraId="6CF61AFB" w14:textId="7A5C2627" w:rsidR="00625E61" w:rsidRDefault="005C4DDE" w:rsidP="00347E8D">
            <w:pPr>
              <w:pBdr>
                <w:top w:val="nil"/>
                <w:left w:val="nil"/>
                <w:bottom w:val="nil"/>
                <w:right w:val="nil"/>
                <w:between w:val="nil"/>
              </w:pBdr>
              <w:tabs>
                <w:tab w:val="left" w:pos="9356"/>
              </w:tabs>
              <w:spacing w:line="275" w:lineRule="auto"/>
              <w:ind w:left="108"/>
              <w:rPr>
                <w:color w:val="000000"/>
                <w:sz w:val="24"/>
                <w:szCs w:val="24"/>
              </w:rPr>
            </w:pPr>
            <w:r>
              <w:rPr>
                <w:color w:val="000000"/>
                <w:sz w:val="24"/>
                <w:szCs w:val="24"/>
              </w:rPr>
              <w:t>Digestible CHOs are harmless</w:t>
            </w:r>
            <w:r w:rsidR="00A63E26">
              <w:rPr>
                <w:color w:val="000000"/>
                <w:sz w:val="24"/>
                <w:szCs w:val="24"/>
              </w:rPr>
              <w:t>.</w:t>
            </w:r>
          </w:p>
          <w:p w14:paraId="76BCCDFC" w14:textId="77777777" w:rsidR="00A63E26" w:rsidRDefault="00A63E26" w:rsidP="00347E8D">
            <w:pPr>
              <w:pBdr>
                <w:top w:val="nil"/>
                <w:left w:val="nil"/>
                <w:bottom w:val="nil"/>
                <w:right w:val="nil"/>
                <w:between w:val="nil"/>
              </w:pBdr>
              <w:tabs>
                <w:tab w:val="left" w:pos="9356"/>
              </w:tabs>
              <w:spacing w:line="275" w:lineRule="auto"/>
              <w:ind w:left="108"/>
              <w:rPr>
                <w:color w:val="000000"/>
                <w:sz w:val="24"/>
                <w:szCs w:val="24"/>
              </w:rPr>
            </w:pPr>
            <w:r>
              <w:rPr>
                <w:color w:val="000000"/>
                <w:sz w:val="24"/>
                <w:szCs w:val="24"/>
              </w:rPr>
              <w:t xml:space="preserve">Indigestible </w:t>
            </w:r>
            <w:proofErr w:type="spellStart"/>
            <w:r>
              <w:rPr>
                <w:color w:val="000000"/>
                <w:sz w:val="24"/>
                <w:szCs w:val="24"/>
              </w:rPr>
              <w:t>fibres</w:t>
            </w:r>
            <w:proofErr w:type="spellEnd"/>
            <w:r>
              <w:rPr>
                <w:color w:val="000000"/>
                <w:sz w:val="24"/>
                <w:szCs w:val="24"/>
              </w:rPr>
              <w:t xml:space="preserve"> are fermented </w:t>
            </w:r>
          </w:p>
          <w:p w14:paraId="23224755" w14:textId="73D778AF" w:rsidR="00625E61" w:rsidRDefault="00A63E26" w:rsidP="00A63E26">
            <w:pPr>
              <w:pBdr>
                <w:top w:val="nil"/>
                <w:left w:val="nil"/>
                <w:bottom w:val="nil"/>
                <w:right w:val="nil"/>
                <w:between w:val="nil"/>
              </w:pBdr>
              <w:tabs>
                <w:tab w:val="left" w:pos="9356"/>
              </w:tabs>
              <w:spacing w:line="275" w:lineRule="auto"/>
              <w:ind w:left="108"/>
              <w:rPr>
                <w:color w:val="000000"/>
                <w:sz w:val="24"/>
                <w:szCs w:val="24"/>
              </w:rPr>
            </w:pPr>
            <w:r>
              <w:rPr>
                <w:color w:val="000000"/>
                <w:sz w:val="24"/>
                <w:szCs w:val="24"/>
              </w:rPr>
              <w:t>In the colon, generally low toxicity; fate depends on digestibility.</w:t>
            </w:r>
          </w:p>
        </w:tc>
      </w:tr>
      <w:tr w:rsidR="00625E61" w14:paraId="2D2A54AB" w14:textId="77777777" w:rsidTr="00D13B4B">
        <w:trPr>
          <w:trHeight w:val="1625"/>
        </w:trPr>
        <w:tc>
          <w:tcPr>
            <w:tcW w:w="1546" w:type="dxa"/>
          </w:tcPr>
          <w:p w14:paraId="1BBC50A6"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526" w:type="dxa"/>
          </w:tcPr>
          <w:p w14:paraId="226EB936" w14:textId="77777777" w:rsidR="00625E61" w:rsidRDefault="005C4DDE" w:rsidP="00347E8D">
            <w:pPr>
              <w:pBdr>
                <w:top w:val="nil"/>
                <w:left w:val="nil"/>
                <w:bottom w:val="nil"/>
                <w:right w:val="nil"/>
                <w:between w:val="nil"/>
              </w:pBdr>
              <w:tabs>
                <w:tab w:val="left" w:pos="9356"/>
              </w:tabs>
              <w:spacing w:line="272" w:lineRule="auto"/>
              <w:ind w:left="110"/>
              <w:rPr>
                <w:color w:val="000000"/>
                <w:sz w:val="24"/>
                <w:szCs w:val="24"/>
              </w:rPr>
            </w:pPr>
            <w:r>
              <w:rPr>
                <w:color w:val="000000"/>
                <w:sz w:val="24"/>
                <w:szCs w:val="24"/>
              </w:rPr>
              <w:t>Protein</w:t>
            </w:r>
          </w:p>
          <w:p w14:paraId="0CC41C58" w14:textId="77777777" w:rsidR="00625E61" w:rsidRDefault="005C4DDE" w:rsidP="00347E8D">
            <w:pPr>
              <w:pBdr>
                <w:top w:val="nil"/>
                <w:left w:val="nil"/>
                <w:bottom w:val="nil"/>
                <w:right w:val="nil"/>
                <w:between w:val="nil"/>
              </w:pBdr>
              <w:tabs>
                <w:tab w:val="left" w:pos="9356"/>
              </w:tabs>
              <w:spacing w:before="4"/>
              <w:ind w:left="110"/>
              <w:rPr>
                <w:color w:val="000000"/>
                <w:sz w:val="24"/>
                <w:szCs w:val="24"/>
              </w:rPr>
            </w:pPr>
            <w:r>
              <w:rPr>
                <w:color w:val="000000"/>
                <w:sz w:val="24"/>
                <w:szCs w:val="24"/>
              </w:rPr>
              <w:t>nanoparticles</w:t>
            </w:r>
          </w:p>
        </w:tc>
        <w:tc>
          <w:tcPr>
            <w:tcW w:w="1566" w:type="dxa"/>
          </w:tcPr>
          <w:p w14:paraId="5A8019A2" w14:textId="77777777" w:rsidR="00625E61" w:rsidRDefault="005C4DDE" w:rsidP="00347E8D">
            <w:pPr>
              <w:pBdr>
                <w:top w:val="nil"/>
                <w:left w:val="nil"/>
                <w:bottom w:val="nil"/>
                <w:right w:val="nil"/>
                <w:between w:val="nil"/>
              </w:pBdr>
              <w:tabs>
                <w:tab w:val="left" w:pos="9356"/>
              </w:tabs>
              <w:ind w:left="109" w:right="255"/>
              <w:rPr>
                <w:color w:val="000000"/>
                <w:sz w:val="24"/>
                <w:szCs w:val="24"/>
              </w:rPr>
            </w:pPr>
            <w:r>
              <w:rPr>
                <w:color w:val="000000"/>
                <w:sz w:val="24"/>
                <w:szCs w:val="24"/>
              </w:rPr>
              <w:t xml:space="preserve">Casein micelles, whey, soy, </w:t>
            </w:r>
            <w:proofErr w:type="spellStart"/>
            <w:r>
              <w:rPr>
                <w:color w:val="000000"/>
                <w:sz w:val="24"/>
                <w:szCs w:val="24"/>
              </w:rPr>
              <w:t>zein</w:t>
            </w:r>
            <w:proofErr w:type="spellEnd"/>
            <w:r>
              <w:rPr>
                <w:color w:val="000000"/>
                <w:sz w:val="24"/>
                <w:szCs w:val="24"/>
              </w:rPr>
              <w:t>, gliadin</w:t>
            </w:r>
          </w:p>
          <w:p w14:paraId="7F64487E" w14:textId="77777777" w:rsidR="00625E61" w:rsidRDefault="005C4DDE" w:rsidP="00347E8D">
            <w:pPr>
              <w:pBdr>
                <w:top w:val="nil"/>
                <w:left w:val="nil"/>
                <w:bottom w:val="nil"/>
                <w:right w:val="nil"/>
                <w:between w:val="nil"/>
              </w:pBdr>
              <w:tabs>
                <w:tab w:val="left" w:pos="9356"/>
              </w:tabs>
              <w:ind w:left="109"/>
              <w:rPr>
                <w:color w:val="000000"/>
                <w:sz w:val="24"/>
                <w:szCs w:val="24"/>
              </w:rPr>
            </w:pPr>
            <w:r>
              <w:rPr>
                <w:color w:val="000000"/>
                <w:sz w:val="24"/>
                <w:szCs w:val="24"/>
              </w:rPr>
              <w:t>nanoparticles</w:t>
            </w:r>
          </w:p>
        </w:tc>
        <w:tc>
          <w:tcPr>
            <w:tcW w:w="1741" w:type="dxa"/>
          </w:tcPr>
          <w:p w14:paraId="453E1883" w14:textId="77777777" w:rsidR="00625E61" w:rsidRDefault="005C4DDE" w:rsidP="00347E8D">
            <w:pPr>
              <w:pBdr>
                <w:top w:val="nil"/>
                <w:left w:val="nil"/>
                <w:bottom w:val="nil"/>
                <w:right w:val="nil"/>
                <w:between w:val="nil"/>
              </w:pBdr>
              <w:tabs>
                <w:tab w:val="left" w:pos="9356"/>
              </w:tabs>
              <w:spacing w:line="242" w:lineRule="auto"/>
              <w:ind w:left="104" w:right="162"/>
              <w:rPr>
                <w:color w:val="000000"/>
                <w:sz w:val="24"/>
                <w:szCs w:val="24"/>
              </w:rPr>
            </w:pPr>
            <w:r>
              <w:rPr>
                <w:color w:val="000000"/>
                <w:sz w:val="24"/>
                <w:szCs w:val="24"/>
              </w:rPr>
              <w:t>Natural (casein micelles) or</w:t>
            </w:r>
          </w:p>
          <w:p w14:paraId="7A3F347A" w14:textId="77777777" w:rsidR="00625E61" w:rsidRDefault="005C4DDE" w:rsidP="00347E8D">
            <w:pPr>
              <w:pBdr>
                <w:top w:val="nil"/>
                <w:left w:val="nil"/>
                <w:bottom w:val="nil"/>
                <w:right w:val="nil"/>
                <w:between w:val="nil"/>
              </w:pBdr>
              <w:tabs>
                <w:tab w:val="left" w:pos="9356"/>
              </w:tabs>
              <w:ind w:left="104" w:right="229"/>
              <w:rPr>
                <w:color w:val="000000"/>
                <w:sz w:val="24"/>
                <w:szCs w:val="24"/>
              </w:rPr>
            </w:pPr>
            <w:r>
              <w:rPr>
                <w:color w:val="000000"/>
                <w:sz w:val="24"/>
                <w:szCs w:val="24"/>
              </w:rPr>
              <w:t xml:space="preserve">engineered </w:t>
            </w:r>
          </w:p>
          <w:p w14:paraId="65CD12D2" w14:textId="77777777" w:rsidR="00625E61" w:rsidRDefault="005C4DDE" w:rsidP="00347E8D">
            <w:pPr>
              <w:pBdr>
                <w:top w:val="nil"/>
                <w:left w:val="nil"/>
                <w:bottom w:val="nil"/>
                <w:right w:val="nil"/>
                <w:between w:val="nil"/>
              </w:pBdr>
              <w:tabs>
                <w:tab w:val="left" w:pos="9356"/>
              </w:tabs>
              <w:spacing w:line="242" w:lineRule="auto"/>
              <w:ind w:left="104" w:right="349"/>
              <w:rPr>
                <w:color w:val="000000"/>
                <w:sz w:val="24"/>
                <w:szCs w:val="24"/>
              </w:rPr>
            </w:pPr>
            <w:r>
              <w:rPr>
                <w:color w:val="000000"/>
                <w:sz w:val="24"/>
                <w:szCs w:val="24"/>
              </w:rPr>
              <w:t xml:space="preserve">(Vitamins, </w:t>
            </w:r>
            <w:proofErr w:type="spellStart"/>
            <w:r>
              <w:rPr>
                <w:color w:val="000000"/>
                <w:sz w:val="24"/>
                <w:szCs w:val="24"/>
              </w:rPr>
              <w:t>flavours</w:t>
            </w:r>
            <w:proofErr w:type="spellEnd"/>
            <w:r>
              <w:rPr>
                <w:color w:val="000000"/>
                <w:sz w:val="24"/>
                <w:szCs w:val="24"/>
              </w:rPr>
              <w:t>,</w:t>
            </w:r>
          </w:p>
          <w:p w14:paraId="0757EEB7" w14:textId="77777777" w:rsidR="00625E61" w:rsidRDefault="005C4DDE" w:rsidP="00347E8D">
            <w:pPr>
              <w:pBdr>
                <w:top w:val="nil"/>
                <w:left w:val="nil"/>
                <w:bottom w:val="nil"/>
                <w:right w:val="nil"/>
                <w:between w:val="nil"/>
              </w:pBdr>
              <w:tabs>
                <w:tab w:val="left" w:pos="9356"/>
              </w:tabs>
              <w:spacing w:line="252" w:lineRule="auto"/>
              <w:ind w:left="104"/>
              <w:rPr>
                <w:color w:val="000000"/>
                <w:sz w:val="24"/>
                <w:szCs w:val="24"/>
              </w:rPr>
            </w:pPr>
            <w:proofErr w:type="spellStart"/>
            <w:r>
              <w:rPr>
                <w:color w:val="000000"/>
                <w:sz w:val="24"/>
                <w:szCs w:val="24"/>
              </w:rPr>
              <w:t>bioactives</w:t>
            </w:r>
            <w:proofErr w:type="spellEnd"/>
            <w:r>
              <w:rPr>
                <w:color w:val="000000"/>
                <w:sz w:val="24"/>
                <w:szCs w:val="24"/>
              </w:rPr>
              <w:t>)</w:t>
            </w:r>
          </w:p>
        </w:tc>
        <w:tc>
          <w:tcPr>
            <w:tcW w:w="3509" w:type="dxa"/>
          </w:tcPr>
          <w:p w14:paraId="536D8F96" w14:textId="66DC0E25" w:rsidR="00625E61" w:rsidRDefault="005C4DDE" w:rsidP="00347E8D">
            <w:pPr>
              <w:pBdr>
                <w:top w:val="nil"/>
                <w:left w:val="nil"/>
                <w:bottom w:val="nil"/>
                <w:right w:val="nil"/>
                <w:between w:val="nil"/>
              </w:pBdr>
              <w:tabs>
                <w:tab w:val="left" w:pos="9356"/>
              </w:tabs>
              <w:ind w:left="108" w:right="157"/>
              <w:rPr>
                <w:color w:val="000000"/>
                <w:sz w:val="24"/>
                <w:szCs w:val="24"/>
              </w:rPr>
            </w:pPr>
            <w:r>
              <w:rPr>
                <w:color w:val="000000"/>
                <w:sz w:val="24"/>
                <w:szCs w:val="24"/>
              </w:rPr>
              <w:t xml:space="preserve">Usually digested into amino acids; low toxicity; bonding type (covalent vs physical) affects stability but not toxicity; casein micelles </w:t>
            </w:r>
            <w:r w:rsidR="00D13B4B">
              <w:rPr>
                <w:color w:val="000000"/>
                <w:sz w:val="24"/>
                <w:szCs w:val="24"/>
              </w:rPr>
              <w:t xml:space="preserve">have been </w:t>
            </w:r>
            <w:r>
              <w:rPr>
                <w:color w:val="000000"/>
                <w:sz w:val="24"/>
                <w:szCs w:val="24"/>
              </w:rPr>
              <w:t>safely consumed for centuries.</w:t>
            </w:r>
          </w:p>
        </w:tc>
      </w:tr>
    </w:tbl>
    <w:p w14:paraId="4BFF0288" w14:textId="77777777" w:rsidR="00625E61" w:rsidRDefault="005C4DDE" w:rsidP="00347E8D">
      <w:pPr>
        <w:pStyle w:val="Heading1"/>
        <w:tabs>
          <w:tab w:val="left" w:pos="9356"/>
        </w:tabs>
        <w:spacing w:before="9"/>
        <w:ind w:firstLine="165"/>
        <w:rPr>
          <w:b w:val="0"/>
          <w:bCs w:val="0"/>
        </w:rPr>
      </w:pPr>
      <w:r>
        <w:t xml:space="preserve">Source: </w:t>
      </w:r>
      <w:r>
        <w:rPr>
          <w:b w:val="0"/>
          <w:bCs w:val="0"/>
        </w:rPr>
        <w:t xml:space="preserve">Cheng et al., 2022, Zhou et al., 2022, Xiang et al., 2025 </w:t>
      </w:r>
    </w:p>
    <w:p w14:paraId="1110F027" w14:textId="77777777" w:rsidR="00625E61" w:rsidRDefault="00625E61" w:rsidP="00347E8D">
      <w:pPr>
        <w:pStyle w:val="Heading1"/>
        <w:tabs>
          <w:tab w:val="left" w:pos="9356"/>
        </w:tabs>
        <w:spacing w:before="9"/>
        <w:ind w:firstLine="165"/>
        <w:rPr>
          <w:b w:val="0"/>
          <w:bCs w:val="0"/>
        </w:rPr>
      </w:pPr>
    </w:p>
    <w:p w14:paraId="51D9CC5A" w14:textId="77777777" w:rsidR="00625E61" w:rsidRDefault="005C4DDE" w:rsidP="00347E8D">
      <w:pPr>
        <w:pStyle w:val="Heading1"/>
        <w:tabs>
          <w:tab w:val="left" w:pos="9356"/>
        </w:tabs>
        <w:spacing w:before="9"/>
        <w:ind w:firstLine="165"/>
      </w:pPr>
      <w:r>
        <w:t xml:space="preserve">Organs </w:t>
      </w:r>
      <w:r>
        <w:t>affected in the body</w:t>
      </w:r>
    </w:p>
    <w:p w14:paraId="4E7FAB0A" w14:textId="1ACFA990" w:rsidR="00625E61" w:rsidRDefault="005C4DDE" w:rsidP="00B778B8">
      <w:pPr>
        <w:pBdr>
          <w:top w:val="nil"/>
          <w:left w:val="nil"/>
          <w:bottom w:val="nil"/>
          <w:right w:val="nil"/>
          <w:between w:val="nil"/>
        </w:pBdr>
        <w:tabs>
          <w:tab w:val="left" w:pos="9356"/>
        </w:tabs>
        <w:spacing w:before="185" w:line="256" w:lineRule="auto"/>
        <w:ind w:right="1167"/>
        <w:jc w:val="both"/>
        <w:rPr>
          <w:color w:val="000000"/>
          <w:sz w:val="24"/>
          <w:szCs w:val="24"/>
        </w:rPr>
      </w:pPr>
      <w:r>
        <w:rPr>
          <w:color w:val="000000"/>
          <w:sz w:val="24"/>
          <w:szCs w:val="24"/>
        </w:rPr>
        <w:t xml:space="preserve">This table </w:t>
      </w:r>
      <w:proofErr w:type="spellStart"/>
      <w:r>
        <w:rPr>
          <w:color w:val="000000"/>
          <w:sz w:val="24"/>
          <w:szCs w:val="24"/>
        </w:rPr>
        <w:t>summarises</w:t>
      </w:r>
      <w:proofErr w:type="spellEnd"/>
      <w:r>
        <w:rPr>
          <w:color w:val="000000"/>
          <w:sz w:val="24"/>
          <w:szCs w:val="24"/>
        </w:rPr>
        <w:t xml:space="preserve"> how different nanoparticles affect specific organs in the body and the diseases or conditions they may cause. Inorganic nanoparticles such as silver, titanium</w:t>
      </w:r>
      <w:r w:rsidR="00B778B8">
        <w:rPr>
          <w:color w:val="000000"/>
          <w:sz w:val="24"/>
          <w:szCs w:val="24"/>
        </w:rPr>
        <w:t xml:space="preserve"> d</w:t>
      </w:r>
      <w:r>
        <w:rPr>
          <w:color w:val="000000"/>
          <w:sz w:val="24"/>
          <w:szCs w:val="24"/>
        </w:rPr>
        <w:t>ioxide, and zinc oxide show the highest toxicity, aff</w:t>
      </w:r>
      <w:r>
        <w:rPr>
          <w:color w:val="000000"/>
          <w:sz w:val="24"/>
          <w:szCs w:val="24"/>
        </w:rPr>
        <w:t>ecting organs like the liver, kidney,</w:t>
      </w:r>
      <w:r w:rsidR="00B778B8">
        <w:rPr>
          <w:color w:val="000000"/>
          <w:sz w:val="24"/>
          <w:szCs w:val="24"/>
        </w:rPr>
        <w:t xml:space="preserve"> </w:t>
      </w:r>
      <w:r>
        <w:rPr>
          <w:color w:val="000000"/>
          <w:sz w:val="24"/>
          <w:szCs w:val="24"/>
        </w:rPr>
        <w:t>heart, and intestines. In contrast, organic nanoparticles (lipid, protein, carbohydrate) are generally digestible and safe, with no major disease associations (</w:t>
      </w:r>
      <w:r>
        <w:rPr>
          <w:sz w:val="24"/>
          <w:szCs w:val="24"/>
        </w:rPr>
        <w:t>Serov et al., 2024</w:t>
      </w:r>
      <w:r>
        <w:rPr>
          <w:color w:val="000000"/>
          <w:sz w:val="24"/>
          <w:szCs w:val="24"/>
        </w:rPr>
        <w:t>).</w:t>
      </w:r>
    </w:p>
    <w:p w14:paraId="12D17EB2" w14:textId="77777777" w:rsidR="00625E61" w:rsidRDefault="005C4DDE" w:rsidP="00347E8D">
      <w:pPr>
        <w:pBdr>
          <w:top w:val="nil"/>
          <w:left w:val="nil"/>
          <w:bottom w:val="nil"/>
          <w:right w:val="nil"/>
          <w:between w:val="nil"/>
        </w:pBdr>
        <w:tabs>
          <w:tab w:val="left" w:pos="9356"/>
        </w:tabs>
        <w:spacing w:before="154"/>
        <w:ind w:left="165"/>
        <w:rPr>
          <w:color w:val="000000"/>
          <w:sz w:val="24"/>
          <w:szCs w:val="24"/>
        </w:rPr>
      </w:pPr>
      <w:r>
        <w:rPr>
          <w:color w:val="000000"/>
          <w:sz w:val="24"/>
          <w:szCs w:val="24"/>
        </w:rPr>
        <w:t>Table 2: Different diseases caused by</w:t>
      </w:r>
      <w:r>
        <w:rPr>
          <w:color w:val="000000"/>
          <w:sz w:val="24"/>
          <w:szCs w:val="24"/>
        </w:rPr>
        <w:t xml:space="preserve"> various nanoparticles and organs affected</w:t>
      </w:r>
    </w:p>
    <w:tbl>
      <w:tblPr>
        <w:tblStyle w:val="a0"/>
        <w:tblW w:w="935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6"/>
        <w:gridCol w:w="1985"/>
        <w:gridCol w:w="5682"/>
      </w:tblGrid>
      <w:tr w:rsidR="00625E61" w14:paraId="0E962C1D" w14:textId="77777777">
        <w:trPr>
          <w:trHeight w:val="555"/>
        </w:trPr>
        <w:tc>
          <w:tcPr>
            <w:tcW w:w="1686" w:type="dxa"/>
          </w:tcPr>
          <w:p w14:paraId="09F620E6" w14:textId="77777777" w:rsidR="00625E61" w:rsidRDefault="005C4DDE" w:rsidP="00347E8D">
            <w:pPr>
              <w:pBdr>
                <w:top w:val="nil"/>
                <w:left w:val="nil"/>
                <w:bottom w:val="nil"/>
                <w:right w:val="nil"/>
                <w:between w:val="nil"/>
              </w:pBdr>
              <w:tabs>
                <w:tab w:val="left" w:pos="9356"/>
              </w:tabs>
              <w:spacing w:line="276" w:lineRule="auto"/>
              <w:ind w:left="110"/>
              <w:rPr>
                <w:color w:val="000000"/>
                <w:sz w:val="24"/>
                <w:szCs w:val="24"/>
              </w:rPr>
            </w:pPr>
            <w:r>
              <w:rPr>
                <w:color w:val="000000"/>
                <w:sz w:val="24"/>
                <w:szCs w:val="24"/>
              </w:rPr>
              <w:lastRenderedPageBreak/>
              <w:t>Nanoparticle Type</w:t>
            </w:r>
          </w:p>
        </w:tc>
        <w:tc>
          <w:tcPr>
            <w:tcW w:w="1985" w:type="dxa"/>
          </w:tcPr>
          <w:p w14:paraId="4258CDCE" w14:textId="77777777" w:rsidR="00625E61" w:rsidRDefault="005C4DDE" w:rsidP="00347E8D">
            <w:pPr>
              <w:pBdr>
                <w:top w:val="nil"/>
                <w:left w:val="nil"/>
                <w:bottom w:val="nil"/>
                <w:right w:val="nil"/>
                <w:between w:val="nil"/>
              </w:pBdr>
              <w:tabs>
                <w:tab w:val="left" w:pos="9356"/>
              </w:tabs>
              <w:spacing w:line="276" w:lineRule="auto"/>
              <w:ind w:left="110" w:right="440"/>
              <w:rPr>
                <w:color w:val="000000"/>
                <w:sz w:val="24"/>
                <w:szCs w:val="24"/>
              </w:rPr>
            </w:pPr>
            <w:r>
              <w:rPr>
                <w:color w:val="000000"/>
                <w:sz w:val="24"/>
                <w:szCs w:val="24"/>
              </w:rPr>
              <w:t>Main Organ(s) Affected</w:t>
            </w:r>
          </w:p>
        </w:tc>
        <w:tc>
          <w:tcPr>
            <w:tcW w:w="5682" w:type="dxa"/>
          </w:tcPr>
          <w:p w14:paraId="63DC1ECB"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Associated Disease or Condition</w:t>
            </w:r>
          </w:p>
        </w:tc>
      </w:tr>
      <w:tr w:rsidR="00625E61" w14:paraId="57244B5E" w14:textId="77777777">
        <w:trPr>
          <w:trHeight w:val="940"/>
        </w:trPr>
        <w:tc>
          <w:tcPr>
            <w:tcW w:w="1686" w:type="dxa"/>
          </w:tcPr>
          <w:p w14:paraId="32270A43" w14:textId="77777777" w:rsidR="00625E61" w:rsidRDefault="005C4DDE" w:rsidP="00347E8D">
            <w:pPr>
              <w:pBdr>
                <w:top w:val="nil"/>
                <w:left w:val="nil"/>
                <w:bottom w:val="nil"/>
                <w:right w:val="nil"/>
                <w:between w:val="nil"/>
              </w:pBdr>
              <w:tabs>
                <w:tab w:val="left" w:pos="9356"/>
              </w:tabs>
              <w:spacing w:before="1" w:line="275" w:lineRule="auto"/>
              <w:ind w:left="110"/>
              <w:rPr>
                <w:color w:val="000000"/>
                <w:sz w:val="24"/>
                <w:szCs w:val="24"/>
              </w:rPr>
            </w:pPr>
            <w:r>
              <w:rPr>
                <w:color w:val="000000"/>
                <w:sz w:val="24"/>
                <w:szCs w:val="24"/>
              </w:rPr>
              <w:t>Silver</w:t>
            </w:r>
          </w:p>
          <w:p w14:paraId="1EC168E2" w14:textId="77777777" w:rsidR="00625E61" w:rsidRDefault="005C4DDE" w:rsidP="00347E8D">
            <w:pPr>
              <w:pBdr>
                <w:top w:val="nil"/>
                <w:left w:val="nil"/>
                <w:bottom w:val="nil"/>
                <w:right w:val="nil"/>
                <w:between w:val="nil"/>
              </w:pBdr>
              <w:tabs>
                <w:tab w:val="left" w:pos="9356"/>
              </w:tabs>
              <w:spacing w:line="275" w:lineRule="auto"/>
              <w:ind w:left="110"/>
              <w:rPr>
                <w:color w:val="000000"/>
                <w:sz w:val="24"/>
                <w:szCs w:val="24"/>
              </w:rPr>
            </w:pPr>
            <w:r>
              <w:rPr>
                <w:color w:val="000000"/>
                <w:sz w:val="24"/>
                <w:szCs w:val="24"/>
              </w:rPr>
              <w:t>nanoparticles</w:t>
            </w:r>
          </w:p>
        </w:tc>
        <w:tc>
          <w:tcPr>
            <w:tcW w:w="1985" w:type="dxa"/>
          </w:tcPr>
          <w:p w14:paraId="7CE176F2"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Intestine (GIT)</w:t>
            </w:r>
          </w:p>
        </w:tc>
        <w:tc>
          <w:tcPr>
            <w:tcW w:w="5682" w:type="dxa"/>
          </w:tcPr>
          <w:p w14:paraId="709D21BD"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Intestinal inflammation, villi damage, abnormal mucus secretion</w:t>
            </w:r>
          </w:p>
        </w:tc>
      </w:tr>
      <w:tr w:rsidR="00625E61" w14:paraId="78D5432F" w14:textId="77777777">
        <w:trPr>
          <w:trHeight w:val="275"/>
        </w:trPr>
        <w:tc>
          <w:tcPr>
            <w:tcW w:w="1686" w:type="dxa"/>
          </w:tcPr>
          <w:p w14:paraId="266C2ACB"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1EB278D4"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Liver</w:t>
            </w:r>
          </w:p>
        </w:tc>
        <w:tc>
          <w:tcPr>
            <w:tcW w:w="5682" w:type="dxa"/>
          </w:tcPr>
          <w:p w14:paraId="3FD210A4"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 xml:space="preserve">Hepatotoxicity, mild liver </w:t>
            </w:r>
            <w:r>
              <w:rPr>
                <w:color w:val="000000"/>
                <w:sz w:val="24"/>
                <w:szCs w:val="24"/>
              </w:rPr>
              <w:t>injury, altered liver enzymes</w:t>
            </w:r>
          </w:p>
        </w:tc>
      </w:tr>
      <w:tr w:rsidR="00625E61" w14:paraId="69A8B15B" w14:textId="77777777">
        <w:trPr>
          <w:trHeight w:val="275"/>
        </w:trPr>
        <w:tc>
          <w:tcPr>
            <w:tcW w:w="1686" w:type="dxa"/>
          </w:tcPr>
          <w:p w14:paraId="287F5996"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389C9E8B"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Kidney</w:t>
            </w:r>
          </w:p>
        </w:tc>
        <w:tc>
          <w:tcPr>
            <w:tcW w:w="5682" w:type="dxa"/>
          </w:tcPr>
          <w:p w14:paraId="6B7B062C"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Nephrotoxicity (impaired kidney function)</w:t>
            </w:r>
          </w:p>
        </w:tc>
      </w:tr>
      <w:tr w:rsidR="00625E61" w14:paraId="797DDB94" w14:textId="77777777">
        <w:trPr>
          <w:trHeight w:val="275"/>
        </w:trPr>
        <w:tc>
          <w:tcPr>
            <w:tcW w:w="1686" w:type="dxa"/>
          </w:tcPr>
          <w:p w14:paraId="07A8D524"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73057AD3"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Immune System</w:t>
            </w:r>
          </w:p>
        </w:tc>
        <w:tc>
          <w:tcPr>
            <w:tcW w:w="5682" w:type="dxa"/>
          </w:tcPr>
          <w:p w14:paraId="3445EC0F"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Lymphocyte infiltration, immune activation</w:t>
            </w:r>
          </w:p>
        </w:tc>
      </w:tr>
      <w:tr w:rsidR="00625E61" w14:paraId="3835C0F3" w14:textId="77777777">
        <w:trPr>
          <w:trHeight w:val="555"/>
        </w:trPr>
        <w:tc>
          <w:tcPr>
            <w:tcW w:w="1686" w:type="dxa"/>
          </w:tcPr>
          <w:p w14:paraId="6C5DBEB0" w14:textId="77777777" w:rsidR="00625E61" w:rsidRDefault="005C4DDE" w:rsidP="00347E8D">
            <w:pPr>
              <w:pBdr>
                <w:top w:val="nil"/>
                <w:left w:val="nil"/>
                <w:bottom w:val="nil"/>
                <w:right w:val="nil"/>
                <w:between w:val="nil"/>
              </w:pBdr>
              <w:tabs>
                <w:tab w:val="left" w:pos="9356"/>
              </w:tabs>
              <w:spacing w:before="1" w:line="275" w:lineRule="auto"/>
              <w:ind w:left="110"/>
              <w:rPr>
                <w:color w:val="000000"/>
                <w:sz w:val="24"/>
                <w:szCs w:val="24"/>
              </w:rPr>
            </w:pPr>
            <w:r>
              <w:rPr>
                <w:color w:val="000000"/>
                <w:sz w:val="24"/>
                <w:szCs w:val="24"/>
              </w:rPr>
              <w:t>Titanium</w:t>
            </w:r>
          </w:p>
          <w:p w14:paraId="636964F0" w14:textId="77777777" w:rsidR="00625E61" w:rsidRDefault="005C4DDE" w:rsidP="00347E8D">
            <w:pPr>
              <w:pBdr>
                <w:top w:val="nil"/>
                <w:left w:val="nil"/>
                <w:bottom w:val="nil"/>
                <w:right w:val="nil"/>
                <w:between w:val="nil"/>
              </w:pBdr>
              <w:tabs>
                <w:tab w:val="left" w:pos="9356"/>
              </w:tabs>
              <w:spacing w:line="259" w:lineRule="auto"/>
              <w:ind w:left="110"/>
              <w:rPr>
                <w:color w:val="000000"/>
                <w:sz w:val="24"/>
                <w:szCs w:val="24"/>
              </w:rPr>
            </w:pPr>
            <w:r>
              <w:rPr>
                <w:color w:val="000000"/>
                <w:sz w:val="24"/>
                <w:szCs w:val="24"/>
              </w:rPr>
              <w:t>dioxide NPs</w:t>
            </w:r>
          </w:p>
        </w:tc>
        <w:tc>
          <w:tcPr>
            <w:tcW w:w="1985" w:type="dxa"/>
          </w:tcPr>
          <w:p w14:paraId="5D5246E5"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Liver</w:t>
            </w:r>
          </w:p>
        </w:tc>
        <w:tc>
          <w:tcPr>
            <w:tcW w:w="5682" w:type="dxa"/>
          </w:tcPr>
          <w:p w14:paraId="387694C3"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Liver injury, hepatic inflammation, oxidative stress</w:t>
            </w:r>
          </w:p>
        </w:tc>
      </w:tr>
      <w:tr w:rsidR="00625E61" w14:paraId="2834A736" w14:textId="77777777">
        <w:trPr>
          <w:trHeight w:val="275"/>
        </w:trPr>
        <w:tc>
          <w:tcPr>
            <w:tcW w:w="1686" w:type="dxa"/>
          </w:tcPr>
          <w:p w14:paraId="01380864"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5DA69D32"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Kidney</w:t>
            </w:r>
          </w:p>
        </w:tc>
        <w:tc>
          <w:tcPr>
            <w:tcW w:w="5682" w:type="dxa"/>
          </w:tcPr>
          <w:p w14:paraId="5BE98232"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Kidney toxicity</w:t>
            </w:r>
          </w:p>
        </w:tc>
      </w:tr>
      <w:tr w:rsidR="00625E61" w14:paraId="466BFDF1" w14:textId="77777777">
        <w:trPr>
          <w:trHeight w:val="275"/>
        </w:trPr>
        <w:tc>
          <w:tcPr>
            <w:tcW w:w="1686" w:type="dxa"/>
          </w:tcPr>
          <w:p w14:paraId="06FF7D71"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127BFBB8"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Heart</w:t>
            </w:r>
          </w:p>
        </w:tc>
        <w:tc>
          <w:tcPr>
            <w:tcW w:w="5682" w:type="dxa"/>
          </w:tcPr>
          <w:p w14:paraId="39748701"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Cardiac damage (especially in young animals)</w:t>
            </w:r>
          </w:p>
        </w:tc>
      </w:tr>
      <w:tr w:rsidR="00625E61" w14:paraId="625677D6" w14:textId="77777777">
        <w:trPr>
          <w:trHeight w:val="275"/>
        </w:trPr>
        <w:tc>
          <w:tcPr>
            <w:tcW w:w="1686" w:type="dxa"/>
          </w:tcPr>
          <w:p w14:paraId="37F9D274"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060B860F"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Immune System</w:t>
            </w:r>
          </w:p>
        </w:tc>
        <w:tc>
          <w:tcPr>
            <w:tcW w:w="5682" w:type="dxa"/>
          </w:tcPr>
          <w:p w14:paraId="03229FBB"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Immune dysfunction, mast cell activation</w:t>
            </w:r>
          </w:p>
        </w:tc>
      </w:tr>
      <w:tr w:rsidR="00625E61" w14:paraId="78BBCA7E" w14:textId="77777777">
        <w:trPr>
          <w:trHeight w:val="275"/>
        </w:trPr>
        <w:tc>
          <w:tcPr>
            <w:tcW w:w="1686" w:type="dxa"/>
          </w:tcPr>
          <w:p w14:paraId="2A4041B6"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7E259BFC"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GIT</w:t>
            </w:r>
          </w:p>
        </w:tc>
        <w:tc>
          <w:tcPr>
            <w:tcW w:w="5682" w:type="dxa"/>
          </w:tcPr>
          <w:p w14:paraId="03DE0D95"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Potential disruption of the gut barrier in high doses</w:t>
            </w:r>
          </w:p>
        </w:tc>
      </w:tr>
      <w:tr w:rsidR="00625E61" w14:paraId="244C388F" w14:textId="77777777">
        <w:trPr>
          <w:trHeight w:val="555"/>
        </w:trPr>
        <w:tc>
          <w:tcPr>
            <w:tcW w:w="1686" w:type="dxa"/>
          </w:tcPr>
          <w:p w14:paraId="57543AE9"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Iron oxide</w:t>
            </w:r>
          </w:p>
          <w:p w14:paraId="5564CF4A" w14:textId="77777777" w:rsidR="00625E61" w:rsidRDefault="005C4DDE" w:rsidP="00347E8D">
            <w:pPr>
              <w:pBdr>
                <w:top w:val="nil"/>
                <w:left w:val="nil"/>
                <w:bottom w:val="nil"/>
                <w:right w:val="nil"/>
                <w:between w:val="nil"/>
              </w:pBdr>
              <w:tabs>
                <w:tab w:val="left" w:pos="9356"/>
              </w:tabs>
              <w:spacing w:before="4" w:line="254" w:lineRule="auto"/>
              <w:ind w:left="110"/>
              <w:rPr>
                <w:color w:val="000000"/>
                <w:sz w:val="24"/>
                <w:szCs w:val="24"/>
              </w:rPr>
            </w:pPr>
            <w:r>
              <w:rPr>
                <w:color w:val="000000"/>
                <w:sz w:val="24"/>
                <w:szCs w:val="24"/>
              </w:rPr>
              <w:t>nanoparticles</w:t>
            </w:r>
          </w:p>
        </w:tc>
        <w:tc>
          <w:tcPr>
            <w:tcW w:w="1985" w:type="dxa"/>
          </w:tcPr>
          <w:p w14:paraId="17713123"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Liver</w:t>
            </w:r>
          </w:p>
        </w:tc>
        <w:tc>
          <w:tcPr>
            <w:tcW w:w="5682" w:type="dxa"/>
          </w:tcPr>
          <w:p w14:paraId="6C76CABA" w14:textId="77777777" w:rsidR="00625E61" w:rsidRDefault="005C4DDE" w:rsidP="00347E8D">
            <w:pPr>
              <w:pBdr>
                <w:top w:val="nil"/>
                <w:left w:val="nil"/>
                <w:bottom w:val="nil"/>
                <w:right w:val="nil"/>
                <w:between w:val="nil"/>
              </w:pBdr>
              <w:tabs>
                <w:tab w:val="left" w:pos="9356"/>
              </w:tabs>
              <w:spacing w:line="280" w:lineRule="auto"/>
              <w:ind w:left="110"/>
              <w:rPr>
                <w:color w:val="000000"/>
                <w:sz w:val="24"/>
                <w:szCs w:val="24"/>
              </w:rPr>
            </w:pPr>
            <w:r>
              <w:rPr>
                <w:color w:val="000000"/>
                <w:sz w:val="24"/>
                <w:szCs w:val="24"/>
              </w:rPr>
              <w:t>Possible oxidative stress–related liver injury (at high doses)</w:t>
            </w:r>
          </w:p>
        </w:tc>
      </w:tr>
      <w:tr w:rsidR="00625E61" w14:paraId="6D8530F5" w14:textId="77777777">
        <w:trPr>
          <w:trHeight w:val="270"/>
        </w:trPr>
        <w:tc>
          <w:tcPr>
            <w:tcW w:w="1686" w:type="dxa"/>
          </w:tcPr>
          <w:p w14:paraId="1B228A83"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17287EC9" w14:textId="77777777" w:rsidR="00625E61" w:rsidRDefault="005C4DDE" w:rsidP="00347E8D">
            <w:pPr>
              <w:pBdr>
                <w:top w:val="nil"/>
                <w:left w:val="nil"/>
                <w:bottom w:val="nil"/>
                <w:right w:val="nil"/>
                <w:between w:val="nil"/>
              </w:pBdr>
              <w:tabs>
                <w:tab w:val="left" w:pos="9356"/>
              </w:tabs>
              <w:spacing w:line="250" w:lineRule="auto"/>
              <w:ind w:left="110"/>
              <w:rPr>
                <w:color w:val="000000"/>
                <w:sz w:val="24"/>
                <w:szCs w:val="24"/>
              </w:rPr>
            </w:pPr>
            <w:r>
              <w:rPr>
                <w:color w:val="000000"/>
                <w:sz w:val="24"/>
                <w:szCs w:val="24"/>
              </w:rPr>
              <w:t>Kidney</w:t>
            </w:r>
          </w:p>
        </w:tc>
        <w:tc>
          <w:tcPr>
            <w:tcW w:w="5682" w:type="dxa"/>
          </w:tcPr>
          <w:p w14:paraId="0794AB88" w14:textId="77777777" w:rsidR="00625E61" w:rsidRDefault="005C4DDE" w:rsidP="00347E8D">
            <w:pPr>
              <w:pBdr>
                <w:top w:val="nil"/>
                <w:left w:val="nil"/>
                <w:bottom w:val="nil"/>
                <w:right w:val="nil"/>
                <w:between w:val="nil"/>
              </w:pBdr>
              <w:tabs>
                <w:tab w:val="left" w:pos="9356"/>
              </w:tabs>
              <w:spacing w:line="250" w:lineRule="auto"/>
              <w:ind w:left="110"/>
              <w:rPr>
                <w:color w:val="000000"/>
                <w:sz w:val="24"/>
                <w:szCs w:val="24"/>
              </w:rPr>
            </w:pPr>
            <w:r>
              <w:rPr>
                <w:color w:val="000000"/>
                <w:sz w:val="24"/>
                <w:szCs w:val="24"/>
              </w:rPr>
              <w:t>Potential kidney stress (rare; mainly high doses)</w:t>
            </w:r>
          </w:p>
        </w:tc>
      </w:tr>
      <w:tr w:rsidR="00625E61" w14:paraId="2AF932DB" w14:textId="77777777">
        <w:trPr>
          <w:trHeight w:val="550"/>
        </w:trPr>
        <w:tc>
          <w:tcPr>
            <w:tcW w:w="1686" w:type="dxa"/>
          </w:tcPr>
          <w:p w14:paraId="29B41BD2" w14:textId="77777777" w:rsidR="00625E61" w:rsidRDefault="00625E61" w:rsidP="00347E8D">
            <w:pPr>
              <w:pBdr>
                <w:top w:val="nil"/>
                <w:left w:val="nil"/>
                <w:bottom w:val="nil"/>
                <w:right w:val="nil"/>
                <w:between w:val="nil"/>
              </w:pBdr>
              <w:tabs>
                <w:tab w:val="left" w:pos="9356"/>
              </w:tabs>
              <w:rPr>
                <w:color w:val="000000"/>
                <w:sz w:val="24"/>
                <w:szCs w:val="24"/>
              </w:rPr>
            </w:pPr>
          </w:p>
        </w:tc>
        <w:tc>
          <w:tcPr>
            <w:tcW w:w="1985" w:type="dxa"/>
          </w:tcPr>
          <w:p w14:paraId="7D9C01A8"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Blood</w:t>
            </w:r>
          </w:p>
        </w:tc>
        <w:tc>
          <w:tcPr>
            <w:tcW w:w="5682" w:type="dxa"/>
          </w:tcPr>
          <w:p w14:paraId="64F876FA" w14:textId="77777777" w:rsidR="00625E61" w:rsidRDefault="005C4DDE" w:rsidP="00347E8D">
            <w:pPr>
              <w:pBdr>
                <w:top w:val="nil"/>
                <w:left w:val="nil"/>
                <w:bottom w:val="nil"/>
                <w:right w:val="nil"/>
                <w:between w:val="nil"/>
              </w:pBdr>
              <w:tabs>
                <w:tab w:val="left" w:pos="9356"/>
              </w:tabs>
              <w:spacing w:line="276" w:lineRule="auto"/>
              <w:ind w:left="110"/>
              <w:rPr>
                <w:color w:val="000000"/>
                <w:sz w:val="24"/>
                <w:szCs w:val="24"/>
              </w:rPr>
            </w:pPr>
            <w:r>
              <w:rPr>
                <w:rFonts w:ascii="Cardo" w:eastAsia="Cardo" w:hAnsi="Cardo" w:cs="Cardo"/>
                <w:color w:val="000000"/>
                <w:sz w:val="24"/>
                <w:szCs w:val="24"/>
              </w:rPr>
              <w:t>ROS (reactive oxygen species) generation → oxidative stress–related conditions</w:t>
            </w:r>
          </w:p>
        </w:tc>
      </w:tr>
      <w:tr w:rsidR="00625E61" w14:paraId="6C588255" w14:textId="77777777">
        <w:trPr>
          <w:trHeight w:val="278"/>
        </w:trPr>
        <w:tc>
          <w:tcPr>
            <w:tcW w:w="1686" w:type="dxa"/>
          </w:tcPr>
          <w:p w14:paraId="3520D3D3" w14:textId="77777777" w:rsidR="00625E61" w:rsidRDefault="005C4DDE" w:rsidP="00347E8D">
            <w:pPr>
              <w:pBdr>
                <w:top w:val="nil"/>
                <w:left w:val="nil"/>
                <w:bottom w:val="nil"/>
                <w:right w:val="nil"/>
                <w:between w:val="nil"/>
              </w:pBdr>
              <w:tabs>
                <w:tab w:val="left" w:pos="9356"/>
              </w:tabs>
              <w:spacing w:line="258" w:lineRule="auto"/>
              <w:ind w:left="110"/>
              <w:rPr>
                <w:color w:val="000000"/>
                <w:sz w:val="24"/>
                <w:szCs w:val="24"/>
              </w:rPr>
            </w:pPr>
            <w:proofErr w:type="spellStart"/>
            <w:r>
              <w:rPr>
                <w:color w:val="000000"/>
                <w:sz w:val="24"/>
                <w:szCs w:val="24"/>
              </w:rPr>
              <w:t>ZnO</w:t>
            </w:r>
            <w:proofErr w:type="spellEnd"/>
            <w:r>
              <w:rPr>
                <w:color w:val="000000"/>
                <w:sz w:val="24"/>
                <w:szCs w:val="24"/>
              </w:rPr>
              <w:t xml:space="preserve"> NPs</w:t>
            </w:r>
          </w:p>
        </w:tc>
        <w:tc>
          <w:tcPr>
            <w:tcW w:w="1985" w:type="dxa"/>
          </w:tcPr>
          <w:p w14:paraId="476B1E71" w14:textId="77777777" w:rsidR="00625E61" w:rsidRDefault="005C4DDE" w:rsidP="00347E8D">
            <w:pPr>
              <w:pBdr>
                <w:top w:val="nil"/>
                <w:left w:val="nil"/>
                <w:bottom w:val="nil"/>
                <w:right w:val="nil"/>
                <w:between w:val="nil"/>
              </w:pBdr>
              <w:tabs>
                <w:tab w:val="left" w:pos="9356"/>
              </w:tabs>
              <w:spacing w:line="258" w:lineRule="auto"/>
              <w:ind w:left="110"/>
              <w:rPr>
                <w:color w:val="000000"/>
                <w:sz w:val="24"/>
                <w:szCs w:val="24"/>
              </w:rPr>
            </w:pPr>
            <w:r>
              <w:rPr>
                <w:color w:val="000000"/>
                <w:sz w:val="24"/>
                <w:szCs w:val="24"/>
              </w:rPr>
              <w:t>Liver</w:t>
            </w:r>
          </w:p>
        </w:tc>
        <w:tc>
          <w:tcPr>
            <w:tcW w:w="5682" w:type="dxa"/>
          </w:tcPr>
          <w:p w14:paraId="737BB841" w14:textId="77777777" w:rsidR="00625E61" w:rsidRDefault="005C4DDE" w:rsidP="00347E8D">
            <w:pPr>
              <w:pBdr>
                <w:top w:val="nil"/>
                <w:left w:val="nil"/>
                <w:bottom w:val="nil"/>
                <w:right w:val="nil"/>
                <w:between w:val="nil"/>
              </w:pBdr>
              <w:tabs>
                <w:tab w:val="left" w:pos="9356"/>
              </w:tabs>
              <w:spacing w:line="258" w:lineRule="auto"/>
              <w:ind w:left="110"/>
              <w:rPr>
                <w:color w:val="000000"/>
                <w:sz w:val="24"/>
                <w:szCs w:val="24"/>
              </w:rPr>
            </w:pPr>
            <w:r>
              <w:rPr>
                <w:color w:val="000000"/>
                <w:sz w:val="24"/>
                <w:szCs w:val="24"/>
              </w:rPr>
              <w:t>Liver damage, inflammation</w:t>
            </w:r>
          </w:p>
        </w:tc>
      </w:tr>
      <w:tr w:rsidR="00625E61" w14:paraId="29C5B37C" w14:textId="77777777">
        <w:trPr>
          <w:trHeight w:val="275"/>
        </w:trPr>
        <w:tc>
          <w:tcPr>
            <w:tcW w:w="1686" w:type="dxa"/>
          </w:tcPr>
          <w:p w14:paraId="1A8CE64D"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2A6BCF59"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Kidney</w:t>
            </w:r>
          </w:p>
        </w:tc>
        <w:tc>
          <w:tcPr>
            <w:tcW w:w="5682" w:type="dxa"/>
          </w:tcPr>
          <w:p w14:paraId="04FE45BA"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Nephrotoxicity</w:t>
            </w:r>
          </w:p>
        </w:tc>
      </w:tr>
      <w:tr w:rsidR="00625E61" w14:paraId="3C9D5E82" w14:textId="77777777">
        <w:trPr>
          <w:trHeight w:val="275"/>
        </w:trPr>
        <w:tc>
          <w:tcPr>
            <w:tcW w:w="1686" w:type="dxa"/>
          </w:tcPr>
          <w:p w14:paraId="20835764"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69BC6BC5"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Lung</w:t>
            </w:r>
          </w:p>
        </w:tc>
        <w:tc>
          <w:tcPr>
            <w:tcW w:w="5682" w:type="dxa"/>
          </w:tcPr>
          <w:p w14:paraId="7C7F599A"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 xml:space="preserve">Lung inflammation (from systemic </w:t>
            </w:r>
            <w:r>
              <w:rPr>
                <w:color w:val="000000"/>
                <w:sz w:val="24"/>
                <w:szCs w:val="24"/>
              </w:rPr>
              <w:t>distribution)</w:t>
            </w:r>
          </w:p>
        </w:tc>
      </w:tr>
      <w:tr w:rsidR="00625E61" w14:paraId="0FFA4A88" w14:textId="77777777">
        <w:trPr>
          <w:trHeight w:val="275"/>
        </w:trPr>
        <w:tc>
          <w:tcPr>
            <w:tcW w:w="1686" w:type="dxa"/>
          </w:tcPr>
          <w:p w14:paraId="7C3F7AEA" w14:textId="77777777" w:rsidR="00625E61" w:rsidRDefault="00625E61" w:rsidP="00347E8D">
            <w:pPr>
              <w:pBdr>
                <w:top w:val="nil"/>
                <w:left w:val="nil"/>
                <w:bottom w:val="nil"/>
                <w:right w:val="nil"/>
                <w:between w:val="nil"/>
              </w:pBdr>
              <w:tabs>
                <w:tab w:val="left" w:pos="9356"/>
              </w:tabs>
              <w:rPr>
                <w:color w:val="000000"/>
                <w:sz w:val="20"/>
                <w:szCs w:val="20"/>
              </w:rPr>
            </w:pPr>
          </w:p>
        </w:tc>
        <w:tc>
          <w:tcPr>
            <w:tcW w:w="1985" w:type="dxa"/>
          </w:tcPr>
          <w:p w14:paraId="2A5B4D1C"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Intestine</w:t>
            </w:r>
          </w:p>
        </w:tc>
        <w:tc>
          <w:tcPr>
            <w:tcW w:w="5682" w:type="dxa"/>
          </w:tcPr>
          <w:p w14:paraId="0BA9E672" w14:textId="77777777" w:rsidR="00625E61" w:rsidRDefault="005C4DDE" w:rsidP="00347E8D">
            <w:pPr>
              <w:pBdr>
                <w:top w:val="nil"/>
                <w:left w:val="nil"/>
                <w:bottom w:val="nil"/>
                <w:right w:val="nil"/>
                <w:between w:val="nil"/>
              </w:pBdr>
              <w:tabs>
                <w:tab w:val="left" w:pos="9356"/>
              </w:tabs>
              <w:spacing w:before="1" w:line="254" w:lineRule="auto"/>
              <w:ind w:left="110"/>
              <w:rPr>
                <w:color w:val="000000"/>
                <w:sz w:val="24"/>
                <w:szCs w:val="24"/>
              </w:rPr>
            </w:pPr>
            <w:r>
              <w:rPr>
                <w:color w:val="000000"/>
                <w:sz w:val="24"/>
                <w:szCs w:val="24"/>
              </w:rPr>
              <w:t>Increased permeability; inflammation</w:t>
            </w:r>
          </w:p>
        </w:tc>
      </w:tr>
      <w:tr w:rsidR="00625E61" w14:paraId="4D802AF4" w14:textId="77777777">
        <w:trPr>
          <w:trHeight w:val="555"/>
        </w:trPr>
        <w:tc>
          <w:tcPr>
            <w:tcW w:w="1686" w:type="dxa"/>
          </w:tcPr>
          <w:p w14:paraId="1009EFD8" w14:textId="77777777" w:rsidR="00625E61" w:rsidRDefault="005C4DDE" w:rsidP="00347E8D">
            <w:pPr>
              <w:pBdr>
                <w:top w:val="nil"/>
                <w:left w:val="nil"/>
                <w:bottom w:val="nil"/>
                <w:right w:val="nil"/>
                <w:between w:val="nil"/>
              </w:pBdr>
              <w:tabs>
                <w:tab w:val="left" w:pos="9356"/>
              </w:tabs>
              <w:spacing w:line="276" w:lineRule="auto"/>
              <w:ind w:left="110" w:right="580"/>
              <w:rPr>
                <w:color w:val="000000"/>
                <w:sz w:val="24"/>
                <w:szCs w:val="24"/>
              </w:rPr>
            </w:pPr>
            <w:r>
              <w:rPr>
                <w:color w:val="000000"/>
                <w:sz w:val="24"/>
                <w:szCs w:val="24"/>
              </w:rPr>
              <w:t>Lipid NPs (organic)</w:t>
            </w:r>
          </w:p>
        </w:tc>
        <w:tc>
          <w:tcPr>
            <w:tcW w:w="1985" w:type="dxa"/>
          </w:tcPr>
          <w:p w14:paraId="6842D9EE"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Liver</w:t>
            </w:r>
          </w:p>
        </w:tc>
        <w:tc>
          <w:tcPr>
            <w:tcW w:w="5682" w:type="dxa"/>
          </w:tcPr>
          <w:p w14:paraId="67AF5C98" w14:textId="77777777" w:rsidR="00625E61" w:rsidRDefault="005C4DDE" w:rsidP="00347E8D">
            <w:pPr>
              <w:pBdr>
                <w:top w:val="nil"/>
                <w:left w:val="nil"/>
                <w:bottom w:val="nil"/>
                <w:right w:val="nil"/>
                <w:between w:val="nil"/>
              </w:pBdr>
              <w:tabs>
                <w:tab w:val="left" w:pos="9356"/>
              </w:tabs>
              <w:spacing w:line="276" w:lineRule="auto"/>
              <w:ind w:left="110" w:right="108"/>
              <w:rPr>
                <w:color w:val="000000"/>
                <w:sz w:val="24"/>
                <w:szCs w:val="24"/>
              </w:rPr>
            </w:pPr>
            <w:r>
              <w:rPr>
                <w:color w:val="000000"/>
                <w:sz w:val="24"/>
                <w:szCs w:val="24"/>
              </w:rPr>
              <w:t>Potential accumulation only if indigestible oils are used—no confirmed diseases</w:t>
            </w:r>
          </w:p>
        </w:tc>
      </w:tr>
      <w:tr w:rsidR="00625E61" w14:paraId="512FAD2C" w14:textId="77777777">
        <w:trPr>
          <w:trHeight w:val="550"/>
        </w:trPr>
        <w:tc>
          <w:tcPr>
            <w:tcW w:w="1686" w:type="dxa"/>
          </w:tcPr>
          <w:p w14:paraId="48FCB685" w14:textId="77777777" w:rsidR="00625E61" w:rsidRDefault="005C4DDE" w:rsidP="00347E8D">
            <w:pPr>
              <w:pBdr>
                <w:top w:val="nil"/>
                <w:left w:val="nil"/>
                <w:bottom w:val="nil"/>
                <w:right w:val="nil"/>
                <w:between w:val="nil"/>
              </w:pBdr>
              <w:tabs>
                <w:tab w:val="left" w:pos="9356"/>
              </w:tabs>
              <w:spacing w:line="276" w:lineRule="auto"/>
              <w:ind w:left="110"/>
              <w:rPr>
                <w:color w:val="000000"/>
                <w:sz w:val="24"/>
                <w:szCs w:val="24"/>
              </w:rPr>
            </w:pPr>
            <w:r>
              <w:rPr>
                <w:color w:val="000000"/>
                <w:sz w:val="24"/>
                <w:szCs w:val="24"/>
              </w:rPr>
              <w:t>Carbohydrate nanoparticles</w:t>
            </w:r>
          </w:p>
        </w:tc>
        <w:tc>
          <w:tcPr>
            <w:tcW w:w="1985" w:type="dxa"/>
          </w:tcPr>
          <w:p w14:paraId="21F2EB07" w14:textId="77777777" w:rsidR="00625E61" w:rsidRDefault="005C4DDE" w:rsidP="00347E8D">
            <w:pPr>
              <w:pBdr>
                <w:top w:val="nil"/>
                <w:left w:val="nil"/>
                <w:bottom w:val="nil"/>
                <w:right w:val="nil"/>
                <w:between w:val="nil"/>
              </w:pBdr>
              <w:tabs>
                <w:tab w:val="left" w:pos="9356"/>
              </w:tabs>
              <w:spacing w:before="1"/>
              <w:ind w:left="110"/>
              <w:rPr>
                <w:color w:val="000000"/>
                <w:sz w:val="24"/>
                <w:szCs w:val="24"/>
              </w:rPr>
            </w:pPr>
            <w:r>
              <w:rPr>
                <w:color w:val="000000"/>
                <w:sz w:val="24"/>
                <w:szCs w:val="24"/>
              </w:rPr>
              <w:t>GIT</w:t>
            </w:r>
          </w:p>
        </w:tc>
        <w:tc>
          <w:tcPr>
            <w:tcW w:w="5682" w:type="dxa"/>
          </w:tcPr>
          <w:p w14:paraId="7F2F35CB" w14:textId="77777777" w:rsidR="00625E61" w:rsidRDefault="005C4DDE" w:rsidP="00347E8D">
            <w:pPr>
              <w:pBdr>
                <w:top w:val="nil"/>
                <w:left w:val="nil"/>
                <w:bottom w:val="nil"/>
                <w:right w:val="nil"/>
                <w:between w:val="nil"/>
              </w:pBdr>
              <w:tabs>
                <w:tab w:val="left" w:pos="9356"/>
              </w:tabs>
              <w:spacing w:line="276" w:lineRule="auto"/>
              <w:ind w:left="110"/>
              <w:rPr>
                <w:color w:val="000000"/>
                <w:sz w:val="24"/>
                <w:szCs w:val="24"/>
              </w:rPr>
            </w:pPr>
            <w:r>
              <w:rPr>
                <w:color w:val="000000"/>
                <w:sz w:val="24"/>
                <w:szCs w:val="24"/>
              </w:rPr>
              <w:t xml:space="preserve">Usually, no disease; fermentable </w:t>
            </w:r>
            <w:proofErr w:type="spellStart"/>
            <w:r>
              <w:rPr>
                <w:color w:val="000000"/>
                <w:sz w:val="24"/>
                <w:szCs w:val="24"/>
              </w:rPr>
              <w:t>fibres</w:t>
            </w:r>
            <w:proofErr w:type="spellEnd"/>
            <w:r>
              <w:rPr>
                <w:color w:val="000000"/>
                <w:sz w:val="24"/>
                <w:szCs w:val="24"/>
              </w:rPr>
              <w:t xml:space="preserve"> may cause mild</w:t>
            </w:r>
            <w:r>
              <w:rPr>
                <w:color w:val="000000"/>
                <w:sz w:val="24"/>
                <w:szCs w:val="24"/>
              </w:rPr>
              <w:t xml:space="preserve"> gas/bloating (not a disease)</w:t>
            </w:r>
          </w:p>
        </w:tc>
      </w:tr>
      <w:tr w:rsidR="00625E61" w14:paraId="301FFD6E" w14:textId="77777777">
        <w:trPr>
          <w:trHeight w:val="548"/>
        </w:trPr>
        <w:tc>
          <w:tcPr>
            <w:tcW w:w="1686" w:type="dxa"/>
          </w:tcPr>
          <w:p w14:paraId="2D1357B6" w14:textId="77777777" w:rsidR="00625E61" w:rsidRDefault="005C4DDE" w:rsidP="00347E8D">
            <w:pPr>
              <w:pBdr>
                <w:top w:val="nil"/>
                <w:left w:val="nil"/>
                <w:bottom w:val="nil"/>
                <w:right w:val="nil"/>
                <w:between w:val="nil"/>
              </w:pBdr>
              <w:tabs>
                <w:tab w:val="left" w:pos="9356"/>
              </w:tabs>
              <w:spacing w:line="275" w:lineRule="auto"/>
              <w:ind w:left="110"/>
              <w:rPr>
                <w:color w:val="000000"/>
                <w:sz w:val="24"/>
                <w:szCs w:val="24"/>
              </w:rPr>
            </w:pPr>
            <w:r>
              <w:rPr>
                <w:color w:val="000000"/>
                <w:sz w:val="24"/>
                <w:szCs w:val="24"/>
              </w:rPr>
              <w:t>Protein</w:t>
            </w:r>
          </w:p>
          <w:p w14:paraId="5A18BC14" w14:textId="77777777" w:rsidR="00625E61" w:rsidRDefault="005C4DDE" w:rsidP="00347E8D">
            <w:pPr>
              <w:pBdr>
                <w:top w:val="nil"/>
                <w:left w:val="nil"/>
                <w:bottom w:val="nil"/>
                <w:right w:val="nil"/>
                <w:between w:val="nil"/>
              </w:pBdr>
              <w:tabs>
                <w:tab w:val="left" w:pos="9356"/>
              </w:tabs>
              <w:spacing w:line="254" w:lineRule="auto"/>
              <w:ind w:left="110"/>
              <w:rPr>
                <w:color w:val="000000"/>
                <w:sz w:val="24"/>
                <w:szCs w:val="24"/>
              </w:rPr>
            </w:pPr>
            <w:r>
              <w:rPr>
                <w:color w:val="000000"/>
                <w:sz w:val="24"/>
                <w:szCs w:val="24"/>
              </w:rPr>
              <w:t>nanoparticles</w:t>
            </w:r>
          </w:p>
        </w:tc>
        <w:tc>
          <w:tcPr>
            <w:tcW w:w="1985" w:type="dxa"/>
          </w:tcPr>
          <w:p w14:paraId="01F438BD" w14:textId="77777777" w:rsidR="00625E61" w:rsidRDefault="005C4DDE" w:rsidP="00347E8D">
            <w:pPr>
              <w:pBdr>
                <w:top w:val="nil"/>
                <w:left w:val="nil"/>
                <w:bottom w:val="nil"/>
                <w:right w:val="nil"/>
                <w:between w:val="nil"/>
              </w:pBdr>
              <w:tabs>
                <w:tab w:val="left" w:pos="9356"/>
              </w:tabs>
              <w:spacing w:line="275" w:lineRule="auto"/>
              <w:ind w:left="110"/>
              <w:rPr>
                <w:color w:val="000000"/>
                <w:sz w:val="24"/>
                <w:szCs w:val="24"/>
              </w:rPr>
            </w:pPr>
            <w:r>
              <w:rPr>
                <w:color w:val="000000"/>
                <w:sz w:val="24"/>
                <w:szCs w:val="24"/>
              </w:rPr>
              <w:t>GIT</w:t>
            </w:r>
          </w:p>
        </w:tc>
        <w:tc>
          <w:tcPr>
            <w:tcW w:w="5682" w:type="dxa"/>
          </w:tcPr>
          <w:p w14:paraId="11316C9A" w14:textId="77777777" w:rsidR="00625E61" w:rsidRDefault="005C4DDE" w:rsidP="00347E8D">
            <w:pPr>
              <w:pBdr>
                <w:top w:val="nil"/>
                <w:left w:val="nil"/>
                <w:bottom w:val="nil"/>
                <w:right w:val="nil"/>
                <w:between w:val="nil"/>
              </w:pBdr>
              <w:tabs>
                <w:tab w:val="left" w:pos="9356"/>
              </w:tabs>
              <w:spacing w:line="276" w:lineRule="auto"/>
              <w:ind w:left="110" w:right="108"/>
              <w:rPr>
                <w:color w:val="000000"/>
                <w:sz w:val="24"/>
                <w:szCs w:val="24"/>
              </w:rPr>
            </w:pPr>
            <w:r>
              <w:rPr>
                <w:color w:val="000000"/>
                <w:sz w:val="24"/>
                <w:szCs w:val="24"/>
              </w:rPr>
              <w:t>Generally safe; no disease linked (casein micelles eaten for centuries)</w:t>
            </w:r>
          </w:p>
        </w:tc>
      </w:tr>
    </w:tbl>
    <w:p w14:paraId="564A3941" w14:textId="77777777" w:rsidR="00625E61" w:rsidRDefault="005C4DDE" w:rsidP="00347E8D">
      <w:pPr>
        <w:pBdr>
          <w:top w:val="nil"/>
          <w:left w:val="nil"/>
          <w:bottom w:val="nil"/>
          <w:right w:val="nil"/>
          <w:between w:val="nil"/>
        </w:pBdr>
        <w:tabs>
          <w:tab w:val="left" w:pos="9356"/>
        </w:tabs>
        <w:spacing w:before="192"/>
        <w:rPr>
          <w:sz w:val="24"/>
          <w:szCs w:val="24"/>
        </w:rPr>
      </w:pPr>
      <w:r>
        <w:rPr>
          <w:sz w:val="24"/>
          <w:szCs w:val="24"/>
        </w:rPr>
        <w:t xml:space="preserve">Source: </w:t>
      </w:r>
      <w:proofErr w:type="spellStart"/>
      <w:r>
        <w:rPr>
          <w:sz w:val="24"/>
          <w:szCs w:val="24"/>
        </w:rPr>
        <w:t>Ghebretatios</w:t>
      </w:r>
      <w:proofErr w:type="spellEnd"/>
      <w:r>
        <w:rPr>
          <w:sz w:val="24"/>
          <w:szCs w:val="24"/>
        </w:rPr>
        <w:t xml:space="preserve"> et al, 2021; Rahman et al., 2024, </w:t>
      </w:r>
    </w:p>
    <w:p w14:paraId="670F833E" w14:textId="77777777" w:rsidR="00D13B4B" w:rsidRDefault="00C93AE0" w:rsidP="00D13B4B">
      <w:pPr>
        <w:pBdr>
          <w:top w:val="nil"/>
          <w:left w:val="nil"/>
          <w:bottom w:val="nil"/>
          <w:right w:val="nil"/>
          <w:between w:val="nil"/>
        </w:pBdr>
        <w:tabs>
          <w:tab w:val="left" w:pos="9356"/>
        </w:tabs>
        <w:spacing w:before="192"/>
        <w:rPr>
          <w:b/>
          <w:bCs/>
          <w:sz w:val="24"/>
          <w:szCs w:val="24"/>
        </w:rPr>
      </w:pPr>
      <w:r>
        <w:rPr>
          <w:b/>
          <w:bCs/>
          <w:sz w:val="24"/>
          <w:szCs w:val="24"/>
        </w:rPr>
        <w:t xml:space="preserve">Risk </w:t>
      </w:r>
      <w:r w:rsidR="00D97E50">
        <w:rPr>
          <w:b/>
          <w:bCs/>
          <w:sz w:val="24"/>
          <w:szCs w:val="24"/>
        </w:rPr>
        <w:t xml:space="preserve">assessment </w:t>
      </w:r>
    </w:p>
    <w:p w14:paraId="5B12C1DD" w14:textId="7C81A564" w:rsidR="00FB5818" w:rsidRDefault="00B94E93" w:rsidP="00D13B4B">
      <w:pPr>
        <w:pBdr>
          <w:top w:val="nil"/>
          <w:left w:val="nil"/>
          <w:bottom w:val="nil"/>
          <w:right w:val="nil"/>
          <w:between w:val="nil"/>
        </w:pBdr>
        <w:tabs>
          <w:tab w:val="left" w:pos="9356"/>
        </w:tabs>
        <w:spacing w:before="192"/>
        <w:rPr>
          <w:sz w:val="24"/>
          <w:szCs w:val="24"/>
        </w:rPr>
      </w:pPr>
      <w:r w:rsidRPr="006B0014">
        <w:rPr>
          <w:sz w:val="24"/>
          <w:szCs w:val="24"/>
          <w:highlight w:val="yellow"/>
        </w:rPr>
        <w:t>Risk assessment is a systematic and science-based framework used to evaluate the potential harm associated with a hazard and to support informed decision-making</w:t>
      </w:r>
      <w:r w:rsidR="007B5C4D">
        <w:rPr>
          <w:sz w:val="24"/>
          <w:szCs w:val="24"/>
          <w:highlight w:val="yellow"/>
        </w:rPr>
        <w:t xml:space="preserve"> </w:t>
      </w:r>
      <w:r w:rsidR="00F435DC">
        <w:rPr>
          <w:sz w:val="24"/>
          <w:szCs w:val="24"/>
          <w:highlight w:val="yellow"/>
        </w:rPr>
        <w:fldChar w:fldCharType="begin" w:fldLock="1"/>
      </w:r>
      <w:r w:rsidR="00F435DC">
        <w:rPr>
          <w:sz w:val="24"/>
          <w:szCs w:val="24"/>
          <w:highlight w:val="yellow"/>
        </w:rPr>
        <w:instrText>ADDIN CSL_CITATION {"citationItems":[{"id":"ITEM-1","itemData":{"author":[{"dropping-particle":"","family":"Katnoriya","given":"Sonu","non-dropping-particle":"","parse-names":false,"suffix":""},{"dropping-particle":"","family":"Raj","given":"Punjab Shiv","non-dropping-particle":"","parse-names":false,"suffix":""},{"dropping-particle":"","family":"Pradesh","given":"Himachal","non-dropping-particle":"","parse-names":false,"suffix":""}],"id":"ITEM-1","issue":"4","issued":{"date-parts":[["2023"]]},"page":"685-691","title":"A Review of Research on Indian Food : Trends , Challenges and Opportunities","type":"article-journal","volume":"8"},"uris":["http://www.mendeley.com/documents/?uuid=073ac783-6179-467a-a361-d8449a295c47"]}],"mendeley":{"formattedCitation":"(Katnoriya et al., 2023)","plainTextFormattedCitation":"(Katnoriya et al., 2023)"},"properties":{"noteIndex":0},"schema":"https://github.com/citation-style-language/schema/raw/master/csl-citation.json"}</w:instrText>
      </w:r>
      <w:r w:rsidR="00F435DC">
        <w:rPr>
          <w:sz w:val="24"/>
          <w:szCs w:val="24"/>
          <w:highlight w:val="yellow"/>
        </w:rPr>
        <w:fldChar w:fldCharType="separate"/>
      </w:r>
      <w:r w:rsidR="00F435DC" w:rsidRPr="00F435DC">
        <w:rPr>
          <w:noProof/>
          <w:sz w:val="24"/>
          <w:szCs w:val="24"/>
          <w:highlight w:val="yellow"/>
        </w:rPr>
        <w:t>(Katnoriya et al., 2023)</w:t>
      </w:r>
      <w:r w:rsidR="00F435DC">
        <w:rPr>
          <w:sz w:val="24"/>
          <w:szCs w:val="24"/>
          <w:highlight w:val="yellow"/>
        </w:rPr>
        <w:fldChar w:fldCharType="end"/>
      </w:r>
      <w:r w:rsidRPr="006B0014">
        <w:rPr>
          <w:sz w:val="24"/>
          <w:szCs w:val="24"/>
          <w:highlight w:val="yellow"/>
        </w:rPr>
        <w:t xml:space="preserve">. It consists of four interrelated steps: hazard identification, hazard </w:t>
      </w:r>
      <w:proofErr w:type="spellStart"/>
      <w:r w:rsidR="00347E8D">
        <w:rPr>
          <w:sz w:val="24"/>
          <w:szCs w:val="24"/>
          <w:highlight w:val="yellow"/>
        </w:rPr>
        <w:t>characterisation</w:t>
      </w:r>
      <w:proofErr w:type="spellEnd"/>
      <w:r w:rsidRPr="006B0014">
        <w:rPr>
          <w:sz w:val="24"/>
          <w:szCs w:val="24"/>
          <w:highlight w:val="yellow"/>
        </w:rPr>
        <w:t xml:space="preserve">, exposure assessment, and risk </w:t>
      </w:r>
      <w:r w:rsidR="00A63E26">
        <w:rPr>
          <w:sz w:val="24"/>
          <w:szCs w:val="24"/>
          <w:highlight w:val="yellow"/>
        </w:rPr>
        <w:t>characterization</w:t>
      </w:r>
      <w:r w:rsidRPr="006B0014">
        <w:rPr>
          <w:sz w:val="24"/>
          <w:szCs w:val="24"/>
          <w:highlight w:val="yellow"/>
        </w:rPr>
        <w:t xml:space="preserve">. Hazard identification involves determining whether a biological, chemical, or physical agent has the potential to cause adverse health effects. Hazard characterization evaluates the nature and severity of these effects, including dose–response relationships. Exposure assessment estimates the magnitude, frequency, and duration of human or environmental exposure to the identified hazard through relevant pathways. Finally, risk </w:t>
      </w:r>
      <w:proofErr w:type="spellStart"/>
      <w:proofErr w:type="gramStart"/>
      <w:r w:rsidR="00D13B4B">
        <w:rPr>
          <w:sz w:val="24"/>
          <w:szCs w:val="24"/>
          <w:highlight w:val="yellow"/>
        </w:rPr>
        <w:t>characterisation</w:t>
      </w:r>
      <w:proofErr w:type="spellEnd"/>
      <w:r w:rsidR="00D13B4B">
        <w:rPr>
          <w:sz w:val="24"/>
          <w:szCs w:val="24"/>
          <w:highlight w:val="yellow"/>
        </w:rPr>
        <w:t xml:space="preserve"> </w:t>
      </w:r>
      <w:r w:rsidRPr="006B0014">
        <w:rPr>
          <w:sz w:val="24"/>
          <w:szCs w:val="24"/>
          <w:highlight w:val="yellow"/>
        </w:rPr>
        <w:t xml:space="preserve"> integrates</w:t>
      </w:r>
      <w:proofErr w:type="gramEnd"/>
      <w:r w:rsidRPr="006B0014">
        <w:rPr>
          <w:sz w:val="24"/>
          <w:szCs w:val="24"/>
          <w:highlight w:val="yellow"/>
        </w:rPr>
        <w:t xml:space="preserve"> information from the previous steps to provide an overall estimate of risk, including uncertainties and vulnerable populations. This structured framework enables transparent, objective, and evidence-based evaluation of risks and forms the foundation for effective risk management and communication strategies</w:t>
      </w:r>
      <w:r w:rsidR="00A07301">
        <w:rPr>
          <w:sz w:val="24"/>
          <w:szCs w:val="24"/>
          <w:highlight w:val="yellow"/>
        </w:rPr>
        <w:fldChar w:fldCharType="begin" w:fldLock="1"/>
      </w:r>
      <w:r w:rsidR="00F816AB">
        <w:rPr>
          <w:sz w:val="24"/>
          <w:szCs w:val="24"/>
          <w:highlight w:val="yellow"/>
        </w:rPr>
        <w:instrText>ADDIN CSL_CITATION {"citationItems":[{"id":"ITEM-1","itemData":{"abstract":"Adequate, nutritious, safe food is essential to human survival. The nation's agriculture and food marketing systems have evolved to provide food to a growing and increasingly sophisticated population. But food can also cause or convey risks to health and even life itself. Although estimates vary widely, there is agreement that foodborne illness is a serious problem. Complex processes built on advances in science and technology have been developed to evaluate and manage the risks associated with the changing nature of the food supply. Well-established systems control many food risks, but serious hazards to public health remain.[1] This paper presents a comprehensive examination of hazard-based and risk-based approaches in food safety regulation, advocating for a science-driven transition toward mainstreaming risk assessment within India's food safety framework. This paper briefly examines hazard analysis and its assessment based on research data, and outlines both hazard-based and risk-based approaches to food safety. It emphasizes the need for a science-driven transition toward mainstreaming risk assessment within India’s food safety regulatory framework. The report also explains core risk assessment principles, outlines global regulatory best practices (including those from the EU, Codex, and WHO/FAO), and evaluates modern tools such as Matrix , Decision tree, FDA-iRISK, and Risk Ranger. Additionally, it outlines key do’s and don’ts for policymakers and food business operators (FBOs) to support the development of an effective and practical risk analysis framework. Case studies from India and abroad—ranging from aflatoxin contamination in groundnuts to arsenic exposure through rice—demonstrate the real-world applicability of these frameworks. These analyses underscore how risk-based systems can better protect vulnerable populations, optimize resource allocation, reduce unnecessary trade disruptions, and prevent food waste","author":[{"dropping-particle":"","family":"Ms Neha Aggarwal, Ms Varsha Mishra","given":"Ms Shailly Jain","non-dropping-particle":"","parse-names":false,"suffix":""}],"id":"ITEM-1","issued":{"date-parts":[["2025"]]},"title":"Mainstreaming Risk Assessment for Robust and Resilient Food Systems","type":"article-journal"},"uris":["http://www.mendeley.com/documents/?uuid=05fa3237-fbb0-489b-b66f-55f3fed74979"]}],"mendeley":{"formattedCitation":"(Ms Neha Aggarwal, Ms Varsha Mishra, 2025)","plainTextFormattedCitation":"(Ms Neha Aggarwal, Ms Varsha Mishra, 2025)","previouslyFormattedCitation":"(Ms Neha Aggarwal, Ms Varsha Mishra, 2025)"},"properties":{"noteIndex":0},"schema":"https://github.com/citation-style-language/schema/raw/master/csl-citation.json"}</w:instrText>
      </w:r>
      <w:r w:rsidR="00A07301">
        <w:rPr>
          <w:sz w:val="24"/>
          <w:szCs w:val="24"/>
          <w:highlight w:val="yellow"/>
        </w:rPr>
        <w:fldChar w:fldCharType="separate"/>
      </w:r>
      <w:r w:rsidR="00E8627F" w:rsidRPr="00E8627F">
        <w:rPr>
          <w:noProof/>
          <w:sz w:val="24"/>
          <w:szCs w:val="24"/>
          <w:highlight w:val="yellow"/>
        </w:rPr>
        <w:t>(</w:t>
      </w:r>
      <w:proofErr w:type="spellStart"/>
      <w:r w:rsidR="00E8627F" w:rsidRPr="00E8627F">
        <w:rPr>
          <w:noProof/>
          <w:sz w:val="24"/>
          <w:szCs w:val="24"/>
          <w:highlight w:val="yellow"/>
        </w:rPr>
        <w:t>Ms</w:t>
      </w:r>
      <w:proofErr w:type="spellEnd"/>
      <w:r w:rsidR="00E8627F" w:rsidRPr="00E8627F">
        <w:rPr>
          <w:noProof/>
          <w:sz w:val="24"/>
          <w:szCs w:val="24"/>
          <w:highlight w:val="yellow"/>
        </w:rPr>
        <w:t xml:space="preserve"> Neha Aggarwal, Ms Varsha Mishra, 2025)</w:t>
      </w:r>
      <w:r w:rsidR="00A07301">
        <w:rPr>
          <w:sz w:val="24"/>
          <w:szCs w:val="24"/>
          <w:highlight w:val="yellow"/>
        </w:rPr>
        <w:fldChar w:fldCharType="end"/>
      </w:r>
      <w:r w:rsidR="00E8627F">
        <w:rPr>
          <w:sz w:val="24"/>
          <w:szCs w:val="24"/>
          <w:highlight w:val="yellow"/>
        </w:rPr>
        <w:fldChar w:fldCharType="begin" w:fldLock="1"/>
      </w:r>
      <w:r w:rsidR="00F816AB">
        <w:rPr>
          <w:sz w:val="24"/>
          <w:szCs w:val="24"/>
          <w:highlight w:val="yellow"/>
        </w:rPr>
        <w:instrText>ADDIN CSL_CITATION {"citationItems":[{"id":"ITEM-1","itemData":{"DOI":"https://doi.org/10.1016/j.gfs.2024.100802","ISSN":"2211-9124","abstract":"Food systems are composed of interrelated activities that transform agricultural products into food. Their operations need to meet several food security, food safety, and sustainability requirements. Therefore, risk assessment of food systems must be multidisciplinary and include food safety, nutrition, environmental, economics, and social criteria. However, combining these criteria to assess multiple impacts remains a challenge in complex and multi-stakeholder systems. Until now, only a few holistic assessments, whether domain-oriented or generic and with different levels of quantification, have covered all criteria and the whole food systems. We reviewed and presented the various assessment methods and their applications in food systems, highlighting their advantages and disadvantages. Recommendations were made for a tiered approach combining different holistic assessment methods.","author":[{"dropping-particle":"","family":"Országh","given":"Erika","non-dropping-particle":"","parse-names":false,"suffix":""},{"dropping-particle":"","family":"Matteu Monteiro","given":"Constanza","non-dropping-particle":"De","parse-names":false,"suffix":""},{"dropping-particle":"","family":"Pires","given":"Sara M","non-dropping-particle":"","parse-names":false,"suffix":""},{"dropping-particle":"","family":"Jóźwiak","given":"Ákos","non-dropping-particle":"","parse-names":false,"suffix":""},{"dropping-particle":"","family":"Marette","given":"Stéphan","non-dropping-particle":"","parse-names":false,"suffix":""},{"dropping-particle":"","family":"Membré","given":"Jeanne-Marie","non-dropping-particle":"","parse-names":false,"suffix":""},{"dropping-particle":"","family":"Feliciano","given":"Rodney J","non-dropping-particle":"","parse-names":false,"suffix":""}],"container-title":"Global Food Security","id":"ITEM-1","issued":{"date-parts":[["2024"]]},"page":"100802","title":"Holistic risk assessments of food systems","type":"article-journal","volume":"43"},"uris":["http://www.mendeley.com/documents/?uuid=b4f3d892-4412-4e08-9eba-c0baad79c71c"]}],"mendeley":{"formattedCitation":"(Országh et al., 2024)","plainTextFormattedCitation":"(Országh et al., 2024)","previouslyFormattedCitation":"(Országh et al., 2024)"},"properties":{"noteIndex":0},"schema":"https://github.com/citation-style-language/schema/raw/master/csl-citation.json"}</w:instrText>
      </w:r>
      <w:r w:rsidR="00E8627F">
        <w:rPr>
          <w:sz w:val="24"/>
          <w:szCs w:val="24"/>
          <w:highlight w:val="yellow"/>
        </w:rPr>
        <w:fldChar w:fldCharType="separate"/>
      </w:r>
      <w:r w:rsidR="00E8627F" w:rsidRPr="00E8627F">
        <w:rPr>
          <w:noProof/>
          <w:sz w:val="24"/>
          <w:szCs w:val="24"/>
          <w:highlight w:val="yellow"/>
        </w:rPr>
        <w:t>(Országh et al., 2024)</w:t>
      </w:r>
      <w:r w:rsidR="00E8627F">
        <w:rPr>
          <w:sz w:val="24"/>
          <w:szCs w:val="24"/>
          <w:highlight w:val="yellow"/>
        </w:rPr>
        <w:fldChar w:fldCharType="end"/>
      </w:r>
      <w:r w:rsidRPr="00B94E93">
        <w:rPr>
          <w:sz w:val="24"/>
          <w:szCs w:val="24"/>
        </w:rPr>
        <w:t>.</w:t>
      </w:r>
    </w:p>
    <w:p w14:paraId="387B42E8" w14:textId="1416A31E" w:rsidR="00D13B4B" w:rsidRPr="00D13B4B" w:rsidRDefault="00D13B4B" w:rsidP="00347E8D">
      <w:pPr>
        <w:pBdr>
          <w:top w:val="nil"/>
          <w:left w:val="nil"/>
          <w:bottom w:val="nil"/>
          <w:right w:val="nil"/>
          <w:between w:val="nil"/>
        </w:pBdr>
        <w:tabs>
          <w:tab w:val="left" w:pos="9356"/>
        </w:tabs>
        <w:spacing w:before="192"/>
        <w:ind w:right="854" w:firstLine="142"/>
        <w:jc w:val="both"/>
        <w:rPr>
          <w:b/>
          <w:bCs/>
          <w:sz w:val="24"/>
          <w:szCs w:val="24"/>
        </w:rPr>
      </w:pPr>
      <w:r w:rsidRPr="00D13B4B">
        <w:rPr>
          <w:b/>
          <w:bCs/>
          <w:sz w:val="24"/>
          <w:szCs w:val="24"/>
        </w:rPr>
        <w:t>Food safety applications:</w:t>
      </w:r>
    </w:p>
    <w:p w14:paraId="17D1EED1" w14:textId="1366FFD3" w:rsidR="00D13B4B" w:rsidRDefault="00D13B4B" w:rsidP="00D13B4B">
      <w:pPr>
        <w:pBdr>
          <w:top w:val="nil"/>
          <w:left w:val="nil"/>
          <w:bottom w:val="nil"/>
          <w:right w:val="nil"/>
          <w:between w:val="nil"/>
        </w:pBdr>
        <w:tabs>
          <w:tab w:val="left" w:pos="9356"/>
        </w:tabs>
        <w:spacing w:before="192"/>
        <w:ind w:right="854"/>
        <w:jc w:val="both"/>
        <w:rPr>
          <w:sz w:val="24"/>
          <w:szCs w:val="24"/>
        </w:rPr>
      </w:pPr>
      <w:r w:rsidRPr="00D13B4B">
        <w:rPr>
          <w:sz w:val="24"/>
          <w:szCs w:val="24"/>
          <w:highlight w:val="yellow"/>
        </w:rPr>
        <w:t xml:space="preserve">Applications in Food Safety include antimicrobial packaging with silver and zinc oxide </w:t>
      </w:r>
      <w:r w:rsidRPr="00D13B4B">
        <w:rPr>
          <w:sz w:val="24"/>
          <w:szCs w:val="24"/>
          <w:highlight w:val="yellow"/>
        </w:rPr>
        <w:lastRenderedPageBreak/>
        <w:t xml:space="preserve">nanoparticles that kill bacteria and extend shelf life. Enhanced barriers using </w:t>
      </w:r>
      <w:proofErr w:type="spellStart"/>
      <w:r w:rsidRPr="00D13B4B">
        <w:rPr>
          <w:sz w:val="24"/>
          <w:szCs w:val="24"/>
          <w:highlight w:val="yellow"/>
        </w:rPr>
        <w:t>nano</w:t>
      </w:r>
      <w:proofErr w:type="spellEnd"/>
      <w:r w:rsidRPr="00D13B4B">
        <w:rPr>
          <w:sz w:val="24"/>
          <w:szCs w:val="24"/>
          <w:highlight w:val="yellow"/>
        </w:rPr>
        <w:t>-clays improve protection against moisture and oxygen, slowing degradation. Nano-sensors enable rapid detection of pathogens like E. coli. Smart packaging indicates ripeness or spoilage, enhancing quality and traceability. Additionally, nanocarriers can more effectively deliver nutrients and antioxidants, boosting nutritional value.</w:t>
      </w:r>
    </w:p>
    <w:p w14:paraId="29F8200D" w14:textId="7B00C08B" w:rsidR="00C93AE0" w:rsidRPr="00FB5818" w:rsidRDefault="00DB5056" w:rsidP="00A2235E">
      <w:pPr>
        <w:pBdr>
          <w:top w:val="nil"/>
          <w:left w:val="nil"/>
          <w:bottom w:val="nil"/>
          <w:right w:val="nil"/>
          <w:between w:val="nil"/>
        </w:pBdr>
        <w:tabs>
          <w:tab w:val="left" w:pos="9356"/>
        </w:tabs>
        <w:spacing w:before="192"/>
        <w:ind w:right="854"/>
        <w:rPr>
          <w:b/>
          <w:bCs/>
          <w:sz w:val="24"/>
          <w:szCs w:val="24"/>
        </w:rPr>
      </w:pPr>
      <w:r w:rsidRPr="00FB5818">
        <w:rPr>
          <w:b/>
          <w:bCs/>
          <w:sz w:val="24"/>
          <w:szCs w:val="24"/>
        </w:rPr>
        <w:t xml:space="preserve">Future study </w:t>
      </w:r>
      <w:r w:rsidR="00DB0A5B" w:rsidRPr="00FB5818">
        <w:rPr>
          <w:b/>
          <w:bCs/>
          <w:sz w:val="24"/>
          <w:szCs w:val="24"/>
        </w:rPr>
        <w:t>d</w:t>
      </w:r>
      <w:r w:rsidR="00FB5818" w:rsidRPr="00FB5818">
        <w:rPr>
          <w:b/>
          <w:bCs/>
          <w:sz w:val="24"/>
          <w:szCs w:val="24"/>
        </w:rPr>
        <w:t>irection</w:t>
      </w:r>
    </w:p>
    <w:p w14:paraId="788359B6" w14:textId="6EB85FF2" w:rsidR="00625E61" w:rsidRPr="00D97E50" w:rsidRDefault="00203D73" w:rsidP="00347E8D">
      <w:pPr>
        <w:pBdr>
          <w:top w:val="nil"/>
          <w:left w:val="nil"/>
          <w:bottom w:val="nil"/>
          <w:right w:val="nil"/>
          <w:between w:val="nil"/>
        </w:pBdr>
        <w:tabs>
          <w:tab w:val="left" w:pos="9356"/>
        </w:tabs>
        <w:spacing w:before="192"/>
        <w:ind w:right="713"/>
        <w:jc w:val="both"/>
        <w:rPr>
          <w:sz w:val="24"/>
          <w:szCs w:val="24"/>
        </w:rPr>
      </w:pPr>
      <w:r w:rsidRPr="00203D73">
        <w:rPr>
          <w:sz w:val="24"/>
          <w:szCs w:val="24"/>
          <w:highlight w:val="yellow"/>
        </w:rPr>
        <w:t xml:space="preserve">In the future, research on the toxicological assessment of food should aim to reflect more closely how people actually eat and live. Instead of focusing mainly on short-term or high-dose experiments, studies need to pay greater attention to long-term, low-level exposure to food additives, contaminants, and naturally occurring chemicals. It is also important to understand how different substances in food may interact with each other inside the body, since real diets are complex mixtures rather than single ingredients. New laboratory tools, such as advanced cell models and computer-based simulations, can help scientists study these effects more realistically while reducing the need for animal testing. Special care should be taken to study groups who may be more sensitive, including children, pregnant women, and older adults. By linking toxicology with nutrition and gut health research, future work can provide a clearer and more practical picture of how food safety affects </w:t>
      </w:r>
      <w:proofErr w:type="spellStart"/>
      <w:r w:rsidR="00A2235E">
        <w:rPr>
          <w:sz w:val="24"/>
          <w:szCs w:val="24"/>
          <w:highlight w:val="yellow"/>
        </w:rPr>
        <w:t>everyday</w:t>
      </w:r>
      <w:proofErr w:type="spellEnd"/>
      <w:r w:rsidRPr="00203D73">
        <w:rPr>
          <w:sz w:val="24"/>
          <w:szCs w:val="24"/>
          <w:highlight w:val="yellow"/>
        </w:rPr>
        <w:t xml:space="preserve"> human health</w:t>
      </w:r>
      <w:r w:rsidR="003402F2">
        <w:rPr>
          <w:sz w:val="24"/>
          <w:szCs w:val="24"/>
          <w:highlight w:val="yellow"/>
        </w:rPr>
        <w:fldChar w:fldCharType="begin" w:fldLock="1"/>
      </w:r>
      <w:r w:rsidR="00F435DC">
        <w:rPr>
          <w:sz w:val="24"/>
          <w:szCs w:val="24"/>
          <w:highlight w:val="yellow"/>
        </w:rPr>
        <w:instrText>ADDIN CSL_CITATION {"citationItems":[{"id":"ITEM-1","itemData":{"author":[{"dropping-particle":"","family":"Jhunjhunu","given":"S M L C","non-dropping-particle":"","parse-names":false,"suffix":""}],"id":"ITEM-1","issue":"3","issued":{"date-parts":[["2025"]]},"page":"17-23","title":"Food Science : Advances , Challenges , and Future Prospects Atul Garg","type":"article-journal","volume":"2"},"uris":["http://www.mendeley.com/documents/?uuid=ddf9ce67-b867-4cb6-bb2f-fe5c36e50cbd"]}],"mendeley":{"formattedCitation":"(Jhunjhunu, 2025)","plainTextFormattedCitation":"(Jhunjhunu, 2025)","previouslyFormattedCitation":"(Jhunjhunu, 2025)"},"properties":{"noteIndex":0},"schema":"https://github.com/citation-style-language/schema/raw/master/csl-citation.json"}</w:instrText>
      </w:r>
      <w:r w:rsidR="003402F2">
        <w:rPr>
          <w:sz w:val="24"/>
          <w:szCs w:val="24"/>
          <w:highlight w:val="yellow"/>
        </w:rPr>
        <w:fldChar w:fldCharType="separate"/>
      </w:r>
      <w:r w:rsidR="003402F2" w:rsidRPr="003402F2">
        <w:rPr>
          <w:noProof/>
          <w:sz w:val="24"/>
          <w:szCs w:val="24"/>
          <w:highlight w:val="yellow"/>
        </w:rPr>
        <w:t>(Jhunjhunu, 2025)</w:t>
      </w:r>
      <w:r w:rsidR="003402F2">
        <w:rPr>
          <w:sz w:val="24"/>
          <w:szCs w:val="24"/>
          <w:highlight w:val="yellow"/>
        </w:rPr>
        <w:fldChar w:fldCharType="end"/>
      </w:r>
      <w:r w:rsidRPr="00203D73">
        <w:rPr>
          <w:sz w:val="24"/>
          <w:szCs w:val="24"/>
          <w:highlight w:val="yellow"/>
        </w:rPr>
        <w:t>.</w:t>
      </w:r>
    </w:p>
    <w:p w14:paraId="621598EC" w14:textId="77777777" w:rsidR="00625E61" w:rsidRDefault="005C4DDE" w:rsidP="00347E8D">
      <w:pPr>
        <w:pStyle w:val="Heading1"/>
        <w:tabs>
          <w:tab w:val="left" w:pos="9356"/>
        </w:tabs>
        <w:spacing w:before="0"/>
        <w:ind w:right="713" w:firstLine="165"/>
      </w:pPr>
      <w:bookmarkStart w:id="1" w:name="_Hlk219401179"/>
      <w:r>
        <w:t>Conclusion</w:t>
      </w:r>
    </w:p>
    <w:bookmarkEnd w:id="1"/>
    <w:p w14:paraId="0343B7C2" w14:textId="301DAE39" w:rsidR="00625E61" w:rsidRDefault="00157DF1" w:rsidP="00347E8D">
      <w:pPr>
        <w:pBdr>
          <w:top w:val="nil"/>
          <w:left w:val="nil"/>
          <w:bottom w:val="nil"/>
          <w:right w:val="nil"/>
          <w:between w:val="nil"/>
        </w:pBdr>
        <w:tabs>
          <w:tab w:val="left" w:pos="9356"/>
        </w:tabs>
        <w:spacing w:before="66" w:line="259" w:lineRule="auto"/>
        <w:ind w:left="165" w:right="1155"/>
        <w:jc w:val="both"/>
        <w:rPr>
          <w:color w:val="000000"/>
          <w:sz w:val="24"/>
          <w:szCs w:val="24"/>
        </w:rPr>
      </w:pPr>
      <w:r w:rsidRPr="00157DF1">
        <w:rPr>
          <w:color w:val="000000"/>
          <w:sz w:val="24"/>
          <w:szCs w:val="24"/>
          <w:highlight w:val="yellow"/>
        </w:rPr>
        <w:t xml:space="preserve">Nanotechnology has significantly advanced the food business by enhancing product stability, safety, and nutritional value. It enables targeted nutrition delivery, increased shelf life, improved </w:t>
      </w:r>
      <w:proofErr w:type="spellStart"/>
      <w:r w:rsidR="00A2235E">
        <w:rPr>
          <w:color w:val="000000"/>
          <w:sz w:val="24"/>
          <w:szCs w:val="24"/>
          <w:highlight w:val="yellow"/>
        </w:rPr>
        <w:t>flavour</w:t>
      </w:r>
      <w:proofErr w:type="spellEnd"/>
      <w:r w:rsidRPr="00157DF1">
        <w:rPr>
          <w:color w:val="000000"/>
          <w:sz w:val="24"/>
          <w:szCs w:val="24"/>
          <w:highlight w:val="yellow"/>
        </w:rPr>
        <w:t xml:space="preserve">, and better texture through the use of nanoparticles. However, concerns about the health risks of long-term exposure to engineered nanomaterials (ENMs) persist. Inorganic nanoparticles like silver and titanium dioxide may have both positive and negative effects depending on their properties, dosage, and biological interactions, with potential toxicity mechanisms including organ accumulation and oxidative stress. In contrast, organic nanoparticles tend to be less hazardous due to their biocompatibility and biodegradability. Despite research progress, questions remain regarding nanoparticle </w:t>
      </w:r>
      <w:proofErr w:type="spellStart"/>
      <w:r w:rsidR="001D1FB5">
        <w:rPr>
          <w:color w:val="000000"/>
          <w:sz w:val="24"/>
          <w:szCs w:val="24"/>
          <w:highlight w:val="yellow"/>
        </w:rPr>
        <w:t>behaviour</w:t>
      </w:r>
      <w:proofErr w:type="spellEnd"/>
      <w:r w:rsidRPr="00157DF1">
        <w:rPr>
          <w:color w:val="000000"/>
          <w:sz w:val="24"/>
          <w:szCs w:val="24"/>
          <w:highlight w:val="yellow"/>
        </w:rPr>
        <w:t xml:space="preserve"> in food matrices and long-term toxicity. Future studies should focus on </w:t>
      </w:r>
      <w:proofErr w:type="spellStart"/>
      <w:r w:rsidR="001D1FB5">
        <w:rPr>
          <w:color w:val="000000"/>
          <w:sz w:val="24"/>
          <w:szCs w:val="24"/>
          <w:highlight w:val="yellow"/>
        </w:rPr>
        <w:t>standardised</w:t>
      </w:r>
      <w:proofErr w:type="spellEnd"/>
      <w:r w:rsidRPr="00157DF1">
        <w:rPr>
          <w:color w:val="000000"/>
          <w:sz w:val="24"/>
          <w:szCs w:val="24"/>
          <w:highlight w:val="yellow"/>
        </w:rPr>
        <w:t xml:space="preserve"> safety assessments and in vivo models that mimic real dietary exposure, ensuring that nanotechnology benefits do not compromise environmental and consumer safety.</w:t>
      </w:r>
    </w:p>
    <w:p w14:paraId="7C7A2E26" w14:textId="5400162F" w:rsidR="001D1FB5" w:rsidRPr="00A2235E" w:rsidRDefault="001D1FB5" w:rsidP="00347E8D">
      <w:pPr>
        <w:pBdr>
          <w:top w:val="nil"/>
          <w:left w:val="nil"/>
          <w:bottom w:val="nil"/>
          <w:right w:val="nil"/>
          <w:between w:val="nil"/>
        </w:pBdr>
        <w:tabs>
          <w:tab w:val="left" w:pos="9356"/>
        </w:tabs>
        <w:spacing w:before="66" w:line="259" w:lineRule="auto"/>
        <w:ind w:left="165" w:right="1155"/>
        <w:jc w:val="both"/>
        <w:rPr>
          <w:color w:val="000000"/>
          <w:sz w:val="24"/>
          <w:szCs w:val="24"/>
          <w:highlight w:val="yellow"/>
        </w:rPr>
      </w:pPr>
      <w:r w:rsidRPr="00A2235E">
        <w:rPr>
          <w:color w:val="000000"/>
          <w:sz w:val="24"/>
          <w:szCs w:val="24"/>
          <w:highlight w:val="yellow"/>
        </w:rPr>
        <w:t xml:space="preserve">The </w:t>
      </w:r>
      <w:r w:rsidR="00A2235E" w:rsidRPr="00A2235E">
        <w:rPr>
          <w:color w:val="000000"/>
          <w:sz w:val="24"/>
          <w:szCs w:val="24"/>
          <w:highlight w:val="yellow"/>
        </w:rPr>
        <w:t xml:space="preserve">amalgamated </w:t>
      </w:r>
      <w:proofErr w:type="spellStart"/>
      <w:r w:rsidR="00A2235E">
        <w:rPr>
          <w:color w:val="000000"/>
          <w:sz w:val="24"/>
          <w:szCs w:val="24"/>
          <w:highlight w:val="yellow"/>
        </w:rPr>
        <w:t>standardised</w:t>
      </w:r>
      <w:proofErr w:type="spellEnd"/>
      <w:r w:rsidRPr="00A2235E">
        <w:rPr>
          <w:color w:val="000000"/>
          <w:sz w:val="24"/>
          <w:szCs w:val="24"/>
          <w:highlight w:val="yellow"/>
        </w:rPr>
        <w:t xml:space="preserve"> </w:t>
      </w:r>
      <w:r w:rsidR="00A2235E" w:rsidRPr="00A2235E">
        <w:rPr>
          <w:color w:val="000000"/>
          <w:sz w:val="24"/>
          <w:szCs w:val="24"/>
          <w:highlight w:val="yellow"/>
        </w:rPr>
        <w:t>EU and FAO frameworks</w:t>
      </w:r>
      <w:r w:rsidRPr="00A2235E">
        <w:rPr>
          <w:color w:val="000000"/>
          <w:sz w:val="24"/>
          <w:szCs w:val="24"/>
          <w:highlight w:val="yellow"/>
        </w:rPr>
        <w:t xml:space="preserve"> of 2011 and 2022 </w:t>
      </w:r>
      <w:r w:rsidR="00A2235E" w:rsidRPr="00A2235E">
        <w:rPr>
          <w:color w:val="000000"/>
          <w:sz w:val="24"/>
          <w:szCs w:val="24"/>
          <w:highlight w:val="yellow"/>
        </w:rPr>
        <w:t xml:space="preserve">and EFSA guidance (2024–2029) </w:t>
      </w:r>
      <w:r w:rsidRPr="00A2235E">
        <w:rPr>
          <w:color w:val="000000"/>
          <w:sz w:val="24"/>
          <w:szCs w:val="24"/>
          <w:highlight w:val="yellow"/>
        </w:rPr>
        <w:t xml:space="preserve">need to be </w:t>
      </w:r>
      <w:r w:rsidR="00A2235E" w:rsidRPr="00A2235E">
        <w:rPr>
          <w:color w:val="000000"/>
          <w:sz w:val="24"/>
          <w:szCs w:val="24"/>
          <w:highlight w:val="yellow"/>
        </w:rPr>
        <w:t>thoroughly</w:t>
      </w:r>
      <w:r w:rsidRPr="00A2235E">
        <w:rPr>
          <w:color w:val="000000"/>
          <w:sz w:val="24"/>
          <w:szCs w:val="24"/>
          <w:highlight w:val="yellow"/>
        </w:rPr>
        <w:t xml:space="preserve"> investigated</w:t>
      </w:r>
      <w:r w:rsidR="00A2235E" w:rsidRPr="00A2235E">
        <w:rPr>
          <w:color w:val="000000"/>
          <w:sz w:val="24"/>
          <w:szCs w:val="24"/>
          <w:highlight w:val="yellow"/>
        </w:rPr>
        <w:t xml:space="preserve">, and novel approaches for risk assessment, monitoring, and clear instructions </w:t>
      </w:r>
      <w:r w:rsidR="00A2235E">
        <w:rPr>
          <w:color w:val="000000"/>
          <w:sz w:val="24"/>
          <w:szCs w:val="24"/>
          <w:highlight w:val="yellow"/>
        </w:rPr>
        <w:t xml:space="preserve">are </w:t>
      </w:r>
      <w:r w:rsidR="00A2235E" w:rsidRPr="00A2235E">
        <w:rPr>
          <w:color w:val="000000"/>
          <w:sz w:val="24"/>
          <w:szCs w:val="24"/>
          <w:highlight w:val="yellow"/>
        </w:rPr>
        <w:t xml:space="preserve">needed for </w:t>
      </w:r>
      <w:r w:rsidR="00A2235E">
        <w:rPr>
          <w:color w:val="000000"/>
          <w:sz w:val="24"/>
          <w:szCs w:val="24"/>
          <w:highlight w:val="yellow"/>
        </w:rPr>
        <w:t xml:space="preserve">the </w:t>
      </w:r>
      <w:r w:rsidR="00A2235E" w:rsidRPr="00A2235E">
        <w:rPr>
          <w:color w:val="000000"/>
          <w:sz w:val="24"/>
          <w:szCs w:val="24"/>
          <w:highlight w:val="yellow"/>
        </w:rPr>
        <w:t xml:space="preserve">use </w:t>
      </w:r>
      <w:r w:rsidR="00A2235E">
        <w:rPr>
          <w:color w:val="000000"/>
          <w:sz w:val="24"/>
          <w:szCs w:val="24"/>
          <w:highlight w:val="yellow"/>
        </w:rPr>
        <w:t>of N</w:t>
      </w:r>
      <w:r w:rsidR="00A2235E" w:rsidRPr="00A2235E">
        <w:rPr>
          <w:color w:val="000000"/>
          <w:sz w:val="24"/>
          <w:szCs w:val="24"/>
          <w:highlight w:val="yellow"/>
        </w:rPr>
        <w:t>Ps in food and feed.</w:t>
      </w:r>
    </w:p>
    <w:p w14:paraId="57ED3EDA" w14:textId="77777777" w:rsidR="00625E61" w:rsidRPr="00A2235E" w:rsidRDefault="005C4DDE" w:rsidP="00347E8D">
      <w:pPr>
        <w:keepNext/>
        <w:keepLines/>
        <w:widowControl/>
        <w:tabs>
          <w:tab w:val="left" w:pos="9356"/>
        </w:tabs>
        <w:spacing w:before="120" w:after="120" w:line="360" w:lineRule="auto"/>
        <w:jc w:val="both"/>
        <w:rPr>
          <w:sz w:val="24"/>
          <w:szCs w:val="24"/>
          <w:highlight w:val="yellow"/>
        </w:rPr>
      </w:pPr>
      <w:bookmarkStart w:id="2" w:name="_yrrwjlfye6hf" w:colFirst="0" w:colLast="0"/>
      <w:bookmarkEnd w:id="2"/>
      <w:r w:rsidRPr="00A2235E">
        <w:rPr>
          <w:sz w:val="24"/>
          <w:szCs w:val="24"/>
          <w:highlight w:val="yellow"/>
        </w:rPr>
        <w:t>Disclaimer (Artificial intelligence)</w:t>
      </w:r>
    </w:p>
    <w:p w14:paraId="439125F0" w14:textId="7D6C4186" w:rsidR="00625E61" w:rsidRDefault="005C4DDE" w:rsidP="00B778B8">
      <w:pPr>
        <w:keepNext/>
        <w:keepLines/>
        <w:widowControl/>
        <w:tabs>
          <w:tab w:val="left" w:pos="9356"/>
        </w:tabs>
        <w:spacing w:before="120" w:after="120" w:line="360" w:lineRule="auto"/>
        <w:ind w:right="429"/>
        <w:jc w:val="both"/>
        <w:rPr>
          <w:sz w:val="24"/>
          <w:szCs w:val="24"/>
        </w:rPr>
      </w:pPr>
      <w:r>
        <w:rPr>
          <w:sz w:val="24"/>
          <w:szCs w:val="24"/>
          <w:highlight w:val="yellow"/>
        </w:rPr>
        <w:t xml:space="preserve">Author(s) hereby </w:t>
      </w:r>
      <w:r w:rsidR="00B778B8">
        <w:rPr>
          <w:sz w:val="24"/>
          <w:szCs w:val="24"/>
          <w:highlight w:val="yellow"/>
        </w:rPr>
        <w:t>declares</w:t>
      </w:r>
      <w:r>
        <w:rPr>
          <w:sz w:val="24"/>
          <w:szCs w:val="24"/>
          <w:highlight w:val="yellow"/>
        </w:rPr>
        <w:t xml:space="preserve"> that NO generative AI technologies such as Large Language Models (</w:t>
      </w:r>
      <w:proofErr w:type="spellStart"/>
      <w:r>
        <w:rPr>
          <w:sz w:val="24"/>
          <w:szCs w:val="24"/>
          <w:highlight w:val="yellow"/>
        </w:rPr>
        <w:t>ChatGPT</w:t>
      </w:r>
      <w:proofErr w:type="spellEnd"/>
      <w:r>
        <w:rPr>
          <w:sz w:val="24"/>
          <w:szCs w:val="24"/>
          <w:highlight w:val="yellow"/>
        </w:rPr>
        <w:t>, COPILOT, etc.) and text-to-image generators have been used during the writing or editing of this manuscript.</w:t>
      </w:r>
      <w:r>
        <w:rPr>
          <w:sz w:val="24"/>
          <w:szCs w:val="24"/>
        </w:rPr>
        <w:t xml:space="preserve"> </w:t>
      </w:r>
    </w:p>
    <w:p w14:paraId="32693284" w14:textId="77777777" w:rsidR="00625E61" w:rsidRDefault="005C4DDE" w:rsidP="00347E8D">
      <w:pPr>
        <w:pBdr>
          <w:top w:val="nil"/>
          <w:left w:val="nil"/>
          <w:bottom w:val="nil"/>
          <w:right w:val="nil"/>
          <w:between w:val="nil"/>
        </w:pBdr>
        <w:tabs>
          <w:tab w:val="left" w:pos="9356"/>
        </w:tabs>
        <w:spacing w:before="66" w:line="259" w:lineRule="auto"/>
        <w:ind w:right="1155"/>
        <w:jc w:val="both"/>
        <w:rPr>
          <w:sz w:val="24"/>
          <w:szCs w:val="24"/>
        </w:rPr>
      </w:pPr>
      <w:bookmarkStart w:id="3" w:name="_95as90pgkz6" w:colFirst="0" w:colLast="0"/>
      <w:bookmarkEnd w:id="3"/>
      <w:r w:rsidRPr="00F72E0A">
        <w:rPr>
          <w:sz w:val="24"/>
          <w:szCs w:val="24"/>
          <w:highlight w:val="yellow"/>
        </w:rPr>
        <w:t>Generative AI technologies had not been used during writing of this ma</w:t>
      </w:r>
      <w:r w:rsidRPr="00F72E0A">
        <w:rPr>
          <w:sz w:val="24"/>
          <w:szCs w:val="24"/>
          <w:highlight w:val="yellow"/>
        </w:rPr>
        <w:t>nuscript.</w:t>
      </w:r>
      <w:r>
        <w:rPr>
          <w:sz w:val="24"/>
          <w:szCs w:val="24"/>
        </w:rPr>
        <w:t xml:space="preserve"> </w:t>
      </w:r>
    </w:p>
    <w:p w14:paraId="54343785" w14:textId="77777777" w:rsidR="00F816AB" w:rsidRDefault="00F816AB" w:rsidP="00347E8D">
      <w:pPr>
        <w:pBdr>
          <w:top w:val="nil"/>
          <w:left w:val="nil"/>
          <w:bottom w:val="nil"/>
          <w:right w:val="nil"/>
          <w:between w:val="nil"/>
        </w:pBdr>
        <w:tabs>
          <w:tab w:val="left" w:pos="9356"/>
        </w:tabs>
        <w:spacing w:before="66" w:line="259" w:lineRule="auto"/>
        <w:ind w:right="1155"/>
        <w:jc w:val="both"/>
        <w:rPr>
          <w:color w:val="000000"/>
          <w:sz w:val="24"/>
          <w:szCs w:val="24"/>
        </w:rPr>
      </w:pPr>
    </w:p>
    <w:p w14:paraId="08C3D2FD" w14:textId="77777777" w:rsidR="00625E61" w:rsidRDefault="005C4DDE" w:rsidP="00347E8D">
      <w:pPr>
        <w:pStyle w:val="Heading1"/>
        <w:tabs>
          <w:tab w:val="left" w:pos="9356"/>
        </w:tabs>
        <w:ind w:firstLine="165"/>
      </w:pPr>
      <w:r>
        <w:t>References</w:t>
      </w:r>
    </w:p>
    <w:p w14:paraId="5E67DEC2" w14:textId="359F4068" w:rsidR="00F435DC" w:rsidRPr="00F435DC" w:rsidRDefault="00F816AB" w:rsidP="00AA3229">
      <w:pPr>
        <w:pStyle w:val="ListParagraph"/>
        <w:numPr>
          <w:ilvl w:val="0"/>
          <w:numId w:val="2"/>
        </w:numPr>
        <w:tabs>
          <w:tab w:val="left" w:pos="9356"/>
        </w:tabs>
        <w:autoSpaceDE w:val="0"/>
        <w:autoSpaceDN w:val="0"/>
        <w:adjustRightInd w:val="0"/>
        <w:ind w:right="854"/>
        <w:jc w:val="both"/>
        <w:rPr>
          <w:noProof/>
        </w:rPr>
      </w:pPr>
      <w:r>
        <w:fldChar w:fldCharType="begin" w:fldLock="1"/>
      </w:r>
      <w:r>
        <w:instrText xml:space="preserve">ADDIN Mendeley Bibliography CSL_BIBLIOGRAPHY </w:instrText>
      </w:r>
      <w:r>
        <w:fldChar w:fldCharType="separate"/>
      </w:r>
      <w:r w:rsidR="00F435DC" w:rsidRPr="00F435DC">
        <w:rPr>
          <w:noProof/>
        </w:rPr>
        <w:t xml:space="preserve">Jhunjhunu, S. M. L. C. (2025). </w:t>
      </w:r>
      <w:r w:rsidR="00F435DC" w:rsidRPr="00AA3229">
        <w:rPr>
          <w:i/>
          <w:iCs/>
          <w:noProof/>
        </w:rPr>
        <w:t>Food Science : Advances , Challenges , and Future Prospects Atul Garg</w:t>
      </w:r>
      <w:r w:rsidR="00F435DC" w:rsidRPr="00F435DC">
        <w:rPr>
          <w:noProof/>
        </w:rPr>
        <w:t xml:space="preserve">. </w:t>
      </w:r>
      <w:r w:rsidR="00F435DC" w:rsidRPr="00AA3229">
        <w:rPr>
          <w:i/>
          <w:iCs/>
          <w:noProof/>
        </w:rPr>
        <w:t>2</w:t>
      </w:r>
      <w:r w:rsidR="00F435DC" w:rsidRPr="00F435DC">
        <w:rPr>
          <w:noProof/>
        </w:rPr>
        <w:t>(3), 17–23.</w:t>
      </w:r>
    </w:p>
    <w:p w14:paraId="51D9934A" w14:textId="77777777" w:rsidR="00F435DC" w:rsidRPr="00F435DC" w:rsidRDefault="00F435DC" w:rsidP="00AA3229">
      <w:pPr>
        <w:pStyle w:val="ListParagraph"/>
        <w:numPr>
          <w:ilvl w:val="0"/>
          <w:numId w:val="2"/>
        </w:numPr>
        <w:tabs>
          <w:tab w:val="left" w:pos="9356"/>
        </w:tabs>
        <w:autoSpaceDE w:val="0"/>
        <w:autoSpaceDN w:val="0"/>
        <w:adjustRightInd w:val="0"/>
        <w:ind w:right="854"/>
        <w:jc w:val="both"/>
        <w:rPr>
          <w:noProof/>
        </w:rPr>
      </w:pPr>
      <w:r w:rsidRPr="00F435DC">
        <w:rPr>
          <w:noProof/>
        </w:rPr>
        <w:t xml:space="preserve">Katnoriya, S., Raj, P. S., &amp; Pradesh, H. (2023). </w:t>
      </w:r>
      <w:r w:rsidRPr="00AA3229">
        <w:rPr>
          <w:i/>
          <w:iCs/>
          <w:noProof/>
        </w:rPr>
        <w:t>A Review of Research on Indian Food : Trends , Challenges and Opportunities</w:t>
      </w:r>
      <w:r w:rsidRPr="00F435DC">
        <w:rPr>
          <w:noProof/>
        </w:rPr>
        <w:t xml:space="preserve">. </w:t>
      </w:r>
      <w:r w:rsidRPr="00AA3229">
        <w:rPr>
          <w:i/>
          <w:iCs/>
          <w:noProof/>
        </w:rPr>
        <w:t>8</w:t>
      </w:r>
      <w:r w:rsidRPr="00F435DC">
        <w:rPr>
          <w:noProof/>
        </w:rPr>
        <w:t>(4), 685–691.</w:t>
      </w:r>
    </w:p>
    <w:p w14:paraId="22F45D6B" w14:textId="77777777" w:rsidR="00F435DC" w:rsidRPr="00F435DC" w:rsidRDefault="00F435DC" w:rsidP="00AA3229">
      <w:pPr>
        <w:pStyle w:val="ListParagraph"/>
        <w:numPr>
          <w:ilvl w:val="0"/>
          <w:numId w:val="2"/>
        </w:numPr>
        <w:tabs>
          <w:tab w:val="left" w:pos="9356"/>
        </w:tabs>
        <w:autoSpaceDE w:val="0"/>
        <w:autoSpaceDN w:val="0"/>
        <w:adjustRightInd w:val="0"/>
        <w:ind w:right="854"/>
        <w:jc w:val="both"/>
        <w:rPr>
          <w:noProof/>
        </w:rPr>
      </w:pPr>
      <w:r w:rsidRPr="00F435DC">
        <w:rPr>
          <w:noProof/>
        </w:rPr>
        <w:t xml:space="preserve">Ms Neha Aggarwal, Ms Varsha Mishra, M. S. J. (2025). </w:t>
      </w:r>
      <w:r w:rsidRPr="00AA3229">
        <w:rPr>
          <w:i/>
          <w:iCs/>
          <w:noProof/>
        </w:rPr>
        <w:t>Mainstreaming Risk Assessment for Robust and Resilient Food Systems</w:t>
      </w:r>
      <w:r w:rsidRPr="00F435DC">
        <w:rPr>
          <w:noProof/>
        </w:rPr>
        <w:t>. https://face-cii.in/wp-content/uploads/2025/06/FACE-Food-Risk-Assessment-Report-2025.pdf</w:t>
      </w:r>
    </w:p>
    <w:p w14:paraId="13B09C0E" w14:textId="77777777" w:rsidR="00F435DC" w:rsidRPr="00F435DC" w:rsidRDefault="00F435DC" w:rsidP="00AA3229">
      <w:pPr>
        <w:pStyle w:val="ListParagraph"/>
        <w:numPr>
          <w:ilvl w:val="0"/>
          <w:numId w:val="2"/>
        </w:numPr>
        <w:tabs>
          <w:tab w:val="left" w:pos="9356"/>
        </w:tabs>
        <w:autoSpaceDE w:val="0"/>
        <w:autoSpaceDN w:val="0"/>
        <w:adjustRightInd w:val="0"/>
        <w:ind w:right="854"/>
        <w:jc w:val="both"/>
        <w:rPr>
          <w:noProof/>
        </w:rPr>
      </w:pPr>
      <w:r w:rsidRPr="00F435DC">
        <w:rPr>
          <w:noProof/>
        </w:rPr>
        <w:lastRenderedPageBreak/>
        <w:t xml:space="preserve">Országh, E., De Matteu Monteiro, C., Pires, S. M., Jóźwiak, Á., Marette, S., Membré, J.-M., &amp; Feliciano, R. J. (2024). Holistic risk assessments of food systems. </w:t>
      </w:r>
      <w:r w:rsidRPr="00AA3229">
        <w:rPr>
          <w:i/>
          <w:iCs/>
          <w:noProof/>
        </w:rPr>
        <w:t>Global Food Security</w:t>
      </w:r>
      <w:r w:rsidRPr="00F435DC">
        <w:rPr>
          <w:noProof/>
        </w:rPr>
        <w:t xml:space="preserve">, </w:t>
      </w:r>
      <w:r w:rsidRPr="00AA3229">
        <w:rPr>
          <w:i/>
          <w:iCs/>
          <w:noProof/>
        </w:rPr>
        <w:t>43</w:t>
      </w:r>
      <w:r w:rsidRPr="00F435DC">
        <w:rPr>
          <w:noProof/>
        </w:rPr>
        <w:t>, 100802. https://doi.org/https://doi.org/10.1016/j.gfs.2024.100802</w:t>
      </w:r>
    </w:p>
    <w:p w14:paraId="3590AF02" w14:textId="4868BEEC" w:rsidR="00F816AB" w:rsidRPr="00F816AB" w:rsidRDefault="00F816AB" w:rsidP="00B778B8">
      <w:pPr>
        <w:tabs>
          <w:tab w:val="left" w:pos="9356"/>
        </w:tabs>
        <w:ind w:right="854"/>
        <w:jc w:val="both"/>
      </w:pPr>
      <w:r>
        <w:fldChar w:fldCharType="end"/>
      </w:r>
    </w:p>
    <w:p w14:paraId="5B81F000" w14:textId="77777777" w:rsidR="00625E61" w:rsidRDefault="005C4DDE" w:rsidP="00AA3229">
      <w:pPr>
        <w:pStyle w:val="ListParagraph"/>
        <w:numPr>
          <w:ilvl w:val="0"/>
          <w:numId w:val="2"/>
        </w:numPr>
        <w:tabs>
          <w:tab w:val="left" w:pos="9356"/>
        </w:tabs>
        <w:ind w:right="854"/>
        <w:jc w:val="both"/>
      </w:pPr>
      <w:r>
        <w:t xml:space="preserve">Abbas, N. H., </w:t>
      </w:r>
      <w:proofErr w:type="spellStart"/>
      <w:r>
        <w:t>Rasuli</w:t>
      </w:r>
      <w:proofErr w:type="spellEnd"/>
      <w:r>
        <w:t xml:space="preserve">, R., &amp; </w:t>
      </w:r>
      <w:proofErr w:type="spellStart"/>
      <w:r>
        <w:t>Nakhostin</w:t>
      </w:r>
      <w:proofErr w:type="spellEnd"/>
      <w:r>
        <w:t xml:space="preserve"> Panahi, P. (2025). Decorated titanium oxide with Ag nanoparticles as an efficient photocatalyst under visible light: a novel synthesis approach. Scientific Reports, 15, 8207. </w:t>
      </w:r>
      <w:hyperlink r:id="rId8">
        <w:r w:rsidR="00625E61" w:rsidRPr="00AA3229">
          <w:rPr>
            <w:color w:val="0000FF"/>
            <w:u w:val="single"/>
          </w:rPr>
          <w:t>https://doi.org/10.1038/s41598-025-92864-2</w:t>
        </w:r>
      </w:hyperlink>
      <w:r>
        <w:t xml:space="preserve"> </w:t>
      </w:r>
    </w:p>
    <w:p w14:paraId="22E123C4" w14:textId="77777777" w:rsidR="00625E61" w:rsidRDefault="00625E61" w:rsidP="00B778B8">
      <w:pPr>
        <w:tabs>
          <w:tab w:val="left" w:pos="9356"/>
        </w:tabs>
        <w:ind w:left="165" w:right="854"/>
        <w:jc w:val="both"/>
      </w:pPr>
    </w:p>
    <w:p w14:paraId="3225E208" w14:textId="77777777" w:rsidR="00625E61" w:rsidRDefault="005C4DDE" w:rsidP="00AA3229">
      <w:pPr>
        <w:pStyle w:val="ListParagraph"/>
        <w:numPr>
          <w:ilvl w:val="0"/>
          <w:numId w:val="2"/>
        </w:numPr>
        <w:tabs>
          <w:tab w:val="left" w:pos="9356"/>
        </w:tabs>
        <w:ind w:right="854"/>
        <w:jc w:val="both"/>
      </w:pPr>
      <w:proofErr w:type="spellStart"/>
      <w:r>
        <w:t>Abegunde</w:t>
      </w:r>
      <w:proofErr w:type="spellEnd"/>
      <w:r>
        <w:t xml:space="preserve">, S. M., </w:t>
      </w:r>
      <w:proofErr w:type="spellStart"/>
      <w:r>
        <w:t>Alaka</w:t>
      </w:r>
      <w:proofErr w:type="spellEnd"/>
      <w:r>
        <w:t xml:space="preserve">, M. O., &amp; </w:t>
      </w:r>
      <w:proofErr w:type="spellStart"/>
      <w:r>
        <w:t>Awonyemi</w:t>
      </w:r>
      <w:proofErr w:type="spellEnd"/>
      <w:r>
        <w:t xml:space="preserve">, O. I. (2025). Nanomaterial toxicity: a comprehensive review of mechanisms and mitigation strategies. Discover Hazards, 1(3), 3. </w:t>
      </w:r>
      <w:hyperlink r:id="rId9">
        <w:r w:rsidR="00625E61" w:rsidRPr="00AA3229">
          <w:rPr>
            <w:color w:val="0000FF"/>
            <w:u w:val="single"/>
          </w:rPr>
          <w:t>https://doi.org/10.1007/s44475-025-00003-2</w:t>
        </w:r>
      </w:hyperlink>
      <w:r>
        <w:t xml:space="preserve">   </w:t>
      </w:r>
    </w:p>
    <w:p w14:paraId="725D1FD9" w14:textId="77777777" w:rsidR="00625E61" w:rsidRDefault="00625E61" w:rsidP="00B778B8">
      <w:pPr>
        <w:tabs>
          <w:tab w:val="left" w:pos="9356"/>
        </w:tabs>
        <w:ind w:left="165" w:right="854"/>
        <w:jc w:val="both"/>
      </w:pPr>
    </w:p>
    <w:p w14:paraId="799BCAF4" w14:textId="77777777" w:rsidR="00625E61" w:rsidRPr="00AA3229" w:rsidRDefault="005C4DDE" w:rsidP="00AA3229">
      <w:pPr>
        <w:pStyle w:val="ListParagraph"/>
        <w:numPr>
          <w:ilvl w:val="0"/>
          <w:numId w:val="2"/>
        </w:numPr>
        <w:tabs>
          <w:tab w:val="left" w:pos="9356"/>
        </w:tabs>
        <w:ind w:right="854"/>
        <w:jc w:val="both"/>
        <w:rPr>
          <w:sz w:val="24"/>
          <w:szCs w:val="24"/>
        </w:rPr>
      </w:pPr>
      <w:proofErr w:type="spellStart"/>
      <w:r w:rsidRPr="00AA3229">
        <w:rPr>
          <w:color w:val="222222"/>
          <w:sz w:val="24"/>
          <w:szCs w:val="24"/>
          <w:highlight w:val="white"/>
        </w:rPr>
        <w:t>Adly</w:t>
      </w:r>
      <w:proofErr w:type="spellEnd"/>
      <w:r w:rsidRPr="00AA3229">
        <w:rPr>
          <w:color w:val="222222"/>
          <w:sz w:val="24"/>
          <w:szCs w:val="24"/>
          <w:highlight w:val="white"/>
        </w:rPr>
        <w:t xml:space="preserve">, H. M., </w:t>
      </w:r>
      <w:proofErr w:type="spellStart"/>
      <w:r w:rsidRPr="00AA3229">
        <w:rPr>
          <w:color w:val="222222"/>
          <w:sz w:val="24"/>
          <w:szCs w:val="24"/>
          <w:highlight w:val="white"/>
        </w:rPr>
        <w:t>Saati</w:t>
      </w:r>
      <w:proofErr w:type="spellEnd"/>
      <w:r w:rsidRPr="00AA3229">
        <w:rPr>
          <w:color w:val="222222"/>
          <w:sz w:val="24"/>
          <w:szCs w:val="24"/>
          <w:highlight w:val="white"/>
        </w:rPr>
        <w:t>, A. A., Obaid, M. S., &amp; Saleh, S. A. K. (2025). Chemical Migration of Polycyclic Aromatic Hydrocarbons and Other Compounds from Plastic Food Packagin</w:t>
      </w:r>
      <w:r w:rsidRPr="00AA3229">
        <w:rPr>
          <w:color w:val="222222"/>
          <w:sz w:val="24"/>
          <w:szCs w:val="24"/>
          <w:highlight w:val="white"/>
        </w:rPr>
        <w:t xml:space="preserve">g: Assessment of Food Safety Risks and Health Impacts. Foods. </w:t>
      </w:r>
      <w:hyperlink r:id="rId10">
        <w:r w:rsidR="00625E61" w:rsidRPr="00AA3229">
          <w:rPr>
            <w:color w:val="0000FF"/>
            <w:sz w:val="24"/>
            <w:szCs w:val="24"/>
            <w:highlight w:val="white"/>
            <w:u w:val="single"/>
          </w:rPr>
          <w:t>https://doi.org/10.3390/foods14061013</w:t>
        </w:r>
      </w:hyperlink>
      <w:r w:rsidRPr="00AA3229">
        <w:rPr>
          <w:color w:val="222222"/>
          <w:sz w:val="24"/>
          <w:szCs w:val="24"/>
          <w:highlight w:val="white"/>
        </w:rPr>
        <w:t xml:space="preserve"> </w:t>
      </w:r>
    </w:p>
    <w:p w14:paraId="68C5EE0C" w14:textId="77777777" w:rsidR="00625E61" w:rsidRPr="00AA3229" w:rsidRDefault="005C4DDE" w:rsidP="00AA3229">
      <w:pPr>
        <w:pStyle w:val="ListParagraph"/>
        <w:numPr>
          <w:ilvl w:val="0"/>
          <w:numId w:val="2"/>
        </w:numPr>
        <w:tabs>
          <w:tab w:val="left" w:pos="9356"/>
        </w:tabs>
        <w:spacing w:before="185"/>
        <w:ind w:right="854"/>
        <w:jc w:val="both"/>
        <w:rPr>
          <w:sz w:val="24"/>
          <w:szCs w:val="24"/>
        </w:rPr>
      </w:pPr>
      <w:r w:rsidRPr="00AA3229">
        <w:rPr>
          <w:sz w:val="24"/>
          <w:szCs w:val="24"/>
        </w:rPr>
        <w:t>Joint FAO/WHO Expert Committee on Food Additives. (2007). Evaluation of certain food additives and</w:t>
      </w:r>
      <w:r w:rsidRPr="00AA3229">
        <w:rPr>
          <w:sz w:val="24"/>
          <w:szCs w:val="24"/>
        </w:rPr>
        <w:t xml:space="preserve"> contaminants: Sixty-seventh report of the Joint FAO/WHO Expert Committee on Food Additives (WHO Technical Report Series, No. 940). World Health Organization. </w:t>
      </w:r>
      <w:hyperlink r:id="rId11">
        <w:r w:rsidR="00625E61" w:rsidRPr="00AA3229">
          <w:rPr>
            <w:color w:val="0000FF"/>
            <w:sz w:val="24"/>
            <w:szCs w:val="24"/>
            <w:u w:val="single"/>
          </w:rPr>
          <w:t>https://iris.who.int/handle/10665/43592</w:t>
        </w:r>
      </w:hyperlink>
      <w:r w:rsidRPr="00AA3229">
        <w:rPr>
          <w:sz w:val="24"/>
          <w:szCs w:val="24"/>
        </w:rPr>
        <w:t xml:space="preserve"> </w:t>
      </w:r>
    </w:p>
    <w:p w14:paraId="0C4A227F" w14:textId="77777777" w:rsidR="00625E61" w:rsidRPr="00AA3229" w:rsidRDefault="005C4DDE" w:rsidP="00AA3229">
      <w:pPr>
        <w:pStyle w:val="ListParagraph"/>
        <w:numPr>
          <w:ilvl w:val="0"/>
          <w:numId w:val="2"/>
        </w:numPr>
        <w:tabs>
          <w:tab w:val="left" w:pos="9356"/>
        </w:tabs>
        <w:spacing w:before="185"/>
        <w:ind w:right="854"/>
        <w:jc w:val="both"/>
        <w:rPr>
          <w:sz w:val="24"/>
          <w:szCs w:val="24"/>
        </w:rPr>
      </w:pPr>
      <w:proofErr w:type="spellStart"/>
      <w:r w:rsidRPr="00AA3229">
        <w:rPr>
          <w:sz w:val="24"/>
          <w:szCs w:val="24"/>
        </w:rPr>
        <w:t>Ahari</w:t>
      </w:r>
      <w:proofErr w:type="spellEnd"/>
      <w:r w:rsidRPr="00AA3229">
        <w:rPr>
          <w:sz w:val="24"/>
          <w:szCs w:val="24"/>
        </w:rPr>
        <w:t xml:space="preserve">, H., </w:t>
      </w:r>
      <w:proofErr w:type="spellStart"/>
      <w:r w:rsidRPr="00AA3229">
        <w:rPr>
          <w:sz w:val="24"/>
          <w:szCs w:val="24"/>
        </w:rPr>
        <w:t>Anvar</w:t>
      </w:r>
      <w:proofErr w:type="spellEnd"/>
      <w:r w:rsidRPr="00AA3229">
        <w:rPr>
          <w:sz w:val="24"/>
          <w:szCs w:val="24"/>
        </w:rPr>
        <w:t xml:space="preserve">, A. A., </w:t>
      </w:r>
      <w:proofErr w:type="spellStart"/>
      <w:r w:rsidRPr="00AA3229">
        <w:rPr>
          <w:sz w:val="24"/>
          <w:szCs w:val="24"/>
        </w:rPr>
        <w:t>Ataee</w:t>
      </w:r>
      <w:proofErr w:type="spellEnd"/>
      <w:r w:rsidRPr="00AA3229">
        <w:rPr>
          <w:sz w:val="24"/>
          <w:szCs w:val="24"/>
        </w:rPr>
        <w:t xml:space="preserve">, M., &amp; </w:t>
      </w:r>
      <w:proofErr w:type="spellStart"/>
      <w:r w:rsidRPr="00AA3229">
        <w:rPr>
          <w:sz w:val="24"/>
          <w:szCs w:val="24"/>
        </w:rPr>
        <w:t>Naeimabadi</w:t>
      </w:r>
      <w:proofErr w:type="spellEnd"/>
      <w:r w:rsidRPr="00AA3229">
        <w:rPr>
          <w:sz w:val="24"/>
          <w:szCs w:val="24"/>
        </w:rPr>
        <w:t xml:space="preserve">, M. (2021). Employing </w:t>
      </w:r>
      <w:proofErr w:type="spellStart"/>
      <w:r w:rsidRPr="00AA3229">
        <w:rPr>
          <w:sz w:val="24"/>
          <w:szCs w:val="24"/>
        </w:rPr>
        <w:t>Nanosilver</w:t>
      </w:r>
      <w:proofErr w:type="spellEnd"/>
      <w:r w:rsidRPr="00AA3229">
        <w:rPr>
          <w:sz w:val="24"/>
          <w:szCs w:val="24"/>
        </w:rPr>
        <w:t xml:space="preserve">, </w:t>
      </w:r>
      <w:proofErr w:type="spellStart"/>
      <w:r w:rsidRPr="00AA3229">
        <w:rPr>
          <w:sz w:val="24"/>
          <w:szCs w:val="24"/>
        </w:rPr>
        <w:t>Nanocopper</w:t>
      </w:r>
      <w:proofErr w:type="spellEnd"/>
      <w:r w:rsidRPr="00AA3229">
        <w:rPr>
          <w:sz w:val="24"/>
          <w:szCs w:val="24"/>
        </w:rPr>
        <w:t xml:space="preserve">, and </w:t>
      </w:r>
      <w:proofErr w:type="spellStart"/>
      <w:r w:rsidRPr="00AA3229">
        <w:rPr>
          <w:sz w:val="24"/>
          <w:szCs w:val="24"/>
        </w:rPr>
        <w:t>Nanoclays</w:t>
      </w:r>
      <w:proofErr w:type="spellEnd"/>
      <w:r w:rsidRPr="00AA3229">
        <w:rPr>
          <w:sz w:val="24"/>
          <w:szCs w:val="24"/>
        </w:rPr>
        <w:t xml:space="preserve"> in Food Packaging Production: A Systematic Review. Coatings, 11(5), 509. </w:t>
      </w:r>
      <w:hyperlink r:id="rId12">
        <w:r w:rsidR="00625E61" w:rsidRPr="00AA3229">
          <w:rPr>
            <w:color w:val="0000FF"/>
            <w:sz w:val="24"/>
            <w:szCs w:val="24"/>
            <w:u w:val="single"/>
          </w:rPr>
          <w:t>https://doi.org/10.3390/coatings11050509</w:t>
        </w:r>
      </w:hyperlink>
      <w:r w:rsidRPr="00AA3229">
        <w:rPr>
          <w:sz w:val="24"/>
          <w:szCs w:val="24"/>
        </w:rPr>
        <w:t xml:space="preserve"> </w:t>
      </w:r>
    </w:p>
    <w:p w14:paraId="131A1757" w14:textId="77777777" w:rsidR="00625E61" w:rsidRPr="00AA3229" w:rsidRDefault="005C4DDE" w:rsidP="00AA3229">
      <w:pPr>
        <w:pStyle w:val="ListParagraph"/>
        <w:numPr>
          <w:ilvl w:val="0"/>
          <w:numId w:val="2"/>
        </w:numPr>
        <w:tabs>
          <w:tab w:val="left" w:pos="9356"/>
        </w:tabs>
        <w:spacing w:before="185"/>
        <w:ind w:right="854"/>
        <w:jc w:val="both"/>
        <w:rPr>
          <w:sz w:val="24"/>
          <w:szCs w:val="24"/>
        </w:rPr>
      </w:pPr>
      <w:r w:rsidRPr="00AA3229">
        <w:rPr>
          <w:sz w:val="24"/>
          <w:szCs w:val="24"/>
        </w:rPr>
        <w:t>Ahmad, F., Salem-</w:t>
      </w:r>
      <w:proofErr w:type="spellStart"/>
      <w:r w:rsidRPr="00AA3229">
        <w:rPr>
          <w:sz w:val="24"/>
          <w:szCs w:val="24"/>
        </w:rPr>
        <w:t>Bekhit</w:t>
      </w:r>
      <w:proofErr w:type="spellEnd"/>
      <w:r w:rsidRPr="00AA3229">
        <w:rPr>
          <w:sz w:val="24"/>
          <w:szCs w:val="24"/>
        </w:rPr>
        <w:t xml:space="preserve">, M. M., Khan, F., </w:t>
      </w:r>
      <w:proofErr w:type="spellStart"/>
      <w:r w:rsidRPr="00AA3229">
        <w:rPr>
          <w:sz w:val="24"/>
          <w:szCs w:val="24"/>
        </w:rPr>
        <w:t>Alshehri</w:t>
      </w:r>
      <w:proofErr w:type="spellEnd"/>
      <w:r w:rsidRPr="00AA3229">
        <w:rPr>
          <w:sz w:val="24"/>
          <w:szCs w:val="24"/>
        </w:rPr>
        <w:t xml:space="preserve">, S., Khan, A., </w:t>
      </w:r>
      <w:proofErr w:type="spellStart"/>
      <w:r w:rsidRPr="00AA3229">
        <w:rPr>
          <w:sz w:val="24"/>
          <w:szCs w:val="24"/>
        </w:rPr>
        <w:t>Ghoneim</w:t>
      </w:r>
      <w:proofErr w:type="spellEnd"/>
      <w:r w:rsidRPr="00AA3229">
        <w:rPr>
          <w:sz w:val="24"/>
          <w:szCs w:val="24"/>
        </w:rPr>
        <w:t xml:space="preserve">, M. M., Wu, H.-F., Taha, E. I., &amp; </w:t>
      </w:r>
      <w:proofErr w:type="spellStart"/>
      <w:r w:rsidRPr="00AA3229">
        <w:rPr>
          <w:sz w:val="24"/>
          <w:szCs w:val="24"/>
        </w:rPr>
        <w:t>Elbagory</w:t>
      </w:r>
      <w:proofErr w:type="spellEnd"/>
      <w:r w:rsidRPr="00AA3229">
        <w:rPr>
          <w:sz w:val="24"/>
          <w:szCs w:val="24"/>
        </w:rPr>
        <w:t>, I. (2022). Unique Properties of Surface-Functionalized Nanoparticles for Bio-Application: Functionalization</w:t>
      </w:r>
      <w:r w:rsidRPr="00AA3229">
        <w:rPr>
          <w:sz w:val="24"/>
          <w:szCs w:val="24"/>
        </w:rPr>
        <w:t xml:space="preserve"> Mechanisms and Importance in Application. Nanomaterials, 12(8), 1333. </w:t>
      </w:r>
      <w:hyperlink r:id="rId13">
        <w:r w:rsidR="00625E61" w:rsidRPr="00AA3229">
          <w:rPr>
            <w:color w:val="0000FF"/>
            <w:sz w:val="24"/>
            <w:szCs w:val="24"/>
            <w:u w:val="single"/>
          </w:rPr>
          <w:t>https://doi.org/10.3390/nano12081333</w:t>
        </w:r>
      </w:hyperlink>
      <w:r w:rsidRPr="00AA3229">
        <w:rPr>
          <w:sz w:val="24"/>
          <w:szCs w:val="24"/>
        </w:rPr>
        <w:t xml:space="preserve">   </w:t>
      </w:r>
    </w:p>
    <w:p w14:paraId="6AFE16BB" w14:textId="77777777" w:rsidR="00625E61" w:rsidRPr="00AA3229" w:rsidRDefault="005C4DDE" w:rsidP="00AA3229">
      <w:pPr>
        <w:pStyle w:val="ListParagraph"/>
        <w:numPr>
          <w:ilvl w:val="0"/>
          <w:numId w:val="2"/>
        </w:numPr>
        <w:tabs>
          <w:tab w:val="left" w:pos="9356"/>
        </w:tabs>
        <w:spacing w:before="185"/>
        <w:ind w:right="854"/>
        <w:jc w:val="both"/>
        <w:rPr>
          <w:sz w:val="24"/>
          <w:szCs w:val="24"/>
        </w:rPr>
      </w:pPr>
      <w:proofErr w:type="spellStart"/>
      <w:r w:rsidRPr="00AA3229">
        <w:rPr>
          <w:sz w:val="24"/>
          <w:szCs w:val="24"/>
        </w:rPr>
        <w:t>Angelopoulou</w:t>
      </w:r>
      <w:proofErr w:type="spellEnd"/>
      <w:r w:rsidRPr="00AA3229">
        <w:rPr>
          <w:sz w:val="24"/>
          <w:szCs w:val="24"/>
        </w:rPr>
        <w:t xml:space="preserve">, P., </w:t>
      </w:r>
      <w:proofErr w:type="spellStart"/>
      <w:r w:rsidRPr="00AA3229">
        <w:rPr>
          <w:sz w:val="24"/>
          <w:szCs w:val="24"/>
        </w:rPr>
        <w:t>Giaouris</w:t>
      </w:r>
      <w:proofErr w:type="spellEnd"/>
      <w:r w:rsidRPr="00AA3229">
        <w:rPr>
          <w:sz w:val="24"/>
          <w:szCs w:val="24"/>
        </w:rPr>
        <w:t xml:space="preserve">, E., &amp; </w:t>
      </w:r>
      <w:proofErr w:type="spellStart"/>
      <w:r w:rsidRPr="00AA3229">
        <w:rPr>
          <w:sz w:val="24"/>
          <w:szCs w:val="24"/>
        </w:rPr>
        <w:t>Gardikis</w:t>
      </w:r>
      <w:proofErr w:type="spellEnd"/>
      <w:r w:rsidRPr="00AA3229">
        <w:rPr>
          <w:sz w:val="24"/>
          <w:szCs w:val="24"/>
        </w:rPr>
        <w:t xml:space="preserve">, K. (2022). Applications and Prospects of Nanotechnology in Food and Cosmetics Preservation. Nanomaterials, 12(7), 1196. </w:t>
      </w:r>
      <w:hyperlink r:id="rId14">
        <w:r w:rsidR="00625E61" w:rsidRPr="00AA3229">
          <w:rPr>
            <w:color w:val="0000FF"/>
            <w:sz w:val="24"/>
            <w:szCs w:val="24"/>
            <w:u w:val="single"/>
          </w:rPr>
          <w:t>https://doi.org/10.3390/nano12071196</w:t>
        </w:r>
      </w:hyperlink>
      <w:r w:rsidRPr="00AA3229">
        <w:rPr>
          <w:sz w:val="24"/>
          <w:szCs w:val="24"/>
        </w:rPr>
        <w:t xml:space="preserve"> </w:t>
      </w:r>
    </w:p>
    <w:p w14:paraId="30BAF1A1" w14:textId="77777777" w:rsidR="00625E61" w:rsidRPr="00AA3229" w:rsidRDefault="005C4DDE" w:rsidP="00AA3229">
      <w:pPr>
        <w:pStyle w:val="ListParagraph"/>
        <w:numPr>
          <w:ilvl w:val="0"/>
          <w:numId w:val="2"/>
        </w:numPr>
        <w:tabs>
          <w:tab w:val="left" w:pos="9356"/>
        </w:tabs>
        <w:spacing w:before="185"/>
        <w:ind w:right="854"/>
        <w:jc w:val="both"/>
        <w:rPr>
          <w:sz w:val="24"/>
          <w:szCs w:val="24"/>
        </w:rPr>
      </w:pPr>
      <w:proofErr w:type="spellStart"/>
      <w:r w:rsidRPr="00AA3229">
        <w:rPr>
          <w:sz w:val="24"/>
          <w:szCs w:val="24"/>
        </w:rPr>
        <w:t>Baldea</w:t>
      </w:r>
      <w:proofErr w:type="spellEnd"/>
      <w:r w:rsidRPr="00AA3229">
        <w:rPr>
          <w:sz w:val="24"/>
          <w:szCs w:val="24"/>
        </w:rPr>
        <w:t xml:space="preserve">, I., </w:t>
      </w:r>
      <w:proofErr w:type="spellStart"/>
      <w:r w:rsidRPr="00AA3229">
        <w:rPr>
          <w:sz w:val="24"/>
          <w:szCs w:val="24"/>
        </w:rPr>
        <w:t>Iacoviță</w:t>
      </w:r>
      <w:proofErr w:type="spellEnd"/>
      <w:r w:rsidRPr="00AA3229">
        <w:rPr>
          <w:sz w:val="24"/>
          <w:szCs w:val="24"/>
        </w:rPr>
        <w:t xml:space="preserve">, C., </w:t>
      </w:r>
      <w:proofErr w:type="spellStart"/>
      <w:r w:rsidRPr="00AA3229">
        <w:rPr>
          <w:sz w:val="24"/>
          <w:szCs w:val="24"/>
        </w:rPr>
        <w:t>Gurgu</w:t>
      </w:r>
      <w:proofErr w:type="spellEnd"/>
      <w:r w:rsidRPr="00AA3229">
        <w:rPr>
          <w:sz w:val="24"/>
          <w:szCs w:val="24"/>
        </w:rPr>
        <w:t xml:space="preserve">, R. A., </w:t>
      </w:r>
      <w:proofErr w:type="spellStart"/>
      <w:r w:rsidRPr="00AA3229">
        <w:rPr>
          <w:sz w:val="24"/>
          <w:szCs w:val="24"/>
        </w:rPr>
        <w:t>Vizitiu</w:t>
      </w:r>
      <w:proofErr w:type="spellEnd"/>
      <w:r w:rsidRPr="00AA3229">
        <w:rPr>
          <w:sz w:val="24"/>
          <w:szCs w:val="24"/>
        </w:rPr>
        <w:t xml:space="preserve">, A. S., </w:t>
      </w:r>
      <w:proofErr w:type="spellStart"/>
      <w:r w:rsidRPr="00AA3229">
        <w:rPr>
          <w:sz w:val="24"/>
          <w:szCs w:val="24"/>
        </w:rPr>
        <w:t>Râzniceanu</w:t>
      </w:r>
      <w:proofErr w:type="spellEnd"/>
      <w:r w:rsidRPr="00AA3229">
        <w:rPr>
          <w:sz w:val="24"/>
          <w:szCs w:val="24"/>
        </w:rPr>
        <w:t xml:space="preserve">, V., &amp; </w:t>
      </w:r>
      <w:proofErr w:type="spellStart"/>
      <w:r w:rsidRPr="00AA3229">
        <w:rPr>
          <w:sz w:val="24"/>
          <w:szCs w:val="24"/>
        </w:rPr>
        <w:t>Mitrea</w:t>
      </w:r>
      <w:proofErr w:type="spellEnd"/>
      <w:r w:rsidRPr="00AA3229">
        <w:rPr>
          <w:sz w:val="24"/>
          <w:szCs w:val="24"/>
        </w:rPr>
        <w:t xml:space="preserve">, D. R. (2025). Magnetic Hyperthermia with Iron Oxide Nanoparticles: From Toxicity Challenges to Cancer Applications. Nanomaterials, 15(19), 1519. </w:t>
      </w:r>
      <w:hyperlink r:id="rId15">
        <w:r w:rsidR="00625E61" w:rsidRPr="00AA3229">
          <w:rPr>
            <w:color w:val="0000FF"/>
            <w:sz w:val="24"/>
            <w:szCs w:val="24"/>
            <w:u w:val="single"/>
          </w:rPr>
          <w:t>https://doi.org/10.3390/nano15191519</w:t>
        </w:r>
      </w:hyperlink>
      <w:r w:rsidRPr="00AA3229">
        <w:rPr>
          <w:sz w:val="24"/>
          <w:szCs w:val="24"/>
        </w:rPr>
        <w:t xml:space="preserve"> </w:t>
      </w:r>
    </w:p>
    <w:p w14:paraId="0ED48455" w14:textId="77777777" w:rsidR="00625E61" w:rsidRPr="00AA3229" w:rsidRDefault="005C4DDE" w:rsidP="00AA3229">
      <w:pPr>
        <w:pStyle w:val="ListParagraph"/>
        <w:numPr>
          <w:ilvl w:val="0"/>
          <w:numId w:val="2"/>
        </w:numPr>
        <w:tabs>
          <w:tab w:val="left" w:pos="9356"/>
        </w:tabs>
        <w:spacing w:line="270" w:lineRule="auto"/>
        <w:ind w:right="854"/>
        <w:jc w:val="both"/>
        <w:rPr>
          <w:sz w:val="24"/>
          <w:szCs w:val="24"/>
        </w:rPr>
      </w:pPr>
      <w:proofErr w:type="spellStart"/>
      <w:r w:rsidRPr="00AA3229">
        <w:rPr>
          <w:color w:val="000000"/>
          <w:sz w:val="24"/>
          <w:szCs w:val="24"/>
        </w:rPr>
        <w:t>Bellmann</w:t>
      </w:r>
      <w:proofErr w:type="spellEnd"/>
      <w:r w:rsidRPr="00AA3229">
        <w:rPr>
          <w:color w:val="000000"/>
          <w:sz w:val="24"/>
          <w:szCs w:val="24"/>
        </w:rPr>
        <w:t xml:space="preserve">, S., </w:t>
      </w:r>
      <w:proofErr w:type="spellStart"/>
      <w:r w:rsidRPr="00AA3229">
        <w:rPr>
          <w:color w:val="000000"/>
          <w:sz w:val="24"/>
          <w:szCs w:val="24"/>
        </w:rPr>
        <w:t>Carlander</w:t>
      </w:r>
      <w:proofErr w:type="spellEnd"/>
      <w:r w:rsidRPr="00AA3229">
        <w:rPr>
          <w:color w:val="000000"/>
          <w:sz w:val="24"/>
          <w:szCs w:val="24"/>
        </w:rPr>
        <w:t xml:space="preserve">, D., Fasano, A., </w:t>
      </w:r>
      <w:proofErr w:type="spellStart"/>
      <w:r w:rsidRPr="00AA3229">
        <w:rPr>
          <w:color w:val="000000"/>
          <w:sz w:val="24"/>
          <w:szCs w:val="24"/>
        </w:rPr>
        <w:t>Momcilovic</w:t>
      </w:r>
      <w:proofErr w:type="spellEnd"/>
      <w:r w:rsidRPr="00AA3229">
        <w:rPr>
          <w:color w:val="000000"/>
          <w:sz w:val="24"/>
          <w:szCs w:val="24"/>
        </w:rPr>
        <w:t xml:space="preserve">, D., </w:t>
      </w:r>
      <w:proofErr w:type="spellStart"/>
      <w:r w:rsidRPr="00AA3229">
        <w:rPr>
          <w:color w:val="000000"/>
          <w:sz w:val="24"/>
          <w:szCs w:val="24"/>
        </w:rPr>
        <w:t>Scimeca</w:t>
      </w:r>
      <w:proofErr w:type="spellEnd"/>
      <w:r w:rsidRPr="00AA3229">
        <w:rPr>
          <w:color w:val="000000"/>
          <w:sz w:val="24"/>
          <w:szCs w:val="24"/>
        </w:rPr>
        <w:t xml:space="preserve">, J. A., Waldman, W. J., </w:t>
      </w:r>
      <w:proofErr w:type="spellStart"/>
      <w:r w:rsidRPr="00AA3229">
        <w:rPr>
          <w:color w:val="000000"/>
          <w:sz w:val="24"/>
          <w:szCs w:val="24"/>
        </w:rPr>
        <w:t>Gombau</w:t>
      </w:r>
      <w:proofErr w:type="spellEnd"/>
      <w:r w:rsidRPr="00AA3229">
        <w:rPr>
          <w:color w:val="000000"/>
          <w:sz w:val="24"/>
          <w:szCs w:val="24"/>
        </w:rPr>
        <w:t xml:space="preserve">, L., </w:t>
      </w:r>
      <w:proofErr w:type="spellStart"/>
      <w:r w:rsidRPr="00AA3229">
        <w:rPr>
          <w:color w:val="000000"/>
          <w:sz w:val="24"/>
          <w:szCs w:val="24"/>
        </w:rPr>
        <w:t>Tsytsikova</w:t>
      </w:r>
      <w:proofErr w:type="spellEnd"/>
      <w:r w:rsidRPr="00AA3229">
        <w:rPr>
          <w:color w:val="000000"/>
          <w:sz w:val="24"/>
          <w:szCs w:val="24"/>
        </w:rPr>
        <w:t>, L., Canady, R., Pereira, D. I. A., &amp; David, E. B. (2015). Mammalian gastroin</w:t>
      </w:r>
      <w:r w:rsidRPr="00AA3229">
        <w:rPr>
          <w:color w:val="000000"/>
          <w:sz w:val="24"/>
          <w:szCs w:val="24"/>
        </w:rPr>
        <w:t xml:space="preserve">testinal tract parameters modulating the integrity, surface properties, and absorption of food-relevant nanomaterials. Wiley Interdisciplinary Reviews: Nanomedicine and Nanobiotechnology, 7(5), 609–622. </w:t>
      </w:r>
      <w:hyperlink r:id="rId16">
        <w:r w:rsidR="00625E61" w:rsidRPr="00AA3229">
          <w:rPr>
            <w:color w:val="0000FF"/>
            <w:sz w:val="24"/>
            <w:szCs w:val="24"/>
            <w:u w:val="single"/>
          </w:rPr>
          <w:t>https://doi.org/10.1002/wnan.1333</w:t>
        </w:r>
      </w:hyperlink>
      <w:r w:rsidRPr="00AA3229">
        <w:rPr>
          <w:color w:val="000000"/>
          <w:sz w:val="24"/>
          <w:szCs w:val="24"/>
        </w:rPr>
        <w:t xml:space="preserve"> </w:t>
      </w:r>
    </w:p>
    <w:p w14:paraId="09E5785D" w14:textId="77777777" w:rsidR="00625E61" w:rsidRPr="00AA3229" w:rsidRDefault="005C4DDE" w:rsidP="00AA3229">
      <w:pPr>
        <w:pStyle w:val="ListParagraph"/>
        <w:numPr>
          <w:ilvl w:val="0"/>
          <w:numId w:val="2"/>
        </w:numPr>
        <w:tabs>
          <w:tab w:val="left" w:pos="9356"/>
        </w:tabs>
        <w:spacing w:line="270" w:lineRule="auto"/>
        <w:ind w:right="854"/>
        <w:jc w:val="both"/>
        <w:rPr>
          <w:sz w:val="24"/>
          <w:szCs w:val="24"/>
        </w:rPr>
      </w:pPr>
      <w:r w:rsidRPr="00AA3229">
        <w:rPr>
          <w:sz w:val="24"/>
          <w:szCs w:val="24"/>
        </w:rPr>
        <w:t xml:space="preserve">Biswas, R., </w:t>
      </w:r>
      <w:proofErr w:type="spellStart"/>
      <w:r w:rsidRPr="00AA3229">
        <w:rPr>
          <w:sz w:val="24"/>
          <w:szCs w:val="24"/>
        </w:rPr>
        <w:t>Alam</w:t>
      </w:r>
      <w:proofErr w:type="spellEnd"/>
      <w:r w:rsidRPr="00AA3229">
        <w:rPr>
          <w:sz w:val="24"/>
          <w:szCs w:val="24"/>
        </w:rPr>
        <w:t xml:space="preserve">, M., Sarkar, A., Haque, M. I., Hasan, M. M., &amp; Hoque, M. J. H. (2022). Application of nanotechnology in food: Processing, preservation, packaging and safety assessment. </w:t>
      </w:r>
      <w:proofErr w:type="spellStart"/>
      <w:r w:rsidRPr="00AA3229">
        <w:rPr>
          <w:sz w:val="24"/>
          <w:szCs w:val="24"/>
        </w:rPr>
        <w:t>Heliyon</w:t>
      </w:r>
      <w:proofErr w:type="spellEnd"/>
      <w:r w:rsidRPr="00AA3229">
        <w:rPr>
          <w:sz w:val="24"/>
          <w:szCs w:val="24"/>
        </w:rPr>
        <w:t xml:space="preserve">, 8, e11795. </w:t>
      </w:r>
      <w:hyperlink r:id="rId17">
        <w:r w:rsidR="00625E61" w:rsidRPr="00AA3229">
          <w:rPr>
            <w:color w:val="0000FF"/>
            <w:sz w:val="24"/>
            <w:szCs w:val="24"/>
            <w:u w:val="single"/>
          </w:rPr>
          <w:t>https://doi.org/10.1016/j.heliyon.2022.e11795</w:t>
        </w:r>
      </w:hyperlink>
      <w:r w:rsidRPr="00AA3229">
        <w:rPr>
          <w:sz w:val="24"/>
          <w:szCs w:val="24"/>
        </w:rPr>
        <w:t xml:space="preserve"> </w:t>
      </w:r>
    </w:p>
    <w:p w14:paraId="4347463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Cha, K., Hong, H.-W., Choi, Y.-G., Lee, M. J., Park, J. H., </w:t>
      </w:r>
      <w:proofErr w:type="spellStart"/>
      <w:r w:rsidRPr="00AA3229">
        <w:rPr>
          <w:color w:val="000000"/>
          <w:sz w:val="24"/>
          <w:szCs w:val="24"/>
        </w:rPr>
        <w:t>Chae</w:t>
      </w:r>
      <w:proofErr w:type="spellEnd"/>
      <w:r w:rsidRPr="00AA3229">
        <w:rPr>
          <w:color w:val="000000"/>
          <w:sz w:val="24"/>
          <w:szCs w:val="24"/>
        </w:rPr>
        <w:t xml:space="preserve">, H.-K., Ryu, G., &amp; Myung, H. (2008). Comparison of acute responses of mice livers to short-term exposure to </w:t>
      </w:r>
      <w:proofErr w:type="spellStart"/>
      <w:r w:rsidRPr="00AA3229">
        <w:rPr>
          <w:color w:val="000000"/>
          <w:sz w:val="24"/>
          <w:szCs w:val="24"/>
        </w:rPr>
        <w:t>nano</w:t>
      </w:r>
      <w:proofErr w:type="spellEnd"/>
      <w:r w:rsidRPr="00AA3229">
        <w:rPr>
          <w:color w:val="000000"/>
          <w:sz w:val="24"/>
          <w:szCs w:val="24"/>
        </w:rPr>
        <w:t>-sized or micro-sized silver particles. Biotechnology Letters, 30(11), 1893–189</w:t>
      </w:r>
      <w:r w:rsidRPr="00AA3229">
        <w:rPr>
          <w:color w:val="000000"/>
          <w:sz w:val="24"/>
          <w:szCs w:val="24"/>
        </w:rPr>
        <w:t xml:space="preserve">9. </w:t>
      </w:r>
      <w:hyperlink r:id="rId18">
        <w:r w:rsidR="00625E61" w:rsidRPr="00AA3229">
          <w:rPr>
            <w:color w:val="0000FF"/>
            <w:sz w:val="24"/>
            <w:szCs w:val="24"/>
            <w:u w:val="single"/>
          </w:rPr>
          <w:t>https://doi.org/10.1007/s10529-008-9786-2</w:t>
        </w:r>
      </w:hyperlink>
      <w:r w:rsidRPr="00AA3229">
        <w:rPr>
          <w:color w:val="000000"/>
          <w:sz w:val="24"/>
          <w:szCs w:val="24"/>
        </w:rPr>
        <w:t xml:space="preserve"> </w:t>
      </w:r>
    </w:p>
    <w:p w14:paraId="205CF822"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8" w:line="259" w:lineRule="auto"/>
        <w:ind w:right="854"/>
        <w:jc w:val="both"/>
        <w:rPr>
          <w:color w:val="000000"/>
          <w:sz w:val="24"/>
          <w:szCs w:val="24"/>
        </w:rPr>
      </w:pPr>
      <w:r w:rsidRPr="00AA3229">
        <w:rPr>
          <w:color w:val="000000"/>
          <w:sz w:val="24"/>
          <w:szCs w:val="24"/>
        </w:rPr>
        <w:t xml:space="preserve">Chaudhry, Q., </w:t>
      </w:r>
      <w:proofErr w:type="spellStart"/>
      <w:r w:rsidRPr="00AA3229">
        <w:rPr>
          <w:color w:val="000000"/>
          <w:sz w:val="24"/>
          <w:szCs w:val="24"/>
        </w:rPr>
        <w:t>Scotter</w:t>
      </w:r>
      <w:proofErr w:type="spellEnd"/>
      <w:r w:rsidRPr="00AA3229">
        <w:rPr>
          <w:color w:val="000000"/>
          <w:sz w:val="24"/>
          <w:szCs w:val="24"/>
        </w:rPr>
        <w:t>, M., Blackburn, J., Ross, B., Boxall, A., Castle, L., Aitken, R., &amp; Watkins, R. (2008). Applications and implications of nanote</w:t>
      </w:r>
      <w:r w:rsidRPr="00AA3229">
        <w:rPr>
          <w:color w:val="000000"/>
          <w:sz w:val="24"/>
          <w:szCs w:val="24"/>
        </w:rPr>
        <w:t xml:space="preserve">chnologies for the food sector. Food Additives and Contaminants, 25(3), 241–258. </w:t>
      </w:r>
      <w:hyperlink r:id="rId19">
        <w:r w:rsidR="00625E61" w:rsidRPr="00AA3229">
          <w:rPr>
            <w:color w:val="0000FF"/>
            <w:sz w:val="24"/>
            <w:szCs w:val="24"/>
            <w:u w:val="single"/>
          </w:rPr>
          <w:t>https://doi.org/10.1080/02652030701744538</w:t>
        </w:r>
      </w:hyperlink>
      <w:r w:rsidRPr="00AA3229">
        <w:rPr>
          <w:color w:val="000000"/>
          <w:sz w:val="24"/>
          <w:szCs w:val="24"/>
        </w:rPr>
        <w:t xml:space="preserve"> </w:t>
      </w:r>
    </w:p>
    <w:p w14:paraId="29A7EF85"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7" w:line="259" w:lineRule="auto"/>
        <w:ind w:right="854"/>
        <w:jc w:val="both"/>
        <w:rPr>
          <w:color w:val="000000"/>
          <w:sz w:val="24"/>
          <w:szCs w:val="24"/>
        </w:rPr>
      </w:pPr>
      <w:r w:rsidRPr="00AA3229">
        <w:rPr>
          <w:color w:val="000000"/>
          <w:sz w:val="24"/>
          <w:szCs w:val="24"/>
        </w:rPr>
        <w:t xml:space="preserve">Cho, W.-S., Kang, B.-C., Lee, J. K., </w:t>
      </w:r>
      <w:proofErr w:type="spellStart"/>
      <w:r w:rsidRPr="00AA3229">
        <w:rPr>
          <w:color w:val="000000"/>
          <w:sz w:val="24"/>
          <w:szCs w:val="24"/>
        </w:rPr>
        <w:t>Jeong</w:t>
      </w:r>
      <w:proofErr w:type="spellEnd"/>
      <w:r w:rsidRPr="00AA3229">
        <w:rPr>
          <w:color w:val="000000"/>
          <w:sz w:val="24"/>
          <w:szCs w:val="24"/>
        </w:rPr>
        <w:t xml:space="preserve">, J., Che, J.-H., &amp; Seok, S. </w:t>
      </w:r>
      <w:r w:rsidRPr="00AA3229">
        <w:rPr>
          <w:color w:val="000000"/>
          <w:sz w:val="24"/>
          <w:szCs w:val="24"/>
        </w:rPr>
        <w:t xml:space="preserve">H. (2013). Comparative absorption, distribution, and excretion of titanium dioxide and zinc oxide nanoparticles after repeated oral administration. Particle and </w:t>
      </w:r>
      <w:proofErr w:type="spellStart"/>
      <w:r w:rsidRPr="00AA3229">
        <w:rPr>
          <w:color w:val="000000"/>
          <w:sz w:val="24"/>
          <w:szCs w:val="24"/>
        </w:rPr>
        <w:t>Fibre</w:t>
      </w:r>
      <w:proofErr w:type="spellEnd"/>
      <w:r w:rsidRPr="00AA3229">
        <w:rPr>
          <w:color w:val="000000"/>
          <w:sz w:val="24"/>
          <w:szCs w:val="24"/>
        </w:rPr>
        <w:t xml:space="preserve"> Toxicology, 10(1), 9. </w:t>
      </w:r>
      <w:hyperlink r:id="rId20">
        <w:r w:rsidR="00625E61" w:rsidRPr="00AA3229">
          <w:rPr>
            <w:color w:val="0000FF"/>
            <w:sz w:val="24"/>
            <w:szCs w:val="24"/>
            <w:u w:val="single"/>
          </w:rPr>
          <w:t>https://doi.org/10.1186/1743-8977-10-9</w:t>
        </w:r>
      </w:hyperlink>
      <w:r w:rsidRPr="00AA3229">
        <w:rPr>
          <w:color w:val="000000"/>
          <w:sz w:val="24"/>
          <w:szCs w:val="24"/>
        </w:rPr>
        <w:t xml:space="preserve"> </w:t>
      </w:r>
    </w:p>
    <w:p w14:paraId="2A9C7984"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7" w:line="259" w:lineRule="auto"/>
        <w:ind w:right="854"/>
        <w:jc w:val="both"/>
        <w:rPr>
          <w:color w:val="000000"/>
          <w:sz w:val="24"/>
          <w:szCs w:val="24"/>
        </w:rPr>
      </w:pPr>
      <w:r w:rsidRPr="00AA3229">
        <w:rPr>
          <w:color w:val="000000"/>
          <w:sz w:val="24"/>
          <w:szCs w:val="24"/>
        </w:rPr>
        <w:t xml:space="preserve">Dash, K. K., Deka, P., </w:t>
      </w:r>
      <w:proofErr w:type="spellStart"/>
      <w:r w:rsidRPr="00AA3229">
        <w:rPr>
          <w:color w:val="000000"/>
          <w:sz w:val="24"/>
          <w:szCs w:val="24"/>
        </w:rPr>
        <w:t>Bangar</w:t>
      </w:r>
      <w:proofErr w:type="spellEnd"/>
      <w:r w:rsidRPr="00AA3229">
        <w:rPr>
          <w:color w:val="000000"/>
          <w:sz w:val="24"/>
          <w:szCs w:val="24"/>
        </w:rPr>
        <w:t xml:space="preserve">, S. P., Chaudhary, V., </w:t>
      </w:r>
      <w:proofErr w:type="spellStart"/>
      <w:r w:rsidRPr="00AA3229">
        <w:rPr>
          <w:color w:val="000000"/>
          <w:sz w:val="24"/>
          <w:szCs w:val="24"/>
        </w:rPr>
        <w:t>Trif</w:t>
      </w:r>
      <w:proofErr w:type="spellEnd"/>
      <w:r w:rsidRPr="00AA3229">
        <w:rPr>
          <w:color w:val="000000"/>
          <w:sz w:val="24"/>
          <w:szCs w:val="24"/>
        </w:rPr>
        <w:t xml:space="preserve">, M., &amp; </w:t>
      </w:r>
      <w:proofErr w:type="spellStart"/>
      <w:r w:rsidRPr="00AA3229">
        <w:rPr>
          <w:color w:val="000000"/>
          <w:sz w:val="24"/>
          <w:szCs w:val="24"/>
        </w:rPr>
        <w:t>Rusu</w:t>
      </w:r>
      <w:proofErr w:type="spellEnd"/>
      <w:r w:rsidRPr="00AA3229">
        <w:rPr>
          <w:color w:val="000000"/>
          <w:sz w:val="24"/>
          <w:szCs w:val="24"/>
        </w:rPr>
        <w:t xml:space="preserve">, A. (2022). Applications of Inorganic Nanoparticles in Food Packaging: A Comprehensive Review. Polymers, 14(3), 521. </w:t>
      </w:r>
      <w:hyperlink r:id="rId21">
        <w:r w:rsidR="00625E61" w:rsidRPr="00AA3229">
          <w:rPr>
            <w:color w:val="0000FF"/>
            <w:sz w:val="24"/>
            <w:szCs w:val="24"/>
            <w:u w:val="single"/>
          </w:rPr>
          <w:t>https://doi.org/10.3390/polym14030521</w:t>
        </w:r>
      </w:hyperlink>
      <w:r w:rsidRPr="00AA3229">
        <w:rPr>
          <w:color w:val="000000"/>
          <w:sz w:val="24"/>
          <w:szCs w:val="24"/>
        </w:rPr>
        <w:t xml:space="preserve"> </w:t>
      </w:r>
    </w:p>
    <w:p w14:paraId="4FEE7945" w14:textId="77777777" w:rsidR="00625E61" w:rsidRPr="00AA3229" w:rsidRDefault="005C4DDE" w:rsidP="00AA3229">
      <w:pPr>
        <w:pStyle w:val="ListParagraph"/>
        <w:numPr>
          <w:ilvl w:val="0"/>
          <w:numId w:val="2"/>
        </w:numPr>
        <w:tabs>
          <w:tab w:val="left" w:pos="9356"/>
        </w:tabs>
        <w:spacing w:before="24" w:line="256" w:lineRule="auto"/>
        <w:ind w:right="854"/>
        <w:jc w:val="both"/>
        <w:rPr>
          <w:sz w:val="24"/>
          <w:szCs w:val="24"/>
        </w:rPr>
      </w:pPr>
      <w:r w:rsidRPr="00AA3229">
        <w:rPr>
          <w:color w:val="000000"/>
          <w:sz w:val="24"/>
          <w:szCs w:val="24"/>
        </w:rPr>
        <w:t xml:space="preserve">Davidov-Pardo, G., </w:t>
      </w:r>
      <w:proofErr w:type="spellStart"/>
      <w:r w:rsidRPr="00AA3229">
        <w:rPr>
          <w:color w:val="000000"/>
          <w:sz w:val="24"/>
          <w:szCs w:val="24"/>
        </w:rPr>
        <w:t>Joye</w:t>
      </w:r>
      <w:proofErr w:type="spellEnd"/>
      <w:r w:rsidRPr="00AA3229">
        <w:rPr>
          <w:color w:val="000000"/>
          <w:sz w:val="24"/>
          <w:szCs w:val="24"/>
        </w:rPr>
        <w:t>, I. J., &amp; McClements, D. J. (2015). Food-grade protein-based nanoparticles and microparticles for bioactive delivery: Fabrication, characterization, and utilization. Advances in Protein Chemistry and Structural Biology, 98, 293–325.</w:t>
      </w:r>
      <w:r w:rsidRPr="00AA3229">
        <w:rPr>
          <w:color w:val="000000"/>
          <w:sz w:val="24"/>
          <w:szCs w:val="24"/>
        </w:rPr>
        <w:t xml:space="preserve"> </w:t>
      </w:r>
      <w:hyperlink r:id="rId22">
        <w:r w:rsidR="00625E61" w:rsidRPr="00AA3229">
          <w:rPr>
            <w:color w:val="0000FF"/>
            <w:sz w:val="24"/>
            <w:szCs w:val="24"/>
            <w:u w:val="single"/>
          </w:rPr>
          <w:t>https://doi.org/10.1016/bs.apcsb.2014.11.004</w:t>
        </w:r>
      </w:hyperlink>
      <w:r w:rsidRPr="00AA3229">
        <w:rPr>
          <w:color w:val="000000"/>
          <w:sz w:val="24"/>
          <w:szCs w:val="24"/>
        </w:rPr>
        <w:t xml:space="preserve"> </w:t>
      </w:r>
    </w:p>
    <w:p w14:paraId="0AAF2E60" w14:textId="77777777" w:rsidR="00625E61" w:rsidRDefault="00625E61" w:rsidP="00B778B8">
      <w:pPr>
        <w:tabs>
          <w:tab w:val="left" w:pos="9356"/>
        </w:tabs>
        <w:spacing w:before="24" w:line="256" w:lineRule="auto"/>
        <w:ind w:left="165" w:right="854"/>
        <w:jc w:val="both"/>
        <w:rPr>
          <w:sz w:val="24"/>
          <w:szCs w:val="24"/>
        </w:rPr>
      </w:pPr>
    </w:p>
    <w:p w14:paraId="7D92D856" w14:textId="77777777" w:rsidR="00625E61" w:rsidRPr="00AA3229" w:rsidRDefault="005C4DDE" w:rsidP="00AA3229">
      <w:pPr>
        <w:pStyle w:val="ListParagraph"/>
        <w:numPr>
          <w:ilvl w:val="0"/>
          <w:numId w:val="2"/>
        </w:numPr>
        <w:tabs>
          <w:tab w:val="left" w:pos="9356"/>
        </w:tabs>
        <w:spacing w:before="24" w:line="256" w:lineRule="auto"/>
        <w:ind w:right="854"/>
        <w:jc w:val="both"/>
        <w:rPr>
          <w:sz w:val="24"/>
          <w:szCs w:val="24"/>
        </w:rPr>
      </w:pPr>
      <w:r w:rsidRPr="00AA3229">
        <w:rPr>
          <w:sz w:val="24"/>
          <w:szCs w:val="24"/>
        </w:rPr>
        <w:t xml:space="preserve">de Oliveira Filho, J. G., Miranda, M., Ferreira, M. D., &amp; </w:t>
      </w:r>
      <w:proofErr w:type="spellStart"/>
      <w:r w:rsidRPr="00AA3229">
        <w:rPr>
          <w:sz w:val="24"/>
          <w:szCs w:val="24"/>
        </w:rPr>
        <w:t>Plotto</w:t>
      </w:r>
      <w:proofErr w:type="spellEnd"/>
      <w:r w:rsidRPr="00AA3229">
        <w:rPr>
          <w:sz w:val="24"/>
          <w:szCs w:val="24"/>
        </w:rPr>
        <w:t xml:space="preserve">, A. (2021). </w:t>
      </w:r>
      <w:proofErr w:type="spellStart"/>
      <w:r w:rsidRPr="00AA3229">
        <w:rPr>
          <w:sz w:val="24"/>
          <w:szCs w:val="24"/>
        </w:rPr>
        <w:t>Nanoemulsions</w:t>
      </w:r>
      <w:proofErr w:type="spellEnd"/>
      <w:r w:rsidRPr="00AA3229">
        <w:rPr>
          <w:sz w:val="24"/>
          <w:szCs w:val="24"/>
        </w:rPr>
        <w:t xml:space="preserve"> as Edible Coatings: A Potential Strategy for Fresh Fr</w:t>
      </w:r>
      <w:r w:rsidRPr="00AA3229">
        <w:rPr>
          <w:sz w:val="24"/>
          <w:szCs w:val="24"/>
        </w:rPr>
        <w:t xml:space="preserve">uits and Vegetables Preservation. Foods. </w:t>
      </w:r>
      <w:hyperlink r:id="rId23">
        <w:r w:rsidR="00625E61" w:rsidRPr="00AA3229">
          <w:rPr>
            <w:color w:val="0000FF"/>
            <w:sz w:val="24"/>
            <w:szCs w:val="24"/>
            <w:u w:val="single"/>
          </w:rPr>
          <w:t>https://doi.org/10.3390/foods10102438</w:t>
        </w:r>
      </w:hyperlink>
      <w:r w:rsidRPr="00AA3229">
        <w:rPr>
          <w:sz w:val="24"/>
          <w:szCs w:val="24"/>
        </w:rPr>
        <w:t xml:space="preserve"> </w:t>
      </w:r>
    </w:p>
    <w:p w14:paraId="058255AE"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proofErr w:type="spellStart"/>
      <w:r w:rsidRPr="00AA3229">
        <w:rPr>
          <w:sz w:val="24"/>
          <w:szCs w:val="24"/>
        </w:rPr>
        <w:t>Echegoyen</w:t>
      </w:r>
      <w:proofErr w:type="spellEnd"/>
      <w:r w:rsidRPr="00AA3229">
        <w:rPr>
          <w:sz w:val="24"/>
          <w:szCs w:val="24"/>
        </w:rPr>
        <w:t xml:space="preserve">, Y., &amp; </w:t>
      </w:r>
      <w:proofErr w:type="spellStart"/>
      <w:r w:rsidRPr="00AA3229">
        <w:rPr>
          <w:sz w:val="24"/>
          <w:szCs w:val="24"/>
        </w:rPr>
        <w:t>Nerín</w:t>
      </w:r>
      <w:proofErr w:type="spellEnd"/>
      <w:r w:rsidRPr="00AA3229">
        <w:rPr>
          <w:sz w:val="24"/>
          <w:szCs w:val="24"/>
        </w:rPr>
        <w:t xml:space="preserve">, C. (2013). Nanoparticle release from </w:t>
      </w:r>
      <w:proofErr w:type="spellStart"/>
      <w:r w:rsidRPr="00AA3229">
        <w:rPr>
          <w:sz w:val="24"/>
          <w:szCs w:val="24"/>
        </w:rPr>
        <w:t>nano</w:t>
      </w:r>
      <w:proofErr w:type="spellEnd"/>
      <w:r w:rsidRPr="00AA3229">
        <w:rPr>
          <w:sz w:val="24"/>
          <w:szCs w:val="24"/>
        </w:rPr>
        <w:t>-silver antimicrobial food containers. Food and Chemic</w:t>
      </w:r>
      <w:r w:rsidRPr="00AA3229">
        <w:rPr>
          <w:sz w:val="24"/>
          <w:szCs w:val="24"/>
        </w:rPr>
        <w:t xml:space="preserve">al Toxicology. </w:t>
      </w:r>
      <w:hyperlink r:id="rId24">
        <w:r w:rsidR="00625E61" w:rsidRPr="00AA3229">
          <w:rPr>
            <w:color w:val="0000FF"/>
            <w:sz w:val="24"/>
            <w:szCs w:val="24"/>
            <w:u w:val="single"/>
          </w:rPr>
          <w:t>https://doi.org/10.1016/j.fct.2013.08.014</w:t>
        </w:r>
      </w:hyperlink>
      <w:r w:rsidRPr="00AA3229">
        <w:rPr>
          <w:sz w:val="24"/>
          <w:szCs w:val="24"/>
        </w:rPr>
        <w:t xml:space="preserve"> </w:t>
      </w:r>
    </w:p>
    <w:p w14:paraId="741DA031"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proofErr w:type="spellStart"/>
      <w:r w:rsidRPr="00AA3229">
        <w:rPr>
          <w:sz w:val="24"/>
          <w:szCs w:val="24"/>
        </w:rPr>
        <w:t>Elfaky</w:t>
      </w:r>
      <w:proofErr w:type="spellEnd"/>
      <w:r w:rsidRPr="00AA3229">
        <w:rPr>
          <w:sz w:val="24"/>
          <w:szCs w:val="24"/>
        </w:rPr>
        <w:t xml:space="preserve">, M. A., </w:t>
      </w:r>
      <w:proofErr w:type="spellStart"/>
      <w:r w:rsidRPr="00AA3229">
        <w:rPr>
          <w:sz w:val="24"/>
          <w:szCs w:val="24"/>
        </w:rPr>
        <w:t>Sirwi</w:t>
      </w:r>
      <w:proofErr w:type="spellEnd"/>
      <w:r w:rsidRPr="00AA3229">
        <w:rPr>
          <w:sz w:val="24"/>
          <w:szCs w:val="24"/>
        </w:rPr>
        <w:t xml:space="preserve">, A., Ismail, S. H., </w:t>
      </w:r>
      <w:proofErr w:type="spellStart"/>
      <w:r w:rsidRPr="00AA3229">
        <w:rPr>
          <w:sz w:val="24"/>
          <w:szCs w:val="24"/>
        </w:rPr>
        <w:t>Awad</w:t>
      </w:r>
      <w:proofErr w:type="spellEnd"/>
      <w:r w:rsidRPr="00AA3229">
        <w:rPr>
          <w:sz w:val="24"/>
          <w:szCs w:val="24"/>
        </w:rPr>
        <w:t>, H. H., &amp; Gad, S. S. (2022). Hepatoprotective Effect of Silver Nanoparticles at Two Different Particle Sizes: Comparative Study with and without Silymarin. Current Issues in Molecular Biology, 44(7), 2923-2938.</w:t>
      </w:r>
      <w:r w:rsidRPr="00AA3229">
        <w:rPr>
          <w:sz w:val="24"/>
          <w:szCs w:val="24"/>
        </w:rPr>
        <w:t xml:space="preserve"> </w:t>
      </w:r>
      <w:hyperlink r:id="rId25">
        <w:r w:rsidR="00625E61" w:rsidRPr="00AA3229">
          <w:rPr>
            <w:color w:val="0000FF"/>
            <w:sz w:val="24"/>
            <w:szCs w:val="24"/>
            <w:u w:val="single"/>
          </w:rPr>
          <w:t>https://doi.org/10.3390/cimb44070202</w:t>
        </w:r>
      </w:hyperlink>
      <w:r w:rsidRPr="00AA3229">
        <w:rPr>
          <w:sz w:val="24"/>
          <w:szCs w:val="24"/>
        </w:rPr>
        <w:t xml:space="preserve"> </w:t>
      </w:r>
    </w:p>
    <w:p w14:paraId="2F97698B"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r w:rsidRPr="00AA3229">
        <w:rPr>
          <w:sz w:val="24"/>
          <w:szCs w:val="24"/>
        </w:rPr>
        <w:t xml:space="preserve">Cheng, T.-M., Chu, H.-Y., Huang, H.-M., Li, Z.-L., Chen, C.-Y., Shih, Y.-J., Whang-Peng, J., Cheng, R. H., Mo, J.-K., Lin, H.-Y., &amp; Wang, K. (2022). Toxicologic </w:t>
      </w:r>
      <w:r w:rsidRPr="00AA3229">
        <w:rPr>
          <w:sz w:val="24"/>
          <w:szCs w:val="24"/>
        </w:rPr>
        <w:t xml:space="preserve">Concerns with Current Medical Nanoparticles. International Journal of Molecular Sciences, 23(14), 7597. </w:t>
      </w:r>
      <w:hyperlink r:id="rId26">
        <w:r w:rsidR="00625E61" w:rsidRPr="00AA3229">
          <w:rPr>
            <w:color w:val="0000FF"/>
            <w:sz w:val="24"/>
            <w:szCs w:val="24"/>
            <w:u w:val="single"/>
          </w:rPr>
          <w:t>https://doi.org/10.3390/ijms23147597</w:t>
        </w:r>
      </w:hyperlink>
      <w:r w:rsidRPr="00AA3229">
        <w:rPr>
          <w:sz w:val="24"/>
          <w:szCs w:val="24"/>
        </w:rPr>
        <w:t xml:space="preserve"> </w:t>
      </w:r>
    </w:p>
    <w:p w14:paraId="5EB8C925"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r w:rsidRPr="00AA3229">
        <w:rPr>
          <w:sz w:val="24"/>
          <w:szCs w:val="24"/>
        </w:rPr>
        <w:t>Cruz-Rosa, S., &amp; Pérez-Reyes, O. (2023). Titanium Oxide Na</w:t>
      </w:r>
      <w:r w:rsidRPr="00AA3229">
        <w:rPr>
          <w:sz w:val="24"/>
          <w:szCs w:val="24"/>
        </w:rPr>
        <w:t xml:space="preserve">noparticles as Emerging Aquatic Pollutants: An Evaluation of the Nanotoxicity in the Freshwater Shrimp Larvae </w:t>
      </w:r>
      <w:proofErr w:type="spellStart"/>
      <w:r w:rsidRPr="00AA3229">
        <w:rPr>
          <w:sz w:val="24"/>
          <w:szCs w:val="24"/>
        </w:rPr>
        <w:t>Atya</w:t>
      </w:r>
      <w:proofErr w:type="spellEnd"/>
      <w:r w:rsidRPr="00AA3229">
        <w:rPr>
          <w:sz w:val="24"/>
          <w:szCs w:val="24"/>
        </w:rPr>
        <w:t xml:space="preserve"> </w:t>
      </w:r>
      <w:proofErr w:type="spellStart"/>
      <w:r w:rsidRPr="00AA3229">
        <w:rPr>
          <w:sz w:val="24"/>
          <w:szCs w:val="24"/>
        </w:rPr>
        <w:t>lanipes</w:t>
      </w:r>
      <w:proofErr w:type="spellEnd"/>
      <w:r w:rsidRPr="00AA3229">
        <w:rPr>
          <w:sz w:val="24"/>
          <w:szCs w:val="24"/>
        </w:rPr>
        <w:t xml:space="preserve">. Ecologies, 4(1), 141-151. </w:t>
      </w:r>
      <w:hyperlink r:id="rId27">
        <w:r w:rsidR="00625E61" w:rsidRPr="00AA3229">
          <w:rPr>
            <w:color w:val="0000FF"/>
            <w:sz w:val="24"/>
            <w:szCs w:val="24"/>
            <w:u w:val="single"/>
          </w:rPr>
          <w:t>https://doi.org/10.3390/ecologies4010011</w:t>
        </w:r>
      </w:hyperlink>
      <w:r w:rsidRPr="00AA3229">
        <w:rPr>
          <w:sz w:val="24"/>
          <w:szCs w:val="24"/>
        </w:rPr>
        <w:t xml:space="preserve"> </w:t>
      </w:r>
    </w:p>
    <w:p w14:paraId="72096D80"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proofErr w:type="spellStart"/>
      <w:r w:rsidRPr="00AA3229">
        <w:rPr>
          <w:sz w:val="24"/>
          <w:szCs w:val="24"/>
        </w:rPr>
        <w:t>Eker</w:t>
      </w:r>
      <w:proofErr w:type="spellEnd"/>
      <w:r w:rsidRPr="00AA3229">
        <w:rPr>
          <w:sz w:val="24"/>
          <w:szCs w:val="24"/>
        </w:rPr>
        <w:t xml:space="preserve">, F., </w:t>
      </w:r>
      <w:proofErr w:type="spellStart"/>
      <w:r w:rsidRPr="00AA3229">
        <w:rPr>
          <w:sz w:val="24"/>
          <w:szCs w:val="24"/>
        </w:rPr>
        <w:t>Duman</w:t>
      </w:r>
      <w:proofErr w:type="spellEnd"/>
      <w:r w:rsidRPr="00AA3229">
        <w:rPr>
          <w:sz w:val="24"/>
          <w:szCs w:val="24"/>
        </w:rPr>
        <w:t xml:space="preserve">, H., </w:t>
      </w:r>
      <w:proofErr w:type="spellStart"/>
      <w:r w:rsidRPr="00AA3229">
        <w:rPr>
          <w:sz w:val="24"/>
          <w:szCs w:val="24"/>
        </w:rPr>
        <w:t>Akdaşçi</w:t>
      </w:r>
      <w:proofErr w:type="spellEnd"/>
      <w:r w:rsidRPr="00AA3229">
        <w:rPr>
          <w:sz w:val="24"/>
          <w:szCs w:val="24"/>
        </w:rPr>
        <w:t xml:space="preserve">, E., </w:t>
      </w:r>
      <w:proofErr w:type="spellStart"/>
      <w:r w:rsidRPr="00AA3229">
        <w:rPr>
          <w:sz w:val="24"/>
          <w:szCs w:val="24"/>
        </w:rPr>
        <w:t>Bolat</w:t>
      </w:r>
      <w:proofErr w:type="spellEnd"/>
      <w:r w:rsidRPr="00AA3229">
        <w:rPr>
          <w:sz w:val="24"/>
          <w:szCs w:val="24"/>
        </w:rPr>
        <w:t xml:space="preserve">, E., </w:t>
      </w:r>
      <w:proofErr w:type="spellStart"/>
      <w:r w:rsidRPr="00AA3229">
        <w:rPr>
          <w:sz w:val="24"/>
          <w:szCs w:val="24"/>
        </w:rPr>
        <w:t>Sarıtaş</w:t>
      </w:r>
      <w:proofErr w:type="spellEnd"/>
      <w:r w:rsidRPr="00AA3229">
        <w:rPr>
          <w:sz w:val="24"/>
          <w:szCs w:val="24"/>
        </w:rPr>
        <w:t xml:space="preserve">, S., </w:t>
      </w:r>
      <w:proofErr w:type="spellStart"/>
      <w:r w:rsidRPr="00AA3229">
        <w:rPr>
          <w:sz w:val="24"/>
          <w:szCs w:val="24"/>
        </w:rPr>
        <w:t>Karav</w:t>
      </w:r>
      <w:proofErr w:type="spellEnd"/>
      <w:r w:rsidRPr="00AA3229">
        <w:rPr>
          <w:sz w:val="24"/>
          <w:szCs w:val="24"/>
        </w:rPr>
        <w:t xml:space="preserve">, S., &amp; </w:t>
      </w:r>
      <w:proofErr w:type="spellStart"/>
      <w:r w:rsidRPr="00AA3229">
        <w:rPr>
          <w:sz w:val="24"/>
          <w:szCs w:val="24"/>
        </w:rPr>
        <w:t>Witkowska</w:t>
      </w:r>
      <w:proofErr w:type="spellEnd"/>
      <w:r w:rsidRPr="00AA3229">
        <w:rPr>
          <w:sz w:val="24"/>
          <w:szCs w:val="24"/>
        </w:rPr>
        <w:t xml:space="preserve">, A. M. (2024). A comprehensive review of nanoparticles: From classification to application and toxicity. Molecules, 29(15), 3482 </w:t>
      </w:r>
      <w:hyperlink r:id="rId28">
        <w:r w:rsidR="00625E61" w:rsidRPr="00AA3229">
          <w:rPr>
            <w:color w:val="0000FF"/>
            <w:sz w:val="24"/>
            <w:szCs w:val="24"/>
            <w:u w:val="single"/>
          </w:rPr>
          <w:t>https://doi.org/10.3390/molecules29153482</w:t>
        </w:r>
      </w:hyperlink>
      <w:r w:rsidRPr="00AA3229">
        <w:rPr>
          <w:sz w:val="24"/>
          <w:szCs w:val="24"/>
        </w:rPr>
        <w:t xml:space="preserve">  </w:t>
      </w:r>
    </w:p>
    <w:p w14:paraId="6EBAB844" w14:textId="77777777" w:rsidR="00625E61" w:rsidRPr="00AA3229" w:rsidRDefault="005C4DDE" w:rsidP="00AA3229">
      <w:pPr>
        <w:pStyle w:val="ListParagraph"/>
        <w:numPr>
          <w:ilvl w:val="0"/>
          <w:numId w:val="2"/>
        </w:numPr>
        <w:tabs>
          <w:tab w:val="left" w:pos="9356"/>
        </w:tabs>
        <w:spacing w:before="164" w:line="256" w:lineRule="auto"/>
        <w:ind w:right="854"/>
        <w:jc w:val="both"/>
        <w:rPr>
          <w:rFonts w:ascii="Inter" w:eastAsia="Inter" w:hAnsi="Inter" w:cs="Inter"/>
          <w:color w:val="0E101A"/>
          <w:sz w:val="21"/>
          <w:szCs w:val="21"/>
        </w:rPr>
      </w:pPr>
      <w:proofErr w:type="spellStart"/>
      <w:r w:rsidRPr="00AA3229">
        <w:rPr>
          <w:rFonts w:ascii="Inter" w:eastAsia="Inter" w:hAnsi="Inter" w:cs="Inter"/>
          <w:color w:val="0E101A"/>
          <w:sz w:val="21"/>
          <w:szCs w:val="21"/>
          <w:highlight w:val="white"/>
        </w:rPr>
        <w:t>Egbuna</w:t>
      </w:r>
      <w:proofErr w:type="spellEnd"/>
      <w:r w:rsidRPr="00AA3229">
        <w:rPr>
          <w:rFonts w:ascii="Inter" w:eastAsia="Inter" w:hAnsi="Inter" w:cs="Inter"/>
          <w:color w:val="0E101A"/>
          <w:sz w:val="21"/>
          <w:szCs w:val="21"/>
          <w:highlight w:val="white"/>
        </w:rPr>
        <w:t xml:space="preserve">, C., Parmar, V. K., </w:t>
      </w:r>
      <w:proofErr w:type="spellStart"/>
      <w:r w:rsidRPr="00AA3229">
        <w:rPr>
          <w:rFonts w:ascii="Inter" w:eastAsia="Inter" w:hAnsi="Inter" w:cs="Inter"/>
          <w:color w:val="0E101A"/>
          <w:sz w:val="21"/>
          <w:szCs w:val="21"/>
          <w:highlight w:val="white"/>
        </w:rPr>
        <w:t>Jeevanandam</w:t>
      </w:r>
      <w:proofErr w:type="spellEnd"/>
      <w:r w:rsidRPr="00AA3229">
        <w:rPr>
          <w:rFonts w:ascii="Inter" w:eastAsia="Inter" w:hAnsi="Inter" w:cs="Inter"/>
          <w:color w:val="0E101A"/>
          <w:sz w:val="21"/>
          <w:szCs w:val="21"/>
          <w:highlight w:val="white"/>
        </w:rPr>
        <w:t>, J., Ezzat, S. M., Patrick-</w:t>
      </w:r>
      <w:proofErr w:type="spellStart"/>
      <w:r w:rsidRPr="00AA3229">
        <w:rPr>
          <w:rFonts w:ascii="Inter" w:eastAsia="Inter" w:hAnsi="Inter" w:cs="Inter"/>
          <w:color w:val="0E101A"/>
          <w:sz w:val="21"/>
          <w:szCs w:val="21"/>
          <w:highlight w:val="white"/>
        </w:rPr>
        <w:t>Iwuanyanwu</w:t>
      </w:r>
      <w:proofErr w:type="spellEnd"/>
      <w:r w:rsidRPr="00AA3229">
        <w:rPr>
          <w:rFonts w:ascii="Inter" w:eastAsia="Inter" w:hAnsi="Inter" w:cs="Inter"/>
          <w:color w:val="0E101A"/>
          <w:sz w:val="21"/>
          <w:szCs w:val="21"/>
          <w:highlight w:val="white"/>
        </w:rPr>
        <w:t xml:space="preserve">, K. C., </w:t>
      </w:r>
      <w:proofErr w:type="spellStart"/>
      <w:r w:rsidRPr="00AA3229">
        <w:rPr>
          <w:rFonts w:ascii="Inter" w:eastAsia="Inter" w:hAnsi="Inter" w:cs="Inter"/>
          <w:color w:val="0E101A"/>
          <w:sz w:val="21"/>
          <w:szCs w:val="21"/>
          <w:highlight w:val="white"/>
        </w:rPr>
        <w:t>Adetunji</w:t>
      </w:r>
      <w:proofErr w:type="spellEnd"/>
      <w:r w:rsidRPr="00AA3229">
        <w:rPr>
          <w:rFonts w:ascii="Inter" w:eastAsia="Inter" w:hAnsi="Inter" w:cs="Inter"/>
          <w:color w:val="0E101A"/>
          <w:sz w:val="21"/>
          <w:szCs w:val="21"/>
          <w:highlight w:val="white"/>
        </w:rPr>
        <w:t xml:space="preserve">, C. O., Khan, J., </w:t>
      </w:r>
      <w:proofErr w:type="spellStart"/>
      <w:r w:rsidRPr="00AA3229">
        <w:rPr>
          <w:rFonts w:ascii="Inter" w:eastAsia="Inter" w:hAnsi="Inter" w:cs="Inter"/>
          <w:color w:val="0E101A"/>
          <w:sz w:val="21"/>
          <w:szCs w:val="21"/>
          <w:highlight w:val="white"/>
        </w:rPr>
        <w:t>Onyeike</w:t>
      </w:r>
      <w:proofErr w:type="spellEnd"/>
      <w:r w:rsidRPr="00AA3229">
        <w:rPr>
          <w:rFonts w:ascii="Inter" w:eastAsia="Inter" w:hAnsi="Inter" w:cs="Inter"/>
          <w:color w:val="0E101A"/>
          <w:sz w:val="21"/>
          <w:szCs w:val="21"/>
          <w:highlight w:val="white"/>
        </w:rPr>
        <w:t xml:space="preserve">, E. N., Uche, C. Z., </w:t>
      </w:r>
      <w:proofErr w:type="spellStart"/>
      <w:r w:rsidRPr="00AA3229">
        <w:rPr>
          <w:rFonts w:ascii="Inter" w:eastAsia="Inter" w:hAnsi="Inter" w:cs="Inter"/>
          <w:color w:val="0E101A"/>
          <w:sz w:val="21"/>
          <w:szCs w:val="21"/>
          <w:highlight w:val="white"/>
        </w:rPr>
        <w:t>Akram</w:t>
      </w:r>
      <w:proofErr w:type="spellEnd"/>
      <w:r w:rsidRPr="00AA3229">
        <w:rPr>
          <w:rFonts w:ascii="Inter" w:eastAsia="Inter" w:hAnsi="Inter" w:cs="Inter"/>
          <w:color w:val="0E101A"/>
          <w:sz w:val="21"/>
          <w:szCs w:val="21"/>
          <w:highlight w:val="white"/>
        </w:rPr>
        <w:t xml:space="preserve">, M., Ibrahim, M. S., El </w:t>
      </w:r>
      <w:proofErr w:type="spellStart"/>
      <w:r w:rsidRPr="00AA3229">
        <w:rPr>
          <w:rFonts w:ascii="Inter" w:eastAsia="Inter" w:hAnsi="Inter" w:cs="Inter"/>
          <w:color w:val="0E101A"/>
          <w:sz w:val="21"/>
          <w:szCs w:val="21"/>
          <w:highlight w:val="white"/>
        </w:rPr>
        <w:t>Mahdy</w:t>
      </w:r>
      <w:proofErr w:type="spellEnd"/>
      <w:r w:rsidRPr="00AA3229">
        <w:rPr>
          <w:rFonts w:ascii="Inter" w:eastAsia="Inter" w:hAnsi="Inter" w:cs="Inter"/>
          <w:color w:val="0E101A"/>
          <w:sz w:val="21"/>
          <w:szCs w:val="21"/>
          <w:highlight w:val="white"/>
        </w:rPr>
        <w:t xml:space="preserve">, N. M., </w:t>
      </w:r>
      <w:proofErr w:type="spellStart"/>
      <w:r w:rsidRPr="00AA3229">
        <w:rPr>
          <w:rFonts w:ascii="Inter" w:eastAsia="Inter" w:hAnsi="Inter" w:cs="Inter"/>
          <w:color w:val="0E101A"/>
          <w:sz w:val="21"/>
          <w:szCs w:val="21"/>
          <w:highlight w:val="white"/>
        </w:rPr>
        <w:t>Awuchi</w:t>
      </w:r>
      <w:proofErr w:type="spellEnd"/>
      <w:r w:rsidRPr="00AA3229">
        <w:rPr>
          <w:rFonts w:ascii="Inter" w:eastAsia="Inter" w:hAnsi="Inter" w:cs="Inter"/>
          <w:color w:val="0E101A"/>
          <w:sz w:val="21"/>
          <w:szCs w:val="21"/>
          <w:highlight w:val="white"/>
        </w:rPr>
        <w:t>, C. G., S</w:t>
      </w:r>
      <w:r w:rsidRPr="00AA3229">
        <w:rPr>
          <w:rFonts w:ascii="Inter" w:eastAsia="Inter" w:hAnsi="Inter" w:cs="Inter"/>
          <w:color w:val="0E101A"/>
          <w:sz w:val="21"/>
          <w:szCs w:val="21"/>
          <w:highlight w:val="white"/>
        </w:rPr>
        <w:t xml:space="preserve">aravanan, K., </w:t>
      </w:r>
      <w:proofErr w:type="spellStart"/>
      <w:r w:rsidRPr="00AA3229">
        <w:rPr>
          <w:rFonts w:ascii="Inter" w:eastAsia="Inter" w:hAnsi="Inter" w:cs="Inter"/>
          <w:color w:val="0E101A"/>
          <w:sz w:val="21"/>
          <w:szCs w:val="21"/>
          <w:highlight w:val="white"/>
        </w:rPr>
        <w:t>Tijjani</w:t>
      </w:r>
      <w:proofErr w:type="spellEnd"/>
      <w:r w:rsidRPr="00AA3229">
        <w:rPr>
          <w:rFonts w:ascii="Inter" w:eastAsia="Inter" w:hAnsi="Inter" w:cs="Inter"/>
          <w:color w:val="0E101A"/>
          <w:sz w:val="21"/>
          <w:szCs w:val="21"/>
          <w:highlight w:val="white"/>
        </w:rPr>
        <w:t xml:space="preserve">, H., </w:t>
      </w:r>
      <w:proofErr w:type="spellStart"/>
      <w:r w:rsidRPr="00AA3229">
        <w:rPr>
          <w:rFonts w:ascii="Inter" w:eastAsia="Inter" w:hAnsi="Inter" w:cs="Inter"/>
          <w:color w:val="0E101A"/>
          <w:sz w:val="21"/>
          <w:szCs w:val="21"/>
          <w:highlight w:val="white"/>
        </w:rPr>
        <w:t>Odoh</w:t>
      </w:r>
      <w:proofErr w:type="spellEnd"/>
      <w:r w:rsidRPr="00AA3229">
        <w:rPr>
          <w:rFonts w:ascii="Inter" w:eastAsia="Inter" w:hAnsi="Inter" w:cs="Inter"/>
          <w:color w:val="0E101A"/>
          <w:sz w:val="21"/>
          <w:szCs w:val="21"/>
          <w:highlight w:val="white"/>
        </w:rPr>
        <w:t xml:space="preserve">, U. E., </w:t>
      </w:r>
      <w:proofErr w:type="spellStart"/>
      <w:r w:rsidRPr="00AA3229">
        <w:rPr>
          <w:rFonts w:ascii="Inter" w:eastAsia="Inter" w:hAnsi="Inter" w:cs="Inter"/>
          <w:color w:val="0E101A"/>
          <w:sz w:val="21"/>
          <w:szCs w:val="21"/>
          <w:highlight w:val="white"/>
        </w:rPr>
        <w:t>Messaoudi</w:t>
      </w:r>
      <w:proofErr w:type="spellEnd"/>
      <w:r w:rsidRPr="00AA3229">
        <w:rPr>
          <w:rFonts w:ascii="Inter" w:eastAsia="Inter" w:hAnsi="Inter" w:cs="Inter"/>
          <w:color w:val="0E101A"/>
          <w:sz w:val="21"/>
          <w:szCs w:val="21"/>
          <w:highlight w:val="white"/>
        </w:rPr>
        <w:t xml:space="preserve">, M., </w:t>
      </w:r>
      <w:proofErr w:type="spellStart"/>
      <w:r w:rsidRPr="00AA3229">
        <w:rPr>
          <w:rFonts w:ascii="Inter" w:eastAsia="Inter" w:hAnsi="Inter" w:cs="Inter"/>
          <w:color w:val="0E101A"/>
          <w:sz w:val="21"/>
          <w:szCs w:val="21"/>
          <w:highlight w:val="white"/>
        </w:rPr>
        <w:t>Ifemeje</w:t>
      </w:r>
      <w:proofErr w:type="spellEnd"/>
      <w:r w:rsidRPr="00AA3229">
        <w:rPr>
          <w:rFonts w:ascii="Inter" w:eastAsia="Inter" w:hAnsi="Inter" w:cs="Inter"/>
          <w:color w:val="0E101A"/>
          <w:sz w:val="21"/>
          <w:szCs w:val="21"/>
          <w:highlight w:val="white"/>
        </w:rPr>
        <w:t xml:space="preserve">, J. C., </w:t>
      </w:r>
      <w:proofErr w:type="spellStart"/>
      <w:r w:rsidRPr="00AA3229">
        <w:rPr>
          <w:rFonts w:ascii="Inter" w:eastAsia="Inter" w:hAnsi="Inter" w:cs="Inter"/>
          <w:color w:val="0E101A"/>
          <w:sz w:val="21"/>
          <w:szCs w:val="21"/>
          <w:highlight w:val="white"/>
        </w:rPr>
        <w:t>Olisah</w:t>
      </w:r>
      <w:proofErr w:type="spellEnd"/>
      <w:r w:rsidRPr="00AA3229">
        <w:rPr>
          <w:rFonts w:ascii="Inter" w:eastAsia="Inter" w:hAnsi="Inter" w:cs="Inter"/>
          <w:color w:val="0E101A"/>
          <w:sz w:val="21"/>
          <w:szCs w:val="21"/>
          <w:highlight w:val="white"/>
        </w:rPr>
        <w:t xml:space="preserve">, M. C., </w:t>
      </w:r>
      <w:proofErr w:type="spellStart"/>
      <w:r w:rsidRPr="00AA3229">
        <w:rPr>
          <w:rFonts w:ascii="Inter" w:eastAsia="Inter" w:hAnsi="Inter" w:cs="Inter"/>
          <w:color w:val="0E101A"/>
          <w:sz w:val="21"/>
          <w:szCs w:val="21"/>
          <w:highlight w:val="white"/>
        </w:rPr>
        <w:t>Ezeofor</w:t>
      </w:r>
      <w:proofErr w:type="spellEnd"/>
      <w:r w:rsidRPr="00AA3229">
        <w:rPr>
          <w:rFonts w:ascii="Inter" w:eastAsia="Inter" w:hAnsi="Inter" w:cs="Inter"/>
          <w:color w:val="0E101A"/>
          <w:sz w:val="21"/>
          <w:szCs w:val="21"/>
          <w:highlight w:val="white"/>
        </w:rPr>
        <w:t xml:space="preserve">, N. J., </w:t>
      </w:r>
      <w:proofErr w:type="spellStart"/>
      <w:r w:rsidRPr="00AA3229">
        <w:rPr>
          <w:rFonts w:ascii="Inter" w:eastAsia="Inter" w:hAnsi="Inter" w:cs="Inter"/>
          <w:color w:val="0E101A"/>
          <w:sz w:val="21"/>
          <w:szCs w:val="21"/>
          <w:highlight w:val="white"/>
        </w:rPr>
        <w:t>Chikwendu</w:t>
      </w:r>
      <w:proofErr w:type="spellEnd"/>
      <w:r w:rsidRPr="00AA3229">
        <w:rPr>
          <w:rFonts w:ascii="Inter" w:eastAsia="Inter" w:hAnsi="Inter" w:cs="Inter"/>
          <w:color w:val="0E101A"/>
          <w:sz w:val="21"/>
          <w:szCs w:val="21"/>
          <w:highlight w:val="white"/>
        </w:rPr>
        <w:t xml:space="preserve">, C. J., &amp; </w:t>
      </w:r>
      <w:proofErr w:type="spellStart"/>
      <w:r w:rsidRPr="00AA3229">
        <w:rPr>
          <w:rFonts w:ascii="Inter" w:eastAsia="Inter" w:hAnsi="Inter" w:cs="Inter"/>
          <w:color w:val="0E101A"/>
          <w:sz w:val="21"/>
          <w:szCs w:val="21"/>
          <w:highlight w:val="white"/>
        </w:rPr>
        <w:t>Ibeabuchi</w:t>
      </w:r>
      <w:proofErr w:type="spellEnd"/>
      <w:r w:rsidRPr="00AA3229">
        <w:rPr>
          <w:rFonts w:ascii="Inter" w:eastAsia="Inter" w:hAnsi="Inter" w:cs="Inter"/>
          <w:color w:val="0E101A"/>
          <w:sz w:val="21"/>
          <w:szCs w:val="21"/>
          <w:highlight w:val="white"/>
        </w:rPr>
        <w:t>, C. G. (2021). Toxicity of Nanoparticles in Biomedical Application: Nanotoxicology. Journal of Toxicology, 2021(1), 9954443.</w:t>
      </w:r>
      <w:r w:rsidRPr="00AA3229">
        <w:rPr>
          <w:rFonts w:ascii="Inter" w:eastAsia="Inter" w:hAnsi="Inter" w:cs="Inter"/>
          <w:color w:val="0E101A"/>
          <w:sz w:val="21"/>
          <w:szCs w:val="21"/>
          <w:highlight w:val="white"/>
        </w:rPr>
        <w:t xml:space="preserve"> </w:t>
      </w:r>
      <w:hyperlink r:id="rId29">
        <w:r w:rsidR="00625E61" w:rsidRPr="00AA3229">
          <w:rPr>
            <w:rFonts w:ascii="Inter" w:eastAsia="Inter" w:hAnsi="Inter" w:cs="Inter"/>
            <w:color w:val="0000FF"/>
            <w:sz w:val="21"/>
            <w:szCs w:val="21"/>
            <w:highlight w:val="white"/>
            <w:u w:val="single"/>
          </w:rPr>
          <w:t>https://doi.org/10.1155/2021/9954443</w:t>
        </w:r>
      </w:hyperlink>
      <w:r w:rsidRPr="00AA3229">
        <w:rPr>
          <w:rFonts w:ascii="Inter" w:eastAsia="Inter" w:hAnsi="Inter" w:cs="Inter"/>
          <w:color w:val="0E101A"/>
          <w:sz w:val="21"/>
          <w:szCs w:val="21"/>
          <w:highlight w:val="white"/>
        </w:rPr>
        <w:t xml:space="preserve">  </w:t>
      </w:r>
    </w:p>
    <w:p w14:paraId="64FDBE1F" w14:textId="77777777" w:rsidR="00BC6525" w:rsidRPr="00AA3229" w:rsidRDefault="00BC6525" w:rsidP="00AA3229">
      <w:pPr>
        <w:pStyle w:val="ListParagraph"/>
        <w:numPr>
          <w:ilvl w:val="0"/>
          <w:numId w:val="2"/>
        </w:numPr>
        <w:tabs>
          <w:tab w:val="left" w:pos="9356"/>
        </w:tabs>
        <w:spacing w:before="164" w:line="256" w:lineRule="auto"/>
        <w:ind w:right="854"/>
        <w:jc w:val="both"/>
        <w:rPr>
          <w:sz w:val="24"/>
          <w:szCs w:val="24"/>
        </w:rPr>
      </w:pPr>
      <w:r w:rsidRPr="00AA3229">
        <w:rPr>
          <w:sz w:val="24"/>
          <w:szCs w:val="24"/>
        </w:rPr>
        <w:t>Commission regulation (EU) No 10/2011 of 14 January 2011 on plastic materials and articles intended to come into contact with food. OJ L 2011, 12: 1–89.</w:t>
      </w:r>
    </w:p>
    <w:p w14:paraId="3D79F8D3" w14:textId="71F83E9E" w:rsidR="00BC6525" w:rsidRPr="00AA3229" w:rsidRDefault="00BC6525" w:rsidP="00AA3229">
      <w:pPr>
        <w:pStyle w:val="ListParagraph"/>
        <w:numPr>
          <w:ilvl w:val="0"/>
          <w:numId w:val="2"/>
        </w:numPr>
        <w:tabs>
          <w:tab w:val="left" w:pos="9356"/>
        </w:tabs>
        <w:spacing w:before="164" w:line="256" w:lineRule="auto"/>
        <w:ind w:right="854"/>
        <w:jc w:val="both"/>
        <w:rPr>
          <w:sz w:val="24"/>
          <w:szCs w:val="24"/>
        </w:rPr>
      </w:pPr>
      <w:r w:rsidRPr="00AA3229">
        <w:rPr>
          <w:sz w:val="24"/>
          <w:szCs w:val="24"/>
        </w:rPr>
        <w:t xml:space="preserve">Commission regulation (EU) 2022/63 of 14 January 2022 amending </w:t>
      </w:r>
      <w:bookmarkStart w:id="4" w:name="_GoBack"/>
      <w:r w:rsidRPr="00AA3229">
        <w:rPr>
          <w:sz w:val="24"/>
          <w:szCs w:val="24"/>
        </w:rPr>
        <w:t>annex</w:t>
      </w:r>
      <w:bookmarkEnd w:id="4"/>
      <w:r w:rsidRPr="00AA3229">
        <w:rPr>
          <w:sz w:val="24"/>
          <w:szCs w:val="24"/>
        </w:rPr>
        <w:t>es II and III to regulation (EC) No 1333/2008 of the European Parliament and of the Council as regards the food additive titanium dioxide (E 171). OJ L 2022, 11: 17–21.</w:t>
      </w:r>
    </w:p>
    <w:p w14:paraId="0C3BF0C8" w14:textId="77777777" w:rsidR="00625E61" w:rsidRPr="00AA3229" w:rsidRDefault="005C4DDE" w:rsidP="00AA3229">
      <w:pPr>
        <w:pStyle w:val="ListParagraph"/>
        <w:numPr>
          <w:ilvl w:val="0"/>
          <w:numId w:val="2"/>
        </w:numPr>
        <w:tabs>
          <w:tab w:val="left" w:pos="9356"/>
        </w:tabs>
        <w:spacing w:before="164" w:line="256" w:lineRule="auto"/>
        <w:ind w:right="854"/>
        <w:jc w:val="both"/>
        <w:rPr>
          <w:sz w:val="24"/>
          <w:szCs w:val="24"/>
        </w:rPr>
      </w:pPr>
      <w:r w:rsidRPr="00AA3229">
        <w:rPr>
          <w:sz w:val="24"/>
          <w:szCs w:val="24"/>
        </w:rPr>
        <w:t xml:space="preserve">Ferdous, Z., &amp; </w:t>
      </w:r>
      <w:proofErr w:type="spellStart"/>
      <w:r w:rsidRPr="00AA3229">
        <w:rPr>
          <w:sz w:val="24"/>
          <w:szCs w:val="24"/>
        </w:rPr>
        <w:t>Nemmar</w:t>
      </w:r>
      <w:proofErr w:type="spellEnd"/>
      <w:r w:rsidRPr="00AA3229">
        <w:rPr>
          <w:sz w:val="24"/>
          <w:szCs w:val="24"/>
        </w:rPr>
        <w:t xml:space="preserve">, A. </w:t>
      </w:r>
      <w:r w:rsidRPr="00AA3229">
        <w:rPr>
          <w:sz w:val="24"/>
          <w:szCs w:val="24"/>
        </w:rPr>
        <w:t xml:space="preserve">(2020). Health Impact of Silver Nanoparticles: A Review of the Biodistribution and Toxicity Following Various Routes of Exposure. International Journal of Molecular Sciences. </w:t>
      </w:r>
      <w:hyperlink r:id="rId30">
        <w:r w:rsidR="00625E61" w:rsidRPr="00AA3229">
          <w:rPr>
            <w:color w:val="0000FF"/>
            <w:sz w:val="24"/>
            <w:szCs w:val="24"/>
            <w:u w:val="single"/>
          </w:rPr>
          <w:t>https://doi.org/10.3390/ijms21072375</w:t>
        </w:r>
      </w:hyperlink>
      <w:r w:rsidRPr="00AA3229">
        <w:rPr>
          <w:sz w:val="24"/>
          <w:szCs w:val="24"/>
        </w:rPr>
        <w:t xml:space="preserve"> </w:t>
      </w:r>
    </w:p>
    <w:p w14:paraId="7290E7AB"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5" w:line="259" w:lineRule="auto"/>
        <w:ind w:right="854"/>
        <w:jc w:val="both"/>
        <w:rPr>
          <w:color w:val="000000"/>
          <w:sz w:val="24"/>
          <w:szCs w:val="24"/>
        </w:rPr>
      </w:pPr>
      <w:proofErr w:type="spellStart"/>
      <w:r w:rsidRPr="00AA3229">
        <w:rPr>
          <w:color w:val="000000"/>
          <w:sz w:val="24"/>
          <w:szCs w:val="24"/>
        </w:rPr>
        <w:t>Fulgoni</w:t>
      </w:r>
      <w:proofErr w:type="spellEnd"/>
      <w:r w:rsidRPr="00AA3229">
        <w:rPr>
          <w:color w:val="000000"/>
          <w:sz w:val="24"/>
          <w:szCs w:val="24"/>
        </w:rPr>
        <w:t xml:space="preserve"> III, V. L., </w:t>
      </w:r>
      <w:proofErr w:type="spellStart"/>
      <w:r w:rsidRPr="00AA3229">
        <w:rPr>
          <w:color w:val="000000"/>
          <w:sz w:val="24"/>
          <w:szCs w:val="24"/>
        </w:rPr>
        <w:t>Keast</w:t>
      </w:r>
      <w:proofErr w:type="spellEnd"/>
      <w:r w:rsidRPr="00AA3229">
        <w:rPr>
          <w:color w:val="000000"/>
          <w:sz w:val="24"/>
          <w:szCs w:val="24"/>
        </w:rPr>
        <w:t xml:space="preserve">, D. R., Bailey, R. L., &amp; Dwyer, J. (2011). Foods, </w:t>
      </w:r>
      <w:proofErr w:type="spellStart"/>
      <w:r w:rsidRPr="00AA3229">
        <w:rPr>
          <w:color w:val="000000"/>
          <w:sz w:val="24"/>
          <w:szCs w:val="24"/>
        </w:rPr>
        <w:t>fortificants</w:t>
      </w:r>
      <w:proofErr w:type="spellEnd"/>
      <w:r w:rsidRPr="00AA3229">
        <w:rPr>
          <w:color w:val="000000"/>
          <w:sz w:val="24"/>
          <w:szCs w:val="24"/>
        </w:rPr>
        <w:t xml:space="preserve">, and supplements: Where do Americans get their nutrients? The Journal of Nutrition. </w:t>
      </w:r>
      <w:hyperlink r:id="rId31">
        <w:r w:rsidR="00625E61" w:rsidRPr="00AA3229">
          <w:rPr>
            <w:color w:val="0000FF"/>
            <w:sz w:val="24"/>
            <w:szCs w:val="24"/>
            <w:u w:val="single"/>
          </w:rPr>
          <w:t>https://doi.org/10.3945/jn.111.142257</w:t>
        </w:r>
      </w:hyperlink>
      <w:r w:rsidRPr="00AA3229">
        <w:rPr>
          <w:color w:val="000000"/>
          <w:sz w:val="24"/>
          <w:szCs w:val="24"/>
        </w:rPr>
        <w:t xml:space="preserve"> </w:t>
      </w:r>
    </w:p>
    <w:p w14:paraId="3C14821C"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5" w:line="259" w:lineRule="auto"/>
        <w:ind w:right="854"/>
        <w:jc w:val="both"/>
        <w:rPr>
          <w:color w:val="000000"/>
          <w:sz w:val="24"/>
          <w:szCs w:val="24"/>
        </w:rPr>
      </w:pPr>
      <w:proofErr w:type="spellStart"/>
      <w:r w:rsidRPr="00AA3229">
        <w:rPr>
          <w:color w:val="000000"/>
          <w:sz w:val="24"/>
          <w:szCs w:val="24"/>
        </w:rPr>
        <w:t>Frippiat</w:t>
      </w:r>
      <w:proofErr w:type="spellEnd"/>
      <w:r w:rsidRPr="00AA3229">
        <w:rPr>
          <w:color w:val="000000"/>
          <w:sz w:val="24"/>
          <w:szCs w:val="24"/>
        </w:rPr>
        <w:t xml:space="preserve">, T., Art, T., &amp; </w:t>
      </w:r>
      <w:proofErr w:type="spellStart"/>
      <w:r w:rsidRPr="00AA3229">
        <w:rPr>
          <w:color w:val="000000"/>
          <w:sz w:val="24"/>
          <w:szCs w:val="24"/>
        </w:rPr>
        <w:t>Delguste</w:t>
      </w:r>
      <w:proofErr w:type="spellEnd"/>
      <w:r w:rsidRPr="00AA3229">
        <w:rPr>
          <w:color w:val="000000"/>
          <w:sz w:val="24"/>
          <w:szCs w:val="24"/>
        </w:rPr>
        <w:t xml:space="preserve">, C. (2025). Silver Nanoparticles as Antimicrobial Agents in Veterinary Medicine: Current Applications and Future Perspectives. Nanomaterials. </w:t>
      </w:r>
      <w:hyperlink r:id="rId32">
        <w:r w:rsidR="00625E61" w:rsidRPr="00AA3229">
          <w:rPr>
            <w:color w:val="0000FF"/>
            <w:sz w:val="24"/>
            <w:szCs w:val="24"/>
            <w:u w:val="single"/>
          </w:rPr>
          <w:t>https://doi.org/10.3390/nano15030202</w:t>
        </w:r>
      </w:hyperlink>
      <w:r w:rsidRPr="00AA3229">
        <w:rPr>
          <w:color w:val="000000"/>
          <w:sz w:val="24"/>
          <w:szCs w:val="24"/>
        </w:rPr>
        <w:t xml:space="preserve"> </w:t>
      </w:r>
    </w:p>
    <w:p w14:paraId="79D030BA" w14:textId="77777777" w:rsidR="00625E61" w:rsidRPr="00AA3229" w:rsidRDefault="005C4DDE" w:rsidP="00AA3229">
      <w:pPr>
        <w:pStyle w:val="ListParagraph"/>
        <w:numPr>
          <w:ilvl w:val="0"/>
          <w:numId w:val="2"/>
        </w:numPr>
        <w:tabs>
          <w:tab w:val="left" w:pos="9356"/>
        </w:tabs>
        <w:spacing w:before="19" w:line="261" w:lineRule="auto"/>
        <w:ind w:right="854"/>
        <w:jc w:val="both"/>
        <w:rPr>
          <w:sz w:val="24"/>
          <w:szCs w:val="24"/>
        </w:rPr>
      </w:pPr>
      <w:proofErr w:type="spellStart"/>
      <w:r w:rsidRPr="00AA3229">
        <w:rPr>
          <w:color w:val="000000"/>
          <w:sz w:val="24"/>
          <w:szCs w:val="24"/>
        </w:rPr>
        <w:t>Gaillet</w:t>
      </w:r>
      <w:proofErr w:type="spellEnd"/>
      <w:r w:rsidRPr="00AA3229">
        <w:rPr>
          <w:color w:val="000000"/>
          <w:sz w:val="24"/>
          <w:szCs w:val="24"/>
        </w:rPr>
        <w:t xml:space="preserve">, S., &amp; </w:t>
      </w:r>
      <w:proofErr w:type="spellStart"/>
      <w:r w:rsidRPr="00AA3229">
        <w:rPr>
          <w:color w:val="000000"/>
          <w:sz w:val="24"/>
          <w:szCs w:val="24"/>
        </w:rPr>
        <w:t>Rouanet</w:t>
      </w:r>
      <w:proofErr w:type="spellEnd"/>
      <w:r w:rsidRPr="00AA3229">
        <w:rPr>
          <w:color w:val="000000"/>
          <w:sz w:val="24"/>
          <w:szCs w:val="24"/>
        </w:rPr>
        <w:t xml:space="preserve">, J. M. (2015). Silver nanoparticles: their potential toxic effects after oral exposure and underlying mechanisms--a review. Food and Chemical Toxicology, 77, </w:t>
      </w:r>
      <w:r w:rsidRPr="00AA3229">
        <w:rPr>
          <w:color w:val="000000"/>
          <w:sz w:val="24"/>
          <w:szCs w:val="24"/>
        </w:rPr>
        <w:lastRenderedPageBreak/>
        <w:t xml:space="preserve">58–63. </w:t>
      </w:r>
      <w:hyperlink r:id="rId33">
        <w:r w:rsidR="00625E61" w:rsidRPr="00AA3229">
          <w:rPr>
            <w:color w:val="0000FF"/>
            <w:sz w:val="24"/>
            <w:szCs w:val="24"/>
            <w:u w:val="single"/>
          </w:rPr>
          <w:t>https://doi.org/10.1016/j.fct.2014.12.019</w:t>
        </w:r>
      </w:hyperlink>
      <w:r w:rsidRPr="00AA3229">
        <w:rPr>
          <w:color w:val="000000"/>
          <w:sz w:val="24"/>
          <w:szCs w:val="24"/>
        </w:rPr>
        <w:t xml:space="preserve"> </w:t>
      </w:r>
      <w:r w:rsidRPr="00AA3229">
        <w:rPr>
          <w:sz w:val="24"/>
          <w:szCs w:val="24"/>
        </w:rPr>
        <w:t>.</w:t>
      </w:r>
    </w:p>
    <w:p w14:paraId="42EA577E" w14:textId="77777777" w:rsidR="00625E61" w:rsidRPr="00AA3229" w:rsidRDefault="005C4DDE" w:rsidP="00AA3229">
      <w:pPr>
        <w:pStyle w:val="ListParagraph"/>
        <w:numPr>
          <w:ilvl w:val="0"/>
          <w:numId w:val="2"/>
        </w:numPr>
        <w:tabs>
          <w:tab w:val="left" w:pos="9356"/>
        </w:tabs>
        <w:spacing w:before="19" w:line="261" w:lineRule="auto"/>
        <w:ind w:right="854"/>
        <w:jc w:val="both"/>
        <w:rPr>
          <w:sz w:val="24"/>
          <w:szCs w:val="24"/>
        </w:rPr>
      </w:pPr>
      <w:proofErr w:type="spellStart"/>
      <w:r w:rsidRPr="00AA3229">
        <w:rPr>
          <w:sz w:val="24"/>
          <w:szCs w:val="24"/>
        </w:rPr>
        <w:t>Ghebretatios</w:t>
      </w:r>
      <w:proofErr w:type="spellEnd"/>
      <w:r w:rsidRPr="00AA3229">
        <w:rPr>
          <w:sz w:val="24"/>
          <w:szCs w:val="24"/>
        </w:rPr>
        <w:t xml:space="preserve">, M., </w:t>
      </w:r>
      <w:proofErr w:type="spellStart"/>
      <w:r w:rsidRPr="00AA3229">
        <w:rPr>
          <w:sz w:val="24"/>
          <w:szCs w:val="24"/>
        </w:rPr>
        <w:t>Schaly</w:t>
      </w:r>
      <w:proofErr w:type="spellEnd"/>
      <w:r w:rsidRPr="00AA3229">
        <w:rPr>
          <w:sz w:val="24"/>
          <w:szCs w:val="24"/>
        </w:rPr>
        <w:t>, S., &amp; Prakash, S. (2021). Nanoparticles in the Food Industry and Their Impact on Human Gut Microbiome and Diseases. Internation</w:t>
      </w:r>
      <w:r w:rsidRPr="00AA3229">
        <w:rPr>
          <w:sz w:val="24"/>
          <w:szCs w:val="24"/>
        </w:rPr>
        <w:t xml:space="preserve">al Journal of Molecular Sciences, 22(4), 1942. </w:t>
      </w:r>
      <w:hyperlink r:id="rId34">
        <w:r w:rsidR="00625E61" w:rsidRPr="00AA3229">
          <w:rPr>
            <w:color w:val="0000FF"/>
            <w:sz w:val="24"/>
            <w:szCs w:val="24"/>
            <w:u w:val="single"/>
          </w:rPr>
          <w:t>https://doi.org/10.3390/ijms22041942</w:t>
        </w:r>
      </w:hyperlink>
      <w:r w:rsidRPr="00AA3229">
        <w:rPr>
          <w:sz w:val="24"/>
          <w:szCs w:val="24"/>
        </w:rPr>
        <w:t xml:space="preserve"> </w:t>
      </w:r>
    </w:p>
    <w:p w14:paraId="332B436F"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4" w:line="261" w:lineRule="auto"/>
        <w:ind w:right="854"/>
        <w:jc w:val="both"/>
        <w:rPr>
          <w:color w:val="000000"/>
          <w:sz w:val="24"/>
          <w:szCs w:val="24"/>
        </w:rPr>
      </w:pPr>
      <w:r w:rsidRPr="00AA3229">
        <w:rPr>
          <w:color w:val="000000"/>
          <w:sz w:val="24"/>
          <w:szCs w:val="24"/>
        </w:rPr>
        <w:t xml:space="preserve">Gupta, A., </w:t>
      </w:r>
      <w:proofErr w:type="spellStart"/>
      <w:r w:rsidRPr="00AA3229">
        <w:rPr>
          <w:color w:val="000000"/>
          <w:sz w:val="24"/>
          <w:szCs w:val="24"/>
        </w:rPr>
        <w:t>Eral</w:t>
      </w:r>
      <w:proofErr w:type="spellEnd"/>
      <w:r w:rsidRPr="00AA3229">
        <w:rPr>
          <w:color w:val="000000"/>
          <w:sz w:val="24"/>
          <w:szCs w:val="24"/>
        </w:rPr>
        <w:t xml:space="preserve">, H. B., Hatton, T. A., &amp; Doyle, P. S. (2016). </w:t>
      </w:r>
      <w:proofErr w:type="spellStart"/>
      <w:r w:rsidRPr="00AA3229">
        <w:rPr>
          <w:color w:val="000000"/>
          <w:sz w:val="24"/>
          <w:szCs w:val="24"/>
        </w:rPr>
        <w:t>Nanoemulsions</w:t>
      </w:r>
      <w:proofErr w:type="spellEnd"/>
      <w:r w:rsidRPr="00AA3229">
        <w:rPr>
          <w:color w:val="000000"/>
          <w:sz w:val="24"/>
          <w:szCs w:val="24"/>
        </w:rPr>
        <w:t>: formation, properties and applications</w:t>
      </w:r>
      <w:r w:rsidRPr="00AA3229">
        <w:rPr>
          <w:color w:val="000000"/>
          <w:sz w:val="24"/>
          <w:szCs w:val="24"/>
        </w:rPr>
        <w:t xml:space="preserve">. Soft Matter, 12(11), 2826–2841. </w:t>
      </w:r>
      <w:hyperlink r:id="rId35">
        <w:r w:rsidR="00625E61" w:rsidRPr="00AA3229">
          <w:rPr>
            <w:color w:val="0000FF"/>
            <w:sz w:val="24"/>
            <w:szCs w:val="24"/>
            <w:u w:val="single"/>
          </w:rPr>
          <w:t>https://doi.org/10.1039/c5sm02958a</w:t>
        </w:r>
      </w:hyperlink>
      <w:r w:rsidRPr="00AA3229">
        <w:rPr>
          <w:color w:val="000000"/>
          <w:sz w:val="24"/>
          <w:szCs w:val="24"/>
        </w:rPr>
        <w:t xml:space="preserve"> </w:t>
      </w:r>
    </w:p>
    <w:p w14:paraId="1DC6B7D1"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3" w:line="259" w:lineRule="auto"/>
        <w:ind w:right="854"/>
        <w:jc w:val="both"/>
        <w:rPr>
          <w:color w:val="000000"/>
          <w:sz w:val="24"/>
          <w:szCs w:val="24"/>
        </w:rPr>
      </w:pPr>
      <w:proofErr w:type="spellStart"/>
      <w:r w:rsidRPr="00AA3229">
        <w:rPr>
          <w:color w:val="000000"/>
          <w:sz w:val="24"/>
          <w:szCs w:val="24"/>
        </w:rPr>
        <w:t>Hajipour</w:t>
      </w:r>
      <w:proofErr w:type="spellEnd"/>
      <w:r w:rsidRPr="00AA3229">
        <w:rPr>
          <w:color w:val="000000"/>
          <w:sz w:val="24"/>
          <w:szCs w:val="24"/>
        </w:rPr>
        <w:t xml:space="preserve">, M. J., Fromm, K. M., </w:t>
      </w:r>
      <w:proofErr w:type="spellStart"/>
      <w:r w:rsidRPr="00AA3229">
        <w:rPr>
          <w:color w:val="000000"/>
          <w:sz w:val="24"/>
          <w:szCs w:val="24"/>
        </w:rPr>
        <w:t>Ashkarran</w:t>
      </w:r>
      <w:proofErr w:type="spellEnd"/>
      <w:r w:rsidRPr="00AA3229">
        <w:rPr>
          <w:color w:val="000000"/>
          <w:sz w:val="24"/>
          <w:szCs w:val="24"/>
        </w:rPr>
        <w:t xml:space="preserve">, A. A., de </w:t>
      </w:r>
      <w:proofErr w:type="spellStart"/>
      <w:r w:rsidRPr="00AA3229">
        <w:rPr>
          <w:color w:val="000000"/>
          <w:sz w:val="24"/>
          <w:szCs w:val="24"/>
        </w:rPr>
        <w:t>Aberasturi</w:t>
      </w:r>
      <w:proofErr w:type="spellEnd"/>
      <w:r w:rsidRPr="00AA3229">
        <w:rPr>
          <w:color w:val="000000"/>
          <w:sz w:val="24"/>
          <w:szCs w:val="24"/>
        </w:rPr>
        <w:t xml:space="preserve">, D. J., de </w:t>
      </w:r>
      <w:proofErr w:type="spellStart"/>
      <w:r w:rsidRPr="00AA3229">
        <w:rPr>
          <w:color w:val="000000"/>
          <w:sz w:val="24"/>
          <w:szCs w:val="24"/>
        </w:rPr>
        <w:t>Larramendi</w:t>
      </w:r>
      <w:proofErr w:type="spellEnd"/>
      <w:r w:rsidRPr="00AA3229">
        <w:rPr>
          <w:color w:val="000000"/>
          <w:sz w:val="24"/>
          <w:szCs w:val="24"/>
        </w:rPr>
        <w:t xml:space="preserve">, I. R., </w:t>
      </w:r>
      <w:proofErr w:type="spellStart"/>
      <w:r w:rsidRPr="00AA3229">
        <w:rPr>
          <w:color w:val="000000"/>
          <w:sz w:val="24"/>
          <w:szCs w:val="24"/>
        </w:rPr>
        <w:t>Rojo</w:t>
      </w:r>
      <w:proofErr w:type="spellEnd"/>
      <w:r w:rsidRPr="00AA3229">
        <w:rPr>
          <w:color w:val="000000"/>
          <w:sz w:val="24"/>
          <w:szCs w:val="24"/>
        </w:rPr>
        <w:t xml:space="preserve">, T., </w:t>
      </w:r>
      <w:proofErr w:type="spellStart"/>
      <w:r w:rsidRPr="00AA3229">
        <w:rPr>
          <w:color w:val="000000"/>
          <w:sz w:val="24"/>
          <w:szCs w:val="24"/>
        </w:rPr>
        <w:t>Serpooshan</w:t>
      </w:r>
      <w:proofErr w:type="spellEnd"/>
      <w:r w:rsidRPr="00AA3229">
        <w:rPr>
          <w:color w:val="000000"/>
          <w:sz w:val="24"/>
          <w:szCs w:val="24"/>
        </w:rPr>
        <w:t xml:space="preserve">, V., </w:t>
      </w:r>
      <w:proofErr w:type="spellStart"/>
      <w:r w:rsidRPr="00AA3229">
        <w:rPr>
          <w:color w:val="000000"/>
          <w:sz w:val="24"/>
          <w:szCs w:val="24"/>
        </w:rPr>
        <w:t>Parak</w:t>
      </w:r>
      <w:proofErr w:type="spellEnd"/>
      <w:r w:rsidRPr="00AA3229">
        <w:rPr>
          <w:color w:val="000000"/>
          <w:sz w:val="24"/>
          <w:szCs w:val="24"/>
        </w:rPr>
        <w:t>, W. J.,</w:t>
      </w:r>
      <w:r w:rsidRPr="00AA3229">
        <w:rPr>
          <w:color w:val="000000"/>
          <w:sz w:val="24"/>
          <w:szCs w:val="24"/>
        </w:rPr>
        <w:t xml:space="preserve"> &amp; </w:t>
      </w:r>
      <w:proofErr w:type="spellStart"/>
      <w:r w:rsidRPr="00AA3229">
        <w:rPr>
          <w:color w:val="000000"/>
          <w:sz w:val="24"/>
          <w:szCs w:val="24"/>
        </w:rPr>
        <w:t>Mahmoudi</w:t>
      </w:r>
      <w:proofErr w:type="spellEnd"/>
      <w:r w:rsidRPr="00AA3229">
        <w:rPr>
          <w:color w:val="000000"/>
          <w:sz w:val="24"/>
          <w:szCs w:val="24"/>
        </w:rPr>
        <w:t xml:space="preserve">, M. (2012). Antibacterial properties of nanoparticles. Trends in Biotechnology, 30(10), 499–511. </w:t>
      </w:r>
      <w:hyperlink r:id="rId36">
        <w:r w:rsidR="00625E61" w:rsidRPr="00AA3229">
          <w:rPr>
            <w:color w:val="0000FF"/>
            <w:sz w:val="24"/>
            <w:szCs w:val="24"/>
            <w:u w:val="single"/>
          </w:rPr>
          <w:t>https://doi.org/10.1016/j.tibtech.2012.06.004</w:t>
        </w:r>
      </w:hyperlink>
      <w:r w:rsidRPr="00AA3229">
        <w:rPr>
          <w:color w:val="000000"/>
          <w:sz w:val="24"/>
          <w:szCs w:val="24"/>
        </w:rPr>
        <w:t xml:space="preserve"> </w:t>
      </w:r>
    </w:p>
    <w:p w14:paraId="6B869322"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3" w:line="259" w:lineRule="auto"/>
        <w:ind w:right="854"/>
        <w:jc w:val="both"/>
        <w:rPr>
          <w:color w:val="000000"/>
          <w:sz w:val="24"/>
          <w:szCs w:val="24"/>
        </w:rPr>
      </w:pPr>
      <w:r w:rsidRPr="00AA3229">
        <w:rPr>
          <w:color w:val="000000"/>
          <w:sz w:val="24"/>
          <w:szCs w:val="24"/>
        </w:rPr>
        <w:t>Han, K., Yang, H., Fan, D., &amp; Deng,</w:t>
      </w:r>
      <w:r w:rsidRPr="00AA3229">
        <w:rPr>
          <w:color w:val="000000"/>
          <w:sz w:val="24"/>
          <w:szCs w:val="24"/>
        </w:rPr>
        <w:t xml:space="preserve"> J. (2025). Advances in Nanotechnology Research in Food Production, Nutrition, and Health. Nutrients, 17(15), 2443. </w:t>
      </w:r>
      <w:hyperlink r:id="rId37">
        <w:r w:rsidR="00625E61" w:rsidRPr="00AA3229">
          <w:rPr>
            <w:color w:val="0000FF"/>
            <w:sz w:val="24"/>
            <w:szCs w:val="24"/>
            <w:u w:val="single"/>
          </w:rPr>
          <w:t>https://doi.org/10.3390/nu17152443</w:t>
        </w:r>
      </w:hyperlink>
      <w:r w:rsidRPr="00AA3229">
        <w:rPr>
          <w:color w:val="000000"/>
          <w:sz w:val="24"/>
          <w:szCs w:val="24"/>
        </w:rPr>
        <w:t xml:space="preserve"> </w:t>
      </w:r>
    </w:p>
    <w:p w14:paraId="24C760C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3" w:line="259" w:lineRule="auto"/>
        <w:ind w:right="854"/>
        <w:jc w:val="both"/>
        <w:rPr>
          <w:color w:val="000000"/>
          <w:sz w:val="24"/>
          <w:szCs w:val="24"/>
        </w:rPr>
      </w:pPr>
      <w:r w:rsidRPr="00AA3229">
        <w:rPr>
          <w:color w:val="000000"/>
          <w:sz w:val="24"/>
          <w:szCs w:val="24"/>
        </w:rPr>
        <w:t xml:space="preserve">Hashim, M., Mujahid, H., Hassan, S., Bukhari, S., </w:t>
      </w:r>
      <w:r w:rsidRPr="00AA3229">
        <w:rPr>
          <w:color w:val="000000"/>
          <w:sz w:val="24"/>
          <w:szCs w:val="24"/>
        </w:rPr>
        <w:t xml:space="preserve">Anjum, I., </w:t>
      </w:r>
      <w:proofErr w:type="spellStart"/>
      <w:r w:rsidRPr="00AA3229">
        <w:rPr>
          <w:color w:val="000000"/>
          <w:sz w:val="24"/>
          <w:szCs w:val="24"/>
        </w:rPr>
        <w:t>Hano</w:t>
      </w:r>
      <w:proofErr w:type="spellEnd"/>
      <w:r w:rsidRPr="00AA3229">
        <w:rPr>
          <w:color w:val="000000"/>
          <w:sz w:val="24"/>
          <w:szCs w:val="24"/>
        </w:rPr>
        <w:t xml:space="preserve">, C., Abbasi, B. H., &amp; Anjum, S. (2022). Implication of Nanoparticles to Combat Chronic Liver and Kidney Diseases: Progress and Perspectives. Biomolecules, 12(10), 1337. </w:t>
      </w:r>
      <w:hyperlink r:id="rId38">
        <w:r w:rsidR="00625E61" w:rsidRPr="00AA3229">
          <w:rPr>
            <w:color w:val="0000FF"/>
            <w:sz w:val="24"/>
            <w:szCs w:val="24"/>
            <w:u w:val="single"/>
          </w:rPr>
          <w:t>https://doi.org/10.3390/biom12101337</w:t>
        </w:r>
      </w:hyperlink>
      <w:r w:rsidRPr="00AA3229">
        <w:rPr>
          <w:color w:val="000000"/>
          <w:sz w:val="24"/>
          <w:szCs w:val="24"/>
        </w:rPr>
        <w:t xml:space="preserve"> </w:t>
      </w:r>
    </w:p>
    <w:p w14:paraId="0FD7D16A" w14:textId="77777777" w:rsidR="00625E61" w:rsidRPr="00AA3229" w:rsidRDefault="005C4DDE" w:rsidP="00AA3229">
      <w:pPr>
        <w:pStyle w:val="ListParagraph"/>
        <w:numPr>
          <w:ilvl w:val="0"/>
          <w:numId w:val="2"/>
        </w:numPr>
        <w:tabs>
          <w:tab w:val="left" w:pos="9356"/>
        </w:tabs>
        <w:spacing w:before="24" w:line="256" w:lineRule="auto"/>
        <w:ind w:right="854"/>
        <w:jc w:val="both"/>
        <w:rPr>
          <w:sz w:val="24"/>
          <w:szCs w:val="24"/>
        </w:rPr>
      </w:pPr>
      <w:r w:rsidRPr="00AA3229">
        <w:rPr>
          <w:color w:val="000000"/>
          <w:sz w:val="24"/>
          <w:szCs w:val="24"/>
        </w:rPr>
        <w:t xml:space="preserve">Jones, O. G., &amp; McClements, D. J. (2010). Functional biopolymer particles: Design, fabrication, and applications. Comprehensive Reviews in Food Science and Food Safety. </w:t>
      </w:r>
      <w:hyperlink r:id="rId39">
        <w:r w:rsidR="00625E61" w:rsidRPr="00AA3229">
          <w:rPr>
            <w:color w:val="0000FF"/>
            <w:sz w:val="24"/>
            <w:szCs w:val="24"/>
            <w:u w:val="single"/>
          </w:rPr>
          <w:t>https://doi.org/10.1111/j.1541-4337.2010.00118.x</w:t>
        </w:r>
      </w:hyperlink>
      <w:r w:rsidRPr="00AA3229">
        <w:rPr>
          <w:color w:val="000000"/>
          <w:sz w:val="24"/>
          <w:szCs w:val="24"/>
        </w:rPr>
        <w:t xml:space="preserve"> </w:t>
      </w:r>
    </w:p>
    <w:p w14:paraId="6589884D" w14:textId="77777777" w:rsidR="00625E61" w:rsidRPr="00AA3229" w:rsidRDefault="005C4DDE" w:rsidP="00AA3229">
      <w:pPr>
        <w:pStyle w:val="ListParagraph"/>
        <w:numPr>
          <w:ilvl w:val="0"/>
          <w:numId w:val="2"/>
        </w:numPr>
        <w:tabs>
          <w:tab w:val="left" w:pos="9356"/>
        </w:tabs>
        <w:spacing w:before="19"/>
        <w:ind w:right="854"/>
        <w:jc w:val="both"/>
        <w:rPr>
          <w:sz w:val="24"/>
          <w:szCs w:val="24"/>
        </w:rPr>
      </w:pPr>
      <w:r w:rsidRPr="00AA3229">
        <w:rPr>
          <w:color w:val="000000"/>
          <w:sz w:val="24"/>
          <w:szCs w:val="24"/>
        </w:rPr>
        <w:t xml:space="preserve">Jovanović, B. (2014). Critical review of public health regulations of titanium dioxide, a human food additive. Integrated Environmental Assessment and Management, 11(1), 10–20. </w:t>
      </w:r>
      <w:hyperlink r:id="rId40">
        <w:r w:rsidR="00625E61" w:rsidRPr="00AA3229">
          <w:rPr>
            <w:color w:val="0000FF"/>
            <w:sz w:val="24"/>
            <w:szCs w:val="24"/>
            <w:u w:val="single"/>
          </w:rPr>
          <w:t>https://doi.org/10.1002/ieam.1571</w:t>
        </w:r>
      </w:hyperlink>
      <w:r w:rsidRPr="00AA3229">
        <w:rPr>
          <w:color w:val="000000"/>
          <w:sz w:val="24"/>
          <w:szCs w:val="24"/>
        </w:rPr>
        <w:t xml:space="preserve"> </w:t>
      </w:r>
    </w:p>
    <w:p w14:paraId="683EE609"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proofErr w:type="spellStart"/>
      <w:r w:rsidRPr="00AA3229">
        <w:rPr>
          <w:sz w:val="24"/>
          <w:szCs w:val="24"/>
        </w:rPr>
        <w:t>Joye</w:t>
      </w:r>
      <w:proofErr w:type="spellEnd"/>
      <w:r w:rsidRPr="00AA3229">
        <w:rPr>
          <w:sz w:val="24"/>
          <w:szCs w:val="24"/>
        </w:rPr>
        <w:t>, I. J., Davidov-Pardo, G., &amp; McClements, D. J. (2014). Nanotechnology for increased micronutrient bioavailability. Trends in Food Science &amp; Technology, 40(2), 168–18</w:t>
      </w:r>
      <w:r w:rsidRPr="00AA3229">
        <w:rPr>
          <w:sz w:val="24"/>
          <w:szCs w:val="24"/>
        </w:rPr>
        <w:t xml:space="preserve">2. </w:t>
      </w:r>
      <w:hyperlink r:id="rId41">
        <w:r w:rsidR="00625E61" w:rsidRPr="00AA3229">
          <w:rPr>
            <w:color w:val="0000FF"/>
            <w:sz w:val="24"/>
            <w:szCs w:val="24"/>
            <w:u w:val="single"/>
          </w:rPr>
          <w:t>https://doi.org/10.1016/j.tifs.2014.08.006</w:t>
        </w:r>
      </w:hyperlink>
      <w:r w:rsidRPr="00AA3229">
        <w:rPr>
          <w:sz w:val="24"/>
          <w:szCs w:val="24"/>
        </w:rPr>
        <w:t xml:space="preserve"> </w:t>
      </w:r>
    </w:p>
    <w:p w14:paraId="500BCEF8"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r w:rsidRPr="00AA3229">
        <w:rPr>
          <w:sz w:val="24"/>
          <w:szCs w:val="24"/>
        </w:rPr>
        <w:t xml:space="preserve">Jung, A., Kim, S.-H., Yang, J.-Y., </w:t>
      </w:r>
      <w:proofErr w:type="spellStart"/>
      <w:r w:rsidRPr="00AA3229">
        <w:rPr>
          <w:sz w:val="24"/>
          <w:szCs w:val="24"/>
        </w:rPr>
        <w:t>Jeong</w:t>
      </w:r>
      <w:proofErr w:type="spellEnd"/>
      <w:r w:rsidRPr="00AA3229">
        <w:rPr>
          <w:sz w:val="24"/>
          <w:szCs w:val="24"/>
        </w:rPr>
        <w:t>, J., Lee, J. K., Oh, J.-H., &amp; Lee, J. H. (2021). Effect of Pulmonary Inflammation by Surface Functionaliza</w:t>
      </w:r>
      <w:r w:rsidRPr="00AA3229">
        <w:rPr>
          <w:sz w:val="24"/>
          <w:szCs w:val="24"/>
        </w:rPr>
        <w:t xml:space="preserve">tion of Zinc Oxide Nanoparticles. Toxics, 9(12), 336. </w:t>
      </w:r>
      <w:hyperlink r:id="rId42">
        <w:r w:rsidR="00625E61" w:rsidRPr="00AA3229">
          <w:rPr>
            <w:color w:val="0000FF"/>
            <w:sz w:val="24"/>
            <w:szCs w:val="24"/>
            <w:u w:val="single"/>
          </w:rPr>
          <w:t>https://doi.org/10.3390/toxics9120336</w:t>
        </w:r>
      </w:hyperlink>
      <w:r w:rsidRPr="00AA3229">
        <w:rPr>
          <w:sz w:val="24"/>
          <w:szCs w:val="24"/>
        </w:rPr>
        <w:t xml:space="preserve"> </w:t>
      </w:r>
    </w:p>
    <w:p w14:paraId="700FE8EA"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r w:rsidRPr="00AA3229">
        <w:rPr>
          <w:sz w:val="24"/>
          <w:szCs w:val="24"/>
        </w:rPr>
        <w:t xml:space="preserve">Ijaz, I., Gilani, E., Nazir, A., &amp; Bukhari, A. (2020). Detail review on chemical, physical and green synthesis, classification, characterizations and applications of nanoparticles. Green Chemistry Letters and Reviews, 13(3), 223–245. </w:t>
      </w:r>
      <w:hyperlink r:id="rId43">
        <w:r w:rsidR="00625E61" w:rsidRPr="00AA3229">
          <w:rPr>
            <w:color w:val="0000FF"/>
            <w:sz w:val="24"/>
            <w:szCs w:val="24"/>
            <w:u w:val="single"/>
          </w:rPr>
          <w:t>https://doi.org/10.1080/17518253.2020.1802517</w:t>
        </w:r>
      </w:hyperlink>
      <w:r w:rsidRPr="00AA3229">
        <w:rPr>
          <w:sz w:val="24"/>
          <w:szCs w:val="24"/>
        </w:rPr>
        <w:t xml:space="preserve">  </w:t>
      </w:r>
    </w:p>
    <w:p w14:paraId="2D675DA2"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proofErr w:type="spellStart"/>
      <w:r w:rsidRPr="00AA3229">
        <w:rPr>
          <w:sz w:val="24"/>
          <w:szCs w:val="24"/>
        </w:rPr>
        <w:t>Ihtisham</w:t>
      </w:r>
      <w:proofErr w:type="spellEnd"/>
      <w:r w:rsidRPr="00AA3229">
        <w:rPr>
          <w:sz w:val="24"/>
          <w:szCs w:val="24"/>
        </w:rPr>
        <w:t xml:space="preserve">, M., Noori, A., Yadav, S., </w:t>
      </w:r>
      <w:proofErr w:type="spellStart"/>
      <w:r w:rsidRPr="00AA3229">
        <w:rPr>
          <w:sz w:val="24"/>
          <w:szCs w:val="24"/>
        </w:rPr>
        <w:t>Sarraf</w:t>
      </w:r>
      <w:proofErr w:type="spellEnd"/>
      <w:r w:rsidRPr="00AA3229">
        <w:rPr>
          <w:sz w:val="24"/>
          <w:szCs w:val="24"/>
        </w:rPr>
        <w:t xml:space="preserve">, M., Kumari, P., </w:t>
      </w:r>
      <w:proofErr w:type="spellStart"/>
      <w:r w:rsidRPr="00AA3229">
        <w:rPr>
          <w:sz w:val="24"/>
          <w:szCs w:val="24"/>
        </w:rPr>
        <w:t>Brestic</w:t>
      </w:r>
      <w:proofErr w:type="spellEnd"/>
      <w:r w:rsidRPr="00AA3229">
        <w:rPr>
          <w:sz w:val="24"/>
          <w:szCs w:val="24"/>
        </w:rPr>
        <w:t>, M., Imran, M., Jiang, F., Yan, X., &amp; Rastogi, A. (2021). Silver Nanoparticle's Toxicological Eff</w:t>
      </w:r>
      <w:r w:rsidRPr="00AA3229">
        <w:rPr>
          <w:sz w:val="24"/>
          <w:szCs w:val="24"/>
        </w:rPr>
        <w:t xml:space="preserve">ects and Phytoremediation. Nanomaterials, 11(9), 2164. </w:t>
      </w:r>
      <w:hyperlink r:id="rId44">
        <w:r w:rsidR="00625E61" w:rsidRPr="00AA3229">
          <w:rPr>
            <w:color w:val="0000FF"/>
            <w:sz w:val="24"/>
            <w:szCs w:val="24"/>
            <w:u w:val="single"/>
          </w:rPr>
          <w:t>https://doi.org/10.3390/nano11092164</w:t>
        </w:r>
      </w:hyperlink>
      <w:r w:rsidRPr="00AA3229">
        <w:rPr>
          <w:sz w:val="24"/>
          <w:szCs w:val="24"/>
        </w:rPr>
        <w:t xml:space="preserve"> </w:t>
      </w:r>
    </w:p>
    <w:p w14:paraId="717FD6CE"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r w:rsidRPr="00AA3229">
        <w:rPr>
          <w:sz w:val="24"/>
          <w:szCs w:val="24"/>
        </w:rPr>
        <w:t xml:space="preserve">Hong, J., &amp; Zhang, Y. Q. (2016). Murine liver damage caused by exposure to </w:t>
      </w:r>
      <w:proofErr w:type="spellStart"/>
      <w:r w:rsidRPr="00AA3229">
        <w:rPr>
          <w:sz w:val="24"/>
          <w:szCs w:val="24"/>
        </w:rPr>
        <w:t>nano</w:t>
      </w:r>
      <w:proofErr w:type="spellEnd"/>
      <w:r w:rsidRPr="00AA3229">
        <w:rPr>
          <w:sz w:val="24"/>
          <w:szCs w:val="24"/>
        </w:rPr>
        <w:t>-titanium dioxide. Nanotechn</w:t>
      </w:r>
      <w:r w:rsidRPr="00AA3229">
        <w:rPr>
          <w:sz w:val="24"/>
          <w:szCs w:val="24"/>
        </w:rPr>
        <w:t xml:space="preserve">ology, 27(11), 112001. </w:t>
      </w:r>
      <w:hyperlink r:id="rId45">
        <w:r w:rsidR="00625E61" w:rsidRPr="00AA3229">
          <w:rPr>
            <w:color w:val="0000FF"/>
            <w:sz w:val="24"/>
            <w:szCs w:val="24"/>
            <w:u w:val="single"/>
          </w:rPr>
          <w:t>https://doi.org/10.1088/0957-4484/27/11/112001</w:t>
        </w:r>
      </w:hyperlink>
      <w:r w:rsidRPr="00AA3229">
        <w:rPr>
          <w:sz w:val="24"/>
          <w:szCs w:val="24"/>
        </w:rPr>
        <w:t xml:space="preserve"> </w:t>
      </w:r>
    </w:p>
    <w:p w14:paraId="50609D90"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proofErr w:type="spellStart"/>
      <w:r w:rsidRPr="00AA3229">
        <w:rPr>
          <w:sz w:val="24"/>
          <w:szCs w:val="24"/>
        </w:rPr>
        <w:t>Ketebo</w:t>
      </w:r>
      <w:proofErr w:type="spellEnd"/>
      <w:r w:rsidRPr="00AA3229">
        <w:rPr>
          <w:sz w:val="24"/>
          <w:szCs w:val="24"/>
        </w:rPr>
        <w:t>, A. A., Din, S. U., Lee, G., &amp; Park, S. (2023). Mechanobiological Analysis of Nanoparticle Toxicity. Nanomateria</w:t>
      </w:r>
      <w:r w:rsidRPr="00AA3229">
        <w:rPr>
          <w:sz w:val="24"/>
          <w:szCs w:val="24"/>
        </w:rPr>
        <w:t xml:space="preserve">ls, 13(10), 1682. </w:t>
      </w:r>
      <w:hyperlink r:id="rId46">
        <w:r w:rsidR="00625E61" w:rsidRPr="00AA3229">
          <w:rPr>
            <w:color w:val="0000FF"/>
            <w:sz w:val="24"/>
            <w:szCs w:val="24"/>
            <w:u w:val="single"/>
          </w:rPr>
          <w:t>https://doi.org/10.3390/nano13101682</w:t>
        </w:r>
      </w:hyperlink>
      <w:r w:rsidRPr="00AA3229">
        <w:rPr>
          <w:sz w:val="24"/>
          <w:szCs w:val="24"/>
        </w:rPr>
        <w:t xml:space="preserve">    </w:t>
      </w:r>
    </w:p>
    <w:p w14:paraId="2589798D" w14:textId="77777777" w:rsidR="00625E61" w:rsidRPr="00AA3229" w:rsidRDefault="005C4DDE" w:rsidP="00AA3229">
      <w:pPr>
        <w:pStyle w:val="ListParagraph"/>
        <w:numPr>
          <w:ilvl w:val="0"/>
          <w:numId w:val="2"/>
        </w:numPr>
        <w:tabs>
          <w:tab w:val="left" w:pos="9356"/>
        </w:tabs>
        <w:spacing w:before="184" w:line="256" w:lineRule="auto"/>
        <w:ind w:right="854"/>
        <w:jc w:val="both"/>
        <w:rPr>
          <w:sz w:val="24"/>
          <w:szCs w:val="24"/>
        </w:rPr>
      </w:pPr>
      <w:r w:rsidRPr="00AA3229">
        <w:rPr>
          <w:sz w:val="24"/>
          <w:szCs w:val="24"/>
        </w:rPr>
        <w:t>Kim, E.-H., Park, S., &amp; Bae, O.-N. (2025). Cardiovascular Toxicity of Metal-Based Nanoparticles. International Journal of Molecular Sciences,</w:t>
      </w:r>
      <w:r w:rsidRPr="00AA3229">
        <w:rPr>
          <w:sz w:val="24"/>
          <w:szCs w:val="24"/>
        </w:rPr>
        <w:t xml:space="preserve"> 26(12), 5816. </w:t>
      </w:r>
      <w:hyperlink r:id="rId47">
        <w:r w:rsidR="00625E61" w:rsidRPr="00AA3229">
          <w:rPr>
            <w:color w:val="0000FF"/>
            <w:sz w:val="24"/>
            <w:szCs w:val="24"/>
            <w:u w:val="single"/>
          </w:rPr>
          <w:t>https://doi.org/10.3390/ijms26125816</w:t>
        </w:r>
      </w:hyperlink>
      <w:r w:rsidRPr="00AA3229">
        <w:rPr>
          <w:sz w:val="24"/>
          <w:szCs w:val="24"/>
        </w:rPr>
        <w:t xml:space="preserve">  </w:t>
      </w:r>
    </w:p>
    <w:p w14:paraId="2608E0B4" w14:textId="77777777" w:rsidR="00625E61" w:rsidRPr="00AA3229" w:rsidRDefault="005C4DDE" w:rsidP="00AA3229">
      <w:pPr>
        <w:pStyle w:val="ListParagraph"/>
        <w:numPr>
          <w:ilvl w:val="0"/>
          <w:numId w:val="2"/>
        </w:numPr>
        <w:tabs>
          <w:tab w:val="left" w:pos="9356"/>
        </w:tabs>
        <w:spacing w:before="24"/>
        <w:ind w:right="854"/>
        <w:jc w:val="both"/>
        <w:rPr>
          <w:sz w:val="24"/>
          <w:szCs w:val="24"/>
        </w:rPr>
      </w:pPr>
      <w:r w:rsidRPr="00AA3229">
        <w:rPr>
          <w:color w:val="000000"/>
          <w:sz w:val="24"/>
          <w:szCs w:val="24"/>
        </w:rPr>
        <w:t xml:space="preserve">Le </w:t>
      </w:r>
      <w:proofErr w:type="spellStart"/>
      <w:r w:rsidRPr="00AA3229">
        <w:rPr>
          <w:color w:val="000000"/>
          <w:sz w:val="24"/>
          <w:szCs w:val="24"/>
        </w:rPr>
        <w:t>Corre</w:t>
      </w:r>
      <w:proofErr w:type="spellEnd"/>
      <w:r w:rsidRPr="00AA3229">
        <w:rPr>
          <w:color w:val="000000"/>
          <w:sz w:val="24"/>
          <w:szCs w:val="24"/>
        </w:rPr>
        <w:t xml:space="preserve">, D., Bras, J., &amp; Dufresne, A. (2010). Starch Nanoparticles: A Review. Biomacromolecules, 11(5), 1139–1153. </w:t>
      </w:r>
      <w:hyperlink r:id="rId48">
        <w:r w:rsidR="00625E61" w:rsidRPr="00AA3229">
          <w:rPr>
            <w:color w:val="0000FF"/>
            <w:sz w:val="24"/>
            <w:szCs w:val="24"/>
            <w:u w:val="single"/>
          </w:rPr>
          <w:t>https://doi.org/10.1021/bm901428y</w:t>
        </w:r>
      </w:hyperlink>
      <w:r w:rsidRPr="00AA3229">
        <w:rPr>
          <w:color w:val="000000"/>
          <w:sz w:val="24"/>
          <w:szCs w:val="24"/>
        </w:rPr>
        <w:t xml:space="preserve"> </w:t>
      </w:r>
    </w:p>
    <w:p w14:paraId="3DA121FF" w14:textId="77777777" w:rsidR="00625E61" w:rsidRPr="00AA3229" w:rsidRDefault="005C4DDE" w:rsidP="00AA3229">
      <w:pPr>
        <w:pStyle w:val="ListParagraph"/>
        <w:numPr>
          <w:ilvl w:val="0"/>
          <w:numId w:val="2"/>
        </w:numPr>
        <w:tabs>
          <w:tab w:val="left" w:pos="9356"/>
        </w:tabs>
        <w:spacing w:before="24"/>
        <w:ind w:right="854"/>
        <w:jc w:val="both"/>
        <w:rPr>
          <w:sz w:val="24"/>
          <w:szCs w:val="24"/>
        </w:rPr>
      </w:pPr>
      <w:r w:rsidRPr="00AA3229">
        <w:rPr>
          <w:sz w:val="24"/>
          <w:szCs w:val="24"/>
        </w:rPr>
        <w:t xml:space="preserve">Li, X. (2025). Properties and Applications of Nanoparticles and Nanomaterials. International Journal of Molecular Sciences. </w:t>
      </w:r>
      <w:hyperlink r:id="rId49">
        <w:r w:rsidR="00625E61" w:rsidRPr="00AA3229">
          <w:rPr>
            <w:color w:val="0000FF"/>
            <w:sz w:val="24"/>
            <w:szCs w:val="24"/>
            <w:u w:val="single"/>
          </w:rPr>
          <w:t>https://doi.org/10.3390/ijms26020765</w:t>
        </w:r>
      </w:hyperlink>
      <w:r w:rsidRPr="00AA3229">
        <w:rPr>
          <w:sz w:val="24"/>
          <w:szCs w:val="24"/>
        </w:rPr>
        <w:t xml:space="preserve"> </w:t>
      </w:r>
    </w:p>
    <w:p w14:paraId="69A20DD9" w14:textId="77777777" w:rsidR="00625E61" w:rsidRPr="00AA3229" w:rsidRDefault="005C4DDE" w:rsidP="00AA3229">
      <w:pPr>
        <w:pStyle w:val="ListParagraph"/>
        <w:numPr>
          <w:ilvl w:val="0"/>
          <w:numId w:val="2"/>
        </w:numPr>
        <w:tabs>
          <w:tab w:val="left" w:pos="9356"/>
        </w:tabs>
        <w:spacing w:before="179" w:line="261" w:lineRule="auto"/>
        <w:ind w:right="854"/>
        <w:jc w:val="both"/>
        <w:rPr>
          <w:sz w:val="24"/>
          <w:szCs w:val="24"/>
        </w:rPr>
      </w:pPr>
      <w:proofErr w:type="spellStart"/>
      <w:r w:rsidRPr="00AA3229">
        <w:rPr>
          <w:sz w:val="24"/>
          <w:szCs w:val="24"/>
        </w:rPr>
        <w:t>Livney</w:t>
      </w:r>
      <w:proofErr w:type="spellEnd"/>
      <w:r w:rsidRPr="00AA3229">
        <w:rPr>
          <w:sz w:val="24"/>
          <w:szCs w:val="24"/>
        </w:rPr>
        <w:t xml:space="preserve">, Y. D. (2010). Milk proteins as vehicles for </w:t>
      </w:r>
      <w:proofErr w:type="spellStart"/>
      <w:r w:rsidRPr="00AA3229">
        <w:rPr>
          <w:sz w:val="24"/>
          <w:szCs w:val="24"/>
        </w:rPr>
        <w:t>bioactives</w:t>
      </w:r>
      <w:proofErr w:type="spellEnd"/>
      <w:r w:rsidRPr="00AA3229">
        <w:rPr>
          <w:sz w:val="24"/>
          <w:szCs w:val="24"/>
        </w:rPr>
        <w:t xml:space="preserve">. Current Opinion in Colloid </w:t>
      </w:r>
      <w:r w:rsidRPr="00AA3229">
        <w:rPr>
          <w:sz w:val="24"/>
          <w:szCs w:val="24"/>
        </w:rPr>
        <w:lastRenderedPageBreak/>
        <w:t xml:space="preserve">&amp; Interface Science, 15(1–2), 73–83. </w:t>
      </w:r>
      <w:hyperlink r:id="rId50">
        <w:r w:rsidR="00625E61" w:rsidRPr="00AA3229">
          <w:rPr>
            <w:color w:val="0000FF"/>
            <w:sz w:val="24"/>
            <w:szCs w:val="24"/>
            <w:u w:val="single"/>
          </w:rPr>
          <w:t>https://doi.org/10.1016/j.cocis.2009.11.002</w:t>
        </w:r>
      </w:hyperlink>
      <w:r w:rsidRPr="00AA3229">
        <w:rPr>
          <w:sz w:val="24"/>
          <w:szCs w:val="24"/>
        </w:rPr>
        <w:t xml:space="preserve"> </w:t>
      </w:r>
    </w:p>
    <w:p w14:paraId="08FA3259"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3" w:line="261" w:lineRule="auto"/>
        <w:ind w:right="854"/>
        <w:jc w:val="both"/>
        <w:rPr>
          <w:color w:val="000000"/>
          <w:sz w:val="24"/>
          <w:szCs w:val="24"/>
        </w:rPr>
      </w:pPr>
      <w:proofErr w:type="spellStart"/>
      <w:r w:rsidRPr="00AA3229">
        <w:rPr>
          <w:color w:val="000000"/>
          <w:sz w:val="24"/>
          <w:szCs w:val="24"/>
        </w:rPr>
        <w:t>Livney</w:t>
      </w:r>
      <w:proofErr w:type="spellEnd"/>
      <w:r w:rsidRPr="00AA3229">
        <w:rPr>
          <w:color w:val="000000"/>
          <w:sz w:val="24"/>
          <w:szCs w:val="24"/>
        </w:rPr>
        <w:t xml:space="preserve">, Y. D. (2015). Nanostructured delivery systems in food: Latest developments and potential future directions. Current Opinion in Food Science, 3, 125–135. </w:t>
      </w:r>
      <w:hyperlink r:id="rId51">
        <w:r w:rsidR="00625E61" w:rsidRPr="00AA3229">
          <w:rPr>
            <w:color w:val="0000FF"/>
            <w:sz w:val="24"/>
            <w:szCs w:val="24"/>
            <w:u w:val="single"/>
          </w:rPr>
          <w:t>https://doi.org/10.1016/j.cofs.2015.06.010</w:t>
        </w:r>
      </w:hyperlink>
      <w:r w:rsidRPr="00AA3229">
        <w:rPr>
          <w:color w:val="000000"/>
          <w:sz w:val="24"/>
          <w:szCs w:val="24"/>
        </w:rPr>
        <w:t xml:space="preserve"> </w:t>
      </w:r>
    </w:p>
    <w:p w14:paraId="016A451F" w14:textId="77777777" w:rsidR="00625E61" w:rsidRPr="00AA3229" w:rsidRDefault="005C4DDE" w:rsidP="00AA3229">
      <w:pPr>
        <w:pStyle w:val="ListParagraph"/>
        <w:numPr>
          <w:ilvl w:val="0"/>
          <w:numId w:val="2"/>
        </w:numPr>
        <w:tabs>
          <w:tab w:val="left" w:pos="9356"/>
        </w:tabs>
        <w:spacing w:before="24" w:line="256" w:lineRule="auto"/>
        <w:ind w:right="854"/>
        <w:jc w:val="both"/>
        <w:rPr>
          <w:sz w:val="24"/>
          <w:szCs w:val="24"/>
        </w:rPr>
      </w:pPr>
      <w:proofErr w:type="spellStart"/>
      <w:r w:rsidRPr="00AA3229">
        <w:rPr>
          <w:color w:val="000000"/>
          <w:sz w:val="24"/>
          <w:szCs w:val="24"/>
        </w:rPr>
        <w:t>Mackevica</w:t>
      </w:r>
      <w:proofErr w:type="spellEnd"/>
      <w:r w:rsidRPr="00AA3229">
        <w:rPr>
          <w:color w:val="000000"/>
          <w:sz w:val="24"/>
          <w:szCs w:val="24"/>
        </w:rPr>
        <w:t xml:space="preserve">, A., Olsson, M. E., &amp; Hansen, S. F. (2016). Silver nanoparticle release from commercially available plastic food containers into food simulants. Journal of Nanoparticle Research. </w:t>
      </w:r>
      <w:hyperlink r:id="rId52">
        <w:r w:rsidR="00625E61" w:rsidRPr="00AA3229">
          <w:rPr>
            <w:color w:val="0000FF"/>
            <w:sz w:val="24"/>
            <w:szCs w:val="24"/>
            <w:u w:val="single"/>
          </w:rPr>
          <w:t>https://doi.org/10.1007/s11051-015-3313-x</w:t>
        </w:r>
      </w:hyperlink>
      <w:r w:rsidRPr="00AA3229">
        <w:rPr>
          <w:color w:val="000000"/>
          <w:sz w:val="24"/>
          <w:szCs w:val="24"/>
        </w:rPr>
        <w:t xml:space="preserve"> </w:t>
      </w:r>
    </w:p>
    <w:p w14:paraId="64EA5FFF"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5"/>
        <w:ind w:right="854"/>
        <w:jc w:val="both"/>
        <w:rPr>
          <w:color w:val="000000"/>
          <w:sz w:val="24"/>
          <w:szCs w:val="24"/>
        </w:rPr>
      </w:pPr>
      <w:proofErr w:type="spellStart"/>
      <w:r w:rsidRPr="00AA3229">
        <w:rPr>
          <w:color w:val="000000"/>
          <w:sz w:val="24"/>
          <w:szCs w:val="24"/>
        </w:rPr>
        <w:t>Maharramov</w:t>
      </w:r>
      <w:proofErr w:type="spellEnd"/>
      <w:r w:rsidRPr="00AA3229">
        <w:rPr>
          <w:color w:val="000000"/>
          <w:sz w:val="24"/>
          <w:szCs w:val="24"/>
        </w:rPr>
        <w:t xml:space="preserve">, A. M., </w:t>
      </w:r>
      <w:proofErr w:type="spellStart"/>
      <w:r w:rsidRPr="00AA3229">
        <w:rPr>
          <w:color w:val="000000"/>
          <w:sz w:val="24"/>
          <w:szCs w:val="24"/>
        </w:rPr>
        <w:t>Hasanova</w:t>
      </w:r>
      <w:proofErr w:type="spellEnd"/>
      <w:r w:rsidRPr="00AA3229">
        <w:rPr>
          <w:color w:val="000000"/>
          <w:sz w:val="24"/>
          <w:szCs w:val="24"/>
        </w:rPr>
        <w:t xml:space="preserve">, U. A., </w:t>
      </w:r>
      <w:proofErr w:type="spellStart"/>
      <w:r w:rsidRPr="00AA3229">
        <w:rPr>
          <w:color w:val="000000"/>
          <w:sz w:val="24"/>
          <w:szCs w:val="24"/>
        </w:rPr>
        <w:t>Suleymanova</w:t>
      </w:r>
      <w:proofErr w:type="spellEnd"/>
      <w:r w:rsidRPr="00AA3229">
        <w:rPr>
          <w:color w:val="000000"/>
          <w:sz w:val="24"/>
          <w:szCs w:val="24"/>
        </w:rPr>
        <w:t xml:space="preserve">, I. A., </w:t>
      </w:r>
      <w:proofErr w:type="spellStart"/>
      <w:r w:rsidRPr="00AA3229">
        <w:rPr>
          <w:color w:val="000000"/>
          <w:sz w:val="24"/>
          <w:szCs w:val="24"/>
        </w:rPr>
        <w:t>Osmanova</w:t>
      </w:r>
      <w:proofErr w:type="spellEnd"/>
      <w:r w:rsidRPr="00AA3229">
        <w:rPr>
          <w:color w:val="000000"/>
          <w:sz w:val="24"/>
          <w:szCs w:val="24"/>
        </w:rPr>
        <w:t xml:space="preserve">, G. E., &amp; </w:t>
      </w:r>
      <w:proofErr w:type="spellStart"/>
      <w:r w:rsidRPr="00AA3229">
        <w:rPr>
          <w:color w:val="000000"/>
          <w:sz w:val="24"/>
          <w:szCs w:val="24"/>
        </w:rPr>
        <w:t>Hajiyeva</w:t>
      </w:r>
      <w:proofErr w:type="spellEnd"/>
      <w:r w:rsidRPr="00AA3229">
        <w:rPr>
          <w:color w:val="000000"/>
          <w:sz w:val="24"/>
          <w:szCs w:val="24"/>
        </w:rPr>
        <w:t>, N.</w:t>
      </w:r>
    </w:p>
    <w:p w14:paraId="0E719A26"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24" w:line="256" w:lineRule="auto"/>
        <w:ind w:right="854"/>
        <w:jc w:val="both"/>
        <w:rPr>
          <w:color w:val="000000"/>
          <w:sz w:val="24"/>
          <w:szCs w:val="24"/>
        </w:rPr>
      </w:pPr>
      <w:r w:rsidRPr="00AA3229">
        <w:rPr>
          <w:color w:val="000000"/>
          <w:sz w:val="24"/>
          <w:szCs w:val="24"/>
        </w:rPr>
        <w:t xml:space="preserve">E. (2019). The engineered nanoparticles in food chain: potential toxicity and effects. </w:t>
      </w:r>
      <w:r w:rsidRPr="00AA3229">
        <w:rPr>
          <w:i/>
          <w:iCs/>
          <w:color w:val="000000"/>
          <w:sz w:val="24"/>
          <w:szCs w:val="24"/>
        </w:rPr>
        <w:t>SN Applied Sciences</w:t>
      </w:r>
      <w:r w:rsidRPr="00AA3229">
        <w:rPr>
          <w:color w:val="000000"/>
          <w:sz w:val="24"/>
          <w:szCs w:val="24"/>
        </w:rPr>
        <w:t xml:space="preserve">, </w:t>
      </w:r>
      <w:r w:rsidRPr="00AA3229">
        <w:rPr>
          <w:i/>
          <w:iCs/>
          <w:color w:val="000000"/>
          <w:sz w:val="24"/>
          <w:szCs w:val="24"/>
        </w:rPr>
        <w:t>1</w:t>
      </w:r>
      <w:r w:rsidRPr="00AA3229">
        <w:rPr>
          <w:color w:val="000000"/>
          <w:sz w:val="24"/>
          <w:szCs w:val="24"/>
        </w:rPr>
        <w:t>(11), 1–25.</w:t>
      </w:r>
      <w:r w:rsidRPr="00AA3229">
        <w:rPr>
          <w:color w:val="000000"/>
          <w:sz w:val="24"/>
          <w:szCs w:val="24"/>
        </w:rPr>
        <w:t xml:space="preserve"> https://doi.org/10.1007/s42452-019-1412-5</w:t>
      </w:r>
    </w:p>
    <w:p w14:paraId="373360F2" w14:textId="77777777" w:rsidR="00625E61" w:rsidRPr="00AA3229" w:rsidRDefault="005C4DDE" w:rsidP="00AA3229">
      <w:pPr>
        <w:pStyle w:val="ListParagraph"/>
        <w:numPr>
          <w:ilvl w:val="0"/>
          <w:numId w:val="2"/>
        </w:numPr>
        <w:tabs>
          <w:tab w:val="left" w:pos="9356"/>
        </w:tabs>
        <w:spacing w:before="165" w:line="259" w:lineRule="auto"/>
        <w:ind w:right="854"/>
        <w:jc w:val="both"/>
        <w:rPr>
          <w:sz w:val="24"/>
          <w:szCs w:val="24"/>
        </w:rPr>
      </w:pPr>
      <w:r w:rsidRPr="00AA3229">
        <w:rPr>
          <w:sz w:val="24"/>
          <w:szCs w:val="24"/>
        </w:rPr>
        <w:t xml:space="preserve">McClements, D. J. (2012). Advances in fabrication of emulsions with enhanced functionality using structural design principles. </w:t>
      </w:r>
      <w:r w:rsidRPr="00AA3229">
        <w:rPr>
          <w:i/>
          <w:iCs/>
          <w:sz w:val="24"/>
          <w:szCs w:val="24"/>
        </w:rPr>
        <w:t>Current Opinion in Colloid &amp; Interface Science</w:t>
      </w:r>
      <w:r w:rsidRPr="00AA3229">
        <w:rPr>
          <w:sz w:val="24"/>
          <w:szCs w:val="24"/>
        </w:rPr>
        <w:t xml:space="preserve">, </w:t>
      </w:r>
      <w:r w:rsidRPr="00AA3229">
        <w:rPr>
          <w:i/>
          <w:iCs/>
          <w:sz w:val="24"/>
          <w:szCs w:val="24"/>
        </w:rPr>
        <w:t>17</w:t>
      </w:r>
      <w:r w:rsidRPr="00AA3229">
        <w:rPr>
          <w:sz w:val="24"/>
          <w:szCs w:val="24"/>
        </w:rPr>
        <w:t>(5), 235–245.</w:t>
      </w:r>
    </w:p>
    <w:p w14:paraId="491B0625"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6" w:line="261" w:lineRule="auto"/>
        <w:ind w:right="854"/>
        <w:jc w:val="both"/>
        <w:rPr>
          <w:color w:val="000000"/>
          <w:sz w:val="24"/>
          <w:szCs w:val="24"/>
        </w:rPr>
      </w:pPr>
      <w:r w:rsidRPr="00AA3229">
        <w:rPr>
          <w:color w:val="000000"/>
          <w:sz w:val="24"/>
          <w:szCs w:val="24"/>
        </w:rPr>
        <w:t>McClements, D. J. (201</w:t>
      </w:r>
      <w:r w:rsidRPr="00AA3229">
        <w:rPr>
          <w:color w:val="000000"/>
          <w:sz w:val="24"/>
          <w:szCs w:val="24"/>
        </w:rPr>
        <w:t xml:space="preserve">3). Edible lipid nanoparticles: Digestion, absorption, and potential toxicity. Progress in Lipid Research. </w:t>
      </w:r>
      <w:hyperlink r:id="rId53">
        <w:r w:rsidR="00625E61" w:rsidRPr="00AA3229">
          <w:rPr>
            <w:color w:val="0000FF"/>
            <w:sz w:val="24"/>
            <w:szCs w:val="24"/>
            <w:u w:val="single"/>
          </w:rPr>
          <w:t>https://doi.org/10.1016/j.plipres.2013.04.008</w:t>
        </w:r>
      </w:hyperlink>
      <w:r w:rsidRPr="00AA3229">
        <w:rPr>
          <w:color w:val="000000"/>
          <w:sz w:val="24"/>
          <w:szCs w:val="24"/>
        </w:rPr>
        <w:t xml:space="preserve"> </w:t>
      </w:r>
    </w:p>
    <w:p w14:paraId="2CC7984D"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8" w:line="256" w:lineRule="auto"/>
        <w:ind w:right="854"/>
        <w:jc w:val="both"/>
        <w:rPr>
          <w:color w:val="000000"/>
          <w:sz w:val="24"/>
          <w:szCs w:val="24"/>
        </w:rPr>
      </w:pPr>
      <w:r w:rsidRPr="00AA3229">
        <w:rPr>
          <w:color w:val="000000"/>
          <w:sz w:val="24"/>
          <w:szCs w:val="24"/>
        </w:rPr>
        <w:t xml:space="preserve">McClements, D. J. (2015). Reduced-fat foods: the complex science of developing diet-based strategies for tackling overweight and obesity. Advances in Nutrition, 6(3), 338S-352S. </w:t>
      </w:r>
      <w:hyperlink r:id="rId54">
        <w:r w:rsidR="00625E61" w:rsidRPr="00AA3229">
          <w:rPr>
            <w:color w:val="0000FF"/>
            <w:sz w:val="24"/>
            <w:szCs w:val="24"/>
            <w:u w:val="single"/>
          </w:rPr>
          <w:t>https://doi.org/10.3945/an.114.006999</w:t>
        </w:r>
      </w:hyperlink>
      <w:r w:rsidRPr="00AA3229">
        <w:rPr>
          <w:color w:val="000000"/>
          <w:sz w:val="24"/>
          <w:szCs w:val="24"/>
        </w:rPr>
        <w:t xml:space="preserve"> </w:t>
      </w:r>
    </w:p>
    <w:p w14:paraId="002A9A2B" w14:textId="77777777" w:rsidR="00625E61" w:rsidRPr="00AA3229" w:rsidRDefault="005C4DDE" w:rsidP="00AA3229">
      <w:pPr>
        <w:pStyle w:val="ListParagraph"/>
        <w:numPr>
          <w:ilvl w:val="0"/>
          <w:numId w:val="2"/>
        </w:numPr>
        <w:tabs>
          <w:tab w:val="left" w:pos="9356"/>
        </w:tabs>
        <w:spacing w:before="5"/>
        <w:ind w:right="854"/>
        <w:jc w:val="both"/>
        <w:rPr>
          <w:sz w:val="24"/>
          <w:szCs w:val="24"/>
        </w:rPr>
      </w:pPr>
      <w:r w:rsidRPr="00AA3229">
        <w:rPr>
          <w:color w:val="000000"/>
          <w:sz w:val="24"/>
          <w:szCs w:val="24"/>
        </w:rPr>
        <w:t xml:space="preserve">McClements, D. J., &amp; Rao, J. (2011). Food-grade </w:t>
      </w:r>
      <w:proofErr w:type="spellStart"/>
      <w:r w:rsidRPr="00AA3229">
        <w:rPr>
          <w:color w:val="000000"/>
          <w:sz w:val="24"/>
          <w:szCs w:val="24"/>
        </w:rPr>
        <w:t>nanoemulsions</w:t>
      </w:r>
      <w:proofErr w:type="spellEnd"/>
      <w:r w:rsidRPr="00AA3229">
        <w:rPr>
          <w:color w:val="000000"/>
          <w:sz w:val="24"/>
          <w:szCs w:val="24"/>
        </w:rPr>
        <w:t xml:space="preserve">: formulation, fabrication, properties, performance, biological fate, and potential toxicity. Critical Reviews in Food Science and Nutrition, 51(4), 285–330. </w:t>
      </w:r>
      <w:hyperlink r:id="rId55">
        <w:r w:rsidR="00625E61" w:rsidRPr="00AA3229">
          <w:rPr>
            <w:color w:val="0000FF"/>
            <w:sz w:val="24"/>
            <w:szCs w:val="24"/>
            <w:u w:val="single"/>
          </w:rPr>
          <w:t>https://doi.org/10.1080/10408398.2011.559558</w:t>
        </w:r>
      </w:hyperlink>
      <w:r w:rsidRPr="00AA3229">
        <w:rPr>
          <w:color w:val="000000"/>
          <w:sz w:val="24"/>
          <w:szCs w:val="24"/>
        </w:rPr>
        <w:t xml:space="preserve"> </w:t>
      </w:r>
    </w:p>
    <w:p w14:paraId="7D690F1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r w:rsidRPr="00AA3229">
        <w:rPr>
          <w:color w:val="000000"/>
          <w:sz w:val="24"/>
          <w:szCs w:val="24"/>
        </w:rPr>
        <w:t xml:space="preserve">McClements, D. J., &amp; Xiao, H. (2012). Potential biological fate of ingested </w:t>
      </w:r>
      <w:proofErr w:type="spellStart"/>
      <w:r w:rsidRPr="00AA3229">
        <w:rPr>
          <w:color w:val="000000"/>
          <w:sz w:val="24"/>
          <w:szCs w:val="24"/>
        </w:rPr>
        <w:t>nanoemulsions</w:t>
      </w:r>
      <w:proofErr w:type="spellEnd"/>
      <w:r w:rsidRPr="00AA3229">
        <w:rPr>
          <w:color w:val="000000"/>
          <w:sz w:val="24"/>
          <w:szCs w:val="24"/>
        </w:rPr>
        <w:t xml:space="preserve">: influence of particle characteristics. Food &amp; Function. </w:t>
      </w:r>
      <w:hyperlink r:id="rId56">
        <w:r w:rsidR="00625E61" w:rsidRPr="00AA3229">
          <w:rPr>
            <w:color w:val="0000FF"/>
            <w:sz w:val="24"/>
            <w:szCs w:val="24"/>
            <w:u w:val="single"/>
          </w:rPr>
          <w:t>https://doi.org/10.1039/c1fo10193e</w:t>
        </w:r>
      </w:hyperlink>
      <w:r w:rsidRPr="00AA3229">
        <w:rPr>
          <w:color w:val="000000"/>
          <w:sz w:val="24"/>
          <w:szCs w:val="24"/>
        </w:rPr>
        <w:t xml:space="preserve"> </w:t>
      </w:r>
    </w:p>
    <w:p w14:paraId="42745998"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color w:val="000000"/>
          <w:sz w:val="24"/>
          <w:szCs w:val="24"/>
        </w:rPr>
        <w:t xml:space="preserve">McClements, D. J., &amp; Xiao, H. (2017). Is </w:t>
      </w:r>
      <w:proofErr w:type="spellStart"/>
      <w:r w:rsidRPr="00AA3229">
        <w:rPr>
          <w:color w:val="000000"/>
          <w:sz w:val="24"/>
          <w:szCs w:val="24"/>
        </w:rPr>
        <w:t>nano</w:t>
      </w:r>
      <w:proofErr w:type="spellEnd"/>
      <w:r w:rsidRPr="00AA3229">
        <w:rPr>
          <w:color w:val="000000"/>
          <w:sz w:val="24"/>
          <w:szCs w:val="24"/>
        </w:rPr>
        <w:t xml:space="preserve"> safe in foods? Establishing the factors impacting the gastrointestinal fate and toxicity of organic and inorganic food-grade nanoparticles</w:t>
      </w:r>
      <w:r w:rsidRPr="00AA3229">
        <w:rPr>
          <w:color w:val="000000"/>
          <w:sz w:val="24"/>
          <w:szCs w:val="24"/>
        </w:rPr>
        <w:t xml:space="preserve">. </w:t>
      </w:r>
      <w:proofErr w:type="spellStart"/>
      <w:r w:rsidRPr="00AA3229">
        <w:rPr>
          <w:color w:val="000000"/>
          <w:sz w:val="24"/>
          <w:szCs w:val="24"/>
        </w:rPr>
        <w:t>Npj</w:t>
      </w:r>
      <w:proofErr w:type="spellEnd"/>
      <w:r w:rsidRPr="00AA3229">
        <w:rPr>
          <w:color w:val="000000"/>
          <w:sz w:val="24"/>
          <w:szCs w:val="24"/>
        </w:rPr>
        <w:t xml:space="preserve"> Science of Food, 1(1), 6. </w:t>
      </w:r>
      <w:hyperlink r:id="rId57">
        <w:r w:rsidR="00625E61" w:rsidRPr="00AA3229">
          <w:rPr>
            <w:color w:val="0000FF"/>
            <w:sz w:val="24"/>
            <w:szCs w:val="24"/>
            <w:u w:val="single"/>
          </w:rPr>
          <w:t>https://doi.org/10.1038/s41538-017-0005-1</w:t>
        </w:r>
      </w:hyperlink>
      <w:r w:rsidRPr="00AA3229">
        <w:rPr>
          <w:color w:val="000000"/>
          <w:sz w:val="24"/>
          <w:szCs w:val="24"/>
        </w:rPr>
        <w:t xml:space="preserve"> </w:t>
      </w:r>
    </w:p>
    <w:p w14:paraId="049DF0AB" w14:textId="77777777" w:rsidR="00625E61" w:rsidRDefault="00625E61" w:rsidP="00B778B8">
      <w:pPr>
        <w:tabs>
          <w:tab w:val="left" w:pos="9356"/>
        </w:tabs>
        <w:spacing w:before="4"/>
        <w:ind w:left="165" w:right="854"/>
        <w:jc w:val="both"/>
        <w:rPr>
          <w:sz w:val="24"/>
          <w:szCs w:val="24"/>
        </w:rPr>
      </w:pPr>
    </w:p>
    <w:p w14:paraId="3A26786F"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sz w:val="24"/>
          <w:szCs w:val="24"/>
        </w:rPr>
        <w:t xml:space="preserve">Mendes, A. R., </w:t>
      </w:r>
      <w:proofErr w:type="spellStart"/>
      <w:r w:rsidRPr="00AA3229">
        <w:rPr>
          <w:sz w:val="24"/>
          <w:szCs w:val="24"/>
        </w:rPr>
        <w:t>Granadeiro</w:t>
      </w:r>
      <w:proofErr w:type="spellEnd"/>
      <w:r w:rsidRPr="00AA3229">
        <w:rPr>
          <w:sz w:val="24"/>
          <w:szCs w:val="24"/>
        </w:rPr>
        <w:t xml:space="preserve">, C. M., </w:t>
      </w:r>
      <w:proofErr w:type="spellStart"/>
      <w:r w:rsidRPr="00AA3229">
        <w:rPr>
          <w:sz w:val="24"/>
          <w:szCs w:val="24"/>
        </w:rPr>
        <w:t>Leite</w:t>
      </w:r>
      <w:proofErr w:type="spellEnd"/>
      <w:r w:rsidRPr="00AA3229">
        <w:rPr>
          <w:sz w:val="24"/>
          <w:szCs w:val="24"/>
        </w:rPr>
        <w:t xml:space="preserve">, A., Pereira, E., Teixeira, P., &amp; </w:t>
      </w:r>
      <w:proofErr w:type="spellStart"/>
      <w:r w:rsidRPr="00AA3229">
        <w:rPr>
          <w:sz w:val="24"/>
          <w:szCs w:val="24"/>
        </w:rPr>
        <w:t>Poças</w:t>
      </w:r>
      <w:proofErr w:type="spellEnd"/>
      <w:r w:rsidRPr="00AA3229">
        <w:rPr>
          <w:sz w:val="24"/>
          <w:szCs w:val="24"/>
        </w:rPr>
        <w:t>, F. (2024). Optimizing Antimicrobial Ef</w:t>
      </w:r>
      <w:r w:rsidRPr="00AA3229">
        <w:rPr>
          <w:sz w:val="24"/>
          <w:szCs w:val="24"/>
        </w:rPr>
        <w:t xml:space="preserve">ficacy: Investigating the Impact of Zinc Oxide Nanoparticle Shape and Size. Nanomaterials, 14(7), 638. </w:t>
      </w:r>
      <w:hyperlink r:id="rId58">
        <w:r w:rsidR="00625E61" w:rsidRPr="00AA3229">
          <w:rPr>
            <w:color w:val="0000FF"/>
            <w:sz w:val="24"/>
            <w:szCs w:val="24"/>
            <w:u w:val="single"/>
          </w:rPr>
          <w:t>https://doi.org/10.3390/nano14070638</w:t>
        </w:r>
      </w:hyperlink>
      <w:r w:rsidRPr="00AA3229">
        <w:rPr>
          <w:sz w:val="24"/>
          <w:szCs w:val="24"/>
        </w:rPr>
        <w:t xml:space="preserve"> </w:t>
      </w:r>
    </w:p>
    <w:p w14:paraId="70E70985" w14:textId="77777777" w:rsidR="00625E61" w:rsidRDefault="00625E61" w:rsidP="00B778B8">
      <w:pPr>
        <w:tabs>
          <w:tab w:val="left" w:pos="9356"/>
        </w:tabs>
        <w:spacing w:before="4"/>
        <w:ind w:left="165" w:right="854"/>
        <w:jc w:val="both"/>
        <w:rPr>
          <w:sz w:val="24"/>
          <w:szCs w:val="24"/>
        </w:rPr>
      </w:pPr>
    </w:p>
    <w:p w14:paraId="6A65334B"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sz w:val="24"/>
          <w:szCs w:val="24"/>
        </w:rPr>
        <w:t>Mishra S. P., The apocalyptic Anthropocene epoch and its m</w:t>
      </w:r>
      <w:r w:rsidRPr="00AA3229">
        <w:rPr>
          <w:sz w:val="24"/>
          <w:szCs w:val="24"/>
        </w:rPr>
        <w:t>anagement in India, Int. Jour. Adv. Research, 2017, 5(3), pp. 645-663; DOI: 10.21474/IJAR01/3555</w:t>
      </w:r>
    </w:p>
    <w:p w14:paraId="476DA760" w14:textId="77777777" w:rsidR="00625E61" w:rsidRDefault="00625E61" w:rsidP="00B778B8">
      <w:pPr>
        <w:tabs>
          <w:tab w:val="left" w:pos="9356"/>
        </w:tabs>
        <w:spacing w:before="4"/>
        <w:ind w:left="165" w:right="854"/>
        <w:jc w:val="both"/>
        <w:rPr>
          <w:sz w:val="24"/>
          <w:szCs w:val="24"/>
        </w:rPr>
      </w:pPr>
    </w:p>
    <w:p w14:paraId="54BAF3A0"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sz w:val="24"/>
          <w:szCs w:val="24"/>
        </w:rPr>
        <w:t xml:space="preserve">Mishra D. P., Mishra S. P., Organic farming: paradigm shift during pandemic to 'food safety. complying 'food security in India; Annual Research &amp; Review in </w:t>
      </w:r>
      <w:r w:rsidRPr="00AA3229">
        <w:rPr>
          <w:sz w:val="24"/>
          <w:szCs w:val="24"/>
        </w:rPr>
        <w:t>Biology 35(10):63-74, (Oct- 2020); DOI: 10.9734/ARRB/2020/XXXXX</w:t>
      </w:r>
    </w:p>
    <w:p w14:paraId="23213497" w14:textId="77777777" w:rsidR="00625E61" w:rsidRDefault="00625E61" w:rsidP="00B778B8">
      <w:pPr>
        <w:tabs>
          <w:tab w:val="left" w:pos="9356"/>
        </w:tabs>
        <w:spacing w:before="4"/>
        <w:ind w:left="165" w:right="854"/>
        <w:jc w:val="both"/>
        <w:rPr>
          <w:sz w:val="24"/>
          <w:szCs w:val="24"/>
        </w:rPr>
      </w:pPr>
    </w:p>
    <w:p w14:paraId="4BEB5B2C"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sz w:val="24"/>
          <w:szCs w:val="24"/>
        </w:rPr>
        <w:t xml:space="preserve">Mishra, D. P., &amp; Mishra, S. P. (2025). Food Fortification: Strategic Launch Pad towards Achieving Sustainable Nutritional Security. European Journal of Nutrition &amp; Food Safety, 17(5), 61-73. </w:t>
      </w:r>
      <w:hyperlink r:id="rId59">
        <w:r w:rsidR="00625E61" w:rsidRPr="00AA3229">
          <w:rPr>
            <w:color w:val="0000FF"/>
            <w:sz w:val="24"/>
            <w:szCs w:val="24"/>
            <w:u w:val="single"/>
          </w:rPr>
          <w:t>https://doi.org/10.9734/ejnfs/2025/v17i51708</w:t>
        </w:r>
      </w:hyperlink>
      <w:r w:rsidRPr="00AA3229">
        <w:rPr>
          <w:sz w:val="24"/>
          <w:szCs w:val="24"/>
        </w:rPr>
        <w:t xml:space="preserve"> </w:t>
      </w:r>
    </w:p>
    <w:p w14:paraId="1F158A6B" w14:textId="77777777" w:rsidR="00625E61" w:rsidRDefault="00625E61" w:rsidP="00B778B8">
      <w:pPr>
        <w:tabs>
          <w:tab w:val="left" w:pos="9356"/>
        </w:tabs>
        <w:spacing w:before="4"/>
        <w:ind w:left="165" w:right="854"/>
        <w:jc w:val="both"/>
        <w:rPr>
          <w:sz w:val="24"/>
          <w:szCs w:val="24"/>
        </w:rPr>
      </w:pPr>
    </w:p>
    <w:p w14:paraId="186BDFC6" w14:textId="77777777" w:rsidR="00625E61" w:rsidRPr="00AA3229" w:rsidRDefault="005C4DDE" w:rsidP="00AA3229">
      <w:pPr>
        <w:pStyle w:val="ListParagraph"/>
        <w:numPr>
          <w:ilvl w:val="0"/>
          <w:numId w:val="2"/>
        </w:numPr>
        <w:tabs>
          <w:tab w:val="left" w:pos="9356"/>
        </w:tabs>
        <w:spacing w:before="4"/>
        <w:ind w:right="854"/>
        <w:jc w:val="both"/>
        <w:rPr>
          <w:sz w:val="24"/>
          <w:szCs w:val="24"/>
        </w:rPr>
      </w:pPr>
      <w:r w:rsidRPr="00AA3229">
        <w:rPr>
          <w:sz w:val="24"/>
          <w:szCs w:val="24"/>
        </w:rPr>
        <w:t xml:space="preserve">Muthu, A., Nguyen, D. H. H., </w:t>
      </w:r>
      <w:proofErr w:type="spellStart"/>
      <w:r w:rsidRPr="00AA3229">
        <w:rPr>
          <w:sz w:val="24"/>
          <w:szCs w:val="24"/>
        </w:rPr>
        <w:t>Neji</w:t>
      </w:r>
      <w:proofErr w:type="spellEnd"/>
      <w:r w:rsidRPr="00AA3229">
        <w:rPr>
          <w:sz w:val="24"/>
          <w:szCs w:val="24"/>
        </w:rPr>
        <w:t xml:space="preserve">, C., </w:t>
      </w:r>
      <w:proofErr w:type="spellStart"/>
      <w:r w:rsidRPr="00AA3229">
        <w:rPr>
          <w:sz w:val="24"/>
          <w:szCs w:val="24"/>
        </w:rPr>
        <w:t>Törős</w:t>
      </w:r>
      <w:proofErr w:type="spellEnd"/>
      <w:r w:rsidRPr="00AA3229">
        <w:rPr>
          <w:sz w:val="24"/>
          <w:szCs w:val="24"/>
        </w:rPr>
        <w:t xml:space="preserve">, G., </w:t>
      </w:r>
      <w:proofErr w:type="spellStart"/>
      <w:r w:rsidRPr="00AA3229">
        <w:rPr>
          <w:sz w:val="24"/>
          <w:szCs w:val="24"/>
        </w:rPr>
        <w:t>Ferroudj</w:t>
      </w:r>
      <w:proofErr w:type="spellEnd"/>
      <w:r w:rsidRPr="00AA3229">
        <w:rPr>
          <w:sz w:val="24"/>
          <w:szCs w:val="24"/>
        </w:rPr>
        <w:t xml:space="preserve">, A., </w:t>
      </w:r>
      <w:proofErr w:type="spellStart"/>
      <w:r w:rsidRPr="00AA3229">
        <w:rPr>
          <w:sz w:val="24"/>
          <w:szCs w:val="24"/>
        </w:rPr>
        <w:t>Atieh</w:t>
      </w:r>
      <w:proofErr w:type="spellEnd"/>
      <w:r w:rsidRPr="00AA3229">
        <w:rPr>
          <w:sz w:val="24"/>
          <w:szCs w:val="24"/>
        </w:rPr>
        <w:t xml:space="preserve">, R., </w:t>
      </w:r>
      <w:proofErr w:type="spellStart"/>
      <w:r w:rsidRPr="00AA3229">
        <w:rPr>
          <w:sz w:val="24"/>
          <w:szCs w:val="24"/>
        </w:rPr>
        <w:t>Prokisch</w:t>
      </w:r>
      <w:proofErr w:type="spellEnd"/>
      <w:r w:rsidRPr="00AA3229">
        <w:rPr>
          <w:sz w:val="24"/>
          <w:szCs w:val="24"/>
        </w:rPr>
        <w:t>, J., El-</w:t>
      </w:r>
      <w:proofErr w:type="spellStart"/>
      <w:r w:rsidRPr="00AA3229">
        <w:rPr>
          <w:sz w:val="24"/>
          <w:szCs w:val="24"/>
        </w:rPr>
        <w:t>Ramady</w:t>
      </w:r>
      <w:proofErr w:type="spellEnd"/>
      <w:r w:rsidRPr="00AA3229">
        <w:rPr>
          <w:sz w:val="24"/>
          <w:szCs w:val="24"/>
        </w:rPr>
        <w:t xml:space="preserve">, H., &amp; </w:t>
      </w:r>
      <w:proofErr w:type="spellStart"/>
      <w:r w:rsidRPr="00AA3229">
        <w:rPr>
          <w:sz w:val="24"/>
          <w:szCs w:val="24"/>
        </w:rPr>
        <w:t>Béni</w:t>
      </w:r>
      <w:proofErr w:type="spellEnd"/>
      <w:r w:rsidRPr="00AA3229">
        <w:rPr>
          <w:sz w:val="24"/>
          <w:szCs w:val="24"/>
        </w:rPr>
        <w:t>, Á. (2025). Nanomaterials for Smar</w:t>
      </w:r>
      <w:r w:rsidRPr="00AA3229">
        <w:rPr>
          <w:sz w:val="24"/>
          <w:szCs w:val="24"/>
        </w:rPr>
        <w:t xml:space="preserve">t and Sustainable Food Packaging: Nano-Sensing Mechanisms, and Regulatory Perspectives. Foods, 14(15), 2657. </w:t>
      </w:r>
      <w:hyperlink r:id="rId60">
        <w:r w:rsidR="00625E61" w:rsidRPr="00AA3229">
          <w:rPr>
            <w:color w:val="0000FF"/>
            <w:sz w:val="24"/>
            <w:szCs w:val="24"/>
            <w:u w:val="single"/>
          </w:rPr>
          <w:t>https://doi.org/10.3390/foods14152657</w:t>
        </w:r>
      </w:hyperlink>
      <w:r w:rsidRPr="00AA3229">
        <w:rPr>
          <w:sz w:val="24"/>
          <w:szCs w:val="24"/>
        </w:rPr>
        <w:t xml:space="preserve"> </w:t>
      </w:r>
    </w:p>
    <w:p w14:paraId="7D746B8B" w14:textId="77777777" w:rsidR="00625E61" w:rsidRPr="00AA3229" w:rsidRDefault="005C4DDE" w:rsidP="00AA3229">
      <w:pPr>
        <w:pStyle w:val="ListParagraph"/>
        <w:numPr>
          <w:ilvl w:val="0"/>
          <w:numId w:val="2"/>
        </w:numPr>
        <w:tabs>
          <w:tab w:val="left" w:pos="9356"/>
        </w:tabs>
        <w:spacing w:before="24"/>
        <w:ind w:right="854"/>
        <w:jc w:val="both"/>
        <w:rPr>
          <w:color w:val="000000"/>
          <w:sz w:val="24"/>
          <w:szCs w:val="24"/>
        </w:rPr>
      </w:pPr>
      <w:r w:rsidRPr="00AA3229">
        <w:rPr>
          <w:color w:val="000000"/>
          <w:sz w:val="24"/>
          <w:szCs w:val="24"/>
        </w:rPr>
        <w:t xml:space="preserve">Myrick, J. M., </w:t>
      </w:r>
      <w:proofErr w:type="spellStart"/>
      <w:r w:rsidRPr="00AA3229">
        <w:rPr>
          <w:color w:val="000000"/>
          <w:sz w:val="24"/>
          <w:szCs w:val="24"/>
        </w:rPr>
        <w:t>Vendra</w:t>
      </w:r>
      <w:proofErr w:type="spellEnd"/>
      <w:r w:rsidRPr="00AA3229">
        <w:rPr>
          <w:color w:val="000000"/>
          <w:sz w:val="24"/>
          <w:szCs w:val="24"/>
        </w:rPr>
        <w:t>, V. K., &amp; Krishnan, S. (2014)</w:t>
      </w:r>
      <w:r w:rsidRPr="00AA3229">
        <w:rPr>
          <w:color w:val="000000"/>
          <w:sz w:val="24"/>
          <w:szCs w:val="24"/>
        </w:rPr>
        <w:t xml:space="preserve">. Self-assembled polysaccharide nanostructures for controlled-release applications. Nanotechnology Reviews, 3(4), 319–346. </w:t>
      </w:r>
      <w:hyperlink r:id="rId61">
        <w:r w:rsidR="00625E61" w:rsidRPr="00AA3229">
          <w:rPr>
            <w:color w:val="0000FF"/>
            <w:sz w:val="24"/>
            <w:szCs w:val="24"/>
            <w:u w:val="single"/>
          </w:rPr>
          <w:t>https://doi.org/10.1515/ntrev-2012-0050</w:t>
        </w:r>
      </w:hyperlink>
      <w:r w:rsidRPr="00AA3229">
        <w:rPr>
          <w:color w:val="000000"/>
          <w:sz w:val="24"/>
          <w:szCs w:val="24"/>
        </w:rPr>
        <w:t xml:space="preserve"> </w:t>
      </w:r>
    </w:p>
    <w:p w14:paraId="764EB1AC"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r w:rsidRPr="00AA3229">
        <w:rPr>
          <w:color w:val="000000"/>
          <w:sz w:val="24"/>
          <w:szCs w:val="24"/>
        </w:rPr>
        <w:t xml:space="preserve">Nadeem, M., </w:t>
      </w:r>
      <w:proofErr w:type="spellStart"/>
      <w:r w:rsidRPr="00AA3229">
        <w:rPr>
          <w:color w:val="000000"/>
          <w:sz w:val="24"/>
          <w:szCs w:val="24"/>
        </w:rPr>
        <w:t>Tungmunnithum</w:t>
      </w:r>
      <w:proofErr w:type="spellEnd"/>
      <w:r w:rsidRPr="00AA3229">
        <w:rPr>
          <w:color w:val="000000"/>
          <w:sz w:val="24"/>
          <w:szCs w:val="24"/>
        </w:rPr>
        <w:t xml:space="preserve">, D., </w:t>
      </w:r>
      <w:proofErr w:type="spellStart"/>
      <w:r w:rsidRPr="00AA3229">
        <w:rPr>
          <w:color w:val="000000"/>
          <w:sz w:val="24"/>
          <w:szCs w:val="24"/>
        </w:rPr>
        <w:t>Hano</w:t>
      </w:r>
      <w:proofErr w:type="spellEnd"/>
      <w:r w:rsidRPr="00AA3229">
        <w:rPr>
          <w:color w:val="000000"/>
          <w:sz w:val="24"/>
          <w:szCs w:val="24"/>
        </w:rPr>
        <w:t xml:space="preserve">, C., Abbasi, B. H., Hashmi, S. S., Ahmad, W., &amp; </w:t>
      </w:r>
      <w:proofErr w:type="spellStart"/>
      <w:r w:rsidRPr="00AA3229">
        <w:rPr>
          <w:color w:val="000000"/>
          <w:sz w:val="24"/>
          <w:szCs w:val="24"/>
        </w:rPr>
        <w:t>Zahir</w:t>
      </w:r>
      <w:proofErr w:type="spellEnd"/>
      <w:r w:rsidRPr="00AA3229">
        <w:rPr>
          <w:color w:val="000000"/>
          <w:sz w:val="24"/>
          <w:szCs w:val="24"/>
        </w:rPr>
        <w:t xml:space="preserve">, A. (2018). The current trends in the green syntheses of titanium oxide nanoparticles </w:t>
      </w:r>
      <w:r w:rsidRPr="00AA3229">
        <w:rPr>
          <w:color w:val="000000"/>
          <w:sz w:val="24"/>
          <w:szCs w:val="24"/>
        </w:rPr>
        <w:lastRenderedPageBreak/>
        <w:t xml:space="preserve">and their applications. Green Chemistry Letters and Reviews, 11(4), 492–502. </w:t>
      </w:r>
      <w:hyperlink r:id="rId62">
        <w:r w:rsidR="00625E61" w:rsidRPr="00AA3229">
          <w:rPr>
            <w:color w:val="0000FF"/>
            <w:sz w:val="24"/>
            <w:szCs w:val="24"/>
            <w:u w:val="single"/>
          </w:rPr>
          <w:t>https://doi.org/10.1080/17518253.2018.1538430</w:t>
        </w:r>
      </w:hyperlink>
      <w:r w:rsidRPr="00AA3229">
        <w:rPr>
          <w:color w:val="000000"/>
          <w:sz w:val="24"/>
          <w:szCs w:val="24"/>
        </w:rPr>
        <w:t xml:space="preserve"> </w:t>
      </w:r>
    </w:p>
    <w:p w14:paraId="44030F31"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r w:rsidRPr="00AA3229">
        <w:rPr>
          <w:color w:val="000000"/>
          <w:sz w:val="24"/>
          <w:szCs w:val="24"/>
        </w:rPr>
        <w:t xml:space="preserve">Nayak, S. K., </w:t>
      </w:r>
      <w:proofErr w:type="spellStart"/>
      <w:r w:rsidRPr="00AA3229">
        <w:rPr>
          <w:color w:val="000000"/>
          <w:sz w:val="24"/>
          <w:szCs w:val="24"/>
        </w:rPr>
        <w:t>Beura</w:t>
      </w:r>
      <w:proofErr w:type="spellEnd"/>
      <w:r w:rsidRPr="00AA3229">
        <w:rPr>
          <w:color w:val="000000"/>
          <w:sz w:val="24"/>
          <w:szCs w:val="24"/>
        </w:rPr>
        <w:t xml:space="preserve">, M., Siddique, M., &amp; Mishra, S. P. (2021). Analysis of Indian Food Based on Machine learning Classification Models. Journal of </w:t>
      </w:r>
      <w:r w:rsidRPr="00AA3229">
        <w:rPr>
          <w:color w:val="000000"/>
          <w:sz w:val="24"/>
          <w:szCs w:val="24"/>
        </w:rPr>
        <w:t xml:space="preserve">Scientific Research and Reports, 27(7), 1-7. </w:t>
      </w:r>
      <w:hyperlink r:id="rId63">
        <w:r w:rsidR="00625E61" w:rsidRPr="00AA3229">
          <w:rPr>
            <w:color w:val="0000FF"/>
            <w:sz w:val="24"/>
            <w:szCs w:val="24"/>
            <w:u w:val="single"/>
          </w:rPr>
          <w:t>https://doi.org/10.9734/jsrr/2021/v27i730407</w:t>
        </w:r>
      </w:hyperlink>
      <w:r w:rsidRPr="00AA3229">
        <w:rPr>
          <w:color w:val="000000"/>
          <w:sz w:val="24"/>
          <w:szCs w:val="24"/>
        </w:rPr>
        <w:t xml:space="preserve"> </w:t>
      </w:r>
    </w:p>
    <w:p w14:paraId="446AA072"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proofErr w:type="spellStart"/>
      <w:r w:rsidRPr="00AA3229">
        <w:rPr>
          <w:color w:val="000000"/>
          <w:sz w:val="24"/>
          <w:szCs w:val="24"/>
        </w:rPr>
        <w:t>Oftedal</w:t>
      </w:r>
      <w:proofErr w:type="spellEnd"/>
      <w:r w:rsidRPr="00AA3229">
        <w:rPr>
          <w:color w:val="000000"/>
          <w:sz w:val="24"/>
          <w:szCs w:val="24"/>
        </w:rPr>
        <w:t>, O. T. (2012). The evolution of milk secretion and its ancient origins. Animal, 6(3), 355–368</w:t>
      </w:r>
      <w:r w:rsidRPr="00AA3229">
        <w:rPr>
          <w:color w:val="000000"/>
          <w:sz w:val="24"/>
          <w:szCs w:val="24"/>
        </w:rPr>
        <w:t xml:space="preserve">. </w:t>
      </w:r>
      <w:hyperlink r:id="rId64">
        <w:r w:rsidR="00625E61" w:rsidRPr="00AA3229">
          <w:rPr>
            <w:color w:val="0000FF"/>
            <w:sz w:val="24"/>
            <w:szCs w:val="24"/>
            <w:u w:val="single"/>
          </w:rPr>
          <w:t>https://doi.org/10.1017/S1751731111001935</w:t>
        </w:r>
      </w:hyperlink>
      <w:r w:rsidRPr="00AA3229">
        <w:rPr>
          <w:color w:val="000000"/>
          <w:sz w:val="24"/>
          <w:szCs w:val="24"/>
        </w:rPr>
        <w:t xml:space="preserve"> </w:t>
      </w:r>
    </w:p>
    <w:p w14:paraId="499A007E"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proofErr w:type="spellStart"/>
      <w:r w:rsidRPr="00AA3229">
        <w:rPr>
          <w:color w:val="000000"/>
          <w:sz w:val="24"/>
          <w:szCs w:val="24"/>
        </w:rPr>
        <w:t>Okur</w:t>
      </w:r>
      <w:proofErr w:type="spellEnd"/>
      <w:r w:rsidRPr="00AA3229">
        <w:rPr>
          <w:color w:val="000000"/>
          <w:sz w:val="24"/>
          <w:szCs w:val="24"/>
        </w:rPr>
        <w:t xml:space="preserve"> EE, </w:t>
      </w:r>
      <w:proofErr w:type="spellStart"/>
      <w:r w:rsidRPr="00AA3229">
        <w:rPr>
          <w:color w:val="000000"/>
          <w:sz w:val="24"/>
          <w:szCs w:val="24"/>
        </w:rPr>
        <w:t>Eker</w:t>
      </w:r>
      <w:proofErr w:type="spellEnd"/>
      <w:r w:rsidRPr="00AA3229">
        <w:rPr>
          <w:color w:val="000000"/>
          <w:sz w:val="24"/>
          <w:szCs w:val="24"/>
        </w:rPr>
        <w:t xml:space="preserve"> F, </w:t>
      </w:r>
      <w:proofErr w:type="spellStart"/>
      <w:r w:rsidRPr="00AA3229">
        <w:rPr>
          <w:color w:val="000000"/>
          <w:sz w:val="24"/>
          <w:szCs w:val="24"/>
        </w:rPr>
        <w:t>Akdaşçi</w:t>
      </w:r>
      <w:proofErr w:type="spellEnd"/>
      <w:r w:rsidRPr="00AA3229">
        <w:rPr>
          <w:color w:val="000000"/>
          <w:sz w:val="24"/>
          <w:szCs w:val="24"/>
        </w:rPr>
        <w:t xml:space="preserve"> E, </w:t>
      </w:r>
      <w:proofErr w:type="spellStart"/>
      <w:r w:rsidRPr="00AA3229">
        <w:rPr>
          <w:color w:val="000000"/>
          <w:sz w:val="24"/>
          <w:szCs w:val="24"/>
        </w:rPr>
        <w:t>Bechelany</w:t>
      </w:r>
      <w:proofErr w:type="spellEnd"/>
      <w:r w:rsidRPr="00AA3229">
        <w:rPr>
          <w:color w:val="000000"/>
          <w:sz w:val="24"/>
          <w:szCs w:val="24"/>
        </w:rPr>
        <w:t xml:space="preserve"> M, </w:t>
      </w:r>
      <w:proofErr w:type="spellStart"/>
      <w:r w:rsidRPr="00AA3229">
        <w:rPr>
          <w:color w:val="000000"/>
          <w:sz w:val="24"/>
          <w:szCs w:val="24"/>
        </w:rPr>
        <w:t>Karav</w:t>
      </w:r>
      <w:proofErr w:type="spellEnd"/>
      <w:r w:rsidRPr="00AA3229">
        <w:rPr>
          <w:color w:val="000000"/>
          <w:sz w:val="24"/>
          <w:szCs w:val="24"/>
        </w:rPr>
        <w:t xml:space="preserve"> S. Comprehensive Review of Silver Nanoparticles in Food Packaging Applications. International Journal o</w:t>
      </w:r>
      <w:r w:rsidRPr="00AA3229">
        <w:rPr>
          <w:color w:val="000000"/>
          <w:sz w:val="24"/>
          <w:szCs w:val="24"/>
        </w:rPr>
        <w:t xml:space="preserve">f Molecular Sciences. 2025; 26(20):9842. </w:t>
      </w:r>
      <w:hyperlink r:id="rId65">
        <w:r w:rsidR="00625E61" w:rsidRPr="00AA3229">
          <w:rPr>
            <w:color w:val="0000FF"/>
            <w:sz w:val="24"/>
            <w:szCs w:val="24"/>
            <w:u w:val="single"/>
          </w:rPr>
          <w:t>https://doi.org/10.3390/ijms26209842</w:t>
        </w:r>
      </w:hyperlink>
    </w:p>
    <w:p w14:paraId="3411BBC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r w:rsidRPr="00AA3229">
        <w:rPr>
          <w:color w:val="000000"/>
          <w:sz w:val="24"/>
          <w:szCs w:val="24"/>
        </w:rPr>
        <w:t>Padilla-</w:t>
      </w:r>
      <w:proofErr w:type="spellStart"/>
      <w:r w:rsidRPr="00AA3229">
        <w:rPr>
          <w:color w:val="000000"/>
          <w:sz w:val="24"/>
          <w:szCs w:val="24"/>
        </w:rPr>
        <w:t>Camberos</w:t>
      </w:r>
      <w:proofErr w:type="spellEnd"/>
      <w:r w:rsidRPr="00AA3229">
        <w:rPr>
          <w:color w:val="000000"/>
          <w:sz w:val="24"/>
          <w:szCs w:val="24"/>
        </w:rPr>
        <w:t>, E., Juárez-Navarro, K. J., Sanchez-Hernandez, I. M., Torres-Gonzalez, O. R., &amp; Flores-Fernandez, J. M. (</w:t>
      </w:r>
      <w:r w:rsidRPr="00AA3229">
        <w:rPr>
          <w:color w:val="000000"/>
          <w:sz w:val="24"/>
          <w:szCs w:val="24"/>
        </w:rPr>
        <w:t xml:space="preserve">2022). Toxicological Evaluation of Silver Nanoparticles Synthesized with Peel Extract of </w:t>
      </w:r>
      <w:proofErr w:type="spellStart"/>
      <w:r w:rsidRPr="00AA3229">
        <w:rPr>
          <w:color w:val="000000"/>
          <w:sz w:val="24"/>
          <w:szCs w:val="24"/>
        </w:rPr>
        <w:t>Stenocereus</w:t>
      </w:r>
      <w:proofErr w:type="spellEnd"/>
      <w:r w:rsidRPr="00AA3229">
        <w:rPr>
          <w:color w:val="000000"/>
          <w:sz w:val="24"/>
          <w:szCs w:val="24"/>
        </w:rPr>
        <w:t xml:space="preserve"> </w:t>
      </w:r>
      <w:proofErr w:type="spellStart"/>
      <w:r w:rsidRPr="00AA3229">
        <w:rPr>
          <w:color w:val="000000"/>
          <w:sz w:val="24"/>
          <w:szCs w:val="24"/>
        </w:rPr>
        <w:t>queretaroensis</w:t>
      </w:r>
      <w:proofErr w:type="spellEnd"/>
      <w:r w:rsidRPr="00AA3229">
        <w:rPr>
          <w:color w:val="000000"/>
          <w:sz w:val="24"/>
          <w:szCs w:val="24"/>
        </w:rPr>
        <w:t xml:space="preserve">. Materials, 15(16), 5700. </w:t>
      </w:r>
      <w:hyperlink r:id="rId66">
        <w:r w:rsidR="00625E61" w:rsidRPr="00AA3229">
          <w:rPr>
            <w:color w:val="0000FF"/>
            <w:sz w:val="24"/>
            <w:szCs w:val="24"/>
            <w:u w:val="single"/>
          </w:rPr>
          <w:t>https://doi.org/10.3390/ma15165700</w:t>
        </w:r>
      </w:hyperlink>
      <w:r w:rsidRPr="00AA3229">
        <w:rPr>
          <w:color w:val="000000"/>
          <w:sz w:val="24"/>
          <w:szCs w:val="24"/>
        </w:rPr>
        <w:t xml:space="preserve"> </w:t>
      </w:r>
    </w:p>
    <w:p w14:paraId="275D0773" w14:textId="77777777" w:rsidR="00625E61" w:rsidRPr="00AA3229" w:rsidRDefault="005C4DDE" w:rsidP="00AA3229">
      <w:pPr>
        <w:pStyle w:val="ListParagraph"/>
        <w:numPr>
          <w:ilvl w:val="0"/>
          <w:numId w:val="2"/>
        </w:numPr>
        <w:tabs>
          <w:tab w:val="left" w:pos="9356"/>
        </w:tabs>
        <w:spacing w:before="24" w:line="256" w:lineRule="auto"/>
        <w:ind w:right="854"/>
        <w:jc w:val="both"/>
        <w:rPr>
          <w:sz w:val="24"/>
          <w:szCs w:val="24"/>
        </w:rPr>
      </w:pPr>
      <w:proofErr w:type="spellStart"/>
      <w:r w:rsidRPr="00AA3229">
        <w:rPr>
          <w:color w:val="000000"/>
          <w:sz w:val="24"/>
          <w:szCs w:val="24"/>
        </w:rPr>
        <w:t>Pasupuleti</w:t>
      </w:r>
      <w:proofErr w:type="spellEnd"/>
      <w:r w:rsidRPr="00AA3229">
        <w:rPr>
          <w:color w:val="000000"/>
          <w:sz w:val="24"/>
          <w:szCs w:val="24"/>
        </w:rPr>
        <w:t>, S., Alapati,</w:t>
      </w:r>
      <w:r w:rsidRPr="00AA3229">
        <w:rPr>
          <w:color w:val="000000"/>
          <w:sz w:val="24"/>
          <w:szCs w:val="24"/>
        </w:rPr>
        <w:t xml:space="preserve"> S., Ganapathy, S., </w:t>
      </w:r>
      <w:proofErr w:type="spellStart"/>
      <w:r w:rsidRPr="00AA3229">
        <w:rPr>
          <w:color w:val="000000"/>
          <w:sz w:val="24"/>
          <w:szCs w:val="24"/>
        </w:rPr>
        <w:t>Anumolu</w:t>
      </w:r>
      <w:proofErr w:type="spellEnd"/>
      <w:r w:rsidRPr="00AA3229">
        <w:rPr>
          <w:color w:val="000000"/>
          <w:sz w:val="24"/>
          <w:szCs w:val="24"/>
        </w:rPr>
        <w:t xml:space="preserve">, G., Pully, N. R., &amp; </w:t>
      </w:r>
      <w:proofErr w:type="spellStart"/>
      <w:r w:rsidRPr="00AA3229">
        <w:rPr>
          <w:color w:val="000000"/>
          <w:sz w:val="24"/>
          <w:szCs w:val="24"/>
        </w:rPr>
        <w:t>Prakhya</w:t>
      </w:r>
      <w:proofErr w:type="spellEnd"/>
      <w:r w:rsidRPr="00AA3229">
        <w:rPr>
          <w:color w:val="000000"/>
          <w:sz w:val="24"/>
          <w:szCs w:val="24"/>
        </w:rPr>
        <w:t xml:space="preserve">, B. M. (2012). Toxicity of zinc oxide nanoparticles through oral route. Toxicology and Industrial Health. </w:t>
      </w:r>
      <w:hyperlink r:id="rId67">
        <w:r w:rsidR="00625E61" w:rsidRPr="00AA3229">
          <w:rPr>
            <w:color w:val="0000FF"/>
            <w:sz w:val="24"/>
            <w:szCs w:val="24"/>
            <w:u w:val="single"/>
          </w:rPr>
          <w:t>https://doi.org/10.1177/0748233711420473</w:t>
        </w:r>
      </w:hyperlink>
      <w:r w:rsidRPr="00AA3229">
        <w:rPr>
          <w:color w:val="000000"/>
          <w:sz w:val="24"/>
          <w:szCs w:val="24"/>
        </w:rPr>
        <w:t xml:space="preserve"> </w:t>
      </w:r>
    </w:p>
    <w:p w14:paraId="36F397ED"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5" w:line="259" w:lineRule="auto"/>
        <w:ind w:right="854"/>
        <w:jc w:val="both"/>
        <w:rPr>
          <w:color w:val="000000"/>
          <w:sz w:val="24"/>
          <w:szCs w:val="24"/>
        </w:rPr>
      </w:pPr>
      <w:r w:rsidRPr="00AA3229">
        <w:rPr>
          <w:color w:val="000000"/>
          <w:sz w:val="24"/>
          <w:szCs w:val="24"/>
        </w:rPr>
        <w:t xml:space="preserve">Patil, U. S., </w:t>
      </w:r>
      <w:proofErr w:type="spellStart"/>
      <w:r w:rsidRPr="00AA3229">
        <w:rPr>
          <w:color w:val="000000"/>
          <w:sz w:val="24"/>
          <w:szCs w:val="24"/>
        </w:rPr>
        <w:t>Adireddy</w:t>
      </w:r>
      <w:proofErr w:type="spellEnd"/>
      <w:r w:rsidRPr="00AA3229">
        <w:rPr>
          <w:color w:val="000000"/>
          <w:sz w:val="24"/>
          <w:szCs w:val="24"/>
        </w:rPr>
        <w:t xml:space="preserve">, S., Jaiswal, A., </w:t>
      </w:r>
      <w:proofErr w:type="spellStart"/>
      <w:r w:rsidRPr="00AA3229">
        <w:rPr>
          <w:color w:val="000000"/>
          <w:sz w:val="24"/>
          <w:szCs w:val="24"/>
        </w:rPr>
        <w:t>Mandava</w:t>
      </w:r>
      <w:proofErr w:type="spellEnd"/>
      <w:r w:rsidRPr="00AA3229">
        <w:rPr>
          <w:color w:val="000000"/>
          <w:sz w:val="24"/>
          <w:szCs w:val="24"/>
        </w:rPr>
        <w:t xml:space="preserve">, S., Lee, B. R., &amp; </w:t>
      </w:r>
      <w:proofErr w:type="spellStart"/>
      <w:r w:rsidRPr="00AA3229">
        <w:rPr>
          <w:color w:val="000000"/>
          <w:sz w:val="24"/>
          <w:szCs w:val="24"/>
        </w:rPr>
        <w:t>Chrisey</w:t>
      </w:r>
      <w:proofErr w:type="spellEnd"/>
      <w:r w:rsidRPr="00AA3229">
        <w:rPr>
          <w:color w:val="000000"/>
          <w:sz w:val="24"/>
          <w:szCs w:val="24"/>
        </w:rPr>
        <w:t xml:space="preserve">, D. B. (2015). In Vitro/In Vivo Toxicity Evaluation and Quantification of Iron Oxide Nanoparticles. International Journal of Molecular Sciences, 16(10), 24417–24450. </w:t>
      </w:r>
      <w:hyperlink r:id="rId68">
        <w:r w:rsidR="00625E61" w:rsidRPr="00AA3229">
          <w:rPr>
            <w:color w:val="0000FF"/>
            <w:sz w:val="24"/>
            <w:szCs w:val="24"/>
            <w:u w:val="single"/>
          </w:rPr>
          <w:t>https://doi.org/10.3390/ijms161024417</w:t>
        </w:r>
      </w:hyperlink>
      <w:r w:rsidRPr="00AA3229">
        <w:rPr>
          <w:color w:val="000000"/>
          <w:sz w:val="24"/>
          <w:szCs w:val="24"/>
        </w:rPr>
        <w:t xml:space="preserve"> </w:t>
      </w:r>
    </w:p>
    <w:p w14:paraId="3A182E1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5" w:line="259" w:lineRule="auto"/>
        <w:ind w:right="854"/>
        <w:jc w:val="both"/>
        <w:rPr>
          <w:color w:val="000000"/>
          <w:sz w:val="24"/>
          <w:szCs w:val="24"/>
        </w:rPr>
      </w:pPr>
      <w:r w:rsidRPr="00AA3229">
        <w:rPr>
          <w:color w:val="000000"/>
          <w:sz w:val="24"/>
          <w:szCs w:val="24"/>
        </w:rPr>
        <w:t xml:space="preserve">Petrov, G. V., </w:t>
      </w:r>
      <w:proofErr w:type="spellStart"/>
      <w:r w:rsidRPr="00AA3229">
        <w:rPr>
          <w:color w:val="000000"/>
          <w:sz w:val="24"/>
          <w:szCs w:val="24"/>
        </w:rPr>
        <w:t>Koldina</w:t>
      </w:r>
      <w:proofErr w:type="spellEnd"/>
      <w:r w:rsidRPr="00AA3229">
        <w:rPr>
          <w:color w:val="000000"/>
          <w:sz w:val="24"/>
          <w:szCs w:val="24"/>
        </w:rPr>
        <w:t xml:space="preserve">, A. M., </w:t>
      </w:r>
      <w:proofErr w:type="spellStart"/>
      <w:r w:rsidRPr="00AA3229">
        <w:rPr>
          <w:color w:val="000000"/>
          <w:sz w:val="24"/>
          <w:szCs w:val="24"/>
        </w:rPr>
        <w:t>Ledenev</w:t>
      </w:r>
      <w:proofErr w:type="spellEnd"/>
      <w:r w:rsidRPr="00AA3229">
        <w:rPr>
          <w:color w:val="000000"/>
          <w:sz w:val="24"/>
          <w:szCs w:val="24"/>
        </w:rPr>
        <w:t xml:space="preserve">, O. V., </w:t>
      </w:r>
      <w:proofErr w:type="spellStart"/>
      <w:r w:rsidRPr="00AA3229">
        <w:rPr>
          <w:color w:val="000000"/>
          <w:sz w:val="24"/>
          <w:szCs w:val="24"/>
        </w:rPr>
        <w:t>Tumasov</w:t>
      </w:r>
      <w:proofErr w:type="spellEnd"/>
      <w:r w:rsidRPr="00AA3229">
        <w:rPr>
          <w:color w:val="000000"/>
          <w:sz w:val="24"/>
          <w:szCs w:val="24"/>
        </w:rPr>
        <w:t xml:space="preserve">, V. N., </w:t>
      </w:r>
      <w:proofErr w:type="spellStart"/>
      <w:r w:rsidRPr="00AA3229">
        <w:rPr>
          <w:color w:val="000000"/>
          <w:sz w:val="24"/>
          <w:szCs w:val="24"/>
        </w:rPr>
        <w:t>Nazarov</w:t>
      </w:r>
      <w:proofErr w:type="spellEnd"/>
      <w:r w:rsidRPr="00AA3229">
        <w:rPr>
          <w:color w:val="000000"/>
          <w:sz w:val="24"/>
          <w:szCs w:val="24"/>
        </w:rPr>
        <w:t xml:space="preserve">, A. A., &amp; </w:t>
      </w:r>
      <w:proofErr w:type="spellStart"/>
      <w:r w:rsidRPr="00AA3229">
        <w:rPr>
          <w:color w:val="000000"/>
          <w:sz w:val="24"/>
          <w:szCs w:val="24"/>
        </w:rPr>
        <w:t>Syroeshkin</w:t>
      </w:r>
      <w:proofErr w:type="spellEnd"/>
      <w:r w:rsidRPr="00AA3229">
        <w:rPr>
          <w:color w:val="000000"/>
          <w:sz w:val="24"/>
          <w:szCs w:val="24"/>
        </w:rPr>
        <w:t>, A. V. (2025). Nanoparticles and Nanomaterials: A Review from the Stan</w:t>
      </w:r>
      <w:r w:rsidRPr="00AA3229">
        <w:rPr>
          <w:color w:val="000000"/>
          <w:sz w:val="24"/>
          <w:szCs w:val="24"/>
        </w:rPr>
        <w:t xml:space="preserve">dpoint of Pharmacy and Medicine. Pharmaceutics, 17(5), 655. </w:t>
      </w:r>
      <w:hyperlink r:id="rId69">
        <w:r w:rsidR="00625E61" w:rsidRPr="00AA3229">
          <w:rPr>
            <w:color w:val="0000FF"/>
            <w:sz w:val="24"/>
            <w:szCs w:val="24"/>
            <w:u w:val="single"/>
          </w:rPr>
          <w:t>https://doi.org/10.3390/pharmaceutics17050655</w:t>
        </w:r>
      </w:hyperlink>
      <w:r w:rsidRPr="00AA3229">
        <w:rPr>
          <w:color w:val="000000"/>
          <w:sz w:val="24"/>
          <w:szCs w:val="24"/>
        </w:rPr>
        <w:t xml:space="preserve"> </w:t>
      </w:r>
    </w:p>
    <w:p w14:paraId="4CAC539C" w14:textId="77777777" w:rsidR="00625E61" w:rsidRPr="00AA3229" w:rsidRDefault="005C4DDE" w:rsidP="00AA3229">
      <w:pPr>
        <w:pStyle w:val="ListParagraph"/>
        <w:numPr>
          <w:ilvl w:val="0"/>
          <w:numId w:val="2"/>
        </w:numPr>
        <w:tabs>
          <w:tab w:val="left" w:pos="9356"/>
        </w:tabs>
        <w:spacing w:line="275" w:lineRule="auto"/>
        <w:ind w:right="854"/>
        <w:jc w:val="both"/>
        <w:rPr>
          <w:sz w:val="24"/>
          <w:szCs w:val="24"/>
        </w:rPr>
      </w:pPr>
      <w:proofErr w:type="spellStart"/>
      <w:r w:rsidRPr="00AA3229">
        <w:rPr>
          <w:color w:val="000000"/>
          <w:sz w:val="24"/>
          <w:szCs w:val="24"/>
        </w:rPr>
        <w:t>Pietroiusti</w:t>
      </w:r>
      <w:proofErr w:type="spellEnd"/>
      <w:r w:rsidRPr="00AA3229">
        <w:rPr>
          <w:color w:val="000000"/>
          <w:sz w:val="24"/>
          <w:szCs w:val="24"/>
        </w:rPr>
        <w:t xml:space="preserve">, A., </w:t>
      </w:r>
      <w:proofErr w:type="spellStart"/>
      <w:r w:rsidRPr="00AA3229">
        <w:rPr>
          <w:color w:val="000000"/>
          <w:sz w:val="24"/>
          <w:szCs w:val="24"/>
        </w:rPr>
        <w:t>Magrini</w:t>
      </w:r>
      <w:proofErr w:type="spellEnd"/>
      <w:r w:rsidRPr="00AA3229">
        <w:rPr>
          <w:color w:val="000000"/>
          <w:sz w:val="24"/>
          <w:szCs w:val="24"/>
        </w:rPr>
        <w:t>, A., &amp; Campagnolo, L. (2016). New frontiers in nanotoxicolo</w:t>
      </w:r>
      <w:r w:rsidRPr="00AA3229">
        <w:rPr>
          <w:color w:val="000000"/>
          <w:sz w:val="24"/>
          <w:szCs w:val="24"/>
        </w:rPr>
        <w:t xml:space="preserve">gy: Gut microbiota/microbiome-mediated effects of engineered nanomaterials. Toxicology and Applied Pharmacology, 299, 90–95. </w:t>
      </w:r>
      <w:hyperlink r:id="rId70">
        <w:r w:rsidR="00625E61" w:rsidRPr="00AA3229">
          <w:rPr>
            <w:color w:val="0000FF"/>
            <w:sz w:val="24"/>
            <w:szCs w:val="24"/>
            <w:u w:val="single"/>
          </w:rPr>
          <w:t>https://doi.org/10.1016/j.taap.2015.12.017</w:t>
        </w:r>
      </w:hyperlink>
      <w:r w:rsidRPr="00AA3229">
        <w:rPr>
          <w:color w:val="000000"/>
          <w:sz w:val="24"/>
          <w:szCs w:val="24"/>
        </w:rPr>
        <w:t xml:space="preserve"> </w:t>
      </w:r>
    </w:p>
    <w:p w14:paraId="0A10772B"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proofErr w:type="spellStart"/>
      <w:r w:rsidRPr="00AA3229">
        <w:rPr>
          <w:color w:val="000000"/>
          <w:sz w:val="24"/>
          <w:szCs w:val="24"/>
        </w:rPr>
        <w:t>Piorkowski</w:t>
      </w:r>
      <w:proofErr w:type="spellEnd"/>
      <w:r w:rsidRPr="00AA3229">
        <w:rPr>
          <w:color w:val="000000"/>
          <w:sz w:val="24"/>
          <w:szCs w:val="24"/>
        </w:rPr>
        <w:t>, D. T., &amp; McCl</w:t>
      </w:r>
      <w:r w:rsidRPr="00AA3229">
        <w:rPr>
          <w:color w:val="000000"/>
          <w:sz w:val="24"/>
          <w:szCs w:val="24"/>
        </w:rPr>
        <w:t xml:space="preserve">ements, D. J. (2014). Beverage emulsions: Recent developments in formulation, production, and applications. Food Hydrocolloids, 42, 5–41. </w:t>
      </w:r>
      <w:hyperlink r:id="rId71">
        <w:r w:rsidR="00625E61" w:rsidRPr="00AA3229">
          <w:rPr>
            <w:color w:val="0000FF"/>
            <w:sz w:val="24"/>
            <w:szCs w:val="24"/>
            <w:u w:val="single"/>
          </w:rPr>
          <w:t>https://doi.org/10.1016/j.foodhyd.2013.07.009</w:t>
        </w:r>
      </w:hyperlink>
      <w:r w:rsidRPr="00AA3229">
        <w:rPr>
          <w:color w:val="000000"/>
          <w:sz w:val="24"/>
          <w:szCs w:val="24"/>
        </w:rPr>
        <w:t xml:space="preserve"> </w:t>
      </w:r>
    </w:p>
    <w:p w14:paraId="34B86AE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61" w:lineRule="auto"/>
        <w:ind w:right="854"/>
        <w:jc w:val="both"/>
        <w:rPr>
          <w:color w:val="000000"/>
          <w:sz w:val="24"/>
          <w:szCs w:val="24"/>
        </w:rPr>
      </w:pPr>
      <w:proofErr w:type="spellStart"/>
      <w:r w:rsidRPr="00AA3229">
        <w:rPr>
          <w:color w:val="000000"/>
          <w:sz w:val="24"/>
          <w:szCs w:val="24"/>
        </w:rPr>
        <w:t>Pourma</w:t>
      </w:r>
      <w:r w:rsidRPr="00AA3229">
        <w:rPr>
          <w:color w:val="000000"/>
          <w:sz w:val="24"/>
          <w:szCs w:val="24"/>
        </w:rPr>
        <w:t>dadi</w:t>
      </w:r>
      <w:proofErr w:type="spellEnd"/>
      <w:r w:rsidRPr="00AA3229">
        <w:rPr>
          <w:color w:val="000000"/>
          <w:sz w:val="24"/>
          <w:szCs w:val="24"/>
        </w:rPr>
        <w:t xml:space="preserve">, M., </w:t>
      </w:r>
      <w:proofErr w:type="spellStart"/>
      <w:r w:rsidRPr="00AA3229">
        <w:rPr>
          <w:color w:val="000000"/>
          <w:sz w:val="24"/>
          <w:szCs w:val="24"/>
        </w:rPr>
        <w:t>Rahmani</w:t>
      </w:r>
      <w:proofErr w:type="spellEnd"/>
      <w:r w:rsidRPr="00AA3229">
        <w:rPr>
          <w:color w:val="000000"/>
          <w:sz w:val="24"/>
          <w:szCs w:val="24"/>
        </w:rPr>
        <w:t xml:space="preserve">, E., </w:t>
      </w:r>
      <w:proofErr w:type="spellStart"/>
      <w:r w:rsidRPr="00AA3229">
        <w:rPr>
          <w:color w:val="000000"/>
          <w:sz w:val="24"/>
          <w:szCs w:val="24"/>
        </w:rPr>
        <w:t>Shamsabadipour</w:t>
      </w:r>
      <w:proofErr w:type="spellEnd"/>
      <w:r w:rsidRPr="00AA3229">
        <w:rPr>
          <w:color w:val="000000"/>
          <w:sz w:val="24"/>
          <w:szCs w:val="24"/>
        </w:rPr>
        <w:t xml:space="preserve">, A., </w:t>
      </w:r>
      <w:proofErr w:type="spellStart"/>
      <w:r w:rsidRPr="00AA3229">
        <w:rPr>
          <w:color w:val="000000"/>
          <w:sz w:val="24"/>
          <w:szCs w:val="24"/>
        </w:rPr>
        <w:t>Mahtabian</w:t>
      </w:r>
      <w:proofErr w:type="spellEnd"/>
      <w:r w:rsidRPr="00AA3229">
        <w:rPr>
          <w:color w:val="000000"/>
          <w:sz w:val="24"/>
          <w:szCs w:val="24"/>
        </w:rPr>
        <w:t xml:space="preserve">, S., Ahmadi, M., </w:t>
      </w:r>
      <w:proofErr w:type="spellStart"/>
      <w:r w:rsidRPr="00AA3229">
        <w:rPr>
          <w:color w:val="000000"/>
          <w:sz w:val="24"/>
          <w:szCs w:val="24"/>
        </w:rPr>
        <w:t>Rahdar</w:t>
      </w:r>
      <w:proofErr w:type="spellEnd"/>
      <w:r w:rsidRPr="00AA3229">
        <w:rPr>
          <w:color w:val="000000"/>
          <w:sz w:val="24"/>
          <w:szCs w:val="24"/>
        </w:rPr>
        <w:t xml:space="preserve">, A., &amp; </w:t>
      </w:r>
      <w:proofErr w:type="spellStart"/>
      <w:r w:rsidRPr="00AA3229">
        <w:rPr>
          <w:color w:val="000000"/>
          <w:sz w:val="24"/>
          <w:szCs w:val="24"/>
        </w:rPr>
        <w:t>Díez</w:t>
      </w:r>
      <w:proofErr w:type="spellEnd"/>
      <w:r w:rsidRPr="00AA3229">
        <w:rPr>
          <w:color w:val="000000"/>
          <w:sz w:val="24"/>
          <w:szCs w:val="24"/>
        </w:rPr>
        <w:t xml:space="preserve">-Pascual, A. M. (2022). Role of Iron Oxide (Fe2O3) Nanocomposites in Advanced Biomedical Applications: A State-of-the-Art Review. Nanomaterials, 12(21), 3873. </w:t>
      </w:r>
      <w:hyperlink r:id="rId72">
        <w:r w:rsidR="00625E61" w:rsidRPr="00AA3229">
          <w:rPr>
            <w:color w:val="0000FF"/>
            <w:sz w:val="24"/>
            <w:szCs w:val="24"/>
            <w:u w:val="single"/>
          </w:rPr>
          <w:t>https://doi.org/10.3390/nano12213873</w:t>
        </w:r>
      </w:hyperlink>
      <w:r w:rsidRPr="00AA3229">
        <w:rPr>
          <w:color w:val="000000"/>
          <w:sz w:val="24"/>
          <w:szCs w:val="24"/>
        </w:rPr>
        <w:t xml:space="preserve"> </w:t>
      </w:r>
    </w:p>
    <w:p w14:paraId="21E95E22"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3" w:line="259" w:lineRule="auto"/>
        <w:ind w:right="854"/>
        <w:jc w:val="both"/>
        <w:rPr>
          <w:color w:val="000000"/>
          <w:sz w:val="24"/>
          <w:szCs w:val="24"/>
        </w:rPr>
      </w:pPr>
      <w:proofErr w:type="spellStart"/>
      <w:r w:rsidRPr="00AA3229">
        <w:rPr>
          <w:color w:val="000000"/>
          <w:sz w:val="24"/>
          <w:szCs w:val="24"/>
        </w:rPr>
        <w:t>Pugliara</w:t>
      </w:r>
      <w:proofErr w:type="spellEnd"/>
      <w:r w:rsidRPr="00AA3229">
        <w:rPr>
          <w:color w:val="000000"/>
          <w:sz w:val="24"/>
          <w:szCs w:val="24"/>
        </w:rPr>
        <w:t xml:space="preserve">, A., </w:t>
      </w:r>
      <w:proofErr w:type="spellStart"/>
      <w:r w:rsidRPr="00AA3229">
        <w:rPr>
          <w:color w:val="000000"/>
          <w:sz w:val="24"/>
          <w:szCs w:val="24"/>
        </w:rPr>
        <w:t>Makasheva</w:t>
      </w:r>
      <w:proofErr w:type="spellEnd"/>
      <w:r w:rsidRPr="00AA3229">
        <w:rPr>
          <w:color w:val="000000"/>
          <w:sz w:val="24"/>
          <w:szCs w:val="24"/>
        </w:rPr>
        <w:t xml:space="preserve">, K., </w:t>
      </w:r>
      <w:proofErr w:type="spellStart"/>
      <w:r w:rsidRPr="00AA3229">
        <w:rPr>
          <w:color w:val="000000"/>
          <w:sz w:val="24"/>
          <w:szCs w:val="24"/>
        </w:rPr>
        <w:t>Despax</w:t>
      </w:r>
      <w:proofErr w:type="spellEnd"/>
      <w:r w:rsidRPr="00AA3229">
        <w:rPr>
          <w:color w:val="000000"/>
          <w:sz w:val="24"/>
          <w:szCs w:val="24"/>
        </w:rPr>
        <w:t xml:space="preserve">, B., Bayle, M., </w:t>
      </w:r>
      <w:proofErr w:type="spellStart"/>
      <w:r w:rsidRPr="00AA3229">
        <w:rPr>
          <w:color w:val="000000"/>
          <w:sz w:val="24"/>
          <w:szCs w:val="24"/>
        </w:rPr>
        <w:t>Carles</w:t>
      </w:r>
      <w:proofErr w:type="spellEnd"/>
      <w:r w:rsidRPr="00AA3229">
        <w:rPr>
          <w:color w:val="000000"/>
          <w:sz w:val="24"/>
          <w:szCs w:val="24"/>
        </w:rPr>
        <w:t xml:space="preserve">, R., Benzo, P., </w:t>
      </w:r>
      <w:proofErr w:type="spellStart"/>
      <w:r w:rsidRPr="00AA3229">
        <w:rPr>
          <w:color w:val="000000"/>
          <w:sz w:val="24"/>
          <w:szCs w:val="24"/>
        </w:rPr>
        <w:t>BenAssayag</w:t>
      </w:r>
      <w:proofErr w:type="spellEnd"/>
      <w:r w:rsidRPr="00AA3229">
        <w:rPr>
          <w:color w:val="000000"/>
          <w:sz w:val="24"/>
          <w:szCs w:val="24"/>
        </w:rPr>
        <w:t xml:space="preserve">, G., </w:t>
      </w:r>
      <w:proofErr w:type="spellStart"/>
      <w:r w:rsidRPr="00AA3229">
        <w:rPr>
          <w:color w:val="000000"/>
          <w:sz w:val="24"/>
          <w:szCs w:val="24"/>
        </w:rPr>
        <w:t>Pécassou</w:t>
      </w:r>
      <w:proofErr w:type="spellEnd"/>
      <w:r w:rsidRPr="00AA3229">
        <w:rPr>
          <w:color w:val="000000"/>
          <w:sz w:val="24"/>
          <w:szCs w:val="24"/>
        </w:rPr>
        <w:t xml:space="preserve">, B., Sancho, M. C., &amp; Navarro, E. (2016). Assessing bio-available silver released from silver nanoparticles embedded in silica layers using the green algae </w:t>
      </w:r>
      <w:r w:rsidRPr="00AA3229">
        <w:rPr>
          <w:color w:val="000000"/>
          <w:sz w:val="24"/>
          <w:szCs w:val="24"/>
        </w:rPr>
        <w:t xml:space="preserve">Chlamydomonas </w:t>
      </w:r>
      <w:proofErr w:type="spellStart"/>
      <w:r w:rsidRPr="00AA3229">
        <w:rPr>
          <w:color w:val="000000"/>
          <w:sz w:val="24"/>
          <w:szCs w:val="24"/>
        </w:rPr>
        <w:t>reinhardtii</w:t>
      </w:r>
      <w:proofErr w:type="spellEnd"/>
      <w:r w:rsidRPr="00AA3229">
        <w:rPr>
          <w:color w:val="000000"/>
          <w:sz w:val="24"/>
          <w:szCs w:val="24"/>
        </w:rPr>
        <w:t xml:space="preserve"> as bio-sensors. Science of the Total Environment, 565, 863–871. </w:t>
      </w:r>
      <w:hyperlink r:id="rId73">
        <w:r w:rsidR="00625E61" w:rsidRPr="00AA3229">
          <w:rPr>
            <w:color w:val="0000FF"/>
            <w:sz w:val="24"/>
            <w:szCs w:val="24"/>
            <w:u w:val="single"/>
          </w:rPr>
          <w:t>https://doi.org/10.1016/j.scitotenv.2016.02.141</w:t>
        </w:r>
      </w:hyperlink>
      <w:r w:rsidRPr="00AA3229">
        <w:rPr>
          <w:color w:val="000000"/>
          <w:sz w:val="24"/>
          <w:szCs w:val="24"/>
        </w:rPr>
        <w:t xml:space="preserve"> </w:t>
      </w:r>
    </w:p>
    <w:p w14:paraId="10CD05C3" w14:textId="77777777" w:rsidR="00625E61" w:rsidRPr="00AA3229" w:rsidRDefault="005C4DDE" w:rsidP="00AA3229">
      <w:pPr>
        <w:pStyle w:val="ListParagraph"/>
        <w:numPr>
          <w:ilvl w:val="0"/>
          <w:numId w:val="2"/>
        </w:numPr>
        <w:tabs>
          <w:tab w:val="left" w:pos="9356"/>
        </w:tabs>
        <w:spacing w:before="25"/>
        <w:ind w:right="854"/>
        <w:jc w:val="both"/>
        <w:rPr>
          <w:sz w:val="24"/>
          <w:szCs w:val="24"/>
        </w:rPr>
      </w:pPr>
      <w:proofErr w:type="spellStart"/>
      <w:r w:rsidRPr="00AA3229">
        <w:rPr>
          <w:color w:val="000000"/>
          <w:sz w:val="24"/>
          <w:szCs w:val="24"/>
        </w:rPr>
        <w:t>Pulit-Prociak</w:t>
      </w:r>
      <w:proofErr w:type="spellEnd"/>
      <w:r w:rsidRPr="00AA3229">
        <w:rPr>
          <w:color w:val="000000"/>
          <w:sz w:val="24"/>
          <w:szCs w:val="24"/>
        </w:rPr>
        <w:t xml:space="preserve">, J., </w:t>
      </w:r>
      <w:proofErr w:type="spellStart"/>
      <w:r w:rsidRPr="00AA3229">
        <w:rPr>
          <w:color w:val="000000"/>
          <w:sz w:val="24"/>
          <w:szCs w:val="24"/>
        </w:rPr>
        <w:t>Stokłosa</w:t>
      </w:r>
      <w:proofErr w:type="spellEnd"/>
      <w:r w:rsidRPr="00AA3229">
        <w:rPr>
          <w:color w:val="000000"/>
          <w:sz w:val="24"/>
          <w:szCs w:val="24"/>
        </w:rPr>
        <w:t xml:space="preserve">, K., &amp; Banach, M. (2015). </w:t>
      </w:r>
      <w:proofErr w:type="spellStart"/>
      <w:r w:rsidRPr="00AA3229">
        <w:rPr>
          <w:color w:val="000000"/>
          <w:sz w:val="24"/>
          <w:szCs w:val="24"/>
        </w:rPr>
        <w:t>Nanosilver</w:t>
      </w:r>
      <w:proofErr w:type="spellEnd"/>
      <w:r w:rsidRPr="00AA3229">
        <w:rPr>
          <w:color w:val="000000"/>
          <w:sz w:val="24"/>
          <w:szCs w:val="24"/>
        </w:rPr>
        <w:t xml:space="preserve"> products and toxicity. Environmental Chemistry Letters, 13(1), 59–68. </w:t>
      </w:r>
      <w:hyperlink r:id="rId74">
        <w:r w:rsidR="00625E61" w:rsidRPr="00AA3229">
          <w:rPr>
            <w:color w:val="0000FF"/>
            <w:sz w:val="24"/>
            <w:szCs w:val="24"/>
            <w:u w:val="single"/>
          </w:rPr>
          <w:t>https://doi.org/10.1007/s10311-014-0490-2</w:t>
        </w:r>
      </w:hyperlink>
      <w:r w:rsidRPr="00AA3229">
        <w:rPr>
          <w:color w:val="000000"/>
          <w:sz w:val="24"/>
          <w:szCs w:val="24"/>
        </w:rPr>
        <w:t xml:space="preserve"> </w:t>
      </w:r>
    </w:p>
    <w:p w14:paraId="2462C14A" w14:textId="77777777" w:rsidR="00625E61" w:rsidRDefault="00625E61" w:rsidP="00B778B8">
      <w:pPr>
        <w:tabs>
          <w:tab w:val="left" w:pos="9356"/>
        </w:tabs>
        <w:spacing w:before="25"/>
        <w:ind w:left="165" w:right="854"/>
        <w:jc w:val="both"/>
        <w:rPr>
          <w:sz w:val="24"/>
          <w:szCs w:val="24"/>
        </w:rPr>
      </w:pPr>
    </w:p>
    <w:p w14:paraId="7B9DF73D" w14:textId="77777777" w:rsidR="00625E61" w:rsidRPr="00AA3229" w:rsidRDefault="005C4DDE" w:rsidP="00AA3229">
      <w:pPr>
        <w:pStyle w:val="ListParagraph"/>
        <w:numPr>
          <w:ilvl w:val="0"/>
          <w:numId w:val="2"/>
        </w:numPr>
        <w:tabs>
          <w:tab w:val="left" w:pos="9356"/>
        </w:tabs>
        <w:spacing w:before="25"/>
        <w:ind w:right="854"/>
        <w:jc w:val="both"/>
        <w:rPr>
          <w:sz w:val="24"/>
          <w:szCs w:val="24"/>
        </w:rPr>
      </w:pPr>
      <w:r w:rsidRPr="00AA3229">
        <w:rPr>
          <w:sz w:val="24"/>
          <w:szCs w:val="24"/>
        </w:rPr>
        <w:t xml:space="preserve">Rahman, A., </w:t>
      </w:r>
      <w:proofErr w:type="spellStart"/>
      <w:r w:rsidRPr="00AA3229">
        <w:rPr>
          <w:sz w:val="24"/>
          <w:szCs w:val="24"/>
        </w:rPr>
        <w:t>Baha</w:t>
      </w:r>
      <w:r w:rsidRPr="00AA3229">
        <w:rPr>
          <w:sz w:val="24"/>
          <w:szCs w:val="24"/>
        </w:rPr>
        <w:t>rlouei</w:t>
      </w:r>
      <w:proofErr w:type="spellEnd"/>
      <w:r w:rsidRPr="00AA3229">
        <w:rPr>
          <w:sz w:val="24"/>
          <w:szCs w:val="24"/>
        </w:rPr>
        <w:t xml:space="preserve">, P., Koh, E. H. Y., </w:t>
      </w:r>
      <w:proofErr w:type="spellStart"/>
      <w:r w:rsidRPr="00AA3229">
        <w:rPr>
          <w:sz w:val="24"/>
          <w:szCs w:val="24"/>
        </w:rPr>
        <w:t>Pirvu</w:t>
      </w:r>
      <w:proofErr w:type="spellEnd"/>
      <w:r w:rsidRPr="00AA3229">
        <w:rPr>
          <w:sz w:val="24"/>
          <w:szCs w:val="24"/>
        </w:rPr>
        <w:t xml:space="preserve">, D. G., </w:t>
      </w:r>
      <w:proofErr w:type="spellStart"/>
      <w:r w:rsidRPr="00AA3229">
        <w:rPr>
          <w:sz w:val="24"/>
          <w:szCs w:val="24"/>
        </w:rPr>
        <w:t>Rehmani</w:t>
      </w:r>
      <w:proofErr w:type="spellEnd"/>
      <w:r w:rsidRPr="00AA3229">
        <w:rPr>
          <w:sz w:val="24"/>
          <w:szCs w:val="24"/>
        </w:rPr>
        <w:t xml:space="preserve">, R., Arcos, M., &amp; </w:t>
      </w:r>
      <w:proofErr w:type="spellStart"/>
      <w:r w:rsidRPr="00AA3229">
        <w:rPr>
          <w:sz w:val="24"/>
          <w:szCs w:val="24"/>
        </w:rPr>
        <w:t>Puri</w:t>
      </w:r>
      <w:proofErr w:type="spellEnd"/>
      <w:r w:rsidRPr="00AA3229">
        <w:rPr>
          <w:sz w:val="24"/>
          <w:szCs w:val="24"/>
        </w:rPr>
        <w:t xml:space="preserve">, S. (2024). A Comprehensive Analysis of Organic Food: Evaluating Nutritional Value and Impact on Human Health. Foods. </w:t>
      </w:r>
      <w:hyperlink r:id="rId75">
        <w:r w:rsidR="00625E61" w:rsidRPr="00AA3229">
          <w:rPr>
            <w:color w:val="0000FF"/>
            <w:sz w:val="24"/>
            <w:szCs w:val="24"/>
            <w:u w:val="single"/>
          </w:rPr>
          <w:t>https://doi.org/10.3390/foods13020208</w:t>
        </w:r>
      </w:hyperlink>
      <w:r w:rsidRPr="00AA3229">
        <w:rPr>
          <w:sz w:val="24"/>
          <w:szCs w:val="24"/>
        </w:rPr>
        <w:t xml:space="preserve"> </w:t>
      </w:r>
    </w:p>
    <w:p w14:paraId="7622EAAC" w14:textId="77777777" w:rsidR="00625E61" w:rsidRDefault="00625E61" w:rsidP="00B778B8">
      <w:pPr>
        <w:tabs>
          <w:tab w:val="left" w:pos="9356"/>
        </w:tabs>
        <w:spacing w:before="25"/>
        <w:ind w:left="165" w:right="854"/>
        <w:jc w:val="both"/>
        <w:rPr>
          <w:sz w:val="24"/>
          <w:szCs w:val="24"/>
        </w:rPr>
      </w:pPr>
    </w:p>
    <w:p w14:paraId="3491D114" w14:textId="77777777" w:rsidR="00625E61" w:rsidRPr="00AA3229" w:rsidRDefault="005C4DDE" w:rsidP="00AA3229">
      <w:pPr>
        <w:pStyle w:val="ListParagraph"/>
        <w:numPr>
          <w:ilvl w:val="0"/>
          <w:numId w:val="2"/>
        </w:numPr>
        <w:tabs>
          <w:tab w:val="left" w:pos="9356"/>
        </w:tabs>
        <w:spacing w:before="25"/>
        <w:ind w:right="854"/>
        <w:jc w:val="both"/>
        <w:rPr>
          <w:sz w:val="24"/>
          <w:szCs w:val="24"/>
        </w:rPr>
      </w:pPr>
      <w:r w:rsidRPr="00AA3229">
        <w:rPr>
          <w:sz w:val="24"/>
          <w:szCs w:val="24"/>
        </w:rPr>
        <w:t xml:space="preserve">Rashid, M. M., Forte </w:t>
      </w:r>
      <w:proofErr w:type="spellStart"/>
      <w:r w:rsidRPr="00AA3229">
        <w:rPr>
          <w:sz w:val="24"/>
          <w:szCs w:val="24"/>
        </w:rPr>
        <w:t>Tavčer</w:t>
      </w:r>
      <w:proofErr w:type="spellEnd"/>
      <w:r w:rsidRPr="00AA3229">
        <w:rPr>
          <w:sz w:val="24"/>
          <w:szCs w:val="24"/>
        </w:rPr>
        <w:t xml:space="preserve">, P., &amp; </w:t>
      </w:r>
      <w:proofErr w:type="spellStart"/>
      <w:r w:rsidRPr="00AA3229">
        <w:rPr>
          <w:sz w:val="24"/>
          <w:szCs w:val="24"/>
        </w:rPr>
        <w:t>Tomšič</w:t>
      </w:r>
      <w:proofErr w:type="spellEnd"/>
      <w:r w:rsidRPr="00AA3229">
        <w:rPr>
          <w:sz w:val="24"/>
          <w:szCs w:val="24"/>
        </w:rPr>
        <w:t xml:space="preserve">, B. (2021). Influence of Titanium Dioxide </w:t>
      </w:r>
      <w:r w:rsidRPr="00AA3229">
        <w:rPr>
          <w:sz w:val="24"/>
          <w:szCs w:val="24"/>
        </w:rPr>
        <w:lastRenderedPageBreak/>
        <w:t xml:space="preserve">Nanoparticles on Human Health and the Environment. Nanomaterials, 11(9), 2354. </w:t>
      </w:r>
      <w:hyperlink r:id="rId76">
        <w:r w:rsidR="00625E61" w:rsidRPr="00AA3229">
          <w:rPr>
            <w:color w:val="0000FF"/>
            <w:sz w:val="24"/>
            <w:szCs w:val="24"/>
            <w:u w:val="single"/>
          </w:rPr>
          <w:t>https://doi.org/10.3390/nano11092354</w:t>
        </w:r>
      </w:hyperlink>
      <w:r w:rsidRPr="00AA3229">
        <w:rPr>
          <w:sz w:val="24"/>
          <w:szCs w:val="24"/>
        </w:rPr>
        <w:t xml:space="preserve"> </w:t>
      </w:r>
    </w:p>
    <w:p w14:paraId="590ECB3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84" w:line="256" w:lineRule="auto"/>
        <w:ind w:right="854"/>
        <w:jc w:val="both"/>
        <w:rPr>
          <w:color w:val="000000"/>
          <w:sz w:val="24"/>
          <w:szCs w:val="24"/>
        </w:rPr>
      </w:pPr>
      <w:r w:rsidRPr="00AA3229">
        <w:rPr>
          <w:color w:val="000000"/>
          <w:sz w:val="24"/>
          <w:szCs w:val="24"/>
        </w:rPr>
        <w:t xml:space="preserve">Rajendran, S. R. C. K., </w:t>
      </w:r>
      <w:proofErr w:type="spellStart"/>
      <w:r w:rsidRPr="00AA3229">
        <w:rPr>
          <w:color w:val="000000"/>
          <w:sz w:val="24"/>
          <w:szCs w:val="24"/>
        </w:rPr>
        <w:t>Udenigwe</w:t>
      </w:r>
      <w:proofErr w:type="spellEnd"/>
      <w:r w:rsidRPr="00AA3229">
        <w:rPr>
          <w:color w:val="000000"/>
          <w:sz w:val="24"/>
          <w:szCs w:val="24"/>
        </w:rPr>
        <w:t xml:space="preserve">, C. C., &amp; Yada, R. Y. (2016). </w:t>
      </w:r>
      <w:proofErr w:type="spellStart"/>
      <w:r w:rsidRPr="00AA3229">
        <w:rPr>
          <w:color w:val="000000"/>
          <w:sz w:val="24"/>
          <w:szCs w:val="24"/>
        </w:rPr>
        <w:t>Nanochemistry</w:t>
      </w:r>
      <w:proofErr w:type="spellEnd"/>
      <w:r w:rsidRPr="00AA3229">
        <w:rPr>
          <w:color w:val="000000"/>
          <w:sz w:val="24"/>
          <w:szCs w:val="24"/>
        </w:rPr>
        <w:t xml:space="preserve"> of Protein-Based Delivery Agents. Frontiers in Chemistry, 4, 31. </w:t>
      </w:r>
      <w:hyperlink r:id="rId77">
        <w:r w:rsidR="00625E61" w:rsidRPr="00AA3229">
          <w:rPr>
            <w:color w:val="0000FF"/>
            <w:sz w:val="24"/>
            <w:szCs w:val="24"/>
            <w:u w:val="single"/>
          </w:rPr>
          <w:t>https://doi.org/10.3389/fchem.2016.00031</w:t>
        </w:r>
      </w:hyperlink>
      <w:r w:rsidRPr="00AA3229">
        <w:rPr>
          <w:color w:val="000000"/>
          <w:sz w:val="24"/>
          <w:szCs w:val="24"/>
        </w:rPr>
        <w:t xml:space="preserve"> </w:t>
      </w:r>
    </w:p>
    <w:p w14:paraId="279642B0"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proofErr w:type="spellStart"/>
      <w:r w:rsidRPr="00AA3229">
        <w:rPr>
          <w:color w:val="000000"/>
          <w:sz w:val="24"/>
          <w:szCs w:val="24"/>
        </w:rPr>
        <w:t>Raspopov</w:t>
      </w:r>
      <w:proofErr w:type="spellEnd"/>
      <w:r w:rsidRPr="00AA3229">
        <w:rPr>
          <w:color w:val="000000"/>
          <w:sz w:val="24"/>
          <w:szCs w:val="24"/>
        </w:rPr>
        <w:t xml:space="preserve">, R. V., </w:t>
      </w:r>
      <w:proofErr w:type="spellStart"/>
      <w:r w:rsidRPr="00AA3229">
        <w:rPr>
          <w:color w:val="000000"/>
          <w:sz w:val="24"/>
          <w:szCs w:val="24"/>
        </w:rPr>
        <w:t>Trushina</w:t>
      </w:r>
      <w:proofErr w:type="spellEnd"/>
      <w:r w:rsidRPr="00AA3229">
        <w:rPr>
          <w:color w:val="000000"/>
          <w:sz w:val="24"/>
          <w:szCs w:val="24"/>
        </w:rPr>
        <w:t xml:space="preserve">, E. N., </w:t>
      </w:r>
      <w:proofErr w:type="spellStart"/>
      <w:r w:rsidRPr="00AA3229">
        <w:rPr>
          <w:color w:val="000000"/>
          <w:sz w:val="24"/>
          <w:szCs w:val="24"/>
        </w:rPr>
        <w:t>Gmoshinskiĭ</w:t>
      </w:r>
      <w:proofErr w:type="spellEnd"/>
      <w:r w:rsidRPr="00AA3229">
        <w:rPr>
          <w:color w:val="000000"/>
          <w:sz w:val="24"/>
          <w:szCs w:val="24"/>
        </w:rPr>
        <w:t xml:space="preserve">, I. V., &amp; </w:t>
      </w:r>
      <w:proofErr w:type="spellStart"/>
      <w:r w:rsidRPr="00AA3229">
        <w:rPr>
          <w:color w:val="000000"/>
          <w:sz w:val="24"/>
          <w:szCs w:val="24"/>
        </w:rPr>
        <w:t>Khotimchenko</w:t>
      </w:r>
      <w:proofErr w:type="spellEnd"/>
      <w:r w:rsidRPr="00AA3229">
        <w:rPr>
          <w:color w:val="000000"/>
          <w:sz w:val="24"/>
          <w:szCs w:val="24"/>
        </w:rPr>
        <w:t xml:space="preserve">, S. A. (2011). Bioavailability of nanoparticles of ferric oxide when used in nutrition. Experimental results in rats. </w:t>
      </w:r>
      <w:proofErr w:type="spellStart"/>
      <w:r w:rsidRPr="00AA3229">
        <w:rPr>
          <w:color w:val="000000"/>
          <w:sz w:val="24"/>
          <w:szCs w:val="24"/>
        </w:rPr>
        <w:t>Voprosy</w:t>
      </w:r>
      <w:proofErr w:type="spellEnd"/>
      <w:r w:rsidRPr="00AA3229">
        <w:rPr>
          <w:color w:val="000000"/>
          <w:sz w:val="24"/>
          <w:szCs w:val="24"/>
        </w:rPr>
        <w:t xml:space="preserve"> </w:t>
      </w:r>
      <w:proofErr w:type="spellStart"/>
      <w:r w:rsidRPr="00AA3229">
        <w:rPr>
          <w:color w:val="000000"/>
          <w:sz w:val="24"/>
          <w:szCs w:val="24"/>
        </w:rPr>
        <w:t>Pitaniia</w:t>
      </w:r>
      <w:proofErr w:type="spellEnd"/>
      <w:r w:rsidRPr="00AA3229">
        <w:rPr>
          <w:color w:val="000000"/>
          <w:sz w:val="24"/>
          <w:szCs w:val="24"/>
        </w:rPr>
        <w:t xml:space="preserve">, 80(3), 25–30. </w:t>
      </w:r>
      <w:hyperlink r:id="rId78">
        <w:r w:rsidR="00625E61" w:rsidRPr="00AA3229">
          <w:rPr>
            <w:color w:val="0000FF"/>
            <w:sz w:val="24"/>
            <w:szCs w:val="24"/>
            <w:u w:val="single"/>
          </w:rPr>
          <w:t>https://pubmed.ncbi.nlm.nih.gov/21842750/</w:t>
        </w:r>
      </w:hyperlink>
      <w:r w:rsidRPr="00AA3229">
        <w:rPr>
          <w:color w:val="000000"/>
          <w:sz w:val="24"/>
          <w:szCs w:val="24"/>
        </w:rPr>
        <w:t xml:space="preserve"> </w:t>
      </w:r>
    </w:p>
    <w:p w14:paraId="56E35A4C" w14:textId="77777777" w:rsidR="00BC6525" w:rsidRDefault="00BC6525"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44F094CF" w14:textId="679B918B" w:rsidR="00BC6525" w:rsidRPr="00AA3229" w:rsidRDefault="00BC6525"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Rauscher, H., Kobe, A., </w:t>
      </w:r>
      <w:proofErr w:type="spellStart"/>
      <w:r w:rsidRPr="00AA3229">
        <w:rPr>
          <w:color w:val="000000"/>
          <w:sz w:val="24"/>
          <w:szCs w:val="24"/>
        </w:rPr>
        <w:t>Kestens</w:t>
      </w:r>
      <w:proofErr w:type="spellEnd"/>
      <w:r w:rsidRPr="00AA3229">
        <w:rPr>
          <w:color w:val="000000"/>
          <w:sz w:val="24"/>
          <w:szCs w:val="24"/>
        </w:rPr>
        <w:t xml:space="preserve">, V., Rasmussen, K. (2023). Is it a nanomaterial in the EU? Three essentials to work it out. Nano Today, 49: 101780, </w:t>
      </w:r>
      <w:hyperlink r:id="rId79" w:history="1">
        <w:r w:rsidRPr="00AA3229">
          <w:rPr>
            <w:rStyle w:val="Hyperlink"/>
            <w:sz w:val="24"/>
            <w:szCs w:val="24"/>
          </w:rPr>
          <w:t>https://doi.org/10.1016/j.nantod.2023.101780</w:t>
        </w:r>
      </w:hyperlink>
    </w:p>
    <w:p w14:paraId="66CB52CA" w14:textId="77777777" w:rsidR="00BC6525" w:rsidRDefault="00BC6525"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4A8927A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Rezaei, A., </w:t>
      </w:r>
      <w:proofErr w:type="spellStart"/>
      <w:r w:rsidRPr="00AA3229">
        <w:rPr>
          <w:color w:val="000000"/>
          <w:sz w:val="24"/>
          <w:szCs w:val="24"/>
        </w:rPr>
        <w:t>Daeihamed</w:t>
      </w:r>
      <w:proofErr w:type="spellEnd"/>
      <w:r w:rsidRPr="00AA3229">
        <w:rPr>
          <w:color w:val="000000"/>
          <w:sz w:val="24"/>
          <w:szCs w:val="24"/>
        </w:rPr>
        <w:t xml:space="preserve">, M., </w:t>
      </w:r>
      <w:proofErr w:type="spellStart"/>
      <w:r w:rsidRPr="00AA3229">
        <w:rPr>
          <w:color w:val="000000"/>
          <w:sz w:val="24"/>
          <w:szCs w:val="24"/>
        </w:rPr>
        <w:t>Capanoglu</w:t>
      </w:r>
      <w:proofErr w:type="spellEnd"/>
      <w:r w:rsidRPr="00AA3229">
        <w:rPr>
          <w:color w:val="000000"/>
          <w:sz w:val="24"/>
          <w:szCs w:val="24"/>
        </w:rPr>
        <w:t>, E., Tomas, M., Akbari-</w:t>
      </w:r>
      <w:proofErr w:type="spellStart"/>
      <w:r w:rsidRPr="00AA3229">
        <w:rPr>
          <w:color w:val="000000"/>
          <w:sz w:val="24"/>
          <w:szCs w:val="24"/>
        </w:rPr>
        <w:t>Alavijeh</w:t>
      </w:r>
      <w:proofErr w:type="spellEnd"/>
      <w:r w:rsidRPr="00AA3229">
        <w:rPr>
          <w:color w:val="000000"/>
          <w:sz w:val="24"/>
          <w:szCs w:val="24"/>
        </w:rPr>
        <w:t xml:space="preserve">, S., </w:t>
      </w:r>
      <w:proofErr w:type="spellStart"/>
      <w:r w:rsidRPr="00AA3229">
        <w:rPr>
          <w:color w:val="000000"/>
          <w:sz w:val="24"/>
          <w:szCs w:val="24"/>
        </w:rPr>
        <w:t>Shaddel</w:t>
      </w:r>
      <w:proofErr w:type="spellEnd"/>
      <w:r w:rsidRPr="00AA3229">
        <w:rPr>
          <w:color w:val="000000"/>
          <w:sz w:val="24"/>
          <w:szCs w:val="24"/>
        </w:rPr>
        <w:t xml:space="preserve">, R., </w:t>
      </w:r>
      <w:proofErr w:type="spellStart"/>
      <w:r w:rsidRPr="00AA3229">
        <w:rPr>
          <w:color w:val="000000"/>
          <w:sz w:val="24"/>
          <w:szCs w:val="24"/>
        </w:rPr>
        <w:t>Khoshnoudi</w:t>
      </w:r>
      <w:proofErr w:type="spellEnd"/>
      <w:r w:rsidRPr="00AA3229">
        <w:rPr>
          <w:color w:val="000000"/>
          <w:sz w:val="24"/>
          <w:szCs w:val="24"/>
        </w:rPr>
        <w:t xml:space="preserve">-Nia, S., </w:t>
      </w:r>
      <w:proofErr w:type="spellStart"/>
      <w:r w:rsidRPr="00AA3229">
        <w:rPr>
          <w:color w:val="000000"/>
          <w:sz w:val="24"/>
          <w:szCs w:val="24"/>
        </w:rPr>
        <w:t>Boostani</w:t>
      </w:r>
      <w:proofErr w:type="spellEnd"/>
      <w:r w:rsidRPr="00AA3229">
        <w:rPr>
          <w:color w:val="000000"/>
          <w:sz w:val="24"/>
          <w:szCs w:val="24"/>
        </w:rPr>
        <w:t xml:space="preserve">, S., </w:t>
      </w:r>
      <w:proofErr w:type="spellStart"/>
      <w:r w:rsidRPr="00AA3229">
        <w:rPr>
          <w:color w:val="000000"/>
          <w:sz w:val="24"/>
          <w:szCs w:val="24"/>
        </w:rPr>
        <w:t>Rostamabadi</w:t>
      </w:r>
      <w:proofErr w:type="spellEnd"/>
      <w:r w:rsidRPr="00AA3229">
        <w:rPr>
          <w:color w:val="000000"/>
          <w:sz w:val="24"/>
          <w:szCs w:val="24"/>
        </w:rPr>
        <w:t xml:space="preserve">, H., </w:t>
      </w:r>
      <w:proofErr w:type="spellStart"/>
      <w:r w:rsidRPr="00AA3229">
        <w:rPr>
          <w:color w:val="000000"/>
          <w:sz w:val="24"/>
          <w:szCs w:val="24"/>
        </w:rPr>
        <w:t>Falsafi</w:t>
      </w:r>
      <w:proofErr w:type="spellEnd"/>
      <w:r w:rsidRPr="00AA3229">
        <w:rPr>
          <w:color w:val="000000"/>
          <w:sz w:val="24"/>
          <w:szCs w:val="24"/>
        </w:rPr>
        <w:t xml:space="preserve">, S. R., </w:t>
      </w:r>
      <w:r w:rsidRPr="00AA3229">
        <w:rPr>
          <w:color w:val="000000"/>
          <w:sz w:val="24"/>
          <w:szCs w:val="24"/>
        </w:rPr>
        <w:t xml:space="preserve">&amp; Jafari, S. M. (2021). Possible health risks associated with nanostructures in food. In *Safety and Regulatory Issues of Nano-Encapsulated Food Ingredients* (Chapter 2). Elsevier Inc. </w:t>
      </w:r>
      <w:hyperlink r:id="rId80">
        <w:r w:rsidR="00625E61" w:rsidRPr="00AA3229">
          <w:rPr>
            <w:color w:val="0000FF"/>
            <w:sz w:val="24"/>
            <w:szCs w:val="24"/>
            <w:u w:val="single"/>
          </w:rPr>
          <w:t>https://doi.org/10.1016/B978-0-12-815725-1.00002-1</w:t>
        </w:r>
      </w:hyperlink>
      <w:r w:rsidRPr="00AA3229">
        <w:rPr>
          <w:color w:val="000000"/>
          <w:sz w:val="24"/>
          <w:szCs w:val="24"/>
        </w:rPr>
        <w:t xml:space="preserve">   </w:t>
      </w:r>
    </w:p>
    <w:p w14:paraId="0AC27FEB" w14:textId="77777777" w:rsidR="00625E61" w:rsidRDefault="00625E61"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62B21CD5"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Romano, R. C., </w:t>
      </w:r>
      <w:proofErr w:type="spellStart"/>
      <w:r w:rsidRPr="00AA3229">
        <w:rPr>
          <w:color w:val="000000"/>
          <w:sz w:val="24"/>
          <w:szCs w:val="24"/>
        </w:rPr>
        <w:t>Restuccia</w:t>
      </w:r>
      <w:proofErr w:type="spellEnd"/>
      <w:r w:rsidRPr="00AA3229">
        <w:rPr>
          <w:color w:val="000000"/>
          <w:sz w:val="24"/>
          <w:szCs w:val="24"/>
        </w:rPr>
        <w:t xml:space="preserve">, C., </w:t>
      </w:r>
      <w:proofErr w:type="spellStart"/>
      <w:r w:rsidRPr="00AA3229">
        <w:rPr>
          <w:color w:val="000000"/>
          <w:sz w:val="24"/>
          <w:szCs w:val="24"/>
        </w:rPr>
        <w:t>Rutigliano</w:t>
      </w:r>
      <w:proofErr w:type="spellEnd"/>
      <w:r w:rsidRPr="00AA3229">
        <w:rPr>
          <w:color w:val="000000"/>
          <w:sz w:val="24"/>
          <w:szCs w:val="24"/>
        </w:rPr>
        <w:t xml:space="preserve">, C. A. C., </w:t>
      </w:r>
      <w:proofErr w:type="spellStart"/>
      <w:r w:rsidRPr="00AA3229">
        <w:rPr>
          <w:color w:val="000000"/>
          <w:sz w:val="24"/>
          <w:szCs w:val="24"/>
        </w:rPr>
        <w:t>Spartà</w:t>
      </w:r>
      <w:proofErr w:type="spellEnd"/>
      <w:r w:rsidRPr="00AA3229">
        <w:rPr>
          <w:color w:val="000000"/>
          <w:sz w:val="24"/>
          <w:szCs w:val="24"/>
        </w:rPr>
        <w:t xml:space="preserve">, S., </w:t>
      </w:r>
      <w:proofErr w:type="spellStart"/>
      <w:r w:rsidRPr="00AA3229">
        <w:rPr>
          <w:color w:val="000000"/>
          <w:sz w:val="24"/>
          <w:szCs w:val="24"/>
        </w:rPr>
        <w:t>Parafati</w:t>
      </w:r>
      <w:proofErr w:type="spellEnd"/>
      <w:r w:rsidRPr="00AA3229">
        <w:rPr>
          <w:color w:val="000000"/>
          <w:sz w:val="24"/>
          <w:szCs w:val="24"/>
        </w:rPr>
        <w:t xml:space="preserve">, L., </w:t>
      </w:r>
      <w:proofErr w:type="spellStart"/>
      <w:r w:rsidRPr="00AA3229">
        <w:rPr>
          <w:color w:val="000000"/>
          <w:sz w:val="24"/>
          <w:szCs w:val="24"/>
        </w:rPr>
        <w:t>Barbagallo</w:t>
      </w:r>
      <w:proofErr w:type="spellEnd"/>
      <w:r w:rsidRPr="00AA3229">
        <w:rPr>
          <w:color w:val="000000"/>
          <w:sz w:val="24"/>
          <w:szCs w:val="24"/>
        </w:rPr>
        <w:t xml:space="preserve">, R. N., &amp; </w:t>
      </w:r>
      <w:proofErr w:type="spellStart"/>
      <w:r w:rsidRPr="00AA3229">
        <w:rPr>
          <w:color w:val="000000"/>
          <w:sz w:val="24"/>
          <w:szCs w:val="24"/>
        </w:rPr>
        <w:t>Muratore</w:t>
      </w:r>
      <w:proofErr w:type="spellEnd"/>
      <w:r w:rsidRPr="00AA3229">
        <w:rPr>
          <w:color w:val="000000"/>
          <w:sz w:val="24"/>
          <w:szCs w:val="24"/>
        </w:rPr>
        <w:t>, G. (2024). Effect of UV-C Treatment on Shelf Life of Soft Wheat Bread (Bun). *Foods*, *13*(6)</w:t>
      </w:r>
      <w:r w:rsidRPr="00AA3229">
        <w:rPr>
          <w:color w:val="000000"/>
          <w:sz w:val="24"/>
          <w:szCs w:val="24"/>
        </w:rPr>
        <w:t xml:space="preserve">, 949. </w:t>
      </w:r>
      <w:hyperlink r:id="rId81">
        <w:r w:rsidR="00625E61" w:rsidRPr="00AA3229">
          <w:rPr>
            <w:color w:val="0000FF"/>
            <w:sz w:val="24"/>
            <w:szCs w:val="24"/>
            <w:u w:val="single"/>
          </w:rPr>
          <w:t>https://doi.org/10.3390/foods13060949</w:t>
        </w:r>
      </w:hyperlink>
      <w:r w:rsidRPr="00AA3229">
        <w:rPr>
          <w:color w:val="000000"/>
          <w:sz w:val="24"/>
          <w:szCs w:val="24"/>
        </w:rPr>
        <w:t xml:space="preserve"> </w:t>
      </w:r>
    </w:p>
    <w:p w14:paraId="6608F5A3" w14:textId="77777777" w:rsidR="00625E61" w:rsidRDefault="00625E61"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00C45B64"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proofErr w:type="spellStart"/>
      <w:r w:rsidRPr="00AA3229">
        <w:rPr>
          <w:color w:val="000000"/>
          <w:sz w:val="24"/>
          <w:szCs w:val="24"/>
        </w:rPr>
        <w:t>Salehirozveh</w:t>
      </w:r>
      <w:proofErr w:type="spellEnd"/>
      <w:r w:rsidRPr="00AA3229">
        <w:rPr>
          <w:color w:val="000000"/>
          <w:sz w:val="24"/>
          <w:szCs w:val="24"/>
        </w:rPr>
        <w:t xml:space="preserve">, M., </w:t>
      </w:r>
      <w:proofErr w:type="spellStart"/>
      <w:r w:rsidRPr="00AA3229">
        <w:rPr>
          <w:color w:val="000000"/>
          <w:sz w:val="24"/>
          <w:szCs w:val="24"/>
        </w:rPr>
        <w:t>Dehghani</w:t>
      </w:r>
      <w:proofErr w:type="spellEnd"/>
      <w:r w:rsidRPr="00AA3229">
        <w:rPr>
          <w:color w:val="000000"/>
          <w:sz w:val="24"/>
          <w:szCs w:val="24"/>
        </w:rPr>
        <w:t xml:space="preserve">, P., &amp; </w:t>
      </w:r>
      <w:proofErr w:type="spellStart"/>
      <w:r w:rsidRPr="00AA3229">
        <w:rPr>
          <w:color w:val="000000"/>
          <w:sz w:val="24"/>
          <w:szCs w:val="24"/>
        </w:rPr>
        <w:t>Mijakovic</w:t>
      </w:r>
      <w:proofErr w:type="spellEnd"/>
      <w:r w:rsidRPr="00AA3229">
        <w:rPr>
          <w:color w:val="000000"/>
          <w:sz w:val="24"/>
          <w:szCs w:val="24"/>
        </w:rPr>
        <w:t>, I. (2024). Synthesis, Functionalization, and Biomedical Applications of Iron Oxide Nanoparticles (IONPs). J</w:t>
      </w:r>
      <w:r w:rsidRPr="00AA3229">
        <w:rPr>
          <w:color w:val="000000"/>
          <w:sz w:val="24"/>
          <w:szCs w:val="24"/>
        </w:rPr>
        <w:t xml:space="preserve">ournal of Functional Biomaterials, 15(11), 340. </w:t>
      </w:r>
      <w:hyperlink r:id="rId82">
        <w:r w:rsidR="00625E61" w:rsidRPr="00AA3229">
          <w:rPr>
            <w:color w:val="0000FF"/>
            <w:sz w:val="24"/>
            <w:szCs w:val="24"/>
            <w:u w:val="single"/>
          </w:rPr>
          <w:t>https://doi.org/10.3390/jfb15110340</w:t>
        </w:r>
      </w:hyperlink>
      <w:r w:rsidRPr="00AA3229">
        <w:rPr>
          <w:color w:val="000000"/>
          <w:sz w:val="24"/>
          <w:szCs w:val="24"/>
        </w:rPr>
        <w:t xml:space="preserve"> </w:t>
      </w:r>
    </w:p>
    <w:p w14:paraId="07F2B165" w14:textId="77777777" w:rsidR="00625E61" w:rsidRDefault="00625E61"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048C2DAA"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Serov, D. A., </w:t>
      </w:r>
      <w:proofErr w:type="spellStart"/>
      <w:r w:rsidRPr="00AA3229">
        <w:rPr>
          <w:color w:val="000000"/>
          <w:sz w:val="24"/>
          <w:szCs w:val="24"/>
        </w:rPr>
        <w:t>Gritsaeva</w:t>
      </w:r>
      <w:proofErr w:type="spellEnd"/>
      <w:r w:rsidRPr="00AA3229">
        <w:rPr>
          <w:color w:val="000000"/>
          <w:sz w:val="24"/>
          <w:szCs w:val="24"/>
        </w:rPr>
        <w:t xml:space="preserve">, A. V., </w:t>
      </w:r>
      <w:proofErr w:type="spellStart"/>
      <w:r w:rsidRPr="00AA3229">
        <w:rPr>
          <w:color w:val="000000"/>
          <w:sz w:val="24"/>
          <w:szCs w:val="24"/>
        </w:rPr>
        <w:t>Yanbaev</w:t>
      </w:r>
      <w:proofErr w:type="spellEnd"/>
      <w:r w:rsidRPr="00AA3229">
        <w:rPr>
          <w:color w:val="000000"/>
          <w:sz w:val="24"/>
          <w:szCs w:val="24"/>
        </w:rPr>
        <w:t xml:space="preserve">, F. M., </w:t>
      </w:r>
      <w:proofErr w:type="spellStart"/>
      <w:r w:rsidRPr="00AA3229">
        <w:rPr>
          <w:color w:val="000000"/>
          <w:sz w:val="24"/>
          <w:szCs w:val="24"/>
        </w:rPr>
        <w:t>Simakin</w:t>
      </w:r>
      <w:proofErr w:type="spellEnd"/>
      <w:r w:rsidRPr="00AA3229">
        <w:rPr>
          <w:color w:val="000000"/>
          <w:sz w:val="24"/>
          <w:szCs w:val="24"/>
        </w:rPr>
        <w:t xml:space="preserve">, A. V., &amp; Gudkov, S. V. (2024). Review of Antimicrobial Properties of Titanium Dioxide Nanoparticles. International Journal of Molecular Sciences, 25(19), 10519. </w:t>
      </w:r>
      <w:hyperlink r:id="rId83">
        <w:r w:rsidR="00625E61" w:rsidRPr="00AA3229">
          <w:rPr>
            <w:color w:val="0000FF"/>
            <w:sz w:val="24"/>
            <w:szCs w:val="24"/>
            <w:u w:val="single"/>
          </w:rPr>
          <w:t>https://doi.org/10.3390/ijms251910519</w:t>
        </w:r>
      </w:hyperlink>
      <w:r w:rsidRPr="00AA3229">
        <w:rPr>
          <w:color w:val="000000"/>
          <w:sz w:val="24"/>
          <w:szCs w:val="24"/>
        </w:rPr>
        <w:t xml:space="preserve"> </w:t>
      </w:r>
    </w:p>
    <w:p w14:paraId="10C073B1" w14:textId="77777777" w:rsidR="00625E61" w:rsidRDefault="00625E61"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42230D7A"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Shafiq, M., Anjum, S., </w:t>
      </w:r>
      <w:proofErr w:type="spellStart"/>
      <w:r w:rsidRPr="00AA3229">
        <w:rPr>
          <w:color w:val="000000"/>
          <w:sz w:val="24"/>
          <w:szCs w:val="24"/>
        </w:rPr>
        <w:t>Hano</w:t>
      </w:r>
      <w:proofErr w:type="spellEnd"/>
      <w:r w:rsidRPr="00AA3229">
        <w:rPr>
          <w:color w:val="000000"/>
          <w:sz w:val="24"/>
          <w:szCs w:val="24"/>
        </w:rPr>
        <w:t xml:space="preserve">, C., Anjum, I., &amp; Abbasi, B. H. (2020). An Overview of the Applications of Nanomaterials and Nanodevices in the Food Industry. Foods, 9(2), 148. </w:t>
      </w:r>
      <w:hyperlink r:id="rId84">
        <w:r w:rsidR="00625E61" w:rsidRPr="00AA3229">
          <w:rPr>
            <w:color w:val="0000FF"/>
            <w:sz w:val="24"/>
            <w:szCs w:val="24"/>
            <w:u w:val="single"/>
          </w:rPr>
          <w:t>https://doi.org/10.3390/foods9020148</w:t>
        </w:r>
      </w:hyperlink>
      <w:r w:rsidRPr="00AA3229">
        <w:rPr>
          <w:color w:val="000000"/>
          <w:sz w:val="24"/>
          <w:szCs w:val="24"/>
        </w:rPr>
        <w:t xml:space="preserve"> </w:t>
      </w:r>
    </w:p>
    <w:p w14:paraId="55C8DE0B" w14:textId="77777777" w:rsidR="00625E61" w:rsidRDefault="00625E61" w:rsidP="00B778B8">
      <w:pPr>
        <w:pBdr>
          <w:top w:val="nil"/>
          <w:left w:val="nil"/>
          <w:bottom w:val="nil"/>
          <w:right w:val="nil"/>
          <w:between w:val="nil"/>
        </w:pBdr>
        <w:tabs>
          <w:tab w:val="left" w:pos="9356"/>
        </w:tabs>
        <w:spacing w:before="19" w:line="261" w:lineRule="auto"/>
        <w:ind w:left="165" w:right="854"/>
        <w:jc w:val="both"/>
        <w:rPr>
          <w:color w:val="000000"/>
          <w:sz w:val="24"/>
          <w:szCs w:val="24"/>
        </w:rPr>
      </w:pPr>
    </w:p>
    <w:p w14:paraId="15FB308E"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9" w:line="261" w:lineRule="auto"/>
        <w:ind w:right="854"/>
        <w:jc w:val="both"/>
        <w:rPr>
          <w:color w:val="000000"/>
          <w:sz w:val="24"/>
          <w:szCs w:val="24"/>
        </w:rPr>
      </w:pPr>
      <w:r w:rsidRPr="00AA3229">
        <w:rPr>
          <w:color w:val="000000"/>
          <w:sz w:val="24"/>
          <w:szCs w:val="24"/>
        </w:rPr>
        <w:t xml:space="preserve">Shin, G. H., Kim, J. T., &amp; Park, H. J. (2015). Recent developments in </w:t>
      </w:r>
      <w:proofErr w:type="spellStart"/>
      <w:r w:rsidRPr="00AA3229">
        <w:rPr>
          <w:color w:val="000000"/>
          <w:sz w:val="24"/>
          <w:szCs w:val="24"/>
        </w:rPr>
        <w:t>nanoformulations</w:t>
      </w:r>
      <w:proofErr w:type="spellEnd"/>
      <w:r w:rsidRPr="00AA3229">
        <w:rPr>
          <w:color w:val="000000"/>
          <w:sz w:val="24"/>
          <w:szCs w:val="24"/>
        </w:rPr>
        <w:t xml:space="preserve"> of lipophilic functional foods. Trends in Food Science &amp; Technology, 46(1), 144-157. </w:t>
      </w:r>
      <w:hyperlink r:id="rId85">
        <w:r w:rsidR="00625E61" w:rsidRPr="00AA3229">
          <w:rPr>
            <w:color w:val="0000FF"/>
            <w:sz w:val="24"/>
            <w:szCs w:val="24"/>
            <w:u w:val="single"/>
          </w:rPr>
          <w:t>https://doi.org/10.1016/j.tifs.2015.07.005</w:t>
        </w:r>
      </w:hyperlink>
      <w:r w:rsidRPr="00AA3229">
        <w:rPr>
          <w:color w:val="000000"/>
          <w:sz w:val="24"/>
          <w:szCs w:val="24"/>
        </w:rPr>
        <w:t xml:space="preserve"> </w:t>
      </w:r>
    </w:p>
    <w:p w14:paraId="608261EB" w14:textId="77777777" w:rsidR="00625E61" w:rsidRPr="00AA3229" w:rsidRDefault="005C4DDE" w:rsidP="00AA3229">
      <w:pPr>
        <w:pStyle w:val="ListParagraph"/>
        <w:numPr>
          <w:ilvl w:val="0"/>
          <w:numId w:val="2"/>
        </w:numPr>
        <w:tabs>
          <w:tab w:val="left" w:pos="9356"/>
        </w:tabs>
        <w:spacing w:before="154" w:line="261" w:lineRule="auto"/>
        <w:ind w:right="854"/>
        <w:jc w:val="both"/>
        <w:rPr>
          <w:sz w:val="24"/>
          <w:szCs w:val="24"/>
        </w:rPr>
      </w:pPr>
      <w:r w:rsidRPr="00AA3229">
        <w:rPr>
          <w:sz w:val="24"/>
          <w:szCs w:val="24"/>
        </w:rPr>
        <w:t xml:space="preserve">Shin, G. H., Kim, J. T., &amp; Park, H. J. (2015). Recent developments in </w:t>
      </w:r>
      <w:proofErr w:type="spellStart"/>
      <w:r w:rsidRPr="00AA3229">
        <w:rPr>
          <w:sz w:val="24"/>
          <w:szCs w:val="24"/>
        </w:rPr>
        <w:t>nanoformulations</w:t>
      </w:r>
      <w:proofErr w:type="spellEnd"/>
      <w:r w:rsidRPr="00AA3229">
        <w:rPr>
          <w:sz w:val="24"/>
          <w:szCs w:val="24"/>
        </w:rPr>
        <w:t xml:space="preserve"> of lipophilic functional foods. </w:t>
      </w:r>
      <w:r w:rsidRPr="00AA3229">
        <w:rPr>
          <w:i/>
          <w:iCs/>
          <w:sz w:val="24"/>
          <w:szCs w:val="24"/>
        </w:rPr>
        <w:t>Trends in Food Science &amp; Technology</w:t>
      </w:r>
      <w:r w:rsidRPr="00AA3229">
        <w:rPr>
          <w:sz w:val="24"/>
          <w:szCs w:val="24"/>
        </w:rPr>
        <w:t xml:space="preserve">, </w:t>
      </w:r>
      <w:r w:rsidRPr="00AA3229">
        <w:rPr>
          <w:i/>
          <w:iCs/>
          <w:sz w:val="24"/>
          <w:szCs w:val="24"/>
        </w:rPr>
        <w:t>46</w:t>
      </w:r>
      <w:r w:rsidRPr="00AA3229">
        <w:rPr>
          <w:sz w:val="24"/>
          <w:szCs w:val="24"/>
        </w:rPr>
        <w:t xml:space="preserve">(1), </w:t>
      </w:r>
      <w:r w:rsidRPr="00AA3229">
        <w:rPr>
          <w:sz w:val="24"/>
          <w:szCs w:val="24"/>
        </w:rPr>
        <w:t>144–157.</w:t>
      </w:r>
    </w:p>
    <w:p w14:paraId="04F36644"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9" w:line="259" w:lineRule="auto"/>
        <w:ind w:right="854"/>
        <w:jc w:val="both"/>
        <w:rPr>
          <w:color w:val="000000"/>
          <w:sz w:val="24"/>
          <w:szCs w:val="24"/>
        </w:rPr>
      </w:pPr>
      <w:proofErr w:type="spellStart"/>
      <w:r w:rsidRPr="00AA3229">
        <w:rPr>
          <w:color w:val="000000"/>
          <w:sz w:val="24"/>
          <w:szCs w:val="24"/>
        </w:rPr>
        <w:t>Sirelkhatim</w:t>
      </w:r>
      <w:proofErr w:type="spellEnd"/>
      <w:r w:rsidRPr="00AA3229">
        <w:rPr>
          <w:color w:val="000000"/>
          <w:sz w:val="24"/>
          <w:szCs w:val="24"/>
        </w:rPr>
        <w:t xml:space="preserve">, A., Mahmud, S., </w:t>
      </w:r>
      <w:proofErr w:type="spellStart"/>
      <w:r w:rsidRPr="00AA3229">
        <w:rPr>
          <w:color w:val="000000"/>
          <w:sz w:val="24"/>
          <w:szCs w:val="24"/>
        </w:rPr>
        <w:t>Seeni</w:t>
      </w:r>
      <w:proofErr w:type="spellEnd"/>
      <w:r w:rsidRPr="00AA3229">
        <w:rPr>
          <w:color w:val="000000"/>
          <w:sz w:val="24"/>
          <w:szCs w:val="24"/>
        </w:rPr>
        <w:t xml:space="preserve">, A., </w:t>
      </w:r>
      <w:proofErr w:type="spellStart"/>
      <w:r w:rsidRPr="00AA3229">
        <w:rPr>
          <w:color w:val="000000"/>
          <w:sz w:val="24"/>
          <w:szCs w:val="24"/>
        </w:rPr>
        <w:t>Kaus</w:t>
      </w:r>
      <w:proofErr w:type="spellEnd"/>
      <w:r w:rsidRPr="00AA3229">
        <w:rPr>
          <w:color w:val="000000"/>
          <w:sz w:val="24"/>
          <w:szCs w:val="24"/>
        </w:rPr>
        <w:t xml:space="preserve">, N. H. M., Ann, L. C., </w:t>
      </w:r>
      <w:proofErr w:type="spellStart"/>
      <w:r w:rsidRPr="00AA3229">
        <w:rPr>
          <w:color w:val="000000"/>
          <w:sz w:val="24"/>
          <w:szCs w:val="24"/>
        </w:rPr>
        <w:t>Bakhori</w:t>
      </w:r>
      <w:proofErr w:type="spellEnd"/>
      <w:r w:rsidRPr="00AA3229">
        <w:rPr>
          <w:color w:val="000000"/>
          <w:sz w:val="24"/>
          <w:szCs w:val="24"/>
        </w:rPr>
        <w:t xml:space="preserve">, S. K. M., Hasan, H., &amp; Mohamad, D. (2015). Review on zinc oxide nanoparticles: antibacterial activity and toxicity mechanism. </w:t>
      </w:r>
      <w:r w:rsidRPr="00AA3229">
        <w:rPr>
          <w:i/>
          <w:iCs/>
          <w:color w:val="000000"/>
          <w:sz w:val="24"/>
          <w:szCs w:val="24"/>
        </w:rPr>
        <w:t>Nano-Micro Letters</w:t>
      </w:r>
      <w:r w:rsidRPr="00AA3229">
        <w:rPr>
          <w:color w:val="000000"/>
          <w:sz w:val="24"/>
          <w:szCs w:val="24"/>
        </w:rPr>
        <w:t xml:space="preserve">, </w:t>
      </w:r>
      <w:r w:rsidRPr="00AA3229">
        <w:rPr>
          <w:i/>
          <w:iCs/>
          <w:color w:val="000000"/>
          <w:sz w:val="24"/>
          <w:szCs w:val="24"/>
        </w:rPr>
        <w:t>7</w:t>
      </w:r>
      <w:r w:rsidRPr="00AA3229">
        <w:rPr>
          <w:color w:val="000000"/>
          <w:sz w:val="24"/>
          <w:szCs w:val="24"/>
        </w:rPr>
        <w:t>(3), 219–242.</w:t>
      </w:r>
    </w:p>
    <w:p w14:paraId="08A6F5C7"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59" w:line="259" w:lineRule="auto"/>
        <w:ind w:right="854"/>
        <w:jc w:val="both"/>
        <w:rPr>
          <w:color w:val="000000"/>
          <w:sz w:val="24"/>
          <w:szCs w:val="24"/>
        </w:rPr>
      </w:pPr>
      <w:proofErr w:type="spellStart"/>
      <w:r w:rsidRPr="00AA3229">
        <w:rPr>
          <w:color w:val="000000"/>
          <w:sz w:val="24"/>
          <w:szCs w:val="24"/>
        </w:rPr>
        <w:t>Carnovale</w:t>
      </w:r>
      <w:proofErr w:type="spellEnd"/>
      <w:r w:rsidRPr="00AA3229">
        <w:rPr>
          <w:color w:val="000000"/>
          <w:sz w:val="24"/>
          <w:szCs w:val="24"/>
        </w:rPr>
        <w:t xml:space="preserve"> C, </w:t>
      </w:r>
      <w:proofErr w:type="spellStart"/>
      <w:r w:rsidRPr="00AA3229">
        <w:rPr>
          <w:color w:val="000000"/>
          <w:sz w:val="24"/>
          <w:szCs w:val="24"/>
        </w:rPr>
        <w:t>Guarnieri</w:t>
      </w:r>
      <w:proofErr w:type="spellEnd"/>
      <w:r w:rsidRPr="00AA3229">
        <w:rPr>
          <w:color w:val="000000"/>
          <w:sz w:val="24"/>
          <w:szCs w:val="24"/>
        </w:rPr>
        <w:t xml:space="preserve"> D, Di Cristo L, De Angelis I, Veronesi G, </w:t>
      </w:r>
      <w:proofErr w:type="spellStart"/>
      <w:r w:rsidRPr="00AA3229">
        <w:rPr>
          <w:color w:val="000000"/>
          <w:sz w:val="24"/>
          <w:szCs w:val="24"/>
        </w:rPr>
        <w:t>Scarpellini</w:t>
      </w:r>
      <w:proofErr w:type="spellEnd"/>
      <w:r w:rsidRPr="00AA3229">
        <w:rPr>
          <w:color w:val="000000"/>
          <w:sz w:val="24"/>
          <w:szCs w:val="24"/>
        </w:rPr>
        <w:t xml:space="preserve"> A, </w:t>
      </w:r>
      <w:proofErr w:type="spellStart"/>
      <w:r w:rsidRPr="00AA3229">
        <w:rPr>
          <w:color w:val="000000"/>
          <w:sz w:val="24"/>
          <w:szCs w:val="24"/>
        </w:rPr>
        <w:t>Malvindi</w:t>
      </w:r>
      <w:proofErr w:type="spellEnd"/>
      <w:r w:rsidRPr="00AA3229">
        <w:rPr>
          <w:color w:val="000000"/>
          <w:sz w:val="24"/>
          <w:szCs w:val="24"/>
        </w:rPr>
        <w:t xml:space="preserve"> MA, Barone F, </w:t>
      </w:r>
      <w:proofErr w:type="spellStart"/>
      <w:r w:rsidRPr="00AA3229">
        <w:rPr>
          <w:color w:val="000000"/>
          <w:sz w:val="24"/>
          <w:szCs w:val="24"/>
        </w:rPr>
        <w:t>Pompa</w:t>
      </w:r>
      <w:proofErr w:type="spellEnd"/>
      <w:r w:rsidRPr="00AA3229">
        <w:rPr>
          <w:color w:val="000000"/>
          <w:sz w:val="24"/>
          <w:szCs w:val="24"/>
        </w:rPr>
        <w:t xml:space="preserve"> PP, Sabella S. Biotransformation of Silver Nanoparticles into Oro-Gastrointestinal Tract by Integrated In Vitro Testing Assay: Generation of Exposu</w:t>
      </w:r>
      <w:r w:rsidRPr="00AA3229">
        <w:rPr>
          <w:color w:val="000000"/>
          <w:sz w:val="24"/>
          <w:szCs w:val="24"/>
        </w:rPr>
        <w:t xml:space="preserve">re-Dependent Physical Descriptors for Nanomaterial Grouping. Nanomaterials. 2021; 11(6):1587. </w:t>
      </w:r>
      <w:hyperlink r:id="rId86">
        <w:r w:rsidR="00625E61" w:rsidRPr="00AA3229">
          <w:rPr>
            <w:color w:val="0000FF"/>
            <w:sz w:val="24"/>
            <w:szCs w:val="24"/>
            <w:u w:val="single"/>
          </w:rPr>
          <w:t>https://doi.org/10.3390/nano11061587</w:t>
        </w:r>
      </w:hyperlink>
      <w:r w:rsidRPr="00AA3229">
        <w:rPr>
          <w:color w:val="000000"/>
          <w:sz w:val="24"/>
          <w:szCs w:val="24"/>
        </w:rPr>
        <w:t xml:space="preserve"> </w:t>
      </w:r>
    </w:p>
    <w:p w14:paraId="082F9A2E"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line="269" w:lineRule="auto"/>
        <w:ind w:right="854"/>
        <w:jc w:val="both"/>
        <w:rPr>
          <w:color w:val="000000"/>
          <w:sz w:val="24"/>
          <w:szCs w:val="24"/>
        </w:rPr>
      </w:pPr>
      <w:proofErr w:type="spellStart"/>
      <w:r w:rsidRPr="00AA3229">
        <w:rPr>
          <w:color w:val="000000"/>
          <w:sz w:val="24"/>
          <w:szCs w:val="24"/>
        </w:rPr>
        <w:lastRenderedPageBreak/>
        <w:t>Vinardell</w:t>
      </w:r>
      <w:proofErr w:type="spellEnd"/>
      <w:r w:rsidRPr="00AA3229">
        <w:rPr>
          <w:color w:val="000000"/>
          <w:sz w:val="24"/>
          <w:szCs w:val="24"/>
        </w:rPr>
        <w:t>, M. P. (2025). Recent Advances in the Evaluation of the To</w:t>
      </w:r>
      <w:r w:rsidRPr="00AA3229">
        <w:rPr>
          <w:color w:val="000000"/>
          <w:sz w:val="24"/>
          <w:szCs w:val="24"/>
        </w:rPr>
        <w:t xml:space="preserve">xicological and Ecotoxicological Risks of Polymer, Zinc Oxide, Titanium Dioxide and Graphene Oxide Nanoparticles. Nanomaterials. </w:t>
      </w:r>
      <w:hyperlink r:id="rId87">
        <w:r w:rsidR="00625E61" w:rsidRPr="00AA3229">
          <w:rPr>
            <w:color w:val="0000FF"/>
            <w:sz w:val="24"/>
            <w:szCs w:val="24"/>
            <w:u w:val="single"/>
          </w:rPr>
          <w:t>https://doi.org/10.3390/nano15020097</w:t>
        </w:r>
      </w:hyperlink>
      <w:r w:rsidRPr="00AA3229">
        <w:rPr>
          <w:color w:val="000000"/>
          <w:sz w:val="24"/>
          <w:szCs w:val="24"/>
        </w:rPr>
        <w:t xml:space="preserve"> </w:t>
      </w:r>
    </w:p>
    <w:p w14:paraId="253A83BF" w14:textId="77777777" w:rsidR="00625E61" w:rsidRDefault="00625E61" w:rsidP="00B778B8">
      <w:pPr>
        <w:pBdr>
          <w:top w:val="nil"/>
          <w:left w:val="nil"/>
          <w:bottom w:val="nil"/>
          <w:right w:val="nil"/>
          <w:between w:val="nil"/>
        </w:pBdr>
        <w:tabs>
          <w:tab w:val="left" w:pos="9356"/>
        </w:tabs>
        <w:spacing w:line="269" w:lineRule="auto"/>
        <w:ind w:left="165" w:right="854"/>
        <w:jc w:val="both"/>
        <w:rPr>
          <w:color w:val="000000"/>
          <w:sz w:val="24"/>
          <w:szCs w:val="24"/>
        </w:rPr>
      </w:pPr>
    </w:p>
    <w:p w14:paraId="50DCF03B"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line="269" w:lineRule="auto"/>
        <w:ind w:right="854"/>
        <w:jc w:val="both"/>
        <w:rPr>
          <w:color w:val="000000"/>
          <w:sz w:val="24"/>
          <w:szCs w:val="24"/>
        </w:rPr>
      </w:pPr>
      <w:r w:rsidRPr="00AA3229">
        <w:rPr>
          <w:color w:val="000000"/>
          <w:sz w:val="24"/>
          <w:szCs w:val="24"/>
        </w:rPr>
        <w:t xml:space="preserve">Shakeel, N., </w:t>
      </w:r>
      <w:proofErr w:type="spellStart"/>
      <w:r w:rsidRPr="00AA3229">
        <w:rPr>
          <w:color w:val="000000"/>
          <w:sz w:val="24"/>
          <w:szCs w:val="24"/>
        </w:rPr>
        <w:t>Piwoński</w:t>
      </w:r>
      <w:proofErr w:type="spellEnd"/>
      <w:r w:rsidRPr="00AA3229">
        <w:rPr>
          <w:color w:val="000000"/>
          <w:sz w:val="24"/>
          <w:szCs w:val="24"/>
        </w:rPr>
        <w:t>, I., Iqbal</w:t>
      </w:r>
      <w:r w:rsidRPr="00AA3229">
        <w:rPr>
          <w:color w:val="000000"/>
          <w:sz w:val="24"/>
          <w:szCs w:val="24"/>
        </w:rPr>
        <w:t xml:space="preserve">, P., &amp; </w:t>
      </w:r>
      <w:proofErr w:type="spellStart"/>
      <w:r w:rsidRPr="00AA3229">
        <w:rPr>
          <w:color w:val="000000"/>
          <w:sz w:val="24"/>
          <w:szCs w:val="24"/>
        </w:rPr>
        <w:t>Kisielewska</w:t>
      </w:r>
      <w:proofErr w:type="spellEnd"/>
      <w:r w:rsidRPr="00AA3229">
        <w:rPr>
          <w:color w:val="000000"/>
          <w:sz w:val="24"/>
          <w:szCs w:val="24"/>
        </w:rPr>
        <w:t xml:space="preserve">, A. (2025). Green Synthesis of Titanium Dioxide Nanoparticles: Physicochemical Characterization and Applications: A Review. International Journal of Molecular Sciences, 26(12), 5454. </w:t>
      </w:r>
      <w:hyperlink r:id="rId88">
        <w:r w:rsidR="00625E61" w:rsidRPr="00AA3229">
          <w:rPr>
            <w:color w:val="0000FF"/>
            <w:sz w:val="24"/>
            <w:szCs w:val="24"/>
            <w:u w:val="single"/>
          </w:rPr>
          <w:t>https://doi.org/10.3390/ijms26125454</w:t>
        </w:r>
      </w:hyperlink>
      <w:r w:rsidRPr="00AA3229">
        <w:rPr>
          <w:color w:val="000000"/>
          <w:sz w:val="24"/>
          <w:szCs w:val="24"/>
        </w:rPr>
        <w:t xml:space="preserve"> </w:t>
      </w:r>
    </w:p>
    <w:p w14:paraId="46F8E9F7" w14:textId="77777777" w:rsidR="00625E61" w:rsidRPr="00AA3229" w:rsidRDefault="005C4DDE" w:rsidP="00AA3229">
      <w:pPr>
        <w:pStyle w:val="ListParagraph"/>
        <w:numPr>
          <w:ilvl w:val="0"/>
          <w:numId w:val="2"/>
        </w:numPr>
        <w:tabs>
          <w:tab w:val="left" w:pos="9356"/>
        </w:tabs>
        <w:spacing w:line="270" w:lineRule="auto"/>
        <w:ind w:right="854"/>
        <w:jc w:val="both"/>
        <w:rPr>
          <w:sz w:val="24"/>
          <w:szCs w:val="24"/>
        </w:rPr>
      </w:pPr>
      <w:r w:rsidRPr="00AA3229">
        <w:rPr>
          <w:color w:val="000000"/>
          <w:sz w:val="24"/>
          <w:szCs w:val="24"/>
        </w:rPr>
        <w:t>Song, Z., Chen, N., Liu, J., Tang, H., Deng, X., Xi, W., Han, K., Cao, A., Liu, Y., &amp; Wang, H. (2015). Biological effect of food additive titanium dioxide nanoparticles on intestine: an in vitro study. Journal of Ap</w:t>
      </w:r>
      <w:r w:rsidRPr="00AA3229">
        <w:rPr>
          <w:color w:val="000000"/>
          <w:sz w:val="24"/>
          <w:szCs w:val="24"/>
        </w:rPr>
        <w:t xml:space="preserve">plied Toxicology, 35(10), 1169–1178. </w:t>
      </w:r>
      <w:hyperlink r:id="rId89">
        <w:r w:rsidR="00625E61" w:rsidRPr="00AA3229">
          <w:rPr>
            <w:color w:val="0000FF"/>
            <w:sz w:val="24"/>
            <w:szCs w:val="24"/>
            <w:u w:val="single"/>
          </w:rPr>
          <w:t>https://doi.org/10.1002/jat.3171</w:t>
        </w:r>
      </w:hyperlink>
      <w:r w:rsidRPr="00AA3229">
        <w:rPr>
          <w:color w:val="000000"/>
          <w:sz w:val="24"/>
          <w:szCs w:val="24"/>
        </w:rPr>
        <w:t xml:space="preserve"> </w:t>
      </w:r>
    </w:p>
    <w:p w14:paraId="56347D19" w14:textId="77777777" w:rsidR="00625E61" w:rsidRPr="00AA3229" w:rsidRDefault="005C4DDE" w:rsidP="00AA3229">
      <w:pPr>
        <w:pStyle w:val="ListParagraph"/>
        <w:numPr>
          <w:ilvl w:val="0"/>
          <w:numId w:val="2"/>
        </w:numPr>
        <w:tabs>
          <w:tab w:val="left" w:pos="9356"/>
        </w:tabs>
        <w:spacing w:before="19"/>
        <w:ind w:right="854"/>
        <w:jc w:val="both"/>
        <w:rPr>
          <w:sz w:val="24"/>
          <w:szCs w:val="24"/>
        </w:rPr>
      </w:pPr>
      <w:proofErr w:type="spellStart"/>
      <w:r w:rsidRPr="00AA3229">
        <w:rPr>
          <w:color w:val="000000"/>
          <w:sz w:val="24"/>
          <w:szCs w:val="24"/>
        </w:rPr>
        <w:t>Sozer</w:t>
      </w:r>
      <w:proofErr w:type="spellEnd"/>
      <w:r w:rsidRPr="00AA3229">
        <w:rPr>
          <w:color w:val="000000"/>
          <w:sz w:val="24"/>
          <w:szCs w:val="24"/>
        </w:rPr>
        <w:t xml:space="preserve">, N., &amp; </w:t>
      </w:r>
      <w:proofErr w:type="spellStart"/>
      <w:r w:rsidRPr="00AA3229">
        <w:rPr>
          <w:color w:val="000000"/>
          <w:sz w:val="24"/>
          <w:szCs w:val="24"/>
        </w:rPr>
        <w:t>Kokini</w:t>
      </w:r>
      <w:proofErr w:type="spellEnd"/>
      <w:r w:rsidRPr="00AA3229">
        <w:rPr>
          <w:color w:val="000000"/>
          <w:sz w:val="24"/>
          <w:szCs w:val="24"/>
        </w:rPr>
        <w:t xml:space="preserve">, J. L. (2009). Nanotechnology and its applications in the food sector. Trends in Biotechnology, 27(2), 82–89. </w:t>
      </w:r>
      <w:hyperlink r:id="rId90">
        <w:r w:rsidR="00625E61" w:rsidRPr="00AA3229">
          <w:rPr>
            <w:color w:val="0000FF"/>
            <w:sz w:val="24"/>
            <w:szCs w:val="24"/>
            <w:u w:val="single"/>
          </w:rPr>
          <w:t>https://doi.org/10.1016/j.tibtech.2008.10.010</w:t>
        </w:r>
      </w:hyperlink>
      <w:r w:rsidRPr="00AA3229">
        <w:rPr>
          <w:color w:val="000000"/>
          <w:sz w:val="24"/>
          <w:szCs w:val="24"/>
        </w:rPr>
        <w:t xml:space="preserve"> </w:t>
      </w:r>
    </w:p>
    <w:p w14:paraId="36B01627"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84" w:line="259" w:lineRule="auto"/>
        <w:ind w:right="854"/>
        <w:jc w:val="both"/>
        <w:rPr>
          <w:color w:val="000000"/>
          <w:sz w:val="24"/>
          <w:szCs w:val="24"/>
        </w:rPr>
      </w:pPr>
      <w:proofErr w:type="spellStart"/>
      <w:r w:rsidRPr="00AA3229">
        <w:rPr>
          <w:color w:val="000000"/>
          <w:sz w:val="24"/>
          <w:szCs w:val="24"/>
        </w:rPr>
        <w:t>Szakal</w:t>
      </w:r>
      <w:proofErr w:type="spellEnd"/>
      <w:r w:rsidRPr="00AA3229">
        <w:rPr>
          <w:color w:val="000000"/>
          <w:sz w:val="24"/>
          <w:szCs w:val="24"/>
        </w:rPr>
        <w:t xml:space="preserve">, C. W., Roberts, S. M., </w:t>
      </w:r>
      <w:proofErr w:type="spellStart"/>
      <w:r w:rsidRPr="00AA3229">
        <w:rPr>
          <w:color w:val="000000"/>
          <w:sz w:val="24"/>
          <w:szCs w:val="24"/>
        </w:rPr>
        <w:t>Westerhoff</w:t>
      </w:r>
      <w:proofErr w:type="spellEnd"/>
      <w:r w:rsidRPr="00AA3229">
        <w:rPr>
          <w:color w:val="000000"/>
          <w:sz w:val="24"/>
          <w:szCs w:val="24"/>
        </w:rPr>
        <w:t xml:space="preserve">, P., </w:t>
      </w:r>
      <w:proofErr w:type="spellStart"/>
      <w:r w:rsidRPr="00AA3229">
        <w:rPr>
          <w:color w:val="000000"/>
          <w:sz w:val="24"/>
          <w:szCs w:val="24"/>
        </w:rPr>
        <w:t>Bartholomaeus</w:t>
      </w:r>
      <w:proofErr w:type="spellEnd"/>
      <w:r w:rsidRPr="00AA3229">
        <w:rPr>
          <w:color w:val="000000"/>
          <w:sz w:val="24"/>
          <w:szCs w:val="24"/>
        </w:rPr>
        <w:t xml:space="preserve">, A., Buck, N., </w:t>
      </w:r>
      <w:proofErr w:type="spellStart"/>
      <w:r w:rsidRPr="00AA3229">
        <w:rPr>
          <w:color w:val="000000"/>
          <w:sz w:val="24"/>
          <w:szCs w:val="24"/>
        </w:rPr>
        <w:t>Illuminato</w:t>
      </w:r>
      <w:proofErr w:type="spellEnd"/>
      <w:r w:rsidRPr="00AA3229">
        <w:rPr>
          <w:color w:val="000000"/>
          <w:sz w:val="24"/>
          <w:szCs w:val="24"/>
        </w:rPr>
        <w:t xml:space="preserve">, I., Canady, R., &amp; Rogers, M. (2014). Measurement of nanomaterials in foods: Integrative consideration of challenges and future prospects. ACS Nano. </w:t>
      </w:r>
      <w:hyperlink r:id="rId91">
        <w:r w:rsidR="00625E61" w:rsidRPr="00AA3229">
          <w:rPr>
            <w:color w:val="0000FF"/>
            <w:sz w:val="24"/>
            <w:szCs w:val="24"/>
            <w:u w:val="single"/>
          </w:rPr>
          <w:t>https://doi.org/10.1021/nn501108g</w:t>
        </w:r>
      </w:hyperlink>
      <w:r w:rsidRPr="00AA3229">
        <w:rPr>
          <w:color w:val="000000"/>
          <w:sz w:val="24"/>
          <w:szCs w:val="24"/>
        </w:rPr>
        <w:t xml:space="preserve"> </w:t>
      </w:r>
    </w:p>
    <w:p w14:paraId="1C4EA97E" w14:textId="77777777" w:rsidR="00625E61" w:rsidRPr="00AA3229" w:rsidRDefault="005C4DDE" w:rsidP="00AA3229">
      <w:pPr>
        <w:pStyle w:val="ListParagraph"/>
        <w:numPr>
          <w:ilvl w:val="0"/>
          <w:numId w:val="2"/>
        </w:numPr>
        <w:tabs>
          <w:tab w:val="left" w:pos="9356"/>
        </w:tabs>
        <w:spacing w:before="19" w:line="261" w:lineRule="auto"/>
        <w:ind w:right="854"/>
        <w:jc w:val="both"/>
        <w:rPr>
          <w:sz w:val="24"/>
          <w:szCs w:val="24"/>
        </w:rPr>
      </w:pPr>
      <w:r w:rsidRPr="00AA3229">
        <w:rPr>
          <w:color w:val="000000"/>
          <w:sz w:val="24"/>
          <w:szCs w:val="24"/>
        </w:rPr>
        <w:t xml:space="preserve">Tada-Oikawa, S., Ichihara, G., </w:t>
      </w:r>
      <w:proofErr w:type="spellStart"/>
      <w:r w:rsidRPr="00AA3229">
        <w:rPr>
          <w:color w:val="000000"/>
          <w:sz w:val="24"/>
          <w:szCs w:val="24"/>
        </w:rPr>
        <w:t>Fukatsu</w:t>
      </w:r>
      <w:proofErr w:type="spellEnd"/>
      <w:r w:rsidRPr="00AA3229">
        <w:rPr>
          <w:color w:val="000000"/>
          <w:sz w:val="24"/>
          <w:szCs w:val="24"/>
        </w:rPr>
        <w:t xml:space="preserve">, H., </w:t>
      </w:r>
      <w:proofErr w:type="spellStart"/>
      <w:r w:rsidRPr="00AA3229">
        <w:rPr>
          <w:color w:val="000000"/>
          <w:sz w:val="24"/>
          <w:szCs w:val="24"/>
        </w:rPr>
        <w:t>Shimanuki</w:t>
      </w:r>
      <w:proofErr w:type="spellEnd"/>
      <w:r w:rsidRPr="00AA3229">
        <w:rPr>
          <w:color w:val="000000"/>
          <w:sz w:val="24"/>
          <w:szCs w:val="24"/>
        </w:rPr>
        <w:t xml:space="preserve">, Y., Tanaka, N., Watanabe, E., Suzuki, Y., Murakami, M., </w:t>
      </w:r>
      <w:proofErr w:type="spellStart"/>
      <w:r w:rsidRPr="00AA3229">
        <w:rPr>
          <w:color w:val="000000"/>
          <w:sz w:val="24"/>
          <w:szCs w:val="24"/>
        </w:rPr>
        <w:t>Izuoka</w:t>
      </w:r>
      <w:proofErr w:type="spellEnd"/>
      <w:r w:rsidRPr="00AA3229">
        <w:rPr>
          <w:color w:val="000000"/>
          <w:sz w:val="24"/>
          <w:szCs w:val="24"/>
        </w:rPr>
        <w:t>, K., Chang, J., Wu, W., Yamada, Y., &amp; Ichihara, S. (2016). Titanium di</w:t>
      </w:r>
      <w:r w:rsidRPr="00AA3229">
        <w:rPr>
          <w:color w:val="000000"/>
          <w:sz w:val="24"/>
          <w:szCs w:val="24"/>
        </w:rPr>
        <w:t xml:space="preserve">oxide particle type and concentration influence the inflammatory response in Caco-2 cells. International Journal of Molecular Sciences. </w:t>
      </w:r>
      <w:hyperlink r:id="rId92">
        <w:r w:rsidR="00625E61" w:rsidRPr="00AA3229">
          <w:rPr>
            <w:color w:val="0000FF"/>
            <w:sz w:val="24"/>
            <w:szCs w:val="24"/>
            <w:u w:val="single"/>
          </w:rPr>
          <w:t>https://doi.org/10.3390/ijms17040576</w:t>
        </w:r>
      </w:hyperlink>
      <w:r w:rsidRPr="00AA3229">
        <w:rPr>
          <w:color w:val="000000"/>
          <w:sz w:val="24"/>
          <w:szCs w:val="24"/>
        </w:rPr>
        <w:t xml:space="preserve"> </w:t>
      </w:r>
    </w:p>
    <w:p w14:paraId="10C8F9A7" w14:textId="77777777" w:rsidR="00625E61" w:rsidRPr="00AA3229" w:rsidRDefault="005C4DDE" w:rsidP="00AA3229">
      <w:pPr>
        <w:pStyle w:val="ListParagraph"/>
        <w:numPr>
          <w:ilvl w:val="0"/>
          <w:numId w:val="2"/>
        </w:numPr>
        <w:tabs>
          <w:tab w:val="left" w:pos="9356"/>
        </w:tabs>
        <w:spacing w:before="154" w:line="261" w:lineRule="auto"/>
        <w:ind w:right="854"/>
        <w:jc w:val="both"/>
        <w:rPr>
          <w:sz w:val="24"/>
          <w:szCs w:val="24"/>
        </w:rPr>
      </w:pPr>
      <w:proofErr w:type="spellStart"/>
      <w:r w:rsidRPr="00AA3229">
        <w:rPr>
          <w:sz w:val="24"/>
          <w:szCs w:val="24"/>
        </w:rPr>
        <w:t>Vandebriel</w:t>
      </w:r>
      <w:proofErr w:type="spellEnd"/>
      <w:r w:rsidRPr="00AA3229">
        <w:rPr>
          <w:sz w:val="24"/>
          <w:szCs w:val="24"/>
        </w:rPr>
        <w:t>, R. J., &amp; De Jo</w:t>
      </w:r>
      <w:r w:rsidRPr="00AA3229">
        <w:rPr>
          <w:sz w:val="24"/>
          <w:szCs w:val="24"/>
        </w:rPr>
        <w:t xml:space="preserve">ng, W. H. (2012). A review of mammalian toxicity of </w:t>
      </w:r>
      <w:proofErr w:type="spellStart"/>
      <w:r w:rsidRPr="00AA3229">
        <w:rPr>
          <w:sz w:val="24"/>
          <w:szCs w:val="24"/>
        </w:rPr>
        <w:t>ZnO</w:t>
      </w:r>
      <w:proofErr w:type="spellEnd"/>
      <w:r w:rsidRPr="00AA3229">
        <w:rPr>
          <w:sz w:val="24"/>
          <w:szCs w:val="24"/>
        </w:rPr>
        <w:t xml:space="preserve"> nanoparticles. Nanotechnology, Science and Applications, 61–71. </w:t>
      </w:r>
      <w:hyperlink r:id="rId93">
        <w:r w:rsidR="00625E61" w:rsidRPr="00AA3229">
          <w:rPr>
            <w:color w:val="0000FF"/>
            <w:sz w:val="24"/>
            <w:szCs w:val="24"/>
            <w:u w:val="single"/>
          </w:rPr>
          <w:t>https://doi.org/10.2147/NSA.S23932</w:t>
        </w:r>
      </w:hyperlink>
      <w:r w:rsidRPr="00AA3229">
        <w:rPr>
          <w:sz w:val="24"/>
          <w:szCs w:val="24"/>
        </w:rPr>
        <w:t xml:space="preserve"> </w:t>
      </w:r>
    </w:p>
    <w:p w14:paraId="091E3BF6" w14:textId="77777777" w:rsidR="00625E61" w:rsidRPr="00AA3229" w:rsidRDefault="005C4DDE" w:rsidP="00AA3229">
      <w:pPr>
        <w:pStyle w:val="ListParagraph"/>
        <w:numPr>
          <w:ilvl w:val="0"/>
          <w:numId w:val="2"/>
        </w:numPr>
        <w:tabs>
          <w:tab w:val="left" w:pos="9356"/>
        </w:tabs>
        <w:spacing w:before="154" w:line="261" w:lineRule="auto"/>
        <w:ind w:right="854"/>
        <w:jc w:val="both"/>
        <w:rPr>
          <w:sz w:val="24"/>
          <w:szCs w:val="24"/>
        </w:rPr>
      </w:pPr>
      <w:proofErr w:type="spellStart"/>
      <w:r w:rsidRPr="00AA3229">
        <w:rPr>
          <w:sz w:val="24"/>
          <w:szCs w:val="24"/>
        </w:rPr>
        <w:t>Vinardell</w:t>
      </w:r>
      <w:proofErr w:type="spellEnd"/>
      <w:r w:rsidRPr="00AA3229">
        <w:rPr>
          <w:sz w:val="24"/>
          <w:szCs w:val="24"/>
        </w:rPr>
        <w:t>, M. P. (2025). Recent Advances in th</w:t>
      </w:r>
      <w:r w:rsidRPr="00AA3229">
        <w:rPr>
          <w:sz w:val="24"/>
          <w:szCs w:val="24"/>
        </w:rPr>
        <w:t xml:space="preserve">e Evaluation of the Toxicological and Ecotoxicological Risks of Polymer, Zinc Oxide, Titanium Dioxide and Graphene Oxide Nanoparticles. Nanomaterials. </w:t>
      </w:r>
      <w:hyperlink r:id="rId94">
        <w:r w:rsidR="00625E61" w:rsidRPr="00AA3229">
          <w:rPr>
            <w:color w:val="0000FF"/>
            <w:sz w:val="24"/>
            <w:szCs w:val="24"/>
            <w:u w:val="single"/>
          </w:rPr>
          <w:t>https://doi.org/10.3390/nano15020097</w:t>
        </w:r>
      </w:hyperlink>
      <w:r w:rsidRPr="00AA3229">
        <w:rPr>
          <w:sz w:val="24"/>
          <w:szCs w:val="24"/>
        </w:rPr>
        <w:t xml:space="preserve"> </w:t>
      </w:r>
    </w:p>
    <w:p w14:paraId="67EEF9FF"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24" w:line="261" w:lineRule="auto"/>
        <w:ind w:right="854"/>
        <w:jc w:val="both"/>
        <w:rPr>
          <w:color w:val="000000"/>
          <w:sz w:val="24"/>
          <w:szCs w:val="24"/>
        </w:rPr>
      </w:pPr>
      <w:r w:rsidRPr="00AA3229">
        <w:rPr>
          <w:color w:val="000000"/>
          <w:sz w:val="24"/>
          <w:szCs w:val="24"/>
        </w:rPr>
        <w:t>Wang, J., Z</w:t>
      </w:r>
      <w:r w:rsidRPr="00AA3229">
        <w:rPr>
          <w:color w:val="000000"/>
          <w:sz w:val="24"/>
          <w:szCs w:val="24"/>
        </w:rPr>
        <w:t>hou, G., Chen, C., Yu, H., Wang, T., Ma, Y., Jia, G., Gao, Y., Li, B., Sun, J., Li, Y., Jiao, F., Zhao, Y., &amp; Chai, Z. (2007). Acute toxicity and biodistribution of different sized titanium dioxide particles in mice after oral administration. Toxicology Le</w:t>
      </w:r>
      <w:r w:rsidRPr="00AA3229">
        <w:rPr>
          <w:color w:val="000000"/>
          <w:sz w:val="24"/>
          <w:szCs w:val="24"/>
        </w:rPr>
        <w:t xml:space="preserve">tters, 168(2), 176–185. </w:t>
      </w:r>
      <w:hyperlink r:id="rId95">
        <w:r w:rsidR="00625E61" w:rsidRPr="00AA3229">
          <w:rPr>
            <w:color w:val="0000FF"/>
            <w:sz w:val="24"/>
            <w:szCs w:val="24"/>
            <w:u w:val="single"/>
          </w:rPr>
          <w:t>https://doi.org/10.1016/j.toxlet.2006.12.001</w:t>
        </w:r>
      </w:hyperlink>
      <w:r w:rsidRPr="00AA3229">
        <w:rPr>
          <w:color w:val="000000"/>
          <w:sz w:val="24"/>
          <w:szCs w:val="24"/>
        </w:rPr>
        <w:t xml:space="preserve"> </w:t>
      </w:r>
    </w:p>
    <w:p w14:paraId="55F99D3A"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line="269" w:lineRule="auto"/>
        <w:ind w:right="854"/>
        <w:jc w:val="both"/>
        <w:rPr>
          <w:color w:val="000000"/>
          <w:sz w:val="24"/>
          <w:szCs w:val="24"/>
        </w:rPr>
      </w:pPr>
      <w:r w:rsidRPr="00AA3229">
        <w:rPr>
          <w:color w:val="000000"/>
          <w:sz w:val="24"/>
          <w:szCs w:val="24"/>
        </w:rPr>
        <w:t xml:space="preserve">Wang, Y., Chen, Z., Ba, T., Pu, J., Chen, T., Song, Y., Gu, Y., Qian, Q., Xu, Y., Xiang, K., Wang, H., &amp; Jia, G. (2013). Susceptibility of young and adult rats to the oral toxicity of titanium dioxide nanoparticles. Small, 9(9-10), 1742–1752. </w:t>
      </w:r>
      <w:hyperlink r:id="rId96">
        <w:r w:rsidR="00625E61" w:rsidRPr="00AA3229">
          <w:rPr>
            <w:color w:val="0000FF"/>
            <w:sz w:val="24"/>
            <w:szCs w:val="24"/>
            <w:u w:val="single"/>
          </w:rPr>
          <w:t>https://doi.org/10.1002/smll.201201185</w:t>
        </w:r>
      </w:hyperlink>
      <w:r w:rsidRPr="00AA3229">
        <w:rPr>
          <w:color w:val="000000"/>
          <w:sz w:val="24"/>
          <w:szCs w:val="24"/>
        </w:rPr>
        <w:t xml:space="preserve"> </w:t>
      </w:r>
    </w:p>
    <w:p w14:paraId="6411A1FE" w14:textId="77777777" w:rsidR="00625E61" w:rsidRPr="00AA3229" w:rsidRDefault="005C4DDE" w:rsidP="00AA3229">
      <w:pPr>
        <w:pStyle w:val="ListParagraph"/>
        <w:numPr>
          <w:ilvl w:val="0"/>
          <w:numId w:val="2"/>
        </w:numPr>
        <w:tabs>
          <w:tab w:val="left" w:pos="9356"/>
        </w:tabs>
        <w:spacing w:before="24"/>
        <w:ind w:right="854"/>
        <w:jc w:val="both"/>
        <w:rPr>
          <w:sz w:val="24"/>
          <w:szCs w:val="24"/>
        </w:rPr>
      </w:pPr>
      <w:r w:rsidRPr="00AA3229">
        <w:rPr>
          <w:color w:val="000000"/>
          <w:sz w:val="24"/>
          <w:szCs w:val="24"/>
        </w:rPr>
        <w:t>Wang, Y., Yuan, L., Yao, C., Ding, L., Li, C., Fang, J., Sui, K., Liu, Y., &amp; Wu, M. (2014). A combined toxicity study of zinc oxide nanoparticles and vitamin C in food add</w:t>
      </w:r>
      <w:r w:rsidRPr="00AA3229">
        <w:rPr>
          <w:color w:val="000000"/>
          <w:sz w:val="24"/>
          <w:szCs w:val="24"/>
        </w:rPr>
        <w:t xml:space="preserve">itives. Nanoscale, 6(24), 15333–15342. </w:t>
      </w:r>
      <w:hyperlink r:id="rId97">
        <w:r w:rsidR="00625E61" w:rsidRPr="00AA3229">
          <w:rPr>
            <w:color w:val="0000FF"/>
            <w:sz w:val="24"/>
            <w:szCs w:val="24"/>
            <w:u w:val="single"/>
          </w:rPr>
          <w:t>https://doi.org/10.1039/C4NR05480F</w:t>
        </w:r>
      </w:hyperlink>
      <w:r w:rsidRPr="00AA3229">
        <w:rPr>
          <w:color w:val="000000"/>
          <w:sz w:val="24"/>
          <w:szCs w:val="24"/>
        </w:rPr>
        <w:t xml:space="preserve"> </w:t>
      </w:r>
    </w:p>
    <w:p w14:paraId="13808B02" w14:textId="77777777" w:rsidR="00625E61" w:rsidRPr="00AA3229" w:rsidRDefault="005C4DDE" w:rsidP="00AA3229">
      <w:pPr>
        <w:pStyle w:val="ListParagraph"/>
        <w:numPr>
          <w:ilvl w:val="0"/>
          <w:numId w:val="2"/>
        </w:numPr>
        <w:tabs>
          <w:tab w:val="left" w:pos="9356"/>
        </w:tabs>
        <w:spacing w:line="274" w:lineRule="auto"/>
        <w:ind w:right="854"/>
        <w:jc w:val="both"/>
        <w:rPr>
          <w:sz w:val="24"/>
          <w:szCs w:val="24"/>
        </w:rPr>
      </w:pPr>
      <w:proofErr w:type="spellStart"/>
      <w:r w:rsidRPr="00AA3229">
        <w:rPr>
          <w:color w:val="000000"/>
          <w:sz w:val="24"/>
          <w:szCs w:val="24"/>
        </w:rPr>
        <w:t>Warheit</w:t>
      </w:r>
      <w:proofErr w:type="spellEnd"/>
      <w:r w:rsidRPr="00AA3229">
        <w:rPr>
          <w:color w:val="000000"/>
          <w:sz w:val="24"/>
          <w:szCs w:val="24"/>
        </w:rPr>
        <w:t xml:space="preserve">, D. B., Brown, S. C., &amp; Donner, E. M. (2015). Acute and </w:t>
      </w:r>
      <w:proofErr w:type="spellStart"/>
      <w:r w:rsidRPr="00AA3229">
        <w:rPr>
          <w:color w:val="000000"/>
          <w:sz w:val="24"/>
          <w:szCs w:val="24"/>
        </w:rPr>
        <w:t>subchronic</w:t>
      </w:r>
      <w:proofErr w:type="spellEnd"/>
      <w:r w:rsidRPr="00AA3229">
        <w:rPr>
          <w:color w:val="000000"/>
          <w:sz w:val="24"/>
          <w:szCs w:val="24"/>
        </w:rPr>
        <w:t xml:space="preserve"> oral toxicity studies in rats with nanoscale and pig</w:t>
      </w:r>
      <w:r w:rsidRPr="00AA3229">
        <w:rPr>
          <w:color w:val="000000"/>
          <w:sz w:val="24"/>
          <w:szCs w:val="24"/>
        </w:rPr>
        <w:t xml:space="preserve">ment grade titanium dioxide particles. Food and Chemical Toxicology, 84, 208–224. </w:t>
      </w:r>
      <w:hyperlink r:id="rId98">
        <w:r w:rsidR="00625E61" w:rsidRPr="00AA3229">
          <w:rPr>
            <w:color w:val="0000FF"/>
            <w:sz w:val="24"/>
            <w:szCs w:val="24"/>
            <w:u w:val="single"/>
          </w:rPr>
          <w:t>https://doi.org/10.1016/j.fct.2015.08.026</w:t>
        </w:r>
      </w:hyperlink>
      <w:r w:rsidRPr="00AA3229">
        <w:rPr>
          <w:color w:val="000000"/>
          <w:sz w:val="24"/>
          <w:szCs w:val="24"/>
        </w:rPr>
        <w:t xml:space="preserve"> </w:t>
      </w:r>
    </w:p>
    <w:p w14:paraId="45617743"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59" w:lineRule="auto"/>
        <w:ind w:right="854"/>
        <w:jc w:val="both"/>
        <w:rPr>
          <w:color w:val="000000"/>
          <w:sz w:val="24"/>
          <w:szCs w:val="24"/>
        </w:rPr>
      </w:pPr>
      <w:r w:rsidRPr="00AA3229">
        <w:rPr>
          <w:color w:val="000000"/>
          <w:sz w:val="24"/>
          <w:szCs w:val="24"/>
        </w:rPr>
        <w:t>W</w:t>
      </w:r>
      <w:r w:rsidRPr="00AA3229">
        <w:rPr>
          <w:color w:val="000000"/>
          <w:sz w:val="24"/>
          <w:szCs w:val="24"/>
        </w:rPr>
        <w:lastRenderedPageBreak/>
        <w:t xml:space="preserve">eir, A., </w:t>
      </w:r>
      <w:proofErr w:type="spellStart"/>
      <w:r w:rsidRPr="00AA3229">
        <w:rPr>
          <w:color w:val="000000"/>
          <w:sz w:val="24"/>
          <w:szCs w:val="24"/>
        </w:rPr>
        <w:t>Westerhoff</w:t>
      </w:r>
      <w:proofErr w:type="spellEnd"/>
      <w:r w:rsidRPr="00AA3229">
        <w:rPr>
          <w:color w:val="000000"/>
          <w:sz w:val="24"/>
          <w:szCs w:val="24"/>
        </w:rPr>
        <w:t xml:space="preserve">, P., </w:t>
      </w:r>
      <w:proofErr w:type="spellStart"/>
      <w:r w:rsidRPr="00AA3229">
        <w:rPr>
          <w:color w:val="000000"/>
          <w:sz w:val="24"/>
          <w:szCs w:val="24"/>
        </w:rPr>
        <w:t>Fabricius</w:t>
      </w:r>
      <w:proofErr w:type="spellEnd"/>
      <w:r w:rsidRPr="00AA3229">
        <w:rPr>
          <w:color w:val="000000"/>
          <w:sz w:val="24"/>
          <w:szCs w:val="24"/>
        </w:rPr>
        <w:t xml:space="preserve">, L., </w:t>
      </w:r>
      <w:proofErr w:type="spellStart"/>
      <w:r w:rsidRPr="00AA3229">
        <w:rPr>
          <w:color w:val="000000"/>
          <w:sz w:val="24"/>
          <w:szCs w:val="24"/>
        </w:rPr>
        <w:t>Hristovski</w:t>
      </w:r>
      <w:proofErr w:type="spellEnd"/>
      <w:r w:rsidRPr="00AA3229">
        <w:rPr>
          <w:color w:val="000000"/>
          <w:sz w:val="24"/>
          <w:szCs w:val="24"/>
        </w:rPr>
        <w:t xml:space="preserve">, K., &amp; von Goetz, </w:t>
      </w:r>
      <w:r w:rsidRPr="00AA3229">
        <w:rPr>
          <w:color w:val="000000"/>
          <w:sz w:val="24"/>
          <w:szCs w:val="24"/>
        </w:rPr>
        <w:t xml:space="preserve">N. (2012). Titanium Dioxide Nanoparticles in Food and Personal Care Products. Environmental Science &amp; Technology, 46(4), 2242–2250. </w:t>
      </w:r>
      <w:hyperlink r:id="rId99">
        <w:r w:rsidR="00625E61" w:rsidRPr="00AA3229">
          <w:rPr>
            <w:color w:val="0000FF"/>
            <w:sz w:val="24"/>
            <w:szCs w:val="24"/>
            <w:u w:val="single"/>
          </w:rPr>
          <w:t>https://doi.org/10.1021/es204168d</w:t>
        </w:r>
      </w:hyperlink>
      <w:r w:rsidRPr="00AA3229">
        <w:rPr>
          <w:color w:val="000000"/>
          <w:sz w:val="24"/>
          <w:szCs w:val="24"/>
        </w:rPr>
        <w:t xml:space="preserve"> </w:t>
      </w:r>
    </w:p>
    <w:p w14:paraId="47290D45"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79" w:line="259" w:lineRule="auto"/>
        <w:ind w:right="854"/>
        <w:jc w:val="both"/>
        <w:rPr>
          <w:color w:val="000000"/>
          <w:sz w:val="24"/>
          <w:szCs w:val="24"/>
        </w:rPr>
      </w:pPr>
      <w:r w:rsidRPr="00AA3229">
        <w:rPr>
          <w:color w:val="000000"/>
          <w:sz w:val="24"/>
          <w:szCs w:val="24"/>
        </w:rPr>
        <w:t>Xiang, S., Chen, M., Liu, J., &amp; Wang</w:t>
      </w:r>
      <w:r w:rsidRPr="00AA3229">
        <w:rPr>
          <w:color w:val="000000"/>
          <w:sz w:val="24"/>
          <w:szCs w:val="24"/>
        </w:rPr>
        <w:t xml:space="preserve">, J. (2025). Exposure to </w:t>
      </w:r>
      <w:proofErr w:type="spellStart"/>
      <w:r w:rsidRPr="00AA3229">
        <w:rPr>
          <w:color w:val="000000"/>
          <w:sz w:val="24"/>
          <w:szCs w:val="24"/>
        </w:rPr>
        <w:t>Nanoplastics</w:t>
      </w:r>
      <w:proofErr w:type="spellEnd"/>
      <w:r w:rsidRPr="00AA3229">
        <w:rPr>
          <w:color w:val="000000"/>
          <w:sz w:val="24"/>
          <w:szCs w:val="24"/>
        </w:rPr>
        <w:t xml:space="preserve"> and Co-Contaminants in Foods and Environment: Threats to Human Health. Foods, 14(19), 3349. </w:t>
      </w:r>
      <w:hyperlink r:id="rId100">
        <w:r w:rsidR="00625E61" w:rsidRPr="00AA3229">
          <w:rPr>
            <w:color w:val="0000FF"/>
            <w:sz w:val="24"/>
            <w:szCs w:val="24"/>
            <w:u w:val="single"/>
          </w:rPr>
          <w:t>https://doi.org/10.3390/foods14193349</w:t>
        </w:r>
      </w:hyperlink>
      <w:r w:rsidRPr="00AA3229">
        <w:rPr>
          <w:color w:val="000000"/>
          <w:sz w:val="24"/>
          <w:szCs w:val="24"/>
        </w:rPr>
        <w:t xml:space="preserve"> </w:t>
      </w:r>
    </w:p>
    <w:p w14:paraId="0CEEF84C"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61" w:line="259" w:lineRule="auto"/>
        <w:ind w:right="854"/>
        <w:jc w:val="both"/>
        <w:rPr>
          <w:color w:val="000000"/>
          <w:sz w:val="24"/>
          <w:szCs w:val="24"/>
        </w:rPr>
      </w:pPr>
      <w:r w:rsidRPr="00AA3229">
        <w:rPr>
          <w:color w:val="000000"/>
          <w:sz w:val="24"/>
          <w:szCs w:val="24"/>
        </w:rPr>
        <w:t xml:space="preserve">Yada, R. Y., Buck, N., Canady, R., </w:t>
      </w:r>
      <w:proofErr w:type="spellStart"/>
      <w:r w:rsidRPr="00AA3229">
        <w:rPr>
          <w:color w:val="000000"/>
          <w:sz w:val="24"/>
          <w:szCs w:val="24"/>
        </w:rPr>
        <w:t>DeMerlis</w:t>
      </w:r>
      <w:proofErr w:type="spellEnd"/>
      <w:r w:rsidRPr="00AA3229">
        <w:rPr>
          <w:color w:val="000000"/>
          <w:sz w:val="24"/>
          <w:szCs w:val="24"/>
        </w:rPr>
        <w:t xml:space="preserve">, C., Duncan, T., </w:t>
      </w:r>
      <w:proofErr w:type="spellStart"/>
      <w:r w:rsidRPr="00AA3229">
        <w:rPr>
          <w:color w:val="000000"/>
          <w:sz w:val="24"/>
          <w:szCs w:val="24"/>
        </w:rPr>
        <w:t>Janer</w:t>
      </w:r>
      <w:proofErr w:type="spellEnd"/>
      <w:r w:rsidRPr="00AA3229">
        <w:rPr>
          <w:color w:val="000000"/>
          <w:sz w:val="24"/>
          <w:szCs w:val="24"/>
        </w:rPr>
        <w:t xml:space="preserve">, G., </w:t>
      </w:r>
      <w:proofErr w:type="spellStart"/>
      <w:r w:rsidRPr="00AA3229">
        <w:rPr>
          <w:color w:val="000000"/>
          <w:sz w:val="24"/>
          <w:szCs w:val="24"/>
        </w:rPr>
        <w:t>Juneja</w:t>
      </w:r>
      <w:proofErr w:type="spellEnd"/>
      <w:r w:rsidRPr="00AA3229">
        <w:rPr>
          <w:color w:val="000000"/>
          <w:sz w:val="24"/>
          <w:szCs w:val="24"/>
        </w:rPr>
        <w:t xml:space="preserve">, L., Lin, M., McClements, D. J., Noonan, G., Oxley, J., </w:t>
      </w:r>
      <w:proofErr w:type="spellStart"/>
      <w:r w:rsidRPr="00AA3229">
        <w:rPr>
          <w:color w:val="000000"/>
          <w:sz w:val="24"/>
          <w:szCs w:val="24"/>
        </w:rPr>
        <w:t>Sabliov</w:t>
      </w:r>
      <w:proofErr w:type="spellEnd"/>
      <w:r w:rsidRPr="00AA3229">
        <w:rPr>
          <w:color w:val="000000"/>
          <w:sz w:val="24"/>
          <w:szCs w:val="24"/>
        </w:rPr>
        <w:t xml:space="preserve">, C., </w:t>
      </w:r>
      <w:proofErr w:type="spellStart"/>
      <w:r w:rsidRPr="00AA3229">
        <w:rPr>
          <w:color w:val="000000"/>
          <w:sz w:val="24"/>
          <w:szCs w:val="24"/>
        </w:rPr>
        <w:t>Tsytsikova</w:t>
      </w:r>
      <w:proofErr w:type="spellEnd"/>
      <w:r w:rsidRPr="00AA3229">
        <w:rPr>
          <w:color w:val="000000"/>
          <w:sz w:val="24"/>
          <w:szCs w:val="24"/>
        </w:rPr>
        <w:t xml:space="preserve">, L., Vázquez‐Campos, S., </w:t>
      </w:r>
      <w:proofErr w:type="spellStart"/>
      <w:r w:rsidRPr="00AA3229">
        <w:rPr>
          <w:color w:val="000000"/>
          <w:sz w:val="24"/>
          <w:szCs w:val="24"/>
        </w:rPr>
        <w:t>Yourick</w:t>
      </w:r>
      <w:proofErr w:type="spellEnd"/>
      <w:r w:rsidRPr="00AA3229">
        <w:rPr>
          <w:color w:val="000000"/>
          <w:sz w:val="24"/>
          <w:szCs w:val="24"/>
        </w:rPr>
        <w:t>, J., Zhong, Q., &amp; Thurmond, S. (2014). Engineered nanoscale food</w:t>
      </w:r>
      <w:r w:rsidRPr="00AA3229">
        <w:rPr>
          <w:color w:val="000000"/>
          <w:sz w:val="24"/>
          <w:szCs w:val="24"/>
        </w:rPr>
        <w:t xml:space="preserve"> ingredients: Evaluation of current knowledge on material characteristics relevant to uptake from the gastrointestinal tract. Comprehensive Reviews in Food Science and Food Safety, 13(4), 730–744. </w:t>
      </w:r>
      <w:hyperlink r:id="rId101">
        <w:r w:rsidR="00625E61" w:rsidRPr="00AA3229">
          <w:rPr>
            <w:color w:val="0000FF"/>
            <w:sz w:val="24"/>
            <w:szCs w:val="24"/>
            <w:u w:val="single"/>
          </w:rPr>
          <w:t>https://doi.org/10.1111/1541-4337.12076</w:t>
        </w:r>
      </w:hyperlink>
      <w:r w:rsidRPr="00AA3229">
        <w:rPr>
          <w:color w:val="000000"/>
          <w:sz w:val="24"/>
          <w:szCs w:val="24"/>
        </w:rPr>
        <w:t xml:space="preserve"> </w:t>
      </w:r>
    </w:p>
    <w:p w14:paraId="46B8221F" w14:textId="77777777" w:rsidR="00625E61" w:rsidRPr="00AA3229" w:rsidRDefault="005C4DDE" w:rsidP="00AA3229">
      <w:pPr>
        <w:pStyle w:val="ListParagraph"/>
        <w:numPr>
          <w:ilvl w:val="0"/>
          <w:numId w:val="2"/>
        </w:numPr>
        <w:tabs>
          <w:tab w:val="left" w:pos="9356"/>
        </w:tabs>
        <w:spacing w:before="19"/>
        <w:ind w:right="854"/>
        <w:jc w:val="both"/>
        <w:rPr>
          <w:sz w:val="24"/>
          <w:szCs w:val="24"/>
        </w:rPr>
      </w:pPr>
      <w:r w:rsidRPr="00AA3229">
        <w:rPr>
          <w:color w:val="000000"/>
          <w:sz w:val="24"/>
          <w:szCs w:val="24"/>
        </w:rPr>
        <w:t xml:space="preserve">Yang, Y., </w:t>
      </w:r>
      <w:proofErr w:type="spellStart"/>
      <w:r w:rsidRPr="00AA3229">
        <w:rPr>
          <w:color w:val="000000"/>
          <w:sz w:val="24"/>
          <w:szCs w:val="24"/>
        </w:rPr>
        <w:t>Doudrick</w:t>
      </w:r>
      <w:proofErr w:type="spellEnd"/>
      <w:r w:rsidRPr="00AA3229">
        <w:rPr>
          <w:color w:val="000000"/>
          <w:sz w:val="24"/>
          <w:szCs w:val="24"/>
        </w:rPr>
        <w:t xml:space="preserve">, K., Bi, X., </w:t>
      </w:r>
      <w:proofErr w:type="spellStart"/>
      <w:r w:rsidRPr="00AA3229">
        <w:rPr>
          <w:color w:val="000000"/>
          <w:sz w:val="24"/>
          <w:szCs w:val="24"/>
        </w:rPr>
        <w:t>Hristovski</w:t>
      </w:r>
      <w:proofErr w:type="spellEnd"/>
      <w:r w:rsidRPr="00AA3229">
        <w:rPr>
          <w:color w:val="000000"/>
          <w:sz w:val="24"/>
          <w:szCs w:val="24"/>
        </w:rPr>
        <w:t xml:space="preserve">, K., </w:t>
      </w:r>
      <w:proofErr w:type="spellStart"/>
      <w:r w:rsidRPr="00AA3229">
        <w:rPr>
          <w:color w:val="000000"/>
          <w:sz w:val="24"/>
          <w:szCs w:val="24"/>
        </w:rPr>
        <w:t>Herckes</w:t>
      </w:r>
      <w:proofErr w:type="spellEnd"/>
      <w:r w:rsidRPr="00AA3229">
        <w:rPr>
          <w:color w:val="000000"/>
          <w:sz w:val="24"/>
          <w:szCs w:val="24"/>
        </w:rPr>
        <w:t xml:space="preserve">, P., </w:t>
      </w:r>
      <w:proofErr w:type="spellStart"/>
      <w:r w:rsidRPr="00AA3229">
        <w:rPr>
          <w:color w:val="000000"/>
          <w:sz w:val="24"/>
          <w:szCs w:val="24"/>
        </w:rPr>
        <w:t>Westerhoff</w:t>
      </w:r>
      <w:proofErr w:type="spellEnd"/>
      <w:r w:rsidRPr="00AA3229">
        <w:rPr>
          <w:color w:val="000000"/>
          <w:sz w:val="24"/>
          <w:szCs w:val="24"/>
        </w:rPr>
        <w:t xml:space="preserve">, P., &amp; </w:t>
      </w:r>
      <w:proofErr w:type="spellStart"/>
      <w:r w:rsidRPr="00AA3229">
        <w:rPr>
          <w:color w:val="000000"/>
          <w:sz w:val="24"/>
          <w:szCs w:val="24"/>
        </w:rPr>
        <w:t>Kaegi</w:t>
      </w:r>
      <w:proofErr w:type="spellEnd"/>
      <w:r w:rsidRPr="00AA3229">
        <w:rPr>
          <w:color w:val="000000"/>
          <w:sz w:val="24"/>
          <w:szCs w:val="24"/>
        </w:rPr>
        <w:t>, R. (2014). Characterization of food-grade titanium dioxide: The presence of nanosized particles. Environmental Science &amp; Technolo</w:t>
      </w:r>
      <w:r w:rsidRPr="00AA3229">
        <w:rPr>
          <w:color w:val="000000"/>
          <w:sz w:val="24"/>
          <w:szCs w:val="24"/>
        </w:rPr>
        <w:t xml:space="preserve">gy, 48(11), 6391–6400. </w:t>
      </w:r>
      <w:hyperlink r:id="rId102">
        <w:r w:rsidR="00625E61" w:rsidRPr="00AA3229">
          <w:rPr>
            <w:color w:val="0000FF"/>
            <w:sz w:val="24"/>
            <w:szCs w:val="24"/>
            <w:u w:val="single"/>
          </w:rPr>
          <w:t>https://doi.org/10.1021/es500436x</w:t>
        </w:r>
      </w:hyperlink>
      <w:r w:rsidRPr="00AA3229">
        <w:rPr>
          <w:color w:val="000000"/>
          <w:sz w:val="24"/>
          <w:szCs w:val="24"/>
        </w:rPr>
        <w:t xml:space="preserve"> </w:t>
      </w:r>
    </w:p>
    <w:p w14:paraId="2101E70A"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184"/>
        <w:ind w:right="854"/>
        <w:jc w:val="both"/>
        <w:rPr>
          <w:sz w:val="24"/>
          <w:szCs w:val="24"/>
        </w:rPr>
      </w:pPr>
      <w:r w:rsidRPr="00AA3229">
        <w:rPr>
          <w:color w:val="000000"/>
          <w:sz w:val="24"/>
          <w:szCs w:val="24"/>
        </w:rPr>
        <w:t xml:space="preserve">Yao, M., McClements, D. J., &amp; Xiao, H. (2015). Improving oral bioavailability of nutraceuticals by engineered nanoparticle-based delivery systems. Current Opinion in Food Science, 2, 14–19. </w:t>
      </w:r>
      <w:hyperlink r:id="rId103">
        <w:r w:rsidR="00625E61" w:rsidRPr="00AA3229">
          <w:rPr>
            <w:color w:val="0000FF"/>
            <w:sz w:val="24"/>
            <w:szCs w:val="24"/>
            <w:u w:val="single"/>
          </w:rPr>
          <w:t>https://doi.org/10.1016/j.cofs.2014.12.005</w:t>
        </w:r>
      </w:hyperlink>
      <w:r w:rsidRPr="00AA3229">
        <w:rPr>
          <w:color w:val="000000"/>
          <w:sz w:val="24"/>
          <w:szCs w:val="24"/>
        </w:rPr>
        <w:t xml:space="preserve"> </w:t>
      </w:r>
    </w:p>
    <w:p w14:paraId="61093410"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5"/>
        <w:ind w:right="854"/>
        <w:jc w:val="both"/>
        <w:rPr>
          <w:color w:val="000000"/>
          <w:sz w:val="24"/>
          <w:szCs w:val="24"/>
        </w:rPr>
      </w:pPr>
      <w:r w:rsidRPr="00AA3229">
        <w:rPr>
          <w:color w:val="000000"/>
          <w:sz w:val="24"/>
          <w:szCs w:val="24"/>
        </w:rPr>
        <w:t xml:space="preserve">Yang, W., Wang, K., Evan, M. M., DeAngelis, P. L., &amp; Wilhelm, S. (2021). Nanoparticle Toxicology. Annual Review of Pharmacology and Toxicology, 61, 269-289. </w:t>
      </w:r>
      <w:hyperlink r:id="rId104">
        <w:r w:rsidR="00625E61" w:rsidRPr="00AA3229">
          <w:rPr>
            <w:color w:val="0000FF"/>
            <w:sz w:val="24"/>
            <w:szCs w:val="24"/>
            <w:u w:val="single"/>
          </w:rPr>
          <w:t>https://doi.org/10.1146/annurev-pharmtox-032320-110338</w:t>
        </w:r>
      </w:hyperlink>
      <w:r w:rsidRPr="00AA3229">
        <w:rPr>
          <w:color w:val="000000"/>
          <w:sz w:val="24"/>
          <w:szCs w:val="24"/>
        </w:rPr>
        <w:t xml:space="preserve">  </w:t>
      </w:r>
    </w:p>
    <w:p w14:paraId="391F23F4" w14:textId="77777777" w:rsidR="00625E61" w:rsidRDefault="00625E61" w:rsidP="00B778B8">
      <w:pPr>
        <w:pBdr>
          <w:top w:val="nil"/>
          <w:left w:val="nil"/>
          <w:bottom w:val="nil"/>
          <w:right w:val="nil"/>
          <w:between w:val="nil"/>
        </w:pBdr>
        <w:tabs>
          <w:tab w:val="left" w:pos="9356"/>
        </w:tabs>
        <w:spacing w:before="5"/>
        <w:ind w:left="165" w:right="854"/>
        <w:jc w:val="both"/>
        <w:rPr>
          <w:color w:val="000000"/>
          <w:sz w:val="24"/>
          <w:szCs w:val="24"/>
        </w:rPr>
      </w:pPr>
    </w:p>
    <w:p w14:paraId="7AB30ED2" w14:textId="77777777" w:rsidR="00625E61" w:rsidRPr="00AA3229" w:rsidRDefault="005C4DDE" w:rsidP="00AA3229">
      <w:pPr>
        <w:pStyle w:val="ListParagraph"/>
        <w:numPr>
          <w:ilvl w:val="0"/>
          <w:numId w:val="2"/>
        </w:numPr>
        <w:pBdr>
          <w:top w:val="nil"/>
          <w:left w:val="nil"/>
          <w:bottom w:val="nil"/>
          <w:right w:val="nil"/>
          <w:between w:val="nil"/>
        </w:pBdr>
        <w:tabs>
          <w:tab w:val="left" w:pos="9356"/>
        </w:tabs>
        <w:spacing w:before="5"/>
        <w:ind w:right="854"/>
        <w:jc w:val="both"/>
        <w:rPr>
          <w:color w:val="000000"/>
          <w:sz w:val="24"/>
          <w:szCs w:val="24"/>
        </w:rPr>
      </w:pPr>
      <w:proofErr w:type="spellStart"/>
      <w:r w:rsidRPr="00AA3229">
        <w:rPr>
          <w:color w:val="000000"/>
          <w:sz w:val="24"/>
          <w:szCs w:val="24"/>
        </w:rPr>
        <w:t>Ziental</w:t>
      </w:r>
      <w:proofErr w:type="spellEnd"/>
      <w:r w:rsidRPr="00AA3229">
        <w:rPr>
          <w:color w:val="000000"/>
          <w:sz w:val="24"/>
          <w:szCs w:val="24"/>
        </w:rPr>
        <w:t xml:space="preserve">, D., </w:t>
      </w:r>
      <w:proofErr w:type="spellStart"/>
      <w:r w:rsidRPr="00AA3229">
        <w:rPr>
          <w:color w:val="000000"/>
          <w:sz w:val="24"/>
          <w:szCs w:val="24"/>
        </w:rPr>
        <w:t>Czarczynska-Goslinska</w:t>
      </w:r>
      <w:proofErr w:type="spellEnd"/>
      <w:r w:rsidRPr="00AA3229">
        <w:rPr>
          <w:color w:val="000000"/>
          <w:sz w:val="24"/>
          <w:szCs w:val="24"/>
        </w:rPr>
        <w:t xml:space="preserve">, B., </w:t>
      </w:r>
      <w:proofErr w:type="spellStart"/>
      <w:r w:rsidRPr="00AA3229">
        <w:rPr>
          <w:color w:val="000000"/>
          <w:sz w:val="24"/>
          <w:szCs w:val="24"/>
        </w:rPr>
        <w:t>Mlynarczyk</w:t>
      </w:r>
      <w:proofErr w:type="spellEnd"/>
      <w:r w:rsidRPr="00AA3229">
        <w:rPr>
          <w:color w:val="000000"/>
          <w:sz w:val="24"/>
          <w:szCs w:val="24"/>
        </w:rPr>
        <w:t xml:space="preserve">, D. T., </w:t>
      </w:r>
      <w:proofErr w:type="spellStart"/>
      <w:r w:rsidRPr="00AA3229">
        <w:rPr>
          <w:color w:val="000000"/>
          <w:sz w:val="24"/>
          <w:szCs w:val="24"/>
        </w:rPr>
        <w:t>Glowacka-Sobotta</w:t>
      </w:r>
      <w:proofErr w:type="spellEnd"/>
      <w:r w:rsidRPr="00AA3229">
        <w:rPr>
          <w:color w:val="000000"/>
          <w:sz w:val="24"/>
          <w:szCs w:val="24"/>
        </w:rPr>
        <w:t xml:space="preserve">, A., </w:t>
      </w:r>
      <w:proofErr w:type="spellStart"/>
      <w:r w:rsidRPr="00AA3229">
        <w:rPr>
          <w:color w:val="000000"/>
          <w:sz w:val="24"/>
          <w:szCs w:val="24"/>
        </w:rPr>
        <w:t>Stanisz</w:t>
      </w:r>
      <w:proofErr w:type="spellEnd"/>
      <w:r w:rsidRPr="00AA3229">
        <w:rPr>
          <w:color w:val="000000"/>
          <w:sz w:val="24"/>
          <w:szCs w:val="24"/>
        </w:rPr>
        <w:t xml:space="preserve">, B., </w:t>
      </w:r>
      <w:proofErr w:type="spellStart"/>
      <w:r w:rsidRPr="00AA3229">
        <w:rPr>
          <w:color w:val="000000"/>
          <w:sz w:val="24"/>
          <w:szCs w:val="24"/>
        </w:rPr>
        <w:t>Goslinski</w:t>
      </w:r>
      <w:proofErr w:type="spellEnd"/>
      <w:r w:rsidRPr="00AA3229">
        <w:rPr>
          <w:color w:val="000000"/>
          <w:sz w:val="24"/>
          <w:szCs w:val="24"/>
        </w:rPr>
        <w:t xml:space="preserve">, T., &amp; </w:t>
      </w:r>
      <w:proofErr w:type="spellStart"/>
      <w:r w:rsidRPr="00AA3229">
        <w:rPr>
          <w:color w:val="000000"/>
          <w:sz w:val="24"/>
          <w:szCs w:val="24"/>
        </w:rPr>
        <w:t>Sobotta</w:t>
      </w:r>
      <w:proofErr w:type="spellEnd"/>
      <w:r w:rsidRPr="00AA3229">
        <w:rPr>
          <w:color w:val="000000"/>
          <w:sz w:val="24"/>
          <w:szCs w:val="24"/>
        </w:rPr>
        <w:t xml:space="preserve">, L. (2020). Titanium Dioxide Nanoparticles: Prospects and Applications in Medicine. Nanomaterials, 10(2), 387. </w:t>
      </w:r>
      <w:hyperlink r:id="rId105">
        <w:r w:rsidR="00625E61" w:rsidRPr="00AA3229">
          <w:rPr>
            <w:color w:val="0000FF"/>
            <w:sz w:val="24"/>
            <w:szCs w:val="24"/>
            <w:u w:val="single"/>
          </w:rPr>
          <w:t>https://doi.org/10.3390/nano10020387</w:t>
        </w:r>
      </w:hyperlink>
      <w:r w:rsidRPr="00AA3229">
        <w:rPr>
          <w:color w:val="000000"/>
          <w:sz w:val="24"/>
          <w:szCs w:val="24"/>
        </w:rPr>
        <w:t xml:space="preserve"> </w:t>
      </w:r>
    </w:p>
    <w:p w14:paraId="424C7D8F" w14:textId="77777777" w:rsidR="00625E61" w:rsidRDefault="00625E61" w:rsidP="00B778B8">
      <w:pPr>
        <w:pBdr>
          <w:top w:val="nil"/>
          <w:left w:val="nil"/>
          <w:bottom w:val="nil"/>
          <w:right w:val="nil"/>
          <w:between w:val="nil"/>
        </w:pBdr>
        <w:tabs>
          <w:tab w:val="left" w:pos="9356"/>
        </w:tabs>
        <w:spacing w:before="5"/>
        <w:ind w:left="165" w:right="854"/>
        <w:jc w:val="both"/>
        <w:rPr>
          <w:color w:val="000000"/>
          <w:sz w:val="24"/>
          <w:szCs w:val="24"/>
        </w:rPr>
      </w:pPr>
    </w:p>
    <w:p w14:paraId="2F27195D" w14:textId="77777777" w:rsidR="007C3F2F" w:rsidRDefault="005C4DDE" w:rsidP="00AA3229">
      <w:pPr>
        <w:pStyle w:val="ListParagraph"/>
        <w:numPr>
          <w:ilvl w:val="0"/>
          <w:numId w:val="2"/>
        </w:numPr>
        <w:pBdr>
          <w:top w:val="nil"/>
          <w:left w:val="nil"/>
          <w:bottom w:val="nil"/>
          <w:right w:val="nil"/>
          <w:between w:val="nil"/>
        </w:pBdr>
        <w:tabs>
          <w:tab w:val="left" w:pos="9356"/>
        </w:tabs>
        <w:spacing w:before="5"/>
        <w:ind w:right="854"/>
        <w:jc w:val="both"/>
      </w:pPr>
      <w:r w:rsidRPr="00AA3229">
        <w:rPr>
          <w:color w:val="000000"/>
          <w:sz w:val="24"/>
          <w:szCs w:val="24"/>
        </w:rPr>
        <w:t xml:space="preserve">Zhou, H., &amp; McClements, D. J. (2022). Recent Advances in the Gastrointestinal Fate of Organic and Inorganic Nanoparticles in Foods. Nanomaterials. </w:t>
      </w:r>
      <w:hyperlink r:id="rId106">
        <w:r w:rsidR="00625E61" w:rsidRPr="00AA3229">
          <w:rPr>
            <w:color w:val="0000FF"/>
            <w:sz w:val="24"/>
            <w:szCs w:val="24"/>
            <w:u w:val="single"/>
          </w:rPr>
          <w:t>https://doi.org/10.3390/nano12071099</w:t>
        </w:r>
      </w:hyperlink>
    </w:p>
    <w:p w14:paraId="77FFF03E" w14:textId="77777777" w:rsidR="007C3F2F" w:rsidRDefault="007C3F2F" w:rsidP="00B778B8">
      <w:pPr>
        <w:pBdr>
          <w:top w:val="nil"/>
          <w:left w:val="nil"/>
          <w:bottom w:val="nil"/>
          <w:right w:val="nil"/>
          <w:between w:val="nil"/>
        </w:pBdr>
        <w:tabs>
          <w:tab w:val="left" w:pos="9356"/>
        </w:tabs>
        <w:spacing w:before="5"/>
        <w:ind w:left="165" w:right="854"/>
        <w:jc w:val="both"/>
      </w:pPr>
    </w:p>
    <w:p w14:paraId="162216BD" w14:textId="3327D2C4" w:rsidR="007C3F2F" w:rsidRPr="00AA3229" w:rsidRDefault="007C3F2F" w:rsidP="00AA3229">
      <w:pPr>
        <w:pStyle w:val="ListParagraph"/>
        <w:numPr>
          <w:ilvl w:val="0"/>
          <w:numId w:val="2"/>
        </w:numPr>
        <w:ind w:right="854"/>
        <w:jc w:val="both"/>
        <w:rPr>
          <w:color w:val="000000"/>
          <w:sz w:val="24"/>
          <w:szCs w:val="24"/>
        </w:rPr>
      </w:pPr>
      <w:proofErr w:type="spellStart"/>
      <w:r w:rsidRPr="00AA3229">
        <w:rPr>
          <w:color w:val="000000"/>
          <w:sz w:val="24"/>
          <w:szCs w:val="24"/>
        </w:rPr>
        <w:t>Wrześniewska</w:t>
      </w:r>
      <w:proofErr w:type="spellEnd"/>
      <w:r w:rsidRPr="00AA3229">
        <w:rPr>
          <w:color w:val="000000"/>
          <w:sz w:val="24"/>
          <w:szCs w:val="24"/>
        </w:rPr>
        <w:t xml:space="preserve">-Wal I., </w:t>
      </w:r>
      <w:proofErr w:type="spellStart"/>
      <w:r w:rsidRPr="00AA3229">
        <w:rPr>
          <w:color w:val="000000"/>
          <w:sz w:val="24"/>
          <w:szCs w:val="24"/>
        </w:rPr>
        <w:t>Dminiak</w:t>
      </w:r>
      <w:proofErr w:type="spellEnd"/>
      <w:r w:rsidRPr="00AA3229">
        <w:rPr>
          <w:color w:val="000000"/>
          <w:sz w:val="24"/>
          <w:szCs w:val="24"/>
        </w:rPr>
        <w:t xml:space="preserve"> B., Wal A., </w:t>
      </w:r>
      <w:proofErr w:type="spellStart"/>
      <w:r w:rsidRPr="00AA3229">
        <w:rPr>
          <w:color w:val="000000"/>
          <w:sz w:val="24"/>
          <w:szCs w:val="24"/>
        </w:rPr>
        <w:t>Gralak</w:t>
      </w:r>
      <w:proofErr w:type="spellEnd"/>
      <w:r w:rsidRPr="00AA3229">
        <w:rPr>
          <w:color w:val="000000"/>
          <w:sz w:val="24"/>
          <w:szCs w:val="24"/>
        </w:rPr>
        <w:t xml:space="preserve"> AW, (2025). Regulatory challenges of nanomaterials in food and feed. Acta </w:t>
      </w:r>
      <w:proofErr w:type="spellStart"/>
      <w:r w:rsidRPr="00AA3229">
        <w:rPr>
          <w:color w:val="000000"/>
          <w:sz w:val="24"/>
          <w:szCs w:val="24"/>
        </w:rPr>
        <w:t>Alimentaria</w:t>
      </w:r>
      <w:proofErr w:type="spellEnd"/>
      <w:r w:rsidRPr="00AA3229">
        <w:rPr>
          <w:color w:val="000000"/>
          <w:sz w:val="24"/>
          <w:szCs w:val="24"/>
        </w:rPr>
        <w:t xml:space="preserve"> 54(4):576-590, DOI: 10.1556/066.2025.00259</w:t>
      </w:r>
    </w:p>
    <w:p w14:paraId="0B79A6C0" w14:textId="0A04DF87" w:rsidR="00625E61" w:rsidRDefault="005C4DDE" w:rsidP="00B778B8">
      <w:pPr>
        <w:pBdr>
          <w:top w:val="nil"/>
          <w:left w:val="nil"/>
          <w:bottom w:val="nil"/>
          <w:right w:val="nil"/>
          <w:between w:val="nil"/>
        </w:pBdr>
        <w:tabs>
          <w:tab w:val="left" w:pos="9356"/>
        </w:tabs>
        <w:spacing w:before="5"/>
        <w:ind w:left="165" w:right="854"/>
        <w:jc w:val="both"/>
        <w:rPr>
          <w:color w:val="000000"/>
          <w:sz w:val="24"/>
          <w:szCs w:val="24"/>
        </w:rPr>
      </w:pPr>
      <w:r>
        <w:rPr>
          <w:color w:val="000000"/>
          <w:sz w:val="24"/>
          <w:szCs w:val="24"/>
        </w:rPr>
        <w:t xml:space="preserve"> </w:t>
      </w:r>
    </w:p>
    <w:sectPr w:rsidR="00625E61">
      <w:headerReference w:type="even" r:id="rId107"/>
      <w:headerReference w:type="default" r:id="rId108"/>
      <w:footerReference w:type="even" r:id="rId109"/>
      <w:footerReference w:type="default" r:id="rId110"/>
      <w:headerReference w:type="first" r:id="rId111"/>
      <w:footerReference w:type="first" r:id="rId112"/>
      <w:pgSz w:w="11910" w:h="16840"/>
      <w:pgMar w:top="1380" w:right="283" w:bottom="280" w:left="1275"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7B322" w14:textId="77777777" w:rsidR="005C4DDE" w:rsidRDefault="005C4DDE">
      <w:r>
        <w:separator/>
      </w:r>
    </w:p>
  </w:endnote>
  <w:endnote w:type="continuationSeparator" w:id="0">
    <w:p w14:paraId="627BC3B7" w14:textId="77777777" w:rsidR="005C4DDE" w:rsidRDefault="005C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381CFC-3A5E-42EA-B966-CBB4A2D49B0B}"/>
  </w:font>
  <w:font w:name="Cardo">
    <w:charset w:val="00"/>
    <w:family w:val="auto"/>
    <w:pitch w:val="default"/>
    <w:embedRegular r:id="rId2" w:fontKey="{874C5F67-AAF4-4892-AEB7-7604F7B40506}"/>
  </w:font>
  <w:font w:name="Inter">
    <w:charset w:val="00"/>
    <w:family w:val="auto"/>
    <w:pitch w:val="default"/>
    <w:embedRegular r:id="rId3" w:fontKey="{707BD277-0D46-48A3-A15E-835074DEC453}"/>
  </w:font>
  <w:font w:name="Calibri">
    <w:panose1 w:val="020F0502020204030204"/>
    <w:charset w:val="00"/>
    <w:family w:val="swiss"/>
    <w:pitch w:val="variable"/>
    <w:sig w:usb0="E4002EFF" w:usb1="C000247B" w:usb2="00000009" w:usb3="00000000" w:csb0="000001FF" w:csb1="00000000"/>
    <w:embedRegular r:id="rId4" w:fontKey="{3FC01C2E-6136-4DAA-A7DC-98AED3D46BEC}"/>
  </w:font>
  <w:font w:name="Cambria">
    <w:panose1 w:val="02040503050406030204"/>
    <w:charset w:val="00"/>
    <w:family w:val="roman"/>
    <w:pitch w:val="variable"/>
    <w:sig w:usb0="E00006FF" w:usb1="420024FF" w:usb2="02000000" w:usb3="00000000" w:csb0="0000019F" w:csb1="00000000"/>
    <w:embedRegular r:id="rId5" w:fontKey="{FAB008CB-81FC-427E-BCCB-C709D3E3AB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E2EF" w14:textId="77777777" w:rsidR="00625E61" w:rsidRDefault="00625E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6353" w14:textId="77777777" w:rsidR="00625E61" w:rsidRDefault="00625E6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A883" w14:textId="77777777" w:rsidR="00625E61" w:rsidRDefault="00625E6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969FD" w14:textId="77777777" w:rsidR="005C4DDE" w:rsidRDefault="005C4DDE">
      <w:r>
        <w:separator/>
      </w:r>
    </w:p>
  </w:footnote>
  <w:footnote w:type="continuationSeparator" w:id="0">
    <w:p w14:paraId="78B5FF6F" w14:textId="77777777" w:rsidR="005C4DDE" w:rsidRDefault="005C4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BF4DD" w14:textId="77777777" w:rsidR="00625E61" w:rsidRDefault="005C4DDE">
    <w:pPr>
      <w:pBdr>
        <w:top w:val="nil"/>
        <w:left w:val="nil"/>
        <w:bottom w:val="nil"/>
        <w:right w:val="nil"/>
        <w:between w:val="nil"/>
      </w:pBdr>
      <w:tabs>
        <w:tab w:val="center" w:pos="4680"/>
        <w:tab w:val="right" w:pos="9360"/>
      </w:tabs>
      <w:rPr>
        <w:color w:val="000000"/>
      </w:rPr>
    </w:pPr>
    <w:r>
      <w:rPr>
        <w:color w:val="000000"/>
      </w:rPr>
      <w:pict w14:anchorId="49199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55.7pt;height:73.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2A55" w14:textId="77777777" w:rsidR="00625E61" w:rsidRDefault="005C4DDE">
    <w:pPr>
      <w:pBdr>
        <w:top w:val="nil"/>
        <w:left w:val="nil"/>
        <w:bottom w:val="nil"/>
        <w:right w:val="nil"/>
        <w:between w:val="nil"/>
      </w:pBdr>
      <w:tabs>
        <w:tab w:val="center" w:pos="4680"/>
        <w:tab w:val="right" w:pos="9360"/>
      </w:tabs>
      <w:rPr>
        <w:color w:val="000000"/>
      </w:rPr>
    </w:pPr>
    <w:r>
      <w:rPr>
        <w:color w:val="000000"/>
      </w:rPr>
      <w:pict w14:anchorId="7707F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55.7pt;height:73.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46879" w14:textId="77777777" w:rsidR="00625E61" w:rsidRDefault="005C4DDE">
    <w:pPr>
      <w:pBdr>
        <w:top w:val="nil"/>
        <w:left w:val="nil"/>
        <w:bottom w:val="nil"/>
        <w:right w:val="nil"/>
        <w:between w:val="nil"/>
      </w:pBdr>
      <w:tabs>
        <w:tab w:val="center" w:pos="4680"/>
        <w:tab w:val="right" w:pos="9360"/>
      </w:tabs>
      <w:rPr>
        <w:color w:val="000000"/>
      </w:rPr>
    </w:pPr>
    <w:r>
      <w:rPr>
        <w:color w:val="000000"/>
      </w:rPr>
      <w:pict w14:anchorId="0778C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55.7pt;height:73.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A0385"/>
    <w:multiLevelType w:val="hybridMultilevel"/>
    <w:tmpl w:val="31BAFB42"/>
    <w:lvl w:ilvl="0" w:tplc="1124F8B0">
      <w:start w:val="1"/>
      <w:numFmt w:val="lowerRoman"/>
      <w:lvlText w:val="(%1)"/>
      <w:lvlJc w:val="left"/>
      <w:pPr>
        <w:ind w:left="885" w:hanging="720"/>
      </w:pPr>
      <w:rPr>
        <w:rFonts w:hint="default"/>
      </w:rPr>
    </w:lvl>
    <w:lvl w:ilvl="1" w:tplc="40090019" w:tentative="1">
      <w:start w:val="1"/>
      <w:numFmt w:val="lowerLetter"/>
      <w:lvlText w:val="%2."/>
      <w:lvlJc w:val="left"/>
      <w:pPr>
        <w:ind w:left="1245" w:hanging="360"/>
      </w:pPr>
    </w:lvl>
    <w:lvl w:ilvl="2" w:tplc="4009001B" w:tentative="1">
      <w:start w:val="1"/>
      <w:numFmt w:val="lowerRoman"/>
      <w:lvlText w:val="%3."/>
      <w:lvlJc w:val="right"/>
      <w:pPr>
        <w:ind w:left="1965" w:hanging="180"/>
      </w:pPr>
    </w:lvl>
    <w:lvl w:ilvl="3" w:tplc="4009000F" w:tentative="1">
      <w:start w:val="1"/>
      <w:numFmt w:val="decimal"/>
      <w:lvlText w:val="%4."/>
      <w:lvlJc w:val="left"/>
      <w:pPr>
        <w:ind w:left="2685" w:hanging="360"/>
      </w:pPr>
    </w:lvl>
    <w:lvl w:ilvl="4" w:tplc="40090019" w:tentative="1">
      <w:start w:val="1"/>
      <w:numFmt w:val="lowerLetter"/>
      <w:lvlText w:val="%5."/>
      <w:lvlJc w:val="left"/>
      <w:pPr>
        <w:ind w:left="3405" w:hanging="360"/>
      </w:pPr>
    </w:lvl>
    <w:lvl w:ilvl="5" w:tplc="4009001B" w:tentative="1">
      <w:start w:val="1"/>
      <w:numFmt w:val="lowerRoman"/>
      <w:lvlText w:val="%6."/>
      <w:lvlJc w:val="right"/>
      <w:pPr>
        <w:ind w:left="4125" w:hanging="180"/>
      </w:pPr>
    </w:lvl>
    <w:lvl w:ilvl="6" w:tplc="4009000F" w:tentative="1">
      <w:start w:val="1"/>
      <w:numFmt w:val="decimal"/>
      <w:lvlText w:val="%7."/>
      <w:lvlJc w:val="left"/>
      <w:pPr>
        <w:ind w:left="4845" w:hanging="360"/>
      </w:pPr>
    </w:lvl>
    <w:lvl w:ilvl="7" w:tplc="40090019" w:tentative="1">
      <w:start w:val="1"/>
      <w:numFmt w:val="lowerLetter"/>
      <w:lvlText w:val="%8."/>
      <w:lvlJc w:val="left"/>
      <w:pPr>
        <w:ind w:left="5565" w:hanging="360"/>
      </w:pPr>
    </w:lvl>
    <w:lvl w:ilvl="8" w:tplc="4009001B" w:tentative="1">
      <w:start w:val="1"/>
      <w:numFmt w:val="lowerRoman"/>
      <w:lvlText w:val="%9."/>
      <w:lvlJc w:val="right"/>
      <w:pPr>
        <w:ind w:left="6285" w:hanging="180"/>
      </w:pPr>
    </w:lvl>
  </w:abstractNum>
  <w:abstractNum w:abstractNumId="1" w15:restartNumberingAfterBreak="0">
    <w:nsid w:val="697339B3"/>
    <w:multiLevelType w:val="hybridMultilevel"/>
    <w:tmpl w:val="A3D0D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E61"/>
    <w:rsid w:val="00103093"/>
    <w:rsid w:val="00157DF1"/>
    <w:rsid w:val="001B1AC3"/>
    <w:rsid w:val="001D1FB5"/>
    <w:rsid w:val="00203D73"/>
    <w:rsid w:val="00223202"/>
    <w:rsid w:val="0026204F"/>
    <w:rsid w:val="002759A1"/>
    <w:rsid w:val="002A4667"/>
    <w:rsid w:val="003402F2"/>
    <w:rsid w:val="00347E8D"/>
    <w:rsid w:val="00394D71"/>
    <w:rsid w:val="003B0FED"/>
    <w:rsid w:val="003C1A3A"/>
    <w:rsid w:val="003E507B"/>
    <w:rsid w:val="00514F76"/>
    <w:rsid w:val="00591EA8"/>
    <w:rsid w:val="005C4DDE"/>
    <w:rsid w:val="00615A8D"/>
    <w:rsid w:val="00625E61"/>
    <w:rsid w:val="0067283A"/>
    <w:rsid w:val="006B0014"/>
    <w:rsid w:val="00726901"/>
    <w:rsid w:val="007A2C00"/>
    <w:rsid w:val="007A3A8C"/>
    <w:rsid w:val="007B5C4D"/>
    <w:rsid w:val="007C3F2F"/>
    <w:rsid w:val="008146A7"/>
    <w:rsid w:val="008235A0"/>
    <w:rsid w:val="00970CBA"/>
    <w:rsid w:val="00972EFE"/>
    <w:rsid w:val="009A25C8"/>
    <w:rsid w:val="00A07301"/>
    <w:rsid w:val="00A2235E"/>
    <w:rsid w:val="00A63E26"/>
    <w:rsid w:val="00AA3229"/>
    <w:rsid w:val="00AA3D1C"/>
    <w:rsid w:val="00AF2809"/>
    <w:rsid w:val="00B5181B"/>
    <w:rsid w:val="00B778B8"/>
    <w:rsid w:val="00B93A1F"/>
    <w:rsid w:val="00B94E93"/>
    <w:rsid w:val="00BB6DC6"/>
    <w:rsid w:val="00BC6525"/>
    <w:rsid w:val="00C01D28"/>
    <w:rsid w:val="00C35ED1"/>
    <w:rsid w:val="00C51E7A"/>
    <w:rsid w:val="00C5372F"/>
    <w:rsid w:val="00C93AE0"/>
    <w:rsid w:val="00D13B4B"/>
    <w:rsid w:val="00D84481"/>
    <w:rsid w:val="00D97E50"/>
    <w:rsid w:val="00DB0A5B"/>
    <w:rsid w:val="00DB44EB"/>
    <w:rsid w:val="00DB5056"/>
    <w:rsid w:val="00DF7E98"/>
    <w:rsid w:val="00E24E1F"/>
    <w:rsid w:val="00E8627F"/>
    <w:rsid w:val="00F00949"/>
    <w:rsid w:val="00F308CE"/>
    <w:rsid w:val="00F435DC"/>
    <w:rsid w:val="00F47704"/>
    <w:rsid w:val="00F72E0A"/>
    <w:rsid w:val="00F816AB"/>
    <w:rsid w:val="00FB58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68B3B"/>
  <w15:docId w15:val="{E1ED9857-BA3B-44BA-82A4-C0232E48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59"/>
      <w:ind w:left="165"/>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2"/>
      <w:ind w:right="992"/>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A07301"/>
    <w:rPr>
      <w:b/>
      <w:bCs/>
      <w:sz w:val="24"/>
      <w:szCs w:val="24"/>
    </w:rPr>
  </w:style>
  <w:style w:type="paragraph" w:styleId="ListParagraph">
    <w:name w:val="List Paragraph"/>
    <w:basedOn w:val="Normal"/>
    <w:uiPriority w:val="34"/>
    <w:qFormat/>
    <w:rsid w:val="00103093"/>
    <w:pPr>
      <w:ind w:left="720"/>
      <w:contextualSpacing/>
    </w:pPr>
  </w:style>
  <w:style w:type="character" w:styleId="Hyperlink">
    <w:name w:val="Hyperlink"/>
    <w:basedOn w:val="DefaultParagraphFont"/>
    <w:uiPriority w:val="99"/>
    <w:unhideWhenUsed/>
    <w:rsid w:val="00BC6525"/>
    <w:rPr>
      <w:color w:val="0000FF" w:themeColor="hyperlink"/>
      <w:u w:val="single"/>
    </w:rPr>
  </w:style>
  <w:style w:type="character" w:styleId="UnresolvedMention">
    <w:name w:val="Unresolved Mention"/>
    <w:basedOn w:val="DefaultParagraphFont"/>
    <w:uiPriority w:val="99"/>
    <w:semiHidden/>
    <w:unhideWhenUsed/>
    <w:rsid w:val="00BC6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90/ijms23147597" TargetMode="External"/><Relationship Id="rId21" Type="http://schemas.openxmlformats.org/officeDocument/2006/relationships/hyperlink" Target="https://doi.org/10.3390/polym14030521" TargetMode="External"/><Relationship Id="rId42" Type="http://schemas.openxmlformats.org/officeDocument/2006/relationships/hyperlink" Target="https://doi.org/10.3390/toxics9120336" TargetMode="External"/><Relationship Id="rId47" Type="http://schemas.openxmlformats.org/officeDocument/2006/relationships/hyperlink" Target="https://doi.org/10.3390/ijms26125816" TargetMode="External"/><Relationship Id="rId63" Type="http://schemas.openxmlformats.org/officeDocument/2006/relationships/hyperlink" Target="https://doi.org/10.9734/jsrr/2021/v27i730407" TargetMode="External"/><Relationship Id="rId68" Type="http://schemas.openxmlformats.org/officeDocument/2006/relationships/hyperlink" Target="https://doi.org/10.3390/ijms161024417" TargetMode="External"/><Relationship Id="rId84" Type="http://schemas.openxmlformats.org/officeDocument/2006/relationships/hyperlink" Target="https://doi.org/10.3390/foods9020148" TargetMode="External"/><Relationship Id="rId89" Type="http://schemas.openxmlformats.org/officeDocument/2006/relationships/hyperlink" Target="https://doi.org/10.1002/jat.3171" TargetMode="External"/><Relationship Id="rId112" Type="http://schemas.openxmlformats.org/officeDocument/2006/relationships/footer" Target="footer3.xml"/><Relationship Id="rId16" Type="http://schemas.openxmlformats.org/officeDocument/2006/relationships/hyperlink" Target="https://doi.org/10.1002/wnan.1333" TargetMode="External"/><Relationship Id="rId107" Type="http://schemas.openxmlformats.org/officeDocument/2006/relationships/header" Target="header1.xml"/><Relationship Id="rId11" Type="http://schemas.openxmlformats.org/officeDocument/2006/relationships/hyperlink" Target="https://iris.who.int/handle/10665/43592" TargetMode="External"/><Relationship Id="rId32" Type="http://schemas.openxmlformats.org/officeDocument/2006/relationships/hyperlink" Target="https://doi.org/10.3390/nano15030202" TargetMode="External"/><Relationship Id="rId37" Type="http://schemas.openxmlformats.org/officeDocument/2006/relationships/hyperlink" Target="https://doi.org/10.3390/nu17152443" TargetMode="External"/><Relationship Id="rId53" Type="http://schemas.openxmlformats.org/officeDocument/2006/relationships/hyperlink" Target="https://doi.org/10.1016/j.plipres.2013.04.008" TargetMode="External"/><Relationship Id="rId58" Type="http://schemas.openxmlformats.org/officeDocument/2006/relationships/hyperlink" Target="https://doi.org/10.3390/nano14070638" TargetMode="External"/><Relationship Id="rId74" Type="http://schemas.openxmlformats.org/officeDocument/2006/relationships/hyperlink" Target="https://doi.org/10.1007/s10311-014-0490-2" TargetMode="External"/><Relationship Id="rId79" Type="http://schemas.openxmlformats.org/officeDocument/2006/relationships/hyperlink" Target="https://doi.org/10.1016/j.nantod.2023.101780" TargetMode="External"/><Relationship Id="rId102" Type="http://schemas.openxmlformats.org/officeDocument/2006/relationships/hyperlink" Target="https://doi.org/10.1021/es500436x" TargetMode="External"/><Relationship Id="rId5" Type="http://schemas.openxmlformats.org/officeDocument/2006/relationships/webSettings" Target="webSettings.xml"/><Relationship Id="rId90" Type="http://schemas.openxmlformats.org/officeDocument/2006/relationships/hyperlink" Target="https://doi.org/10.1016/j.tibtech.2008.10.010" TargetMode="External"/><Relationship Id="rId95" Type="http://schemas.openxmlformats.org/officeDocument/2006/relationships/hyperlink" Target="https://doi.org/10.1016/j.toxlet.2006.12.001" TargetMode="External"/><Relationship Id="rId22" Type="http://schemas.openxmlformats.org/officeDocument/2006/relationships/hyperlink" Target="https://doi.org/10.1016/bs.apcsb.2014.11.004" TargetMode="External"/><Relationship Id="rId27" Type="http://schemas.openxmlformats.org/officeDocument/2006/relationships/hyperlink" Target="https://doi.org/10.3390/ecologies4010011" TargetMode="External"/><Relationship Id="rId43" Type="http://schemas.openxmlformats.org/officeDocument/2006/relationships/hyperlink" Target="https://doi.org/10.1080/17518253.2020.1802517" TargetMode="External"/><Relationship Id="rId48" Type="http://schemas.openxmlformats.org/officeDocument/2006/relationships/hyperlink" Target="https://doi.org/10.1021/bm901428y" TargetMode="External"/><Relationship Id="rId64" Type="http://schemas.openxmlformats.org/officeDocument/2006/relationships/hyperlink" Target="https://doi.org/10.1017/S1751731111001935" TargetMode="External"/><Relationship Id="rId69" Type="http://schemas.openxmlformats.org/officeDocument/2006/relationships/hyperlink" Target="https://doi.org/10.3390/pharmaceutics17050655" TargetMode="External"/><Relationship Id="rId113" Type="http://schemas.openxmlformats.org/officeDocument/2006/relationships/fontTable" Target="fontTable.xml"/><Relationship Id="rId80" Type="http://schemas.openxmlformats.org/officeDocument/2006/relationships/hyperlink" Target="https://doi.org/10.1016/B978-0-12-815725-1.00002-1" TargetMode="External"/><Relationship Id="rId85" Type="http://schemas.openxmlformats.org/officeDocument/2006/relationships/hyperlink" Target="https://doi.org/10.1016/j.tifs.2015.07.005" TargetMode="External"/><Relationship Id="rId12" Type="http://schemas.openxmlformats.org/officeDocument/2006/relationships/hyperlink" Target="https://doi.org/10.3390/coatings11050509" TargetMode="External"/><Relationship Id="rId17" Type="http://schemas.openxmlformats.org/officeDocument/2006/relationships/hyperlink" Target="https://doi.org/10.1016/j.heliyon.2022.e11795" TargetMode="External"/><Relationship Id="rId33" Type="http://schemas.openxmlformats.org/officeDocument/2006/relationships/hyperlink" Target="https://doi.org/10.1016/j.fct.2014.12.019" TargetMode="External"/><Relationship Id="rId38" Type="http://schemas.openxmlformats.org/officeDocument/2006/relationships/hyperlink" Target="https://doi.org/10.3390/biom12101337" TargetMode="External"/><Relationship Id="rId59" Type="http://schemas.openxmlformats.org/officeDocument/2006/relationships/hyperlink" Target="https://doi.org/10.9734/ejnfs/2025/v17i51708" TargetMode="External"/><Relationship Id="rId103" Type="http://schemas.openxmlformats.org/officeDocument/2006/relationships/hyperlink" Target="https://doi.org/10.1016/j.cofs.2014.12.005" TargetMode="External"/><Relationship Id="rId108" Type="http://schemas.openxmlformats.org/officeDocument/2006/relationships/header" Target="header2.xml"/><Relationship Id="rId54" Type="http://schemas.openxmlformats.org/officeDocument/2006/relationships/hyperlink" Target="https://doi.org/10.3945/an.114.006999" TargetMode="External"/><Relationship Id="rId70" Type="http://schemas.openxmlformats.org/officeDocument/2006/relationships/hyperlink" Target="https://doi.org/10.1016/j.taap.2015.12.017" TargetMode="External"/><Relationship Id="rId75" Type="http://schemas.openxmlformats.org/officeDocument/2006/relationships/hyperlink" Target="https://doi.org/10.3390/foods13020208" TargetMode="External"/><Relationship Id="rId91" Type="http://schemas.openxmlformats.org/officeDocument/2006/relationships/hyperlink" Target="https://doi.org/10.1021/nn501108g" TargetMode="External"/><Relationship Id="rId96" Type="http://schemas.openxmlformats.org/officeDocument/2006/relationships/hyperlink" Target="https://doi.org/10.1002/smll.2012011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nano15191519" TargetMode="External"/><Relationship Id="rId23" Type="http://schemas.openxmlformats.org/officeDocument/2006/relationships/hyperlink" Target="https://doi.org/10.3390/foods10102438" TargetMode="External"/><Relationship Id="rId28" Type="http://schemas.openxmlformats.org/officeDocument/2006/relationships/hyperlink" Target="https://doi.org/10.3390/molecules29153482" TargetMode="External"/><Relationship Id="rId36" Type="http://schemas.openxmlformats.org/officeDocument/2006/relationships/hyperlink" Target="https://doi.org/10.1016/j.tibtech.2012.06.004" TargetMode="External"/><Relationship Id="rId49" Type="http://schemas.openxmlformats.org/officeDocument/2006/relationships/hyperlink" Target="https://doi.org/10.3390/ijms26020765" TargetMode="External"/><Relationship Id="rId57" Type="http://schemas.openxmlformats.org/officeDocument/2006/relationships/hyperlink" Target="https://doi.org/10.1038/s41538-017-0005-1" TargetMode="External"/><Relationship Id="rId106" Type="http://schemas.openxmlformats.org/officeDocument/2006/relationships/hyperlink" Target="https://doi.org/10.3390/nano12071099" TargetMode="External"/><Relationship Id="rId114" Type="http://schemas.openxmlformats.org/officeDocument/2006/relationships/theme" Target="theme/theme1.xml"/><Relationship Id="rId10" Type="http://schemas.openxmlformats.org/officeDocument/2006/relationships/hyperlink" Target="https://doi.org/10.3390/foods14061013" TargetMode="External"/><Relationship Id="rId31" Type="http://schemas.openxmlformats.org/officeDocument/2006/relationships/hyperlink" Target="https://doi.org/10.3945/jn.111.142257" TargetMode="External"/><Relationship Id="rId44" Type="http://schemas.openxmlformats.org/officeDocument/2006/relationships/hyperlink" Target="https://doi.org/10.3390/nano11092164" TargetMode="External"/><Relationship Id="rId52" Type="http://schemas.openxmlformats.org/officeDocument/2006/relationships/hyperlink" Target="https://doi.org/10.1007/s11051-015-3313-x" TargetMode="External"/><Relationship Id="rId60" Type="http://schemas.openxmlformats.org/officeDocument/2006/relationships/hyperlink" Target="https://doi.org/10.3390/foods14152657" TargetMode="External"/><Relationship Id="rId65" Type="http://schemas.openxmlformats.org/officeDocument/2006/relationships/hyperlink" Target="https://doi.org/10.3390/ijms26209842" TargetMode="External"/><Relationship Id="rId73" Type="http://schemas.openxmlformats.org/officeDocument/2006/relationships/hyperlink" Target="https://doi.org/10.1016/j.scitotenv.2016.02.141" TargetMode="External"/><Relationship Id="rId78" Type="http://schemas.openxmlformats.org/officeDocument/2006/relationships/hyperlink" Target="https://pubmed.ncbi.nlm.nih.gov/21842750/" TargetMode="External"/><Relationship Id="rId81" Type="http://schemas.openxmlformats.org/officeDocument/2006/relationships/hyperlink" Target="https://doi.org/10.3390/foods13060949" TargetMode="External"/><Relationship Id="rId86" Type="http://schemas.openxmlformats.org/officeDocument/2006/relationships/hyperlink" Target="https://doi.org/10.3390/nano11061587" TargetMode="External"/><Relationship Id="rId94" Type="http://schemas.openxmlformats.org/officeDocument/2006/relationships/hyperlink" Target="https://doi.org/10.3390/nano15020097" TargetMode="External"/><Relationship Id="rId99" Type="http://schemas.openxmlformats.org/officeDocument/2006/relationships/hyperlink" Target="https://doi.org/10.1021/es204168d" TargetMode="External"/><Relationship Id="rId101" Type="http://schemas.openxmlformats.org/officeDocument/2006/relationships/hyperlink" Target="https://doi.org/10.1111/1541-4337.12076" TargetMode="External"/><Relationship Id="rId4" Type="http://schemas.openxmlformats.org/officeDocument/2006/relationships/settings" Target="settings.xml"/><Relationship Id="rId9" Type="http://schemas.openxmlformats.org/officeDocument/2006/relationships/hyperlink" Target="https://doi.org/10.1007/s44475-025-00003-2" TargetMode="External"/><Relationship Id="rId13" Type="http://schemas.openxmlformats.org/officeDocument/2006/relationships/hyperlink" Target="https://doi.org/10.3390/nano12081333" TargetMode="External"/><Relationship Id="rId18" Type="http://schemas.openxmlformats.org/officeDocument/2006/relationships/hyperlink" Target="https://doi.org/10.1007/s10529-008-9786-2" TargetMode="External"/><Relationship Id="rId39" Type="http://schemas.openxmlformats.org/officeDocument/2006/relationships/hyperlink" Target="https://doi.org/10.1111/j.1541-4337.2010.00118.x" TargetMode="External"/><Relationship Id="rId109" Type="http://schemas.openxmlformats.org/officeDocument/2006/relationships/footer" Target="footer1.xml"/><Relationship Id="rId34" Type="http://schemas.openxmlformats.org/officeDocument/2006/relationships/hyperlink" Target="https://doi.org/10.3390/ijms22041942" TargetMode="External"/><Relationship Id="rId50" Type="http://schemas.openxmlformats.org/officeDocument/2006/relationships/hyperlink" Target="https://doi.org/10.1016/j.cocis.2009.11.002" TargetMode="External"/><Relationship Id="rId55" Type="http://schemas.openxmlformats.org/officeDocument/2006/relationships/hyperlink" Target="https://doi.org/10.1080/10408398.2011.559558" TargetMode="External"/><Relationship Id="rId76" Type="http://schemas.openxmlformats.org/officeDocument/2006/relationships/hyperlink" Target="https://doi.org/10.3390/nano11092354" TargetMode="External"/><Relationship Id="rId97" Type="http://schemas.openxmlformats.org/officeDocument/2006/relationships/hyperlink" Target="https://doi.org/10.1039/C4NR05480F" TargetMode="External"/><Relationship Id="rId104" Type="http://schemas.openxmlformats.org/officeDocument/2006/relationships/hyperlink" Target="https://doi.org/10.1146/annurev-pharmtox-032320-110338" TargetMode="External"/><Relationship Id="rId7" Type="http://schemas.openxmlformats.org/officeDocument/2006/relationships/endnotes" Target="endnotes.xml"/><Relationship Id="rId71" Type="http://schemas.openxmlformats.org/officeDocument/2006/relationships/hyperlink" Target="https://doi.org/10.1016/j.foodhyd.2013.07.009" TargetMode="External"/><Relationship Id="rId92" Type="http://schemas.openxmlformats.org/officeDocument/2006/relationships/hyperlink" Target="https://doi.org/10.3390/ijms17040576" TargetMode="External"/><Relationship Id="rId2" Type="http://schemas.openxmlformats.org/officeDocument/2006/relationships/numbering" Target="numbering.xml"/><Relationship Id="rId29" Type="http://schemas.openxmlformats.org/officeDocument/2006/relationships/hyperlink" Target="https://doi.org/10.1155/2021/9954443" TargetMode="External"/><Relationship Id="rId24" Type="http://schemas.openxmlformats.org/officeDocument/2006/relationships/hyperlink" Target="https://doi.org/10.1016/j.fct.2013.08.014" TargetMode="External"/><Relationship Id="rId40" Type="http://schemas.openxmlformats.org/officeDocument/2006/relationships/hyperlink" Target="https://doi.org/10.1002/ieam.1571" TargetMode="External"/><Relationship Id="rId45" Type="http://schemas.openxmlformats.org/officeDocument/2006/relationships/hyperlink" Target="https://doi.org/10.1088/0957-4484/27/11/112001" TargetMode="External"/><Relationship Id="rId66" Type="http://schemas.openxmlformats.org/officeDocument/2006/relationships/hyperlink" Target="https://doi.org/10.3390/ma15165700" TargetMode="External"/><Relationship Id="rId87" Type="http://schemas.openxmlformats.org/officeDocument/2006/relationships/hyperlink" Target="https://doi.org/10.3390/nano15020097" TargetMode="External"/><Relationship Id="rId110" Type="http://schemas.openxmlformats.org/officeDocument/2006/relationships/footer" Target="footer2.xml"/><Relationship Id="rId61" Type="http://schemas.openxmlformats.org/officeDocument/2006/relationships/hyperlink" Target="https://doi.org/10.1515/ntrev-2012-0050" TargetMode="External"/><Relationship Id="rId82" Type="http://schemas.openxmlformats.org/officeDocument/2006/relationships/hyperlink" Target="https://doi.org/10.3390/jfb15110340" TargetMode="External"/><Relationship Id="rId19" Type="http://schemas.openxmlformats.org/officeDocument/2006/relationships/hyperlink" Target="https://doi.org/10.1080/02652030701744538" TargetMode="External"/><Relationship Id="rId14" Type="http://schemas.openxmlformats.org/officeDocument/2006/relationships/hyperlink" Target="https://doi.org/10.3390/nano12071196" TargetMode="External"/><Relationship Id="rId30" Type="http://schemas.openxmlformats.org/officeDocument/2006/relationships/hyperlink" Target="https://doi.org/10.3390/ijms21072375" TargetMode="External"/><Relationship Id="rId35" Type="http://schemas.openxmlformats.org/officeDocument/2006/relationships/hyperlink" Target="https://doi.org/10.1039/c5sm02958a" TargetMode="External"/><Relationship Id="rId56" Type="http://schemas.openxmlformats.org/officeDocument/2006/relationships/hyperlink" Target="https://doi.org/10.1039/c1fo10193e" TargetMode="External"/><Relationship Id="rId77" Type="http://schemas.openxmlformats.org/officeDocument/2006/relationships/hyperlink" Target="https://doi.org/10.3389/fchem.2016.00031" TargetMode="External"/><Relationship Id="rId100" Type="http://schemas.openxmlformats.org/officeDocument/2006/relationships/hyperlink" Target="https://doi.org/10.3390/foods14193349" TargetMode="External"/><Relationship Id="rId105" Type="http://schemas.openxmlformats.org/officeDocument/2006/relationships/hyperlink" Target="https://doi.org/10.3390/nano10020387" TargetMode="External"/><Relationship Id="rId8" Type="http://schemas.openxmlformats.org/officeDocument/2006/relationships/hyperlink" Target="https://doi.org/10.1038/s41598-025-92864-2" TargetMode="External"/><Relationship Id="rId51" Type="http://schemas.openxmlformats.org/officeDocument/2006/relationships/hyperlink" Target="https://doi.org/10.1016/j.cofs.2015.06.010" TargetMode="External"/><Relationship Id="rId72" Type="http://schemas.openxmlformats.org/officeDocument/2006/relationships/hyperlink" Target="https://doi.org/10.3390/nano12213873" TargetMode="External"/><Relationship Id="rId93" Type="http://schemas.openxmlformats.org/officeDocument/2006/relationships/hyperlink" Target="https://doi.org/10.2147/NSA.S23932" TargetMode="External"/><Relationship Id="rId98" Type="http://schemas.openxmlformats.org/officeDocument/2006/relationships/hyperlink" Target="https://doi.org/10.1016/j.fct.2015.08.026" TargetMode="External"/><Relationship Id="rId3" Type="http://schemas.openxmlformats.org/officeDocument/2006/relationships/styles" Target="styles.xml"/><Relationship Id="rId25" Type="http://schemas.openxmlformats.org/officeDocument/2006/relationships/hyperlink" Target="https://doi.org/10.3390/cimb44070202" TargetMode="External"/><Relationship Id="rId46" Type="http://schemas.openxmlformats.org/officeDocument/2006/relationships/hyperlink" Target="https://doi.org/10.3390/nano13101682" TargetMode="External"/><Relationship Id="rId67" Type="http://schemas.openxmlformats.org/officeDocument/2006/relationships/hyperlink" Target="https://doi.org/10.1177/0748233711420473" TargetMode="External"/><Relationship Id="rId20" Type="http://schemas.openxmlformats.org/officeDocument/2006/relationships/hyperlink" Target="https://doi.org/10.1186/1743-8977-10-9" TargetMode="External"/><Relationship Id="rId41" Type="http://schemas.openxmlformats.org/officeDocument/2006/relationships/hyperlink" Target="https://doi.org/10.1016/j.tifs.2014.08.006" TargetMode="External"/><Relationship Id="rId62" Type="http://schemas.openxmlformats.org/officeDocument/2006/relationships/hyperlink" Target="https://doi.org/10.1080/17518253.2018.1538430" TargetMode="External"/><Relationship Id="rId83" Type="http://schemas.openxmlformats.org/officeDocument/2006/relationships/hyperlink" Target="https://doi.org/10.3390/ijms251910519" TargetMode="External"/><Relationship Id="rId88" Type="http://schemas.openxmlformats.org/officeDocument/2006/relationships/hyperlink" Target="https://doi.org/10.3390/ijms26125454"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CF7BB-79D5-42E1-AB5F-1DC49C3B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19</Pages>
  <Words>11902</Words>
  <Characters>67845</Characters>
  <Application>Microsoft Office Word</Application>
  <DocSecurity>0</DocSecurity>
  <Lines>565</Lines>
  <Paragraphs>159</Paragraphs>
  <ScaleCrop>false</ScaleCrop>
  <Company/>
  <LinksUpToDate>false</LinksUpToDate>
  <CharactersWithSpaces>79588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bidyutalata mishra</dc:creator>
  <cp:lastModifiedBy>Editor GP 005</cp:lastModifiedBy>
  <cp:revision>15</cp:revision>
  <dcterms:created xsi:type="dcterms:W3CDTF">2026-01-16T15:51:00Z</dcterms:created>
  <dcterms:modified xsi:type="dcterms:W3CDTF">2026-01-23T05:46:00Z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9e659b57-49a9-446b-8ae0-ac7eef83a964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38aed651-7082-31b5-bf29-ed098e679459</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 (in-text citations)</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