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D0A19" w14:textId="486A44EF" w:rsidR="000E1157" w:rsidRDefault="008F057D" w:rsidP="007C0EE9">
      <w:pPr>
        <w:autoSpaceDE w:val="0"/>
        <w:autoSpaceDN w:val="0"/>
        <w:adjustRightInd w:val="0"/>
        <w:spacing w:after="0" w:line="360" w:lineRule="auto"/>
        <w:jc w:val="both"/>
        <w:rPr>
          <w:rFonts w:ascii="Times New Roman" w:hAnsi="Times New Roman" w:cs="Times New Roman"/>
          <w:b/>
          <w:bCs/>
          <w:sz w:val="24"/>
          <w:szCs w:val="24"/>
          <w:highlight w:val="yellow"/>
          <w:lang w:val="en-US"/>
        </w:rPr>
      </w:pPr>
      <w:r w:rsidRPr="002A4185">
        <w:rPr>
          <w:rFonts w:ascii="Times New Roman" w:hAnsi="Times New Roman" w:cs="Times New Roman"/>
          <w:b/>
          <w:bCs/>
          <w:sz w:val="24"/>
          <w:szCs w:val="24"/>
          <w:highlight w:val="yellow"/>
          <w:lang w:val="en-US"/>
        </w:rPr>
        <w:t>ANTIBACTERIAL PRINCIPLE AND CHEMICAL CHARACTERIZATION OF THE GLIRICIDIA SEPIUM LEAVES</w:t>
      </w:r>
    </w:p>
    <w:p w14:paraId="2FE36BDA" w14:textId="77777777" w:rsidR="00FC6517" w:rsidRPr="002A4185" w:rsidRDefault="00FC6517" w:rsidP="007C0EE9">
      <w:pPr>
        <w:autoSpaceDE w:val="0"/>
        <w:autoSpaceDN w:val="0"/>
        <w:adjustRightInd w:val="0"/>
        <w:spacing w:after="0" w:line="360" w:lineRule="auto"/>
        <w:jc w:val="both"/>
        <w:rPr>
          <w:rFonts w:ascii="Times New Roman" w:hAnsi="Times New Roman" w:cs="Times New Roman"/>
          <w:color w:val="000000"/>
          <w:sz w:val="24"/>
          <w:szCs w:val="24"/>
        </w:rPr>
      </w:pPr>
      <w:bookmarkStart w:id="0" w:name="_GoBack"/>
      <w:bookmarkEnd w:id="0"/>
    </w:p>
    <w:p w14:paraId="48454D85" w14:textId="56499126" w:rsidR="00B419D9" w:rsidRPr="002A4185" w:rsidRDefault="00B419D9" w:rsidP="007C0EE9">
      <w:pPr>
        <w:spacing w:line="360" w:lineRule="auto"/>
        <w:jc w:val="both"/>
        <w:rPr>
          <w:rFonts w:ascii="Times New Roman" w:eastAsia="Times New Roman" w:hAnsi="Times New Roman" w:cs="Times New Roman"/>
          <w:b/>
          <w:bCs/>
          <w:kern w:val="36"/>
          <w:sz w:val="24"/>
          <w:szCs w:val="24"/>
          <w:lang w:eastAsia="en-GB"/>
        </w:rPr>
      </w:pPr>
      <w:r w:rsidRPr="002A4185">
        <w:rPr>
          <w:rFonts w:ascii="Times New Roman" w:eastAsia="Times New Roman" w:hAnsi="Times New Roman" w:cs="Times New Roman"/>
          <w:b/>
          <w:bCs/>
          <w:kern w:val="36"/>
          <w:sz w:val="24"/>
          <w:szCs w:val="24"/>
          <w:lang w:eastAsia="en-GB"/>
        </w:rPr>
        <w:t xml:space="preserve">Abstract </w:t>
      </w:r>
    </w:p>
    <w:p w14:paraId="4ACC2783" w14:textId="77777777" w:rsidR="00CB6DC4" w:rsidRPr="002A4185" w:rsidRDefault="00CB6DC4" w:rsidP="007C0EE9">
      <w:pPr>
        <w:autoSpaceDE w:val="0"/>
        <w:autoSpaceDN w:val="0"/>
        <w:adjustRightInd w:val="0"/>
        <w:spacing w:after="0" w:line="360" w:lineRule="auto"/>
        <w:jc w:val="both"/>
        <w:rPr>
          <w:rFonts w:ascii="Times New Roman" w:hAnsi="Times New Roman" w:cs="Times New Roman"/>
          <w:color w:val="000000"/>
          <w:sz w:val="24"/>
          <w:szCs w:val="24"/>
        </w:rPr>
      </w:pPr>
      <w:r w:rsidRPr="002A4185">
        <w:rPr>
          <w:rFonts w:ascii="Times New Roman" w:hAnsi="Times New Roman" w:cs="Times New Roman"/>
          <w:b/>
          <w:bCs/>
          <w:color w:val="000000"/>
          <w:sz w:val="24"/>
          <w:szCs w:val="24"/>
        </w:rPr>
        <w:t>Aim</w:t>
      </w:r>
      <w:r w:rsidRPr="002A4185">
        <w:rPr>
          <w:rFonts w:ascii="Times New Roman" w:hAnsi="Times New Roman" w:cs="Times New Roman"/>
          <w:color w:val="000000"/>
          <w:sz w:val="24"/>
          <w:szCs w:val="24"/>
        </w:rPr>
        <w:t xml:space="preserve">: The present study is aimed at examine the antibacterial effect of crude extract of </w:t>
      </w:r>
      <w:r w:rsidRPr="002A4185">
        <w:rPr>
          <w:rFonts w:ascii="Times New Roman" w:hAnsi="Times New Roman" w:cs="Times New Roman"/>
          <w:i/>
          <w:iCs/>
          <w:color w:val="000000"/>
          <w:sz w:val="24"/>
          <w:szCs w:val="24"/>
        </w:rPr>
        <w:t>G. sepium</w:t>
      </w:r>
      <w:r w:rsidRPr="002A4185">
        <w:rPr>
          <w:rFonts w:ascii="Times New Roman" w:hAnsi="Times New Roman" w:cs="Times New Roman"/>
          <w:color w:val="000000"/>
          <w:sz w:val="24"/>
          <w:szCs w:val="24"/>
        </w:rPr>
        <w:t xml:space="preserve"> to human pathogenic bacteria and its contents of its chemical composition. </w:t>
      </w:r>
    </w:p>
    <w:p w14:paraId="1514ABD4" w14:textId="77777777" w:rsidR="00CB6DC4" w:rsidRPr="002A4185" w:rsidRDefault="00CB6DC4" w:rsidP="007C0EE9">
      <w:pPr>
        <w:autoSpaceDE w:val="0"/>
        <w:autoSpaceDN w:val="0"/>
        <w:adjustRightInd w:val="0"/>
        <w:spacing w:after="0" w:line="360" w:lineRule="auto"/>
        <w:jc w:val="both"/>
        <w:rPr>
          <w:rFonts w:ascii="Times New Roman" w:hAnsi="Times New Roman" w:cs="Times New Roman"/>
          <w:color w:val="000000"/>
          <w:sz w:val="24"/>
          <w:szCs w:val="24"/>
        </w:rPr>
      </w:pPr>
      <w:r w:rsidRPr="002A4185">
        <w:rPr>
          <w:rFonts w:ascii="Times New Roman" w:hAnsi="Times New Roman" w:cs="Times New Roman"/>
          <w:b/>
          <w:bCs/>
          <w:color w:val="000000"/>
          <w:sz w:val="24"/>
          <w:szCs w:val="24"/>
        </w:rPr>
        <w:t>Place and Duration of the Study</w:t>
      </w:r>
      <w:r w:rsidRPr="002A4185">
        <w:rPr>
          <w:rFonts w:ascii="Times New Roman" w:hAnsi="Times New Roman" w:cs="Times New Roman"/>
          <w:color w:val="000000"/>
          <w:sz w:val="24"/>
          <w:szCs w:val="24"/>
        </w:rPr>
        <w:t>: The study was conducted in the Department of Science Laboratory Technology. Ekiti State University Ado Ekiti Nigeria between May and September 2023.</w:t>
      </w:r>
    </w:p>
    <w:p w14:paraId="55109252" w14:textId="77777777" w:rsidR="00CB6DC4" w:rsidRPr="002A4185" w:rsidRDefault="00CB6DC4" w:rsidP="007C0EE9">
      <w:pPr>
        <w:autoSpaceDE w:val="0"/>
        <w:autoSpaceDN w:val="0"/>
        <w:adjustRightInd w:val="0"/>
        <w:spacing w:after="0" w:line="360" w:lineRule="auto"/>
        <w:jc w:val="both"/>
        <w:rPr>
          <w:rFonts w:ascii="Times New Roman" w:hAnsi="Times New Roman" w:cs="Times New Roman"/>
          <w:color w:val="000000"/>
          <w:sz w:val="24"/>
          <w:szCs w:val="24"/>
        </w:rPr>
      </w:pPr>
      <w:r w:rsidRPr="002A4185">
        <w:rPr>
          <w:rFonts w:ascii="Times New Roman" w:hAnsi="Times New Roman" w:cs="Times New Roman"/>
          <w:b/>
          <w:bCs/>
          <w:color w:val="000000"/>
          <w:sz w:val="24"/>
          <w:szCs w:val="24"/>
        </w:rPr>
        <w:t>Methodology</w:t>
      </w:r>
      <w:r w:rsidRPr="002A4185">
        <w:rPr>
          <w:rFonts w:ascii="Times New Roman" w:hAnsi="Times New Roman" w:cs="Times New Roman"/>
          <w:color w:val="000000"/>
          <w:sz w:val="24"/>
          <w:szCs w:val="24"/>
        </w:rPr>
        <w:t xml:space="preserve">: The plant sample was authenticated at the Department of Plant Science and Biotechnology, Ekiti State University, Ado Ekiti, Ekiti State. Initially, the leaves were air-dried for four weeks in a cool environment, after which they were oven-dried at 61.9°C for two hours and thirty minutes. The dried leaves were then pulverized into a fine powder using an electric blender. For extract preparation, 100 grams of the powdered leaves were soaked separately in 500 ml each of distilled water, N-hexane, dichloromethane, and methanol. After soaking, the mixtures were filtered using muslin cloth to separate the liquid extract from the solid residues. Escherichia coli 70303, and Klebsiella pneumonia 700303. were obtained from the department of science laboratory technology, Nigeria. The antibacterial activity of was determined using the agar diffusion method. </w:t>
      </w:r>
    </w:p>
    <w:p w14:paraId="77CA375E" w14:textId="77777777" w:rsidR="00CB6DC4" w:rsidRPr="002A4185" w:rsidRDefault="00CB6DC4" w:rsidP="007C0EE9">
      <w:pPr>
        <w:autoSpaceDE w:val="0"/>
        <w:autoSpaceDN w:val="0"/>
        <w:adjustRightInd w:val="0"/>
        <w:spacing w:after="0" w:line="360" w:lineRule="auto"/>
        <w:jc w:val="both"/>
        <w:rPr>
          <w:rFonts w:ascii="Times New Roman" w:hAnsi="Times New Roman" w:cs="Times New Roman"/>
          <w:color w:val="000000"/>
          <w:sz w:val="24"/>
          <w:szCs w:val="24"/>
        </w:rPr>
      </w:pPr>
      <w:r w:rsidRPr="002A4185">
        <w:rPr>
          <w:rFonts w:ascii="Times New Roman" w:hAnsi="Times New Roman" w:cs="Times New Roman"/>
          <w:b/>
          <w:bCs/>
          <w:color w:val="000000"/>
          <w:sz w:val="24"/>
          <w:szCs w:val="24"/>
        </w:rPr>
        <w:t>Results:</w:t>
      </w:r>
      <w:r w:rsidRPr="002A4185">
        <w:rPr>
          <w:rFonts w:ascii="Times New Roman" w:hAnsi="Times New Roman" w:cs="Times New Roman"/>
          <w:color w:val="000000"/>
          <w:sz w:val="24"/>
          <w:szCs w:val="24"/>
        </w:rPr>
        <w:t xml:space="preserve"> Among the four extracts tested, methanol extract exhibited the strongest antibacterial activity against E. coli, followed by dichloromethane, n-hexane, and water extracts. The methanol extract maintained significant activity even at lower concentrations, with an MIC of 12.5 mg/ml and MBC of 50 mg/ml. The water extract also demonstrated moderate activity but with a higher MIC, indicating lower potency. Water extract exhibited the greatest antibacterial activity against Klebsiella pneumoniae with a 26.3 mm zone of inhibition at 100 mg/ml. MIC was observed at 25 mg/ml, and MBC at 50 µg/ml. </w:t>
      </w:r>
    </w:p>
    <w:p w14:paraId="57230312" w14:textId="6304F5D9" w:rsidR="00CB6DC4" w:rsidRPr="002A4185" w:rsidRDefault="00CB6DC4" w:rsidP="007C0EE9">
      <w:pPr>
        <w:autoSpaceDE w:val="0"/>
        <w:autoSpaceDN w:val="0"/>
        <w:adjustRightInd w:val="0"/>
        <w:spacing w:after="0" w:line="360" w:lineRule="auto"/>
        <w:jc w:val="both"/>
        <w:rPr>
          <w:rFonts w:ascii="Times New Roman" w:hAnsi="Times New Roman" w:cs="Times New Roman"/>
          <w:color w:val="000000"/>
          <w:sz w:val="24"/>
          <w:szCs w:val="24"/>
        </w:rPr>
      </w:pPr>
      <w:r w:rsidRPr="002A4185">
        <w:rPr>
          <w:rFonts w:ascii="Times New Roman" w:hAnsi="Times New Roman" w:cs="Times New Roman"/>
          <w:b/>
          <w:bCs/>
          <w:color w:val="000000"/>
          <w:sz w:val="24"/>
          <w:szCs w:val="24"/>
        </w:rPr>
        <w:t>Conclusion</w:t>
      </w:r>
      <w:r w:rsidR="003C0AB9" w:rsidRPr="002A4185">
        <w:rPr>
          <w:rFonts w:ascii="Times New Roman" w:hAnsi="Times New Roman" w:cs="Times New Roman"/>
          <w:color w:val="000000"/>
          <w:sz w:val="24"/>
          <w:szCs w:val="24"/>
        </w:rPr>
        <w:t xml:space="preserve">: </w:t>
      </w:r>
      <w:r w:rsidRPr="002A4185">
        <w:rPr>
          <w:rFonts w:ascii="Times New Roman" w:hAnsi="Times New Roman" w:cs="Times New Roman"/>
          <w:i/>
          <w:iCs/>
          <w:color w:val="000000"/>
          <w:sz w:val="24"/>
          <w:szCs w:val="24"/>
        </w:rPr>
        <w:t>Gliricidia sepium</w:t>
      </w:r>
      <w:r w:rsidRPr="002A4185">
        <w:rPr>
          <w:rFonts w:ascii="Times New Roman" w:hAnsi="Times New Roman" w:cs="Times New Roman"/>
          <w:color w:val="000000"/>
          <w:sz w:val="24"/>
          <w:szCs w:val="24"/>
        </w:rPr>
        <w:t xml:space="preserve"> leaf extracts, especially those prepared with methanol, exhibit promising antibacterial activity against E. coli. Further phytochemical screening and isolation of active constituents are recommended to identify the compounds responsible for this activity.</w:t>
      </w:r>
    </w:p>
    <w:p w14:paraId="34A52EFC" w14:textId="77777777" w:rsidR="00C65931" w:rsidRPr="002A4185" w:rsidRDefault="00C65931" w:rsidP="007C0EE9">
      <w:pPr>
        <w:autoSpaceDE w:val="0"/>
        <w:autoSpaceDN w:val="0"/>
        <w:adjustRightInd w:val="0"/>
        <w:spacing w:after="0" w:line="360" w:lineRule="auto"/>
        <w:jc w:val="both"/>
        <w:rPr>
          <w:rFonts w:ascii="Times New Roman" w:hAnsi="Times New Roman" w:cs="Times New Roman"/>
          <w:color w:val="000000"/>
          <w:sz w:val="24"/>
          <w:szCs w:val="24"/>
        </w:rPr>
      </w:pPr>
    </w:p>
    <w:p w14:paraId="3D51CD24" w14:textId="77777777" w:rsidR="00D85B68" w:rsidRPr="002A4185" w:rsidRDefault="00927887"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 xml:space="preserve">Key words: Antibiotics resistance, infectious diseases, </w:t>
      </w:r>
      <w:r w:rsidR="001257B8" w:rsidRPr="002A4185">
        <w:rPr>
          <w:rFonts w:ascii="Times New Roman" w:hAnsi="Times New Roman" w:cs="Times New Roman"/>
          <w:sz w:val="24"/>
          <w:szCs w:val="24"/>
        </w:rPr>
        <w:t xml:space="preserve">antibacterial, plant extract, extracting solvent. </w:t>
      </w:r>
    </w:p>
    <w:p w14:paraId="4B5029FC" w14:textId="77777777" w:rsidR="001257B8" w:rsidRPr="002A4185" w:rsidRDefault="001257B8" w:rsidP="007C0EE9">
      <w:pPr>
        <w:spacing w:line="360" w:lineRule="auto"/>
        <w:jc w:val="both"/>
        <w:rPr>
          <w:rFonts w:ascii="Times New Roman" w:eastAsia="Times New Roman" w:hAnsi="Times New Roman" w:cs="Times New Roman"/>
          <w:b/>
          <w:bCs/>
          <w:kern w:val="36"/>
          <w:sz w:val="24"/>
          <w:szCs w:val="24"/>
          <w:lang w:eastAsia="en-GB"/>
        </w:rPr>
      </w:pPr>
    </w:p>
    <w:p w14:paraId="30BAB908" w14:textId="39712278" w:rsidR="003A6B70" w:rsidRPr="002A4185" w:rsidRDefault="001257B8" w:rsidP="007C0EE9">
      <w:pPr>
        <w:spacing w:line="360" w:lineRule="auto"/>
        <w:jc w:val="both"/>
        <w:rPr>
          <w:rFonts w:ascii="Times New Roman" w:hAnsi="Times New Roman" w:cs="Times New Roman"/>
          <w:sz w:val="24"/>
          <w:szCs w:val="24"/>
        </w:rPr>
      </w:pPr>
      <w:r w:rsidRPr="002A4185">
        <w:rPr>
          <w:rFonts w:ascii="Times New Roman" w:eastAsia="Times New Roman" w:hAnsi="Times New Roman" w:cs="Times New Roman"/>
          <w:b/>
          <w:bCs/>
          <w:kern w:val="36"/>
          <w:sz w:val="24"/>
          <w:szCs w:val="24"/>
          <w:lang w:eastAsia="en-GB"/>
        </w:rPr>
        <w:lastRenderedPageBreak/>
        <w:t xml:space="preserve">1.0 </w:t>
      </w:r>
      <w:r w:rsidRPr="002A4185">
        <w:rPr>
          <w:rFonts w:ascii="Times New Roman" w:eastAsia="Times New Roman" w:hAnsi="Times New Roman" w:cs="Times New Roman"/>
          <w:b/>
          <w:bCs/>
          <w:kern w:val="36"/>
          <w:sz w:val="24"/>
          <w:szCs w:val="24"/>
          <w:lang w:eastAsia="en-GB"/>
        </w:rPr>
        <w:tab/>
      </w:r>
      <w:r w:rsidR="003A6B70" w:rsidRPr="002A4185">
        <w:rPr>
          <w:rFonts w:ascii="Times New Roman" w:eastAsia="Times New Roman" w:hAnsi="Times New Roman" w:cs="Times New Roman"/>
          <w:b/>
          <w:bCs/>
          <w:kern w:val="36"/>
          <w:sz w:val="24"/>
          <w:szCs w:val="24"/>
          <w:lang w:eastAsia="en-GB"/>
        </w:rPr>
        <w:t>Introduction</w:t>
      </w:r>
    </w:p>
    <w:p w14:paraId="4871163F" w14:textId="0586DA13" w:rsidR="00B82523" w:rsidRPr="002A4185" w:rsidRDefault="008A5B1F" w:rsidP="007C0EE9">
      <w:pPr>
        <w:spacing w:before="100" w:beforeAutospacing="1" w:after="100" w:afterAutospacing="1" w:line="360" w:lineRule="auto"/>
        <w:jc w:val="both"/>
        <w:rPr>
          <w:rFonts w:ascii="Times New Roman" w:eastAsia="Times New Roman" w:hAnsi="Times New Roman" w:cs="Times New Roman"/>
          <w:sz w:val="24"/>
          <w:szCs w:val="24"/>
          <w:lang w:eastAsia="en-GB"/>
        </w:rPr>
      </w:pPr>
      <w:bookmarkStart w:id="1" w:name="_Hlk151640486"/>
      <w:r w:rsidRPr="002A4185">
        <w:rPr>
          <w:rFonts w:ascii="Times New Roman" w:hAnsi="Times New Roman" w:cs="Times New Roman"/>
          <w:sz w:val="24"/>
          <w:szCs w:val="24"/>
        </w:rPr>
        <w:t xml:space="preserve">In the </w:t>
      </w:r>
      <w:r w:rsidR="00073F6A" w:rsidRPr="002A4185">
        <w:rPr>
          <w:rFonts w:ascii="Times New Roman" w:hAnsi="Times New Roman" w:cs="Times New Roman"/>
          <w:sz w:val="24"/>
          <w:szCs w:val="24"/>
        </w:rPr>
        <w:t>global</w:t>
      </w:r>
      <w:r w:rsidRPr="002A4185">
        <w:rPr>
          <w:rFonts w:ascii="Times New Roman" w:hAnsi="Times New Roman" w:cs="Times New Roman"/>
          <w:sz w:val="24"/>
          <w:szCs w:val="24"/>
        </w:rPr>
        <w:t xml:space="preserve"> world</w:t>
      </w:r>
      <w:r w:rsidR="00042445" w:rsidRPr="002A4185">
        <w:rPr>
          <w:rFonts w:ascii="Times New Roman" w:hAnsi="Times New Roman" w:cs="Times New Roman"/>
          <w:sz w:val="24"/>
          <w:szCs w:val="24"/>
        </w:rPr>
        <w:t>,</w:t>
      </w:r>
      <w:r w:rsidRPr="002A4185">
        <w:rPr>
          <w:rFonts w:ascii="Times New Roman" w:hAnsi="Times New Roman" w:cs="Times New Roman"/>
          <w:sz w:val="24"/>
          <w:szCs w:val="24"/>
        </w:rPr>
        <w:t xml:space="preserve"> there is a constant need to ensure healthy lives and promote well-being of all citizens at all ages</w:t>
      </w:r>
      <w:r w:rsidR="00073F6A" w:rsidRPr="002A4185">
        <w:rPr>
          <w:rFonts w:ascii="Times New Roman" w:hAnsi="Times New Roman" w:cs="Times New Roman"/>
          <w:sz w:val="24"/>
          <w:szCs w:val="24"/>
        </w:rPr>
        <w:t xml:space="preserve">, the salient point in the </w:t>
      </w:r>
      <w:r w:rsidR="00042445" w:rsidRPr="002A4185">
        <w:rPr>
          <w:rFonts w:ascii="Times New Roman" w:hAnsi="Times New Roman" w:cs="Times New Roman"/>
          <w:sz w:val="24"/>
          <w:szCs w:val="24"/>
        </w:rPr>
        <w:t xml:space="preserve">pursuit of </w:t>
      </w:r>
      <w:r w:rsidR="00073F6A" w:rsidRPr="002A4185">
        <w:rPr>
          <w:rFonts w:ascii="Times New Roman" w:hAnsi="Times New Roman" w:cs="Times New Roman"/>
          <w:sz w:val="24"/>
          <w:szCs w:val="24"/>
        </w:rPr>
        <w:t>sustainable development goals</w:t>
      </w:r>
      <w:r w:rsidR="00042445" w:rsidRPr="002A4185">
        <w:rPr>
          <w:rFonts w:ascii="Times New Roman" w:hAnsi="Times New Roman" w:cs="Times New Roman"/>
          <w:sz w:val="24"/>
          <w:szCs w:val="24"/>
        </w:rPr>
        <w:t xml:space="preserve">. </w:t>
      </w:r>
      <w:r w:rsidR="00073F6A" w:rsidRPr="002A4185">
        <w:rPr>
          <w:rFonts w:ascii="Times New Roman" w:hAnsi="Times New Roman" w:cs="Times New Roman"/>
          <w:sz w:val="24"/>
          <w:szCs w:val="24"/>
        </w:rPr>
        <w:t xml:space="preserve"> </w:t>
      </w:r>
      <w:r w:rsidR="00B82523" w:rsidRPr="002A4185">
        <w:rPr>
          <w:rFonts w:ascii="Times New Roman" w:hAnsi="Times New Roman" w:cs="Times New Roman"/>
          <w:sz w:val="24"/>
          <w:szCs w:val="24"/>
        </w:rPr>
        <w:t xml:space="preserve">The African population is two-thirds rural, and the availability of modern medicine to these proportions is virtually </w:t>
      </w:r>
      <w:r w:rsidR="00D87626" w:rsidRPr="002A4185">
        <w:rPr>
          <w:rFonts w:ascii="Times New Roman" w:hAnsi="Times New Roman" w:cs="Times New Roman"/>
          <w:sz w:val="24"/>
          <w:szCs w:val="24"/>
        </w:rPr>
        <w:t>non-existent</w:t>
      </w:r>
      <w:r w:rsidR="00B82523" w:rsidRPr="002A4185">
        <w:rPr>
          <w:rFonts w:ascii="Times New Roman" w:hAnsi="Times New Roman" w:cs="Times New Roman"/>
          <w:sz w:val="24"/>
          <w:szCs w:val="24"/>
        </w:rPr>
        <w:t xml:space="preserve">. The states of primitive rural economies imply a lack of adequate sums to cover the cost of chemicals such as those used in the preparation of drugs. Therefore, there arises a need to look inward and resort to the use of alternative medicinal plants, especially those that are environmental </w:t>
      </w:r>
      <w:proofErr w:type="spellStart"/>
      <w:r w:rsidR="00B82523" w:rsidRPr="002A4185">
        <w:rPr>
          <w:rFonts w:ascii="Times New Roman" w:hAnsi="Times New Roman" w:cs="Times New Roman"/>
          <w:sz w:val="24"/>
          <w:szCs w:val="24"/>
        </w:rPr>
        <w:t>phyto</w:t>
      </w:r>
      <w:proofErr w:type="spellEnd"/>
      <w:r w:rsidR="00B82523" w:rsidRPr="002A4185">
        <w:rPr>
          <w:rFonts w:ascii="Times New Roman" w:hAnsi="Times New Roman" w:cs="Times New Roman"/>
          <w:sz w:val="24"/>
          <w:szCs w:val="24"/>
        </w:rPr>
        <w:t xml:space="preserve">-threats. Among such plants, species of the Leguminosae family, like </w:t>
      </w:r>
      <w:r w:rsidR="000256D2" w:rsidRPr="000256D2">
        <w:rPr>
          <w:rFonts w:ascii="Times New Roman" w:hAnsi="Times New Roman" w:cs="Times New Roman"/>
          <w:i/>
          <w:sz w:val="24"/>
          <w:szCs w:val="24"/>
        </w:rPr>
        <w:t xml:space="preserve">G. </w:t>
      </w:r>
      <w:proofErr w:type="gramStart"/>
      <w:r w:rsidR="000256D2" w:rsidRPr="000256D2">
        <w:rPr>
          <w:rFonts w:ascii="Times New Roman" w:hAnsi="Times New Roman" w:cs="Times New Roman"/>
          <w:i/>
          <w:sz w:val="24"/>
          <w:szCs w:val="24"/>
        </w:rPr>
        <w:t xml:space="preserve">sepium </w:t>
      </w:r>
      <w:r w:rsidR="00B82523" w:rsidRPr="002A4185">
        <w:rPr>
          <w:rFonts w:ascii="Times New Roman" w:hAnsi="Times New Roman" w:cs="Times New Roman"/>
          <w:sz w:val="24"/>
          <w:szCs w:val="24"/>
        </w:rPr>
        <w:t>,</w:t>
      </w:r>
      <w:proofErr w:type="gramEnd"/>
      <w:r w:rsidR="00B82523" w:rsidRPr="002A4185">
        <w:rPr>
          <w:rFonts w:ascii="Times New Roman" w:hAnsi="Times New Roman" w:cs="Times New Roman"/>
          <w:sz w:val="24"/>
          <w:szCs w:val="24"/>
        </w:rPr>
        <w:t xml:space="preserve"> have shown promise due to their diverse bioactive components </w:t>
      </w:r>
      <w:r w:rsidR="00F37666" w:rsidRPr="002A4185">
        <w:rPr>
          <w:rFonts w:ascii="Times New Roman" w:hAnsi="Times New Roman" w:cs="Times New Roman"/>
          <w:sz w:val="24"/>
          <w:szCs w:val="24"/>
        </w:rPr>
        <w:t>[1]</w:t>
      </w:r>
      <w:r w:rsidR="00B82523" w:rsidRPr="002A4185">
        <w:rPr>
          <w:rFonts w:ascii="Times New Roman" w:hAnsi="Times New Roman" w:cs="Times New Roman"/>
          <w:sz w:val="24"/>
          <w:szCs w:val="24"/>
        </w:rPr>
        <w:t>.</w:t>
      </w:r>
      <w:r w:rsidR="00D87626" w:rsidRPr="002A4185">
        <w:rPr>
          <w:rFonts w:ascii="Times New Roman" w:hAnsi="Times New Roman" w:cs="Times New Roman"/>
          <w:sz w:val="24"/>
          <w:szCs w:val="24"/>
        </w:rPr>
        <w:t xml:space="preserve"> </w:t>
      </w:r>
      <w:r w:rsidR="00D87626" w:rsidRPr="002A4185">
        <w:rPr>
          <w:rFonts w:ascii="Times New Roman" w:eastAsia="Times New Roman" w:hAnsi="Times New Roman" w:cs="Times New Roman"/>
          <w:sz w:val="24"/>
          <w:szCs w:val="24"/>
          <w:lang w:eastAsia="en-GB"/>
        </w:rPr>
        <w:t xml:space="preserve">Antibiotic resistance is a growing global concern, prompting the search for alternative antimicrobial agents from natural sources. Medicinal plants such as </w:t>
      </w:r>
      <w:r w:rsidR="000256D2" w:rsidRPr="000256D2">
        <w:rPr>
          <w:rFonts w:ascii="Times New Roman" w:eastAsia="Times New Roman" w:hAnsi="Times New Roman" w:cs="Times New Roman"/>
          <w:i/>
          <w:iCs/>
          <w:sz w:val="24"/>
          <w:szCs w:val="24"/>
          <w:lang w:eastAsia="en-GB"/>
        </w:rPr>
        <w:t xml:space="preserve">G. </w:t>
      </w:r>
      <w:proofErr w:type="gramStart"/>
      <w:r w:rsidR="000256D2" w:rsidRPr="000256D2">
        <w:rPr>
          <w:rFonts w:ascii="Times New Roman" w:eastAsia="Times New Roman" w:hAnsi="Times New Roman" w:cs="Times New Roman"/>
          <w:i/>
          <w:iCs/>
          <w:sz w:val="24"/>
          <w:szCs w:val="24"/>
          <w:lang w:eastAsia="en-GB"/>
        </w:rPr>
        <w:t xml:space="preserve">sepium </w:t>
      </w:r>
      <w:r w:rsidR="00D87626" w:rsidRPr="002A4185">
        <w:rPr>
          <w:rFonts w:ascii="Times New Roman" w:eastAsia="Times New Roman" w:hAnsi="Times New Roman" w:cs="Times New Roman"/>
          <w:sz w:val="24"/>
          <w:szCs w:val="24"/>
          <w:lang w:eastAsia="en-GB"/>
        </w:rPr>
        <w:t xml:space="preserve"> have</w:t>
      </w:r>
      <w:proofErr w:type="gramEnd"/>
      <w:r w:rsidR="00D87626" w:rsidRPr="002A4185">
        <w:rPr>
          <w:rFonts w:ascii="Times New Roman" w:eastAsia="Times New Roman" w:hAnsi="Times New Roman" w:cs="Times New Roman"/>
          <w:sz w:val="24"/>
          <w:szCs w:val="24"/>
          <w:lang w:eastAsia="en-GB"/>
        </w:rPr>
        <w:t xml:space="preserve"> long been used in ethnomedicine for their antimicrobial properties. However, scientific validation of these effects and the identification of active compounds remain necessary. </w:t>
      </w:r>
      <w:r w:rsidR="00B82523" w:rsidRPr="002A4185">
        <w:rPr>
          <w:rFonts w:ascii="Times New Roman" w:hAnsi="Times New Roman" w:cs="Times New Roman"/>
          <w:sz w:val="24"/>
          <w:szCs w:val="24"/>
        </w:rPr>
        <w:t xml:space="preserve">The presence of </w:t>
      </w:r>
      <w:r w:rsidR="00F37666" w:rsidRPr="002A4185">
        <w:rPr>
          <w:rFonts w:ascii="Times New Roman" w:hAnsi="Times New Roman" w:cs="Times New Roman"/>
          <w:sz w:val="24"/>
          <w:szCs w:val="24"/>
        </w:rPr>
        <w:t>bioactive compounds</w:t>
      </w:r>
      <w:r w:rsidR="00B82523" w:rsidRPr="002A4185">
        <w:rPr>
          <w:rFonts w:ascii="Times New Roman" w:hAnsi="Times New Roman" w:cs="Times New Roman"/>
          <w:sz w:val="24"/>
          <w:szCs w:val="24"/>
        </w:rPr>
        <w:t xml:space="preserve"> in these plants responsible for biocidal and pharmacologically active effects is likely to encourage the development of pharmaceutical industries capable of serving economically underprivileged populations </w:t>
      </w:r>
      <w:r w:rsidR="00F37666" w:rsidRPr="002A4185">
        <w:rPr>
          <w:rFonts w:ascii="Times New Roman" w:hAnsi="Times New Roman" w:cs="Times New Roman"/>
          <w:sz w:val="24"/>
          <w:szCs w:val="24"/>
        </w:rPr>
        <w:t>[2]</w:t>
      </w:r>
      <w:r w:rsidR="00B82523" w:rsidRPr="002A4185">
        <w:rPr>
          <w:rFonts w:ascii="Times New Roman" w:hAnsi="Times New Roman" w:cs="Times New Roman"/>
          <w:sz w:val="24"/>
          <w:szCs w:val="24"/>
        </w:rPr>
        <w:t xml:space="preserve">. Extracts with antimicrobial and antibacterial properties could be suitable for pharmacological industries and may also support microalgal culture growth in research </w:t>
      </w:r>
      <w:r w:rsidR="00F37666" w:rsidRPr="002A4185">
        <w:rPr>
          <w:rFonts w:ascii="Times New Roman" w:hAnsi="Times New Roman" w:cs="Times New Roman"/>
          <w:sz w:val="24"/>
          <w:szCs w:val="24"/>
        </w:rPr>
        <w:t>[3]</w:t>
      </w:r>
      <w:r w:rsidR="00B82523" w:rsidRPr="002A4185">
        <w:rPr>
          <w:rFonts w:ascii="Times New Roman" w:hAnsi="Times New Roman" w:cs="Times New Roman"/>
          <w:sz w:val="24"/>
          <w:szCs w:val="24"/>
        </w:rPr>
        <w:t>.</w:t>
      </w:r>
      <w:r w:rsidR="00F37666" w:rsidRPr="002A4185">
        <w:rPr>
          <w:rFonts w:ascii="Times New Roman" w:hAnsi="Times New Roman" w:cs="Times New Roman"/>
          <w:sz w:val="24"/>
          <w:szCs w:val="24"/>
        </w:rPr>
        <w:t xml:space="preserve"> </w:t>
      </w:r>
      <w:r w:rsidR="00B82523" w:rsidRPr="002A4185">
        <w:rPr>
          <w:rFonts w:ascii="Times New Roman" w:hAnsi="Times New Roman" w:cs="Times New Roman"/>
          <w:sz w:val="24"/>
          <w:szCs w:val="24"/>
        </w:rPr>
        <w:t xml:space="preserve">The described characteristics can be optimized by refining the extraction conditions, which can increase components such as phenolic compounds or improve the yield of bioactive molecules. Factors like the solvent type and extraction method are crucial in determining the extract’s chemical profile and pharmacological potential </w:t>
      </w:r>
      <w:r w:rsidR="00F37666" w:rsidRPr="002A4185">
        <w:rPr>
          <w:rFonts w:ascii="Times New Roman" w:hAnsi="Times New Roman" w:cs="Times New Roman"/>
          <w:sz w:val="24"/>
          <w:szCs w:val="24"/>
        </w:rPr>
        <w:t>[4]</w:t>
      </w:r>
      <w:r w:rsidR="00B82523" w:rsidRPr="002A4185">
        <w:rPr>
          <w:rFonts w:ascii="Times New Roman" w:hAnsi="Times New Roman" w:cs="Times New Roman"/>
          <w:sz w:val="24"/>
          <w:szCs w:val="24"/>
        </w:rPr>
        <w:t xml:space="preserve">. </w:t>
      </w:r>
    </w:p>
    <w:p w14:paraId="464FBA20" w14:textId="47AA7FF3" w:rsidR="00B82523" w:rsidRPr="002A4185" w:rsidRDefault="00B82523" w:rsidP="007C0EE9">
      <w:pPr>
        <w:pStyle w:val="paragraph"/>
        <w:spacing w:line="360" w:lineRule="auto"/>
        <w:jc w:val="both"/>
      </w:pPr>
      <w:r w:rsidRPr="002A4185">
        <w:t xml:space="preserve">In recent years, medicinal plants have attracted attention for their health benefits and potential as natural drug alternatives </w:t>
      </w:r>
      <w:r w:rsidR="00F37666" w:rsidRPr="002A4185">
        <w:t>[5]</w:t>
      </w:r>
      <w:r w:rsidRPr="002A4185">
        <w:t xml:space="preserve">. However, the impact of extraction methods and solvents on bioactive yield remains underexplored. The growing demand for safer and more effective alternatives to synthetic drugs has led to increased research into plants like </w:t>
      </w:r>
      <w:r w:rsidR="000256D2" w:rsidRPr="000256D2">
        <w:rPr>
          <w:i/>
        </w:rPr>
        <w:t xml:space="preserve">G. sepium </w:t>
      </w:r>
      <w:r w:rsidRPr="002A4185">
        <w:t xml:space="preserve">, known for its medicinal and ethnobotanical applications, including use in creams for wound healing and hepatitis treatment </w:t>
      </w:r>
      <w:r w:rsidR="00F37666" w:rsidRPr="002A4185">
        <w:t>[6]</w:t>
      </w:r>
      <w:r w:rsidRPr="002A4185">
        <w:t xml:space="preserve">. Mounting concerns about the rise in multidrug resistance (MDR) among bacteria have triggered a renewed search for novel antimicrobial agents. Consequently, medicinal plants with broad-spectrum antibacterial activity are receiving particular attention </w:t>
      </w:r>
      <w:r w:rsidR="00F37666" w:rsidRPr="002A4185">
        <w:t>[7]</w:t>
      </w:r>
      <w:r w:rsidRPr="002A4185">
        <w:t xml:space="preserve">. </w:t>
      </w:r>
      <w:r w:rsidRPr="000256D2">
        <w:rPr>
          <w:i/>
        </w:rPr>
        <w:t>Gliricidia sepium</w:t>
      </w:r>
      <w:r w:rsidRPr="002A4185">
        <w:t xml:space="preserve"> is one such plant, exhibiting high antibacterial potency in both intact plant parts (leaves, bark, roots, seeds) and their crude extracts. Additionally, the long-term </w:t>
      </w:r>
      <w:r w:rsidRPr="002A4185">
        <w:lastRenderedPageBreak/>
        <w:t xml:space="preserve">stability of its extracts—without noticeable changes in </w:t>
      </w:r>
      <w:r w:rsidR="00F0192E" w:rsidRPr="002A4185">
        <w:t>colour</w:t>
      </w:r>
      <w:r w:rsidRPr="002A4185">
        <w:t xml:space="preserve"> or </w:t>
      </w:r>
      <w:r w:rsidR="00F0192E" w:rsidRPr="002A4185">
        <w:t>odour</w:t>
      </w:r>
      <w:r w:rsidRPr="002A4185">
        <w:t xml:space="preserve">—helps dispel myths about its toxicity </w:t>
      </w:r>
      <w:r w:rsidR="007B7CDE" w:rsidRPr="002A4185">
        <w:t>[8]</w:t>
      </w:r>
      <w:r w:rsidRPr="002A4185">
        <w:t xml:space="preserve">. This study therefore focuses on identifying bioactive constituents in </w:t>
      </w:r>
      <w:r w:rsidRPr="002A4185">
        <w:rPr>
          <w:i/>
          <w:iCs/>
        </w:rPr>
        <w:t>G. sepium</w:t>
      </w:r>
      <w:r w:rsidRPr="002A4185">
        <w:t xml:space="preserve"> leaf extract using FTIR and GC-MS analysis, and discuss their potential antibacterial roles.</w:t>
      </w:r>
    </w:p>
    <w:p w14:paraId="2CCD936B" w14:textId="2D692039" w:rsidR="0042364C" w:rsidRPr="002A4185" w:rsidRDefault="001257B8" w:rsidP="007C0EE9">
      <w:pPr>
        <w:pStyle w:val="paragraph"/>
        <w:spacing w:line="360" w:lineRule="auto"/>
        <w:jc w:val="both"/>
        <w:rPr>
          <w:b/>
        </w:rPr>
      </w:pPr>
      <w:r w:rsidRPr="002A4185">
        <w:rPr>
          <w:b/>
        </w:rPr>
        <w:t xml:space="preserve">2.0 </w:t>
      </w:r>
      <w:r w:rsidR="0042364C" w:rsidRPr="002A4185">
        <w:rPr>
          <w:b/>
        </w:rPr>
        <w:t>MATERIALS AND METHODOLOGY</w:t>
      </w:r>
    </w:p>
    <w:p w14:paraId="121E00D8" w14:textId="77777777" w:rsidR="0042364C" w:rsidRPr="002A4185" w:rsidRDefault="0042364C" w:rsidP="007C0EE9">
      <w:pPr>
        <w:spacing w:line="360" w:lineRule="auto"/>
        <w:jc w:val="both"/>
        <w:rPr>
          <w:rFonts w:ascii="Times New Roman" w:hAnsi="Times New Roman" w:cs="Times New Roman"/>
          <w:sz w:val="24"/>
          <w:szCs w:val="24"/>
        </w:rPr>
      </w:pPr>
      <w:r w:rsidRPr="002A4185">
        <w:rPr>
          <w:rFonts w:ascii="Times New Roman" w:hAnsi="Times New Roman" w:cs="Times New Roman"/>
          <w:b/>
          <w:sz w:val="24"/>
          <w:szCs w:val="24"/>
        </w:rPr>
        <w:t>Selection of Plant Material</w:t>
      </w:r>
      <w:r w:rsidRPr="002A4185">
        <w:rPr>
          <w:rFonts w:ascii="Times New Roman" w:hAnsi="Times New Roman" w:cs="Times New Roman"/>
          <w:sz w:val="24"/>
          <w:szCs w:val="24"/>
        </w:rPr>
        <w:t xml:space="preserve"> </w:t>
      </w:r>
    </w:p>
    <w:p w14:paraId="30D7E3F0" w14:textId="60EAF85A" w:rsidR="0042364C" w:rsidRPr="002A4185" w:rsidRDefault="0042364C" w:rsidP="007C0EE9">
      <w:pPr>
        <w:spacing w:line="360" w:lineRule="auto"/>
        <w:jc w:val="both"/>
        <w:rPr>
          <w:rFonts w:ascii="Times New Roman" w:hAnsi="Times New Roman" w:cs="Times New Roman"/>
          <w:sz w:val="24"/>
          <w:szCs w:val="24"/>
        </w:rPr>
      </w:pPr>
      <w:bookmarkStart w:id="2" w:name="_Hlk145519876"/>
      <w:r w:rsidRPr="002A4185">
        <w:rPr>
          <w:rFonts w:ascii="Times New Roman" w:hAnsi="Times New Roman" w:cs="Times New Roman"/>
          <w:sz w:val="24"/>
          <w:szCs w:val="24"/>
        </w:rPr>
        <w:t xml:space="preserve">Collection and identification of plant material, </w:t>
      </w:r>
      <w:r w:rsidR="000256D2" w:rsidRPr="000256D2">
        <w:rPr>
          <w:rFonts w:ascii="Times New Roman" w:hAnsi="Times New Roman" w:cs="Times New Roman"/>
          <w:i/>
          <w:sz w:val="24"/>
          <w:szCs w:val="24"/>
        </w:rPr>
        <w:t xml:space="preserve">G. </w:t>
      </w:r>
      <w:bookmarkEnd w:id="2"/>
      <w:r w:rsidR="000256D2" w:rsidRPr="000256D2">
        <w:rPr>
          <w:rFonts w:ascii="Times New Roman" w:hAnsi="Times New Roman" w:cs="Times New Roman"/>
          <w:i/>
          <w:sz w:val="24"/>
          <w:szCs w:val="24"/>
        </w:rPr>
        <w:t xml:space="preserve">sepium </w:t>
      </w:r>
      <w:r w:rsidR="000256D2" w:rsidRPr="002A4185">
        <w:rPr>
          <w:rFonts w:ascii="Times New Roman" w:hAnsi="Times New Roman" w:cs="Times New Roman"/>
          <w:sz w:val="24"/>
          <w:szCs w:val="24"/>
        </w:rPr>
        <w:t>A</w:t>
      </w:r>
      <w:r w:rsidRPr="002A4185">
        <w:rPr>
          <w:rFonts w:ascii="Times New Roman" w:hAnsi="Times New Roman" w:cs="Times New Roman"/>
          <w:sz w:val="24"/>
          <w:szCs w:val="24"/>
        </w:rPr>
        <w:t xml:space="preserve"> care was taken to select healthy plants and the plant parts for the study were collected fresh and air dry </w:t>
      </w:r>
      <w:r w:rsidR="00F0192E" w:rsidRPr="002A4185">
        <w:rPr>
          <w:rFonts w:ascii="Times New Roman" w:hAnsi="Times New Roman" w:cs="Times New Roman"/>
          <w:sz w:val="24"/>
          <w:szCs w:val="24"/>
        </w:rPr>
        <w:t>under shaded</w:t>
      </w:r>
      <w:r w:rsidR="005C21B3" w:rsidRPr="002A4185">
        <w:rPr>
          <w:rFonts w:ascii="Times New Roman" w:hAnsi="Times New Roman" w:cs="Times New Roman"/>
          <w:sz w:val="24"/>
          <w:szCs w:val="24"/>
        </w:rPr>
        <w:t xml:space="preserve"> </w:t>
      </w:r>
      <w:r w:rsidRPr="002A4185">
        <w:rPr>
          <w:rFonts w:ascii="Times New Roman" w:hAnsi="Times New Roman" w:cs="Times New Roman"/>
          <w:sz w:val="24"/>
          <w:szCs w:val="24"/>
        </w:rPr>
        <w:t>room</w:t>
      </w:r>
      <w:r w:rsidR="0039498E" w:rsidRPr="002A4185">
        <w:rPr>
          <w:rFonts w:ascii="Times New Roman" w:hAnsi="Times New Roman" w:cs="Times New Roman"/>
          <w:sz w:val="24"/>
          <w:szCs w:val="24"/>
        </w:rPr>
        <w:t xml:space="preserve"> at </w:t>
      </w:r>
      <w:r w:rsidRPr="002A4185">
        <w:rPr>
          <w:rFonts w:ascii="Times New Roman" w:hAnsi="Times New Roman" w:cs="Times New Roman"/>
          <w:sz w:val="24"/>
          <w:szCs w:val="24"/>
        </w:rPr>
        <w:t>27</w:t>
      </w:r>
      <m:oMath>
        <m:r>
          <w:rPr>
            <w:rFonts w:ascii="Cambria Math" w:hAnsi="Cambria Math" w:cs="Times New Roman"/>
            <w:sz w:val="24"/>
            <w:szCs w:val="24"/>
          </w:rPr>
          <m:t xml:space="preserve">℃ </m:t>
        </m:r>
      </m:oMath>
      <w:r w:rsidRPr="002A4185">
        <w:rPr>
          <w:rFonts w:ascii="Times New Roman" w:eastAsiaTheme="minorEastAsia" w:hAnsi="Times New Roman" w:cs="Times New Roman"/>
          <w:sz w:val="24"/>
          <w:szCs w:val="24"/>
        </w:rPr>
        <w:t xml:space="preserve"> </w:t>
      </w:r>
      <w:r w:rsidRPr="002A4185">
        <w:rPr>
          <w:rFonts w:ascii="Times New Roman" w:hAnsi="Times New Roman" w:cs="Times New Roman"/>
          <w:sz w:val="24"/>
          <w:szCs w:val="24"/>
        </w:rPr>
        <w:t xml:space="preserve">for </w:t>
      </w:r>
      <w:r w:rsidR="0039498E" w:rsidRPr="002A4185">
        <w:rPr>
          <w:rFonts w:ascii="Times New Roman" w:hAnsi="Times New Roman" w:cs="Times New Roman"/>
          <w:sz w:val="24"/>
          <w:szCs w:val="24"/>
        </w:rPr>
        <w:t>two</w:t>
      </w:r>
      <w:r w:rsidRPr="002A4185">
        <w:rPr>
          <w:rFonts w:ascii="Times New Roman" w:hAnsi="Times New Roman" w:cs="Times New Roman"/>
          <w:sz w:val="24"/>
          <w:szCs w:val="24"/>
        </w:rPr>
        <w:t xml:space="preserve"> month</w:t>
      </w:r>
      <w:r w:rsidR="0039498E" w:rsidRPr="002A4185">
        <w:rPr>
          <w:rFonts w:ascii="Times New Roman" w:hAnsi="Times New Roman" w:cs="Times New Roman"/>
          <w:sz w:val="24"/>
          <w:szCs w:val="24"/>
        </w:rPr>
        <w:t>s</w:t>
      </w:r>
    </w:p>
    <w:p w14:paraId="1C099D7E" w14:textId="202E296F" w:rsidR="0042364C" w:rsidRPr="002A4185" w:rsidRDefault="001257B8" w:rsidP="007C0EE9">
      <w:pPr>
        <w:spacing w:line="360" w:lineRule="auto"/>
        <w:jc w:val="both"/>
        <w:rPr>
          <w:rFonts w:ascii="Times New Roman" w:hAnsi="Times New Roman" w:cs="Times New Roman"/>
          <w:b/>
          <w:bCs/>
          <w:sz w:val="24"/>
          <w:szCs w:val="24"/>
        </w:rPr>
      </w:pPr>
      <w:r w:rsidRPr="002A4185">
        <w:rPr>
          <w:rFonts w:ascii="Times New Roman" w:hAnsi="Times New Roman" w:cs="Times New Roman"/>
          <w:b/>
          <w:bCs/>
          <w:sz w:val="24"/>
          <w:szCs w:val="24"/>
        </w:rPr>
        <w:t xml:space="preserve">2.1 </w:t>
      </w:r>
      <w:r w:rsidR="0042364C" w:rsidRPr="002A4185">
        <w:rPr>
          <w:rFonts w:ascii="Times New Roman" w:hAnsi="Times New Roman" w:cs="Times New Roman"/>
          <w:b/>
          <w:bCs/>
          <w:sz w:val="24"/>
          <w:szCs w:val="24"/>
        </w:rPr>
        <w:t>Identification of Plant</w:t>
      </w:r>
    </w:p>
    <w:p w14:paraId="37EBB939" w14:textId="3B33731F" w:rsidR="0042364C" w:rsidRPr="002A4185" w:rsidRDefault="0042364C" w:rsidP="007C0EE9">
      <w:pPr>
        <w:spacing w:line="360" w:lineRule="auto"/>
        <w:jc w:val="both"/>
        <w:rPr>
          <w:rFonts w:ascii="Times New Roman" w:hAnsi="Times New Roman" w:cs="Times New Roman"/>
          <w:sz w:val="24"/>
          <w:szCs w:val="24"/>
        </w:rPr>
      </w:pPr>
      <w:bookmarkStart w:id="3" w:name="_Hlk145519899"/>
      <w:r w:rsidRPr="002A4185">
        <w:rPr>
          <w:rFonts w:ascii="Times New Roman" w:hAnsi="Times New Roman" w:cs="Times New Roman"/>
          <w:sz w:val="24"/>
          <w:szCs w:val="24"/>
        </w:rPr>
        <w:t xml:space="preserve">The study was conducted in Science Laboratory Technology laboratory.  Ekiti state university Ekiti state Nigeria under ambient temperature and humidity. </w:t>
      </w:r>
      <w:r w:rsidR="00A1384E" w:rsidRPr="002A4185">
        <w:rPr>
          <w:rFonts w:ascii="Times New Roman" w:hAnsi="Times New Roman" w:cs="Times New Roman"/>
          <w:sz w:val="24"/>
          <w:szCs w:val="24"/>
        </w:rPr>
        <w:t>P</w:t>
      </w:r>
      <w:r w:rsidRPr="002A4185">
        <w:rPr>
          <w:rFonts w:ascii="Times New Roman" w:hAnsi="Times New Roman" w:cs="Times New Roman"/>
          <w:sz w:val="24"/>
          <w:szCs w:val="24"/>
        </w:rPr>
        <w:t>lant</w:t>
      </w:r>
      <w:r w:rsidR="00A1384E" w:rsidRPr="002A4185">
        <w:rPr>
          <w:rFonts w:ascii="Times New Roman" w:hAnsi="Times New Roman" w:cs="Times New Roman"/>
          <w:sz w:val="24"/>
          <w:szCs w:val="24"/>
        </w:rPr>
        <w:t xml:space="preserve"> </w:t>
      </w:r>
      <w:r w:rsidR="0065044A" w:rsidRPr="002A4185">
        <w:rPr>
          <w:rFonts w:ascii="Times New Roman" w:hAnsi="Times New Roman" w:cs="Times New Roman"/>
          <w:sz w:val="24"/>
          <w:szCs w:val="24"/>
        </w:rPr>
        <w:t xml:space="preserve"> </w:t>
      </w:r>
      <w:r w:rsidRPr="002A4185">
        <w:rPr>
          <w:rFonts w:ascii="Times New Roman" w:hAnsi="Times New Roman" w:cs="Times New Roman"/>
          <w:sz w:val="24"/>
          <w:szCs w:val="24"/>
        </w:rPr>
        <w:t xml:space="preserve"> was collected from within Ekiti State University Ado Ekiti, Nigeria. The plants were identified and authenticated by Mr </w:t>
      </w:r>
      <w:r w:rsidR="00541221" w:rsidRPr="002A4185">
        <w:rPr>
          <w:rFonts w:ascii="Times New Roman" w:hAnsi="Times New Roman" w:cs="Times New Roman"/>
          <w:sz w:val="24"/>
          <w:szCs w:val="24"/>
        </w:rPr>
        <w:t>Omotayo</w:t>
      </w:r>
      <w:r w:rsidRPr="002A4185">
        <w:rPr>
          <w:rFonts w:ascii="Times New Roman" w:hAnsi="Times New Roman" w:cs="Times New Roman"/>
          <w:sz w:val="24"/>
          <w:szCs w:val="24"/>
        </w:rPr>
        <w:t xml:space="preserve"> in the Department of Plant Science and Biotechnology Ekiti State University Ado Ekiti </w:t>
      </w:r>
      <w:proofErr w:type="spellStart"/>
      <w:r w:rsidRPr="002A4185">
        <w:rPr>
          <w:rFonts w:ascii="Times New Roman" w:hAnsi="Times New Roman" w:cs="Times New Roman"/>
          <w:sz w:val="24"/>
          <w:szCs w:val="24"/>
        </w:rPr>
        <w:t>Ekiti</w:t>
      </w:r>
      <w:proofErr w:type="spellEnd"/>
      <w:r w:rsidRPr="002A4185">
        <w:rPr>
          <w:rFonts w:ascii="Times New Roman" w:hAnsi="Times New Roman" w:cs="Times New Roman"/>
          <w:sz w:val="24"/>
          <w:szCs w:val="24"/>
        </w:rPr>
        <w:t xml:space="preserve"> State. </w:t>
      </w:r>
      <w:r w:rsidR="00541221" w:rsidRPr="002A4185">
        <w:rPr>
          <w:rFonts w:ascii="Times New Roman" w:hAnsi="Times New Roman" w:cs="Times New Roman"/>
          <w:sz w:val="24"/>
          <w:szCs w:val="24"/>
        </w:rPr>
        <w:t xml:space="preserve">The voucher number is </w:t>
      </w:r>
      <w:r w:rsidR="00BF7084" w:rsidRPr="002A4185">
        <w:rPr>
          <w:rFonts w:ascii="Times New Roman" w:hAnsi="Times New Roman" w:cs="Times New Roman"/>
          <w:bCs/>
          <w:sz w:val="24"/>
          <w:szCs w:val="24"/>
        </w:rPr>
        <w:t>UHAE 2024007</w:t>
      </w:r>
    </w:p>
    <w:bookmarkEnd w:id="3"/>
    <w:p w14:paraId="4A028C93" w14:textId="56187594" w:rsidR="0042364C" w:rsidRPr="002A4185" w:rsidRDefault="001257B8" w:rsidP="007C0EE9">
      <w:pPr>
        <w:spacing w:line="360" w:lineRule="auto"/>
        <w:jc w:val="both"/>
        <w:rPr>
          <w:rFonts w:ascii="Times New Roman" w:hAnsi="Times New Roman" w:cs="Times New Roman"/>
          <w:sz w:val="24"/>
          <w:szCs w:val="24"/>
        </w:rPr>
      </w:pPr>
      <w:r w:rsidRPr="002A4185">
        <w:rPr>
          <w:rFonts w:ascii="Times New Roman" w:hAnsi="Times New Roman" w:cs="Times New Roman"/>
          <w:b/>
          <w:bCs/>
          <w:sz w:val="24"/>
          <w:szCs w:val="24"/>
        </w:rPr>
        <w:t xml:space="preserve">2.2 </w:t>
      </w:r>
      <w:r w:rsidR="0042364C" w:rsidRPr="002A4185">
        <w:rPr>
          <w:rFonts w:ascii="Times New Roman" w:hAnsi="Times New Roman" w:cs="Times New Roman"/>
          <w:b/>
          <w:bCs/>
          <w:sz w:val="24"/>
          <w:szCs w:val="24"/>
        </w:rPr>
        <w:t>Preparation of the sample</w:t>
      </w:r>
    </w:p>
    <w:p w14:paraId="5ED7B419" w14:textId="3E4C6DDC" w:rsidR="0042364C" w:rsidRPr="002A4185" w:rsidRDefault="0042364C" w:rsidP="007C0EE9">
      <w:pPr>
        <w:spacing w:line="360" w:lineRule="auto"/>
        <w:jc w:val="both"/>
        <w:rPr>
          <w:rFonts w:ascii="Times New Roman" w:hAnsi="Times New Roman" w:cs="Times New Roman"/>
          <w:sz w:val="24"/>
          <w:szCs w:val="24"/>
        </w:rPr>
      </w:pPr>
      <w:proofErr w:type="spellStart"/>
      <w:r w:rsidRPr="002A4185">
        <w:rPr>
          <w:rFonts w:ascii="Times New Roman" w:hAnsi="Times New Roman" w:cs="Times New Roman"/>
          <w:i/>
          <w:sz w:val="24"/>
          <w:szCs w:val="24"/>
        </w:rPr>
        <w:t>Gliricidia</w:t>
      </w:r>
      <w:proofErr w:type="spellEnd"/>
      <w:r w:rsidRPr="002A4185">
        <w:rPr>
          <w:rFonts w:ascii="Times New Roman" w:hAnsi="Times New Roman" w:cs="Times New Roman"/>
          <w:i/>
          <w:sz w:val="24"/>
          <w:szCs w:val="24"/>
        </w:rPr>
        <w:t xml:space="preserve"> </w:t>
      </w:r>
      <w:proofErr w:type="spellStart"/>
      <w:r w:rsidR="00B80CC7" w:rsidRPr="002A4185">
        <w:rPr>
          <w:rFonts w:ascii="Times New Roman" w:hAnsi="Times New Roman" w:cs="Times New Roman"/>
          <w:i/>
          <w:sz w:val="24"/>
          <w:szCs w:val="24"/>
        </w:rPr>
        <w:t>sepium</w:t>
      </w:r>
      <w:proofErr w:type="spellEnd"/>
      <w:r w:rsidRPr="002A4185">
        <w:rPr>
          <w:rFonts w:ascii="Times New Roman" w:hAnsi="Times New Roman" w:cs="Times New Roman"/>
          <w:i/>
          <w:sz w:val="24"/>
          <w:szCs w:val="24"/>
        </w:rPr>
        <w:t xml:space="preserve"> </w:t>
      </w:r>
      <w:r w:rsidRPr="002A4185">
        <w:rPr>
          <w:rFonts w:ascii="Times New Roman" w:hAnsi="Times New Roman" w:cs="Times New Roman"/>
          <w:sz w:val="24"/>
          <w:szCs w:val="24"/>
        </w:rPr>
        <w:t>(</w:t>
      </w:r>
      <w:proofErr w:type="spellStart"/>
      <w:r w:rsidRPr="002A4185">
        <w:rPr>
          <w:rFonts w:ascii="Times New Roman" w:hAnsi="Times New Roman" w:cs="Times New Roman"/>
          <w:sz w:val="24"/>
          <w:szCs w:val="24"/>
        </w:rPr>
        <w:t>Agunmaniye</w:t>
      </w:r>
      <w:proofErr w:type="spellEnd"/>
      <w:r w:rsidRPr="002A4185">
        <w:rPr>
          <w:rFonts w:ascii="Times New Roman" w:hAnsi="Times New Roman" w:cs="Times New Roman"/>
          <w:sz w:val="24"/>
          <w:szCs w:val="24"/>
        </w:rPr>
        <w:t xml:space="preserve">) was air dried in a cool room </w:t>
      </w:r>
      <w:r w:rsidR="00A87FF4" w:rsidRPr="002A4185">
        <w:rPr>
          <w:rFonts w:ascii="Times New Roman" w:hAnsi="Times New Roman" w:cs="Times New Roman"/>
          <w:sz w:val="24"/>
          <w:szCs w:val="24"/>
        </w:rPr>
        <w:t xml:space="preserve">at </w:t>
      </w:r>
      <w:r w:rsidRPr="002A4185">
        <w:rPr>
          <w:rFonts w:ascii="Times New Roman" w:hAnsi="Times New Roman" w:cs="Times New Roman"/>
          <w:sz w:val="24"/>
          <w:szCs w:val="24"/>
        </w:rPr>
        <w:t>27</w:t>
      </w:r>
      <m:oMath>
        <m:r>
          <w:rPr>
            <w:rFonts w:ascii="Cambria Math" w:hAnsi="Cambria Math" w:cs="Times New Roman"/>
            <w:sz w:val="24"/>
            <w:szCs w:val="24"/>
          </w:rPr>
          <m:t xml:space="preserve">℃ </m:t>
        </m:r>
      </m:oMath>
      <w:r w:rsidRPr="002A4185">
        <w:rPr>
          <w:rFonts w:ascii="Times New Roman" w:eastAsiaTheme="minorEastAsia" w:hAnsi="Times New Roman" w:cs="Times New Roman"/>
          <w:sz w:val="24"/>
          <w:szCs w:val="24"/>
        </w:rPr>
        <w:t xml:space="preserve"> </w:t>
      </w:r>
      <w:r w:rsidRPr="002A4185">
        <w:rPr>
          <w:rFonts w:ascii="Times New Roman" w:hAnsi="Times New Roman" w:cs="Times New Roman"/>
          <w:sz w:val="24"/>
          <w:szCs w:val="24"/>
        </w:rPr>
        <w:t>for four weeks</w:t>
      </w:r>
      <w:r w:rsidR="00A87FF4" w:rsidRPr="002A4185">
        <w:rPr>
          <w:rFonts w:ascii="Times New Roman" w:hAnsi="Times New Roman" w:cs="Times New Roman"/>
          <w:sz w:val="24"/>
          <w:szCs w:val="24"/>
        </w:rPr>
        <w:t xml:space="preserve"> </w:t>
      </w:r>
      <w:r w:rsidRPr="002A4185">
        <w:rPr>
          <w:rFonts w:ascii="Times New Roman" w:eastAsiaTheme="minorEastAsia" w:hAnsi="Times New Roman" w:cs="Times New Roman"/>
          <w:sz w:val="24"/>
          <w:szCs w:val="24"/>
        </w:rPr>
        <w:t>.and pulverized in electric blender (</w:t>
      </w:r>
      <w:proofErr w:type="spellStart"/>
      <w:r w:rsidRPr="002A4185">
        <w:rPr>
          <w:rFonts w:ascii="Times New Roman" w:eastAsiaTheme="minorEastAsia" w:hAnsi="Times New Roman" w:cs="Times New Roman"/>
          <w:sz w:val="24"/>
          <w:szCs w:val="24"/>
        </w:rPr>
        <w:t>marlex</w:t>
      </w:r>
      <w:proofErr w:type="spellEnd"/>
      <w:r w:rsidRPr="002A4185">
        <w:rPr>
          <w:rFonts w:ascii="Times New Roman" w:eastAsiaTheme="minorEastAsia" w:hAnsi="Times New Roman" w:cs="Times New Roman"/>
          <w:sz w:val="24"/>
          <w:szCs w:val="24"/>
        </w:rPr>
        <w:t xml:space="preserve"> </w:t>
      </w:r>
      <w:proofErr w:type="spellStart"/>
      <w:r w:rsidRPr="002A4185">
        <w:rPr>
          <w:rFonts w:ascii="Times New Roman" w:eastAsiaTheme="minorEastAsia" w:hAnsi="Times New Roman" w:cs="Times New Roman"/>
          <w:sz w:val="24"/>
          <w:szCs w:val="24"/>
        </w:rPr>
        <w:t>electroline</w:t>
      </w:r>
      <w:proofErr w:type="spellEnd"/>
      <w:r w:rsidRPr="002A4185">
        <w:rPr>
          <w:rFonts w:ascii="Times New Roman" w:eastAsiaTheme="minorEastAsia" w:hAnsi="Times New Roman" w:cs="Times New Roman"/>
          <w:sz w:val="24"/>
          <w:szCs w:val="24"/>
        </w:rPr>
        <w:t xml:space="preserve">) IS: 4250. It was </w:t>
      </w:r>
      <w:r w:rsidR="00D513DA" w:rsidRPr="002A4185">
        <w:rPr>
          <w:rFonts w:ascii="Times New Roman" w:eastAsiaTheme="minorEastAsia" w:hAnsi="Times New Roman" w:cs="Times New Roman"/>
          <w:sz w:val="24"/>
          <w:szCs w:val="24"/>
        </w:rPr>
        <w:t xml:space="preserve">securely </w:t>
      </w:r>
      <w:r w:rsidRPr="002A4185">
        <w:rPr>
          <w:rFonts w:ascii="Times New Roman" w:eastAsiaTheme="minorEastAsia" w:hAnsi="Times New Roman" w:cs="Times New Roman"/>
          <w:sz w:val="24"/>
          <w:szCs w:val="24"/>
        </w:rPr>
        <w:t xml:space="preserve">kept at </w:t>
      </w:r>
      <w:r w:rsidR="00D87626" w:rsidRPr="002A4185">
        <w:rPr>
          <w:rFonts w:ascii="Times New Roman" w:eastAsiaTheme="minorEastAsia" w:hAnsi="Times New Roman" w:cs="Times New Roman"/>
          <w:sz w:val="24"/>
          <w:szCs w:val="24"/>
        </w:rPr>
        <w:t>25</w:t>
      </w:r>
      <w:r w:rsidR="009C1D61" w:rsidRPr="002A4185">
        <w:rPr>
          <w:rFonts w:ascii="Times New Roman" w:eastAsiaTheme="minorEastAsia" w:hAnsi="Times New Roman" w:cs="Times New Roman"/>
          <w:sz w:val="24"/>
          <w:szCs w:val="24"/>
        </w:rPr>
        <w:t>±2</w:t>
      </w:r>
      <w:r w:rsidR="009C1D61" w:rsidRPr="002A4185">
        <w:rPr>
          <w:rFonts w:ascii="Times New Roman" w:eastAsiaTheme="minorEastAsia" w:hAnsi="Times New Roman" w:cs="Times New Roman"/>
          <w:sz w:val="24"/>
          <w:szCs w:val="24"/>
          <w:vertAlign w:val="superscript"/>
        </w:rPr>
        <w:t>0</w:t>
      </w:r>
      <w:r w:rsidR="009C1D61" w:rsidRPr="002A4185">
        <w:rPr>
          <w:rFonts w:ascii="Times New Roman" w:eastAsiaTheme="minorEastAsia" w:hAnsi="Times New Roman" w:cs="Times New Roman"/>
          <w:sz w:val="24"/>
          <w:szCs w:val="24"/>
        </w:rPr>
        <w:t>C</w:t>
      </w:r>
      <w:r w:rsidRPr="002A4185">
        <w:rPr>
          <w:rFonts w:ascii="Times New Roman" w:eastAsiaTheme="minorEastAsia" w:hAnsi="Times New Roman" w:cs="Times New Roman"/>
          <w:sz w:val="24"/>
          <w:szCs w:val="24"/>
        </w:rPr>
        <w:t xml:space="preserve"> </w:t>
      </w:r>
      <w:r w:rsidR="00D513DA" w:rsidRPr="002A4185">
        <w:rPr>
          <w:rFonts w:ascii="Times New Roman" w:eastAsiaTheme="minorEastAsia" w:hAnsi="Times New Roman" w:cs="Times New Roman"/>
          <w:sz w:val="24"/>
          <w:szCs w:val="24"/>
        </w:rPr>
        <w:t xml:space="preserve">until use. </w:t>
      </w:r>
    </w:p>
    <w:p w14:paraId="142514FA" w14:textId="04366A56" w:rsidR="0042364C" w:rsidRPr="002A4185" w:rsidRDefault="00D513DA" w:rsidP="007C0EE9">
      <w:pPr>
        <w:spacing w:line="360" w:lineRule="auto"/>
        <w:jc w:val="both"/>
        <w:rPr>
          <w:rFonts w:ascii="Times New Roman" w:hAnsi="Times New Roman" w:cs="Times New Roman"/>
          <w:b/>
          <w:sz w:val="24"/>
          <w:szCs w:val="24"/>
        </w:rPr>
      </w:pPr>
      <w:r w:rsidRPr="002A4185">
        <w:rPr>
          <w:rFonts w:ascii="Times New Roman" w:hAnsi="Times New Roman" w:cs="Times New Roman"/>
          <w:b/>
          <w:sz w:val="24"/>
          <w:szCs w:val="24"/>
        </w:rPr>
        <w:t xml:space="preserve">2.3 </w:t>
      </w:r>
      <w:r w:rsidR="0042364C" w:rsidRPr="002A4185">
        <w:rPr>
          <w:rFonts w:ascii="Times New Roman" w:hAnsi="Times New Roman" w:cs="Times New Roman"/>
          <w:b/>
          <w:sz w:val="24"/>
          <w:szCs w:val="24"/>
        </w:rPr>
        <w:t xml:space="preserve">Preparation of Crude Extracts from Dried </w:t>
      </w:r>
      <w:proofErr w:type="spellStart"/>
      <w:r w:rsidR="0042364C" w:rsidRPr="002A4185">
        <w:rPr>
          <w:rFonts w:ascii="Times New Roman" w:hAnsi="Times New Roman" w:cs="Times New Roman"/>
          <w:b/>
          <w:sz w:val="24"/>
          <w:szCs w:val="24"/>
        </w:rPr>
        <w:t>Agunmaniye</w:t>
      </w:r>
      <w:proofErr w:type="spellEnd"/>
      <w:r w:rsidR="0042364C" w:rsidRPr="002A4185">
        <w:rPr>
          <w:rFonts w:ascii="Times New Roman" w:hAnsi="Times New Roman" w:cs="Times New Roman"/>
          <w:b/>
          <w:sz w:val="24"/>
          <w:szCs w:val="24"/>
        </w:rPr>
        <w:t xml:space="preserve"> Plant Materials</w:t>
      </w:r>
    </w:p>
    <w:p w14:paraId="7C00F237" w14:textId="4BE4320F" w:rsidR="00BC78DC" w:rsidRPr="002A4185" w:rsidRDefault="00BC78DC" w:rsidP="007C0EE9">
      <w:pPr>
        <w:pStyle w:val="NormalWeb"/>
        <w:spacing w:line="360" w:lineRule="auto"/>
        <w:jc w:val="both"/>
      </w:pPr>
      <w:r w:rsidRPr="002A4185">
        <w:t xml:space="preserve">The fresh leaves of </w:t>
      </w:r>
      <w:r w:rsidR="000256D2" w:rsidRPr="000256D2">
        <w:rPr>
          <w:rStyle w:val="Emphasis"/>
        </w:rPr>
        <w:t xml:space="preserve">G. sepium </w:t>
      </w:r>
      <w:r w:rsidR="000256D2" w:rsidRPr="002A4185">
        <w:t>(</w:t>
      </w:r>
      <w:r w:rsidRPr="002A4185">
        <w:rPr>
          <w:rStyle w:val="Emphasis"/>
        </w:rPr>
        <w:t>G. sepium</w:t>
      </w:r>
      <w:r w:rsidRPr="002A4185">
        <w:t>)</w:t>
      </w:r>
      <w:r w:rsidRPr="002A4185">
        <w:rPr>
          <w:rStyle w:val="Emphasis"/>
        </w:rPr>
        <w:t xml:space="preserve"> </w:t>
      </w:r>
      <w:r w:rsidRPr="002A4185">
        <w:t xml:space="preserve">were collected and dried in the shade. The dried plant materials were ground into a fine powder. The powder from dry leaves was 520g; they were stored in a polythene bag until needed for use. For the preparation of extracts, 130 g of powdered leaves were soaked in 500 ml of distilled water, N-hexane, dichloromethane, and methanol, respectively. The mixtures in different containers were kept for 72 hours in a dark room containing less than 40°C. The mixtures were filtered using a </w:t>
      </w:r>
      <w:proofErr w:type="spellStart"/>
      <w:r w:rsidRPr="002A4185">
        <w:t>mushlin</w:t>
      </w:r>
      <w:proofErr w:type="spellEnd"/>
      <w:r w:rsidRPr="002A4185">
        <w:t xml:space="preserve"> cloth to separate the active component from the residue. The extract was collected in a sterilized container with a diameter of 70.40mm and allowed to dry. The weight of the extract was taken, and the percentage recovery of the plant extract was taken.</w:t>
      </w:r>
    </w:p>
    <w:p w14:paraId="79A7F3BC" w14:textId="505FC044" w:rsidR="0026512F" w:rsidRPr="002A4185" w:rsidRDefault="00F842AB" w:rsidP="007C0EE9">
      <w:pPr>
        <w:pStyle w:val="NormalWeb"/>
        <w:spacing w:line="360" w:lineRule="auto"/>
        <w:jc w:val="both"/>
      </w:pPr>
      <w:r w:rsidRPr="002A4185">
        <w:lastRenderedPageBreak/>
        <w:t>2.</w:t>
      </w:r>
      <w:r w:rsidR="00D513DA" w:rsidRPr="002A4185">
        <w:t>4</w:t>
      </w:r>
      <w:r w:rsidR="00BC78DC" w:rsidRPr="002A4185">
        <w:t> </w:t>
      </w:r>
      <w:r w:rsidR="0026512F" w:rsidRPr="002A4185">
        <w:rPr>
          <w:b/>
        </w:rPr>
        <w:t>Fourier Transform Infrared Spectroscopy Analysis</w:t>
      </w:r>
    </w:p>
    <w:p w14:paraId="2C86E7F0" w14:textId="17881697" w:rsidR="005C7CD8" w:rsidRPr="002A4185" w:rsidRDefault="000E1157" w:rsidP="007C0EE9">
      <w:pPr>
        <w:spacing w:before="100" w:beforeAutospacing="1" w:after="100" w:afterAutospacing="1" w:line="360" w:lineRule="auto"/>
        <w:jc w:val="both"/>
        <w:outlineLvl w:val="2"/>
        <w:rPr>
          <w:rFonts w:ascii="Times New Roman" w:hAnsi="Times New Roman" w:cs="Times New Roman"/>
          <w:sz w:val="24"/>
          <w:szCs w:val="24"/>
        </w:rPr>
      </w:pPr>
      <w:r w:rsidRPr="002A4185">
        <w:rPr>
          <w:rFonts w:ascii="Times New Roman" w:eastAsia="Times New Roman" w:hAnsi="Times New Roman" w:cs="Times New Roman"/>
          <w:sz w:val="24"/>
          <w:szCs w:val="24"/>
          <w:lang w:eastAsia="en-GB"/>
        </w:rPr>
        <w:t xml:space="preserve">Following the method of Stuart </w:t>
      </w:r>
      <w:r w:rsidR="00D513DA" w:rsidRPr="002A4185">
        <w:rPr>
          <w:rFonts w:ascii="Times New Roman" w:eastAsia="Times New Roman" w:hAnsi="Times New Roman" w:cs="Times New Roman"/>
          <w:sz w:val="24"/>
          <w:szCs w:val="24"/>
          <w:lang w:eastAsia="en-GB"/>
        </w:rPr>
        <w:t>[9]</w:t>
      </w:r>
      <w:r w:rsidRPr="002A4185">
        <w:rPr>
          <w:rFonts w:ascii="Times New Roman" w:eastAsia="Times New Roman" w:hAnsi="Times New Roman" w:cs="Times New Roman"/>
          <w:sz w:val="24"/>
          <w:szCs w:val="24"/>
          <w:lang w:eastAsia="en-GB"/>
        </w:rPr>
        <w:t>, t</w:t>
      </w:r>
      <w:r w:rsidR="005C7CD8" w:rsidRPr="002A4185">
        <w:rPr>
          <w:rFonts w:ascii="Times New Roman" w:hAnsi="Times New Roman" w:cs="Times New Roman"/>
          <w:sz w:val="24"/>
          <w:szCs w:val="24"/>
        </w:rPr>
        <w:t>he</w:t>
      </w:r>
      <w:r w:rsidR="003C2A94" w:rsidRPr="002A4185">
        <w:rPr>
          <w:rFonts w:ascii="Times New Roman" w:hAnsi="Times New Roman" w:cs="Times New Roman"/>
          <w:sz w:val="24"/>
          <w:szCs w:val="24"/>
        </w:rPr>
        <w:t xml:space="preserve"> </w:t>
      </w:r>
      <w:r w:rsidR="005C7CD8" w:rsidRPr="002A4185">
        <w:rPr>
          <w:rFonts w:ascii="Times New Roman" w:hAnsi="Times New Roman" w:cs="Times New Roman"/>
          <w:sz w:val="24"/>
          <w:szCs w:val="24"/>
        </w:rPr>
        <w:t>membrane w</w:t>
      </w:r>
      <w:r w:rsidR="003C2A94" w:rsidRPr="002A4185">
        <w:rPr>
          <w:rFonts w:ascii="Times New Roman" w:hAnsi="Times New Roman" w:cs="Times New Roman"/>
          <w:sz w:val="24"/>
          <w:szCs w:val="24"/>
        </w:rPr>
        <w:t>as</w:t>
      </w:r>
      <w:r w:rsidR="005C7CD8" w:rsidRPr="002A4185">
        <w:rPr>
          <w:rFonts w:ascii="Times New Roman" w:hAnsi="Times New Roman" w:cs="Times New Roman"/>
          <w:sz w:val="24"/>
          <w:szCs w:val="24"/>
        </w:rPr>
        <w:t xml:space="preserve"> crushed into a powder of 2 to 5 mg, then mixed with a solvent, commonly potassium bromide, with a mixing ratio of 1 to 100. Then, the mixed powder is pressed into a die at a load of 10 tons to form a pellet of 13 mm. The pellet is then inserted in the FTIR chamber for analysis. It should be mentioned that potassium bromide is usually used as a reference material because it does not interfere in the infrared window from 400 to 4000 cm</w:t>
      </w:r>
      <w:r w:rsidR="005C7CD8" w:rsidRPr="002A4185">
        <w:rPr>
          <w:rFonts w:ascii="Times New Roman" w:hAnsi="Times New Roman" w:cs="Times New Roman"/>
          <w:sz w:val="24"/>
          <w:szCs w:val="24"/>
          <w:vertAlign w:val="superscript"/>
        </w:rPr>
        <w:t>−1</w:t>
      </w:r>
      <w:r w:rsidR="005C7CD8" w:rsidRPr="002A4185">
        <w:rPr>
          <w:rFonts w:ascii="Times New Roman" w:hAnsi="Times New Roman" w:cs="Times New Roman"/>
          <w:sz w:val="24"/>
          <w:szCs w:val="24"/>
        </w:rPr>
        <w:t>. Also, it acts as a carrier for the infrared spectrum, as represented in Table 5. Furthermore, the reference material of potassium bromide will be used to plot the transmittance axis in the FTIR graph. The data in FITR spectroscopy is given by the transmittance versus the wavelength. Zero transmittance means that the sample absorbed all the radiation, while 100% transmittance means that the sample absorbed the same amounts of radiation as the reference. The generated graph is unique for each molecule, and this can be used to identify the functional groups.</w:t>
      </w:r>
      <w:r w:rsidRPr="002A4185">
        <w:rPr>
          <w:rFonts w:ascii="Times New Roman" w:eastAsia="Times New Roman" w:hAnsi="Times New Roman" w:cs="Times New Roman"/>
          <w:b/>
          <w:bCs/>
          <w:sz w:val="24"/>
          <w:szCs w:val="24"/>
          <w:lang w:eastAsia="en-GB"/>
        </w:rPr>
        <w:t xml:space="preserve"> </w:t>
      </w:r>
      <w:r w:rsidR="000B0FF3" w:rsidRPr="002A4185">
        <w:rPr>
          <w:rFonts w:ascii="Times New Roman" w:eastAsia="Times New Roman" w:hAnsi="Times New Roman" w:cs="Times New Roman"/>
          <w:bCs/>
          <w:sz w:val="24"/>
          <w:szCs w:val="24"/>
          <w:lang w:eastAsia="en-GB"/>
        </w:rPr>
        <w:t>[10]</w:t>
      </w:r>
      <w:r w:rsidRPr="002A4185">
        <w:rPr>
          <w:rFonts w:ascii="Times New Roman" w:eastAsia="Times New Roman" w:hAnsi="Times New Roman" w:cs="Times New Roman"/>
          <w:sz w:val="24"/>
          <w:szCs w:val="24"/>
          <w:lang w:eastAsia="en-GB"/>
        </w:rPr>
        <w:t xml:space="preserve">. </w:t>
      </w:r>
      <w:r w:rsidR="005C7CD8" w:rsidRPr="002A4185">
        <w:rPr>
          <w:rFonts w:ascii="Times New Roman" w:hAnsi="Times New Roman" w:cs="Times New Roman"/>
          <w:sz w:val="24"/>
          <w:szCs w:val="24"/>
        </w:rPr>
        <w:t>FTIR spectroscopy can be very useful for determining the compatibility between the polymer and the solvent.</w:t>
      </w:r>
    </w:p>
    <w:p w14:paraId="66E29CA3" w14:textId="6A826150" w:rsidR="0026512F" w:rsidRPr="002A4185" w:rsidRDefault="00F842AB" w:rsidP="007C0EE9">
      <w:pPr>
        <w:spacing w:line="360" w:lineRule="auto"/>
        <w:jc w:val="both"/>
        <w:rPr>
          <w:rFonts w:ascii="Times New Roman" w:eastAsia="Times New Roman" w:hAnsi="Times New Roman" w:cs="Times New Roman"/>
          <w:b/>
          <w:bCs/>
          <w:spacing w:val="1"/>
          <w:sz w:val="24"/>
          <w:szCs w:val="24"/>
        </w:rPr>
      </w:pPr>
      <w:r w:rsidRPr="002A4185">
        <w:rPr>
          <w:rFonts w:ascii="Times New Roman" w:eastAsia="Times New Roman" w:hAnsi="Times New Roman" w:cs="Times New Roman"/>
          <w:b/>
          <w:bCs/>
          <w:spacing w:val="1"/>
          <w:sz w:val="24"/>
          <w:szCs w:val="24"/>
        </w:rPr>
        <w:t>2.</w:t>
      </w:r>
      <w:r w:rsidR="00D513DA" w:rsidRPr="002A4185">
        <w:rPr>
          <w:rFonts w:ascii="Times New Roman" w:eastAsia="Times New Roman" w:hAnsi="Times New Roman" w:cs="Times New Roman"/>
          <w:b/>
          <w:bCs/>
          <w:spacing w:val="1"/>
          <w:sz w:val="24"/>
          <w:szCs w:val="24"/>
        </w:rPr>
        <w:t>5</w:t>
      </w:r>
      <w:r w:rsidRPr="002A4185">
        <w:rPr>
          <w:rFonts w:ascii="Times New Roman" w:eastAsia="Times New Roman" w:hAnsi="Times New Roman" w:cs="Times New Roman"/>
          <w:b/>
          <w:bCs/>
          <w:spacing w:val="1"/>
          <w:sz w:val="24"/>
          <w:szCs w:val="24"/>
        </w:rPr>
        <w:t xml:space="preserve"> </w:t>
      </w:r>
      <w:r w:rsidR="0026512F" w:rsidRPr="002A4185">
        <w:rPr>
          <w:rFonts w:ascii="Times New Roman" w:eastAsia="Times New Roman" w:hAnsi="Times New Roman" w:cs="Times New Roman"/>
          <w:b/>
          <w:bCs/>
          <w:spacing w:val="1"/>
          <w:sz w:val="24"/>
          <w:szCs w:val="24"/>
        </w:rPr>
        <w:t>Gas Chromatography-Mass Spectrometry (GC-MS) Analysis</w:t>
      </w:r>
    </w:p>
    <w:p w14:paraId="41283B81" w14:textId="0637171E" w:rsidR="000E1157" w:rsidRPr="002A4185" w:rsidRDefault="008C3041" w:rsidP="007C0EE9">
      <w:pPr>
        <w:spacing w:before="100" w:beforeAutospacing="1" w:after="100" w:afterAutospacing="1" w:line="360" w:lineRule="auto"/>
        <w:jc w:val="both"/>
        <w:outlineLvl w:val="2"/>
        <w:rPr>
          <w:rFonts w:ascii="Times New Roman" w:eastAsia="Times New Roman" w:hAnsi="Times New Roman" w:cs="Times New Roman"/>
          <w:sz w:val="24"/>
          <w:szCs w:val="24"/>
          <w:lang w:eastAsia="en-GB"/>
        </w:rPr>
      </w:pPr>
      <w:r w:rsidRPr="002A4185">
        <w:rPr>
          <w:rFonts w:ascii="Times New Roman" w:hAnsi="Times New Roman" w:cs="Times New Roman"/>
          <w:sz w:val="24"/>
          <w:szCs w:val="24"/>
        </w:rPr>
        <w:t xml:space="preserve">Analysis was done using a Varian 3800/4000 gas chromatograph mass spectrometer equipped with an Agilent equipped with a capillary column DB5ms (30.0m x 0.25mm, 0.25 </w:t>
      </w:r>
      <w:proofErr w:type="spellStart"/>
      <w:r w:rsidRPr="002A4185">
        <w:rPr>
          <w:rFonts w:ascii="Times New Roman" w:hAnsi="Times New Roman" w:cs="Times New Roman"/>
          <w:sz w:val="24"/>
          <w:szCs w:val="24"/>
        </w:rPr>
        <w:t>μm</w:t>
      </w:r>
      <w:proofErr w:type="spellEnd"/>
      <w:r w:rsidRPr="002A4185">
        <w:rPr>
          <w:rFonts w:ascii="Times New Roman" w:hAnsi="Times New Roman" w:cs="Times New Roman"/>
          <w:sz w:val="24"/>
          <w:szCs w:val="24"/>
        </w:rPr>
        <w:t xml:space="preserve"> film thickness). Nitrogen with 99.9995% purity was used as the carrier gas at a constant flow rate of 1 ml/min, and an injection volume of 2μl was employed (split ratio of 10:1). The injector temperature was 250 </w:t>
      </w:r>
      <w:proofErr w:type="spellStart"/>
      <w:r w:rsidRPr="002A4185">
        <w:rPr>
          <w:rFonts w:ascii="Times New Roman" w:hAnsi="Times New Roman" w:cs="Times New Roman"/>
          <w:sz w:val="24"/>
          <w:szCs w:val="24"/>
        </w:rPr>
        <w:t>oC</w:t>
      </w:r>
      <w:proofErr w:type="spellEnd"/>
      <w:r w:rsidRPr="002A4185">
        <w:rPr>
          <w:rFonts w:ascii="Times New Roman" w:hAnsi="Times New Roman" w:cs="Times New Roman"/>
          <w:sz w:val="24"/>
          <w:szCs w:val="24"/>
        </w:rPr>
        <w:t>, and the</w:t>
      </w:r>
      <w:r w:rsidR="000B0FF3" w:rsidRPr="002A4185">
        <w:rPr>
          <w:rFonts w:ascii="Times New Roman" w:hAnsi="Times New Roman" w:cs="Times New Roman"/>
          <w:sz w:val="24"/>
          <w:szCs w:val="24"/>
        </w:rPr>
        <w:t xml:space="preserve"> ion-source temperature was 280</w:t>
      </w:r>
      <w:r w:rsidR="000B0FF3" w:rsidRPr="002A4185">
        <w:rPr>
          <w:rFonts w:ascii="Times New Roman" w:hAnsi="Times New Roman" w:cs="Times New Roman"/>
          <w:sz w:val="24"/>
          <w:szCs w:val="24"/>
          <w:vertAlign w:val="superscript"/>
        </w:rPr>
        <w:t>o</w:t>
      </w:r>
      <w:r w:rsidRPr="002A4185">
        <w:rPr>
          <w:rFonts w:ascii="Times New Roman" w:hAnsi="Times New Roman" w:cs="Times New Roman"/>
          <w:sz w:val="24"/>
          <w:szCs w:val="24"/>
        </w:rPr>
        <w:t>C. The oven temperature was programmed from 110</w:t>
      </w:r>
      <w:r w:rsidRPr="002A4185">
        <w:rPr>
          <w:rFonts w:ascii="Times New Roman" w:hAnsi="Times New Roman" w:cs="Times New Roman"/>
          <w:sz w:val="24"/>
          <w:szCs w:val="24"/>
          <w:vertAlign w:val="superscript"/>
        </w:rPr>
        <w:t>o</w:t>
      </w:r>
      <w:r w:rsidRPr="002A4185">
        <w:rPr>
          <w:rFonts w:ascii="Times New Roman" w:hAnsi="Times New Roman" w:cs="Times New Roman"/>
          <w:sz w:val="24"/>
          <w:szCs w:val="24"/>
        </w:rPr>
        <w:t>C (Isothermal for 2 min) with an increase of 10</w:t>
      </w:r>
      <w:r w:rsidRPr="002A4185">
        <w:rPr>
          <w:rFonts w:ascii="Times New Roman" w:hAnsi="Times New Roman" w:cs="Times New Roman"/>
          <w:sz w:val="24"/>
          <w:szCs w:val="24"/>
          <w:vertAlign w:val="superscript"/>
        </w:rPr>
        <w:t>o</w:t>
      </w:r>
      <w:r w:rsidRPr="002A4185">
        <w:rPr>
          <w:rFonts w:ascii="Times New Roman" w:hAnsi="Times New Roman" w:cs="Times New Roman"/>
          <w:sz w:val="24"/>
          <w:szCs w:val="24"/>
        </w:rPr>
        <w:t>C/min to 200</w:t>
      </w:r>
      <w:r w:rsidRPr="002A4185">
        <w:rPr>
          <w:rFonts w:ascii="Times New Roman" w:hAnsi="Times New Roman" w:cs="Times New Roman"/>
          <w:sz w:val="24"/>
          <w:szCs w:val="24"/>
          <w:vertAlign w:val="superscript"/>
        </w:rPr>
        <w:t>o</w:t>
      </w:r>
      <w:r w:rsidRPr="002A4185">
        <w:rPr>
          <w:rFonts w:ascii="Times New Roman" w:hAnsi="Times New Roman" w:cs="Times New Roman"/>
          <w:sz w:val="24"/>
          <w:szCs w:val="24"/>
        </w:rPr>
        <w:t>C then 5</w:t>
      </w:r>
      <w:r w:rsidRPr="002A4185">
        <w:rPr>
          <w:rFonts w:ascii="Times New Roman" w:hAnsi="Times New Roman" w:cs="Times New Roman"/>
          <w:sz w:val="24"/>
          <w:szCs w:val="24"/>
          <w:vertAlign w:val="superscript"/>
        </w:rPr>
        <w:t>o</w:t>
      </w:r>
      <w:r w:rsidRPr="002A4185">
        <w:rPr>
          <w:rFonts w:ascii="Times New Roman" w:hAnsi="Times New Roman" w:cs="Times New Roman"/>
          <w:sz w:val="24"/>
          <w:szCs w:val="24"/>
        </w:rPr>
        <w:t>C/min to 280</w:t>
      </w:r>
      <w:r w:rsidRPr="002A4185">
        <w:rPr>
          <w:rFonts w:ascii="Times New Roman" w:hAnsi="Times New Roman" w:cs="Times New Roman"/>
          <w:sz w:val="24"/>
          <w:szCs w:val="24"/>
          <w:vertAlign w:val="superscript"/>
        </w:rPr>
        <w:t>o</w:t>
      </w:r>
      <w:r w:rsidRPr="002A4185">
        <w:rPr>
          <w:rFonts w:ascii="Times New Roman" w:hAnsi="Times New Roman" w:cs="Times New Roman"/>
          <w:sz w:val="24"/>
          <w:szCs w:val="24"/>
        </w:rPr>
        <w:t>C/min, ending with a 9 min isothermal at 280</w:t>
      </w:r>
      <w:r w:rsidRPr="002A4185">
        <w:rPr>
          <w:rFonts w:ascii="Times New Roman" w:hAnsi="Times New Roman" w:cs="Times New Roman"/>
          <w:sz w:val="24"/>
          <w:szCs w:val="24"/>
          <w:vertAlign w:val="superscript"/>
        </w:rPr>
        <w:t>o</w:t>
      </w:r>
      <w:r w:rsidRPr="002A4185">
        <w:rPr>
          <w:rFonts w:ascii="Times New Roman" w:hAnsi="Times New Roman" w:cs="Times New Roman"/>
          <w:sz w:val="24"/>
          <w:szCs w:val="24"/>
        </w:rPr>
        <w:t xml:space="preserve">C. Mass spectra were taken at 70 eV; a scan interval of 0.5 s and fragments from 40 to 800 </w:t>
      </w:r>
      <w:proofErr w:type="spellStart"/>
      <w:r w:rsidRPr="002A4185">
        <w:rPr>
          <w:rFonts w:ascii="Times New Roman" w:hAnsi="Times New Roman" w:cs="Times New Roman"/>
          <w:sz w:val="24"/>
          <w:szCs w:val="24"/>
        </w:rPr>
        <w:t>dA.</w:t>
      </w:r>
      <w:proofErr w:type="spellEnd"/>
      <w:r w:rsidRPr="002A4185">
        <w:rPr>
          <w:rFonts w:ascii="Times New Roman" w:hAnsi="Times New Roman" w:cs="Times New Roman"/>
          <w:sz w:val="24"/>
          <w:szCs w:val="24"/>
        </w:rPr>
        <w:t xml:space="preserve"> The total gas chromatography running time was 43 minutes. The relative percentage amount of each component was calculated by comparing its average peak area to the total area</w:t>
      </w:r>
      <w:r w:rsidR="000E1157" w:rsidRPr="002A4185">
        <w:rPr>
          <w:rFonts w:ascii="Times New Roman" w:hAnsi="Times New Roman" w:cs="Times New Roman"/>
          <w:sz w:val="24"/>
          <w:szCs w:val="24"/>
        </w:rPr>
        <w:t xml:space="preserve"> </w:t>
      </w:r>
      <w:r w:rsidR="00E24592" w:rsidRPr="002A4185">
        <w:rPr>
          <w:rFonts w:ascii="Times New Roman" w:hAnsi="Times New Roman" w:cs="Times New Roman"/>
          <w:sz w:val="24"/>
          <w:szCs w:val="24"/>
        </w:rPr>
        <w:t>[11]</w:t>
      </w:r>
      <w:r w:rsidR="000B0FF3" w:rsidRPr="002A4185">
        <w:rPr>
          <w:rFonts w:ascii="Times New Roman" w:hAnsi="Times New Roman" w:cs="Times New Roman"/>
          <w:sz w:val="24"/>
          <w:szCs w:val="24"/>
        </w:rPr>
        <w:t>.</w:t>
      </w:r>
      <w:r w:rsidR="000E1157" w:rsidRPr="002A4185">
        <w:rPr>
          <w:rFonts w:ascii="Times New Roman" w:eastAsia="Times New Roman" w:hAnsi="Times New Roman" w:cs="Times New Roman"/>
          <w:sz w:val="24"/>
          <w:szCs w:val="24"/>
          <w:lang w:eastAsia="en-GB"/>
        </w:rPr>
        <w:t xml:space="preserve"> </w:t>
      </w:r>
    </w:p>
    <w:p w14:paraId="28B54D15" w14:textId="1158D51B" w:rsidR="008C3041" w:rsidRPr="002A4185" w:rsidRDefault="008C3041" w:rsidP="007C0EE9">
      <w:pPr>
        <w:pStyle w:val="NormalWeb"/>
        <w:spacing w:line="360" w:lineRule="auto"/>
        <w:jc w:val="both"/>
      </w:pPr>
      <w:r w:rsidRPr="002A4185">
        <w:t>Quantities of the compounds are represented as relative area percentages derived from the integrator. Identification of phytochemical components was conducted using the database of the National Institute Standard and Technology MS Library (NIST 08-MS Library) and comparing the spectrum obtained through GC-MS compounds present in the samples were identified. No response factors were calculated</w:t>
      </w:r>
      <w:r w:rsidR="000E1157" w:rsidRPr="002A4185">
        <w:t xml:space="preserve"> </w:t>
      </w:r>
      <w:r w:rsidR="00E24592" w:rsidRPr="002A4185">
        <w:t>[12</w:t>
      </w:r>
      <w:r w:rsidR="000B0FF3" w:rsidRPr="002A4185">
        <w:t>].</w:t>
      </w:r>
      <w:r w:rsidR="00E24592" w:rsidRPr="002A4185">
        <w:t xml:space="preserve"> </w:t>
      </w:r>
      <w:r w:rsidRPr="002A4185">
        <w:t xml:space="preserve">All the samples and replicates were continuously injected as one batch in random order to distinguish technical from biological </w:t>
      </w:r>
      <w:r w:rsidRPr="002A4185">
        <w:lastRenderedPageBreak/>
        <w:t>variations. Additionally, the prepared pooled samples were used as quality controls (QCs), which were injected at regular intervals throughout the analytical run to provide a set of data from which the repeatability can be assessed.</w:t>
      </w:r>
    </w:p>
    <w:p w14:paraId="0BF82514" w14:textId="65A6630F" w:rsidR="0042364C" w:rsidRPr="002A4185" w:rsidRDefault="00F842AB" w:rsidP="007C0EE9">
      <w:pPr>
        <w:spacing w:line="360" w:lineRule="auto"/>
        <w:jc w:val="both"/>
        <w:rPr>
          <w:rFonts w:ascii="Times New Roman" w:hAnsi="Times New Roman" w:cs="Times New Roman"/>
          <w:sz w:val="24"/>
          <w:szCs w:val="24"/>
        </w:rPr>
      </w:pPr>
      <w:r w:rsidRPr="002A4185">
        <w:rPr>
          <w:rFonts w:ascii="Times New Roman" w:hAnsi="Times New Roman" w:cs="Times New Roman"/>
          <w:b/>
          <w:sz w:val="24"/>
          <w:szCs w:val="24"/>
        </w:rPr>
        <w:t>2.</w:t>
      </w:r>
      <w:r w:rsidR="00D513DA" w:rsidRPr="002A4185">
        <w:rPr>
          <w:rFonts w:ascii="Times New Roman" w:hAnsi="Times New Roman" w:cs="Times New Roman"/>
          <w:b/>
          <w:sz w:val="24"/>
          <w:szCs w:val="24"/>
        </w:rPr>
        <w:t>6</w:t>
      </w:r>
      <w:r w:rsidRPr="002A4185">
        <w:rPr>
          <w:rFonts w:ascii="Times New Roman" w:hAnsi="Times New Roman" w:cs="Times New Roman"/>
          <w:b/>
          <w:sz w:val="24"/>
          <w:szCs w:val="24"/>
        </w:rPr>
        <w:t xml:space="preserve"> </w:t>
      </w:r>
      <w:r w:rsidR="0042364C" w:rsidRPr="002A4185">
        <w:rPr>
          <w:rFonts w:ascii="Times New Roman" w:hAnsi="Times New Roman" w:cs="Times New Roman"/>
          <w:b/>
          <w:sz w:val="24"/>
          <w:szCs w:val="24"/>
        </w:rPr>
        <w:t>Test Microorganisms</w:t>
      </w:r>
    </w:p>
    <w:p w14:paraId="49B31D72" w14:textId="27E7D2E5" w:rsidR="0042364C" w:rsidRPr="002A4185" w:rsidRDefault="0042364C" w:rsidP="007C0EE9">
      <w:pPr>
        <w:spacing w:line="360" w:lineRule="auto"/>
        <w:ind w:firstLine="360"/>
        <w:jc w:val="both"/>
        <w:rPr>
          <w:rFonts w:ascii="Times New Roman" w:hAnsi="Times New Roman" w:cs="Times New Roman"/>
          <w:sz w:val="24"/>
          <w:szCs w:val="24"/>
        </w:rPr>
      </w:pPr>
      <w:r w:rsidRPr="002A4185">
        <w:rPr>
          <w:rFonts w:ascii="Times New Roman" w:hAnsi="Times New Roman" w:cs="Times New Roman"/>
          <w:sz w:val="24"/>
          <w:szCs w:val="24"/>
        </w:rPr>
        <w:t>The</w:t>
      </w:r>
      <w:r w:rsidR="003C2A94" w:rsidRPr="002A4185">
        <w:rPr>
          <w:rFonts w:ascii="Times New Roman" w:hAnsi="Times New Roman" w:cs="Times New Roman"/>
          <w:sz w:val="24"/>
          <w:szCs w:val="24"/>
        </w:rPr>
        <w:t xml:space="preserve"> bacteria used in this study </w:t>
      </w:r>
      <w:r w:rsidRPr="002A4185">
        <w:rPr>
          <w:rFonts w:ascii="Times New Roman" w:hAnsi="Times New Roman" w:cs="Times New Roman"/>
          <w:sz w:val="24"/>
          <w:szCs w:val="24"/>
        </w:rPr>
        <w:t>are clinical isolates. Those bacterial Strains are</w:t>
      </w:r>
      <w:r w:rsidRPr="002A4185">
        <w:rPr>
          <w:rFonts w:ascii="Times New Roman" w:hAnsi="Times New Roman" w:cs="Times New Roman"/>
          <w:i/>
          <w:sz w:val="24"/>
          <w:szCs w:val="24"/>
        </w:rPr>
        <w:t xml:space="preserve"> Escherichia coli </w:t>
      </w:r>
      <w:r w:rsidRPr="002A4185">
        <w:rPr>
          <w:rFonts w:ascii="Times New Roman" w:hAnsi="Times New Roman" w:cs="Times New Roman"/>
          <w:iCs/>
          <w:sz w:val="24"/>
          <w:szCs w:val="24"/>
        </w:rPr>
        <w:t>70303</w:t>
      </w:r>
      <w:r w:rsidRPr="002A4185">
        <w:rPr>
          <w:rFonts w:ascii="Times New Roman" w:hAnsi="Times New Roman" w:cs="Times New Roman"/>
          <w:sz w:val="24"/>
          <w:szCs w:val="24"/>
        </w:rPr>
        <w:t xml:space="preserve">, </w:t>
      </w:r>
      <w:r w:rsidR="003C2A94" w:rsidRPr="002A4185">
        <w:rPr>
          <w:rFonts w:ascii="Times New Roman" w:hAnsi="Times New Roman" w:cs="Times New Roman"/>
          <w:sz w:val="24"/>
          <w:szCs w:val="24"/>
        </w:rPr>
        <w:t xml:space="preserve">and </w:t>
      </w:r>
      <w:r w:rsidRPr="002A4185">
        <w:rPr>
          <w:rFonts w:ascii="Times New Roman" w:hAnsi="Times New Roman" w:cs="Times New Roman"/>
          <w:i/>
          <w:iCs/>
          <w:sz w:val="24"/>
          <w:szCs w:val="24"/>
        </w:rPr>
        <w:t xml:space="preserve">Klebsiella </w:t>
      </w:r>
      <w:r w:rsidRPr="002A4185">
        <w:rPr>
          <w:rFonts w:ascii="Times New Roman" w:hAnsi="Times New Roman" w:cs="Times New Roman"/>
          <w:i/>
          <w:sz w:val="24"/>
          <w:szCs w:val="24"/>
        </w:rPr>
        <w:t>pneumonia</w:t>
      </w:r>
      <w:r w:rsidRPr="002A4185">
        <w:rPr>
          <w:rFonts w:ascii="Times New Roman" w:hAnsi="Times New Roman" w:cs="Times New Roman"/>
          <w:sz w:val="24"/>
          <w:szCs w:val="24"/>
        </w:rPr>
        <w:t xml:space="preserve"> 700303</w:t>
      </w:r>
      <w:r w:rsidR="003C2A94" w:rsidRPr="002A4185">
        <w:rPr>
          <w:rFonts w:ascii="Times New Roman" w:hAnsi="Times New Roman" w:cs="Times New Roman"/>
          <w:sz w:val="24"/>
          <w:szCs w:val="24"/>
        </w:rPr>
        <w:t xml:space="preserve">. The isolates were obtained from the </w:t>
      </w:r>
      <w:r w:rsidR="002C6A9B" w:rsidRPr="002A4185">
        <w:rPr>
          <w:rFonts w:ascii="Times New Roman" w:hAnsi="Times New Roman" w:cs="Times New Roman"/>
          <w:sz w:val="24"/>
          <w:szCs w:val="24"/>
        </w:rPr>
        <w:t xml:space="preserve">Department </w:t>
      </w:r>
      <w:r w:rsidR="003C2A94" w:rsidRPr="002A4185">
        <w:rPr>
          <w:rFonts w:ascii="Times New Roman" w:hAnsi="Times New Roman" w:cs="Times New Roman"/>
          <w:sz w:val="24"/>
          <w:szCs w:val="24"/>
        </w:rPr>
        <w:t xml:space="preserve">of Science Laboratory Technology Ekiti State University Ado Ekiti. </w:t>
      </w:r>
    </w:p>
    <w:p w14:paraId="777D8C8E" w14:textId="356E65BB" w:rsidR="0042364C" w:rsidRPr="002A4185" w:rsidRDefault="0042364C" w:rsidP="007C0EE9">
      <w:pPr>
        <w:spacing w:line="360" w:lineRule="auto"/>
        <w:jc w:val="both"/>
        <w:rPr>
          <w:rFonts w:ascii="Times New Roman" w:hAnsi="Times New Roman" w:cs="Times New Roman"/>
          <w:b/>
          <w:sz w:val="24"/>
          <w:szCs w:val="24"/>
        </w:rPr>
      </w:pPr>
      <w:r w:rsidRPr="002A4185">
        <w:rPr>
          <w:rFonts w:ascii="Times New Roman" w:hAnsi="Times New Roman" w:cs="Times New Roman"/>
          <w:b/>
          <w:sz w:val="24"/>
          <w:szCs w:val="24"/>
        </w:rPr>
        <w:t xml:space="preserve"> </w:t>
      </w:r>
      <w:r w:rsidR="00F842AB" w:rsidRPr="002A4185">
        <w:rPr>
          <w:rFonts w:ascii="Times New Roman" w:hAnsi="Times New Roman" w:cs="Times New Roman"/>
          <w:b/>
          <w:sz w:val="24"/>
          <w:szCs w:val="24"/>
        </w:rPr>
        <w:t>2.</w:t>
      </w:r>
      <w:r w:rsidR="00D513DA" w:rsidRPr="002A4185">
        <w:rPr>
          <w:rFonts w:ascii="Times New Roman" w:hAnsi="Times New Roman" w:cs="Times New Roman"/>
          <w:b/>
          <w:sz w:val="24"/>
          <w:szCs w:val="24"/>
        </w:rPr>
        <w:t>7</w:t>
      </w:r>
      <w:r w:rsidR="00F842AB" w:rsidRPr="002A4185">
        <w:rPr>
          <w:rFonts w:ascii="Times New Roman" w:hAnsi="Times New Roman" w:cs="Times New Roman"/>
          <w:b/>
          <w:sz w:val="24"/>
          <w:szCs w:val="24"/>
        </w:rPr>
        <w:t xml:space="preserve"> </w:t>
      </w:r>
      <w:r w:rsidRPr="002A4185">
        <w:rPr>
          <w:rFonts w:ascii="Times New Roman" w:hAnsi="Times New Roman" w:cs="Times New Roman"/>
          <w:b/>
          <w:sz w:val="24"/>
          <w:szCs w:val="24"/>
        </w:rPr>
        <w:t>Preparation of Culture Media</w:t>
      </w:r>
    </w:p>
    <w:p w14:paraId="03290D5C" w14:textId="26635F38" w:rsidR="0042364C" w:rsidRPr="002A4185" w:rsidRDefault="0042364C"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Nutrient Agar media was prepared by suspending 3g in 100ml of distilled water. The media was sterilized by autoclaving at 121°C for 15 min</w:t>
      </w:r>
      <w:r w:rsidR="002C6A9B" w:rsidRPr="002A4185">
        <w:rPr>
          <w:rFonts w:ascii="Times New Roman" w:hAnsi="Times New Roman" w:cs="Times New Roman"/>
          <w:sz w:val="24"/>
          <w:szCs w:val="24"/>
        </w:rPr>
        <w:t>, allowed to cool to 50°C.</w:t>
      </w:r>
      <w:r w:rsidRPr="002A4185">
        <w:rPr>
          <w:rFonts w:ascii="Times New Roman" w:hAnsi="Times New Roman" w:cs="Times New Roman"/>
          <w:sz w:val="24"/>
          <w:szCs w:val="24"/>
        </w:rPr>
        <w:t xml:space="preserve">and poured into sterile Petri plates </w:t>
      </w:r>
      <w:r w:rsidR="002C6A9B" w:rsidRPr="002A4185">
        <w:rPr>
          <w:rFonts w:ascii="Times New Roman" w:hAnsi="Times New Roman" w:cs="Times New Roman"/>
          <w:sz w:val="24"/>
          <w:szCs w:val="24"/>
        </w:rPr>
        <w:t xml:space="preserve">of 90mm in diameter. This was done to obtain fresh culture.  </w:t>
      </w:r>
      <w:r w:rsidRPr="002A4185">
        <w:rPr>
          <w:rFonts w:ascii="Times New Roman" w:hAnsi="Times New Roman" w:cs="Times New Roman"/>
          <w:sz w:val="24"/>
          <w:szCs w:val="24"/>
        </w:rPr>
        <w:t>Mueller Hinton Agar (MHA) media was prepared by suspending 9.5 g in 250 ml of distilled water. The media was sterilized by autoclaving at 121°C for 15 min and poured into sterile Petri plates at around 50°C.</w:t>
      </w:r>
      <w:r w:rsidR="002C6A9B" w:rsidRPr="002A4185">
        <w:rPr>
          <w:rFonts w:ascii="Times New Roman" w:hAnsi="Times New Roman" w:cs="Times New Roman"/>
          <w:sz w:val="24"/>
          <w:szCs w:val="24"/>
        </w:rPr>
        <w:t xml:space="preserve"> This medium was used for antibiotic diffusion sensitivity test. </w:t>
      </w:r>
    </w:p>
    <w:p w14:paraId="58F223B0" w14:textId="0200F92A" w:rsidR="0042364C" w:rsidRPr="002A4185" w:rsidRDefault="00B80CC7" w:rsidP="007C0EE9">
      <w:pPr>
        <w:pStyle w:val="Default"/>
        <w:spacing w:line="360" w:lineRule="auto"/>
        <w:jc w:val="both"/>
        <w:rPr>
          <w:rFonts w:ascii="Times New Roman" w:hAnsi="Times New Roman" w:cs="Times New Roman"/>
        </w:rPr>
      </w:pPr>
      <w:r w:rsidRPr="002A4185">
        <w:rPr>
          <w:rFonts w:ascii="Times New Roman" w:hAnsi="Times New Roman" w:cs="Times New Roman"/>
          <w:color w:val="auto"/>
        </w:rPr>
        <w:t>.</w:t>
      </w:r>
      <w:r w:rsidR="00F842AB" w:rsidRPr="002A4185">
        <w:rPr>
          <w:rFonts w:ascii="Times New Roman" w:hAnsi="Times New Roman" w:cs="Times New Roman"/>
          <w:b/>
        </w:rPr>
        <w:t>2.</w:t>
      </w:r>
      <w:r w:rsidR="00D513DA" w:rsidRPr="002A4185">
        <w:rPr>
          <w:rFonts w:ascii="Times New Roman" w:hAnsi="Times New Roman" w:cs="Times New Roman"/>
          <w:b/>
        </w:rPr>
        <w:t>8</w:t>
      </w:r>
      <w:r w:rsidR="00F842AB" w:rsidRPr="002A4185">
        <w:rPr>
          <w:rFonts w:ascii="Times New Roman" w:hAnsi="Times New Roman" w:cs="Times New Roman"/>
          <w:b/>
        </w:rPr>
        <w:t xml:space="preserve"> </w:t>
      </w:r>
      <w:r w:rsidR="0042364C" w:rsidRPr="002A4185">
        <w:rPr>
          <w:rFonts w:ascii="Times New Roman" w:hAnsi="Times New Roman" w:cs="Times New Roman"/>
          <w:b/>
        </w:rPr>
        <w:t>Antimicrobial Screening</w:t>
      </w:r>
      <w:r w:rsidR="0042364C" w:rsidRPr="002A4185">
        <w:rPr>
          <w:rFonts w:ascii="Times New Roman" w:hAnsi="Times New Roman" w:cs="Times New Roman"/>
        </w:rPr>
        <w:t xml:space="preserve"> </w:t>
      </w:r>
    </w:p>
    <w:p w14:paraId="5FFF02ED" w14:textId="734BBF04" w:rsidR="00A34828" w:rsidRPr="002A4185" w:rsidRDefault="00A34828" w:rsidP="007C0EE9">
      <w:pPr>
        <w:spacing w:line="360" w:lineRule="auto"/>
        <w:jc w:val="both"/>
        <w:rPr>
          <w:rFonts w:ascii="Times New Roman" w:hAnsi="Times New Roman" w:cs="Times New Roman"/>
          <w:b/>
          <w:sz w:val="24"/>
          <w:szCs w:val="24"/>
        </w:rPr>
      </w:pPr>
      <w:r w:rsidRPr="002A4185">
        <w:rPr>
          <w:rFonts w:ascii="Times New Roman" w:hAnsi="Times New Roman" w:cs="Times New Roman"/>
          <w:b/>
          <w:sz w:val="24"/>
          <w:szCs w:val="24"/>
        </w:rPr>
        <w:t xml:space="preserve">Inoculum standardization </w:t>
      </w:r>
    </w:p>
    <w:p w14:paraId="6FB66EB7" w14:textId="23ABBAEB" w:rsidR="00A34828" w:rsidRPr="002A4185" w:rsidRDefault="00A34828"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The McFarland Standard was used to estimate bacterial density in most in-vitro antibacterial screening studies. This was done to ensure the standard inoculum integrity in terms of turbidity uniformity. The bacterial density (Diluted bacteria inside the sterile bottle) to be poured on the Mueller Hinton agar was compared with already prepared McFarland Standard solution</w:t>
      </w:r>
      <w:r w:rsidR="00E8101A" w:rsidRPr="002A4185">
        <w:rPr>
          <w:rFonts w:ascii="Times New Roman" w:hAnsi="Times New Roman" w:cs="Times New Roman"/>
          <w:sz w:val="24"/>
          <w:szCs w:val="24"/>
        </w:rPr>
        <w:t xml:space="preserve"> </w:t>
      </w:r>
      <w:r w:rsidR="00E8101A" w:rsidRPr="002A4185">
        <w:rPr>
          <w:rFonts w:ascii="Times New Roman" w:eastAsia="Times New Roman" w:hAnsi="Times New Roman" w:cs="Times New Roman"/>
          <w:sz w:val="24"/>
          <w:szCs w:val="24"/>
          <w:lang w:eastAsia="en-GB"/>
        </w:rPr>
        <w:t>(CLSI)</w:t>
      </w:r>
      <w:r w:rsidR="00E24592" w:rsidRPr="002A4185">
        <w:rPr>
          <w:rFonts w:ascii="Times New Roman" w:eastAsia="Times New Roman" w:hAnsi="Times New Roman" w:cs="Times New Roman"/>
          <w:sz w:val="24"/>
          <w:szCs w:val="24"/>
          <w:lang w:eastAsia="en-GB"/>
        </w:rPr>
        <w:t>[13]</w:t>
      </w:r>
      <w:r w:rsidR="00E8101A" w:rsidRPr="002A4185">
        <w:rPr>
          <w:rFonts w:ascii="Times New Roman" w:eastAsia="Times New Roman" w:hAnsi="Times New Roman" w:cs="Times New Roman"/>
          <w:sz w:val="24"/>
          <w:szCs w:val="24"/>
          <w:lang w:eastAsia="en-GB"/>
        </w:rPr>
        <w:t>. (2020).</w:t>
      </w:r>
    </w:p>
    <w:p w14:paraId="5C5009A7" w14:textId="2CE117BF" w:rsidR="0042364C" w:rsidRPr="002A4185" w:rsidRDefault="00F842AB" w:rsidP="007C0EE9">
      <w:pPr>
        <w:spacing w:line="360" w:lineRule="auto"/>
        <w:jc w:val="both"/>
        <w:rPr>
          <w:rFonts w:ascii="Times New Roman" w:hAnsi="Times New Roman" w:cs="Times New Roman"/>
          <w:b/>
          <w:sz w:val="24"/>
          <w:szCs w:val="24"/>
        </w:rPr>
      </w:pPr>
      <w:r w:rsidRPr="002A4185">
        <w:rPr>
          <w:rFonts w:ascii="Times New Roman" w:hAnsi="Times New Roman" w:cs="Times New Roman"/>
          <w:b/>
          <w:sz w:val="24"/>
          <w:szCs w:val="24"/>
        </w:rPr>
        <w:t>2.</w:t>
      </w:r>
      <w:r w:rsidR="00D513DA" w:rsidRPr="002A4185">
        <w:rPr>
          <w:rFonts w:ascii="Times New Roman" w:hAnsi="Times New Roman" w:cs="Times New Roman"/>
          <w:b/>
          <w:sz w:val="24"/>
          <w:szCs w:val="24"/>
        </w:rPr>
        <w:t>8</w:t>
      </w:r>
      <w:r w:rsidRPr="002A4185">
        <w:rPr>
          <w:rFonts w:ascii="Times New Roman" w:hAnsi="Times New Roman" w:cs="Times New Roman"/>
          <w:b/>
          <w:sz w:val="24"/>
          <w:szCs w:val="24"/>
        </w:rPr>
        <w:t xml:space="preserve">.1 </w:t>
      </w:r>
      <w:r w:rsidR="0042364C" w:rsidRPr="002A4185">
        <w:rPr>
          <w:rFonts w:ascii="Times New Roman" w:hAnsi="Times New Roman" w:cs="Times New Roman"/>
          <w:b/>
          <w:sz w:val="24"/>
          <w:szCs w:val="24"/>
        </w:rPr>
        <w:t>Agar Diffusion Method</w:t>
      </w:r>
    </w:p>
    <w:p w14:paraId="058F4009" w14:textId="63E2470C" w:rsidR="0042364C" w:rsidRPr="002A4185" w:rsidRDefault="0042364C" w:rsidP="007C0EE9">
      <w:pPr>
        <w:spacing w:after="0" w:line="360" w:lineRule="auto"/>
        <w:jc w:val="both"/>
        <w:rPr>
          <w:rFonts w:ascii="Times New Roman" w:hAnsi="Times New Roman" w:cs="Times New Roman"/>
          <w:sz w:val="24"/>
          <w:szCs w:val="24"/>
        </w:rPr>
      </w:pPr>
      <w:r w:rsidRPr="002A4185">
        <w:rPr>
          <w:rFonts w:ascii="Times New Roman" w:hAnsi="Times New Roman" w:cs="Times New Roman"/>
          <w:sz w:val="24"/>
          <w:szCs w:val="24"/>
        </w:rPr>
        <w:t xml:space="preserve">Before carrying out the antimicrobial test the methanol, water, </w:t>
      </w:r>
      <w:proofErr w:type="spellStart"/>
      <w:r w:rsidRPr="002A4185">
        <w:rPr>
          <w:rFonts w:ascii="Times New Roman" w:hAnsi="Times New Roman" w:cs="Times New Roman"/>
          <w:sz w:val="24"/>
          <w:szCs w:val="24"/>
        </w:rPr>
        <w:t>dichoromethane</w:t>
      </w:r>
      <w:proofErr w:type="spellEnd"/>
      <w:r w:rsidRPr="002A4185">
        <w:rPr>
          <w:rFonts w:ascii="Times New Roman" w:hAnsi="Times New Roman" w:cs="Times New Roman"/>
          <w:sz w:val="24"/>
          <w:szCs w:val="24"/>
        </w:rPr>
        <w:t xml:space="preserve"> and n-hexane extracts</w:t>
      </w:r>
      <w:r w:rsidRPr="002A4185">
        <w:rPr>
          <w:rFonts w:ascii="Times New Roman" w:hAnsi="Times New Roman" w:cs="Times New Roman"/>
          <w:b/>
          <w:sz w:val="24"/>
          <w:szCs w:val="24"/>
        </w:rPr>
        <w:t xml:space="preserve"> </w:t>
      </w:r>
      <w:r w:rsidRPr="002A4185">
        <w:rPr>
          <w:rFonts w:ascii="Times New Roman" w:hAnsi="Times New Roman" w:cs="Times New Roman"/>
          <w:sz w:val="24"/>
          <w:szCs w:val="24"/>
        </w:rPr>
        <w:t>of the plant sample</w:t>
      </w:r>
      <w:r w:rsidRPr="002A4185">
        <w:rPr>
          <w:rFonts w:ascii="Times New Roman" w:hAnsi="Times New Roman" w:cs="Times New Roman"/>
          <w:b/>
          <w:sz w:val="24"/>
          <w:szCs w:val="24"/>
        </w:rPr>
        <w:t xml:space="preserve"> </w:t>
      </w:r>
      <w:r w:rsidRPr="002A4185">
        <w:rPr>
          <w:rFonts w:ascii="Times New Roman" w:hAnsi="Times New Roman" w:cs="Times New Roman"/>
          <w:sz w:val="24"/>
          <w:szCs w:val="24"/>
        </w:rPr>
        <w:t xml:space="preserve">and the standard was prepared using doubling dilution method to obtain 100mg/ml, 50mg/ml, 25mg/ml, and 12.5mg/ml </w:t>
      </w:r>
      <w:r w:rsidR="00941B1A" w:rsidRPr="002A4185">
        <w:rPr>
          <w:rFonts w:ascii="Times New Roman" w:hAnsi="Times New Roman" w:cs="Times New Roman"/>
          <w:sz w:val="24"/>
          <w:szCs w:val="24"/>
        </w:rPr>
        <w:t>[14</w:t>
      </w:r>
      <w:r w:rsidR="000B0FF3" w:rsidRPr="002A4185">
        <w:rPr>
          <w:rFonts w:ascii="Times New Roman" w:hAnsi="Times New Roman" w:cs="Times New Roman"/>
          <w:sz w:val="24"/>
          <w:szCs w:val="24"/>
        </w:rPr>
        <w:t>].</w:t>
      </w:r>
      <w:r w:rsidRPr="002A4185">
        <w:rPr>
          <w:rFonts w:ascii="Times New Roman" w:hAnsi="Times New Roman" w:cs="Times New Roman"/>
          <w:sz w:val="24"/>
          <w:szCs w:val="24"/>
        </w:rPr>
        <w:t xml:space="preserve"> The antimicrobial activity of the plant extracts was determined using agar well diffusion method. 0.5ml of the standardized portion of the microbial culture was aseptically transferred into petri dishes containing Muller Hinton Agar (MHA) for bacterial isolates </w:t>
      </w:r>
      <w:r w:rsidRPr="002A4185">
        <w:rPr>
          <w:rFonts w:ascii="Times New Roman" w:hAnsi="Times New Roman" w:cs="Times New Roman"/>
          <w:i/>
          <w:iCs/>
          <w:sz w:val="24"/>
          <w:szCs w:val="24"/>
        </w:rPr>
        <w:t>Escherichia coli</w:t>
      </w:r>
      <w:r w:rsidRPr="002A4185">
        <w:rPr>
          <w:rFonts w:ascii="Times New Roman" w:hAnsi="Times New Roman" w:cs="Times New Roman"/>
          <w:sz w:val="24"/>
          <w:szCs w:val="24"/>
        </w:rPr>
        <w:t xml:space="preserve"> (</w:t>
      </w:r>
      <w:r w:rsidRPr="002A4185">
        <w:rPr>
          <w:rFonts w:ascii="Times New Roman" w:hAnsi="Times New Roman" w:cs="Times New Roman"/>
          <w:i/>
          <w:iCs/>
          <w:sz w:val="24"/>
          <w:szCs w:val="24"/>
        </w:rPr>
        <w:t>E. coli</w:t>
      </w:r>
      <w:r w:rsidRPr="002A4185">
        <w:rPr>
          <w:rFonts w:ascii="Times New Roman" w:hAnsi="Times New Roman" w:cs="Times New Roman"/>
          <w:sz w:val="24"/>
          <w:szCs w:val="24"/>
        </w:rPr>
        <w:t xml:space="preserve"> 11775), </w:t>
      </w:r>
      <w:r w:rsidRPr="002A4185">
        <w:rPr>
          <w:rFonts w:ascii="Times New Roman" w:hAnsi="Times New Roman" w:cs="Times New Roman"/>
          <w:i/>
          <w:iCs/>
          <w:sz w:val="24"/>
          <w:szCs w:val="24"/>
        </w:rPr>
        <w:t xml:space="preserve">Klebsiella </w:t>
      </w:r>
      <w:proofErr w:type="spellStart"/>
      <w:r w:rsidRPr="002A4185">
        <w:rPr>
          <w:rFonts w:ascii="Times New Roman" w:hAnsi="Times New Roman" w:cs="Times New Roman"/>
          <w:i/>
          <w:iCs/>
          <w:sz w:val="24"/>
          <w:szCs w:val="24"/>
        </w:rPr>
        <w:t>pneumoniea</w:t>
      </w:r>
      <w:proofErr w:type="spellEnd"/>
      <w:r w:rsidRPr="002A4185">
        <w:rPr>
          <w:rFonts w:ascii="Times New Roman" w:hAnsi="Times New Roman" w:cs="Times New Roman"/>
          <w:sz w:val="24"/>
          <w:szCs w:val="24"/>
        </w:rPr>
        <w:t xml:space="preserve"> (KPN 70030), left for about 20 minutes to allow the microorganisms fix on the media. Wells where extracts were to be introduced into the plates were carefully marked using </w:t>
      </w:r>
      <w:r w:rsidRPr="002A4185">
        <w:rPr>
          <w:rFonts w:ascii="Times New Roman" w:hAnsi="Times New Roman" w:cs="Times New Roman"/>
          <w:sz w:val="24"/>
          <w:szCs w:val="24"/>
        </w:rPr>
        <w:lastRenderedPageBreak/>
        <w:t>sterile cork borer (6mm diameter) and small drops of extract of various concentrations (100mg/ml, 50mg/ml, 25mg/ml, and 12.5mg/ml) were added into the wells. Antibiotic disc of Gentamicin was placed in the middle of the agar to serve as control. The plates which were prepared in triplicates were incubated at 37</w:t>
      </w:r>
      <w:r w:rsidRPr="002A4185">
        <w:rPr>
          <w:rFonts w:ascii="Times New Roman" w:hAnsi="Times New Roman" w:cs="Times New Roman"/>
          <w:sz w:val="24"/>
          <w:szCs w:val="24"/>
          <w:vertAlign w:val="superscript"/>
        </w:rPr>
        <w:t>O</w:t>
      </w:r>
      <w:r w:rsidRPr="002A4185">
        <w:rPr>
          <w:rFonts w:ascii="Times New Roman" w:hAnsi="Times New Roman" w:cs="Times New Roman"/>
          <w:sz w:val="24"/>
          <w:szCs w:val="24"/>
        </w:rPr>
        <w:t xml:space="preserve">C and the zones of inhibition were measured after 24 hours. The presence of zones of inhibition was regarded as evidence of antimicrobial action. The zones of inhibition were measured with a ruler at right angles across the zones to find the average diameter in </w:t>
      </w:r>
      <w:proofErr w:type="spellStart"/>
      <w:r w:rsidRPr="002A4185">
        <w:rPr>
          <w:rFonts w:ascii="Times New Roman" w:hAnsi="Times New Roman" w:cs="Times New Roman"/>
          <w:sz w:val="24"/>
          <w:szCs w:val="24"/>
        </w:rPr>
        <w:t>millimeters</w:t>
      </w:r>
      <w:proofErr w:type="spellEnd"/>
      <w:r w:rsidRPr="002A4185">
        <w:rPr>
          <w:rFonts w:ascii="Times New Roman" w:hAnsi="Times New Roman" w:cs="Times New Roman"/>
          <w:sz w:val="24"/>
          <w:szCs w:val="24"/>
        </w:rPr>
        <w:t xml:space="preserve"> </w:t>
      </w:r>
      <w:r w:rsidR="00941B1A" w:rsidRPr="002A4185">
        <w:rPr>
          <w:rFonts w:ascii="Times New Roman" w:hAnsi="Times New Roman" w:cs="Times New Roman"/>
          <w:sz w:val="24"/>
          <w:szCs w:val="24"/>
        </w:rPr>
        <w:t>[14]</w:t>
      </w:r>
      <w:r w:rsidRPr="002A4185">
        <w:rPr>
          <w:rFonts w:ascii="Times New Roman" w:hAnsi="Times New Roman" w:cs="Times New Roman"/>
          <w:sz w:val="24"/>
          <w:szCs w:val="24"/>
        </w:rPr>
        <w:t>.</w:t>
      </w:r>
    </w:p>
    <w:bookmarkEnd w:id="1"/>
    <w:p w14:paraId="6398501D" w14:textId="77777777" w:rsidR="0042364C" w:rsidRPr="002A4185" w:rsidRDefault="0042364C" w:rsidP="007C0EE9">
      <w:pPr>
        <w:spacing w:after="0" w:line="360" w:lineRule="auto"/>
        <w:jc w:val="both"/>
        <w:rPr>
          <w:rFonts w:ascii="Times New Roman" w:hAnsi="Times New Roman" w:cs="Times New Roman"/>
          <w:sz w:val="24"/>
          <w:szCs w:val="24"/>
        </w:rPr>
      </w:pPr>
    </w:p>
    <w:p w14:paraId="6546673D" w14:textId="0D3F1E73" w:rsidR="0042364C" w:rsidRPr="002A4185" w:rsidRDefault="00F842AB" w:rsidP="007C0EE9">
      <w:pPr>
        <w:spacing w:after="0" w:line="360" w:lineRule="auto"/>
        <w:jc w:val="both"/>
        <w:rPr>
          <w:rFonts w:ascii="Times New Roman" w:hAnsi="Times New Roman" w:cs="Times New Roman"/>
          <w:b/>
          <w:bCs/>
          <w:sz w:val="24"/>
          <w:szCs w:val="24"/>
        </w:rPr>
      </w:pPr>
      <w:r w:rsidRPr="002A4185">
        <w:rPr>
          <w:rFonts w:ascii="Times New Roman" w:hAnsi="Times New Roman" w:cs="Times New Roman"/>
          <w:b/>
          <w:sz w:val="24"/>
          <w:szCs w:val="24"/>
        </w:rPr>
        <w:t>2.</w:t>
      </w:r>
      <w:r w:rsidR="00D513DA" w:rsidRPr="002A4185">
        <w:rPr>
          <w:rFonts w:ascii="Times New Roman" w:hAnsi="Times New Roman" w:cs="Times New Roman"/>
          <w:b/>
          <w:sz w:val="24"/>
          <w:szCs w:val="24"/>
        </w:rPr>
        <w:t>8</w:t>
      </w:r>
      <w:r w:rsidRPr="002A4185">
        <w:rPr>
          <w:rFonts w:ascii="Times New Roman" w:hAnsi="Times New Roman" w:cs="Times New Roman"/>
          <w:b/>
          <w:sz w:val="24"/>
          <w:szCs w:val="24"/>
        </w:rPr>
        <w:t xml:space="preserve">.2 </w:t>
      </w:r>
      <w:r w:rsidR="0042364C" w:rsidRPr="002A4185">
        <w:rPr>
          <w:rFonts w:ascii="Times New Roman" w:hAnsi="Times New Roman" w:cs="Times New Roman"/>
          <w:b/>
          <w:bCs/>
          <w:sz w:val="24"/>
          <w:szCs w:val="24"/>
        </w:rPr>
        <w:t xml:space="preserve">Minimum Inhibitory Concentration (MIC) </w:t>
      </w:r>
      <w:r w:rsidR="000256D2" w:rsidRPr="002A4185">
        <w:rPr>
          <w:rFonts w:ascii="Times New Roman" w:hAnsi="Times New Roman" w:cs="Times New Roman"/>
          <w:b/>
          <w:bCs/>
          <w:sz w:val="24"/>
          <w:szCs w:val="24"/>
        </w:rPr>
        <w:t>and</w:t>
      </w:r>
      <w:r w:rsidR="0042364C" w:rsidRPr="002A4185">
        <w:rPr>
          <w:rFonts w:ascii="Times New Roman" w:hAnsi="Times New Roman" w:cs="Times New Roman"/>
          <w:b/>
          <w:bCs/>
          <w:sz w:val="24"/>
          <w:szCs w:val="24"/>
        </w:rPr>
        <w:t xml:space="preserve"> Minimum Bactericidal Concentration (MBC)</w:t>
      </w:r>
    </w:p>
    <w:p w14:paraId="0DF30C75" w14:textId="3CA29771" w:rsidR="0042364C" w:rsidRPr="002A4185" w:rsidRDefault="0042364C" w:rsidP="007C0EE9">
      <w:pPr>
        <w:spacing w:line="360" w:lineRule="auto"/>
        <w:ind w:firstLine="720"/>
        <w:jc w:val="both"/>
        <w:rPr>
          <w:rFonts w:ascii="Times New Roman" w:hAnsi="Times New Roman" w:cs="Times New Roman"/>
          <w:sz w:val="24"/>
          <w:szCs w:val="24"/>
        </w:rPr>
      </w:pPr>
      <w:r w:rsidRPr="002A4185">
        <w:rPr>
          <w:rFonts w:ascii="Times New Roman" w:hAnsi="Times New Roman" w:cs="Times New Roman"/>
          <w:sz w:val="24"/>
          <w:szCs w:val="24"/>
        </w:rPr>
        <w:t xml:space="preserve">Minimum inhibitory concentration (MIC) was determined for each extract showing antimicrobial activity against the test isolates using broth micro dilution method. The MIC values were taken as the lowest concentration of the extracts in the well of the test tube that showed no turbidity after incubation. Turbidity of the wells was interpreted as visible growth of organisms. The Minimum bactericidal concentration (MBC) was determined by sub-culturing from each well showing no growth. Least concentration of the extract showing no visible growth on sub-culturing was taken as MBC </w:t>
      </w:r>
    </w:p>
    <w:p w14:paraId="5650B973" w14:textId="77777777" w:rsidR="00CB6DC4" w:rsidRPr="002A4185" w:rsidRDefault="00CB6DC4" w:rsidP="007C0EE9">
      <w:pPr>
        <w:spacing w:line="360" w:lineRule="auto"/>
        <w:ind w:firstLine="720"/>
        <w:jc w:val="both"/>
        <w:rPr>
          <w:rFonts w:ascii="Times New Roman" w:hAnsi="Times New Roman" w:cs="Times New Roman"/>
          <w:sz w:val="24"/>
          <w:szCs w:val="24"/>
        </w:rPr>
      </w:pPr>
    </w:p>
    <w:p w14:paraId="5829B653" w14:textId="2455B49C" w:rsidR="000D08CF" w:rsidRPr="002A4185" w:rsidRDefault="00F842AB" w:rsidP="007C0EE9">
      <w:pPr>
        <w:spacing w:line="360" w:lineRule="auto"/>
        <w:jc w:val="both"/>
        <w:rPr>
          <w:rFonts w:ascii="Times New Roman" w:hAnsi="Times New Roman" w:cs="Times New Roman"/>
          <w:b/>
          <w:sz w:val="24"/>
          <w:szCs w:val="24"/>
        </w:rPr>
      </w:pPr>
      <w:bookmarkStart w:id="4" w:name="_Hlk188073550"/>
      <w:r w:rsidRPr="002A4185">
        <w:rPr>
          <w:rFonts w:ascii="Times New Roman" w:hAnsi="Times New Roman" w:cs="Times New Roman"/>
          <w:b/>
          <w:sz w:val="24"/>
          <w:szCs w:val="24"/>
        </w:rPr>
        <w:t xml:space="preserve">3.0 </w:t>
      </w:r>
      <w:r w:rsidR="000D08CF" w:rsidRPr="002A4185">
        <w:rPr>
          <w:rFonts w:ascii="Times New Roman" w:hAnsi="Times New Roman" w:cs="Times New Roman"/>
          <w:b/>
          <w:sz w:val="24"/>
          <w:szCs w:val="24"/>
        </w:rPr>
        <w:t>RESULTS</w:t>
      </w:r>
    </w:p>
    <w:p w14:paraId="5344624C" w14:textId="23FB848D" w:rsidR="000D08CF" w:rsidRPr="002A4185" w:rsidRDefault="00F842AB" w:rsidP="007C0EE9">
      <w:pPr>
        <w:spacing w:line="360" w:lineRule="auto"/>
        <w:jc w:val="both"/>
        <w:rPr>
          <w:rFonts w:ascii="Times New Roman" w:hAnsi="Times New Roman" w:cs="Times New Roman"/>
          <w:b/>
          <w:sz w:val="24"/>
          <w:szCs w:val="24"/>
        </w:rPr>
      </w:pPr>
      <w:r w:rsidRPr="002A4185">
        <w:rPr>
          <w:rFonts w:ascii="Times New Roman" w:hAnsi="Times New Roman" w:cs="Times New Roman"/>
          <w:b/>
          <w:sz w:val="24"/>
          <w:szCs w:val="24"/>
        </w:rPr>
        <w:t xml:space="preserve">3.1 </w:t>
      </w:r>
      <w:r w:rsidR="000D08CF" w:rsidRPr="002A4185">
        <w:rPr>
          <w:rFonts w:ascii="Times New Roman" w:hAnsi="Times New Roman" w:cs="Times New Roman"/>
          <w:b/>
          <w:sz w:val="24"/>
          <w:szCs w:val="24"/>
        </w:rPr>
        <w:t>Percentage Recovery of Plant Extracts</w:t>
      </w:r>
    </w:p>
    <w:p w14:paraId="017BD6C7" w14:textId="77777777" w:rsidR="000D08CF" w:rsidRPr="002A4185" w:rsidRDefault="000D08CF" w:rsidP="007C0EE9">
      <w:pPr>
        <w:tabs>
          <w:tab w:val="left" w:pos="1950"/>
        </w:tabs>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Dichloromethane has the highest weight extract which is 16.74g and highest percentage weight of extract which is 16.74% while Water has the lowest weight extract which is 7.2g and the lowest percentage weight of extract 7.2%</w:t>
      </w:r>
    </w:p>
    <w:p w14:paraId="58C5E553" w14:textId="77777777" w:rsidR="008F532A" w:rsidRPr="002A4185" w:rsidRDefault="008F532A" w:rsidP="007C0EE9">
      <w:pPr>
        <w:spacing w:line="360" w:lineRule="auto"/>
        <w:ind w:left="720" w:firstLine="720"/>
        <w:jc w:val="both"/>
        <w:rPr>
          <w:rFonts w:ascii="Times New Roman" w:hAnsi="Times New Roman" w:cs="Times New Roman"/>
          <w:b/>
          <w:sz w:val="24"/>
          <w:szCs w:val="24"/>
        </w:rPr>
      </w:pPr>
    </w:p>
    <w:p w14:paraId="06EB499E" w14:textId="4B8B79BE" w:rsidR="000D08CF" w:rsidRPr="002A4185" w:rsidRDefault="000D08CF" w:rsidP="007C0EE9">
      <w:pPr>
        <w:spacing w:line="360" w:lineRule="auto"/>
        <w:ind w:left="720" w:firstLine="720"/>
        <w:jc w:val="both"/>
        <w:rPr>
          <w:rFonts w:ascii="Times New Roman" w:hAnsi="Times New Roman" w:cs="Times New Roman"/>
          <w:b/>
          <w:sz w:val="24"/>
          <w:szCs w:val="24"/>
        </w:rPr>
      </w:pPr>
      <w:r w:rsidRPr="002A4185">
        <w:rPr>
          <w:rFonts w:ascii="Times New Roman" w:hAnsi="Times New Roman" w:cs="Times New Roman"/>
          <w:b/>
          <w:sz w:val="24"/>
          <w:szCs w:val="24"/>
        </w:rPr>
        <w:t>Table 1: Percentage Weight Recovery of Extract</w:t>
      </w:r>
    </w:p>
    <w:tbl>
      <w:tblPr>
        <w:tblStyle w:val="TableGrid"/>
        <w:tblW w:w="0" w:type="auto"/>
        <w:tblInd w:w="10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1465"/>
        <w:gridCol w:w="2070"/>
        <w:gridCol w:w="2265"/>
      </w:tblGrid>
      <w:tr w:rsidR="000D08CF" w:rsidRPr="002A4185" w14:paraId="69404825" w14:textId="77777777" w:rsidTr="008F532A">
        <w:tc>
          <w:tcPr>
            <w:tcW w:w="1883" w:type="dxa"/>
            <w:tcBorders>
              <w:top w:val="single" w:sz="4" w:space="0" w:color="auto"/>
              <w:bottom w:val="single" w:sz="4" w:space="0" w:color="auto"/>
            </w:tcBorders>
            <w:hideMark/>
          </w:tcPr>
          <w:p w14:paraId="0B73E428"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 xml:space="preserve">Solvent </w:t>
            </w:r>
          </w:p>
        </w:tc>
        <w:tc>
          <w:tcPr>
            <w:tcW w:w="1465" w:type="dxa"/>
            <w:tcBorders>
              <w:top w:val="single" w:sz="4" w:space="0" w:color="auto"/>
              <w:bottom w:val="single" w:sz="4" w:space="0" w:color="auto"/>
            </w:tcBorders>
            <w:hideMark/>
          </w:tcPr>
          <w:p w14:paraId="78048285" w14:textId="39784CEB"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 xml:space="preserve">Initial weight </w:t>
            </w:r>
          </w:p>
        </w:tc>
        <w:tc>
          <w:tcPr>
            <w:tcW w:w="2070" w:type="dxa"/>
            <w:tcBorders>
              <w:top w:val="single" w:sz="4" w:space="0" w:color="auto"/>
              <w:bottom w:val="single" w:sz="4" w:space="0" w:color="auto"/>
            </w:tcBorders>
            <w:hideMark/>
          </w:tcPr>
          <w:p w14:paraId="60102269"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 xml:space="preserve">Extract weight </w:t>
            </w:r>
          </w:p>
        </w:tc>
        <w:tc>
          <w:tcPr>
            <w:tcW w:w="1710" w:type="dxa"/>
            <w:tcBorders>
              <w:top w:val="single" w:sz="4" w:space="0" w:color="auto"/>
              <w:bottom w:val="single" w:sz="4" w:space="0" w:color="auto"/>
            </w:tcBorders>
            <w:hideMark/>
          </w:tcPr>
          <w:p w14:paraId="66050290" w14:textId="7E491DCA" w:rsidR="000D08CF" w:rsidRPr="002A4185" w:rsidRDefault="00505166" w:rsidP="007C0EE9">
            <w:pPr>
              <w:spacing w:line="360" w:lineRule="auto"/>
              <w:jc w:val="both"/>
              <w:rPr>
                <w:rFonts w:ascii="Times New Roman" w:hAnsi="Times New Roman" w:cs="Times New Roman"/>
                <w:sz w:val="24"/>
                <w:szCs w:val="24"/>
              </w:rPr>
            </w:pPr>
            <w:r w:rsidRPr="002A4185">
              <w:rPr>
                <w:rFonts w:ascii="Cambria Math" w:hAnsi="Cambria Math" w:cs="Cambria Math"/>
                <w:sz w:val="24"/>
                <w:szCs w:val="24"/>
              </w:rPr>
              <w:t>𝑊𝐵</w:t>
            </w:r>
            <w:r w:rsidRPr="002A4185">
              <w:rPr>
                <w:rFonts w:ascii="Times New Roman" w:hAnsi="Times New Roman" w:cs="Times New Roman"/>
                <w:sz w:val="24"/>
                <w:szCs w:val="24"/>
              </w:rPr>
              <w:t>−</w:t>
            </w:r>
            <w:r w:rsidRPr="002A4185">
              <w:rPr>
                <w:rFonts w:ascii="Cambria Math" w:hAnsi="Cambria Math" w:cs="Cambria Math"/>
                <w:sz w:val="24"/>
                <w:szCs w:val="24"/>
              </w:rPr>
              <w:t>𝑊𝐴</w:t>
            </w:r>
            <w:r w:rsidRPr="002A4185">
              <w:rPr>
                <w:rFonts w:ascii="Times New Roman" w:hAnsi="Times New Roman" w:cs="Times New Roman"/>
                <w:sz w:val="24"/>
                <w:szCs w:val="24"/>
              </w:rPr>
              <w:t>/</w:t>
            </w:r>
            <w:r w:rsidRPr="002A4185">
              <w:rPr>
                <w:rFonts w:ascii="Cambria Math" w:hAnsi="Cambria Math" w:cs="Cambria Math"/>
                <w:sz w:val="24"/>
                <w:szCs w:val="24"/>
              </w:rPr>
              <w:t>𝑊𝐴𝑋</w:t>
            </w:r>
            <w:r w:rsidRPr="002A4185">
              <w:rPr>
                <w:rFonts w:ascii="Times New Roman" w:hAnsi="Times New Roman" w:cs="Times New Roman"/>
                <w:sz w:val="24"/>
                <w:szCs w:val="24"/>
              </w:rPr>
              <w:t>100/1</w:t>
            </w:r>
          </w:p>
        </w:tc>
      </w:tr>
      <w:tr w:rsidR="000D08CF" w:rsidRPr="002A4185" w14:paraId="5F543E1B" w14:textId="77777777" w:rsidTr="008F532A">
        <w:tc>
          <w:tcPr>
            <w:tcW w:w="1883" w:type="dxa"/>
            <w:tcBorders>
              <w:top w:val="single" w:sz="4" w:space="0" w:color="auto"/>
            </w:tcBorders>
            <w:hideMark/>
          </w:tcPr>
          <w:p w14:paraId="621C9A9E"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Dichloromethane</w:t>
            </w:r>
          </w:p>
        </w:tc>
        <w:tc>
          <w:tcPr>
            <w:tcW w:w="1465" w:type="dxa"/>
            <w:tcBorders>
              <w:top w:val="single" w:sz="4" w:space="0" w:color="auto"/>
            </w:tcBorders>
            <w:hideMark/>
          </w:tcPr>
          <w:p w14:paraId="7E647DCE"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100g</w:t>
            </w:r>
          </w:p>
        </w:tc>
        <w:tc>
          <w:tcPr>
            <w:tcW w:w="2070" w:type="dxa"/>
            <w:tcBorders>
              <w:top w:val="single" w:sz="4" w:space="0" w:color="auto"/>
            </w:tcBorders>
            <w:hideMark/>
          </w:tcPr>
          <w:p w14:paraId="703B42F1"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16.74g</w:t>
            </w:r>
          </w:p>
        </w:tc>
        <w:tc>
          <w:tcPr>
            <w:tcW w:w="1710" w:type="dxa"/>
            <w:tcBorders>
              <w:top w:val="single" w:sz="4" w:space="0" w:color="auto"/>
            </w:tcBorders>
            <w:hideMark/>
          </w:tcPr>
          <w:p w14:paraId="2C84022D"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16.74%</w:t>
            </w:r>
          </w:p>
        </w:tc>
      </w:tr>
      <w:tr w:rsidR="000D08CF" w:rsidRPr="002A4185" w14:paraId="4C594084" w14:textId="77777777" w:rsidTr="008F532A">
        <w:tc>
          <w:tcPr>
            <w:tcW w:w="1883" w:type="dxa"/>
            <w:hideMark/>
          </w:tcPr>
          <w:p w14:paraId="3DDF6FC5"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Methanol</w:t>
            </w:r>
          </w:p>
        </w:tc>
        <w:tc>
          <w:tcPr>
            <w:tcW w:w="1465" w:type="dxa"/>
            <w:hideMark/>
          </w:tcPr>
          <w:p w14:paraId="3FCFA9DD"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100g</w:t>
            </w:r>
          </w:p>
        </w:tc>
        <w:tc>
          <w:tcPr>
            <w:tcW w:w="2070" w:type="dxa"/>
            <w:hideMark/>
          </w:tcPr>
          <w:p w14:paraId="1CB46033"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28.35g</w:t>
            </w:r>
          </w:p>
        </w:tc>
        <w:tc>
          <w:tcPr>
            <w:tcW w:w="1710" w:type="dxa"/>
            <w:hideMark/>
          </w:tcPr>
          <w:p w14:paraId="4EDB40FE"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28.35%</w:t>
            </w:r>
          </w:p>
        </w:tc>
      </w:tr>
      <w:tr w:rsidR="000D08CF" w:rsidRPr="002A4185" w14:paraId="12FB62E2" w14:textId="77777777" w:rsidTr="008F532A">
        <w:tc>
          <w:tcPr>
            <w:tcW w:w="1883" w:type="dxa"/>
            <w:hideMark/>
          </w:tcPr>
          <w:p w14:paraId="170CE58B"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N – hexane</w:t>
            </w:r>
          </w:p>
        </w:tc>
        <w:tc>
          <w:tcPr>
            <w:tcW w:w="1465" w:type="dxa"/>
            <w:hideMark/>
          </w:tcPr>
          <w:p w14:paraId="64CEB3F3"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100g</w:t>
            </w:r>
          </w:p>
        </w:tc>
        <w:tc>
          <w:tcPr>
            <w:tcW w:w="2070" w:type="dxa"/>
            <w:hideMark/>
          </w:tcPr>
          <w:p w14:paraId="68DA62CB"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19.16g</w:t>
            </w:r>
          </w:p>
        </w:tc>
        <w:tc>
          <w:tcPr>
            <w:tcW w:w="1710" w:type="dxa"/>
            <w:hideMark/>
          </w:tcPr>
          <w:p w14:paraId="1D0CE6B5"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19.16%</w:t>
            </w:r>
          </w:p>
        </w:tc>
      </w:tr>
      <w:tr w:rsidR="000D08CF" w:rsidRPr="002A4185" w14:paraId="55601A34" w14:textId="77777777" w:rsidTr="008F532A">
        <w:trPr>
          <w:trHeight w:val="458"/>
        </w:trPr>
        <w:tc>
          <w:tcPr>
            <w:tcW w:w="1883" w:type="dxa"/>
            <w:hideMark/>
          </w:tcPr>
          <w:p w14:paraId="510D2342"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lastRenderedPageBreak/>
              <w:t>Water</w:t>
            </w:r>
          </w:p>
        </w:tc>
        <w:tc>
          <w:tcPr>
            <w:tcW w:w="1465" w:type="dxa"/>
            <w:hideMark/>
          </w:tcPr>
          <w:p w14:paraId="000E8CCC"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100g</w:t>
            </w:r>
          </w:p>
        </w:tc>
        <w:tc>
          <w:tcPr>
            <w:tcW w:w="2070" w:type="dxa"/>
            <w:hideMark/>
          </w:tcPr>
          <w:p w14:paraId="493C1E37"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7.2g</w:t>
            </w:r>
          </w:p>
        </w:tc>
        <w:tc>
          <w:tcPr>
            <w:tcW w:w="1710" w:type="dxa"/>
            <w:hideMark/>
          </w:tcPr>
          <w:p w14:paraId="225FEEFD"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7.2%</w:t>
            </w:r>
          </w:p>
        </w:tc>
      </w:tr>
    </w:tbl>
    <w:p w14:paraId="62DA22DE" w14:textId="63C980F8" w:rsidR="000D08CF" w:rsidRPr="002A4185" w:rsidRDefault="00240A1B" w:rsidP="007C0EE9">
      <w:pPr>
        <w:spacing w:line="360" w:lineRule="auto"/>
        <w:jc w:val="both"/>
        <w:rPr>
          <w:rFonts w:ascii="Times New Roman" w:hAnsi="Times New Roman" w:cs="Times New Roman"/>
          <w:b/>
          <w:bCs/>
          <w:sz w:val="24"/>
          <w:szCs w:val="24"/>
        </w:rPr>
      </w:pPr>
      <w:r w:rsidRPr="002A4185">
        <w:rPr>
          <w:rFonts w:ascii="Times New Roman" w:hAnsi="Times New Roman" w:cs="Times New Roman"/>
          <w:b/>
          <w:bCs/>
          <w:sz w:val="24"/>
          <w:szCs w:val="24"/>
        </w:rPr>
        <w:tab/>
      </w:r>
      <w:r w:rsidR="00505166" w:rsidRPr="002A4185">
        <w:rPr>
          <w:rFonts w:ascii="Times New Roman" w:hAnsi="Times New Roman" w:cs="Times New Roman"/>
          <w:b/>
          <w:bCs/>
          <w:sz w:val="24"/>
          <w:szCs w:val="24"/>
        </w:rPr>
        <w:t xml:space="preserve">         IW =</w:t>
      </w:r>
      <w:r w:rsidRPr="002A4185">
        <w:rPr>
          <w:rFonts w:ascii="Times New Roman" w:hAnsi="Times New Roman" w:cs="Times New Roman"/>
          <w:b/>
          <w:bCs/>
          <w:sz w:val="24"/>
          <w:szCs w:val="24"/>
        </w:rPr>
        <w:t xml:space="preserve"> </w:t>
      </w:r>
      <w:r w:rsidRPr="002A4185">
        <w:rPr>
          <w:rFonts w:ascii="Times New Roman" w:hAnsi="Times New Roman" w:cs="Times New Roman"/>
          <w:b/>
          <w:bCs/>
          <w:sz w:val="24"/>
          <w:szCs w:val="24"/>
        </w:rPr>
        <w:tab/>
      </w:r>
      <w:r w:rsidR="00505166" w:rsidRPr="002A4185">
        <w:rPr>
          <w:rFonts w:ascii="Times New Roman" w:hAnsi="Times New Roman" w:cs="Times New Roman"/>
          <w:b/>
          <w:bCs/>
          <w:sz w:val="24"/>
          <w:szCs w:val="24"/>
        </w:rPr>
        <w:t>I</w:t>
      </w:r>
      <w:r w:rsidRPr="002A4185">
        <w:rPr>
          <w:rFonts w:ascii="Times New Roman" w:hAnsi="Times New Roman" w:cs="Times New Roman"/>
          <w:b/>
          <w:bCs/>
          <w:sz w:val="24"/>
          <w:szCs w:val="24"/>
        </w:rPr>
        <w:t xml:space="preserve">nitial weight, </w:t>
      </w:r>
      <w:proofErr w:type="spellStart"/>
      <w:r w:rsidRPr="002A4185">
        <w:rPr>
          <w:rFonts w:ascii="Times New Roman" w:hAnsi="Times New Roman" w:cs="Times New Roman"/>
          <w:b/>
          <w:bCs/>
          <w:sz w:val="24"/>
          <w:szCs w:val="24"/>
        </w:rPr>
        <w:t>Ew</w:t>
      </w:r>
      <w:proofErr w:type="spellEnd"/>
      <w:r w:rsidR="00505166" w:rsidRPr="002A4185">
        <w:rPr>
          <w:rFonts w:ascii="Times New Roman" w:hAnsi="Times New Roman" w:cs="Times New Roman"/>
          <w:b/>
          <w:bCs/>
          <w:sz w:val="24"/>
          <w:szCs w:val="24"/>
        </w:rPr>
        <w:t xml:space="preserve"> =W</w:t>
      </w:r>
      <w:r w:rsidRPr="002A4185">
        <w:rPr>
          <w:rFonts w:ascii="Times New Roman" w:hAnsi="Times New Roman" w:cs="Times New Roman"/>
          <w:b/>
          <w:bCs/>
          <w:sz w:val="24"/>
          <w:szCs w:val="24"/>
        </w:rPr>
        <w:t>eight of extract</w:t>
      </w:r>
    </w:p>
    <w:p w14:paraId="1343444B" w14:textId="01DE9BCB" w:rsidR="000D08CF" w:rsidRPr="002A4185" w:rsidRDefault="000D08CF" w:rsidP="007C0EE9">
      <w:pPr>
        <w:spacing w:line="360" w:lineRule="auto"/>
        <w:jc w:val="both"/>
        <w:rPr>
          <w:rFonts w:ascii="Times New Roman" w:hAnsi="Times New Roman" w:cs="Times New Roman"/>
          <w:b/>
          <w:sz w:val="24"/>
          <w:szCs w:val="24"/>
        </w:rPr>
      </w:pPr>
      <w:r w:rsidRPr="002A4185">
        <w:rPr>
          <w:rFonts w:ascii="Times New Roman" w:hAnsi="Times New Roman" w:cs="Times New Roman"/>
          <w:b/>
          <w:sz w:val="24"/>
          <w:szCs w:val="24"/>
        </w:rPr>
        <w:t xml:space="preserve"> </w:t>
      </w:r>
      <w:r w:rsidR="00F842AB" w:rsidRPr="002A4185">
        <w:rPr>
          <w:rFonts w:ascii="Times New Roman" w:hAnsi="Times New Roman" w:cs="Times New Roman"/>
          <w:b/>
          <w:sz w:val="24"/>
          <w:szCs w:val="24"/>
        </w:rPr>
        <w:t xml:space="preserve">3.2 </w:t>
      </w:r>
      <w:r w:rsidRPr="002A4185">
        <w:rPr>
          <w:rFonts w:ascii="Times New Roman" w:hAnsi="Times New Roman" w:cs="Times New Roman"/>
          <w:b/>
          <w:sz w:val="24"/>
          <w:szCs w:val="24"/>
        </w:rPr>
        <w:t xml:space="preserve">Zone of Inhibition </w:t>
      </w:r>
    </w:p>
    <w:p w14:paraId="169FBB94" w14:textId="77777777" w:rsidR="000D08CF" w:rsidRPr="002A4185" w:rsidRDefault="000D08CF" w:rsidP="007C0EE9">
      <w:pPr>
        <w:spacing w:line="360" w:lineRule="auto"/>
        <w:jc w:val="both"/>
        <w:rPr>
          <w:rFonts w:ascii="Times New Roman" w:hAnsi="Times New Roman" w:cs="Times New Roman"/>
          <w:b/>
          <w:sz w:val="24"/>
          <w:szCs w:val="24"/>
        </w:rPr>
      </w:pPr>
      <w:r w:rsidRPr="002A4185">
        <w:rPr>
          <w:rFonts w:ascii="Times New Roman" w:hAnsi="Times New Roman" w:cs="Times New Roman"/>
          <w:sz w:val="24"/>
          <w:szCs w:val="24"/>
        </w:rPr>
        <w:t xml:space="preserve">Table 2 shows the antibacterial activity of the crude extract of the </w:t>
      </w:r>
      <w:r w:rsidRPr="002A4185">
        <w:rPr>
          <w:rFonts w:ascii="Times New Roman" w:hAnsi="Times New Roman" w:cs="Times New Roman"/>
          <w:i/>
          <w:iCs/>
          <w:sz w:val="24"/>
          <w:szCs w:val="24"/>
        </w:rPr>
        <w:t>G. sepium</w:t>
      </w:r>
      <w:r w:rsidRPr="002A4185">
        <w:rPr>
          <w:rFonts w:ascii="Times New Roman" w:hAnsi="Times New Roman" w:cs="Times New Roman"/>
          <w:sz w:val="24"/>
          <w:szCs w:val="24"/>
        </w:rPr>
        <w:t xml:space="preserve"> leave extract against the </w:t>
      </w:r>
      <w:r w:rsidRPr="002A4185">
        <w:rPr>
          <w:rFonts w:ascii="Times New Roman" w:hAnsi="Times New Roman" w:cs="Times New Roman"/>
          <w:i/>
          <w:iCs/>
          <w:sz w:val="24"/>
          <w:szCs w:val="24"/>
        </w:rPr>
        <w:t>E. coli</w:t>
      </w:r>
      <w:r w:rsidRPr="002A4185">
        <w:rPr>
          <w:rFonts w:ascii="Times New Roman" w:hAnsi="Times New Roman" w:cs="Times New Roman"/>
          <w:sz w:val="24"/>
          <w:szCs w:val="24"/>
        </w:rPr>
        <w:t xml:space="preserve"> at varying concentration in mg/ml. It was generally observed that the rate of activities correlates with increase in concentration i.e., the higher the concentration, the higher the activities against the test organism</w:t>
      </w:r>
    </w:p>
    <w:p w14:paraId="08EBD770" w14:textId="2D608090" w:rsidR="000D08CF" w:rsidRPr="002A4185" w:rsidRDefault="000D08CF" w:rsidP="007C0EE9">
      <w:pPr>
        <w:spacing w:line="360" w:lineRule="auto"/>
        <w:jc w:val="both"/>
        <w:rPr>
          <w:rFonts w:ascii="Times New Roman" w:hAnsi="Times New Roman" w:cs="Times New Roman"/>
          <w:b/>
          <w:sz w:val="24"/>
          <w:szCs w:val="24"/>
        </w:rPr>
      </w:pPr>
      <w:r w:rsidRPr="002A4185">
        <w:rPr>
          <w:rFonts w:ascii="Times New Roman" w:hAnsi="Times New Roman" w:cs="Times New Roman"/>
          <w:b/>
          <w:sz w:val="24"/>
          <w:szCs w:val="24"/>
        </w:rPr>
        <w:t xml:space="preserve">TABLE 2.   The Antibacterial Activity of The Crude Extract of The </w:t>
      </w:r>
      <w:r w:rsidR="000256D2" w:rsidRPr="000256D2">
        <w:rPr>
          <w:rFonts w:ascii="Times New Roman" w:hAnsi="Times New Roman" w:cs="Times New Roman"/>
          <w:b/>
          <w:i/>
          <w:sz w:val="24"/>
          <w:szCs w:val="24"/>
        </w:rPr>
        <w:t xml:space="preserve">G. sepium </w:t>
      </w:r>
      <w:r w:rsidR="000256D2" w:rsidRPr="002A4185">
        <w:rPr>
          <w:rFonts w:ascii="Times New Roman" w:hAnsi="Times New Roman" w:cs="Times New Roman"/>
          <w:b/>
          <w:i/>
          <w:sz w:val="24"/>
          <w:szCs w:val="24"/>
        </w:rPr>
        <w:t>Leaves</w:t>
      </w:r>
      <w:r w:rsidRPr="002A4185">
        <w:rPr>
          <w:rFonts w:ascii="Times New Roman" w:hAnsi="Times New Roman" w:cs="Times New Roman"/>
          <w:b/>
          <w:sz w:val="24"/>
          <w:szCs w:val="24"/>
        </w:rPr>
        <w:t xml:space="preserve"> Extract </w:t>
      </w:r>
      <w:r w:rsidR="008F532A" w:rsidRPr="002A4185">
        <w:rPr>
          <w:rFonts w:ascii="Times New Roman" w:hAnsi="Times New Roman" w:cs="Times New Roman"/>
          <w:b/>
          <w:sz w:val="24"/>
          <w:szCs w:val="24"/>
        </w:rPr>
        <w:t xml:space="preserve">(mg/ml) </w:t>
      </w:r>
      <w:r w:rsidRPr="002A4185">
        <w:rPr>
          <w:rFonts w:ascii="Times New Roman" w:hAnsi="Times New Roman" w:cs="Times New Roman"/>
          <w:b/>
          <w:sz w:val="24"/>
          <w:szCs w:val="24"/>
        </w:rPr>
        <w:t xml:space="preserve">Against </w:t>
      </w:r>
      <w:r w:rsidRPr="002A4185">
        <w:rPr>
          <w:rFonts w:ascii="Times New Roman" w:hAnsi="Times New Roman" w:cs="Times New Roman"/>
          <w:b/>
          <w:i/>
          <w:iCs/>
          <w:sz w:val="24"/>
          <w:szCs w:val="24"/>
        </w:rPr>
        <w:t>E. coli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831"/>
        <w:gridCol w:w="1302"/>
        <w:gridCol w:w="1883"/>
        <w:gridCol w:w="1216"/>
        <w:gridCol w:w="1039"/>
        <w:gridCol w:w="909"/>
      </w:tblGrid>
      <w:tr w:rsidR="008F532A" w:rsidRPr="002A4185" w14:paraId="6E7E8096" w14:textId="77777777" w:rsidTr="00354A8A">
        <w:tc>
          <w:tcPr>
            <w:tcW w:w="704" w:type="dxa"/>
            <w:tcBorders>
              <w:top w:val="single" w:sz="4" w:space="0" w:color="auto"/>
              <w:bottom w:val="single" w:sz="4" w:space="0" w:color="auto"/>
            </w:tcBorders>
            <w:hideMark/>
          </w:tcPr>
          <w:p w14:paraId="5AB49FC7" w14:textId="11976070"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Conc</w:t>
            </w:r>
          </w:p>
        </w:tc>
        <w:tc>
          <w:tcPr>
            <w:tcW w:w="1877" w:type="dxa"/>
            <w:tcBorders>
              <w:top w:val="single" w:sz="4" w:space="0" w:color="auto"/>
              <w:bottom w:val="single" w:sz="4" w:space="0" w:color="auto"/>
            </w:tcBorders>
            <w:hideMark/>
          </w:tcPr>
          <w:p w14:paraId="5E62890E" w14:textId="77777777"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 xml:space="preserve">Methanol </w:t>
            </w:r>
          </w:p>
        </w:tc>
        <w:tc>
          <w:tcPr>
            <w:tcW w:w="1329" w:type="dxa"/>
            <w:tcBorders>
              <w:top w:val="single" w:sz="4" w:space="0" w:color="auto"/>
              <w:bottom w:val="single" w:sz="4" w:space="0" w:color="auto"/>
            </w:tcBorders>
            <w:hideMark/>
          </w:tcPr>
          <w:p w14:paraId="0530D048" w14:textId="77777777"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 xml:space="preserve">N- hexane </w:t>
            </w:r>
          </w:p>
        </w:tc>
        <w:tc>
          <w:tcPr>
            <w:tcW w:w="1883" w:type="dxa"/>
            <w:tcBorders>
              <w:top w:val="single" w:sz="4" w:space="0" w:color="auto"/>
              <w:bottom w:val="single" w:sz="4" w:space="0" w:color="auto"/>
            </w:tcBorders>
            <w:hideMark/>
          </w:tcPr>
          <w:p w14:paraId="3CB306BD" w14:textId="77777777"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 xml:space="preserve">Dichloromethane </w:t>
            </w:r>
          </w:p>
        </w:tc>
        <w:tc>
          <w:tcPr>
            <w:tcW w:w="1243" w:type="dxa"/>
            <w:tcBorders>
              <w:top w:val="single" w:sz="4" w:space="0" w:color="auto"/>
              <w:bottom w:val="single" w:sz="4" w:space="0" w:color="auto"/>
            </w:tcBorders>
            <w:hideMark/>
          </w:tcPr>
          <w:p w14:paraId="3B165D6C" w14:textId="77777777"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 xml:space="preserve">Water </w:t>
            </w:r>
          </w:p>
        </w:tc>
        <w:tc>
          <w:tcPr>
            <w:tcW w:w="1061" w:type="dxa"/>
            <w:tcBorders>
              <w:top w:val="single" w:sz="4" w:space="0" w:color="auto"/>
              <w:bottom w:val="single" w:sz="4" w:space="0" w:color="auto"/>
            </w:tcBorders>
          </w:tcPr>
          <w:p w14:paraId="3DB8ADD6" w14:textId="2EBD120D"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MIC</w:t>
            </w:r>
          </w:p>
        </w:tc>
        <w:tc>
          <w:tcPr>
            <w:tcW w:w="919" w:type="dxa"/>
            <w:tcBorders>
              <w:top w:val="single" w:sz="4" w:space="0" w:color="auto"/>
              <w:bottom w:val="single" w:sz="4" w:space="0" w:color="auto"/>
            </w:tcBorders>
          </w:tcPr>
          <w:p w14:paraId="055FB3B9" w14:textId="59569AAC"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MBC</w:t>
            </w:r>
          </w:p>
        </w:tc>
      </w:tr>
      <w:tr w:rsidR="008F532A" w:rsidRPr="002A4185" w14:paraId="7641773C" w14:textId="77777777" w:rsidTr="00354A8A">
        <w:tc>
          <w:tcPr>
            <w:tcW w:w="704" w:type="dxa"/>
            <w:tcBorders>
              <w:top w:val="single" w:sz="4" w:space="0" w:color="auto"/>
            </w:tcBorders>
            <w:hideMark/>
          </w:tcPr>
          <w:p w14:paraId="0617EEDC" w14:textId="06081767"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100</w:t>
            </w:r>
          </w:p>
        </w:tc>
        <w:tc>
          <w:tcPr>
            <w:tcW w:w="1877" w:type="dxa"/>
            <w:tcBorders>
              <w:top w:val="single" w:sz="4" w:space="0" w:color="auto"/>
            </w:tcBorders>
            <w:hideMark/>
          </w:tcPr>
          <w:p w14:paraId="5F3324D8" w14:textId="77777777"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28.0</w:t>
            </w:r>
          </w:p>
        </w:tc>
        <w:tc>
          <w:tcPr>
            <w:tcW w:w="1329" w:type="dxa"/>
            <w:tcBorders>
              <w:top w:val="single" w:sz="4" w:space="0" w:color="auto"/>
            </w:tcBorders>
            <w:hideMark/>
          </w:tcPr>
          <w:p w14:paraId="481951C7" w14:textId="77777777"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23.0</w:t>
            </w:r>
          </w:p>
        </w:tc>
        <w:tc>
          <w:tcPr>
            <w:tcW w:w="1883" w:type="dxa"/>
            <w:tcBorders>
              <w:top w:val="single" w:sz="4" w:space="0" w:color="auto"/>
            </w:tcBorders>
          </w:tcPr>
          <w:p w14:paraId="0E631AEF" w14:textId="77777777"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25.0</w:t>
            </w:r>
          </w:p>
        </w:tc>
        <w:tc>
          <w:tcPr>
            <w:tcW w:w="1243" w:type="dxa"/>
            <w:tcBorders>
              <w:top w:val="single" w:sz="4" w:space="0" w:color="auto"/>
            </w:tcBorders>
            <w:hideMark/>
          </w:tcPr>
          <w:p w14:paraId="0B0CFBEC" w14:textId="77777777"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21.0</w:t>
            </w:r>
          </w:p>
        </w:tc>
        <w:tc>
          <w:tcPr>
            <w:tcW w:w="1061" w:type="dxa"/>
            <w:tcBorders>
              <w:top w:val="single" w:sz="4" w:space="0" w:color="auto"/>
            </w:tcBorders>
          </w:tcPr>
          <w:p w14:paraId="3F880FFB" w14:textId="61D9F483"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12.5/</w:t>
            </w:r>
          </w:p>
          <w:p w14:paraId="076E0A07" w14:textId="64BF0B6D"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21.0</w:t>
            </w:r>
          </w:p>
        </w:tc>
        <w:tc>
          <w:tcPr>
            <w:tcW w:w="919" w:type="dxa"/>
            <w:tcBorders>
              <w:top w:val="single" w:sz="4" w:space="0" w:color="auto"/>
            </w:tcBorders>
          </w:tcPr>
          <w:p w14:paraId="63264965" w14:textId="46F66FD5"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50</w:t>
            </w:r>
          </w:p>
        </w:tc>
      </w:tr>
      <w:tr w:rsidR="008F532A" w:rsidRPr="002A4185" w14:paraId="301E1111" w14:textId="77777777" w:rsidTr="00354A8A">
        <w:tc>
          <w:tcPr>
            <w:tcW w:w="704" w:type="dxa"/>
            <w:hideMark/>
          </w:tcPr>
          <w:p w14:paraId="48882046" w14:textId="5A1C23D8"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50</w:t>
            </w:r>
          </w:p>
        </w:tc>
        <w:tc>
          <w:tcPr>
            <w:tcW w:w="1877" w:type="dxa"/>
            <w:hideMark/>
          </w:tcPr>
          <w:p w14:paraId="294AF16D" w14:textId="77777777"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25.0</w:t>
            </w:r>
          </w:p>
        </w:tc>
        <w:tc>
          <w:tcPr>
            <w:tcW w:w="1329" w:type="dxa"/>
            <w:hideMark/>
          </w:tcPr>
          <w:p w14:paraId="3B1CADD4" w14:textId="77777777"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21.0</w:t>
            </w:r>
          </w:p>
        </w:tc>
        <w:tc>
          <w:tcPr>
            <w:tcW w:w="1883" w:type="dxa"/>
          </w:tcPr>
          <w:p w14:paraId="56455F94" w14:textId="77777777"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23.0</w:t>
            </w:r>
          </w:p>
        </w:tc>
        <w:tc>
          <w:tcPr>
            <w:tcW w:w="1243" w:type="dxa"/>
            <w:hideMark/>
          </w:tcPr>
          <w:p w14:paraId="3E708822" w14:textId="77777777"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19.0</w:t>
            </w:r>
          </w:p>
        </w:tc>
        <w:tc>
          <w:tcPr>
            <w:tcW w:w="1061" w:type="dxa"/>
          </w:tcPr>
          <w:p w14:paraId="01A7B340" w14:textId="32CBC971"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19.0</w:t>
            </w:r>
          </w:p>
        </w:tc>
        <w:tc>
          <w:tcPr>
            <w:tcW w:w="919" w:type="dxa"/>
          </w:tcPr>
          <w:p w14:paraId="30E721B9" w14:textId="77777777" w:rsidR="008F532A" w:rsidRPr="002A4185" w:rsidRDefault="008F532A" w:rsidP="007C0EE9">
            <w:pPr>
              <w:spacing w:line="360" w:lineRule="auto"/>
              <w:jc w:val="both"/>
              <w:rPr>
                <w:rFonts w:ascii="Times New Roman" w:hAnsi="Times New Roman" w:cs="Times New Roman"/>
                <w:sz w:val="24"/>
                <w:szCs w:val="24"/>
              </w:rPr>
            </w:pPr>
          </w:p>
        </w:tc>
      </w:tr>
      <w:tr w:rsidR="008F532A" w:rsidRPr="002A4185" w14:paraId="34F7480D" w14:textId="77777777" w:rsidTr="00354A8A">
        <w:tc>
          <w:tcPr>
            <w:tcW w:w="704" w:type="dxa"/>
            <w:hideMark/>
          </w:tcPr>
          <w:p w14:paraId="0C817A97" w14:textId="161F9518"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25</w:t>
            </w:r>
          </w:p>
        </w:tc>
        <w:tc>
          <w:tcPr>
            <w:tcW w:w="1877" w:type="dxa"/>
            <w:hideMark/>
          </w:tcPr>
          <w:p w14:paraId="5E48BC49" w14:textId="77777777"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22.0</w:t>
            </w:r>
          </w:p>
        </w:tc>
        <w:tc>
          <w:tcPr>
            <w:tcW w:w="1329" w:type="dxa"/>
            <w:hideMark/>
          </w:tcPr>
          <w:p w14:paraId="276C16A9" w14:textId="77777777"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19.0</w:t>
            </w:r>
          </w:p>
        </w:tc>
        <w:tc>
          <w:tcPr>
            <w:tcW w:w="1883" w:type="dxa"/>
          </w:tcPr>
          <w:p w14:paraId="78AE1893" w14:textId="77777777"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20.0</w:t>
            </w:r>
          </w:p>
        </w:tc>
        <w:tc>
          <w:tcPr>
            <w:tcW w:w="1243" w:type="dxa"/>
            <w:hideMark/>
          </w:tcPr>
          <w:p w14:paraId="49F1AEAC" w14:textId="77777777"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16.7</w:t>
            </w:r>
          </w:p>
        </w:tc>
        <w:tc>
          <w:tcPr>
            <w:tcW w:w="1061" w:type="dxa"/>
          </w:tcPr>
          <w:p w14:paraId="6C8E4188" w14:textId="252ECF4C"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16.7</w:t>
            </w:r>
          </w:p>
        </w:tc>
        <w:tc>
          <w:tcPr>
            <w:tcW w:w="919" w:type="dxa"/>
          </w:tcPr>
          <w:p w14:paraId="26D2C9C4" w14:textId="77777777" w:rsidR="008F532A" w:rsidRPr="002A4185" w:rsidRDefault="008F532A" w:rsidP="007C0EE9">
            <w:pPr>
              <w:spacing w:line="360" w:lineRule="auto"/>
              <w:jc w:val="both"/>
              <w:rPr>
                <w:rFonts w:ascii="Times New Roman" w:hAnsi="Times New Roman" w:cs="Times New Roman"/>
                <w:sz w:val="24"/>
                <w:szCs w:val="24"/>
              </w:rPr>
            </w:pPr>
          </w:p>
        </w:tc>
      </w:tr>
      <w:tr w:rsidR="008F532A" w:rsidRPr="002A4185" w14:paraId="0DD09C63" w14:textId="77777777" w:rsidTr="00354A8A">
        <w:tc>
          <w:tcPr>
            <w:tcW w:w="704" w:type="dxa"/>
            <w:hideMark/>
          </w:tcPr>
          <w:p w14:paraId="0D93FD7B" w14:textId="24EC57E4" w:rsidR="008F532A" w:rsidRPr="002A4185" w:rsidRDefault="008F532A" w:rsidP="007C0EE9">
            <w:pPr>
              <w:tabs>
                <w:tab w:val="left" w:pos="1050"/>
              </w:tabs>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12.5</w:t>
            </w:r>
            <w:r w:rsidRPr="002A4185">
              <w:rPr>
                <w:rFonts w:ascii="Times New Roman" w:hAnsi="Times New Roman" w:cs="Times New Roman"/>
                <w:sz w:val="24"/>
                <w:szCs w:val="24"/>
              </w:rPr>
              <w:tab/>
            </w:r>
          </w:p>
        </w:tc>
        <w:tc>
          <w:tcPr>
            <w:tcW w:w="1877" w:type="dxa"/>
            <w:hideMark/>
          </w:tcPr>
          <w:p w14:paraId="01701A99" w14:textId="77777777"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18.0</w:t>
            </w:r>
          </w:p>
        </w:tc>
        <w:tc>
          <w:tcPr>
            <w:tcW w:w="1329" w:type="dxa"/>
            <w:hideMark/>
          </w:tcPr>
          <w:p w14:paraId="44B91AED" w14:textId="77777777"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16.0</w:t>
            </w:r>
          </w:p>
        </w:tc>
        <w:tc>
          <w:tcPr>
            <w:tcW w:w="1883" w:type="dxa"/>
          </w:tcPr>
          <w:p w14:paraId="0C4ACA8C" w14:textId="77777777"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18.0</w:t>
            </w:r>
          </w:p>
        </w:tc>
        <w:tc>
          <w:tcPr>
            <w:tcW w:w="1243" w:type="dxa"/>
            <w:hideMark/>
          </w:tcPr>
          <w:p w14:paraId="2C4910A3" w14:textId="77777777"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12.0</w:t>
            </w:r>
          </w:p>
        </w:tc>
        <w:tc>
          <w:tcPr>
            <w:tcW w:w="1061" w:type="dxa"/>
          </w:tcPr>
          <w:p w14:paraId="2820ED82" w14:textId="00E9CC4A"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12.0</w:t>
            </w:r>
          </w:p>
        </w:tc>
        <w:tc>
          <w:tcPr>
            <w:tcW w:w="919" w:type="dxa"/>
          </w:tcPr>
          <w:p w14:paraId="4B8CC287" w14:textId="77777777" w:rsidR="008F532A" w:rsidRPr="002A4185" w:rsidRDefault="008F532A" w:rsidP="007C0EE9">
            <w:pPr>
              <w:spacing w:line="360" w:lineRule="auto"/>
              <w:jc w:val="both"/>
              <w:rPr>
                <w:rFonts w:ascii="Times New Roman" w:hAnsi="Times New Roman" w:cs="Times New Roman"/>
                <w:sz w:val="24"/>
                <w:szCs w:val="24"/>
              </w:rPr>
            </w:pPr>
          </w:p>
        </w:tc>
      </w:tr>
      <w:tr w:rsidR="008F532A" w:rsidRPr="002A4185" w14:paraId="65936961" w14:textId="77777777" w:rsidTr="00354A8A">
        <w:tc>
          <w:tcPr>
            <w:tcW w:w="704" w:type="dxa"/>
          </w:tcPr>
          <w:p w14:paraId="0F70DD55" w14:textId="645949D2" w:rsidR="008F532A" w:rsidRPr="002A4185" w:rsidRDefault="008F532A" w:rsidP="007C0EE9">
            <w:pPr>
              <w:tabs>
                <w:tab w:val="left" w:pos="1050"/>
              </w:tabs>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6.25</w:t>
            </w:r>
          </w:p>
        </w:tc>
        <w:tc>
          <w:tcPr>
            <w:tcW w:w="1877" w:type="dxa"/>
          </w:tcPr>
          <w:p w14:paraId="77E7C664" w14:textId="5071FB51"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0</w:t>
            </w:r>
          </w:p>
        </w:tc>
        <w:tc>
          <w:tcPr>
            <w:tcW w:w="1329" w:type="dxa"/>
          </w:tcPr>
          <w:p w14:paraId="11B2D33B" w14:textId="3FC34032"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0</w:t>
            </w:r>
          </w:p>
        </w:tc>
        <w:tc>
          <w:tcPr>
            <w:tcW w:w="1883" w:type="dxa"/>
          </w:tcPr>
          <w:p w14:paraId="145E3D4D" w14:textId="40829BF9"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0</w:t>
            </w:r>
          </w:p>
        </w:tc>
        <w:tc>
          <w:tcPr>
            <w:tcW w:w="1243" w:type="dxa"/>
          </w:tcPr>
          <w:p w14:paraId="7E6275A8" w14:textId="6DA6892E" w:rsidR="008F532A" w:rsidRPr="002A4185" w:rsidRDefault="008F532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0</w:t>
            </w:r>
          </w:p>
        </w:tc>
        <w:tc>
          <w:tcPr>
            <w:tcW w:w="1061" w:type="dxa"/>
          </w:tcPr>
          <w:p w14:paraId="6675F163" w14:textId="77777777" w:rsidR="008F532A" w:rsidRPr="002A4185" w:rsidRDefault="008F532A" w:rsidP="007C0EE9">
            <w:pPr>
              <w:spacing w:line="360" w:lineRule="auto"/>
              <w:jc w:val="both"/>
              <w:rPr>
                <w:rFonts w:ascii="Times New Roman" w:hAnsi="Times New Roman" w:cs="Times New Roman"/>
                <w:sz w:val="24"/>
                <w:szCs w:val="24"/>
              </w:rPr>
            </w:pPr>
          </w:p>
        </w:tc>
        <w:tc>
          <w:tcPr>
            <w:tcW w:w="919" w:type="dxa"/>
          </w:tcPr>
          <w:p w14:paraId="57A49FE5" w14:textId="77777777" w:rsidR="008F532A" w:rsidRPr="002A4185" w:rsidRDefault="008F532A" w:rsidP="007C0EE9">
            <w:pPr>
              <w:spacing w:line="360" w:lineRule="auto"/>
              <w:jc w:val="both"/>
              <w:rPr>
                <w:rFonts w:ascii="Times New Roman" w:hAnsi="Times New Roman" w:cs="Times New Roman"/>
                <w:sz w:val="24"/>
                <w:szCs w:val="24"/>
              </w:rPr>
            </w:pPr>
          </w:p>
        </w:tc>
      </w:tr>
    </w:tbl>
    <w:p w14:paraId="170C4840" w14:textId="1ECD017A" w:rsidR="000D08CF" w:rsidRPr="002A4185" w:rsidRDefault="000D08CF" w:rsidP="007C0EE9">
      <w:pPr>
        <w:spacing w:line="360" w:lineRule="auto"/>
        <w:jc w:val="both"/>
        <w:rPr>
          <w:rFonts w:ascii="Times New Roman" w:hAnsi="Times New Roman" w:cs="Times New Roman"/>
          <w:sz w:val="24"/>
          <w:szCs w:val="24"/>
        </w:rPr>
      </w:pPr>
    </w:p>
    <w:p w14:paraId="2537C228"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 xml:space="preserve">Table 3 shows the antimicrobial susceptibly test of the solvent extract of the </w:t>
      </w:r>
      <w:r w:rsidRPr="002A4185">
        <w:rPr>
          <w:rFonts w:ascii="Times New Roman" w:hAnsi="Times New Roman" w:cs="Times New Roman"/>
          <w:i/>
          <w:iCs/>
          <w:sz w:val="24"/>
          <w:szCs w:val="24"/>
        </w:rPr>
        <w:t>G. sepium</w:t>
      </w:r>
      <w:r w:rsidRPr="002A4185">
        <w:rPr>
          <w:rFonts w:ascii="Times New Roman" w:hAnsi="Times New Roman" w:cs="Times New Roman"/>
          <w:sz w:val="24"/>
          <w:szCs w:val="24"/>
        </w:rPr>
        <w:t xml:space="preserve"> leaves extract against </w:t>
      </w:r>
      <w:r w:rsidRPr="002A4185">
        <w:rPr>
          <w:rFonts w:ascii="Times New Roman" w:hAnsi="Times New Roman" w:cs="Times New Roman"/>
          <w:i/>
          <w:sz w:val="24"/>
          <w:szCs w:val="24"/>
        </w:rPr>
        <w:t>klebsiella aeruginosa</w:t>
      </w:r>
      <w:r w:rsidRPr="002A4185">
        <w:rPr>
          <w:rFonts w:ascii="Times New Roman" w:hAnsi="Times New Roman" w:cs="Times New Roman"/>
          <w:sz w:val="24"/>
          <w:szCs w:val="24"/>
        </w:rPr>
        <w:t xml:space="preserve"> at varying concentration in mg/ml. 100mg/ml of methanol solvent has the highest zone of inhibition and 12.5g/ml has the lowest zone of inhibition. </w:t>
      </w:r>
    </w:p>
    <w:p w14:paraId="574722B1" w14:textId="77777777" w:rsidR="00CB6DC4" w:rsidRPr="002A4185" w:rsidRDefault="00CB6DC4" w:rsidP="007C0EE9">
      <w:pPr>
        <w:spacing w:line="360" w:lineRule="auto"/>
        <w:jc w:val="both"/>
        <w:rPr>
          <w:rFonts w:ascii="Times New Roman" w:hAnsi="Times New Roman" w:cs="Times New Roman"/>
          <w:b/>
          <w:sz w:val="24"/>
          <w:szCs w:val="24"/>
        </w:rPr>
      </w:pPr>
    </w:p>
    <w:p w14:paraId="672031B3" w14:textId="5DF4B25E"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b/>
          <w:sz w:val="24"/>
          <w:szCs w:val="24"/>
        </w:rPr>
        <w:t>TABLE 3</w:t>
      </w:r>
      <w:r w:rsidRPr="002A4185">
        <w:rPr>
          <w:rFonts w:ascii="Times New Roman" w:hAnsi="Times New Roman" w:cs="Times New Roman"/>
          <w:sz w:val="24"/>
          <w:szCs w:val="24"/>
        </w:rPr>
        <w:t xml:space="preserve">: </w:t>
      </w:r>
      <w:r w:rsidRPr="002A4185">
        <w:rPr>
          <w:rFonts w:ascii="Times New Roman" w:hAnsi="Times New Roman" w:cs="Times New Roman"/>
          <w:b/>
          <w:sz w:val="24"/>
          <w:szCs w:val="24"/>
        </w:rPr>
        <w:t xml:space="preserve">The Antibacterial Activity of The Crude Extract of The </w:t>
      </w:r>
      <w:r w:rsidR="000256D2" w:rsidRPr="000256D2">
        <w:rPr>
          <w:rFonts w:ascii="Times New Roman" w:hAnsi="Times New Roman" w:cs="Times New Roman"/>
          <w:b/>
          <w:i/>
          <w:sz w:val="24"/>
          <w:szCs w:val="24"/>
        </w:rPr>
        <w:t xml:space="preserve">G. sepium </w:t>
      </w:r>
      <w:r w:rsidR="000256D2" w:rsidRPr="002A4185">
        <w:rPr>
          <w:rFonts w:ascii="Times New Roman" w:hAnsi="Times New Roman" w:cs="Times New Roman"/>
          <w:b/>
          <w:sz w:val="24"/>
          <w:szCs w:val="24"/>
        </w:rPr>
        <w:t>Leaves</w:t>
      </w:r>
      <w:r w:rsidRPr="002A4185">
        <w:rPr>
          <w:rFonts w:ascii="Times New Roman" w:hAnsi="Times New Roman" w:cs="Times New Roman"/>
          <w:b/>
          <w:sz w:val="24"/>
          <w:szCs w:val="24"/>
        </w:rPr>
        <w:t xml:space="preserve"> Extract </w:t>
      </w:r>
      <w:r w:rsidR="000256D2" w:rsidRPr="002A4185">
        <w:rPr>
          <w:rFonts w:ascii="Times New Roman" w:hAnsi="Times New Roman" w:cs="Times New Roman"/>
          <w:b/>
          <w:sz w:val="24"/>
          <w:szCs w:val="24"/>
        </w:rPr>
        <w:t>against</w:t>
      </w:r>
      <w:r w:rsidRPr="002A4185">
        <w:rPr>
          <w:rFonts w:ascii="Times New Roman" w:hAnsi="Times New Roman" w:cs="Times New Roman"/>
          <w:sz w:val="24"/>
          <w:szCs w:val="24"/>
        </w:rPr>
        <w:t xml:space="preserve"> </w:t>
      </w:r>
      <w:r w:rsidRPr="002A4185">
        <w:rPr>
          <w:rFonts w:ascii="Times New Roman" w:hAnsi="Times New Roman" w:cs="Times New Roman"/>
          <w:b/>
          <w:i/>
          <w:sz w:val="24"/>
          <w:szCs w:val="24"/>
        </w:rPr>
        <w:t xml:space="preserve">Klebsiella </w:t>
      </w:r>
      <w:r w:rsidR="0089519A" w:rsidRPr="002A4185">
        <w:rPr>
          <w:rFonts w:ascii="Times New Roman" w:hAnsi="Times New Roman" w:cs="Times New Roman"/>
          <w:b/>
          <w:i/>
          <w:sz w:val="24"/>
          <w:szCs w:val="24"/>
        </w:rPr>
        <w:t xml:space="preserve">pneumonia </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1153"/>
        <w:gridCol w:w="956"/>
        <w:gridCol w:w="1883"/>
        <w:gridCol w:w="879"/>
        <w:gridCol w:w="1336"/>
        <w:gridCol w:w="770"/>
        <w:gridCol w:w="836"/>
      </w:tblGrid>
      <w:tr w:rsidR="000D08CF" w:rsidRPr="002A4185" w14:paraId="26645631" w14:textId="77777777" w:rsidTr="00354A8A">
        <w:tc>
          <w:tcPr>
            <w:tcW w:w="1203" w:type="dxa"/>
            <w:tcBorders>
              <w:top w:val="single" w:sz="4" w:space="0" w:color="auto"/>
              <w:bottom w:val="single" w:sz="4" w:space="0" w:color="auto"/>
            </w:tcBorders>
            <w:hideMark/>
          </w:tcPr>
          <w:p w14:paraId="591F9092"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Conc</w:t>
            </w:r>
          </w:p>
        </w:tc>
        <w:tc>
          <w:tcPr>
            <w:tcW w:w="1153" w:type="dxa"/>
            <w:tcBorders>
              <w:top w:val="single" w:sz="4" w:space="0" w:color="auto"/>
              <w:bottom w:val="single" w:sz="4" w:space="0" w:color="auto"/>
            </w:tcBorders>
            <w:hideMark/>
          </w:tcPr>
          <w:p w14:paraId="2AFA0423"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 xml:space="preserve">Methanol </w:t>
            </w:r>
          </w:p>
        </w:tc>
        <w:tc>
          <w:tcPr>
            <w:tcW w:w="956" w:type="dxa"/>
            <w:tcBorders>
              <w:top w:val="single" w:sz="4" w:space="0" w:color="auto"/>
              <w:bottom w:val="single" w:sz="4" w:space="0" w:color="auto"/>
            </w:tcBorders>
            <w:hideMark/>
          </w:tcPr>
          <w:p w14:paraId="547D770C"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 xml:space="preserve">N- hexane </w:t>
            </w:r>
          </w:p>
        </w:tc>
        <w:tc>
          <w:tcPr>
            <w:tcW w:w="1883" w:type="dxa"/>
            <w:tcBorders>
              <w:top w:val="single" w:sz="4" w:space="0" w:color="auto"/>
              <w:bottom w:val="single" w:sz="4" w:space="0" w:color="auto"/>
            </w:tcBorders>
            <w:hideMark/>
          </w:tcPr>
          <w:p w14:paraId="6C4CFA5F"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 xml:space="preserve">Dichloromethane </w:t>
            </w:r>
          </w:p>
        </w:tc>
        <w:tc>
          <w:tcPr>
            <w:tcW w:w="879" w:type="dxa"/>
            <w:tcBorders>
              <w:top w:val="single" w:sz="4" w:space="0" w:color="auto"/>
              <w:bottom w:val="single" w:sz="4" w:space="0" w:color="auto"/>
            </w:tcBorders>
            <w:hideMark/>
          </w:tcPr>
          <w:p w14:paraId="602E07BE"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 xml:space="preserve">Water </w:t>
            </w:r>
          </w:p>
        </w:tc>
        <w:tc>
          <w:tcPr>
            <w:tcW w:w="1336" w:type="dxa"/>
            <w:tcBorders>
              <w:top w:val="single" w:sz="4" w:space="0" w:color="auto"/>
              <w:bottom w:val="single" w:sz="4" w:space="0" w:color="auto"/>
            </w:tcBorders>
            <w:hideMark/>
          </w:tcPr>
          <w:p w14:paraId="60EC0054"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 xml:space="preserve">Gentamicin </w:t>
            </w:r>
          </w:p>
        </w:tc>
        <w:tc>
          <w:tcPr>
            <w:tcW w:w="770" w:type="dxa"/>
            <w:tcBorders>
              <w:top w:val="single" w:sz="4" w:space="0" w:color="auto"/>
              <w:bottom w:val="single" w:sz="4" w:space="0" w:color="auto"/>
            </w:tcBorders>
            <w:hideMark/>
          </w:tcPr>
          <w:p w14:paraId="58D57D77"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MIC</w:t>
            </w:r>
          </w:p>
        </w:tc>
        <w:tc>
          <w:tcPr>
            <w:tcW w:w="836" w:type="dxa"/>
            <w:tcBorders>
              <w:top w:val="single" w:sz="4" w:space="0" w:color="auto"/>
              <w:bottom w:val="single" w:sz="4" w:space="0" w:color="auto"/>
            </w:tcBorders>
            <w:hideMark/>
          </w:tcPr>
          <w:p w14:paraId="113B2E1A"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MBC</w:t>
            </w:r>
          </w:p>
        </w:tc>
      </w:tr>
      <w:tr w:rsidR="0089519A" w:rsidRPr="002A4185" w14:paraId="298AF856" w14:textId="77777777" w:rsidTr="00354A8A">
        <w:tc>
          <w:tcPr>
            <w:tcW w:w="1203" w:type="dxa"/>
            <w:tcBorders>
              <w:top w:val="single" w:sz="4" w:space="0" w:color="auto"/>
            </w:tcBorders>
            <w:hideMark/>
          </w:tcPr>
          <w:p w14:paraId="724B58DC" w14:textId="77777777"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100mg/ml</w:t>
            </w:r>
          </w:p>
        </w:tc>
        <w:tc>
          <w:tcPr>
            <w:tcW w:w="1153" w:type="dxa"/>
            <w:tcBorders>
              <w:top w:val="single" w:sz="4" w:space="0" w:color="auto"/>
            </w:tcBorders>
            <w:hideMark/>
          </w:tcPr>
          <w:p w14:paraId="4F9CDF90" w14:textId="77777777"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20.0</w:t>
            </w:r>
          </w:p>
        </w:tc>
        <w:tc>
          <w:tcPr>
            <w:tcW w:w="956" w:type="dxa"/>
            <w:tcBorders>
              <w:top w:val="single" w:sz="4" w:space="0" w:color="auto"/>
            </w:tcBorders>
            <w:hideMark/>
          </w:tcPr>
          <w:p w14:paraId="50398A07" w14:textId="77777777"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23.0</w:t>
            </w:r>
          </w:p>
        </w:tc>
        <w:tc>
          <w:tcPr>
            <w:tcW w:w="1883" w:type="dxa"/>
            <w:tcBorders>
              <w:top w:val="single" w:sz="4" w:space="0" w:color="auto"/>
            </w:tcBorders>
          </w:tcPr>
          <w:p w14:paraId="4A710BE7" w14:textId="77777777"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24.8</w:t>
            </w:r>
          </w:p>
        </w:tc>
        <w:tc>
          <w:tcPr>
            <w:tcW w:w="879" w:type="dxa"/>
            <w:tcBorders>
              <w:top w:val="single" w:sz="4" w:space="0" w:color="auto"/>
            </w:tcBorders>
            <w:hideMark/>
          </w:tcPr>
          <w:p w14:paraId="6DE28331" w14:textId="77777777"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26.3</w:t>
            </w:r>
          </w:p>
        </w:tc>
        <w:tc>
          <w:tcPr>
            <w:tcW w:w="1336" w:type="dxa"/>
            <w:vMerge w:val="restart"/>
            <w:tcBorders>
              <w:top w:val="single" w:sz="4" w:space="0" w:color="auto"/>
            </w:tcBorders>
            <w:hideMark/>
          </w:tcPr>
          <w:p w14:paraId="25CFECAF" w14:textId="271064C2"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12.5</w:t>
            </w:r>
          </w:p>
        </w:tc>
        <w:tc>
          <w:tcPr>
            <w:tcW w:w="770" w:type="dxa"/>
            <w:vMerge w:val="restart"/>
            <w:tcBorders>
              <w:top w:val="single" w:sz="4" w:space="0" w:color="auto"/>
            </w:tcBorders>
            <w:hideMark/>
          </w:tcPr>
          <w:p w14:paraId="34B7AF0C" w14:textId="7EC18980"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25</w:t>
            </w:r>
          </w:p>
        </w:tc>
        <w:tc>
          <w:tcPr>
            <w:tcW w:w="836" w:type="dxa"/>
            <w:tcBorders>
              <w:top w:val="single" w:sz="4" w:space="0" w:color="auto"/>
            </w:tcBorders>
            <w:hideMark/>
          </w:tcPr>
          <w:p w14:paraId="05C31F0D" w14:textId="77777777"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50µ</w:t>
            </w:r>
          </w:p>
        </w:tc>
      </w:tr>
      <w:tr w:rsidR="0089519A" w:rsidRPr="002A4185" w14:paraId="762B18E4" w14:textId="77777777" w:rsidTr="00354A8A">
        <w:tc>
          <w:tcPr>
            <w:tcW w:w="1203" w:type="dxa"/>
            <w:hideMark/>
          </w:tcPr>
          <w:p w14:paraId="5365C113" w14:textId="77777777"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50mg/ml</w:t>
            </w:r>
          </w:p>
        </w:tc>
        <w:tc>
          <w:tcPr>
            <w:tcW w:w="1153" w:type="dxa"/>
            <w:hideMark/>
          </w:tcPr>
          <w:p w14:paraId="01ACDAD6" w14:textId="77777777"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18.5</w:t>
            </w:r>
          </w:p>
        </w:tc>
        <w:tc>
          <w:tcPr>
            <w:tcW w:w="956" w:type="dxa"/>
            <w:hideMark/>
          </w:tcPr>
          <w:p w14:paraId="5F53EA8E" w14:textId="77777777"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20.5</w:t>
            </w:r>
          </w:p>
        </w:tc>
        <w:tc>
          <w:tcPr>
            <w:tcW w:w="1883" w:type="dxa"/>
          </w:tcPr>
          <w:p w14:paraId="315A26E0" w14:textId="77777777"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19.0</w:t>
            </w:r>
          </w:p>
        </w:tc>
        <w:tc>
          <w:tcPr>
            <w:tcW w:w="879" w:type="dxa"/>
            <w:hideMark/>
          </w:tcPr>
          <w:p w14:paraId="6A922F52" w14:textId="77777777"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20.5</w:t>
            </w:r>
          </w:p>
        </w:tc>
        <w:tc>
          <w:tcPr>
            <w:tcW w:w="1336" w:type="dxa"/>
            <w:vMerge/>
            <w:hideMark/>
          </w:tcPr>
          <w:p w14:paraId="052E55BA" w14:textId="0B3ECEB2" w:rsidR="0089519A" w:rsidRPr="002A4185" w:rsidRDefault="0089519A" w:rsidP="007C0EE9">
            <w:pPr>
              <w:spacing w:line="360" w:lineRule="auto"/>
              <w:jc w:val="both"/>
              <w:rPr>
                <w:rFonts w:ascii="Times New Roman" w:hAnsi="Times New Roman" w:cs="Times New Roman"/>
                <w:sz w:val="24"/>
                <w:szCs w:val="24"/>
              </w:rPr>
            </w:pPr>
          </w:p>
        </w:tc>
        <w:tc>
          <w:tcPr>
            <w:tcW w:w="770" w:type="dxa"/>
            <w:vMerge/>
            <w:hideMark/>
          </w:tcPr>
          <w:p w14:paraId="5D9B7A7D" w14:textId="56D37AEA" w:rsidR="0089519A" w:rsidRPr="002A4185" w:rsidRDefault="0089519A" w:rsidP="007C0EE9">
            <w:pPr>
              <w:spacing w:line="360" w:lineRule="auto"/>
              <w:jc w:val="both"/>
              <w:rPr>
                <w:rFonts w:ascii="Times New Roman" w:hAnsi="Times New Roman" w:cs="Times New Roman"/>
                <w:sz w:val="24"/>
                <w:szCs w:val="24"/>
              </w:rPr>
            </w:pPr>
          </w:p>
        </w:tc>
        <w:tc>
          <w:tcPr>
            <w:tcW w:w="836" w:type="dxa"/>
            <w:hideMark/>
          </w:tcPr>
          <w:p w14:paraId="30B6F6E9" w14:textId="77777777"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50µ</w:t>
            </w:r>
          </w:p>
        </w:tc>
      </w:tr>
      <w:tr w:rsidR="0089519A" w:rsidRPr="002A4185" w14:paraId="6453A297" w14:textId="77777777" w:rsidTr="00354A8A">
        <w:tc>
          <w:tcPr>
            <w:tcW w:w="1203" w:type="dxa"/>
            <w:hideMark/>
          </w:tcPr>
          <w:p w14:paraId="6E66D145" w14:textId="77777777"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25mg/ml</w:t>
            </w:r>
          </w:p>
        </w:tc>
        <w:tc>
          <w:tcPr>
            <w:tcW w:w="1153" w:type="dxa"/>
            <w:hideMark/>
          </w:tcPr>
          <w:p w14:paraId="79773A60" w14:textId="77777777"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16.0</w:t>
            </w:r>
          </w:p>
        </w:tc>
        <w:tc>
          <w:tcPr>
            <w:tcW w:w="956" w:type="dxa"/>
            <w:hideMark/>
          </w:tcPr>
          <w:p w14:paraId="6E076DE2" w14:textId="77777777"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17.4</w:t>
            </w:r>
          </w:p>
        </w:tc>
        <w:tc>
          <w:tcPr>
            <w:tcW w:w="1883" w:type="dxa"/>
          </w:tcPr>
          <w:p w14:paraId="2E0F5E6E" w14:textId="77777777"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17.5</w:t>
            </w:r>
          </w:p>
        </w:tc>
        <w:tc>
          <w:tcPr>
            <w:tcW w:w="879" w:type="dxa"/>
            <w:hideMark/>
          </w:tcPr>
          <w:p w14:paraId="1EA66805" w14:textId="77777777"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18.7</w:t>
            </w:r>
          </w:p>
        </w:tc>
        <w:tc>
          <w:tcPr>
            <w:tcW w:w="1336" w:type="dxa"/>
            <w:vMerge/>
            <w:hideMark/>
          </w:tcPr>
          <w:p w14:paraId="70F15B49" w14:textId="0D2D822B" w:rsidR="0089519A" w:rsidRPr="002A4185" w:rsidRDefault="0089519A" w:rsidP="007C0EE9">
            <w:pPr>
              <w:spacing w:line="360" w:lineRule="auto"/>
              <w:jc w:val="both"/>
              <w:rPr>
                <w:rFonts w:ascii="Times New Roman" w:hAnsi="Times New Roman" w:cs="Times New Roman"/>
                <w:sz w:val="24"/>
                <w:szCs w:val="24"/>
              </w:rPr>
            </w:pPr>
          </w:p>
        </w:tc>
        <w:tc>
          <w:tcPr>
            <w:tcW w:w="770" w:type="dxa"/>
            <w:vMerge/>
            <w:hideMark/>
          </w:tcPr>
          <w:p w14:paraId="7647E6B1" w14:textId="205A8CD7" w:rsidR="0089519A" w:rsidRPr="002A4185" w:rsidRDefault="0089519A" w:rsidP="007C0EE9">
            <w:pPr>
              <w:spacing w:line="360" w:lineRule="auto"/>
              <w:jc w:val="both"/>
              <w:rPr>
                <w:rFonts w:ascii="Times New Roman" w:hAnsi="Times New Roman" w:cs="Times New Roman"/>
                <w:sz w:val="24"/>
                <w:szCs w:val="24"/>
              </w:rPr>
            </w:pPr>
          </w:p>
        </w:tc>
        <w:tc>
          <w:tcPr>
            <w:tcW w:w="836" w:type="dxa"/>
            <w:hideMark/>
          </w:tcPr>
          <w:p w14:paraId="3F6A1926" w14:textId="77777777"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50µ</w:t>
            </w:r>
          </w:p>
        </w:tc>
      </w:tr>
      <w:tr w:rsidR="0089519A" w:rsidRPr="002A4185" w14:paraId="119441C3" w14:textId="77777777" w:rsidTr="00927887">
        <w:tc>
          <w:tcPr>
            <w:tcW w:w="1203" w:type="dxa"/>
            <w:tcBorders>
              <w:bottom w:val="single" w:sz="4" w:space="0" w:color="auto"/>
            </w:tcBorders>
            <w:hideMark/>
          </w:tcPr>
          <w:p w14:paraId="7791683F" w14:textId="77777777"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12.5g/ml</w:t>
            </w:r>
          </w:p>
        </w:tc>
        <w:tc>
          <w:tcPr>
            <w:tcW w:w="1153" w:type="dxa"/>
            <w:tcBorders>
              <w:bottom w:val="single" w:sz="4" w:space="0" w:color="auto"/>
            </w:tcBorders>
            <w:hideMark/>
          </w:tcPr>
          <w:p w14:paraId="20594096" w14:textId="77777777"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14.5</w:t>
            </w:r>
          </w:p>
        </w:tc>
        <w:tc>
          <w:tcPr>
            <w:tcW w:w="956" w:type="dxa"/>
            <w:tcBorders>
              <w:bottom w:val="single" w:sz="4" w:space="0" w:color="auto"/>
            </w:tcBorders>
            <w:hideMark/>
          </w:tcPr>
          <w:p w14:paraId="1B0F6C2C" w14:textId="77777777"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13.8</w:t>
            </w:r>
          </w:p>
        </w:tc>
        <w:tc>
          <w:tcPr>
            <w:tcW w:w="1883" w:type="dxa"/>
            <w:tcBorders>
              <w:bottom w:val="single" w:sz="4" w:space="0" w:color="auto"/>
            </w:tcBorders>
          </w:tcPr>
          <w:p w14:paraId="39B597DF" w14:textId="77777777"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14.0</w:t>
            </w:r>
          </w:p>
        </w:tc>
        <w:tc>
          <w:tcPr>
            <w:tcW w:w="879" w:type="dxa"/>
            <w:tcBorders>
              <w:bottom w:val="single" w:sz="4" w:space="0" w:color="auto"/>
            </w:tcBorders>
            <w:hideMark/>
          </w:tcPr>
          <w:p w14:paraId="06900F38" w14:textId="77777777"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13.6</w:t>
            </w:r>
          </w:p>
        </w:tc>
        <w:tc>
          <w:tcPr>
            <w:tcW w:w="1336" w:type="dxa"/>
            <w:vMerge/>
            <w:tcBorders>
              <w:bottom w:val="single" w:sz="4" w:space="0" w:color="auto"/>
            </w:tcBorders>
            <w:hideMark/>
          </w:tcPr>
          <w:p w14:paraId="5FA49C93" w14:textId="255BFC82" w:rsidR="0089519A" w:rsidRPr="002A4185" w:rsidRDefault="0089519A" w:rsidP="007C0EE9">
            <w:pPr>
              <w:spacing w:line="360" w:lineRule="auto"/>
              <w:jc w:val="both"/>
              <w:rPr>
                <w:rFonts w:ascii="Times New Roman" w:hAnsi="Times New Roman" w:cs="Times New Roman"/>
                <w:sz w:val="24"/>
                <w:szCs w:val="24"/>
              </w:rPr>
            </w:pPr>
          </w:p>
        </w:tc>
        <w:tc>
          <w:tcPr>
            <w:tcW w:w="770" w:type="dxa"/>
            <w:vMerge/>
            <w:tcBorders>
              <w:bottom w:val="single" w:sz="4" w:space="0" w:color="auto"/>
            </w:tcBorders>
            <w:hideMark/>
          </w:tcPr>
          <w:p w14:paraId="4917AD4F" w14:textId="3248CEFD" w:rsidR="0089519A" w:rsidRPr="002A4185" w:rsidRDefault="0089519A" w:rsidP="007C0EE9">
            <w:pPr>
              <w:spacing w:line="360" w:lineRule="auto"/>
              <w:jc w:val="both"/>
              <w:rPr>
                <w:rFonts w:ascii="Times New Roman" w:hAnsi="Times New Roman" w:cs="Times New Roman"/>
                <w:sz w:val="24"/>
                <w:szCs w:val="24"/>
              </w:rPr>
            </w:pPr>
          </w:p>
        </w:tc>
        <w:tc>
          <w:tcPr>
            <w:tcW w:w="836" w:type="dxa"/>
            <w:tcBorders>
              <w:bottom w:val="single" w:sz="4" w:space="0" w:color="auto"/>
            </w:tcBorders>
            <w:hideMark/>
          </w:tcPr>
          <w:p w14:paraId="2C609DD8" w14:textId="77777777" w:rsidR="0089519A" w:rsidRPr="002A4185" w:rsidRDefault="0089519A"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50µ</w:t>
            </w:r>
          </w:p>
        </w:tc>
      </w:tr>
    </w:tbl>
    <w:p w14:paraId="1CFF1B70" w14:textId="57161E53" w:rsidR="000D08CF" w:rsidRPr="002A4185" w:rsidRDefault="000D08CF" w:rsidP="007C0EE9">
      <w:pPr>
        <w:spacing w:line="360" w:lineRule="auto"/>
        <w:jc w:val="both"/>
        <w:rPr>
          <w:rFonts w:ascii="Times New Roman" w:hAnsi="Times New Roman" w:cs="Times New Roman"/>
          <w:b/>
          <w:sz w:val="24"/>
          <w:szCs w:val="24"/>
        </w:rPr>
      </w:pPr>
      <w:r w:rsidRPr="002A4185">
        <w:rPr>
          <w:rFonts w:ascii="Times New Roman" w:hAnsi="Times New Roman" w:cs="Times New Roman"/>
          <w:b/>
          <w:sz w:val="24"/>
          <w:szCs w:val="24"/>
        </w:rPr>
        <w:lastRenderedPageBreak/>
        <w:t xml:space="preserve">NOTE: KPN Control (Gentamicin is </w:t>
      </w:r>
      <w:r w:rsidRPr="002A4185">
        <w:rPr>
          <w:rFonts w:ascii="Times New Roman" w:hAnsi="Times New Roman" w:cs="Times New Roman"/>
          <w:sz w:val="24"/>
          <w:szCs w:val="24"/>
        </w:rPr>
        <w:t>16mm</w:t>
      </w:r>
      <w:r w:rsidRPr="002A4185">
        <w:rPr>
          <w:rFonts w:ascii="Times New Roman" w:hAnsi="Times New Roman" w:cs="Times New Roman"/>
          <w:b/>
          <w:sz w:val="24"/>
          <w:szCs w:val="24"/>
        </w:rPr>
        <w:t xml:space="preserve">) </w:t>
      </w:r>
      <w:r w:rsidR="008742C8" w:rsidRPr="002A4185">
        <w:rPr>
          <w:rFonts w:ascii="Times New Roman" w:hAnsi="Times New Roman" w:cs="Times New Roman"/>
          <w:b/>
          <w:i/>
          <w:iCs/>
          <w:sz w:val="24"/>
          <w:szCs w:val="24"/>
        </w:rPr>
        <w:t>E. Coli</w:t>
      </w:r>
      <w:r w:rsidRPr="002A4185">
        <w:rPr>
          <w:rFonts w:ascii="Times New Roman" w:hAnsi="Times New Roman" w:cs="Times New Roman"/>
          <w:b/>
          <w:sz w:val="24"/>
          <w:szCs w:val="24"/>
        </w:rPr>
        <w:t xml:space="preserve"> Control (Gentamicin is </w:t>
      </w:r>
      <w:r w:rsidRPr="002A4185">
        <w:rPr>
          <w:rFonts w:ascii="Times New Roman" w:hAnsi="Times New Roman" w:cs="Times New Roman"/>
          <w:sz w:val="24"/>
          <w:szCs w:val="24"/>
        </w:rPr>
        <w:t>15mm</w:t>
      </w:r>
      <w:r w:rsidRPr="002A4185">
        <w:rPr>
          <w:rFonts w:ascii="Times New Roman" w:hAnsi="Times New Roman" w:cs="Times New Roman"/>
          <w:b/>
          <w:sz w:val="24"/>
          <w:szCs w:val="24"/>
        </w:rPr>
        <w:t>)</w:t>
      </w:r>
    </w:p>
    <w:p w14:paraId="4FEE41F7" w14:textId="3CB9F9F2" w:rsidR="009C3A63" w:rsidRPr="002A4185" w:rsidRDefault="009C3A63" w:rsidP="007C0EE9">
      <w:pPr>
        <w:spacing w:line="360" w:lineRule="auto"/>
        <w:jc w:val="both"/>
        <w:rPr>
          <w:rFonts w:ascii="Times New Roman" w:hAnsi="Times New Roman" w:cs="Times New Roman"/>
          <w:b/>
          <w:bCs/>
          <w:i/>
          <w:iCs/>
          <w:sz w:val="24"/>
          <w:szCs w:val="24"/>
        </w:rPr>
      </w:pPr>
      <w:r w:rsidRPr="002A4185">
        <w:rPr>
          <w:rFonts w:ascii="Times New Roman" w:hAnsi="Times New Roman" w:cs="Times New Roman"/>
          <w:b/>
          <w:bCs/>
          <w:sz w:val="24"/>
          <w:szCs w:val="24"/>
        </w:rPr>
        <w:t xml:space="preserve">TABLE </w:t>
      </w:r>
      <w:r w:rsidR="000E1157" w:rsidRPr="002A4185">
        <w:rPr>
          <w:rFonts w:ascii="Times New Roman" w:hAnsi="Times New Roman" w:cs="Times New Roman"/>
          <w:b/>
          <w:bCs/>
          <w:sz w:val="24"/>
          <w:szCs w:val="24"/>
        </w:rPr>
        <w:t>3:</w:t>
      </w:r>
      <w:r w:rsidRPr="002A4185">
        <w:rPr>
          <w:rFonts w:ascii="Times New Roman" w:hAnsi="Times New Roman" w:cs="Times New Roman"/>
          <w:b/>
          <w:bCs/>
          <w:sz w:val="24"/>
          <w:szCs w:val="24"/>
        </w:rPr>
        <w:t xml:space="preserve"> MINIMUM INHIBITORY CONCENTRATION (MG/ML) OF </w:t>
      </w:r>
      <w:r w:rsidR="00F2306C" w:rsidRPr="002A4185">
        <w:rPr>
          <w:rFonts w:ascii="Times New Roman" w:hAnsi="Times New Roman" w:cs="Times New Roman"/>
          <w:b/>
          <w:bCs/>
          <w:i/>
          <w:iCs/>
          <w:sz w:val="24"/>
          <w:szCs w:val="24"/>
        </w:rPr>
        <w:t>G. sepium</w:t>
      </w:r>
      <w:r w:rsidRPr="002A4185">
        <w:rPr>
          <w:rFonts w:ascii="Times New Roman" w:hAnsi="Times New Roman" w:cs="Times New Roman"/>
          <w:b/>
          <w:bCs/>
          <w:i/>
          <w:iCs/>
          <w:sz w:val="24"/>
          <w:szCs w:val="24"/>
        </w:rPr>
        <w:t xml:space="preserve"> </w:t>
      </w:r>
      <w:r w:rsidRPr="002A4185">
        <w:rPr>
          <w:rFonts w:ascii="Times New Roman" w:hAnsi="Times New Roman" w:cs="Times New Roman"/>
          <w:b/>
          <w:bCs/>
          <w:sz w:val="24"/>
          <w:szCs w:val="24"/>
        </w:rPr>
        <w:t xml:space="preserve">LEAF EXTRACT AGAINST </w:t>
      </w:r>
      <w:r w:rsidRPr="002A4185">
        <w:rPr>
          <w:rFonts w:ascii="Times New Roman" w:hAnsi="Times New Roman" w:cs="Times New Roman"/>
          <w:b/>
          <w:bCs/>
          <w:i/>
          <w:iCs/>
          <w:sz w:val="24"/>
          <w:szCs w:val="24"/>
        </w:rPr>
        <w:t xml:space="preserve">E. coli </w:t>
      </w:r>
      <w:r w:rsidRPr="002A4185">
        <w:rPr>
          <w:rFonts w:ascii="Times New Roman" w:hAnsi="Times New Roman" w:cs="Times New Roman"/>
          <w:b/>
          <w:bCs/>
          <w:sz w:val="24"/>
          <w:szCs w:val="24"/>
        </w:rPr>
        <w:t xml:space="preserve">11775 AND </w:t>
      </w:r>
      <w:r w:rsidRPr="002A4185">
        <w:rPr>
          <w:rFonts w:ascii="Times New Roman" w:hAnsi="Times New Roman" w:cs="Times New Roman"/>
          <w:b/>
          <w:bCs/>
          <w:i/>
          <w:iCs/>
          <w:sz w:val="24"/>
          <w:szCs w:val="24"/>
        </w:rPr>
        <w:t xml:space="preserve">K. pneumoniae </w:t>
      </w:r>
      <w:r w:rsidRPr="002A4185">
        <w:rPr>
          <w:rFonts w:ascii="Times New Roman" w:hAnsi="Times New Roman" w:cs="Times New Roman"/>
          <w:b/>
          <w:bCs/>
          <w:sz w:val="24"/>
          <w:szCs w:val="24"/>
        </w:rPr>
        <w:t>70030</w:t>
      </w:r>
      <w:r w:rsidRPr="002A4185">
        <w:rPr>
          <w:rFonts w:ascii="Times New Roman" w:hAnsi="Times New Roman" w:cs="Times New Roman"/>
          <w:b/>
          <w:bCs/>
          <w:i/>
          <w:iCs/>
          <w:sz w:val="24"/>
          <w:szCs w:val="24"/>
        </w:rPr>
        <w:t xml:space="preserve"> </w:t>
      </w:r>
    </w:p>
    <w:tbl>
      <w:tblPr>
        <w:tblStyle w:val="TableGrid"/>
        <w:tblW w:w="9595" w:type="dxa"/>
        <w:tblInd w:w="-3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1227"/>
        <w:gridCol w:w="1017"/>
        <w:gridCol w:w="2004"/>
        <w:gridCol w:w="936"/>
        <w:gridCol w:w="1422"/>
        <w:gridCol w:w="819"/>
        <w:gridCol w:w="889"/>
      </w:tblGrid>
      <w:tr w:rsidR="009C3A63" w:rsidRPr="002A4185" w14:paraId="34E03F11" w14:textId="77777777" w:rsidTr="00927887">
        <w:trPr>
          <w:trHeight w:val="873"/>
        </w:trPr>
        <w:tc>
          <w:tcPr>
            <w:tcW w:w="1281" w:type="dxa"/>
            <w:tcBorders>
              <w:top w:val="single" w:sz="4" w:space="0" w:color="auto"/>
              <w:bottom w:val="single" w:sz="4" w:space="0" w:color="auto"/>
            </w:tcBorders>
            <w:hideMark/>
          </w:tcPr>
          <w:p w14:paraId="314DE287"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Conc</w:t>
            </w:r>
          </w:p>
        </w:tc>
        <w:tc>
          <w:tcPr>
            <w:tcW w:w="1227" w:type="dxa"/>
            <w:tcBorders>
              <w:top w:val="single" w:sz="4" w:space="0" w:color="auto"/>
              <w:bottom w:val="single" w:sz="4" w:space="0" w:color="auto"/>
            </w:tcBorders>
            <w:hideMark/>
          </w:tcPr>
          <w:p w14:paraId="13F829CA"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 xml:space="preserve">Methanol </w:t>
            </w:r>
          </w:p>
        </w:tc>
        <w:tc>
          <w:tcPr>
            <w:tcW w:w="1017" w:type="dxa"/>
            <w:tcBorders>
              <w:top w:val="single" w:sz="4" w:space="0" w:color="auto"/>
              <w:bottom w:val="single" w:sz="4" w:space="0" w:color="auto"/>
            </w:tcBorders>
            <w:hideMark/>
          </w:tcPr>
          <w:p w14:paraId="3267EE92"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 xml:space="preserve">N- hexane </w:t>
            </w:r>
          </w:p>
        </w:tc>
        <w:tc>
          <w:tcPr>
            <w:tcW w:w="2004" w:type="dxa"/>
            <w:tcBorders>
              <w:top w:val="single" w:sz="4" w:space="0" w:color="auto"/>
              <w:bottom w:val="single" w:sz="4" w:space="0" w:color="auto"/>
            </w:tcBorders>
            <w:hideMark/>
          </w:tcPr>
          <w:p w14:paraId="583815C1"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 xml:space="preserve">Dichloromethane </w:t>
            </w:r>
          </w:p>
        </w:tc>
        <w:tc>
          <w:tcPr>
            <w:tcW w:w="936" w:type="dxa"/>
            <w:tcBorders>
              <w:top w:val="single" w:sz="4" w:space="0" w:color="auto"/>
              <w:bottom w:val="single" w:sz="4" w:space="0" w:color="auto"/>
            </w:tcBorders>
            <w:hideMark/>
          </w:tcPr>
          <w:p w14:paraId="7AA76839"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 xml:space="preserve">Water </w:t>
            </w:r>
          </w:p>
        </w:tc>
        <w:tc>
          <w:tcPr>
            <w:tcW w:w="1422" w:type="dxa"/>
            <w:tcBorders>
              <w:top w:val="single" w:sz="4" w:space="0" w:color="auto"/>
              <w:bottom w:val="single" w:sz="4" w:space="0" w:color="auto"/>
            </w:tcBorders>
            <w:hideMark/>
          </w:tcPr>
          <w:p w14:paraId="03564E1E"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 xml:space="preserve">Gentamicin </w:t>
            </w:r>
          </w:p>
        </w:tc>
        <w:tc>
          <w:tcPr>
            <w:tcW w:w="819" w:type="dxa"/>
            <w:tcBorders>
              <w:top w:val="single" w:sz="4" w:space="0" w:color="auto"/>
              <w:bottom w:val="single" w:sz="4" w:space="0" w:color="auto"/>
            </w:tcBorders>
            <w:hideMark/>
          </w:tcPr>
          <w:p w14:paraId="20FF8EAC"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MIC</w:t>
            </w:r>
          </w:p>
        </w:tc>
        <w:tc>
          <w:tcPr>
            <w:tcW w:w="889" w:type="dxa"/>
            <w:tcBorders>
              <w:top w:val="single" w:sz="4" w:space="0" w:color="auto"/>
              <w:bottom w:val="single" w:sz="4" w:space="0" w:color="auto"/>
            </w:tcBorders>
            <w:hideMark/>
          </w:tcPr>
          <w:p w14:paraId="071111B0"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MBC</w:t>
            </w:r>
          </w:p>
        </w:tc>
      </w:tr>
      <w:tr w:rsidR="009C3A63" w:rsidRPr="002A4185" w14:paraId="4E7657E0" w14:textId="77777777" w:rsidTr="00927887">
        <w:trPr>
          <w:trHeight w:val="435"/>
        </w:trPr>
        <w:tc>
          <w:tcPr>
            <w:tcW w:w="1281" w:type="dxa"/>
            <w:tcBorders>
              <w:top w:val="single" w:sz="4" w:space="0" w:color="auto"/>
            </w:tcBorders>
            <w:hideMark/>
          </w:tcPr>
          <w:p w14:paraId="19E03683"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100mg/ml</w:t>
            </w:r>
          </w:p>
        </w:tc>
        <w:tc>
          <w:tcPr>
            <w:tcW w:w="1227" w:type="dxa"/>
            <w:tcBorders>
              <w:top w:val="single" w:sz="4" w:space="0" w:color="auto"/>
            </w:tcBorders>
            <w:hideMark/>
          </w:tcPr>
          <w:p w14:paraId="4997F011"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20.0</w:t>
            </w:r>
          </w:p>
        </w:tc>
        <w:tc>
          <w:tcPr>
            <w:tcW w:w="1017" w:type="dxa"/>
            <w:tcBorders>
              <w:top w:val="single" w:sz="4" w:space="0" w:color="auto"/>
            </w:tcBorders>
            <w:hideMark/>
          </w:tcPr>
          <w:p w14:paraId="64E1AA05"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23.0</w:t>
            </w:r>
          </w:p>
        </w:tc>
        <w:tc>
          <w:tcPr>
            <w:tcW w:w="2004" w:type="dxa"/>
            <w:tcBorders>
              <w:top w:val="single" w:sz="4" w:space="0" w:color="auto"/>
            </w:tcBorders>
          </w:tcPr>
          <w:p w14:paraId="40446698"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24.8</w:t>
            </w:r>
          </w:p>
        </w:tc>
        <w:tc>
          <w:tcPr>
            <w:tcW w:w="936" w:type="dxa"/>
            <w:tcBorders>
              <w:top w:val="single" w:sz="4" w:space="0" w:color="auto"/>
            </w:tcBorders>
            <w:hideMark/>
          </w:tcPr>
          <w:p w14:paraId="1B20BAD3"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26.3</w:t>
            </w:r>
          </w:p>
        </w:tc>
        <w:tc>
          <w:tcPr>
            <w:tcW w:w="1422" w:type="dxa"/>
            <w:vMerge w:val="restart"/>
            <w:tcBorders>
              <w:top w:val="single" w:sz="4" w:space="0" w:color="auto"/>
            </w:tcBorders>
            <w:hideMark/>
          </w:tcPr>
          <w:p w14:paraId="51ABEFD1"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12.5</w:t>
            </w:r>
          </w:p>
        </w:tc>
        <w:tc>
          <w:tcPr>
            <w:tcW w:w="819" w:type="dxa"/>
            <w:vMerge w:val="restart"/>
            <w:tcBorders>
              <w:top w:val="single" w:sz="4" w:space="0" w:color="auto"/>
            </w:tcBorders>
            <w:hideMark/>
          </w:tcPr>
          <w:p w14:paraId="4C1C037C"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25</w:t>
            </w:r>
          </w:p>
        </w:tc>
        <w:tc>
          <w:tcPr>
            <w:tcW w:w="889" w:type="dxa"/>
            <w:tcBorders>
              <w:top w:val="single" w:sz="4" w:space="0" w:color="auto"/>
            </w:tcBorders>
            <w:hideMark/>
          </w:tcPr>
          <w:p w14:paraId="69BE8EBA"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50µ</w:t>
            </w:r>
          </w:p>
        </w:tc>
      </w:tr>
      <w:tr w:rsidR="009C3A63" w:rsidRPr="002A4185" w14:paraId="46DE8899" w14:textId="77777777" w:rsidTr="00927887">
        <w:trPr>
          <w:trHeight w:val="435"/>
        </w:trPr>
        <w:tc>
          <w:tcPr>
            <w:tcW w:w="1281" w:type="dxa"/>
            <w:hideMark/>
          </w:tcPr>
          <w:p w14:paraId="2D161234"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50mg/ml</w:t>
            </w:r>
          </w:p>
        </w:tc>
        <w:tc>
          <w:tcPr>
            <w:tcW w:w="1227" w:type="dxa"/>
            <w:hideMark/>
          </w:tcPr>
          <w:p w14:paraId="42C528F6"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18.5</w:t>
            </w:r>
          </w:p>
        </w:tc>
        <w:tc>
          <w:tcPr>
            <w:tcW w:w="1017" w:type="dxa"/>
            <w:hideMark/>
          </w:tcPr>
          <w:p w14:paraId="20C13791"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20.5</w:t>
            </w:r>
          </w:p>
        </w:tc>
        <w:tc>
          <w:tcPr>
            <w:tcW w:w="2004" w:type="dxa"/>
          </w:tcPr>
          <w:p w14:paraId="2F7D731E"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19.0</w:t>
            </w:r>
          </w:p>
        </w:tc>
        <w:tc>
          <w:tcPr>
            <w:tcW w:w="936" w:type="dxa"/>
            <w:hideMark/>
          </w:tcPr>
          <w:p w14:paraId="7AB61DA3"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20.5</w:t>
            </w:r>
          </w:p>
        </w:tc>
        <w:tc>
          <w:tcPr>
            <w:tcW w:w="1422" w:type="dxa"/>
            <w:vMerge/>
            <w:hideMark/>
          </w:tcPr>
          <w:p w14:paraId="379BEAF4" w14:textId="77777777" w:rsidR="009C3A63" w:rsidRPr="002A4185" w:rsidRDefault="009C3A63" w:rsidP="007C0EE9">
            <w:pPr>
              <w:spacing w:line="360" w:lineRule="auto"/>
              <w:jc w:val="both"/>
              <w:rPr>
                <w:rFonts w:ascii="Times New Roman" w:hAnsi="Times New Roman" w:cs="Times New Roman"/>
                <w:sz w:val="24"/>
                <w:szCs w:val="24"/>
              </w:rPr>
            </w:pPr>
          </w:p>
        </w:tc>
        <w:tc>
          <w:tcPr>
            <w:tcW w:w="819" w:type="dxa"/>
            <w:vMerge/>
            <w:hideMark/>
          </w:tcPr>
          <w:p w14:paraId="73916C7A" w14:textId="77777777" w:rsidR="009C3A63" w:rsidRPr="002A4185" w:rsidRDefault="009C3A63" w:rsidP="007C0EE9">
            <w:pPr>
              <w:spacing w:line="360" w:lineRule="auto"/>
              <w:jc w:val="both"/>
              <w:rPr>
                <w:rFonts w:ascii="Times New Roman" w:hAnsi="Times New Roman" w:cs="Times New Roman"/>
                <w:sz w:val="24"/>
                <w:szCs w:val="24"/>
              </w:rPr>
            </w:pPr>
          </w:p>
        </w:tc>
        <w:tc>
          <w:tcPr>
            <w:tcW w:w="889" w:type="dxa"/>
            <w:hideMark/>
          </w:tcPr>
          <w:p w14:paraId="2CFB7C5B"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50µ</w:t>
            </w:r>
          </w:p>
        </w:tc>
      </w:tr>
      <w:tr w:rsidR="009C3A63" w:rsidRPr="002A4185" w14:paraId="1F028B28" w14:textId="77777777" w:rsidTr="00927887">
        <w:trPr>
          <w:trHeight w:val="435"/>
        </w:trPr>
        <w:tc>
          <w:tcPr>
            <w:tcW w:w="1281" w:type="dxa"/>
            <w:hideMark/>
          </w:tcPr>
          <w:p w14:paraId="622B31BE"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25mg/ml</w:t>
            </w:r>
          </w:p>
        </w:tc>
        <w:tc>
          <w:tcPr>
            <w:tcW w:w="1227" w:type="dxa"/>
            <w:hideMark/>
          </w:tcPr>
          <w:p w14:paraId="2E202FE6"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16.0</w:t>
            </w:r>
          </w:p>
        </w:tc>
        <w:tc>
          <w:tcPr>
            <w:tcW w:w="1017" w:type="dxa"/>
            <w:hideMark/>
          </w:tcPr>
          <w:p w14:paraId="23DA5749"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17.4</w:t>
            </w:r>
          </w:p>
        </w:tc>
        <w:tc>
          <w:tcPr>
            <w:tcW w:w="2004" w:type="dxa"/>
          </w:tcPr>
          <w:p w14:paraId="0A533F00"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17.5</w:t>
            </w:r>
          </w:p>
        </w:tc>
        <w:tc>
          <w:tcPr>
            <w:tcW w:w="936" w:type="dxa"/>
            <w:hideMark/>
          </w:tcPr>
          <w:p w14:paraId="36A48E4F"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18.7</w:t>
            </w:r>
          </w:p>
        </w:tc>
        <w:tc>
          <w:tcPr>
            <w:tcW w:w="1422" w:type="dxa"/>
            <w:vMerge/>
            <w:hideMark/>
          </w:tcPr>
          <w:p w14:paraId="61F44616" w14:textId="77777777" w:rsidR="009C3A63" w:rsidRPr="002A4185" w:rsidRDefault="009C3A63" w:rsidP="007C0EE9">
            <w:pPr>
              <w:spacing w:line="360" w:lineRule="auto"/>
              <w:jc w:val="both"/>
              <w:rPr>
                <w:rFonts w:ascii="Times New Roman" w:hAnsi="Times New Roman" w:cs="Times New Roman"/>
                <w:sz w:val="24"/>
                <w:szCs w:val="24"/>
              </w:rPr>
            </w:pPr>
          </w:p>
        </w:tc>
        <w:tc>
          <w:tcPr>
            <w:tcW w:w="819" w:type="dxa"/>
            <w:vMerge/>
            <w:hideMark/>
          </w:tcPr>
          <w:p w14:paraId="7331AE94" w14:textId="77777777" w:rsidR="009C3A63" w:rsidRPr="002A4185" w:rsidRDefault="009C3A63" w:rsidP="007C0EE9">
            <w:pPr>
              <w:spacing w:line="360" w:lineRule="auto"/>
              <w:jc w:val="both"/>
              <w:rPr>
                <w:rFonts w:ascii="Times New Roman" w:hAnsi="Times New Roman" w:cs="Times New Roman"/>
                <w:sz w:val="24"/>
                <w:szCs w:val="24"/>
              </w:rPr>
            </w:pPr>
          </w:p>
        </w:tc>
        <w:tc>
          <w:tcPr>
            <w:tcW w:w="889" w:type="dxa"/>
            <w:hideMark/>
          </w:tcPr>
          <w:p w14:paraId="540355E1"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50µ</w:t>
            </w:r>
          </w:p>
        </w:tc>
      </w:tr>
      <w:tr w:rsidR="009C3A63" w:rsidRPr="002A4185" w14:paraId="0DF2FA40" w14:textId="77777777" w:rsidTr="00927887">
        <w:trPr>
          <w:trHeight w:val="435"/>
        </w:trPr>
        <w:tc>
          <w:tcPr>
            <w:tcW w:w="1281" w:type="dxa"/>
            <w:hideMark/>
          </w:tcPr>
          <w:p w14:paraId="3FA13F05"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12.5g/ml</w:t>
            </w:r>
          </w:p>
        </w:tc>
        <w:tc>
          <w:tcPr>
            <w:tcW w:w="1227" w:type="dxa"/>
            <w:hideMark/>
          </w:tcPr>
          <w:p w14:paraId="27FB7337"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14.5</w:t>
            </w:r>
          </w:p>
        </w:tc>
        <w:tc>
          <w:tcPr>
            <w:tcW w:w="1017" w:type="dxa"/>
            <w:hideMark/>
          </w:tcPr>
          <w:p w14:paraId="747FDAFF"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13.8</w:t>
            </w:r>
          </w:p>
        </w:tc>
        <w:tc>
          <w:tcPr>
            <w:tcW w:w="2004" w:type="dxa"/>
          </w:tcPr>
          <w:p w14:paraId="6801568E"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14.0</w:t>
            </w:r>
          </w:p>
        </w:tc>
        <w:tc>
          <w:tcPr>
            <w:tcW w:w="936" w:type="dxa"/>
            <w:hideMark/>
          </w:tcPr>
          <w:p w14:paraId="16627169"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13.6</w:t>
            </w:r>
          </w:p>
        </w:tc>
        <w:tc>
          <w:tcPr>
            <w:tcW w:w="1422" w:type="dxa"/>
            <w:vMerge/>
            <w:hideMark/>
          </w:tcPr>
          <w:p w14:paraId="59A58B3B" w14:textId="77777777" w:rsidR="009C3A63" w:rsidRPr="002A4185" w:rsidRDefault="009C3A63" w:rsidP="007C0EE9">
            <w:pPr>
              <w:spacing w:line="360" w:lineRule="auto"/>
              <w:jc w:val="both"/>
              <w:rPr>
                <w:rFonts w:ascii="Times New Roman" w:hAnsi="Times New Roman" w:cs="Times New Roman"/>
                <w:sz w:val="24"/>
                <w:szCs w:val="24"/>
              </w:rPr>
            </w:pPr>
          </w:p>
        </w:tc>
        <w:tc>
          <w:tcPr>
            <w:tcW w:w="819" w:type="dxa"/>
            <w:vMerge/>
            <w:hideMark/>
          </w:tcPr>
          <w:p w14:paraId="3EDB3837" w14:textId="77777777" w:rsidR="009C3A63" w:rsidRPr="002A4185" w:rsidRDefault="009C3A63" w:rsidP="007C0EE9">
            <w:pPr>
              <w:spacing w:line="360" w:lineRule="auto"/>
              <w:jc w:val="both"/>
              <w:rPr>
                <w:rFonts w:ascii="Times New Roman" w:hAnsi="Times New Roman" w:cs="Times New Roman"/>
                <w:sz w:val="24"/>
                <w:szCs w:val="24"/>
              </w:rPr>
            </w:pPr>
          </w:p>
        </w:tc>
        <w:tc>
          <w:tcPr>
            <w:tcW w:w="889" w:type="dxa"/>
            <w:hideMark/>
          </w:tcPr>
          <w:p w14:paraId="7B087164" w14:textId="77777777" w:rsidR="009C3A63" w:rsidRPr="002A4185" w:rsidRDefault="009C3A63"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50µ</w:t>
            </w:r>
          </w:p>
        </w:tc>
      </w:tr>
      <w:tr w:rsidR="00F842AB" w:rsidRPr="002A4185" w14:paraId="18A39F60" w14:textId="77777777" w:rsidTr="00927887">
        <w:trPr>
          <w:trHeight w:val="435"/>
        </w:trPr>
        <w:tc>
          <w:tcPr>
            <w:tcW w:w="1281" w:type="dxa"/>
          </w:tcPr>
          <w:p w14:paraId="0F1C28AA" w14:textId="77777777" w:rsidR="00F842AB" w:rsidRPr="002A4185" w:rsidRDefault="00F842AB" w:rsidP="007C0EE9">
            <w:pPr>
              <w:spacing w:line="360" w:lineRule="auto"/>
              <w:jc w:val="both"/>
              <w:rPr>
                <w:rFonts w:ascii="Times New Roman" w:hAnsi="Times New Roman" w:cs="Times New Roman"/>
                <w:sz w:val="24"/>
                <w:szCs w:val="24"/>
              </w:rPr>
            </w:pPr>
          </w:p>
        </w:tc>
        <w:tc>
          <w:tcPr>
            <w:tcW w:w="1227" w:type="dxa"/>
          </w:tcPr>
          <w:p w14:paraId="4650B515" w14:textId="77777777" w:rsidR="00F842AB" w:rsidRPr="002A4185" w:rsidRDefault="00F842AB" w:rsidP="007C0EE9">
            <w:pPr>
              <w:spacing w:line="360" w:lineRule="auto"/>
              <w:jc w:val="both"/>
              <w:rPr>
                <w:rFonts w:ascii="Times New Roman" w:hAnsi="Times New Roman" w:cs="Times New Roman"/>
                <w:sz w:val="24"/>
                <w:szCs w:val="24"/>
              </w:rPr>
            </w:pPr>
          </w:p>
        </w:tc>
        <w:tc>
          <w:tcPr>
            <w:tcW w:w="1017" w:type="dxa"/>
          </w:tcPr>
          <w:p w14:paraId="213FD0BB" w14:textId="77777777" w:rsidR="00F842AB" w:rsidRPr="002A4185" w:rsidRDefault="00F842AB" w:rsidP="007C0EE9">
            <w:pPr>
              <w:spacing w:line="360" w:lineRule="auto"/>
              <w:jc w:val="both"/>
              <w:rPr>
                <w:rFonts w:ascii="Times New Roman" w:hAnsi="Times New Roman" w:cs="Times New Roman"/>
                <w:sz w:val="24"/>
                <w:szCs w:val="24"/>
              </w:rPr>
            </w:pPr>
          </w:p>
        </w:tc>
        <w:tc>
          <w:tcPr>
            <w:tcW w:w="2004" w:type="dxa"/>
          </w:tcPr>
          <w:p w14:paraId="28375134" w14:textId="77777777" w:rsidR="00F842AB" w:rsidRPr="002A4185" w:rsidRDefault="00F842AB" w:rsidP="007C0EE9">
            <w:pPr>
              <w:spacing w:line="360" w:lineRule="auto"/>
              <w:jc w:val="both"/>
              <w:rPr>
                <w:rFonts w:ascii="Times New Roman" w:hAnsi="Times New Roman" w:cs="Times New Roman"/>
                <w:sz w:val="24"/>
                <w:szCs w:val="24"/>
              </w:rPr>
            </w:pPr>
          </w:p>
        </w:tc>
        <w:tc>
          <w:tcPr>
            <w:tcW w:w="936" w:type="dxa"/>
          </w:tcPr>
          <w:p w14:paraId="6D33055D" w14:textId="77777777" w:rsidR="00F842AB" w:rsidRPr="002A4185" w:rsidRDefault="00F842AB" w:rsidP="007C0EE9">
            <w:pPr>
              <w:spacing w:line="360" w:lineRule="auto"/>
              <w:jc w:val="both"/>
              <w:rPr>
                <w:rFonts w:ascii="Times New Roman" w:hAnsi="Times New Roman" w:cs="Times New Roman"/>
                <w:sz w:val="24"/>
                <w:szCs w:val="24"/>
              </w:rPr>
            </w:pPr>
          </w:p>
        </w:tc>
        <w:tc>
          <w:tcPr>
            <w:tcW w:w="1422" w:type="dxa"/>
          </w:tcPr>
          <w:p w14:paraId="5961B9F1" w14:textId="77777777" w:rsidR="00F842AB" w:rsidRPr="002A4185" w:rsidRDefault="00F842AB" w:rsidP="007C0EE9">
            <w:pPr>
              <w:spacing w:line="360" w:lineRule="auto"/>
              <w:jc w:val="both"/>
              <w:rPr>
                <w:rFonts w:ascii="Times New Roman" w:hAnsi="Times New Roman" w:cs="Times New Roman"/>
                <w:sz w:val="24"/>
                <w:szCs w:val="24"/>
              </w:rPr>
            </w:pPr>
          </w:p>
        </w:tc>
        <w:tc>
          <w:tcPr>
            <w:tcW w:w="819" w:type="dxa"/>
          </w:tcPr>
          <w:p w14:paraId="152747D1" w14:textId="77777777" w:rsidR="00F842AB" w:rsidRPr="002A4185" w:rsidRDefault="00F842AB" w:rsidP="007C0EE9">
            <w:pPr>
              <w:spacing w:line="360" w:lineRule="auto"/>
              <w:jc w:val="both"/>
              <w:rPr>
                <w:rFonts w:ascii="Times New Roman" w:hAnsi="Times New Roman" w:cs="Times New Roman"/>
                <w:sz w:val="24"/>
                <w:szCs w:val="24"/>
              </w:rPr>
            </w:pPr>
          </w:p>
        </w:tc>
        <w:tc>
          <w:tcPr>
            <w:tcW w:w="889" w:type="dxa"/>
          </w:tcPr>
          <w:p w14:paraId="1EFADAAB" w14:textId="77777777" w:rsidR="00F842AB" w:rsidRPr="002A4185" w:rsidRDefault="00F842AB" w:rsidP="007C0EE9">
            <w:pPr>
              <w:spacing w:line="360" w:lineRule="auto"/>
              <w:jc w:val="both"/>
              <w:rPr>
                <w:rFonts w:ascii="Times New Roman" w:hAnsi="Times New Roman" w:cs="Times New Roman"/>
                <w:sz w:val="24"/>
                <w:szCs w:val="24"/>
              </w:rPr>
            </w:pPr>
          </w:p>
        </w:tc>
      </w:tr>
    </w:tbl>
    <w:p w14:paraId="25F6ED33" w14:textId="28B69952" w:rsidR="00D83691" w:rsidRPr="002A4185" w:rsidRDefault="00D83691" w:rsidP="007C0EE9">
      <w:pPr>
        <w:spacing w:line="360" w:lineRule="auto"/>
        <w:jc w:val="both"/>
        <w:rPr>
          <w:rFonts w:ascii="Times New Roman" w:hAnsi="Times New Roman" w:cs="Times New Roman"/>
          <w:b/>
          <w:sz w:val="24"/>
          <w:szCs w:val="24"/>
        </w:rPr>
      </w:pPr>
    </w:p>
    <w:p w14:paraId="0024B782" w14:textId="1AA79274" w:rsidR="00F842AB" w:rsidRPr="002A4185" w:rsidRDefault="00F842AB" w:rsidP="007C0EE9">
      <w:pPr>
        <w:spacing w:line="360" w:lineRule="auto"/>
        <w:jc w:val="both"/>
        <w:rPr>
          <w:rFonts w:ascii="Times New Roman" w:hAnsi="Times New Roman" w:cs="Times New Roman"/>
          <w:b/>
          <w:sz w:val="24"/>
          <w:szCs w:val="24"/>
        </w:rPr>
      </w:pPr>
    </w:p>
    <w:p w14:paraId="3234C29B" w14:textId="342716E2" w:rsidR="000D08CF" w:rsidRPr="002A4185" w:rsidRDefault="00F842AB" w:rsidP="007C0EE9">
      <w:pPr>
        <w:spacing w:line="360" w:lineRule="auto"/>
        <w:jc w:val="both"/>
        <w:rPr>
          <w:rFonts w:ascii="Times New Roman" w:hAnsi="Times New Roman" w:cs="Times New Roman"/>
          <w:sz w:val="24"/>
          <w:szCs w:val="24"/>
        </w:rPr>
      </w:pPr>
      <w:r w:rsidRPr="002A4185">
        <w:rPr>
          <w:rFonts w:ascii="Times New Roman" w:hAnsi="Times New Roman" w:cs="Times New Roman"/>
          <w:b/>
          <w:sz w:val="24"/>
          <w:szCs w:val="24"/>
        </w:rPr>
        <w:t xml:space="preserve">3.3 </w:t>
      </w:r>
      <w:r w:rsidR="000D08CF" w:rsidRPr="002A4185">
        <w:rPr>
          <w:rFonts w:ascii="Times New Roman" w:hAnsi="Times New Roman" w:cs="Times New Roman"/>
          <w:b/>
          <w:sz w:val="24"/>
          <w:szCs w:val="24"/>
        </w:rPr>
        <w:t>Fourier Transform Infrared Spectroscopy Analysis</w:t>
      </w:r>
    </w:p>
    <w:p w14:paraId="6A87CA9E" w14:textId="77777777" w:rsidR="000D08CF" w:rsidRPr="002A4185" w:rsidRDefault="000D08CF" w:rsidP="007C0EE9">
      <w:pPr>
        <w:spacing w:line="360" w:lineRule="auto"/>
        <w:jc w:val="both"/>
        <w:rPr>
          <w:rFonts w:ascii="Times New Roman" w:hAnsi="Times New Roman" w:cs="Times New Roman"/>
          <w:b/>
          <w:sz w:val="24"/>
          <w:szCs w:val="24"/>
        </w:rPr>
      </w:pPr>
      <w:r w:rsidRPr="002A4185">
        <w:rPr>
          <w:rFonts w:ascii="Times New Roman" w:hAnsi="Times New Roman" w:cs="Times New Roman"/>
          <w:b/>
          <w:sz w:val="24"/>
          <w:szCs w:val="24"/>
        </w:rPr>
        <w:t>Table 4 Characterized component of Fourier Transform Infrared Spectroscopy</w:t>
      </w:r>
    </w:p>
    <w:p w14:paraId="0CF679B3" w14:textId="18C68348" w:rsidR="00D83691" w:rsidRPr="002A4185" w:rsidRDefault="000D08CF" w:rsidP="007C0EE9">
      <w:pPr>
        <w:spacing w:before="100" w:beforeAutospacing="1" w:after="100" w:afterAutospacing="1" w:line="360" w:lineRule="auto"/>
        <w:jc w:val="both"/>
        <w:rPr>
          <w:rFonts w:ascii="Times New Roman" w:eastAsia="Times New Roman" w:hAnsi="Times New Roman" w:cs="Times New Roman"/>
          <w:sz w:val="24"/>
          <w:szCs w:val="24"/>
          <w:lang w:eastAsia="en-GB"/>
        </w:rPr>
      </w:pPr>
      <w:r w:rsidRPr="002A4185">
        <w:rPr>
          <w:rFonts w:ascii="Times New Roman" w:hAnsi="Times New Roman" w:cs="Times New Roman"/>
          <w:sz w:val="24"/>
          <w:szCs w:val="24"/>
        </w:rPr>
        <w:t xml:space="preserve">  </w:t>
      </w:r>
      <w:r w:rsidR="00D83691" w:rsidRPr="002A4185">
        <w:rPr>
          <w:rFonts w:ascii="Times New Roman" w:eastAsia="Times New Roman" w:hAnsi="Times New Roman" w:cs="Times New Roman"/>
          <w:sz w:val="24"/>
          <w:szCs w:val="24"/>
          <w:lang w:eastAsia="en-GB"/>
        </w:rPr>
        <w:t xml:space="preserve">The FTIR spectral analysis of </w:t>
      </w:r>
      <w:r w:rsidR="000256D2" w:rsidRPr="000256D2">
        <w:rPr>
          <w:rFonts w:ascii="Times New Roman" w:eastAsia="Times New Roman" w:hAnsi="Times New Roman" w:cs="Times New Roman"/>
          <w:i/>
          <w:iCs/>
          <w:sz w:val="24"/>
          <w:szCs w:val="24"/>
          <w:lang w:eastAsia="en-GB"/>
        </w:rPr>
        <w:t xml:space="preserve">G. sepium </w:t>
      </w:r>
      <w:r w:rsidR="000256D2" w:rsidRPr="002A4185">
        <w:rPr>
          <w:rFonts w:ascii="Times New Roman" w:eastAsia="Times New Roman" w:hAnsi="Times New Roman" w:cs="Times New Roman"/>
          <w:sz w:val="24"/>
          <w:szCs w:val="24"/>
          <w:lang w:eastAsia="en-GB"/>
        </w:rPr>
        <w:t>leaf</w:t>
      </w:r>
      <w:r w:rsidR="00D83691" w:rsidRPr="002A4185">
        <w:rPr>
          <w:rFonts w:ascii="Times New Roman" w:eastAsia="Times New Roman" w:hAnsi="Times New Roman" w:cs="Times New Roman"/>
          <w:sz w:val="24"/>
          <w:szCs w:val="24"/>
          <w:lang w:eastAsia="en-GB"/>
        </w:rPr>
        <w:t xml:space="preserve"> extract revealed characteristic peaks corresponding to </w:t>
      </w:r>
      <w:r w:rsidR="00D83691" w:rsidRPr="002A4185">
        <w:rPr>
          <w:rFonts w:ascii="Times New Roman" w:eastAsia="Times New Roman" w:hAnsi="Times New Roman" w:cs="Times New Roman"/>
          <w:b/>
          <w:bCs/>
          <w:sz w:val="24"/>
          <w:szCs w:val="24"/>
          <w:lang w:eastAsia="en-GB"/>
        </w:rPr>
        <w:t>hydroxyl groups (-OH)</w:t>
      </w:r>
      <w:r w:rsidR="00D83691" w:rsidRPr="002A4185">
        <w:rPr>
          <w:rFonts w:ascii="Times New Roman" w:eastAsia="Times New Roman" w:hAnsi="Times New Roman" w:cs="Times New Roman"/>
          <w:sz w:val="24"/>
          <w:szCs w:val="24"/>
          <w:lang w:eastAsia="en-GB"/>
        </w:rPr>
        <w:t xml:space="preserve">, </w:t>
      </w:r>
      <w:r w:rsidR="00D83691" w:rsidRPr="002A4185">
        <w:rPr>
          <w:rFonts w:ascii="Times New Roman" w:eastAsia="Times New Roman" w:hAnsi="Times New Roman" w:cs="Times New Roman"/>
          <w:b/>
          <w:bCs/>
          <w:sz w:val="24"/>
          <w:szCs w:val="24"/>
          <w:lang w:eastAsia="en-GB"/>
        </w:rPr>
        <w:t>alkanes (C–H)</w:t>
      </w:r>
      <w:r w:rsidR="00D83691" w:rsidRPr="002A4185">
        <w:rPr>
          <w:rFonts w:ascii="Times New Roman" w:eastAsia="Times New Roman" w:hAnsi="Times New Roman" w:cs="Times New Roman"/>
          <w:sz w:val="24"/>
          <w:szCs w:val="24"/>
          <w:lang w:eastAsia="en-GB"/>
        </w:rPr>
        <w:t xml:space="preserve">, </w:t>
      </w:r>
      <w:r w:rsidR="00D83691" w:rsidRPr="002A4185">
        <w:rPr>
          <w:rFonts w:ascii="Times New Roman" w:eastAsia="Times New Roman" w:hAnsi="Times New Roman" w:cs="Times New Roman"/>
          <w:b/>
          <w:bCs/>
          <w:sz w:val="24"/>
          <w:szCs w:val="24"/>
          <w:lang w:eastAsia="en-GB"/>
        </w:rPr>
        <w:t>amines (N–H)</w:t>
      </w:r>
      <w:r w:rsidR="00D83691" w:rsidRPr="002A4185">
        <w:rPr>
          <w:rFonts w:ascii="Times New Roman" w:eastAsia="Times New Roman" w:hAnsi="Times New Roman" w:cs="Times New Roman"/>
          <w:sz w:val="24"/>
          <w:szCs w:val="24"/>
          <w:lang w:eastAsia="en-GB"/>
        </w:rPr>
        <w:t xml:space="preserve">, </w:t>
      </w:r>
      <w:r w:rsidR="00D83691" w:rsidRPr="002A4185">
        <w:rPr>
          <w:rFonts w:ascii="Times New Roman" w:eastAsia="Times New Roman" w:hAnsi="Times New Roman" w:cs="Times New Roman"/>
          <w:b/>
          <w:bCs/>
          <w:sz w:val="24"/>
          <w:szCs w:val="24"/>
          <w:lang w:eastAsia="en-GB"/>
        </w:rPr>
        <w:t>aromatic rings (C=C)</w:t>
      </w:r>
      <w:r w:rsidR="00D83691" w:rsidRPr="002A4185">
        <w:rPr>
          <w:rFonts w:ascii="Times New Roman" w:eastAsia="Times New Roman" w:hAnsi="Times New Roman" w:cs="Times New Roman"/>
          <w:sz w:val="24"/>
          <w:szCs w:val="24"/>
          <w:lang w:eastAsia="en-GB"/>
        </w:rPr>
        <w:t xml:space="preserve">, and </w:t>
      </w:r>
      <w:r w:rsidR="00D83691" w:rsidRPr="002A4185">
        <w:rPr>
          <w:rFonts w:ascii="Times New Roman" w:eastAsia="Times New Roman" w:hAnsi="Times New Roman" w:cs="Times New Roman"/>
          <w:b/>
          <w:bCs/>
          <w:sz w:val="24"/>
          <w:szCs w:val="24"/>
          <w:lang w:eastAsia="en-GB"/>
        </w:rPr>
        <w:t>alkyl halides (C–X)</w:t>
      </w:r>
      <w:r w:rsidR="00D83691" w:rsidRPr="002A4185">
        <w:rPr>
          <w:rFonts w:ascii="Times New Roman" w:eastAsia="Times New Roman" w:hAnsi="Times New Roman" w:cs="Times New Roman"/>
          <w:sz w:val="24"/>
          <w:szCs w:val="24"/>
          <w:lang w:eastAsia="en-GB"/>
        </w:rPr>
        <w:t>. These functional groups are commonly associated with biologically active compounds that contribute to antimicrobial activity through various mechanisms.</w:t>
      </w:r>
    </w:p>
    <w:p w14:paraId="4009C7F3" w14:textId="66A77608" w:rsidR="000D08CF" w:rsidRPr="002A4185" w:rsidRDefault="000D08CF" w:rsidP="007C0EE9">
      <w:pPr>
        <w:spacing w:after="0" w:line="360" w:lineRule="auto"/>
        <w:jc w:val="both"/>
        <w:rPr>
          <w:rFonts w:ascii="Times New Roman" w:hAnsi="Times New Roman" w:cs="Times New Roman"/>
          <w:sz w:val="24"/>
          <w:szCs w:val="24"/>
        </w:rPr>
      </w:pPr>
      <w:r w:rsidRPr="002A4185">
        <w:rPr>
          <w:rFonts w:ascii="Times New Roman" w:hAnsi="Times New Roman" w:cs="Times New Roman"/>
          <w:noProof/>
          <w:sz w:val="24"/>
          <w:szCs w:val="24"/>
          <w:lang w:val="en-US"/>
        </w:rPr>
        <w:drawing>
          <wp:inline distT="0" distB="0" distL="0" distR="0" wp14:anchorId="7ECEA9D8" wp14:editId="5956B98E">
            <wp:extent cx="5943600" cy="2002155"/>
            <wp:effectExtent l="0" t="0" r="0" b="0"/>
            <wp:docPr id="999677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77296" name=""/>
                    <pic:cNvPicPr/>
                  </pic:nvPicPr>
                  <pic:blipFill>
                    <a:blip r:embed="rId6">
                      <a:extLst>
                        <a:ext uri="{BEBA8EAE-BF5A-486C-A8C5-ECC9F3942E4B}">
                          <a14:imgProps xmlns:a14="http://schemas.microsoft.com/office/drawing/2010/main">
                            <a14:imgLayer r:embed="rId7">
                              <a14:imgEffect>
                                <a14:sharpenSoften amount="50000"/>
                              </a14:imgEffect>
                            </a14:imgLayer>
                          </a14:imgProps>
                        </a:ext>
                      </a:extLst>
                    </a:blip>
                    <a:stretch>
                      <a:fillRect/>
                    </a:stretch>
                  </pic:blipFill>
                  <pic:spPr>
                    <a:xfrm>
                      <a:off x="0" y="0"/>
                      <a:ext cx="5943600" cy="2002155"/>
                    </a:xfrm>
                    <a:prstGeom prst="rect">
                      <a:avLst/>
                    </a:prstGeom>
                  </pic:spPr>
                </pic:pic>
              </a:graphicData>
            </a:graphic>
          </wp:inline>
        </w:drawing>
      </w:r>
    </w:p>
    <w:p w14:paraId="52489483" w14:textId="77777777" w:rsidR="000D08CF" w:rsidRPr="002A4185" w:rsidRDefault="000D08CF" w:rsidP="007C0EE9">
      <w:pPr>
        <w:spacing w:after="0" w:line="360" w:lineRule="auto"/>
        <w:jc w:val="both"/>
        <w:rPr>
          <w:rFonts w:ascii="Times New Roman" w:hAnsi="Times New Roman" w:cs="Times New Roman"/>
          <w:sz w:val="24"/>
          <w:szCs w:val="24"/>
        </w:rPr>
      </w:pPr>
      <w:r w:rsidRPr="002A4185">
        <w:rPr>
          <w:rFonts w:ascii="Times New Roman" w:hAnsi="Times New Roman" w:cs="Times New Roman"/>
          <w:noProof/>
          <w:sz w:val="24"/>
          <w:szCs w:val="24"/>
          <w:lang w:val="en-US"/>
        </w:rPr>
        <w:lastRenderedPageBreak/>
        <w:drawing>
          <wp:inline distT="0" distB="0" distL="0" distR="0" wp14:anchorId="6F19609D" wp14:editId="3B9C53AF">
            <wp:extent cx="5943600" cy="4008261"/>
            <wp:effectExtent l="0" t="0" r="0" b="0"/>
            <wp:docPr id="1038577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77459"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5943600" cy="4008261"/>
                    </a:xfrm>
                    <a:prstGeom prst="rect">
                      <a:avLst/>
                    </a:prstGeom>
                  </pic:spPr>
                </pic:pic>
              </a:graphicData>
            </a:graphic>
          </wp:inline>
        </w:drawing>
      </w:r>
    </w:p>
    <w:p w14:paraId="45763A42" w14:textId="68C1193F" w:rsidR="000D08CF" w:rsidRPr="002A4185" w:rsidRDefault="000D08CF" w:rsidP="007C0EE9">
      <w:pPr>
        <w:spacing w:after="0" w:line="360" w:lineRule="auto"/>
        <w:jc w:val="both"/>
        <w:rPr>
          <w:rFonts w:ascii="Times New Roman" w:hAnsi="Times New Roman" w:cs="Times New Roman"/>
          <w:i/>
          <w:iCs/>
          <w:sz w:val="24"/>
          <w:szCs w:val="24"/>
        </w:rPr>
      </w:pPr>
      <w:r w:rsidRPr="002A4185">
        <w:rPr>
          <w:rFonts w:ascii="Times New Roman" w:hAnsi="Times New Roman" w:cs="Times New Roman"/>
          <w:sz w:val="24"/>
          <w:szCs w:val="24"/>
        </w:rPr>
        <w:t xml:space="preserve">Figure 1: Infrared Spectrum of </w:t>
      </w:r>
      <w:r w:rsidR="000256D2" w:rsidRPr="000256D2">
        <w:rPr>
          <w:rFonts w:ascii="Times New Roman" w:hAnsi="Times New Roman" w:cs="Times New Roman"/>
          <w:i/>
          <w:iCs/>
          <w:sz w:val="24"/>
          <w:szCs w:val="24"/>
        </w:rPr>
        <w:t xml:space="preserve">G. sepium </w:t>
      </w:r>
    </w:p>
    <w:p w14:paraId="10AE49BE" w14:textId="094FBF11" w:rsidR="00F842AB" w:rsidRPr="002A4185" w:rsidRDefault="00F842AB" w:rsidP="007C0EE9">
      <w:pPr>
        <w:spacing w:after="0" w:line="360" w:lineRule="auto"/>
        <w:jc w:val="both"/>
        <w:rPr>
          <w:rFonts w:ascii="Times New Roman" w:hAnsi="Times New Roman" w:cs="Times New Roman"/>
          <w:i/>
          <w:iCs/>
          <w:sz w:val="24"/>
          <w:szCs w:val="24"/>
        </w:rPr>
      </w:pPr>
    </w:p>
    <w:p w14:paraId="536195C3" w14:textId="77777777" w:rsidR="00F842AB" w:rsidRPr="002A4185" w:rsidRDefault="00F842AB" w:rsidP="007C0EE9">
      <w:pPr>
        <w:spacing w:after="0" w:line="360" w:lineRule="auto"/>
        <w:jc w:val="both"/>
        <w:rPr>
          <w:rFonts w:ascii="Times New Roman" w:hAnsi="Times New Roman" w:cs="Times New Roman"/>
          <w:sz w:val="24"/>
          <w:szCs w:val="24"/>
        </w:rPr>
      </w:pPr>
    </w:p>
    <w:p w14:paraId="14C94D1F" w14:textId="3B8243E0" w:rsidR="000D08CF" w:rsidRPr="002A4185" w:rsidRDefault="00F842AB" w:rsidP="007C0EE9">
      <w:pPr>
        <w:spacing w:line="360" w:lineRule="auto"/>
        <w:jc w:val="both"/>
        <w:rPr>
          <w:rFonts w:ascii="Times New Roman" w:hAnsi="Times New Roman" w:cs="Times New Roman"/>
          <w:b/>
          <w:i/>
          <w:iCs/>
          <w:sz w:val="24"/>
          <w:szCs w:val="24"/>
        </w:rPr>
      </w:pPr>
      <w:r w:rsidRPr="002A4185">
        <w:rPr>
          <w:rFonts w:ascii="Times New Roman" w:hAnsi="Times New Roman" w:cs="Times New Roman"/>
          <w:b/>
          <w:sz w:val="24"/>
          <w:szCs w:val="24"/>
        </w:rPr>
        <w:t xml:space="preserve">3.4 </w:t>
      </w:r>
      <w:r w:rsidR="000D08CF" w:rsidRPr="002A4185">
        <w:rPr>
          <w:rFonts w:ascii="Times New Roman" w:hAnsi="Times New Roman" w:cs="Times New Roman"/>
          <w:b/>
          <w:sz w:val="24"/>
          <w:szCs w:val="24"/>
        </w:rPr>
        <w:t xml:space="preserve">    Result For GC-MS Analysis for </w:t>
      </w:r>
      <w:r w:rsidR="000256D2" w:rsidRPr="000256D2">
        <w:rPr>
          <w:rFonts w:ascii="Times New Roman" w:hAnsi="Times New Roman" w:cs="Times New Roman"/>
          <w:b/>
          <w:i/>
          <w:iCs/>
          <w:sz w:val="24"/>
          <w:szCs w:val="24"/>
        </w:rPr>
        <w:t xml:space="preserve">G. sepium </w:t>
      </w:r>
    </w:p>
    <w:p w14:paraId="09A04D2C" w14:textId="6FE409C5"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 xml:space="preserve">Chromatography is an important analytical tool that allows for the separation of component in a gas mixture. GC-MS results revealed that 14 phytocomponents were identified </w:t>
      </w:r>
      <w:r w:rsidR="000256D2" w:rsidRPr="000256D2">
        <w:rPr>
          <w:rFonts w:ascii="Times New Roman" w:hAnsi="Times New Roman" w:cs="Times New Roman"/>
          <w:bCs/>
          <w:i/>
          <w:iCs/>
          <w:sz w:val="24"/>
          <w:szCs w:val="24"/>
        </w:rPr>
        <w:t xml:space="preserve">G. sepium </w:t>
      </w:r>
      <w:r w:rsidR="000256D2" w:rsidRPr="002A4185">
        <w:rPr>
          <w:rFonts w:ascii="Times New Roman" w:hAnsi="Times New Roman" w:cs="Times New Roman"/>
          <w:bCs/>
          <w:sz w:val="24"/>
          <w:szCs w:val="24"/>
        </w:rPr>
        <w:t>respectively</w:t>
      </w:r>
      <w:r w:rsidRPr="002A4185">
        <w:rPr>
          <w:rFonts w:ascii="Times New Roman" w:hAnsi="Times New Roman" w:cs="Times New Roman"/>
          <w:bCs/>
          <w:sz w:val="24"/>
          <w:szCs w:val="24"/>
        </w:rPr>
        <w:t>. It was observed that the presence of Cyclohexane, methyl-, Toluene, Hexanal, 2H</w:t>
      </w:r>
      <w:r w:rsidR="00211561" w:rsidRPr="002A4185">
        <w:rPr>
          <w:rFonts w:ascii="Times New Roman" w:hAnsi="Times New Roman" w:cs="Times New Roman"/>
          <w:bCs/>
          <w:sz w:val="24"/>
          <w:szCs w:val="24"/>
        </w:rPr>
        <w:t>-1</w:t>
      </w:r>
      <w:r w:rsidRPr="002A4185">
        <w:rPr>
          <w:rFonts w:ascii="Times New Roman" w:hAnsi="Times New Roman" w:cs="Times New Roman"/>
          <w:bCs/>
          <w:sz w:val="24"/>
          <w:szCs w:val="24"/>
        </w:rPr>
        <w:t>-Benzopyran, 3,4-dihydro-, 5,9-Undecadien-2-one, 6,10-dimethyl-, (E)-, cis,cis,cis-7,10,13-Hexadecatrienal, n-</w:t>
      </w:r>
      <w:proofErr w:type="spellStart"/>
      <w:r w:rsidRPr="002A4185">
        <w:rPr>
          <w:rFonts w:ascii="Times New Roman" w:hAnsi="Times New Roman" w:cs="Times New Roman"/>
          <w:bCs/>
          <w:sz w:val="24"/>
          <w:szCs w:val="24"/>
        </w:rPr>
        <w:t>Hexadecanoic</w:t>
      </w:r>
      <w:proofErr w:type="spellEnd"/>
      <w:r w:rsidRPr="002A4185">
        <w:rPr>
          <w:rFonts w:ascii="Times New Roman" w:hAnsi="Times New Roman" w:cs="Times New Roman"/>
          <w:bCs/>
          <w:sz w:val="24"/>
          <w:szCs w:val="24"/>
        </w:rPr>
        <w:t xml:space="preserve"> acid, </w:t>
      </w:r>
      <w:proofErr w:type="spellStart"/>
      <w:r w:rsidRPr="002A4185">
        <w:rPr>
          <w:rFonts w:ascii="Times New Roman" w:hAnsi="Times New Roman" w:cs="Times New Roman"/>
          <w:bCs/>
          <w:sz w:val="24"/>
          <w:szCs w:val="24"/>
        </w:rPr>
        <w:t>Hexahydrofarnesyl</w:t>
      </w:r>
      <w:proofErr w:type="spellEnd"/>
      <w:r w:rsidRPr="002A4185">
        <w:rPr>
          <w:rFonts w:ascii="Times New Roman" w:hAnsi="Times New Roman" w:cs="Times New Roman"/>
          <w:bCs/>
          <w:sz w:val="24"/>
          <w:szCs w:val="24"/>
        </w:rPr>
        <w:t xml:space="preserve"> acetone, Phytol, </w:t>
      </w:r>
      <w:proofErr w:type="spellStart"/>
      <w:r w:rsidRPr="002A4185">
        <w:rPr>
          <w:rFonts w:ascii="Times New Roman" w:hAnsi="Times New Roman" w:cs="Times New Roman"/>
          <w:bCs/>
          <w:sz w:val="24"/>
          <w:szCs w:val="24"/>
        </w:rPr>
        <w:t>Heneicosane</w:t>
      </w:r>
      <w:proofErr w:type="spellEnd"/>
      <w:r w:rsidRPr="002A4185">
        <w:rPr>
          <w:rFonts w:ascii="Times New Roman" w:hAnsi="Times New Roman" w:cs="Times New Roman"/>
          <w:bCs/>
          <w:sz w:val="24"/>
          <w:szCs w:val="24"/>
        </w:rPr>
        <w:t>, Octadecanoic acid, 3,7,11,15- Tetramethyl-2-hexadecen1-ol, 8,11,14-Eicosatrienoic acid, (Z,Z,Z)-, Lup-20(29)-en-3-ol, acetate, (3β)-.</w:t>
      </w:r>
    </w:p>
    <w:p w14:paraId="65BD3938" w14:textId="77777777" w:rsidR="000D08CF" w:rsidRPr="002A4185" w:rsidRDefault="000D08CF" w:rsidP="007C0EE9">
      <w:pPr>
        <w:spacing w:line="360" w:lineRule="auto"/>
        <w:jc w:val="both"/>
        <w:rPr>
          <w:rFonts w:ascii="Times New Roman" w:hAnsi="Times New Roman" w:cs="Times New Roman"/>
          <w:b/>
          <w:sz w:val="24"/>
          <w:szCs w:val="24"/>
        </w:rPr>
      </w:pPr>
      <w:r w:rsidRPr="002A4185">
        <w:rPr>
          <w:rFonts w:ascii="Times New Roman" w:hAnsi="Times New Roman" w:cs="Times New Roman"/>
          <w:b/>
          <w:sz w:val="24"/>
          <w:szCs w:val="24"/>
        </w:rPr>
        <w:t>Table 5 Characterized Component of Gas Chromatography and Mass Spectrometry</w:t>
      </w:r>
    </w:p>
    <w:tbl>
      <w:tblPr>
        <w:tblStyle w:val="TableGrid"/>
        <w:tblW w:w="10633" w:type="dxa"/>
        <w:tblInd w:w="-43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4"/>
        <w:gridCol w:w="836"/>
        <w:gridCol w:w="2131"/>
        <w:gridCol w:w="1223"/>
        <w:gridCol w:w="769"/>
        <w:gridCol w:w="836"/>
        <w:gridCol w:w="885"/>
        <w:gridCol w:w="1080"/>
        <w:gridCol w:w="2119"/>
      </w:tblGrid>
      <w:tr w:rsidR="000D08CF" w:rsidRPr="002A4185" w14:paraId="1A38105B" w14:textId="77777777" w:rsidTr="00927887">
        <w:tc>
          <w:tcPr>
            <w:tcW w:w="754" w:type="dxa"/>
            <w:tcBorders>
              <w:top w:val="single" w:sz="4" w:space="0" w:color="auto"/>
              <w:bottom w:val="single" w:sz="4" w:space="0" w:color="auto"/>
            </w:tcBorders>
          </w:tcPr>
          <w:p w14:paraId="274907F1" w14:textId="77777777" w:rsidR="000D08CF" w:rsidRPr="002A4185" w:rsidRDefault="000D08CF" w:rsidP="007C0EE9">
            <w:pPr>
              <w:spacing w:line="360" w:lineRule="auto"/>
              <w:jc w:val="both"/>
              <w:rPr>
                <w:rFonts w:ascii="Times New Roman" w:hAnsi="Times New Roman" w:cs="Times New Roman"/>
                <w:b/>
                <w:bCs/>
                <w:sz w:val="24"/>
                <w:szCs w:val="24"/>
              </w:rPr>
            </w:pPr>
            <w:r w:rsidRPr="002A4185">
              <w:rPr>
                <w:rFonts w:ascii="Times New Roman" w:hAnsi="Times New Roman" w:cs="Times New Roman"/>
                <w:b/>
                <w:sz w:val="24"/>
                <w:szCs w:val="24"/>
              </w:rPr>
              <w:t>Peak</w:t>
            </w:r>
          </w:p>
        </w:tc>
        <w:tc>
          <w:tcPr>
            <w:tcW w:w="836" w:type="dxa"/>
            <w:tcBorders>
              <w:top w:val="single" w:sz="4" w:space="0" w:color="auto"/>
              <w:bottom w:val="single" w:sz="4" w:space="0" w:color="auto"/>
            </w:tcBorders>
          </w:tcPr>
          <w:p w14:paraId="37C25FEC" w14:textId="77777777" w:rsidR="000D08CF" w:rsidRPr="002A4185" w:rsidRDefault="000D08CF" w:rsidP="007C0EE9">
            <w:pPr>
              <w:spacing w:line="360" w:lineRule="auto"/>
              <w:jc w:val="both"/>
              <w:rPr>
                <w:rFonts w:ascii="Times New Roman" w:hAnsi="Times New Roman" w:cs="Times New Roman"/>
                <w:b/>
                <w:bCs/>
                <w:sz w:val="24"/>
                <w:szCs w:val="24"/>
              </w:rPr>
            </w:pPr>
            <w:r w:rsidRPr="002A4185">
              <w:rPr>
                <w:rFonts w:ascii="Times New Roman" w:hAnsi="Times New Roman" w:cs="Times New Roman"/>
                <w:b/>
                <w:sz w:val="24"/>
                <w:szCs w:val="24"/>
              </w:rPr>
              <w:t>R</w:t>
            </w:r>
          </w:p>
        </w:tc>
        <w:tc>
          <w:tcPr>
            <w:tcW w:w="2131" w:type="dxa"/>
            <w:tcBorders>
              <w:top w:val="single" w:sz="4" w:space="0" w:color="auto"/>
              <w:bottom w:val="single" w:sz="4" w:space="0" w:color="auto"/>
            </w:tcBorders>
          </w:tcPr>
          <w:p w14:paraId="36E6C37E" w14:textId="77777777" w:rsidR="000D08CF" w:rsidRPr="002A4185" w:rsidRDefault="000D08CF" w:rsidP="007C0EE9">
            <w:pPr>
              <w:spacing w:line="360" w:lineRule="auto"/>
              <w:jc w:val="both"/>
              <w:rPr>
                <w:rFonts w:ascii="Times New Roman" w:hAnsi="Times New Roman" w:cs="Times New Roman"/>
                <w:b/>
                <w:bCs/>
                <w:sz w:val="24"/>
                <w:szCs w:val="24"/>
              </w:rPr>
            </w:pPr>
            <w:r w:rsidRPr="002A4185">
              <w:rPr>
                <w:rFonts w:ascii="Times New Roman" w:hAnsi="Times New Roman" w:cs="Times New Roman"/>
                <w:b/>
                <w:sz w:val="24"/>
                <w:szCs w:val="24"/>
              </w:rPr>
              <w:t>Name of Compound</w:t>
            </w:r>
          </w:p>
        </w:tc>
        <w:tc>
          <w:tcPr>
            <w:tcW w:w="1223" w:type="dxa"/>
            <w:tcBorders>
              <w:top w:val="single" w:sz="4" w:space="0" w:color="auto"/>
              <w:bottom w:val="single" w:sz="4" w:space="0" w:color="auto"/>
            </w:tcBorders>
          </w:tcPr>
          <w:p w14:paraId="4DE67BAF" w14:textId="77777777" w:rsidR="000D08CF" w:rsidRPr="002A4185" w:rsidRDefault="000D08CF" w:rsidP="007C0EE9">
            <w:pPr>
              <w:spacing w:line="360" w:lineRule="auto"/>
              <w:jc w:val="both"/>
              <w:rPr>
                <w:rFonts w:ascii="Times New Roman" w:hAnsi="Times New Roman" w:cs="Times New Roman"/>
                <w:b/>
                <w:bCs/>
                <w:sz w:val="24"/>
                <w:szCs w:val="24"/>
              </w:rPr>
            </w:pPr>
            <w:r w:rsidRPr="002A4185">
              <w:rPr>
                <w:rFonts w:ascii="Times New Roman" w:hAnsi="Times New Roman" w:cs="Times New Roman"/>
                <w:b/>
                <w:bCs/>
                <w:sz w:val="24"/>
                <w:szCs w:val="24"/>
              </w:rPr>
              <w:t>M. Formula</w:t>
            </w:r>
          </w:p>
        </w:tc>
        <w:tc>
          <w:tcPr>
            <w:tcW w:w="769" w:type="dxa"/>
            <w:tcBorders>
              <w:top w:val="single" w:sz="4" w:space="0" w:color="auto"/>
              <w:bottom w:val="single" w:sz="4" w:space="0" w:color="auto"/>
            </w:tcBorders>
          </w:tcPr>
          <w:p w14:paraId="1E23CA48" w14:textId="77777777" w:rsidR="000D08CF" w:rsidRPr="002A4185" w:rsidRDefault="000D08CF" w:rsidP="007C0EE9">
            <w:pPr>
              <w:spacing w:line="360" w:lineRule="auto"/>
              <w:jc w:val="both"/>
              <w:rPr>
                <w:rFonts w:ascii="Times New Roman" w:hAnsi="Times New Roman" w:cs="Times New Roman"/>
                <w:b/>
                <w:bCs/>
                <w:sz w:val="24"/>
                <w:szCs w:val="24"/>
              </w:rPr>
            </w:pPr>
            <w:r w:rsidRPr="002A4185">
              <w:rPr>
                <w:rFonts w:ascii="Times New Roman" w:hAnsi="Times New Roman" w:cs="Times New Roman"/>
                <w:b/>
                <w:sz w:val="24"/>
                <w:szCs w:val="24"/>
              </w:rPr>
              <w:t>M. Mass</w:t>
            </w:r>
          </w:p>
        </w:tc>
        <w:tc>
          <w:tcPr>
            <w:tcW w:w="836" w:type="dxa"/>
            <w:tcBorders>
              <w:top w:val="single" w:sz="4" w:space="0" w:color="auto"/>
              <w:bottom w:val="single" w:sz="4" w:space="0" w:color="auto"/>
            </w:tcBorders>
          </w:tcPr>
          <w:p w14:paraId="5E140099" w14:textId="77777777" w:rsidR="000D08CF" w:rsidRPr="002A4185" w:rsidRDefault="000D08CF" w:rsidP="007C0EE9">
            <w:pPr>
              <w:spacing w:line="360" w:lineRule="auto"/>
              <w:jc w:val="both"/>
              <w:rPr>
                <w:rFonts w:ascii="Times New Roman" w:hAnsi="Times New Roman" w:cs="Times New Roman"/>
                <w:b/>
                <w:bCs/>
                <w:sz w:val="24"/>
                <w:szCs w:val="24"/>
              </w:rPr>
            </w:pPr>
            <w:r w:rsidRPr="002A4185">
              <w:rPr>
                <w:rFonts w:ascii="Times New Roman" w:hAnsi="Times New Roman" w:cs="Times New Roman"/>
                <w:b/>
                <w:sz w:val="24"/>
                <w:szCs w:val="24"/>
              </w:rPr>
              <w:t>Peak Area (%)</w:t>
            </w:r>
          </w:p>
        </w:tc>
        <w:tc>
          <w:tcPr>
            <w:tcW w:w="885" w:type="dxa"/>
            <w:tcBorders>
              <w:top w:val="single" w:sz="4" w:space="0" w:color="auto"/>
              <w:bottom w:val="single" w:sz="4" w:space="0" w:color="auto"/>
            </w:tcBorders>
          </w:tcPr>
          <w:p w14:paraId="48F702FB" w14:textId="4D79A166" w:rsidR="000D08CF" w:rsidRPr="002A4185" w:rsidRDefault="000D08CF" w:rsidP="007C0EE9">
            <w:pPr>
              <w:spacing w:line="360" w:lineRule="auto"/>
              <w:jc w:val="both"/>
              <w:rPr>
                <w:rFonts w:ascii="Times New Roman" w:hAnsi="Times New Roman" w:cs="Times New Roman"/>
                <w:b/>
                <w:sz w:val="24"/>
                <w:szCs w:val="24"/>
              </w:rPr>
            </w:pPr>
            <w:r w:rsidRPr="002A4185">
              <w:rPr>
                <w:rFonts w:ascii="Times New Roman" w:hAnsi="Times New Roman" w:cs="Times New Roman"/>
                <w:b/>
                <w:sz w:val="24"/>
                <w:szCs w:val="24"/>
              </w:rPr>
              <w:t>% Comp</w:t>
            </w:r>
          </w:p>
        </w:tc>
        <w:tc>
          <w:tcPr>
            <w:tcW w:w="1080" w:type="dxa"/>
            <w:tcBorders>
              <w:top w:val="single" w:sz="4" w:space="0" w:color="auto"/>
              <w:bottom w:val="single" w:sz="4" w:space="0" w:color="auto"/>
            </w:tcBorders>
          </w:tcPr>
          <w:p w14:paraId="544BC307" w14:textId="0BD38B80" w:rsidR="000D08CF" w:rsidRPr="002A4185" w:rsidRDefault="000D08CF" w:rsidP="007C0EE9">
            <w:pPr>
              <w:spacing w:line="360" w:lineRule="auto"/>
              <w:jc w:val="both"/>
              <w:rPr>
                <w:rFonts w:ascii="Times New Roman" w:hAnsi="Times New Roman" w:cs="Times New Roman"/>
                <w:b/>
                <w:sz w:val="24"/>
                <w:szCs w:val="24"/>
              </w:rPr>
            </w:pPr>
            <w:r w:rsidRPr="002A4185">
              <w:rPr>
                <w:rFonts w:ascii="Times New Roman" w:hAnsi="Times New Roman" w:cs="Times New Roman"/>
                <w:b/>
                <w:sz w:val="24"/>
                <w:szCs w:val="24"/>
              </w:rPr>
              <w:t>Mass frag m/z</w:t>
            </w:r>
          </w:p>
        </w:tc>
        <w:tc>
          <w:tcPr>
            <w:tcW w:w="2119" w:type="dxa"/>
            <w:tcBorders>
              <w:top w:val="single" w:sz="4" w:space="0" w:color="auto"/>
              <w:bottom w:val="single" w:sz="4" w:space="0" w:color="auto"/>
            </w:tcBorders>
          </w:tcPr>
          <w:p w14:paraId="7985B9DB" w14:textId="77777777" w:rsidR="000D08CF" w:rsidRPr="002A4185" w:rsidRDefault="000D08CF" w:rsidP="007C0EE9">
            <w:pPr>
              <w:spacing w:line="360" w:lineRule="auto"/>
              <w:jc w:val="both"/>
              <w:rPr>
                <w:rFonts w:ascii="Times New Roman" w:hAnsi="Times New Roman" w:cs="Times New Roman"/>
                <w:b/>
                <w:bCs/>
                <w:sz w:val="24"/>
                <w:szCs w:val="24"/>
              </w:rPr>
            </w:pPr>
            <w:r w:rsidRPr="002A4185">
              <w:rPr>
                <w:rFonts w:ascii="Times New Roman" w:hAnsi="Times New Roman" w:cs="Times New Roman"/>
                <w:b/>
                <w:sz w:val="24"/>
                <w:szCs w:val="24"/>
              </w:rPr>
              <w:t>Structure</w:t>
            </w:r>
          </w:p>
        </w:tc>
      </w:tr>
      <w:tr w:rsidR="000D08CF" w:rsidRPr="002A4185" w14:paraId="744F96E8" w14:textId="77777777" w:rsidTr="00927887">
        <w:trPr>
          <w:trHeight w:val="878"/>
        </w:trPr>
        <w:tc>
          <w:tcPr>
            <w:tcW w:w="754" w:type="dxa"/>
            <w:tcBorders>
              <w:top w:val="single" w:sz="4" w:space="0" w:color="auto"/>
            </w:tcBorders>
          </w:tcPr>
          <w:p w14:paraId="73D82808"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lastRenderedPageBreak/>
              <w:t>1</w:t>
            </w:r>
          </w:p>
        </w:tc>
        <w:tc>
          <w:tcPr>
            <w:tcW w:w="836" w:type="dxa"/>
            <w:tcBorders>
              <w:top w:val="single" w:sz="4" w:space="0" w:color="auto"/>
            </w:tcBorders>
          </w:tcPr>
          <w:p w14:paraId="4684A4DB"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3.81</w:t>
            </w:r>
          </w:p>
        </w:tc>
        <w:tc>
          <w:tcPr>
            <w:tcW w:w="2131" w:type="dxa"/>
            <w:tcBorders>
              <w:top w:val="single" w:sz="4" w:space="0" w:color="auto"/>
            </w:tcBorders>
          </w:tcPr>
          <w:p w14:paraId="69B53967" w14:textId="77777777" w:rsidR="000D08CF" w:rsidRPr="002A4185" w:rsidRDefault="000D08CF" w:rsidP="007C0EE9">
            <w:pPr>
              <w:spacing w:line="360" w:lineRule="auto"/>
              <w:jc w:val="both"/>
              <w:rPr>
                <w:rFonts w:ascii="Times New Roman" w:hAnsi="Times New Roman" w:cs="Times New Roman"/>
                <w:bCs/>
                <w:sz w:val="24"/>
                <w:szCs w:val="24"/>
              </w:rPr>
            </w:pPr>
            <w:bookmarkStart w:id="5" w:name="_Hlk187744427"/>
            <w:r w:rsidRPr="002A4185">
              <w:rPr>
                <w:rFonts w:ascii="Times New Roman" w:hAnsi="Times New Roman" w:cs="Times New Roman"/>
                <w:sz w:val="24"/>
                <w:szCs w:val="24"/>
              </w:rPr>
              <w:t>Cyclohexane,</w:t>
            </w:r>
            <w:bookmarkEnd w:id="5"/>
            <w:r w:rsidRPr="002A4185">
              <w:rPr>
                <w:rFonts w:ascii="Times New Roman" w:hAnsi="Times New Roman" w:cs="Times New Roman"/>
                <w:sz w:val="24"/>
                <w:szCs w:val="24"/>
              </w:rPr>
              <w:t xml:space="preserve"> methyl-</w:t>
            </w:r>
          </w:p>
        </w:tc>
        <w:tc>
          <w:tcPr>
            <w:tcW w:w="1223" w:type="dxa"/>
            <w:tcBorders>
              <w:top w:val="single" w:sz="4" w:space="0" w:color="auto"/>
            </w:tcBorders>
          </w:tcPr>
          <w:p w14:paraId="68680812"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color w:val="000000"/>
                <w:sz w:val="24"/>
                <w:szCs w:val="24"/>
                <w:shd w:val="clear" w:color="auto" w:fill="FFFFFF"/>
              </w:rPr>
              <w:t>C</w:t>
            </w:r>
            <w:r w:rsidRPr="002A4185">
              <w:rPr>
                <w:rFonts w:ascii="Times New Roman" w:hAnsi="Times New Roman" w:cs="Times New Roman"/>
                <w:color w:val="000000"/>
                <w:sz w:val="24"/>
                <w:szCs w:val="24"/>
                <w:shd w:val="clear" w:color="auto" w:fill="FFFFFF"/>
                <w:vertAlign w:val="subscript"/>
              </w:rPr>
              <w:t>7</w:t>
            </w:r>
            <w:r w:rsidRPr="002A4185">
              <w:rPr>
                <w:rFonts w:ascii="Times New Roman" w:hAnsi="Times New Roman" w:cs="Times New Roman"/>
                <w:color w:val="000000"/>
                <w:sz w:val="24"/>
                <w:szCs w:val="24"/>
                <w:shd w:val="clear" w:color="auto" w:fill="FFFFFF"/>
              </w:rPr>
              <w:t>H</w:t>
            </w:r>
            <w:r w:rsidRPr="002A4185">
              <w:rPr>
                <w:rFonts w:ascii="Times New Roman" w:hAnsi="Times New Roman" w:cs="Times New Roman"/>
                <w:color w:val="000000"/>
                <w:sz w:val="24"/>
                <w:szCs w:val="24"/>
                <w:shd w:val="clear" w:color="auto" w:fill="FFFFFF"/>
                <w:vertAlign w:val="subscript"/>
              </w:rPr>
              <w:t>14</w:t>
            </w:r>
          </w:p>
        </w:tc>
        <w:tc>
          <w:tcPr>
            <w:tcW w:w="769" w:type="dxa"/>
            <w:tcBorders>
              <w:top w:val="single" w:sz="4" w:space="0" w:color="auto"/>
            </w:tcBorders>
          </w:tcPr>
          <w:p w14:paraId="7A0A8AB4"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98</w:t>
            </w:r>
          </w:p>
        </w:tc>
        <w:tc>
          <w:tcPr>
            <w:tcW w:w="836" w:type="dxa"/>
            <w:tcBorders>
              <w:top w:val="single" w:sz="4" w:space="0" w:color="auto"/>
            </w:tcBorders>
          </w:tcPr>
          <w:p w14:paraId="01781860"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4.33</w:t>
            </w:r>
          </w:p>
        </w:tc>
        <w:tc>
          <w:tcPr>
            <w:tcW w:w="885" w:type="dxa"/>
            <w:tcBorders>
              <w:top w:val="single" w:sz="4" w:space="0" w:color="auto"/>
            </w:tcBorders>
          </w:tcPr>
          <w:p w14:paraId="774BCD73"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1.47</w:t>
            </w:r>
          </w:p>
        </w:tc>
        <w:tc>
          <w:tcPr>
            <w:tcW w:w="1080" w:type="dxa"/>
            <w:tcBorders>
              <w:top w:val="single" w:sz="4" w:space="0" w:color="auto"/>
            </w:tcBorders>
          </w:tcPr>
          <w:p w14:paraId="038B1865" w14:textId="4BAB75D0"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41, 83, 98</w:t>
            </w:r>
          </w:p>
        </w:tc>
        <w:tc>
          <w:tcPr>
            <w:tcW w:w="2119" w:type="dxa"/>
            <w:tcBorders>
              <w:top w:val="single" w:sz="4" w:space="0" w:color="auto"/>
            </w:tcBorders>
          </w:tcPr>
          <w:p w14:paraId="0A337D03"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noProof/>
                <w:sz w:val="24"/>
                <w:szCs w:val="24"/>
              </w:rPr>
              <w:drawing>
                <wp:inline distT="0" distB="0" distL="0" distR="0" wp14:anchorId="774322BC" wp14:editId="58B0D73F">
                  <wp:extent cx="838200" cy="524629"/>
                  <wp:effectExtent l="0" t="0" r="0" b="0"/>
                  <wp:docPr id="1605182121" name="Picture 12" descr="C7H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7H14"/>
                          <pic:cNvPicPr>
                            <a:picLocks noChangeAspect="1" noChangeArrowheads="1"/>
                          </pic:cNvPicPr>
                        </pic:nvPicPr>
                        <pic:blipFill>
                          <a:blip r:embed="rId10">
                            <a:biLevel thresh="75000"/>
                            <a:extLst>
                              <a:ext uri="{28A0092B-C50C-407E-A947-70E740481C1C}">
                                <a14:useLocalDpi xmlns:a14="http://schemas.microsoft.com/office/drawing/2010/main" val="0"/>
                              </a:ext>
                            </a:extLst>
                          </a:blip>
                          <a:srcRect/>
                          <a:stretch>
                            <a:fillRect/>
                          </a:stretch>
                        </pic:blipFill>
                        <pic:spPr bwMode="auto">
                          <a:xfrm>
                            <a:off x="0" y="0"/>
                            <a:ext cx="843769" cy="528115"/>
                          </a:xfrm>
                          <a:prstGeom prst="rect">
                            <a:avLst/>
                          </a:prstGeom>
                          <a:noFill/>
                          <a:ln>
                            <a:noFill/>
                          </a:ln>
                        </pic:spPr>
                      </pic:pic>
                    </a:graphicData>
                  </a:graphic>
                </wp:inline>
              </w:drawing>
            </w:r>
          </w:p>
        </w:tc>
      </w:tr>
      <w:tr w:rsidR="000D08CF" w:rsidRPr="002A4185" w14:paraId="59D8B6B1" w14:textId="77777777" w:rsidTr="00927887">
        <w:trPr>
          <w:trHeight w:val="894"/>
        </w:trPr>
        <w:tc>
          <w:tcPr>
            <w:tcW w:w="754" w:type="dxa"/>
          </w:tcPr>
          <w:p w14:paraId="2C5D32AD" w14:textId="77777777" w:rsidR="000D08CF" w:rsidRPr="002A4185" w:rsidRDefault="000D08CF" w:rsidP="007C0EE9">
            <w:pPr>
              <w:spacing w:line="360" w:lineRule="auto"/>
              <w:jc w:val="both"/>
              <w:rPr>
                <w:rFonts w:ascii="Times New Roman" w:hAnsi="Times New Roman" w:cs="Times New Roman"/>
                <w:bCs/>
                <w:sz w:val="24"/>
                <w:szCs w:val="24"/>
              </w:rPr>
            </w:pPr>
            <w:bookmarkStart w:id="6" w:name="_Hlk187744445"/>
            <w:r w:rsidRPr="002A4185">
              <w:rPr>
                <w:rFonts w:ascii="Times New Roman" w:hAnsi="Times New Roman" w:cs="Times New Roman"/>
                <w:bCs/>
                <w:sz w:val="24"/>
                <w:szCs w:val="24"/>
              </w:rPr>
              <w:t>2</w:t>
            </w:r>
          </w:p>
        </w:tc>
        <w:tc>
          <w:tcPr>
            <w:tcW w:w="836" w:type="dxa"/>
          </w:tcPr>
          <w:p w14:paraId="0E6DDC03"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4.80</w:t>
            </w:r>
          </w:p>
        </w:tc>
        <w:tc>
          <w:tcPr>
            <w:tcW w:w="2131" w:type="dxa"/>
          </w:tcPr>
          <w:p w14:paraId="279E054E" w14:textId="77777777" w:rsidR="000D08CF" w:rsidRPr="002A4185" w:rsidRDefault="000D08CF" w:rsidP="007C0EE9">
            <w:pPr>
              <w:spacing w:line="360" w:lineRule="auto"/>
              <w:jc w:val="both"/>
              <w:rPr>
                <w:rFonts w:ascii="Times New Roman" w:hAnsi="Times New Roman" w:cs="Times New Roman"/>
                <w:bCs/>
                <w:sz w:val="24"/>
                <w:szCs w:val="24"/>
              </w:rPr>
            </w:pPr>
            <w:bookmarkStart w:id="7" w:name="_Hlk143655472"/>
            <w:r w:rsidRPr="002A4185">
              <w:rPr>
                <w:rFonts w:ascii="Times New Roman" w:hAnsi="Times New Roman" w:cs="Times New Roman"/>
                <w:sz w:val="24"/>
                <w:szCs w:val="24"/>
              </w:rPr>
              <w:t>Toluene</w:t>
            </w:r>
            <w:bookmarkEnd w:id="7"/>
          </w:p>
        </w:tc>
        <w:tc>
          <w:tcPr>
            <w:tcW w:w="1223" w:type="dxa"/>
          </w:tcPr>
          <w:p w14:paraId="743E4D3C"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color w:val="000000"/>
                <w:sz w:val="24"/>
                <w:szCs w:val="24"/>
                <w:shd w:val="clear" w:color="auto" w:fill="FFFFFF"/>
              </w:rPr>
              <w:t>C</w:t>
            </w:r>
            <w:r w:rsidRPr="002A4185">
              <w:rPr>
                <w:rFonts w:ascii="Times New Roman" w:hAnsi="Times New Roman" w:cs="Times New Roman"/>
                <w:color w:val="000000"/>
                <w:sz w:val="24"/>
                <w:szCs w:val="24"/>
                <w:shd w:val="clear" w:color="auto" w:fill="FFFFFF"/>
                <w:vertAlign w:val="subscript"/>
              </w:rPr>
              <w:t>7</w:t>
            </w:r>
            <w:r w:rsidRPr="002A4185">
              <w:rPr>
                <w:rFonts w:ascii="Times New Roman" w:hAnsi="Times New Roman" w:cs="Times New Roman"/>
                <w:color w:val="000000"/>
                <w:sz w:val="24"/>
                <w:szCs w:val="24"/>
                <w:shd w:val="clear" w:color="auto" w:fill="FFFFFF"/>
              </w:rPr>
              <w:t>H</w:t>
            </w:r>
            <w:r w:rsidRPr="002A4185">
              <w:rPr>
                <w:rFonts w:ascii="Times New Roman" w:hAnsi="Times New Roman" w:cs="Times New Roman"/>
                <w:color w:val="000000"/>
                <w:sz w:val="24"/>
                <w:szCs w:val="24"/>
                <w:shd w:val="clear" w:color="auto" w:fill="FFFFFF"/>
                <w:vertAlign w:val="subscript"/>
              </w:rPr>
              <w:t>8</w:t>
            </w:r>
          </w:p>
        </w:tc>
        <w:tc>
          <w:tcPr>
            <w:tcW w:w="769" w:type="dxa"/>
          </w:tcPr>
          <w:p w14:paraId="1525F714"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92</w:t>
            </w:r>
          </w:p>
        </w:tc>
        <w:tc>
          <w:tcPr>
            <w:tcW w:w="836" w:type="dxa"/>
          </w:tcPr>
          <w:p w14:paraId="6C846C8A"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4.49</w:t>
            </w:r>
          </w:p>
        </w:tc>
        <w:tc>
          <w:tcPr>
            <w:tcW w:w="885" w:type="dxa"/>
          </w:tcPr>
          <w:p w14:paraId="2F44E5C4"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3.24</w:t>
            </w:r>
          </w:p>
        </w:tc>
        <w:tc>
          <w:tcPr>
            <w:tcW w:w="1080" w:type="dxa"/>
          </w:tcPr>
          <w:p w14:paraId="012F5EF5"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51, 91, 92</w:t>
            </w:r>
          </w:p>
        </w:tc>
        <w:tc>
          <w:tcPr>
            <w:tcW w:w="2119" w:type="dxa"/>
          </w:tcPr>
          <w:p w14:paraId="115A8CD0"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noProof/>
                <w:sz w:val="24"/>
                <w:szCs w:val="24"/>
              </w:rPr>
              <w:drawing>
                <wp:inline distT="0" distB="0" distL="0" distR="0" wp14:anchorId="23E8F6CD" wp14:editId="74CAE002">
                  <wp:extent cx="762000" cy="485913"/>
                  <wp:effectExtent l="0" t="0" r="0" b="0"/>
                  <wp:docPr id="1084638529" name="Picture 11" descr="C7H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7H8"/>
                          <pic:cNvPicPr>
                            <a:picLocks noChangeAspect="1" noChangeArrowheads="1"/>
                          </pic:cNvPicPr>
                        </pic:nvPicPr>
                        <pic:blipFill>
                          <a:blip r:embed="rId11">
                            <a:biLevel thresh="75000"/>
                            <a:extLst>
                              <a:ext uri="{28A0092B-C50C-407E-A947-70E740481C1C}">
                                <a14:useLocalDpi xmlns:a14="http://schemas.microsoft.com/office/drawing/2010/main" val="0"/>
                              </a:ext>
                            </a:extLst>
                          </a:blip>
                          <a:srcRect/>
                          <a:stretch>
                            <a:fillRect/>
                          </a:stretch>
                        </pic:blipFill>
                        <pic:spPr bwMode="auto">
                          <a:xfrm flipV="1">
                            <a:off x="0" y="0"/>
                            <a:ext cx="771459" cy="491945"/>
                          </a:xfrm>
                          <a:prstGeom prst="rect">
                            <a:avLst/>
                          </a:prstGeom>
                          <a:noFill/>
                          <a:ln>
                            <a:noFill/>
                          </a:ln>
                        </pic:spPr>
                      </pic:pic>
                    </a:graphicData>
                  </a:graphic>
                </wp:inline>
              </w:drawing>
            </w:r>
          </w:p>
        </w:tc>
      </w:tr>
      <w:bookmarkEnd w:id="6"/>
      <w:tr w:rsidR="000D08CF" w:rsidRPr="002A4185" w14:paraId="767CFDA8" w14:textId="77777777" w:rsidTr="00927887">
        <w:trPr>
          <w:trHeight w:val="768"/>
        </w:trPr>
        <w:tc>
          <w:tcPr>
            <w:tcW w:w="754" w:type="dxa"/>
          </w:tcPr>
          <w:p w14:paraId="69E5934E"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3</w:t>
            </w:r>
          </w:p>
        </w:tc>
        <w:tc>
          <w:tcPr>
            <w:tcW w:w="836" w:type="dxa"/>
          </w:tcPr>
          <w:p w14:paraId="2751082E"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5.50</w:t>
            </w:r>
          </w:p>
        </w:tc>
        <w:tc>
          <w:tcPr>
            <w:tcW w:w="2131" w:type="dxa"/>
          </w:tcPr>
          <w:p w14:paraId="6AB39550" w14:textId="77777777" w:rsidR="000D08CF" w:rsidRPr="002A4185" w:rsidRDefault="000D08CF" w:rsidP="007C0EE9">
            <w:pPr>
              <w:spacing w:line="360" w:lineRule="auto"/>
              <w:jc w:val="both"/>
              <w:rPr>
                <w:rFonts w:ascii="Times New Roman" w:hAnsi="Times New Roman" w:cs="Times New Roman"/>
                <w:bCs/>
                <w:sz w:val="24"/>
                <w:szCs w:val="24"/>
              </w:rPr>
            </w:pPr>
            <w:bookmarkStart w:id="8" w:name="_Hlk187744534"/>
            <w:r w:rsidRPr="002A4185">
              <w:rPr>
                <w:rFonts w:ascii="Times New Roman" w:hAnsi="Times New Roman" w:cs="Times New Roman"/>
                <w:sz w:val="24"/>
                <w:szCs w:val="24"/>
              </w:rPr>
              <w:t>Hexanal</w:t>
            </w:r>
            <w:bookmarkEnd w:id="8"/>
          </w:p>
        </w:tc>
        <w:tc>
          <w:tcPr>
            <w:tcW w:w="1223" w:type="dxa"/>
          </w:tcPr>
          <w:p w14:paraId="06741EA5"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color w:val="000000"/>
                <w:sz w:val="24"/>
                <w:szCs w:val="24"/>
                <w:shd w:val="clear" w:color="auto" w:fill="FFFFFF"/>
              </w:rPr>
              <w:t>C</w:t>
            </w:r>
            <w:r w:rsidRPr="002A4185">
              <w:rPr>
                <w:rFonts w:ascii="Times New Roman" w:hAnsi="Times New Roman" w:cs="Times New Roman"/>
                <w:color w:val="000000"/>
                <w:sz w:val="24"/>
                <w:szCs w:val="24"/>
                <w:shd w:val="clear" w:color="auto" w:fill="FFFFFF"/>
                <w:vertAlign w:val="subscript"/>
              </w:rPr>
              <w:t>6</w:t>
            </w:r>
            <w:r w:rsidRPr="002A4185">
              <w:rPr>
                <w:rFonts w:ascii="Times New Roman" w:hAnsi="Times New Roman" w:cs="Times New Roman"/>
                <w:color w:val="000000"/>
                <w:sz w:val="24"/>
                <w:szCs w:val="24"/>
                <w:shd w:val="clear" w:color="auto" w:fill="FFFFFF"/>
              </w:rPr>
              <w:t>H</w:t>
            </w:r>
            <w:r w:rsidRPr="002A4185">
              <w:rPr>
                <w:rFonts w:ascii="Times New Roman" w:hAnsi="Times New Roman" w:cs="Times New Roman"/>
                <w:color w:val="000000"/>
                <w:sz w:val="24"/>
                <w:szCs w:val="24"/>
                <w:shd w:val="clear" w:color="auto" w:fill="FFFFFF"/>
                <w:vertAlign w:val="subscript"/>
              </w:rPr>
              <w:t>12</w:t>
            </w:r>
            <w:r w:rsidRPr="002A4185">
              <w:rPr>
                <w:rFonts w:ascii="Times New Roman" w:hAnsi="Times New Roman" w:cs="Times New Roman"/>
                <w:color w:val="000000"/>
                <w:sz w:val="24"/>
                <w:szCs w:val="24"/>
                <w:shd w:val="clear" w:color="auto" w:fill="FFFFFF"/>
              </w:rPr>
              <w:t>O</w:t>
            </w:r>
          </w:p>
        </w:tc>
        <w:tc>
          <w:tcPr>
            <w:tcW w:w="769" w:type="dxa"/>
          </w:tcPr>
          <w:p w14:paraId="2FC847BB"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100</w:t>
            </w:r>
          </w:p>
        </w:tc>
        <w:tc>
          <w:tcPr>
            <w:tcW w:w="836" w:type="dxa"/>
          </w:tcPr>
          <w:p w14:paraId="317495B8"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21.98</w:t>
            </w:r>
          </w:p>
        </w:tc>
        <w:tc>
          <w:tcPr>
            <w:tcW w:w="885" w:type="dxa"/>
          </w:tcPr>
          <w:p w14:paraId="60A083F1"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20.02</w:t>
            </w:r>
          </w:p>
        </w:tc>
        <w:tc>
          <w:tcPr>
            <w:tcW w:w="1080" w:type="dxa"/>
          </w:tcPr>
          <w:p w14:paraId="08F29510"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41, 44, 100</w:t>
            </w:r>
          </w:p>
        </w:tc>
        <w:tc>
          <w:tcPr>
            <w:tcW w:w="2119" w:type="dxa"/>
          </w:tcPr>
          <w:p w14:paraId="5D4D387D"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noProof/>
                <w:sz w:val="24"/>
                <w:szCs w:val="24"/>
              </w:rPr>
              <w:drawing>
                <wp:inline distT="0" distB="0" distL="0" distR="0" wp14:anchorId="2AFAA06B" wp14:editId="3C42DF94">
                  <wp:extent cx="895350" cy="302403"/>
                  <wp:effectExtent l="0" t="0" r="0" b="0"/>
                  <wp:docPr id="135131791" name="Picture 10" descr="C6H1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6H12O"/>
                          <pic:cNvPicPr>
                            <a:picLocks noChangeAspect="1" noChangeArrowheads="1"/>
                          </pic:cNvPicPr>
                        </pic:nvPicPr>
                        <pic:blipFill>
                          <a:blip r:embed="rId12">
                            <a:biLevel thresh="75000"/>
                            <a:extLst>
                              <a:ext uri="{28A0092B-C50C-407E-A947-70E740481C1C}">
                                <a14:useLocalDpi xmlns:a14="http://schemas.microsoft.com/office/drawing/2010/main" val="0"/>
                              </a:ext>
                            </a:extLst>
                          </a:blip>
                          <a:srcRect/>
                          <a:stretch>
                            <a:fillRect/>
                          </a:stretch>
                        </pic:blipFill>
                        <pic:spPr bwMode="auto">
                          <a:xfrm>
                            <a:off x="0" y="0"/>
                            <a:ext cx="901482" cy="304474"/>
                          </a:xfrm>
                          <a:prstGeom prst="rect">
                            <a:avLst/>
                          </a:prstGeom>
                          <a:noFill/>
                          <a:ln>
                            <a:noFill/>
                          </a:ln>
                        </pic:spPr>
                      </pic:pic>
                    </a:graphicData>
                  </a:graphic>
                </wp:inline>
              </w:drawing>
            </w:r>
          </w:p>
        </w:tc>
      </w:tr>
      <w:tr w:rsidR="000D08CF" w:rsidRPr="002A4185" w14:paraId="42FA5341" w14:textId="77777777" w:rsidTr="00927887">
        <w:trPr>
          <w:trHeight w:val="1223"/>
        </w:trPr>
        <w:tc>
          <w:tcPr>
            <w:tcW w:w="754" w:type="dxa"/>
          </w:tcPr>
          <w:p w14:paraId="341C059A"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4</w:t>
            </w:r>
          </w:p>
        </w:tc>
        <w:tc>
          <w:tcPr>
            <w:tcW w:w="836" w:type="dxa"/>
          </w:tcPr>
          <w:p w14:paraId="320FAA41"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8.32</w:t>
            </w:r>
          </w:p>
        </w:tc>
        <w:tc>
          <w:tcPr>
            <w:tcW w:w="2131" w:type="dxa"/>
          </w:tcPr>
          <w:p w14:paraId="1E035A21" w14:textId="3CF9D3B4" w:rsidR="000D08CF" w:rsidRPr="002A4185" w:rsidRDefault="000D08CF" w:rsidP="007C0EE9">
            <w:pPr>
              <w:spacing w:line="360" w:lineRule="auto"/>
              <w:jc w:val="both"/>
              <w:rPr>
                <w:rFonts w:ascii="Times New Roman" w:hAnsi="Times New Roman" w:cs="Times New Roman"/>
                <w:bCs/>
                <w:sz w:val="24"/>
                <w:szCs w:val="24"/>
              </w:rPr>
            </w:pPr>
            <w:bookmarkStart w:id="9" w:name="_Hlk187744589"/>
            <w:r w:rsidRPr="002A4185">
              <w:rPr>
                <w:rFonts w:ascii="Times New Roman" w:hAnsi="Times New Roman" w:cs="Times New Roman"/>
                <w:bCs/>
                <w:sz w:val="24"/>
                <w:szCs w:val="24"/>
              </w:rPr>
              <w:t>2H</w:t>
            </w:r>
            <w:r w:rsidR="00211561" w:rsidRPr="002A4185">
              <w:rPr>
                <w:rFonts w:ascii="Times New Roman" w:hAnsi="Times New Roman" w:cs="Times New Roman"/>
                <w:bCs/>
                <w:sz w:val="24"/>
                <w:szCs w:val="24"/>
              </w:rPr>
              <w:t>-1</w:t>
            </w:r>
            <w:r w:rsidRPr="002A4185">
              <w:rPr>
                <w:rFonts w:ascii="Times New Roman" w:hAnsi="Times New Roman" w:cs="Times New Roman"/>
                <w:bCs/>
                <w:sz w:val="24"/>
                <w:szCs w:val="24"/>
              </w:rPr>
              <w:t>-Benzopyran, 3,4-dihydro-</w:t>
            </w:r>
            <w:bookmarkEnd w:id="9"/>
          </w:p>
        </w:tc>
        <w:tc>
          <w:tcPr>
            <w:tcW w:w="1223" w:type="dxa"/>
          </w:tcPr>
          <w:p w14:paraId="01A567A7"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color w:val="000000"/>
                <w:sz w:val="24"/>
                <w:szCs w:val="24"/>
                <w:shd w:val="clear" w:color="auto" w:fill="FFFFFF"/>
              </w:rPr>
              <w:t>C</w:t>
            </w:r>
            <w:r w:rsidRPr="002A4185">
              <w:rPr>
                <w:rFonts w:ascii="Times New Roman" w:hAnsi="Times New Roman" w:cs="Times New Roman"/>
                <w:color w:val="000000"/>
                <w:sz w:val="24"/>
                <w:szCs w:val="24"/>
                <w:shd w:val="clear" w:color="auto" w:fill="FFFFFF"/>
                <w:vertAlign w:val="subscript"/>
              </w:rPr>
              <w:t>9</w:t>
            </w:r>
            <w:r w:rsidRPr="002A4185">
              <w:rPr>
                <w:rFonts w:ascii="Times New Roman" w:hAnsi="Times New Roman" w:cs="Times New Roman"/>
                <w:color w:val="000000"/>
                <w:sz w:val="24"/>
                <w:szCs w:val="24"/>
                <w:shd w:val="clear" w:color="auto" w:fill="FFFFFF"/>
              </w:rPr>
              <w:t>H</w:t>
            </w:r>
            <w:r w:rsidRPr="002A4185">
              <w:rPr>
                <w:rFonts w:ascii="Times New Roman" w:hAnsi="Times New Roman" w:cs="Times New Roman"/>
                <w:color w:val="000000"/>
                <w:sz w:val="24"/>
                <w:szCs w:val="24"/>
                <w:shd w:val="clear" w:color="auto" w:fill="FFFFFF"/>
                <w:vertAlign w:val="subscript"/>
              </w:rPr>
              <w:t>10</w:t>
            </w:r>
            <w:r w:rsidRPr="002A4185">
              <w:rPr>
                <w:rFonts w:ascii="Times New Roman" w:hAnsi="Times New Roman" w:cs="Times New Roman"/>
                <w:color w:val="000000"/>
                <w:sz w:val="24"/>
                <w:szCs w:val="24"/>
                <w:shd w:val="clear" w:color="auto" w:fill="FFFFFF"/>
              </w:rPr>
              <w:t>O</w:t>
            </w:r>
          </w:p>
        </w:tc>
        <w:tc>
          <w:tcPr>
            <w:tcW w:w="769" w:type="dxa"/>
          </w:tcPr>
          <w:p w14:paraId="418625F8"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134</w:t>
            </w:r>
          </w:p>
        </w:tc>
        <w:tc>
          <w:tcPr>
            <w:tcW w:w="836" w:type="dxa"/>
          </w:tcPr>
          <w:p w14:paraId="526B6CB1"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6.63</w:t>
            </w:r>
          </w:p>
        </w:tc>
        <w:tc>
          <w:tcPr>
            <w:tcW w:w="885" w:type="dxa"/>
          </w:tcPr>
          <w:p w14:paraId="7E35A02F"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7.97</w:t>
            </w:r>
          </w:p>
        </w:tc>
        <w:tc>
          <w:tcPr>
            <w:tcW w:w="1080" w:type="dxa"/>
          </w:tcPr>
          <w:p w14:paraId="6A4F1BC4"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51, 78, 134</w:t>
            </w:r>
          </w:p>
        </w:tc>
        <w:tc>
          <w:tcPr>
            <w:tcW w:w="2119" w:type="dxa"/>
          </w:tcPr>
          <w:p w14:paraId="77E90F3B"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noProof/>
                <w:sz w:val="24"/>
                <w:szCs w:val="24"/>
              </w:rPr>
              <w:drawing>
                <wp:inline distT="0" distB="0" distL="0" distR="0" wp14:anchorId="61905A86" wp14:editId="655669B3">
                  <wp:extent cx="798830" cy="504825"/>
                  <wp:effectExtent l="0" t="0" r="0" b="0"/>
                  <wp:docPr id="1361221086" name="Picture 13" descr="C9H1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9H10O"/>
                          <pic:cNvPicPr>
                            <a:picLocks noChangeAspect="1" noChangeArrowheads="1"/>
                          </pic:cNvPicPr>
                        </pic:nvPicPr>
                        <pic:blipFill>
                          <a:blip r:embed="rId13">
                            <a:biLevel thresh="75000"/>
                            <a:extLst>
                              <a:ext uri="{28A0092B-C50C-407E-A947-70E740481C1C}">
                                <a14:useLocalDpi xmlns:a14="http://schemas.microsoft.com/office/drawing/2010/main" val="0"/>
                              </a:ext>
                            </a:extLst>
                          </a:blip>
                          <a:srcRect/>
                          <a:stretch>
                            <a:fillRect/>
                          </a:stretch>
                        </pic:blipFill>
                        <pic:spPr bwMode="auto">
                          <a:xfrm flipV="1">
                            <a:off x="0" y="0"/>
                            <a:ext cx="811788" cy="513014"/>
                          </a:xfrm>
                          <a:prstGeom prst="rect">
                            <a:avLst/>
                          </a:prstGeom>
                          <a:noFill/>
                          <a:ln>
                            <a:noFill/>
                          </a:ln>
                        </pic:spPr>
                      </pic:pic>
                    </a:graphicData>
                  </a:graphic>
                </wp:inline>
              </w:drawing>
            </w:r>
          </w:p>
        </w:tc>
      </w:tr>
      <w:tr w:rsidR="000D08CF" w:rsidRPr="002A4185" w14:paraId="2A560CB8" w14:textId="77777777" w:rsidTr="00927887">
        <w:tc>
          <w:tcPr>
            <w:tcW w:w="754" w:type="dxa"/>
          </w:tcPr>
          <w:p w14:paraId="1858B22B"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5</w:t>
            </w:r>
          </w:p>
        </w:tc>
        <w:tc>
          <w:tcPr>
            <w:tcW w:w="836" w:type="dxa"/>
          </w:tcPr>
          <w:p w14:paraId="1DB7CF06"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10.78</w:t>
            </w:r>
          </w:p>
        </w:tc>
        <w:tc>
          <w:tcPr>
            <w:tcW w:w="2131" w:type="dxa"/>
          </w:tcPr>
          <w:p w14:paraId="2F8DE3E2" w14:textId="77777777" w:rsidR="000D08CF" w:rsidRPr="002A4185" w:rsidRDefault="000D08CF" w:rsidP="007C0EE9">
            <w:pPr>
              <w:spacing w:line="360" w:lineRule="auto"/>
              <w:jc w:val="both"/>
              <w:rPr>
                <w:rFonts w:ascii="Times New Roman" w:hAnsi="Times New Roman" w:cs="Times New Roman"/>
                <w:bCs/>
                <w:sz w:val="24"/>
                <w:szCs w:val="24"/>
              </w:rPr>
            </w:pPr>
            <w:bookmarkStart w:id="10" w:name="_Hlk187744628"/>
            <w:r w:rsidRPr="002A4185">
              <w:rPr>
                <w:rFonts w:ascii="Times New Roman" w:hAnsi="Times New Roman" w:cs="Times New Roman"/>
                <w:sz w:val="24"/>
                <w:szCs w:val="24"/>
              </w:rPr>
              <w:t>5,9-Undecadien-2-one, 6,10-dimethyl-, (E)-</w:t>
            </w:r>
            <w:bookmarkEnd w:id="10"/>
          </w:p>
        </w:tc>
        <w:tc>
          <w:tcPr>
            <w:tcW w:w="1223" w:type="dxa"/>
          </w:tcPr>
          <w:p w14:paraId="716C329C"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color w:val="000000"/>
                <w:sz w:val="24"/>
                <w:szCs w:val="24"/>
                <w:shd w:val="clear" w:color="auto" w:fill="FFFFFF"/>
              </w:rPr>
              <w:t>C</w:t>
            </w:r>
            <w:r w:rsidRPr="002A4185">
              <w:rPr>
                <w:rFonts w:ascii="Times New Roman" w:hAnsi="Times New Roman" w:cs="Times New Roman"/>
                <w:color w:val="000000"/>
                <w:sz w:val="24"/>
                <w:szCs w:val="24"/>
                <w:shd w:val="clear" w:color="auto" w:fill="FFFFFF"/>
                <w:vertAlign w:val="subscript"/>
              </w:rPr>
              <w:t>13</w:t>
            </w:r>
            <w:r w:rsidRPr="002A4185">
              <w:rPr>
                <w:rFonts w:ascii="Times New Roman" w:hAnsi="Times New Roman" w:cs="Times New Roman"/>
                <w:color w:val="000000"/>
                <w:sz w:val="24"/>
                <w:szCs w:val="24"/>
                <w:shd w:val="clear" w:color="auto" w:fill="FFFFFF"/>
              </w:rPr>
              <w:t>H</w:t>
            </w:r>
            <w:r w:rsidRPr="002A4185">
              <w:rPr>
                <w:rFonts w:ascii="Times New Roman" w:hAnsi="Times New Roman" w:cs="Times New Roman"/>
                <w:color w:val="000000"/>
                <w:sz w:val="24"/>
                <w:szCs w:val="24"/>
                <w:shd w:val="clear" w:color="auto" w:fill="FFFFFF"/>
                <w:vertAlign w:val="subscript"/>
              </w:rPr>
              <w:t>22</w:t>
            </w:r>
            <w:r w:rsidRPr="002A4185">
              <w:rPr>
                <w:rFonts w:ascii="Times New Roman" w:hAnsi="Times New Roman" w:cs="Times New Roman"/>
                <w:color w:val="000000"/>
                <w:sz w:val="24"/>
                <w:szCs w:val="24"/>
                <w:shd w:val="clear" w:color="auto" w:fill="FFFFFF"/>
              </w:rPr>
              <w:t>O</w:t>
            </w:r>
          </w:p>
        </w:tc>
        <w:tc>
          <w:tcPr>
            <w:tcW w:w="769" w:type="dxa"/>
          </w:tcPr>
          <w:p w14:paraId="5EDE7EE2"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194</w:t>
            </w:r>
          </w:p>
        </w:tc>
        <w:tc>
          <w:tcPr>
            <w:tcW w:w="836" w:type="dxa"/>
          </w:tcPr>
          <w:p w14:paraId="18B699D1"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7.56</w:t>
            </w:r>
          </w:p>
        </w:tc>
        <w:tc>
          <w:tcPr>
            <w:tcW w:w="885" w:type="dxa"/>
          </w:tcPr>
          <w:p w14:paraId="3037A81D"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8.25</w:t>
            </w:r>
          </w:p>
        </w:tc>
        <w:tc>
          <w:tcPr>
            <w:tcW w:w="1080" w:type="dxa"/>
          </w:tcPr>
          <w:p w14:paraId="62393B6C"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41, 43, 194</w:t>
            </w:r>
          </w:p>
        </w:tc>
        <w:tc>
          <w:tcPr>
            <w:tcW w:w="2119" w:type="dxa"/>
          </w:tcPr>
          <w:p w14:paraId="48A984BC"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noProof/>
                <w:sz w:val="24"/>
                <w:szCs w:val="24"/>
              </w:rPr>
              <w:drawing>
                <wp:inline distT="0" distB="0" distL="0" distR="0" wp14:anchorId="30F6A928" wp14:editId="3C800115">
                  <wp:extent cx="744228" cy="409575"/>
                  <wp:effectExtent l="0" t="0" r="0" b="0"/>
                  <wp:docPr id="260483706" name="Picture 9" descr="C13H2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13H22O"/>
                          <pic:cNvPicPr>
                            <a:picLocks noChangeAspect="1" noChangeArrowheads="1"/>
                          </pic:cNvPicPr>
                        </pic:nvPicPr>
                        <pic:blipFill>
                          <a:blip r:embed="rId14">
                            <a:biLevel thresh="75000"/>
                            <a:extLst>
                              <a:ext uri="{28A0092B-C50C-407E-A947-70E740481C1C}">
                                <a14:useLocalDpi xmlns:a14="http://schemas.microsoft.com/office/drawing/2010/main" val="0"/>
                              </a:ext>
                            </a:extLst>
                          </a:blip>
                          <a:srcRect/>
                          <a:stretch>
                            <a:fillRect/>
                          </a:stretch>
                        </pic:blipFill>
                        <pic:spPr bwMode="auto">
                          <a:xfrm>
                            <a:off x="0" y="0"/>
                            <a:ext cx="747003" cy="411102"/>
                          </a:xfrm>
                          <a:prstGeom prst="rect">
                            <a:avLst/>
                          </a:prstGeom>
                          <a:noFill/>
                          <a:ln>
                            <a:noFill/>
                          </a:ln>
                        </pic:spPr>
                      </pic:pic>
                    </a:graphicData>
                  </a:graphic>
                </wp:inline>
              </w:drawing>
            </w:r>
          </w:p>
        </w:tc>
      </w:tr>
      <w:tr w:rsidR="000D08CF" w:rsidRPr="002A4185" w14:paraId="74D12A17" w14:textId="77777777" w:rsidTr="00927887">
        <w:tc>
          <w:tcPr>
            <w:tcW w:w="754" w:type="dxa"/>
          </w:tcPr>
          <w:p w14:paraId="4232C250"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6</w:t>
            </w:r>
          </w:p>
        </w:tc>
        <w:tc>
          <w:tcPr>
            <w:tcW w:w="836" w:type="dxa"/>
          </w:tcPr>
          <w:p w14:paraId="30555E3D"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12.64</w:t>
            </w:r>
          </w:p>
        </w:tc>
        <w:tc>
          <w:tcPr>
            <w:tcW w:w="2131" w:type="dxa"/>
          </w:tcPr>
          <w:p w14:paraId="560D2892"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cis,cis,cis-7,10,13-Hexadecatrienal</w:t>
            </w:r>
          </w:p>
        </w:tc>
        <w:tc>
          <w:tcPr>
            <w:tcW w:w="1223" w:type="dxa"/>
          </w:tcPr>
          <w:p w14:paraId="51DA3DC8"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C</w:t>
            </w:r>
            <w:r w:rsidRPr="002A4185">
              <w:rPr>
                <w:rFonts w:ascii="Times New Roman" w:hAnsi="Times New Roman" w:cs="Times New Roman"/>
                <w:bCs/>
                <w:sz w:val="24"/>
                <w:szCs w:val="24"/>
                <w:vertAlign w:val="subscript"/>
              </w:rPr>
              <w:t>16</w:t>
            </w:r>
            <w:r w:rsidRPr="002A4185">
              <w:rPr>
                <w:rFonts w:ascii="Times New Roman" w:hAnsi="Times New Roman" w:cs="Times New Roman"/>
                <w:bCs/>
                <w:sz w:val="24"/>
                <w:szCs w:val="24"/>
              </w:rPr>
              <w:t>H</w:t>
            </w:r>
            <w:r w:rsidRPr="002A4185">
              <w:rPr>
                <w:rFonts w:ascii="Times New Roman" w:hAnsi="Times New Roman" w:cs="Times New Roman"/>
                <w:bCs/>
                <w:sz w:val="24"/>
                <w:szCs w:val="24"/>
                <w:vertAlign w:val="subscript"/>
              </w:rPr>
              <w:t>26</w:t>
            </w:r>
            <w:r w:rsidRPr="002A4185">
              <w:rPr>
                <w:rFonts w:ascii="Times New Roman" w:hAnsi="Times New Roman" w:cs="Times New Roman"/>
                <w:bCs/>
                <w:sz w:val="24"/>
                <w:szCs w:val="24"/>
              </w:rPr>
              <w:t>O</w:t>
            </w:r>
          </w:p>
        </w:tc>
        <w:tc>
          <w:tcPr>
            <w:tcW w:w="769" w:type="dxa"/>
          </w:tcPr>
          <w:p w14:paraId="3C810C34"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234</w:t>
            </w:r>
          </w:p>
        </w:tc>
        <w:tc>
          <w:tcPr>
            <w:tcW w:w="836" w:type="dxa"/>
          </w:tcPr>
          <w:p w14:paraId="3DBE0BF8"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6.80</w:t>
            </w:r>
          </w:p>
        </w:tc>
        <w:tc>
          <w:tcPr>
            <w:tcW w:w="885" w:type="dxa"/>
          </w:tcPr>
          <w:p w14:paraId="3EDE0435"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7.15</w:t>
            </w:r>
          </w:p>
        </w:tc>
        <w:tc>
          <w:tcPr>
            <w:tcW w:w="1080" w:type="dxa"/>
          </w:tcPr>
          <w:p w14:paraId="66543A4C"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41,</w:t>
            </w:r>
          </w:p>
          <w:p w14:paraId="484D55AB"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79, 234</w:t>
            </w:r>
          </w:p>
        </w:tc>
        <w:tc>
          <w:tcPr>
            <w:tcW w:w="2119" w:type="dxa"/>
          </w:tcPr>
          <w:p w14:paraId="59DC55B7"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noProof/>
                <w:sz w:val="24"/>
                <w:szCs w:val="24"/>
              </w:rPr>
              <w:drawing>
                <wp:inline distT="0" distB="0" distL="0" distR="0" wp14:anchorId="5D42DBE9" wp14:editId="5BA6710E">
                  <wp:extent cx="613410" cy="371475"/>
                  <wp:effectExtent l="0" t="0" r="0" b="9525"/>
                  <wp:docPr id="19026881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biLevel thresh="75000"/>
                            <a:extLst>
                              <a:ext uri="{28A0092B-C50C-407E-A947-70E740481C1C}">
                                <a14:useLocalDpi xmlns:a14="http://schemas.microsoft.com/office/drawing/2010/main" val="0"/>
                              </a:ext>
                            </a:extLst>
                          </a:blip>
                          <a:srcRect/>
                          <a:stretch>
                            <a:fillRect/>
                          </a:stretch>
                        </pic:blipFill>
                        <pic:spPr bwMode="auto">
                          <a:xfrm>
                            <a:off x="0" y="0"/>
                            <a:ext cx="613410" cy="371475"/>
                          </a:xfrm>
                          <a:prstGeom prst="rect">
                            <a:avLst/>
                          </a:prstGeom>
                          <a:noFill/>
                          <a:ln>
                            <a:noFill/>
                          </a:ln>
                        </pic:spPr>
                      </pic:pic>
                    </a:graphicData>
                  </a:graphic>
                </wp:inline>
              </w:drawing>
            </w:r>
          </w:p>
        </w:tc>
      </w:tr>
      <w:tr w:rsidR="000D08CF" w:rsidRPr="002A4185" w14:paraId="08380480" w14:textId="77777777" w:rsidTr="00927887">
        <w:tc>
          <w:tcPr>
            <w:tcW w:w="754" w:type="dxa"/>
          </w:tcPr>
          <w:p w14:paraId="1748A1AE"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7</w:t>
            </w:r>
          </w:p>
        </w:tc>
        <w:tc>
          <w:tcPr>
            <w:tcW w:w="836" w:type="dxa"/>
          </w:tcPr>
          <w:p w14:paraId="586F4449"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13.18</w:t>
            </w:r>
          </w:p>
        </w:tc>
        <w:tc>
          <w:tcPr>
            <w:tcW w:w="2131" w:type="dxa"/>
          </w:tcPr>
          <w:p w14:paraId="3F9B8793"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n-</w:t>
            </w:r>
            <w:proofErr w:type="spellStart"/>
            <w:r w:rsidRPr="002A4185">
              <w:rPr>
                <w:rFonts w:ascii="Times New Roman" w:hAnsi="Times New Roman" w:cs="Times New Roman"/>
                <w:bCs/>
                <w:sz w:val="24"/>
                <w:szCs w:val="24"/>
              </w:rPr>
              <w:t>Hexadecanoic</w:t>
            </w:r>
            <w:proofErr w:type="spellEnd"/>
            <w:r w:rsidRPr="002A4185">
              <w:rPr>
                <w:rFonts w:ascii="Times New Roman" w:hAnsi="Times New Roman" w:cs="Times New Roman"/>
                <w:bCs/>
                <w:sz w:val="24"/>
                <w:szCs w:val="24"/>
              </w:rPr>
              <w:t xml:space="preserve"> acid</w:t>
            </w:r>
          </w:p>
        </w:tc>
        <w:tc>
          <w:tcPr>
            <w:tcW w:w="1223" w:type="dxa"/>
          </w:tcPr>
          <w:p w14:paraId="4CACF130"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color w:val="000000"/>
                <w:sz w:val="24"/>
                <w:szCs w:val="24"/>
                <w:shd w:val="clear" w:color="auto" w:fill="FFFFFF"/>
              </w:rPr>
              <w:t>C</w:t>
            </w:r>
            <w:r w:rsidRPr="002A4185">
              <w:rPr>
                <w:rFonts w:ascii="Times New Roman" w:hAnsi="Times New Roman" w:cs="Times New Roman"/>
                <w:color w:val="000000"/>
                <w:sz w:val="24"/>
                <w:szCs w:val="24"/>
                <w:shd w:val="clear" w:color="auto" w:fill="FFFFFF"/>
                <w:vertAlign w:val="subscript"/>
              </w:rPr>
              <w:t>16</w:t>
            </w:r>
            <w:r w:rsidRPr="002A4185">
              <w:rPr>
                <w:rFonts w:ascii="Times New Roman" w:hAnsi="Times New Roman" w:cs="Times New Roman"/>
                <w:color w:val="000000"/>
                <w:sz w:val="24"/>
                <w:szCs w:val="24"/>
                <w:shd w:val="clear" w:color="auto" w:fill="FFFFFF"/>
              </w:rPr>
              <w:t>H</w:t>
            </w:r>
            <w:r w:rsidRPr="002A4185">
              <w:rPr>
                <w:rFonts w:ascii="Times New Roman" w:hAnsi="Times New Roman" w:cs="Times New Roman"/>
                <w:color w:val="000000"/>
                <w:sz w:val="24"/>
                <w:szCs w:val="24"/>
                <w:shd w:val="clear" w:color="auto" w:fill="FFFFFF"/>
                <w:vertAlign w:val="subscript"/>
              </w:rPr>
              <w:t>32</w:t>
            </w:r>
            <w:r w:rsidRPr="002A4185">
              <w:rPr>
                <w:rFonts w:ascii="Times New Roman" w:hAnsi="Times New Roman" w:cs="Times New Roman"/>
                <w:color w:val="000000"/>
                <w:sz w:val="24"/>
                <w:szCs w:val="24"/>
                <w:shd w:val="clear" w:color="auto" w:fill="FFFFFF"/>
              </w:rPr>
              <w:t>O</w:t>
            </w:r>
            <w:r w:rsidRPr="002A4185">
              <w:rPr>
                <w:rFonts w:ascii="Times New Roman" w:hAnsi="Times New Roman" w:cs="Times New Roman"/>
                <w:color w:val="000000"/>
                <w:sz w:val="24"/>
                <w:szCs w:val="24"/>
                <w:shd w:val="clear" w:color="auto" w:fill="FFFFFF"/>
                <w:vertAlign w:val="subscript"/>
              </w:rPr>
              <w:t>2</w:t>
            </w:r>
          </w:p>
        </w:tc>
        <w:tc>
          <w:tcPr>
            <w:tcW w:w="769" w:type="dxa"/>
          </w:tcPr>
          <w:p w14:paraId="21AD8FA9"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256</w:t>
            </w:r>
          </w:p>
        </w:tc>
        <w:tc>
          <w:tcPr>
            <w:tcW w:w="836" w:type="dxa"/>
          </w:tcPr>
          <w:p w14:paraId="1A6D1C57"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9.14</w:t>
            </w:r>
          </w:p>
        </w:tc>
        <w:tc>
          <w:tcPr>
            <w:tcW w:w="885" w:type="dxa"/>
          </w:tcPr>
          <w:p w14:paraId="66E4F631"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10.27</w:t>
            </w:r>
          </w:p>
        </w:tc>
        <w:tc>
          <w:tcPr>
            <w:tcW w:w="1080" w:type="dxa"/>
          </w:tcPr>
          <w:p w14:paraId="78C5A5AA"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43, 73, 256</w:t>
            </w:r>
          </w:p>
        </w:tc>
        <w:tc>
          <w:tcPr>
            <w:tcW w:w="2119" w:type="dxa"/>
          </w:tcPr>
          <w:p w14:paraId="5171723A"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noProof/>
                <w:sz w:val="24"/>
                <w:szCs w:val="24"/>
              </w:rPr>
              <w:drawing>
                <wp:inline distT="0" distB="0" distL="0" distR="0" wp14:anchorId="0F98C3E0" wp14:editId="03637AAB">
                  <wp:extent cx="658519" cy="381000"/>
                  <wp:effectExtent l="0" t="0" r="8255" b="0"/>
                  <wp:docPr id="2131561582" name="Picture 14" descr="C16H32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16H32O2"/>
                          <pic:cNvPicPr>
                            <a:picLocks noChangeAspect="1" noChangeArrowheads="1"/>
                          </pic:cNvPicPr>
                        </pic:nvPicPr>
                        <pic:blipFill>
                          <a:blip r:embed="rId16">
                            <a:biLevel thresh="75000"/>
                            <a:extLst>
                              <a:ext uri="{28A0092B-C50C-407E-A947-70E740481C1C}">
                                <a14:useLocalDpi xmlns:a14="http://schemas.microsoft.com/office/drawing/2010/main" val="0"/>
                              </a:ext>
                            </a:extLst>
                          </a:blip>
                          <a:srcRect/>
                          <a:stretch>
                            <a:fillRect/>
                          </a:stretch>
                        </pic:blipFill>
                        <pic:spPr bwMode="auto">
                          <a:xfrm>
                            <a:off x="0" y="0"/>
                            <a:ext cx="660573" cy="382188"/>
                          </a:xfrm>
                          <a:prstGeom prst="rect">
                            <a:avLst/>
                          </a:prstGeom>
                          <a:noFill/>
                          <a:ln>
                            <a:noFill/>
                          </a:ln>
                        </pic:spPr>
                      </pic:pic>
                    </a:graphicData>
                  </a:graphic>
                </wp:inline>
              </w:drawing>
            </w:r>
          </w:p>
        </w:tc>
      </w:tr>
      <w:tr w:rsidR="000D08CF" w:rsidRPr="002A4185" w14:paraId="2C203AD5" w14:textId="77777777" w:rsidTr="00927887">
        <w:tc>
          <w:tcPr>
            <w:tcW w:w="754" w:type="dxa"/>
          </w:tcPr>
          <w:p w14:paraId="6811456A"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8</w:t>
            </w:r>
          </w:p>
        </w:tc>
        <w:tc>
          <w:tcPr>
            <w:tcW w:w="836" w:type="dxa"/>
          </w:tcPr>
          <w:p w14:paraId="79A0E612"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15.25</w:t>
            </w:r>
          </w:p>
        </w:tc>
        <w:tc>
          <w:tcPr>
            <w:tcW w:w="2131" w:type="dxa"/>
          </w:tcPr>
          <w:p w14:paraId="2CA73654" w14:textId="77777777" w:rsidR="000D08CF" w:rsidRPr="002A4185" w:rsidRDefault="000D08CF" w:rsidP="007C0EE9">
            <w:pPr>
              <w:spacing w:line="360" w:lineRule="auto"/>
              <w:jc w:val="both"/>
              <w:rPr>
                <w:rFonts w:ascii="Times New Roman" w:hAnsi="Times New Roman" w:cs="Times New Roman"/>
                <w:bCs/>
                <w:sz w:val="24"/>
                <w:szCs w:val="24"/>
              </w:rPr>
            </w:pPr>
            <w:bookmarkStart w:id="11" w:name="_Hlk143654986"/>
            <w:proofErr w:type="spellStart"/>
            <w:r w:rsidRPr="002A4185">
              <w:rPr>
                <w:rFonts w:ascii="Times New Roman" w:hAnsi="Times New Roman" w:cs="Times New Roman"/>
                <w:bCs/>
                <w:sz w:val="24"/>
                <w:szCs w:val="24"/>
              </w:rPr>
              <w:t>Hexahydrofarnesyl</w:t>
            </w:r>
            <w:proofErr w:type="spellEnd"/>
            <w:r w:rsidRPr="002A4185">
              <w:rPr>
                <w:rFonts w:ascii="Times New Roman" w:hAnsi="Times New Roman" w:cs="Times New Roman"/>
                <w:bCs/>
                <w:sz w:val="24"/>
                <w:szCs w:val="24"/>
              </w:rPr>
              <w:t xml:space="preserve"> acetone</w:t>
            </w:r>
            <w:bookmarkEnd w:id="11"/>
          </w:p>
        </w:tc>
        <w:tc>
          <w:tcPr>
            <w:tcW w:w="1223" w:type="dxa"/>
          </w:tcPr>
          <w:p w14:paraId="25DBFCAC"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color w:val="000000"/>
                <w:sz w:val="24"/>
                <w:szCs w:val="24"/>
                <w:shd w:val="clear" w:color="auto" w:fill="FFFFFF"/>
              </w:rPr>
              <w:t>C</w:t>
            </w:r>
            <w:r w:rsidRPr="002A4185">
              <w:rPr>
                <w:rFonts w:ascii="Times New Roman" w:hAnsi="Times New Roman" w:cs="Times New Roman"/>
                <w:color w:val="000000"/>
                <w:sz w:val="24"/>
                <w:szCs w:val="24"/>
                <w:shd w:val="clear" w:color="auto" w:fill="FFFFFF"/>
                <w:vertAlign w:val="subscript"/>
              </w:rPr>
              <w:t>18</w:t>
            </w:r>
            <w:r w:rsidRPr="002A4185">
              <w:rPr>
                <w:rFonts w:ascii="Times New Roman" w:hAnsi="Times New Roman" w:cs="Times New Roman"/>
                <w:color w:val="000000"/>
                <w:sz w:val="24"/>
                <w:szCs w:val="24"/>
                <w:shd w:val="clear" w:color="auto" w:fill="FFFFFF"/>
              </w:rPr>
              <w:t>H</w:t>
            </w:r>
            <w:r w:rsidRPr="002A4185">
              <w:rPr>
                <w:rFonts w:ascii="Times New Roman" w:hAnsi="Times New Roman" w:cs="Times New Roman"/>
                <w:color w:val="000000"/>
                <w:sz w:val="24"/>
                <w:szCs w:val="24"/>
                <w:shd w:val="clear" w:color="auto" w:fill="FFFFFF"/>
                <w:vertAlign w:val="subscript"/>
              </w:rPr>
              <w:t>36</w:t>
            </w:r>
            <w:r w:rsidRPr="002A4185">
              <w:rPr>
                <w:rFonts w:ascii="Times New Roman" w:hAnsi="Times New Roman" w:cs="Times New Roman"/>
                <w:color w:val="000000"/>
                <w:sz w:val="24"/>
                <w:szCs w:val="24"/>
                <w:shd w:val="clear" w:color="auto" w:fill="FFFFFF"/>
              </w:rPr>
              <w:t>O</w:t>
            </w:r>
          </w:p>
        </w:tc>
        <w:tc>
          <w:tcPr>
            <w:tcW w:w="769" w:type="dxa"/>
          </w:tcPr>
          <w:p w14:paraId="03792941"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268</w:t>
            </w:r>
          </w:p>
        </w:tc>
        <w:tc>
          <w:tcPr>
            <w:tcW w:w="836" w:type="dxa"/>
          </w:tcPr>
          <w:p w14:paraId="5A306320"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3.37</w:t>
            </w:r>
          </w:p>
        </w:tc>
        <w:tc>
          <w:tcPr>
            <w:tcW w:w="885" w:type="dxa"/>
          </w:tcPr>
          <w:p w14:paraId="0D57AB87"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4.59</w:t>
            </w:r>
          </w:p>
        </w:tc>
        <w:tc>
          <w:tcPr>
            <w:tcW w:w="1080" w:type="dxa"/>
          </w:tcPr>
          <w:p w14:paraId="775C18E8"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41, 57, 268</w:t>
            </w:r>
          </w:p>
        </w:tc>
        <w:tc>
          <w:tcPr>
            <w:tcW w:w="2119" w:type="dxa"/>
          </w:tcPr>
          <w:p w14:paraId="23346555"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noProof/>
                <w:sz w:val="24"/>
                <w:szCs w:val="24"/>
              </w:rPr>
              <w:drawing>
                <wp:inline distT="0" distB="0" distL="0" distR="0" wp14:anchorId="5FAB4CF5" wp14:editId="0C645886">
                  <wp:extent cx="662104" cy="361950"/>
                  <wp:effectExtent l="0" t="0" r="5080" b="0"/>
                  <wp:docPr id="2026223680" name="Picture 8" descr="C18H36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18H36O"/>
                          <pic:cNvPicPr>
                            <a:picLocks noChangeAspect="1" noChangeArrowheads="1"/>
                          </pic:cNvPicPr>
                        </pic:nvPicPr>
                        <pic:blipFill>
                          <a:blip r:embed="rId17">
                            <a:biLevel thresh="75000"/>
                            <a:extLst>
                              <a:ext uri="{28A0092B-C50C-407E-A947-70E740481C1C}">
                                <a14:useLocalDpi xmlns:a14="http://schemas.microsoft.com/office/drawing/2010/main" val="0"/>
                              </a:ext>
                            </a:extLst>
                          </a:blip>
                          <a:srcRect/>
                          <a:stretch>
                            <a:fillRect/>
                          </a:stretch>
                        </pic:blipFill>
                        <pic:spPr bwMode="auto">
                          <a:xfrm>
                            <a:off x="0" y="0"/>
                            <a:ext cx="666573" cy="364393"/>
                          </a:xfrm>
                          <a:prstGeom prst="rect">
                            <a:avLst/>
                          </a:prstGeom>
                          <a:noFill/>
                          <a:ln>
                            <a:noFill/>
                          </a:ln>
                        </pic:spPr>
                      </pic:pic>
                    </a:graphicData>
                  </a:graphic>
                </wp:inline>
              </w:drawing>
            </w:r>
          </w:p>
        </w:tc>
      </w:tr>
      <w:tr w:rsidR="000D08CF" w:rsidRPr="002A4185" w14:paraId="2BC43D2C" w14:textId="77777777" w:rsidTr="00927887">
        <w:tc>
          <w:tcPr>
            <w:tcW w:w="754" w:type="dxa"/>
          </w:tcPr>
          <w:p w14:paraId="6B7DC5C2"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9</w:t>
            </w:r>
          </w:p>
        </w:tc>
        <w:tc>
          <w:tcPr>
            <w:tcW w:w="836" w:type="dxa"/>
          </w:tcPr>
          <w:p w14:paraId="53188F26"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17.28</w:t>
            </w:r>
          </w:p>
        </w:tc>
        <w:tc>
          <w:tcPr>
            <w:tcW w:w="2131" w:type="dxa"/>
          </w:tcPr>
          <w:p w14:paraId="70387F64"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Phytol</w:t>
            </w:r>
          </w:p>
        </w:tc>
        <w:tc>
          <w:tcPr>
            <w:tcW w:w="1223" w:type="dxa"/>
          </w:tcPr>
          <w:p w14:paraId="427C1052"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color w:val="000000"/>
                <w:sz w:val="24"/>
                <w:szCs w:val="24"/>
                <w:shd w:val="clear" w:color="auto" w:fill="FFFFFF"/>
              </w:rPr>
              <w:t>C</w:t>
            </w:r>
            <w:r w:rsidRPr="002A4185">
              <w:rPr>
                <w:rFonts w:ascii="Times New Roman" w:hAnsi="Times New Roman" w:cs="Times New Roman"/>
                <w:color w:val="000000"/>
                <w:sz w:val="24"/>
                <w:szCs w:val="24"/>
                <w:shd w:val="clear" w:color="auto" w:fill="FFFFFF"/>
                <w:vertAlign w:val="subscript"/>
              </w:rPr>
              <w:t>20</w:t>
            </w:r>
            <w:r w:rsidRPr="002A4185">
              <w:rPr>
                <w:rFonts w:ascii="Times New Roman" w:hAnsi="Times New Roman" w:cs="Times New Roman"/>
                <w:color w:val="000000"/>
                <w:sz w:val="24"/>
                <w:szCs w:val="24"/>
                <w:shd w:val="clear" w:color="auto" w:fill="FFFFFF"/>
              </w:rPr>
              <w:t>H</w:t>
            </w:r>
            <w:r w:rsidRPr="002A4185">
              <w:rPr>
                <w:rFonts w:ascii="Times New Roman" w:hAnsi="Times New Roman" w:cs="Times New Roman"/>
                <w:color w:val="000000"/>
                <w:sz w:val="24"/>
                <w:szCs w:val="24"/>
                <w:shd w:val="clear" w:color="auto" w:fill="FFFFFF"/>
                <w:vertAlign w:val="subscript"/>
              </w:rPr>
              <w:t>40</w:t>
            </w:r>
            <w:r w:rsidRPr="002A4185">
              <w:rPr>
                <w:rFonts w:ascii="Times New Roman" w:hAnsi="Times New Roman" w:cs="Times New Roman"/>
                <w:color w:val="000000"/>
                <w:sz w:val="24"/>
                <w:szCs w:val="24"/>
                <w:shd w:val="clear" w:color="auto" w:fill="FFFFFF"/>
              </w:rPr>
              <w:t>O</w:t>
            </w:r>
          </w:p>
        </w:tc>
        <w:tc>
          <w:tcPr>
            <w:tcW w:w="769" w:type="dxa"/>
          </w:tcPr>
          <w:p w14:paraId="2C8AF055"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296</w:t>
            </w:r>
          </w:p>
        </w:tc>
        <w:tc>
          <w:tcPr>
            <w:tcW w:w="836" w:type="dxa"/>
          </w:tcPr>
          <w:p w14:paraId="6932BED9"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7.91</w:t>
            </w:r>
          </w:p>
        </w:tc>
        <w:tc>
          <w:tcPr>
            <w:tcW w:w="885" w:type="dxa"/>
          </w:tcPr>
          <w:p w14:paraId="5AD08018"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7.17</w:t>
            </w:r>
          </w:p>
        </w:tc>
        <w:tc>
          <w:tcPr>
            <w:tcW w:w="1080" w:type="dxa"/>
          </w:tcPr>
          <w:p w14:paraId="0BCEFCD4"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43, 71, 296</w:t>
            </w:r>
          </w:p>
        </w:tc>
        <w:tc>
          <w:tcPr>
            <w:tcW w:w="2119" w:type="dxa"/>
          </w:tcPr>
          <w:p w14:paraId="1EC5F7E8"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noProof/>
                <w:sz w:val="24"/>
                <w:szCs w:val="24"/>
              </w:rPr>
              <w:drawing>
                <wp:inline distT="0" distB="0" distL="0" distR="0" wp14:anchorId="21FAD731" wp14:editId="29C6E803">
                  <wp:extent cx="733425" cy="424881"/>
                  <wp:effectExtent l="0" t="0" r="0" b="0"/>
                  <wp:docPr id="1342649144" name="Picture 5" descr="C20H4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20H40O"/>
                          <pic:cNvPicPr>
                            <a:picLocks noChangeAspect="1" noChangeArrowheads="1"/>
                          </pic:cNvPicPr>
                        </pic:nvPicPr>
                        <pic:blipFill>
                          <a:blip r:embed="rId18">
                            <a:biLevel thresh="75000"/>
                            <a:extLst>
                              <a:ext uri="{28A0092B-C50C-407E-A947-70E740481C1C}">
                                <a14:useLocalDpi xmlns:a14="http://schemas.microsoft.com/office/drawing/2010/main" val="0"/>
                              </a:ext>
                            </a:extLst>
                          </a:blip>
                          <a:srcRect/>
                          <a:stretch>
                            <a:fillRect/>
                          </a:stretch>
                        </pic:blipFill>
                        <pic:spPr bwMode="auto">
                          <a:xfrm>
                            <a:off x="0" y="0"/>
                            <a:ext cx="739537" cy="428422"/>
                          </a:xfrm>
                          <a:prstGeom prst="rect">
                            <a:avLst/>
                          </a:prstGeom>
                          <a:noFill/>
                          <a:ln>
                            <a:noFill/>
                          </a:ln>
                        </pic:spPr>
                      </pic:pic>
                    </a:graphicData>
                  </a:graphic>
                </wp:inline>
              </w:drawing>
            </w:r>
          </w:p>
        </w:tc>
      </w:tr>
      <w:tr w:rsidR="000D08CF" w:rsidRPr="002A4185" w14:paraId="265B9643" w14:textId="77777777" w:rsidTr="00927887">
        <w:tc>
          <w:tcPr>
            <w:tcW w:w="754" w:type="dxa"/>
          </w:tcPr>
          <w:p w14:paraId="226B9C2D"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10</w:t>
            </w:r>
          </w:p>
        </w:tc>
        <w:tc>
          <w:tcPr>
            <w:tcW w:w="836" w:type="dxa"/>
          </w:tcPr>
          <w:p w14:paraId="15532000"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19.24</w:t>
            </w:r>
          </w:p>
        </w:tc>
        <w:tc>
          <w:tcPr>
            <w:tcW w:w="2131" w:type="dxa"/>
          </w:tcPr>
          <w:p w14:paraId="30FF5593" w14:textId="77777777" w:rsidR="000D08CF" w:rsidRPr="002A4185" w:rsidRDefault="000D08CF" w:rsidP="007C0EE9">
            <w:pPr>
              <w:spacing w:line="360" w:lineRule="auto"/>
              <w:jc w:val="both"/>
              <w:rPr>
                <w:rFonts w:ascii="Times New Roman" w:hAnsi="Times New Roman" w:cs="Times New Roman"/>
                <w:bCs/>
                <w:sz w:val="24"/>
                <w:szCs w:val="24"/>
              </w:rPr>
            </w:pPr>
            <w:proofErr w:type="spellStart"/>
            <w:r w:rsidRPr="002A4185">
              <w:rPr>
                <w:rFonts w:ascii="Times New Roman" w:hAnsi="Times New Roman" w:cs="Times New Roman"/>
                <w:sz w:val="24"/>
                <w:szCs w:val="24"/>
              </w:rPr>
              <w:t>Heneicosane</w:t>
            </w:r>
            <w:proofErr w:type="spellEnd"/>
          </w:p>
        </w:tc>
        <w:tc>
          <w:tcPr>
            <w:tcW w:w="1223" w:type="dxa"/>
          </w:tcPr>
          <w:p w14:paraId="4E82BD5F"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color w:val="000000"/>
                <w:sz w:val="24"/>
                <w:szCs w:val="24"/>
                <w:shd w:val="clear" w:color="auto" w:fill="FFFFFF"/>
              </w:rPr>
              <w:t> C</w:t>
            </w:r>
            <w:r w:rsidRPr="002A4185">
              <w:rPr>
                <w:rFonts w:ascii="Times New Roman" w:hAnsi="Times New Roman" w:cs="Times New Roman"/>
                <w:color w:val="000000"/>
                <w:sz w:val="24"/>
                <w:szCs w:val="24"/>
                <w:shd w:val="clear" w:color="auto" w:fill="FFFFFF"/>
                <w:vertAlign w:val="subscript"/>
              </w:rPr>
              <w:t>21</w:t>
            </w:r>
            <w:r w:rsidRPr="002A4185">
              <w:rPr>
                <w:rFonts w:ascii="Times New Roman" w:hAnsi="Times New Roman" w:cs="Times New Roman"/>
                <w:color w:val="000000"/>
                <w:sz w:val="24"/>
                <w:szCs w:val="24"/>
                <w:shd w:val="clear" w:color="auto" w:fill="FFFFFF"/>
              </w:rPr>
              <w:t>H</w:t>
            </w:r>
            <w:r w:rsidRPr="002A4185">
              <w:rPr>
                <w:rFonts w:ascii="Times New Roman" w:hAnsi="Times New Roman" w:cs="Times New Roman"/>
                <w:color w:val="000000"/>
                <w:sz w:val="24"/>
                <w:szCs w:val="24"/>
                <w:shd w:val="clear" w:color="auto" w:fill="FFFFFF"/>
                <w:vertAlign w:val="subscript"/>
              </w:rPr>
              <w:t>44</w:t>
            </w:r>
          </w:p>
        </w:tc>
        <w:tc>
          <w:tcPr>
            <w:tcW w:w="769" w:type="dxa"/>
          </w:tcPr>
          <w:p w14:paraId="08A7BE9B"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296</w:t>
            </w:r>
          </w:p>
        </w:tc>
        <w:tc>
          <w:tcPr>
            <w:tcW w:w="836" w:type="dxa"/>
          </w:tcPr>
          <w:p w14:paraId="2647F2AA"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4.07</w:t>
            </w:r>
          </w:p>
        </w:tc>
        <w:tc>
          <w:tcPr>
            <w:tcW w:w="885" w:type="dxa"/>
          </w:tcPr>
          <w:p w14:paraId="313519A2"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2.65</w:t>
            </w:r>
          </w:p>
        </w:tc>
        <w:tc>
          <w:tcPr>
            <w:tcW w:w="1080" w:type="dxa"/>
          </w:tcPr>
          <w:p w14:paraId="5D252654"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43, 57, 296</w:t>
            </w:r>
          </w:p>
        </w:tc>
        <w:tc>
          <w:tcPr>
            <w:tcW w:w="2119" w:type="dxa"/>
          </w:tcPr>
          <w:p w14:paraId="753C537B"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noProof/>
                <w:sz w:val="24"/>
                <w:szCs w:val="24"/>
              </w:rPr>
              <w:drawing>
                <wp:inline distT="0" distB="0" distL="0" distR="0" wp14:anchorId="360D9CAB" wp14:editId="49A21178">
                  <wp:extent cx="887506" cy="314325"/>
                  <wp:effectExtent l="0" t="0" r="8255" b="0"/>
                  <wp:docPr id="1450121740" name="Picture 6" descr="C21H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21H44"/>
                          <pic:cNvPicPr>
                            <a:picLocks noChangeAspect="1" noChangeArrowheads="1"/>
                          </pic:cNvPicPr>
                        </pic:nvPicPr>
                        <pic:blipFill>
                          <a:blip r:embed="rId19">
                            <a:biLevel thresh="75000"/>
                            <a:extLst>
                              <a:ext uri="{28A0092B-C50C-407E-A947-70E740481C1C}">
                                <a14:useLocalDpi xmlns:a14="http://schemas.microsoft.com/office/drawing/2010/main" val="0"/>
                              </a:ext>
                            </a:extLst>
                          </a:blip>
                          <a:srcRect/>
                          <a:stretch>
                            <a:fillRect/>
                          </a:stretch>
                        </pic:blipFill>
                        <pic:spPr bwMode="auto">
                          <a:xfrm>
                            <a:off x="0" y="0"/>
                            <a:ext cx="892037" cy="315930"/>
                          </a:xfrm>
                          <a:prstGeom prst="rect">
                            <a:avLst/>
                          </a:prstGeom>
                          <a:noFill/>
                          <a:ln>
                            <a:noFill/>
                          </a:ln>
                        </pic:spPr>
                      </pic:pic>
                    </a:graphicData>
                  </a:graphic>
                </wp:inline>
              </w:drawing>
            </w:r>
          </w:p>
        </w:tc>
      </w:tr>
      <w:tr w:rsidR="000D08CF" w:rsidRPr="002A4185" w14:paraId="66E48F0E" w14:textId="77777777" w:rsidTr="00927887">
        <w:tc>
          <w:tcPr>
            <w:tcW w:w="754" w:type="dxa"/>
          </w:tcPr>
          <w:p w14:paraId="22A0567E"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11</w:t>
            </w:r>
          </w:p>
        </w:tc>
        <w:tc>
          <w:tcPr>
            <w:tcW w:w="836" w:type="dxa"/>
          </w:tcPr>
          <w:p w14:paraId="7C22E48E"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20.50</w:t>
            </w:r>
          </w:p>
        </w:tc>
        <w:tc>
          <w:tcPr>
            <w:tcW w:w="2131" w:type="dxa"/>
          </w:tcPr>
          <w:p w14:paraId="61A7120C"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Octadecanoic acid</w:t>
            </w:r>
          </w:p>
        </w:tc>
        <w:tc>
          <w:tcPr>
            <w:tcW w:w="1223" w:type="dxa"/>
          </w:tcPr>
          <w:p w14:paraId="616C36F1"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color w:val="000000"/>
                <w:sz w:val="24"/>
                <w:szCs w:val="24"/>
                <w:shd w:val="clear" w:color="auto" w:fill="FFFFFF"/>
              </w:rPr>
              <w:t> C</w:t>
            </w:r>
            <w:r w:rsidRPr="002A4185">
              <w:rPr>
                <w:rFonts w:ascii="Times New Roman" w:hAnsi="Times New Roman" w:cs="Times New Roman"/>
                <w:color w:val="000000"/>
                <w:sz w:val="24"/>
                <w:szCs w:val="24"/>
                <w:shd w:val="clear" w:color="auto" w:fill="FFFFFF"/>
                <w:vertAlign w:val="subscript"/>
              </w:rPr>
              <w:t>18</w:t>
            </w:r>
            <w:r w:rsidRPr="002A4185">
              <w:rPr>
                <w:rFonts w:ascii="Times New Roman" w:hAnsi="Times New Roman" w:cs="Times New Roman"/>
                <w:color w:val="000000"/>
                <w:sz w:val="24"/>
                <w:szCs w:val="24"/>
                <w:shd w:val="clear" w:color="auto" w:fill="FFFFFF"/>
              </w:rPr>
              <w:t>H</w:t>
            </w:r>
            <w:r w:rsidRPr="002A4185">
              <w:rPr>
                <w:rFonts w:ascii="Times New Roman" w:hAnsi="Times New Roman" w:cs="Times New Roman"/>
                <w:color w:val="000000"/>
                <w:sz w:val="24"/>
                <w:szCs w:val="24"/>
                <w:shd w:val="clear" w:color="auto" w:fill="FFFFFF"/>
                <w:vertAlign w:val="subscript"/>
              </w:rPr>
              <w:t>36</w:t>
            </w:r>
            <w:r w:rsidRPr="002A4185">
              <w:rPr>
                <w:rFonts w:ascii="Times New Roman" w:hAnsi="Times New Roman" w:cs="Times New Roman"/>
                <w:color w:val="000000"/>
                <w:sz w:val="24"/>
                <w:szCs w:val="24"/>
                <w:shd w:val="clear" w:color="auto" w:fill="FFFFFF"/>
              </w:rPr>
              <w:t>O</w:t>
            </w:r>
            <w:r w:rsidRPr="002A4185">
              <w:rPr>
                <w:rFonts w:ascii="Times New Roman" w:hAnsi="Times New Roman" w:cs="Times New Roman"/>
                <w:color w:val="000000"/>
                <w:sz w:val="24"/>
                <w:szCs w:val="24"/>
                <w:shd w:val="clear" w:color="auto" w:fill="FFFFFF"/>
                <w:vertAlign w:val="subscript"/>
              </w:rPr>
              <w:t>2</w:t>
            </w:r>
          </w:p>
        </w:tc>
        <w:tc>
          <w:tcPr>
            <w:tcW w:w="769" w:type="dxa"/>
          </w:tcPr>
          <w:p w14:paraId="0F849A90"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284</w:t>
            </w:r>
          </w:p>
        </w:tc>
        <w:tc>
          <w:tcPr>
            <w:tcW w:w="836" w:type="dxa"/>
          </w:tcPr>
          <w:p w14:paraId="6D2A4613"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16.12</w:t>
            </w:r>
          </w:p>
        </w:tc>
        <w:tc>
          <w:tcPr>
            <w:tcW w:w="885" w:type="dxa"/>
          </w:tcPr>
          <w:p w14:paraId="09CF36D9"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17.98</w:t>
            </w:r>
          </w:p>
        </w:tc>
        <w:tc>
          <w:tcPr>
            <w:tcW w:w="1080" w:type="dxa"/>
          </w:tcPr>
          <w:p w14:paraId="6D77E4B1"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43, 73, 284</w:t>
            </w:r>
          </w:p>
        </w:tc>
        <w:tc>
          <w:tcPr>
            <w:tcW w:w="2119" w:type="dxa"/>
          </w:tcPr>
          <w:p w14:paraId="2B8D4D8B"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noProof/>
                <w:sz w:val="24"/>
                <w:szCs w:val="24"/>
              </w:rPr>
              <w:drawing>
                <wp:inline distT="0" distB="0" distL="0" distR="0" wp14:anchorId="0D9E6FD2" wp14:editId="085EE429">
                  <wp:extent cx="760095" cy="342900"/>
                  <wp:effectExtent l="0" t="0" r="0" b="0"/>
                  <wp:docPr id="1745497965" name="Picture 15" descr="C18H36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18H36O2"/>
                          <pic:cNvPicPr>
                            <a:picLocks noChangeAspect="1" noChangeArrowheads="1"/>
                          </pic:cNvPicPr>
                        </pic:nvPicPr>
                        <pic:blipFill>
                          <a:blip r:embed="rId20" cstate="print">
                            <a:biLevel thresh="75000"/>
                            <a:extLst>
                              <a:ext uri="{28A0092B-C50C-407E-A947-70E740481C1C}">
                                <a14:useLocalDpi xmlns:a14="http://schemas.microsoft.com/office/drawing/2010/main" val="0"/>
                              </a:ext>
                            </a:extLst>
                          </a:blip>
                          <a:srcRect/>
                          <a:stretch>
                            <a:fillRect/>
                          </a:stretch>
                        </pic:blipFill>
                        <pic:spPr bwMode="auto">
                          <a:xfrm>
                            <a:off x="0" y="0"/>
                            <a:ext cx="765593" cy="345380"/>
                          </a:xfrm>
                          <a:prstGeom prst="rect">
                            <a:avLst/>
                          </a:prstGeom>
                          <a:noFill/>
                          <a:ln>
                            <a:noFill/>
                          </a:ln>
                        </pic:spPr>
                      </pic:pic>
                    </a:graphicData>
                  </a:graphic>
                </wp:inline>
              </w:drawing>
            </w:r>
          </w:p>
        </w:tc>
      </w:tr>
      <w:tr w:rsidR="000D08CF" w:rsidRPr="002A4185" w14:paraId="56A23952" w14:textId="77777777" w:rsidTr="00927887">
        <w:tc>
          <w:tcPr>
            <w:tcW w:w="754" w:type="dxa"/>
          </w:tcPr>
          <w:p w14:paraId="695109D0"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12</w:t>
            </w:r>
          </w:p>
        </w:tc>
        <w:tc>
          <w:tcPr>
            <w:tcW w:w="836" w:type="dxa"/>
          </w:tcPr>
          <w:p w14:paraId="64F268D2"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20.82</w:t>
            </w:r>
          </w:p>
        </w:tc>
        <w:tc>
          <w:tcPr>
            <w:tcW w:w="2131" w:type="dxa"/>
          </w:tcPr>
          <w:p w14:paraId="42AC2E95"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3,7,11,15- Tetramethyl-2-hexadecen1-ol</w:t>
            </w:r>
          </w:p>
        </w:tc>
        <w:tc>
          <w:tcPr>
            <w:tcW w:w="1223" w:type="dxa"/>
          </w:tcPr>
          <w:p w14:paraId="6283F25A"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color w:val="000000"/>
                <w:sz w:val="24"/>
                <w:szCs w:val="24"/>
                <w:shd w:val="clear" w:color="auto" w:fill="FFFFFF"/>
              </w:rPr>
              <w:t>C</w:t>
            </w:r>
            <w:r w:rsidRPr="002A4185">
              <w:rPr>
                <w:rFonts w:ascii="Times New Roman" w:hAnsi="Times New Roman" w:cs="Times New Roman"/>
                <w:color w:val="000000"/>
                <w:sz w:val="24"/>
                <w:szCs w:val="24"/>
                <w:shd w:val="clear" w:color="auto" w:fill="FFFFFF"/>
                <w:vertAlign w:val="subscript"/>
              </w:rPr>
              <w:t>20</w:t>
            </w:r>
            <w:r w:rsidRPr="002A4185">
              <w:rPr>
                <w:rFonts w:ascii="Times New Roman" w:hAnsi="Times New Roman" w:cs="Times New Roman"/>
                <w:color w:val="000000"/>
                <w:sz w:val="24"/>
                <w:szCs w:val="24"/>
                <w:shd w:val="clear" w:color="auto" w:fill="FFFFFF"/>
              </w:rPr>
              <w:t>H</w:t>
            </w:r>
            <w:r w:rsidRPr="002A4185">
              <w:rPr>
                <w:rFonts w:ascii="Times New Roman" w:hAnsi="Times New Roman" w:cs="Times New Roman"/>
                <w:color w:val="000000"/>
                <w:sz w:val="24"/>
                <w:szCs w:val="24"/>
                <w:shd w:val="clear" w:color="auto" w:fill="FFFFFF"/>
                <w:vertAlign w:val="subscript"/>
              </w:rPr>
              <w:t>40</w:t>
            </w:r>
            <w:r w:rsidRPr="002A4185">
              <w:rPr>
                <w:rFonts w:ascii="Times New Roman" w:hAnsi="Times New Roman" w:cs="Times New Roman"/>
                <w:color w:val="000000"/>
                <w:sz w:val="24"/>
                <w:szCs w:val="24"/>
                <w:shd w:val="clear" w:color="auto" w:fill="FFFFFF"/>
              </w:rPr>
              <w:t>O</w:t>
            </w:r>
          </w:p>
        </w:tc>
        <w:tc>
          <w:tcPr>
            <w:tcW w:w="769" w:type="dxa"/>
          </w:tcPr>
          <w:p w14:paraId="7AF559EF"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296</w:t>
            </w:r>
          </w:p>
        </w:tc>
        <w:tc>
          <w:tcPr>
            <w:tcW w:w="836" w:type="dxa"/>
          </w:tcPr>
          <w:p w14:paraId="31880D9A"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0.72</w:t>
            </w:r>
          </w:p>
        </w:tc>
        <w:tc>
          <w:tcPr>
            <w:tcW w:w="885" w:type="dxa"/>
          </w:tcPr>
          <w:p w14:paraId="4B7E9673"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0.13</w:t>
            </w:r>
          </w:p>
        </w:tc>
        <w:tc>
          <w:tcPr>
            <w:tcW w:w="1080" w:type="dxa"/>
          </w:tcPr>
          <w:p w14:paraId="525E9AE2"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sz w:val="24"/>
                <w:szCs w:val="24"/>
              </w:rPr>
              <w:t>41, 81, 296</w:t>
            </w:r>
          </w:p>
        </w:tc>
        <w:tc>
          <w:tcPr>
            <w:tcW w:w="2119" w:type="dxa"/>
          </w:tcPr>
          <w:p w14:paraId="1268B987"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noProof/>
                <w:sz w:val="24"/>
                <w:szCs w:val="24"/>
              </w:rPr>
              <w:drawing>
                <wp:inline distT="0" distB="0" distL="0" distR="0" wp14:anchorId="0379F0AC" wp14:editId="61169F87">
                  <wp:extent cx="613410" cy="378871"/>
                  <wp:effectExtent l="0" t="0" r="0" b="0"/>
                  <wp:docPr id="1547578348" name="Picture 4" descr="C20H4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20H40O"/>
                          <pic:cNvPicPr>
                            <a:picLocks noChangeAspect="1" noChangeArrowheads="1"/>
                          </pic:cNvPicPr>
                        </pic:nvPicPr>
                        <pic:blipFill>
                          <a:blip r:embed="rId21">
                            <a:biLevel thresh="75000"/>
                            <a:extLst>
                              <a:ext uri="{28A0092B-C50C-407E-A947-70E740481C1C}">
                                <a14:useLocalDpi xmlns:a14="http://schemas.microsoft.com/office/drawing/2010/main" val="0"/>
                              </a:ext>
                            </a:extLst>
                          </a:blip>
                          <a:srcRect/>
                          <a:stretch>
                            <a:fillRect/>
                          </a:stretch>
                        </pic:blipFill>
                        <pic:spPr bwMode="auto">
                          <a:xfrm>
                            <a:off x="0" y="0"/>
                            <a:ext cx="617963" cy="381683"/>
                          </a:xfrm>
                          <a:prstGeom prst="rect">
                            <a:avLst/>
                          </a:prstGeom>
                          <a:noFill/>
                          <a:ln>
                            <a:noFill/>
                          </a:ln>
                        </pic:spPr>
                      </pic:pic>
                    </a:graphicData>
                  </a:graphic>
                </wp:inline>
              </w:drawing>
            </w:r>
          </w:p>
        </w:tc>
      </w:tr>
      <w:tr w:rsidR="000D08CF" w:rsidRPr="002A4185" w14:paraId="2139C75C" w14:textId="77777777" w:rsidTr="00927887">
        <w:tc>
          <w:tcPr>
            <w:tcW w:w="754" w:type="dxa"/>
          </w:tcPr>
          <w:p w14:paraId="287DF15B"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13</w:t>
            </w:r>
          </w:p>
        </w:tc>
        <w:tc>
          <w:tcPr>
            <w:tcW w:w="836" w:type="dxa"/>
          </w:tcPr>
          <w:p w14:paraId="02A0FF7D"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23.25</w:t>
            </w:r>
          </w:p>
        </w:tc>
        <w:tc>
          <w:tcPr>
            <w:tcW w:w="2131" w:type="dxa"/>
          </w:tcPr>
          <w:p w14:paraId="75760033"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8,11,14-Eicosatrienoic acid, (Z,Z,Z)-</w:t>
            </w:r>
          </w:p>
        </w:tc>
        <w:tc>
          <w:tcPr>
            <w:tcW w:w="1223" w:type="dxa"/>
          </w:tcPr>
          <w:p w14:paraId="4AF2A1A9" w14:textId="77777777" w:rsidR="000D08CF" w:rsidRPr="002A4185" w:rsidRDefault="000D08CF" w:rsidP="007C0EE9">
            <w:pPr>
              <w:spacing w:line="360" w:lineRule="auto"/>
              <w:jc w:val="both"/>
              <w:rPr>
                <w:rFonts w:ascii="Times New Roman" w:hAnsi="Times New Roman" w:cs="Times New Roman"/>
                <w:color w:val="000000"/>
                <w:sz w:val="24"/>
                <w:szCs w:val="24"/>
                <w:shd w:val="clear" w:color="auto" w:fill="FFFFFF"/>
              </w:rPr>
            </w:pPr>
            <w:r w:rsidRPr="002A4185">
              <w:rPr>
                <w:rFonts w:ascii="Times New Roman" w:hAnsi="Times New Roman" w:cs="Times New Roman"/>
                <w:color w:val="000000"/>
                <w:sz w:val="24"/>
                <w:szCs w:val="24"/>
                <w:shd w:val="clear" w:color="auto" w:fill="FFFFFF"/>
              </w:rPr>
              <w:t> C</w:t>
            </w:r>
            <w:r w:rsidRPr="002A4185">
              <w:rPr>
                <w:rFonts w:ascii="Times New Roman" w:hAnsi="Times New Roman" w:cs="Times New Roman"/>
                <w:color w:val="000000"/>
                <w:sz w:val="24"/>
                <w:szCs w:val="24"/>
                <w:shd w:val="clear" w:color="auto" w:fill="FFFFFF"/>
                <w:vertAlign w:val="subscript"/>
              </w:rPr>
              <w:t>20</w:t>
            </w:r>
            <w:r w:rsidRPr="002A4185">
              <w:rPr>
                <w:rFonts w:ascii="Times New Roman" w:hAnsi="Times New Roman" w:cs="Times New Roman"/>
                <w:color w:val="000000"/>
                <w:sz w:val="24"/>
                <w:szCs w:val="24"/>
                <w:shd w:val="clear" w:color="auto" w:fill="FFFFFF"/>
              </w:rPr>
              <w:t>H</w:t>
            </w:r>
            <w:r w:rsidRPr="002A4185">
              <w:rPr>
                <w:rFonts w:ascii="Times New Roman" w:hAnsi="Times New Roman" w:cs="Times New Roman"/>
                <w:color w:val="000000"/>
                <w:sz w:val="24"/>
                <w:szCs w:val="24"/>
                <w:shd w:val="clear" w:color="auto" w:fill="FFFFFF"/>
                <w:vertAlign w:val="subscript"/>
              </w:rPr>
              <w:t>34</w:t>
            </w:r>
            <w:r w:rsidRPr="002A4185">
              <w:rPr>
                <w:rFonts w:ascii="Times New Roman" w:hAnsi="Times New Roman" w:cs="Times New Roman"/>
                <w:color w:val="000000"/>
                <w:sz w:val="24"/>
                <w:szCs w:val="24"/>
                <w:shd w:val="clear" w:color="auto" w:fill="FFFFFF"/>
              </w:rPr>
              <w:t>O</w:t>
            </w:r>
            <w:r w:rsidRPr="002A4185">
              <w:rPr>
                <w:rFonts w:ascii="Times New Roman" w:hAnsi="Times New Roman" w:cs="Times New Roman"/>
                <w:color w:val="000000"/>
                <w:sz w:val="24"/>
                <w:szCs w:val="24"/>
                <w:shd w:val="clear" w:color="auto" w:fill="FFFFFF"/>
                <w:vertAlign w:val="subscript"/>
              </w:rPr>
              <w:t>2</w:t>
            </w:r>
          </w:p>
        </w:tc>
        <w:tc>
          <w:tcPr>
            <w:tcW w:w="769" w:type="dxa"/>
          </w:tcPr>
          <w:p w14:paraId="5930A7FC"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306</w:t>
            </w:r>
          </w:p>
        </w:tc>
        <w:tc>
          <w:tcPr>
            <w:tcW w:w="836" w:type="dxa"/>
          </w:tcPr>
          <w:p w14:paraId="3AA95559"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2.91</w:t>
            </w:r>
          </w:p>
        </w:tc>
        <w:tc>
          <w:tcPr>
            <w:tcW w:w="885" w:type="dxa"/>
          </w:tcPr>
          <w:p w14:paraId="0D3C1944"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3.97</w:t>
            </w:r>
          </w:p>
        </w:tc>
        <w:tc>
          <w:tcPr>
            <w:tcW w:w="1080" w:type="dxa"/>
          </w:tcPr>
          <w:p w14:paraId="55A208B0"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1, 79, 306</w:t>
            </w:r>
          </w:p>
        </w:tc>
        <w:tc>
          <w:tcPr>
            <w:tcW w:w="2119" w:type="dxa"/>
          </w:tcPr>
          <w:p w14:paraId="4434309D" w14:textId="77777777" w:rsidR="000D08CF" w:rsidRPr="002A4185" w:rsidRDefault="000D08CF" w:rsidP="007C0EE9">
            <w:pPr>
              <w:spacing w:line="360" w:lineRule="auto"/>
              <w:jc w:val="both"/>
              <w:rPr>
                <w:rFonts w:ascii="Times New Roman" w:hAnsi="Times New Roman" w:cs="Times New Roman"/>
                <w:noProof/>
                <w:sz w:val="24"/>
                <w:szCs w:val="24"/>
              </w:rPr>
            </w:pPr>
            <w:r w:rsidRPr="002A4185">
              <w:rPr>
                <w:rFonts w:ascii="Times New Roman" w:hAnsi="Times New Roman" w:cs="Times New Roman"/>
                <w:noProof/>
                <w:sz w:val="24"/>
                <w:szCs w:val="24"/>
              </w:rPr>
              <w:drawing>
                <wp:inline distT="0" distB="0" distL="0" distR="0" wp14:anchorId="7E17DF28" wp14:editId="0193ED9E">
                  <wp:extent cx="800100" cy="442722"/>
                  <wp:effectExtent l="0" t="0" r="0" b="0"/>
                  <wp:docPr id="449842860" name="Picture 3" descr="C20H34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20H34O2"/>
                          <pic:cNvPicPr>
                            <a:picLocks noChangeAspect="1" noChangeArrowheads="1"/>
                          </pic:cNvPicPr>
                        </pic:nvPicPr>
                        <pic:blipFill>
                          <a:blip r:embed="rId22">
                            <a:biLevel thresh="75000"/>
                            <a:extLst>
                              <a:ext uri="{28A0092B-C50C-407E-A947-70E740481C1C}">
                                <a14:useLocalDpi xmlns:a14="http://schemas.microsoft.com/office/drawing/2010/main" val="0"/>
                              </a:ext>
                            </a:extLst>
                          </a:blip>
                          <a:srcRect/>
                          <a:stretch>
                            <a:fillRect/>
                          </a:stretch>
                        </pic:blipFill>
                        <pic:spPr bwMode="auto">
                          <a:xfrm>
                            <a:off x="0" y="0"/>
                            <a:ext cx="803618" cy="444669"/>
                          </a:xfrm>
                          <a:prstGeom prst="rect">
                            <a:avLst/>
                          </a:prstGeom>
                          <a:noFill/>
                          <a:ln>
                            <a:noFill/>
                          </a:ln>
                        </pic:spPr>
                      </pic:pic>
                    </a:graphicData>
                  </a:graphic>
                </wp:inline>
              </w:drawing>
            </w:r>
          </w:p>
        </w:tc>
      </w:tr>
      <w:tr w:rsidR="000D08CF" w:rsidRPr="002A4185" w14:paraId="4F994B3C" w14:textId="77777777" w:rsidTr="00927887">
        <w:tc>
          <w:tcPr>
            <w:tcW w:w="754" w:type="dxa"/>
          </w:tcPr>
          <w:p w14:paraId="40A1E379"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14</w:t>
            </w:r>
          </w:p>
        </w:tc>
        <w:tc>
          <w:tcPr>
            <w:tcW w:w="836" w:type="dxa"/>
          </w:tcPr>
          <w:p w14:paraId="1DA064A3"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24.98</w:t>
            </w:r>
          </w:p>
        </w:tc>
        <w:tc>
          <w:tcPr>
            <w:tcW w:w="2131" w:type="dxa"/>
          </w:tcPr>
          <w:p w14:paraId="2D41863A"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Lup-20(29)-en-3-ol, acetate, (3β)-</w:t>
            </w:r>
          </w:p>
        </w:tc>
        <w:tc>
          <w:tcPr>
            <w:tcW w:w="1223" w:type="dxa"/>
          </w:tcPr>
          <w:p w14:paraId="45C71DB6" w14:textId="77777777" w:rsidR="000D08CF" w:rsidRPr="002A4185" w:rsidRDefault="000D08CF" w:rsidP="007C0EE9">
            <w:pPr>
              <w:spacing w:line="360" w:lineRule="auto"/>
              <w:jc w:val="both"/>
              <w:rPr>
                <w:rFonts w:ascii="Times New Roman" w:hAnsi="Times New Roman" w:cs="Times New Roman"/>
                <w:color w:val="000000"/>
                <w:sz w:val="24"/>
                <w:szCs w:val="24"/>
                <w:shd w:val="clear" w:color="auto" w:fill="FFFFFF"/>
              </w:rPr>
            </w:pPr>
            <w:r w:rsidRPr="002A4185">
              <w:rPr>
                <w:rFonts w:ascii="Times New Roman" w:hAnsi="Times New Roman" w:cs="Times New Roman"/>
                <w:color w:val="000000"/>
                <w:sz w:val="24"/>
                <w:szCs w:val="24"/>
                <w:shd w:val="clear" w:color="auto" w:fill="FFFFFF"/>
              </w:rPr>
              <w:t>C</w:t>
            </w:r>
            <w:r w:rsidRPr="002A4185">
              <w:rPr>
                <w:rFonts w:ascii="Times New Roman" w:hAnsi="Times New Roman" w:cs="Times New Roman"/>
                <w:color w:val="000000"/>
                <w:sz w:val="24"/>
                <w:szCs w:val="24"/>
                <w:shd w:val="clear" w:color="auto" w:fill="FFFFFF"/>
                <w:vertAlign w:val="subscript"/>
              </w:rPr>
              <w:t>32</w:t>
            </w:r>
            <w:r w:rsidRPr="002A4185">
              <w:rPr>
                <w:rFonts w:ascii="Times New Roman" w:hAnsi="Times New Roman" w:cs="Times New Roman"/>
                <w:color w:val="000000"/>
                <w:sz w:val="24"/>
                <w:szCs w:val="24"/>
                <w:shd w:val="clear" w:color="auto" w:fill="FFFFFF"/>
              </w:rPr>
              <w:t>H</w:t>
            </w:r>
            <w:r w:rsidRPr="002A4185">
              <w:rPr>
                <w:rFonts w:ascii="Times New Roman" w:hAnsi="Times New Roman" w:cs="Times New Roman"/>
                <w:color w:val="000000"/>
                <w:sz w:val="24"/>
                <w:szCs w:val="24"/>
                <w:shd w:val="clear" w:color="auto" w:fill="FFFFFF"/>
                <w:vertAlign w:val="subscript"/>
              </w:rPr>
              <w:t>52</w:t>
            </w:r>
            <w:r w:rsidRPr="002A4185">
              <w:rPr>
                <w:rFonts w:ascii="Times New Roman" w:hAnsi="Times New Roman" w:cs="Times New Roman"/>
                <w:color w:val="000000"/>
                <w:sz w:val="24"/>
                <w:szCs w:val="24"/>
                <w:shd w:val="clear" w:color="auto" w:fill="FFFFFF"/>
              </w:rPr>
              <w:t>O</w:t>
            </w:r>
            <w:r w:rsidRPr="002A4185">
              <w:rPr>
                <w:rFonts w:ascii="Times New Roman" w:hAnsi="Times New Roman" w:cs="Times New Roman"/>
                <w:color w:val="000000"/>
                <w:sz w:val="24"/>
                <w:szCs w:val="24"/>
                <w:shd w:val="clear" w:color="auto" w:fill="FFFFFF"/>
                <w:vertAlign w:val="subscript"/>
              </w:rPr>
              <w:t>2</w:t>
            </w:r>
          </w:p>
        </w:tc>
        <w:tc>
          <w:tcPr>
            <w:tcW w:w="769" w:type="dxa"/>
          </w:tcPr>
          <w:p w14:paraId="02CBA344"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468</w:t>
            </w:r>
          </w:p>
        </w:tc>
        <w:tc>
          <w:tcPr>
            <w:tcW w:w="836" w:type="dxa"/>
          </w:tcPr>
          <w:p w14:paraId="59431A81" w14:textId="77777777" w:rsidR="000D08CF" w:rsidRPr="002A4185" w:rsidRDefault="000D08CF" w:rsidP="007C0EE9">
            <w:pPr>
              <w:spacing w:line="360" w:lineRule="auto"/>
              <w:jc w:val="both"/>
              <w:rPr>
                <w:rFonts w:ascii="Times New Roman" w:hAnsi="Times New Roman" w:cs="Times New Roman"/>
                <w:bCs/>
                <w:sz w:val="24"/>
                <w:szCs w:val="24"/>
              </w:rPr>
            </w:pPr>
            <w:r w:rsidRPr="002A4185">
              <w:rPr>
                <w:rFonts w:ascii="Times New Roman" w:hAnsi="Times New Roman" w:cs="Times New Roman"/>
                <w:bCs/>
                <w:sz w:val="24"/>
                <w:szCs w:val="24"/>
              </w:rPr>
              <w:t>3.84</w:t>
            </w:r>
          </w:p>
        </w:tc>
        <w:tc>
          <w:tcPr>
            <w:tcW w:w="885" w:type="dxa"/>
          </w:tcPr>
          <w:p w14:paraId="7E5CA68C"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4.95</w:t>
            </w:r>
          </w:p>
        </w:tc>
        <w:tc>
          <w:tcPr>
            <w:tcW w:w="1080" w:type="dxa"/>
          </w:tcPr>
          <w:p w14:paraId="436E37FA"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sz w:val="24"/>
                <w:szCs w:val="24"/>
              </w:rPr>
              <w:t>43, 95, 468</w:t>
            </w:r>
          </w:p>
        </w:tc>
        <w:tc>
          <w:tcPr>
            <w:tcW w:w="2119" w:type="dxa"/>
          </w:tcPr>
          <w:p w14:paraId="76665A0B" w14:textId="77777777" w:rsidR="000D08CF" w:rsidRPr="002A4185" w:rsidRDefault="000D08CF" w:rsidP="007C0EE9">
            <w:pPr>
              <w:spacing w:line="360" w:lineRule="auto"/>
              <w:jc w:val="both"/>
              <w:rPr>
                <w:rFonts w:ascii="Times New Roman" w:hAnsi="Times New Roman" w:cs="Times New Roman"/>
                <w:noProof/>
                <w:sz w:val="24"/>
                <w:szCs w:val="24"/>
              </w:rPr>
            </w:pPr>
            <w:r w:rsidRPr="002A4185">
              <w:rPr>
                <w:rFonts w:ascii="Times New Roman" w:hAnsi="Times New Roman" w:cs="Times New Roman"/>
                <w:noProof/>
                <w:sz w:val="24"/>
                <w:szCs w:val="24"/>
              </w:rPr>
              <w:drawing>
                <wp:inline distT="0" distB="0" distL="0" distR="0" wp14:anchorId="4571CC0B" wp14:editId="7B1270BC">
                  <wp:extent cx="809454" cy="457200"/>
                  <wp:effectExtent l="0" t="0" r="0" b="0"/>
                  <wp:docPr id="1396400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biLevel thresh="75000"/>
                            <a:extLst>
                              <a:ext uri="{28A0092B-C50C-407E-A947-70E740481C1C}">
                                <a14:useLocalDpi xmlns:a14="http://schemas.microsoft.com/office/drawing/2010/main" val="0"/>
                              </a:ext>
                            </a:extLst>
                          </a:blip>
                          <a:srcRect/>
                          <a:stretch>
                            <a:fillRect/>
                          </a:stretch>
                        </pic:blipFill>
                        <pic:spPr bwMode="auto">
                          <a:xfrm>
                            <a:off x="0" y="0"/>
                            <a:ext cx="817683" cy="461848"/>
                          </a:xfrm>
                          <a:prstGeom prst="rect">
                            <a:avLst/>
                          </a:prstGeom>
                          <a:noFill/>
                        </pic:spPr>
                      </pic:pic>
                    </a:graphicData>
                  </a:graphic>
                </wp:inline>
              </w:drawing>
            </w:r>
          </w:p>
        </w:tc>
      </w:tr>
    </w:tbl>
    <w:p w14:paraId="63BBC051"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noProof/>
          <w:sz w:val="24"/>
          <w:szCs w:val="24"/>
          <w:lang w:val="en-US"/>
        </w:rPr>
        <w:lastRenderedPageBreak/>
        <w:drawing>
          <wp:inline distT="0" distB="0" distL="0" distR="0" wp14:anchorId="5296C58E" wp14:editId="7D25AE13">
            <wp:extent cx="5943600" cy="2073275"/>
            <wp:effectExtent l="0" t="0" r="0" b="0"/>
            <wp:docPr id="1237286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86942" name=""/>
                    <pic:cNvPicPr/>
                  </pic:nvPicPr>
                  <pic:blipFill>
                    <a:blip r:embed="rId24">
                      <a:extLst>
                        <a:ext uri="{BEBA8EAE-BF5A-486C-A8C5-ECC9F3942E4B}">
                          <a14:imgProps xmlns:a14="http://schemas.microsoft.com/office/drawing/2010/main">
                            <a14:imgLayer r:embed="rId25">
                              <a14:imgEffect>
                                <a14:sharpenSoften amount="50000"/>
                              </a14:imgEffect>
                            </a14:imgLayer>
                          </a14:imgProps>
                        </a:ext>
                      </a:extLst>
                    </a:blip>
                    <a:stretch>
                      <a:fillRect/>
                    </a:stretch>
                  </pic:blipFill>
                  <pic:spPr>
                    <a:xfrm>
                      <a:off x="0" y="0"/>
                      <a:ext cx="5943600" cy="2073275"/>
                    </a:xfrm>
                    <a:prstGeom prst="rect">
                      <a:avLst/>
                    </a:prstGeom>
                  </pic:spPr>
                </pic:pic>
              </a:graphicData>
            </a:graphic>
          </wp:inline>
        </w:drawing>
      </w:r>
    </w:p>
    <w:p w14:paraId="34CDCB34" w14:textId="77777777" w:rsidR="000D08CF" w:rsidRPr="002A4185" w:rsidRDefault="000D08CF" w:rsidP="007C0EE9">
      <w:pPr>
        <w:spacing w:line="360" w:lineRule="auto"/>
        <w:jc w:val="both"/>
        <w:rPr>
          <w:rFonts w:ascii="Times New Roman" w:hAnsi="Times New Roman" w:cs="Times New Roman"/>
          <w:sz w:val="24"/>
          <w:szCs w:val="24"/>
        </w:rPr>
      </w:pPr>
      <w:r w:rsidRPr="002A4185">
        <w:rPr>
          <w:rFonts w:ascii="Times New Roman" w:hAnsi="Times New Roman" w:cs="Times New Roman"/>
          <w:noProof/>
          <w:sz w:val="24"/>
          <w:szCs w:val="24"/>
          <w:lang w:val="en-US"/>
        </w:rPr>
        <w:drawing>
          <wp:inline distT="0" distB="0" distL="0" distR="0" wp14:anchorId="299418C6" wp14:editId="31871FCC">
            <wp:extent cx="5943600" cy="3989070"/>
            <wp:effectExtent l="0" t="0" r="0" b="0"/>
            <wp:docPr id="1939801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801759" name=""/>
                    <pic:cNvPicPr/>
                  </pic:nvPicPr>
                  <pic:blipFill>
                    <a:blip r:embed="rId26">
                      <a:extLst>
                        <a:ext uri="{BEBA8EAE-BF5A-486C-A8C5-ECC9F3942E4B}">
                          <a14:imgProps xmlns:a14="http://schemas.microsoft.com/office/drawing/2010/main">
                            <a14:imgLayer r:embed="rId27">
                              <a14:imgEffect>
                                <a14:sharpenSoften amount="50000"/>
                              </a14:imgEffect>
                            </a14:imgLayer>
                          </a14:imgProps>
                        </a:ext>
                      </a:extLst>
                    </a:blip>
                    <a:stretch>
                      <a:fillRect/>
                    </a:stretch>
                  </pic:blipFill>
                  <pic:spPr>
                    <a:xfrm>
                      <a:off x="0" y="0"/>
                      <a:ext cx="5943600" cy="3989070"/>
                    </a:xfrm>
                    <a:prstGeom prst="rect">
                      <a:avLst/>
                    </a:prstGeom>
                  </pic:spPr>
                </pic:pic>
              </a:graphicData>
            </a:graphic>
          </wp:inline>
        </w:drawing>
      </w:r>
    </w:p>
    <w:p w14:paraId="55F95352" w14:textId="35DCEB36" w:rsidR="000D08CF" w:rsidRPr="002A4185" w:rsidRDefault="000D08CF" w:rsidP="007C0EE9">
      <w:pPr>
        <w:spacing w:line="360" w:lineRule="auto"/>
        <w:jc w:val="both"/>
        <w:rPr>
          <w:rFonts w:ascii="Times New Roman" w:hAnsi="Times New Roman" w:cs="Times New Roman"/>
          <w:i/>
          <w:iCs/>
          <w:sz w:val="24"/>
          <w:szCs w:val="24"/>
        </w:rPr>
      </w:pPr>
      <w:r w:rsidRPr="002A4185">
        <w:rPr>
          <w:rFonts w:ascii="Times New Roman" w:hAnsi="Times New Roman" w:cs="Times New Roman"/>
          <w:sz w:val="24"/>
          <w:szCs w:val="24"/>
        </w:rPr>
        <w:t>Figure 2: Gas Chromatography Spectrum of</w:t>
      </w:r>
      <w:r w:rsidRPr="002A4185">
        <w:rPr>
          <w:rFonts w:ascii="Times New Roman" w:hAnsi="Times New Roman" w:cs="Times New Roman"/>
          <w:b/>
          <w:bCs/>
          <w:sz w:val="24"/>
          <w:szCs w:val="24"/>
        </w:rPr>
        <w:t xml:space="preserve"> </w:t>
      </w:r>
      <w:r w:rsidR="000256D2" w:rsidRPr="000256D2">
        <w:rPr>
          <w:rFonts w:ascii="Times New Roman" w:hAnsi="Times New Roman" w:cs="Times New Roman"/>
          <w:i/>
          <w:iCs/>
          <w:sz w:val="24"/>
          <w:szCs w:val="24"/>
        </w:rPr>
        <w:t xml:space="preserve">G. sepium </w:t>
      </w:r>
    </w:p>
    <w:bookmarkEnd w:id="4"/>
    <w:p w14:paraId="07BB7414" w14:textId="77777777" w:rsidR="00E82065" w:rsidRPr="002A4185" w:rsidRDefault="00A623EF" w:rsidP="007C0EE9">
      <w:pPr>
        <w:autoSpaceDE w:val="0"/>
        <w:autoSpaceDN w:val="0"/>
        <w:adjustRightInd w:val="0"/>
        <w:spacing w:after="0" w:line="360" w:lineRule="auto"/>
        <w:ind w:firstLine="720"/>
        <w:jc w:val="both"/>
        <w:rPr>
          <w:rFonts w:ascii="Times New Roman" w:hAnsi="Times New Roman" w:cs="Times New Roman"/>
          <w:sz w:val="24"/>
          <w:szCs w:val="24"/>
        </w:rPr>
      </w:pPr>
      <w:r w:rsidRPr="002A4185">
        <w:rPr>
          <w:rFonts w:ascii="Times New Roman" w:hAnsi="Times New Roman" w:cs="Times New Roman"/>
          <w:b/>
          <w:bCs/>
          <w:sz w:val="24"/>
          <w:szCs w:val="24"/>
        </w:rPr>
        <w:t>DISCUSSION</w:t>
      </w:r>
      <w:r w:rsidRPr="002A4185">
        <w:rPr>
          <w:rFonts w:ascii="Times New Roman" w:hAnsi="Times New Roman" w:cs="Times New Roman"/>
          <w:sz w:val="24"/>
          <w:szCs w:val="24"/>
        </w:rPr>
        <w:t xml:space="preserve"> </w:t>
      </w:r>
      <w:r w:rsidRPr="002A4185">
        <w:rPr>
          <w:rFonts w:ascii="Times New Roman" w:hAnsi="Times New Roman" w:cs="Times New Roman"/>
          <w:sz w:val="24"/>
          <w:szCs w:val="24"/>
        </w:rPr>
        <w:tab/>
      </w:r>
    </w:p>
    <w:p w14:paraId="316E9D72" w14:textId="141E0A90" w:rsidR="00E859EF" w:rsidRPr="002A4185" w:rsidRDefault="00E859EF" w:rsidP="007C0EE9">
      <w:pPr>
        <w:autoSpaceDE w:val="0"/>
        <w:autoSpaceDN w:val="0"/>
        <w:adjustRightInd w:val="0"/>
        <w:spacing w:after="0" w:line="360" w:lineRule="auto"/>
        <w:ind w:firstLine="720"/>
        <w:jc w:val="both"/>
        <w:rPr>
          <w:rFonts w:ascii="Times New Roman" w:hAnsi="Times New Roman" w:cs="Times New Roman"/>
          <w:sz w:val="24"/>
          <w:szCs w:val="24"/>
        </w:rPr>
      </w:pPr>
      <w:r w:rsidRPr="002A4185">
        <w:rPr>
          <w:rFonts w:ascii="Times New Roman" w:hAnsi="Times New Roman" w:cs="Times New Roman"/>
          <w:sz w:val="24"/>
          <w:szCs w:val="24"/>
        </w:rPr>
        <w:t xml:space="preserve">Standard method was adopted to determine zone of inhibition to screen the extract against antibacterial activity. It was screened against a collection of four pathogenic strains of gram positive and gram-negative organism using disc diffusion </w:t>
      </w:r>
      <w:r w:rsidR="000256D2" w:rsidRPr="002A4185">
        <w:rPr>
          <w:rFonts w:ascii="Times New Roman" w:hAnsi="Times New Roman" w:cs="Times New Roman"/>
          <w:sz w:val="24"/>
          <w:szCs w:val="24"/>
        </w:rPr>
        <w:t>method [</w:t>
      </w:r>
      <w:r w:rsidR="005169A7" w:rsidRPr="002A4185">
        <w:rPr>
          <w:rFonts w:ascii="Times New Roman" w:hAnsi="Times New Roman" w:cs="Times New Roman"/>
          <w:sz w:val="24"/>
          <w:szCs w:val="24"/>
        </w:rPr>
        <w:t>15]</w:t>
      </w:r>
      <w:r w:rsidRPr="002A4185">
        <w:rPr>
          <w:rFonts w:ascii="Times New Roman" w:hAnsi="Times New Roman" w:cs="Times New Roman"/>
          <w:sz w:val="24"/>
          <w:szCs w:val="24"/>
        </w:rPr>
        <w:t xml:space="preserve">. The current work indicates that the Methanol leaf extracts of </w:t>
      </w:r>
      <w:r w:rsidR="000256D2" w:rsidRPr="000256D2">
        <w:rPr>
          <w:rFonts w:ascii="Times New Roman" w:hAnsi="Times New Roman" w:cs="Times New Roman"/>
          <w:i/>
          <w:sz w:val="24"/>
          <w:szCs w:val="24"/>
        </w:rPr>
        <w:t xml:space="preserve">G. sepium </w:t>
      </w:r>
      <w:r w:rsidR="000256D2" w:rsidRPr="002A4185">
        <w:rPr>
          <w:rFonts w:ascii="Times New Roman" w:hAnsi="Times New Roman" w:cs="Times New Roman"/>
          <w:sz w:val="24"/>
          <w:szCs w:val="24"/>
        </w:rPr>
        <w:t>showed</w:t>
      </w:r>
      <w:r w:rsidRPr="002A4185">
        <w:rPr>
          <w:rFonts w:ascii="Times New Roman" w:hAnsi="Times New Roman" w:cs="Times New Roman"/>
          <w:sz w:val="24"/>
          <w:szCs w:val="24"/>
        </w:rPr>
        <w:t xml:space="preserve"> greater activity against the clinical bacterial pathogen viz. E. coli and Klebsiella pneumonia. It was reported in other literature that the antibacterial activity attributed to the presence of various chemical agents in the leaf extract such as essential oils, </w:t>
      </w:r>
      <w:proofErr w:type="spellStart"/>
      <w:r w:rsidRPr="002A4185">
        <w:rPr>
          <w:rFonts w:ascii="Times New Roman" w:hAnsi="Times New Roman" w:cs="Times New Roman"/>
          <w:sz w:val="24"/>
          <w:szCs w:val="24"/>
        </w:rPr>
        <w:t>flavanoids</w:t>
      </w:r>
      <w:proofErr w:type="spellEnd"/>
      <w:r w:rsidRPr="002A4185">
        <w:rPr>
          <w:rFonts w:ascii="Times New Roman" w:hAnsi="Times New Roman" w:cs="Times New Roman"/>
          <w:sz w:val="24"/>
          <w:szCs w:val="24"/>
        </w:rPr>
        <w:t xml:space="preserve">, terpenoids among others that are categorized </w:t>
      </w:r>
      <w:r w:rsidRPr="002A4185">
        <w:rPr>
          <w:rFonts w:ascii="Times New Roman" w:hAnsi="Times New Roman" w:cs="Times New Roman"/>
          <w:sz w:val="24"/>
          <w:szCs w:val="24"/>
        </w:rPr>
        <w:lastRenderedPageBreak/>
        <w:t>as active antimicrobial compounds [16]. The findings of the study reveal to some extent the use of traditional medicinal plants in the treatment of human and animal diseases and validate the idea of ethno botanical approach in the screening of plants as sources of bio active compounds [17]. Methanol extract has shown relatively high level of antibacterial activity that appears to corroborate the traditional therapeutic instances of this plant [18</w:t>
      </w:r>
      <w:r w:rsidR="005169A7" w:rsidRPr="002A4185">
        <w:rPr>
          <w:rFonts w:ascii="Times New Roman" w:hAnsi="Times New Roman" w:cs="Times New Roman"/>
          <w:sz w:val="24"/>
          <w:szCs w:val="24"/>
        </w:rPr>
        <w:t>]</w:t>
      </w:r>
      <w:r w:rsidRPr="002A4185">
        <w:rPr>
          <w:rFonts w:ascii="Times New Roman" w:hAnsi="Times New Roman" w:cs="Times New Roman"/>
          <w:sz w:val="24"/>
          <w:szCs w:val="24"/>
        </w:rPr>
        <w:t xml:space="preserve">. The reason of greater antimicrobial activity in methanol extract could be due to the presence of compounds in it or it could be due to the synergistic effect of the major and minor components. It is generally accepted that the activity of plant extract against the microorganism is due to the presence of the major constituents but in synergism the minor constituents also have significant contribution hence the entire extract is more active than the combination of the major constituents [19]. </w:t>
      </w:r>
    </w:p>
    <w:p w14:paraId="7B3AA097" w14:textId="324BEF3D" w:rsidR="00E859EF" w:rsidRPr="002A4185" w:rsidRDefault="00E859EF" w:rsidP="007C0EE9">
      <w:pPr>
        <w:autoSpaceDE w:val="0"/>
        <w:autoSpaceDN w:val="0"/>
        <w:adjustRightInd w:val="0"/>
        <w:spacing w:after="0" w:line="360" w:lineRule="auto"/>
        <w:jc w:val="both"/>
        <w:rPr>
          <w:rFonts w:ascii="Times New Roman" w:hAnsi="Times New Roman" w:cs="Times New Roman"/>
          <w:sz w:val="24"/>
          <w:szCs w:val="24"/>
        </w:rPr>
      </w:pPr>
      <w:r w:rsidRPr="002A4185">
        <w:rPr>
          <w:rFonts w:ascii="Times New Roman" w:hAnsi="Times New Roman" w:cs="Times New Roman"/>
          <w:sz w:val="24"/>
          <w:szCs w:val="24"/>
        </w:rPr>
        <w:t xml:space="preserve">A </w:t>
      </w:r>
      <w:proofErr w:type="spellStart"/>
      <w:r w:rsidRPr="002A4185">
        <w:rPr>
          <w:rFonts w:ascii="Times New Roman" w:hAnsi="Times New Roman" w:cs="Times New Roman"/>
          <w:sz w:val="24"/>
          <w:szCs w:val="24"/>
        </w:rPr>
        <w:t>physico</w:t>
      </w:r>
      <w:proofErr w:type="spellEnd"/>
      <w:r w:rsidRPr="002A4185">
        <w:rPr>
          <w:rFonts w:ascii="Times New Roman" w:hAnsi="Times New Roman" w:cs="Times New Roman"/>
          <w:sz w:val="24"/>
          <w:szCs w:val="24"/>
        </w:rPr>
        <w:t>-chemical method of analysis known as Fourier transform infrared spectrometry (FTIR) is applied to identify the functional groups of the bioactive components in a plant or other related materials according to the value of the peak in the area of infrared radiation [20]. The FTIR technique identifies the vibrations of bonds in the chemical functional groups and provides the result as a spectrum which may be considered like a biochemical or metabolic fingerprint of the sample. It is possible to elucidate the bond present in the compound by the interpretation of the infrared spectrum absorption [21</w:t>
      </w:r>
      <w:r w:rsidR="005169A7" w:rsidRPr="002A4185">
        <w:rPr>
          <w:rFonts w:ascii="Times New Roman" w:hAnsi="Times New Roman" w:cs="Times New Roman"/>
          <w:sz w:val="24"/>
          <w:szCs w:val="24"/>
        </w:rPr>
        <w:t>].</w:t>
      </w:r>
      <w:r w:rsidRPr="002A4185">
        <w:rPr>
          <w:rFonts w:ascii="Times New Roman" w:hAnsi="Times New Roman" w:cs="Times New Roman"/>
          <w:sz w:val="24"/>
          <w:szCs w:val="24"/>
        </w:rPr>
        <w:t xml:space="preserve"> This study examined the spectral of extract of </w:t>
      </w:r>
      <w:r w:rsidR="000256D2" w:rsidRPr="000256D2">
        <w:rPr>
          <w:rFonts w:ascii="Times New Roman" w:hAnsi="Times New Roman" w:cs="Times New Roman"/>
          <w:i/>
          <w:sz w:val="24"/>
          <w:szCs w:val="24"/>
        </w:rPr>
        <w:t xml:space="preserve">G. sepium </w:t>
      </w:r>
      <w:r w:rsidR="000256D2" w:rsidRPr="002A4185">
        <w:rPr>
          <w:rFonts w:ascii="Times New Roman" w:hAnsi="Times New Roman" w:cs="Times New Roman"/>
          <w:sz w:val="24"/>
          <w:szCs w:val="24"/>
        </w:rPr>
        <w:t>on</w:t>
      </w:r>
      <w:r w:rsidRPr="002A4185">
        <w:rPr>
          <w:rFonts w:ascii="Times New Roman" w:hAnsi="Times New Roman" w:cs="Times New Roman"/>
          <w:sz w:val="24"/>
          <w:szCs w:val="24"/>
        </w:rPr>
        <w:t xml:space="preserve"> the clinical pathogens </w:t>
      </w:r>
      <w:r w:rsidRPr="002A4185">
        <w:rPr>
          <w:rFonts w:ascii="Times New Roman" w:hAnsi="Times New Roman" w:cs="Times New Roman"/>
          <w:i/>
          <w:sz w:val="24"/>
          <w:szCs w:val="24"/>
        </w:rPr>
        <w:t>Klebsiella pneumonia</w:t>
      </w:r>
      <w:r w:rsidRPr="002A4185">
        <w:rPr>
          <w:rFonts w:ascii="Times New Roman" w:hAnsi="Times New Roman" w:cs="Times New Roman"/>
          <w:sz w:val="24"/>
          <w:szCs w:val="24"/>
        </w:rPr>
        <w:t xml:space="preserve"> and </w:t>
      </w:r>
      <w:r w:rsidRPr="002A4185">
        <w:rPr>
          <w:rFonts w:ascii="Times New Roman" w:hAnsi="Times New Roman" w:cs="Times New Roman"/>
          <w:i/>
          <w:sz w:val="24"/>
          <w:szCs w:val="24"/>
        </w:rPr>
        <w:t>E coli</w:t>
      </w:r>
      <w:r w:rsidRPr="002A4185">
        <w:rPr>
          <w:rFonts w:ascii="Times New Roman" w:hAnsi="Times New Roman" w:cs="Times New Roman"/>
          <w:sz w:val="24"/>
          <w:szCs w:val="24"/>
        </w:rPr>
        <w:t xml:space="preserve"> respectively. FTIR analysis of the extract exhibited the following functional groups; the OH stretching in the alcohols and phenols 3598.03 cm</w:t>
      </w:r>
      <w:r w:rsidR="00211561" w:rsidRPr="002A4185">
        <w:rPr>
          <w:rFonts w:ascii="Times New Roman" w:hAnsi="Times New Roman" w:cs="Times New Roman"/>
          <w:sz w:val="24"/>
          <w:szCs w:val="24"/>
          <w:vertAlign w:val="superscript"/>
        </w:rPr>
        <w:t>-1</w:t>
      </w:r>
      <w:r w:rsidRPr="002A4185">
        <w:rPr>
          <w:rFonts w:ascii="Times New Roman" w:hAnsi="Times New Roman" w:cs="Times New Roman"/>
          <w:sz w:val="24"/>
          <w:szCs w:val="24"/>
        </w:rPr>
        <w:t xml:space="preserve">, the C-H stretch of alkanes 2850.42 cm </w:t>
      </w:r>
      <w:r w:rsidR="00211561" w:rsidRPr="002A4185">
        <w:rPr>
          <w:rFonts w:ascii="Times New Roman" w:hAnsi="Times New Roman" w:cs="Times New Roman"/>
          <w:sz w:val="24"/>
          <w:szCs w:val="24"/>
          <w:vertAlign w:val="superscript"/>
        </w:rPr>
        <w:t>-1</w:t>
      </w:r>
      <w:r w:rsidRPr="002A4185">
        <w:rPr>
          <w:rFonts w:ascii="Times New Roman" w:hAnsi="Times New Roman" w:cs="Times New Roman"/>
          <w:sz w:val="24"/>
          <w:szCs w:val="24"/>
        </w:rPr>
        <w:t xml:space="preserve">, the N-H stretch of amines 1936.18 cm </w:t>
      </w:r>
      <w:r w:rsidR="00211561" w:rsidRPr="002A4185">
        <w:rPr>
          <w:rFonts w:ascii="Times New Roman" w:hAnsi="Times New Roman" w:cs="Times New Roman"/>
          <w:sz w:val="24"/>
          <w:szCs w:val="24"/>
          <w:vertAlign w:val="superscript"/>
        </w:rPr>
        <w:t>-1</w:t>
      </w:r>
      <w:r w:rsidRPr="002A4185">
        <w:rPr>
          <w:rFonts w:ascii="Times New Roman" w:hAnsi="Times New Roman" w:cs="Times New Roman"/>
          <w:sz w:val="24"/>
          <w:szCs w:val="24"/>
        </w:rPr>
        <w:t>, the NO</w:t>
      </w:r>
      <w:r w:rsidRPr="002A4185">
        <w:rPr>
          <w:rFonts w:ascii="Times New Roman" w:hAnsi="Times New Roman" w:cs="Times New Roman"/>
          <w:sz w:val="24"/>
          <w:szCs w:val="24"/>
          <w:vertAlign w:val="subscript"/>
        </w:rPr>
        <w:t>2</w:t>
      </w:r>
      <w:r w:rsidRPr="002A4185">
        <w:rPr>
          <w:rFonts w:ascii="Times New Roman" w:hAnsi="Times New Roman" w:cs="Times New Roman"/>
          <w:sz w:val="24"/>
          <w:szCs w:val="24"/>
        </w:rPr>
        <w:t xml:space="preserve"> stretch of </w:t>
      </w:r>
      <w:proofErr w:type="spellStart"/>
      <w:r w:rsidRPr="002A4185">
        <w:rPr>
          <w:rFonts w:ascii="Times New Roman" w:hAnsi="Times New Roman" w:cs="Times New Roman"/>
          <w:sz w:val="24"/>
          <w:szCs w:val="24"/>
        </w:rPr>
        <w:t>nitrocompounds</w:t>
      </w:r>
      <w:proofErr w:type="spellEnd"/>
      <w:r w:rsidRPr="002A4185">
        <w:rPr>
          <w:rFonts w:ascii="Times New Roman" w:hAnsi="Times New Roman" w:cs="Times New Roman"/>
          <w:sz w:val="24"/>
          <w:szCs w:val="24"/>
        </w:rPr>
        <w:t xml:space="preserve"> 1864.32 cm </w:t>
      </w:r>
      <w:r w:rsidR="00211561" w:rsidRPr="002A4185">
        <w:rPr>
          <w:rFonts w:ascii="Times New Roman" w:hAnsi="Times New Roman" w:cs="Times New Roman"/>
          <w:sz w:val="24"/>
          <w:szCs w:val="24"/>
          <w:vertAlign w:val="superscript"/>
        </w:rPr>
        <w:t>-1</w:t>
      </w:r>
      <w:r w:rsidRPr="002A4185">
        <w:rPr>
          <w:rFonts w:ascii="Times New Roman" w:hAnsi="Times New Roman" w:cs="Times New Roman"/>
          <w:sz w:val="24"/>
          <w:szCs w:val="24"/>
        </w:rPr>
        <w:t xml:space="preserve">, the aromatics 793.15 cm </w:t>
      </w:r>
      <w:r w:rsidR="00211561" w:rsidRPr="002A4185">
        <w:rPr>
          <w:rFonts w:ascii="Times New Roman" w:hAnsi="Times New Roman" w:cs="Times New Roman"/>
          <w:sz w:val="24"/>
          <w:szCs w:val="24"/>
          <w:vertAlign w:val="superscript"/>
        </w:rPr>
        <w:t>-1</w:t>
      </w:r>
      <w:r w:rsidRPr="002A4185">
        <w:rPr>
          <w:rFonts w:ascii="Times New Roman" w:hAnsi="Times New Roman" w:cs="Times New Roman"/>
          <w:sz w:val="24"/>
          <w:szCs w:val="24"/>
        </w:rPr>
        <w:t xml:space="preserve"> and the aliphatic amines 631.47</w:t>
      </w:r>
      <w:r w:rsidR="00211561" w:rsidRPr="002A4185">
        <w:rPr>
          <w:rFonts w:ascii="Times New Roman" w:hAnsi="Times New Roman" w:cs="Times New Roman"/>
          <w:sz w:val="24"/>
          <w:szCs w:val="24"/>
        </w:rPr>
        <w:t>.</w:t>
      </w:r>
      <w:r w:rsidRPr="002A4185">
        <w:rPr>
          <w:rFonts w:ascii="Times New Roman" w:hAnsi="Times New Roman" w:cs="Times New Roman"/>
          <w:sz w:val="24"/>
          <w:szCs w:val="24"/>
        </w:rPr>
        <w:t xml:space="preserve"> This was comparable to that of </w:t>
      </w:r>
      <w:proofErr w:type="spellStart"/>
      <w:r w:rsidRPr="002A4185">
        <w:rPr>
          <w:rFonts w:ascii="Times New Roman" w:hAnsi="Times New Roman" w:cs="Times New Roman"/>
          <w:sz w:val="24"/>
          <w:szCs w:val="24"/>
        </w:rPr>
        <w:t>Kareru</w:t>
      </w:r>
      <w:proofErr w:type="spellEnd"/>
      <w:r w:rsidRPr="002A4185">
        <w:rPr>
          <w:rFonts w:ascii="Times New Roman" w:hAnsi="Times New Roman" w:cs="Times New Roman"/>
          <w:sz w:val="24"/>
          <w:szCs w:val="24"/>
        </w:rPr>
        <w:t xml:space="preserve"> et al. [22] finding that reported the </w:t>
      </w:r>
      <w:proofErr w:type="spellStart"/>
      <w:r w:rsidRPr="002A4185">
        <w:rPr>
          <w:rFonts w:ascii="Times New Roman" w:hAnsi="Times New Roman" w:cs="Times New Roman"/>
          <w:i/>
          <w:sz w:val="24"/>
          <w:szCs w:val="24"/>
        </w:rPr>
        <w:t>Globimetula</w:t>
      </w:r>
      <w:proofErr w:type="spellEnd"/>
      <w:r w:rsidRPr="002A4185">
        <w:rPr>
          <w:rFonts w:ascii="Times New Roman" w:hAnsi="Times New Roman" w:cs="Times New Roman"/>
          <w:i/>
          <w:sz w:val="24"/>
          <w:szCs w:val="24"/>
        </w:rPr>
        <w:t xml:space="preserve"> </w:t>
      </w:r>
      <w:proofErr w:type="spellStart"/>
      <w:r w:rsidRPr="002A4185">
        <w:rPr>
          <w:rFonts w:ascii="Times New Roman" w:hAnsi="Times New Roman" w:cs="Times New Roman"/>
          <w:i/>
          <w:sz w:val="24"/>
          <w:szCs w:val="24"/>
        </w:rPr>
        <w:t>braunii</w:t>
      </w:r>
      <w:proofErr w:type="spellEnd"/>
      <w:r w:rsidRPr="002A4185">
        <w:rPr>
          <w:rFonts w:ascii="Times New Roman" w:hAnsi="Times New Roman" w:cs="Times New Roman"/>
          <w:sz w:val="24"/>
          <w:szCs w:val="24"/>
        </w:rPr>
        <w:t xml:space="preserve"> spectral of 1030.83 cm</w:t>
      </w:r>
      <w:r w:rsidR="00211561" w:rsidRPr="002A4185">
        <w:rPr>
          <w:rFonts w:ascii="Times New Roman" w:hAnsi="Times New Roman" w:cs="Times New Roman"/>
          <w:sz w:val="24"/>
          <w:szCs w:val="24"/>
          <w:vertAlign w:val="superscript"/>
        </w:rPr>
        <w:t>-1</w:t>
      </w:r>
      <w:r w:rsidRPr="002A4185">
        <w:rPr>
          <w:rFonts w:ascii="Times New Roman" w:hAnsi="Times New Roman" w:cs="Times New Roman"/>
          <w:sz w:val="24"/>
          <w:szCs w:val="24"/>
        </w:rPr>
        <w:t xml:space="preserve"> (aliphatic amines) and 608.52 cm</w:t>
      </w:r>
      <w:r w:rsidR="00211561" w:rsidRPr="002A4185">
        <w:rPr>
          <w:rFonts w:ascii="Times New Roman" w:hAnsi="Times New Roman" w:cs="Times New Roman"/>
          <w:sz w:val="24"/>
          <w:szCs w:val="24"/>
          <w:vertAlign w:val="superscript"/>
        </w:rPr>
        <w:t>-1</w:t>
      </w:r>
      <w:r w:rsidRPr="002A4185">
        <w:rPr>
          <w:rFonts w:ascii="Times New Roman" w:hAnsi="Times New Roman" w:cs="Times New Roman"/>
          <w:sz w:val="24"/>
          <w:szCs w:val="24"/>
        </w:rPr>
        <w:t xml:space="preserve"> (alkyl halides) of the functional groups of ethyl acetate of the leaf extract. He thought that when alternative solvent was employed various peak feature were recorded in their spectrum but all directing to the same constituent of the </w:t>
      </w:r>
      <w:proofErr w:type="spellStart"/>
      <w:r w:rsidRPr="002A4185">
        <w:rPr>
          <w:rFonts w:ascii="Times New Roman" w:hAnsi="Times New Roman" w:cs="Times New Roman"/>
          <w:i/>
          <w:sz w:val="24"/>
          <w:szCs w:val="24"/>
        </w:rPr>
        <w:t>Globimetula</w:t>
      </w:r>
      <w:proofErr w:type="spellEnd"/>
      <w:r w:rsidRPr="002A4185">
        <w:rPr>
          <w:rFonts w:ascii="Times New Roman" w:hAnsi="Times New Roman" w:cs="Times New Roman"/>
          <w:i/>
          <w:sz w:val="24"/>
          <w:szCs w:val="24"/>
        </w:rPr>
        <w:t xml:space="preserve"> </w:t>
      </w:r>
      <w:proofErr w:type="spellStart"/>
      <w:r w:rsidRPr="002A4185">
        <w:rPr>
          <w:rFonts w:ascii="Times New Roman" w:hAnsi="Times New Roman" w:cs="Times New Roman"/>
          <w:i/>
          <w:sz w:val="24"/>
          <w:szCs w:val="24"/>
        </w:rPr>
        <w:t>braunii</w:t>
      </w:r>
      <w:proofErr w:type="spellEnd"/>
      <w:r w:rsidRPr="002A4185">
        <w:rPr>
          <w:rFonts w:ascii="Times New Roman" w:hAnsi="Times New Roman" w:cs="Times New Roman"/>
          <w:sz w:val="24"/>
          <w:szCs w:val="24"/>
        </w:rPr>
        <w:t>. Variabilities in the spectrums were caused by the capability of each solvent to extract either of the bioactive component that was found in the plant [22].</w:t>
      </w:r>
    </w:p>
    <w:p w14:paraId="1886FA77" w14:textId="2625CC21" w:rsidR="00E859EF" w:rsidRPr="002A4185" w:rsidRDefault="00E859EF" w:rsidP="007C0EE9">
      <w:pPr>
        <w:autoSpaceDE w:val="0"/>
        <w:autoSpaceDN w:val="0"/>
        <w:adjustRightInd w:val="0"/>
        <w:spacing w:after="0" w:line="360" w:lineRule="auto"/>
        <w:jc w:val="both"/>
        <w:rPr>
          <w:rFonts w:ascii="Times New Roman" w:hAnsi="Times New Roman" w:cs="Times New Roman"/>
          <w:sz w:val="24"/>
          <w:szCs w:val="24"/>
        </w:rPr>
      </w:pPr>
      <w:r w:rsidRPr="002A4185">
        <w:rPr>
          <w:rFonts w:ascii="Times New Roman" w:hAnsi="Times New Roman" w:cs="Times New Roman"/>
          <w:sz w:val="24"/>
          <w:szCs w:val="24"/>
        </w:rPr>
        <w:t>The high activity observed in the antibacterial activity of the extract of any medicinal plant has been attributed to the presence of O group in the extract. C vibration was attributed to the strong absorption peak that occurred at 1936.18 cm</w:t>
      </w:r>
      <w:r w:rsidR="00211561" w:rsidRPr="002A4185">
        <w:rPr>
          <w:rFonts w:ascii="Times New Roman" w:hAnsi="Times New Roman" w:cs="Times New Roman"/>
          <w:sz w:val="24"/>
          <w:szCs w:val="24"/>
          <w:vertAlign w:val="superscript"/>
        </w:rPr>
        <w:t>-1</w:t>
      </w:r>
      <w:r w:rsidRPr="002A4185">
        <w:rPr>
          <w:rFonts w:ascii="Times New Roman" w:hAnsi="Times New Roman" w:cs="Times New Roman"/>
          <w:sz w:val="24"/>
          <w:szCs w:val="24"/>
        </w:rPr>
        <w:t xml:space="preserve"> 2850.88 cm</w:t>
      </w:r>
      <w:r w:rsidR="00211561" w:rsidRPr="002A4185">
        <w:rPr>
          <w:rFonts w:ascii="Times New Roman" w:hAnsi="Times New Roman" w:cs="Times New Roman"/>
          <w:sz w:val="24"/>
          <w:szCs w:val="24"/>
          <w:vertAlign w:val="superscript"/>
        </w:rPr>
        <w:t>-1</w:t>
      </w:r>
      <w:r w:rsidRPr="002A4185">
        <w:rPr>
          <w:rFonts w:ascii="Times New Roman" w:hAnsi="Times New Roman" w:cs="Times New Roman"/>
          <w:sz w:val="24"/>
          <w:szCs w:val="24"/>
        </w:rPr>
        <w:t xml:space="preserve"> </w:t>
      </w:r>
      <w:r w:rsidR="005169A7" w:rsidRPr="002A4185">
        <w:rPr>
          <w:rFonts w:ascii="Times New Roman" w:hAnsi="Times New Roman" w:cs="Times New Roman"/>
          <w:sz w:val="24"/>
          <w:szCs w:val="24"/>
        </w:rPr>
        <w:t>[23]</w:t>
      </w:r>
      <w:r w:rsidRPr="002A4185">
        <w:rPr>
          <w:rFonts w:ascii="Times New Roman" w:hAnsi="Times New Roman" w:cs="Times New Roman"/>
          <w:sz w:val="24"/>
          <w:szCs w:val="24"/>
        </w:rPr>
        <w:t>. This was a result of the presence of alkanes and alkenes in this region that resulted to such vibration.  Absorptions occurring between 2800-3000</w:t>
      </w:r>
      <w:r w:rsidR="00211561" w:rsidRPr="002A4185">
        <w:rPr>
          <w:rFonts w:ascii="Times New Roman" w:hAnsi="Times New Roman" w:cs="Times New Roman"/>
          <w:sz w:val="24"/>
          <w:szCs w:val="24"/>
        </w:rPr>
        <w:t xml:space="preserve"> </w:t>
      </w:r>
      <w:r w:rsidRPr="002A4185">
        <w:rPr>
          <w:rFonts w:ascii="Times New Roman" w:hAnsi="Times New Roman" w:cs="Times New Roman"/>
          <w:sz w:val="24"/>
          <w:szCs w:val="24"/>
        </w:rPr>
        <w:t xml:space="preserve">cm </w:t>
      </w:r>
      <w:r w:rsidR="00211561" w:rsidRPr="002A4185">
        <w:rPr>
          <w:rFonts w:ascii="Times New Roman" w:hAnsi="Times New Roman" w:cs="Times New Roman"/>
          <w:sz w:val="24"/>
          <w:szCs w:val="24"/>
          <w:vertAlign w:val="superscript"/>
        </w:rPr>
        <w:t>-1</w:t>
      </w:r>
      <w:r w:rsidRPr="002A4185">
        <w:rPr>
          <w:rFonts w:ascii="Times New Roman" w:hAnsi="Times New Roman" w:cs="Times New Roman"/>
          <w:sz w:val="24"/>
          <w:szCs w:val="24"/>
        </w:rPr>
        <w:t xml:space="preserve"> were attributed to the C stretching vibrations mostly </w:t>
      </w:r>
      <w:r w:rsidRPr="002A4185">
        <w:rPr>
          <w:rFonts w:ascii="Times New Roman" w:hAnsi="Times New Roman" w:cs="Times New Roman"/>
          <w:sz w:val="24"/>
          <w:szCs w:val="24"/>
        </w:rPr>
        <w:lastRenderedPageBreak/>
        <w:t>produced by lipids. Other bands belong to C-O at 1735.99 cm</w:t>
      </w:r>
      <w:r w:rsidR="00211561" w:rsidRPr="002A4185">
        <w:rPr>
          <w:rFonts w:ascii="Times New Roman" w:hAnsi="Times New Roman" w:cs="Times New Roman"/>
          <w:sz w:val="24"/>
          <w:szCs w:val="24"/>
          <w:vertAlign w:val="superscript"/>
        </w:rPr>
        <w:t>-1</w:t>
      </w:r>
      <w:r w:rsidRPr="002A4185">
        <w:rPr>
          <w:rFonts w:ascii="Times New Roman" w:hAnsi="Times New Roman" w:cs="Times New Roman"/>
          <w:sz w:val="24"/>
          <w:szCs w:val="24"/>
        </w:rPr>
        <w:t>, 1261.49 cm</w:t>
      </w:r>
      <w:r w:rsidR="00211561" w:rsidRPr="002A4185">
        <w:rPr>
          <w:rFonts w:ascii="Times New Roman" w:hAnsi="Times New Roman" w:cs="Times New Roman"/>
          <w:sz w:val="24"/>
          <w:szCs w:val="24"/>
          <w:vertAlign w:val="superscript"/>
        </w:rPr>
        <w:t>-1</w:t>
      </w:r>
      <w:r w:rsidRPr="002A4185">
        <w:rPr>
          <w:rFonts w:ascii="Times New Roman" w:hAnsi="Times New Roman" w:cs="Times New Roman"/>
          <w:sz w:val="24"/>
          <w:szCs w:val="24"/>
        </w:rPr>
        <w:t>, 1101.39 cm</w:t>
      </w:r>
      <w:r w:rsidR="00211561" w:rsidRPr="002A4185">
        <w:rPr>
          <w:rFonts w:ascii="Times New Roman" w:hAnsi="Times New Roman" w:cs="Times New Roman"/>
          <w:sz w:val="24"/>
          <w:szCs w:val="24"/>
          <w:vertAlign w:val="superscript"/>
        </w:rPr>
        <w:t>-1</w:t>
      </w:r>
      <w:r w:rsidRPr="002A4185">
        <w:rPr>
          <w:rFonts w:ascii="Times New Roman" w:hAnsi="Times New Roman" w:cs="Times New Roman"/>
          <w:sz w:val="24"/>
          <w:szCs w:val="24"/>
        </w:rPr>
        <w:t xml:space="preserve"> which may be because of the presence of Esters, ketones, saturated aliphatic and Aldehydes [24]. The absorption 1101.39 cm </w:t>
      </w:r>
      <w:r w:rsidR="00211561" w:rsidRPr="002A4185">
        <w:rPr>
          <w:rFonts w:ascii="Times New Roman" w:hAnsi="Times New Roman" w:cs="Times New Roman"/>
          <w:sz w:val="24"/>
          <w:szCs w:val="24"/>
          <w:vertAlign w:val="superscript"/>
        </w:rPr>
        <w:t>-</w:t>
      </w:r>
      <w:r w:rsidRPr="002A4185">
        <w:rPr>
          <w:rFonts w:ascii="Times New Roman" w:hAnsi="Times New Roman" w:cs="Times New Roman"/>
          <w:sz w:val="24"/>
          <w:szCs w:val="24"/>
          <w:vertAlign w:val="superscript"/>
        </w:rPr>
        <w:t>1</w:t>
      </w:r>
      <w:r w:rsidR="000256D2">
        <w:rPr>
          <w:rFonts w:ascii="Times New Roman" w:hAnsi="Times New Roman" w:cs="Times New Roman"/>
          <w:sz w:val="24"/>
          <w:szCs w:val="24"/>
        </w:rPr>
        <w:t xml:space="preserve"> </w:t>
      </w:r>
      <w:r w:rsidRPr="002A4185">
        <w:rPr>
          <w:rFonts w:ascii="Times New Roman" w:hAnsi="Times New Roman" w:cs="Times New Roman"/>
          <w:sz w:val="24"/>
          <w:szCs w:val="24"/>
        </w:rPr>
        <w:t xml:space="preserve">indicated the confirmation of flavonoid in C-O Stretching. The presence of saponins type of compounds of methanolic extract of </w:t>
      </w:r>
      <w:r w:rsidRPr="002A4185">
        <w:rPr>
          <w:rFonts w:ascii="Times New Roman" w:hAnsi="Times New Roman" w:cs="Times New Roman"/>
          <w:i/>
          <w:sz w:val="24"/>
          <w:szCs w:val="24"/>
        </w:rPr>
        <w:t>G. sepium</w:t>
      </w:r>
      <w:r w:rsidRPr="002A4185">
        <w:rPr>
          <w:rFonts w:ascii="Times New Roman" w:hAnsi="Times New Roman" w:cs="Times New Roman"/>
          <w:sz w:val="24"/>
          <w:szCs w:val="24"/>
        </w:rPr>
        <w:t xml:space="preserve"> is verified by the</w:t>
      </w:r>
      <w:r w:rsidR="000256D2">
        <w:rPr>
          <w:rFonts w:ascii="Times New Roman" w:hAnsi="Times New Roman" w:cs="Times New Roman"/>
          <w:sz w:val="24"/>
          <w:szCs w:val="24"/>
        </w:rPr>
        <w:t xml:space="preserve"> presence</w:t>
      </w:r>
      <w:r w:rsidRPr="002A4185">
        <w:rPr>
          <w:rFonts w:ascii="Times New Roman" w:hAnsi="Times New Roman" w:cs="Times New Roman"/>
          <w:sz w:val="24"/>
          <w:szCs w:val="24"/>
        </w:rPr>
        <w:t xml:space="preserve"> of C=O stretch at the 1734.01 cm </w:t>
      </w:r>
      <w:r w:rsidR="00211561" w:rsidRPr="002A4185">
        <w:rPr>
          <w:rFonts w:ascii="Times New Roman" w:hAnsi="Times New Roman" w:cs="Times New Roman"/>
          <w:sz w:val="24"/>
          <w:szCs w:val="24"/>
          <w:vertAlign w:val="superscript"/>
        </w:rPr>
        <w:t>-1</w:t>
      </w:r>
      <w:r w:rsidRPr="002A4185">
        <w:rPr>
          <w:rFonts w:ascii="Times New Roman" w:hAnsi="Times New Roman" w:cs="Times New Roman"/>
          <w:sz w:val="24"/>
          <w:szCs w:val="24"/>
        </w:rPr>
        <w:t xml:space="preserve">.  Arguably, this is the first report to be made on direct identification of saponins present in medicinal plants by use of FTIR spectroscopy when in characteristic peaks was observed at -OH, -C=O, C-H and C=C stretches of the </w:t>
      </w:r>
      <w:proofErr w:type="spellStart"/>
      <w:r w:rsidRPr="002A4185">
        <w:rPr>
          <w:rFonts w:ascii="Times New Roman" w:hAnsi="Times New Roman" w:cs="Times New Roman"/>
          <w:sz w:val="24"/>
          <w:szCs w:val="24"/>
        </w:rPr>
        <w:t>oleanone</w:t>
      </w:r>
      <w:proofErr w:type="spellEnd"/>
      <w:r w:rsidRPr="002A4185">
        <w:rPr>
          <w:rFonts w:ascii="Times New Roman" w:hAnsi="Times New Roman" w:cs="Times New Roman"/>
          <w:sz w:val="24"/>
          <w:szCs w:val="24"/>
        </w:rPr>
        <w:t xml:space="preserve"> triterpenoid and character glycoside linkages of C-O-C absorptions of the saponins were noted.</w:t>
      </w:r>
    </w:p>
    <w:p w14:paraId="520F6516" w14:textId="23F1C2FC" w:rsidR="00B82523" w:rsidRPr="002A4185" w:rsidRDefault="00E859EF" w:rsidP="007C0EE9">
      <w:pPr>
        <w:autoSpaceDE w:val="0"/>
        <w:autoSpaceDN w:val="0"/>
        <w:adjustRightInd w:val="0"/>
        <w:spacing w:after="0" w:line="360" w:lineRule="auto"/>
        <w:jc w:val="both"/>
        <w:rPr>
          <w:rFonts w:ascii="Times New Roman" w:hAnsi="Times New Roman" w:cs="Times New Roman"/>
          <w:b/>
          <w:sz w:val="24"/>
          <w:szCs w:val="24"/>
        </w:rPr>
      </w:pPr>
      <w:r w:rsidRPr="002A4185">
        <w:rPr>
          <w:rFonts w:ascii="Times New Roman" w:hAnsi="Times New Roman" w:cs="Times New Roman"/>
          <w:sz w:val="24"/>
          <w:szCs w:val="24"/>
        </w:rPr>
        <w:t xml:space="preserve">All these organic compounds make great significance on the antibacterial activity of the leaves of </w:t>
      </w:r>
      <w:r w:rsidR="000256D2" w:rsidRPr="000256D2">
        <w:rPr>
          <w:rFonts w:ascii="Times New Roman" w:hAnsi="Times New Roman" w:cs="Times New Roman"/>
          <w:i/>
          <w:sz w:val="24"/>
          <w:szCs w:val="24"/>
        </w:rPr>
        <w:t>G. sepium.</w:t>
      </w:r>
      <w:r w:rsidRPr="002A4185">
        <w:rPr>
          <w:rFonts w:ascii="Times New Roman" w:hAnsi="Times New Roman" w:cs="Times New Roman"/>
          <w:sz w:val="24"/>
          <w:szCs w:val="24"/>
        </w:rPr>
        <w:t xml:space="preserve">  The intermediary band 2220-2260 cm 1 does not exist and this shows that there are no cyanide groups in the whole three solvents fraction and this means that G. </w:t>
      </w:r>
      <w:proofErr w:type="spellStart"/>
      <w:r w:rsidRPr="002A4185">
        <w:rPr>
          <w:rFonts w:ascii="Times New Roman" w:hAnsi="Times New Roman" w:cs="Times New Roman"/>
          <w:sz w:val="24"/>
          <w:szCs w:val="24"/>
        </w:rPr>
        <w:t>sepium</w:t>
      </w:r>
      <w:proofErr w:type="spellEnd"/>
      <w:r w:rsidRPr="002A4185">
        <w:rPr>
          <w:rFonts w:ascii="Times New Roman" w:hAnsi="Times New Roman" w:cs="Times New Roman"/>
          <w:sz w:val="24"/>
          <w:szCs w:val="24"/>
        </w:rPr>
        <w:t xml:space="preserve"> does not </w:t>
      </w:r>
      <w:proofErr w:type="spellStart"/>
      <w:r w:rsidRPr="002A4185">
        <w:rPr>
          <w:rFonts w:ascii="Times New Roman" w:hAnsi="Times New Roman" w:cs="Times New Roman"/>
          <w:sz w:val="24"/>
          <w:szCs w:val="24"/>
        </w:rPr>
        <w:t>harbor</w:t>
      </w:r>
      <w:proofErr w:type="spellEnd"/>
      <w:r w:rsidRPr="002A4185">
        <w:rPr>
          <w:rFonts w:ascii="Times New Roman" w:hAnsi="Times New Roman" w:cs="Times New Roman"/>
          <w:sz w:val="24"/>
          <w:szCs w:val="24"/>
        </w:rPr>
        <w:t xml:space="preserve"> any kind of toxic compounds. </w:t>
      </w:r>
      <w:r w:rsidR="000256D2" w:rsidRPr="002A4185">
        <w:rPr>
          <w:rFonts w:ascii="Times New Roman" w:hAnsi="Times New Roman" w:cs="Times New Roman"/>
          <w:sz w:val="24"/>
          <w:szCs w:val="24"/>
          <w:highlight w:val="yellow"/>
        </w:rPr>
        <w:t>Sharma</w:t>
      </w:r>
      <w:r w:rsidRPr="002A4185">
        <w:rPr>
          <w:rFonts w:ascii="Times New Roman" w:hAnsi="Times New Roman" w:cs="Times New Roman"/>
          <w:sz w:val="24"/>
          <w:szCs w:val="24"/>
        </w:rPr>
        <w:t xml:space="preserve"> </w:t>
      </w:r>
      <w:r w:rsidRPr="000256D2">
        <w:rPr>
          <w:rFonts w:ascii="Times New Roman" w:hAnsi="Times New Roman" w:cs="Times New Roman"/>
          <w:i/>
          <w:sz w:val="24"/>
          <w:szCs w:val="24"/>
        </w:rPr>
        <w:t>et al</w:t>
      </w:r>
      <w:r w:rsidRPr="002A4185">
        <w:rPr>
          <w:rFonts w:ascii="Times New Roman" w:hAnsi="Times New Roman" w:cs="Times New Roman"/>
          <w:sz w:val="24"/>
          <w:szCs w:val="24"/>
        </w:rPr>
        <w:t>. [26] disclosed characters of functional groups such as carboxylic acids, alcohols, aldehydes, amines, amides, Sulphur derivatives, organic hydrocarbons and halogens that have different medicinal qualities [27].</w:t>
      </w:r>
      <w:r w:rsidR="0062383D" w:rsidRPr="002A4185">
        <w:rPr>
          <w:rFonts w:ascii="Times New Roman" w:hAnsi="Times New Roman" w:cs="Times New Roman"/>
          <w:b/>
          <w:sz w:val="24"/>
          <w:szCs w:val="24"/>
        </w:rPr>
        <w:tab/>
      </w:r>
    </w:p>
    <w:p w14:paraId="7584C41E" w14:textId="7DE3AB09" w:rsidR="00E859EF" w:rsidRPr="002A4185" w:rsidRDefault="00E859EF" w:rsidP="007C0EE9">
      <w:pPr>
        <w:spacing w:before="100" w:beforeAutospacing="1" w:after="100" w:afterAutospacing="1" w:line="360" w:lineRule="auto"/>
        <w:jc w:val="both"/>
        <w:rPr>
          <w:rFonts w:ascii="Times New Roman" w:eastAsia="Times New Roman" w:hAnsi="Times New Roman" w:cs="Times New Roman"/>
          <w:sz w:val="24"/>
          <w:szCs w:val="24"/>
          <w:lang w:eastAsia="en-GB"/>
        </w:rPr>
      </w:pPr>
      <w:r w:rsidRPr="002A4185">
        <w:rPr>
          <w:rFonts w:ascii="Times New Roman" w:eastAsia="Times New Roman" w:hAnsi="Times New Roman" w:cs="Times New Roman"/>
          <w:sz w:val="24"/>
          <w:szCs w:val="24"/>
          <w:lang w:eastAsia="en-GB"/>
        </w:rPr>
        <w:t xml:space="preserve">The GC spectroscopic analysis of the </w:t>
      </w:r>
      <w:r w:rsidRPr="000256D2">
        <w:rPr>
          <w:rFonts w:ascii="Times New Roman" w:eastAsia="Times New Roman" w:hAnsi="Times New Roman" w:cs="Times New Roman"/>
          <w:i/>
          <w:sz w:val="24"/>
          <w:szCs w:val="24"/>
          <w:lang w:eastAsia="en-GB"/>
        </w:rPr>
        <w:t>G</w:t>
      </w:r>
      <w:r w:rsidR="000256D2">
        <w:rPr>
          <w:rFonts w:ascii="Times New Roman" w:eastAsia="Times New Roman" w:hAnsi="Times New Roman" w:cs="Times New Roman"/>
          <w:i/>
          <w:sz w:val="24"/>
          <w:szCs w:val="24"/>
          <w:lang w:eastAsia="en-GB"/>
        </w:rPr>
        <w:t>.</w:t>
      </w:r>
      <w:r w:rsidRPr="000256D2">
        <w:rPr>
          <w:rFonts w:ascii="Times New Roman" w:eastAsia="Times New Roman" w:hAnsi="Times New Roman" w:cs="Times New Roman"/>
          <w:i/>
          <w:sz w:val="24"/>
          <w:szCs w:val="24"/>
          <w:lang w:eastAsia="en-GB"/>
        </w:rPr>
        <w:t xml:space="preserve"> sepium</w:t>
      </w:r>
      <w:r w:rsidRPr="002A4185">
        <w:rPr>
          <w:rFonts w:ascii="Times New Roman" w:eastAsia="Times New Roman" w:hAnsi="Times New Roman" w:cs="Times New Roman"/>
          <w:sz w:val="24"/>
          <w:szCs w:val="24"/>
          <w:lang w:eastAsia="en-GB"/>
        </w:rPr>
        <w:t xml:space="preserve"> leaf extract has shown that it contains a number of phytochemicals having known or suspected antibacterial activity. They are Cyclohexane, methyl-; Toluene; Hexanal; 2H</w:t>
      </w:r>
      <w:r w:rsidR="00211561" w:rsidRPr="002A4185">
        <w:rPr>
          <w:rFonts w:ascii="Times New Roman" w:eastAsia="Times New Roman" w:hAnsi="Times New Roman" w:cs="Times New Roman"/>
          <w:sz w:val="24"/>
          <w:szCs w:val="24"/>
          <w:lang w:eastAsia="en-GB"/>
        </w:rPr>
        <w:t>-1</w:t>
      </w:r>
      <w:r w:rsidRPr="002A4185">
        <w:rPr>
          <w:rFonts w:ascii="Times New Roman" w:eastAsia="Times New Roman" w:hAnsi="Times New Roman" w:cs="Times New Roman"/>
          <w:sz w:val="24"/>
          <w:szCs w:val="24"/>
          <w:lang w:eastAsia="en-GB"/>
        </w:rPr>
        <w:t>-Benzopyran; 3,4-Dihydro-5,9-Undecadien-2-one, 6,10-dimethyl-, (E)-; cis,cis,cis-7,10,13-Hexadecatrienal; n-</w:t>
      </w:r>
      <w:proofErr w:type="spellStart"/>
      <w:r w:rsidRPr="002A4185">
        <w:rPr>
          <w:rFonts w:ascii="Times New Roman" w:eastAsia="Times New Roman" w:hAnsi="Times New Roman" w:cs="Times New Roman"/>
          <w:sz w:val="24"/>
          <w:szCs w:val="24"/>
          <w:lang w:eastAsia="en-GB"/>
        </w:rPr>
        <w:t>Hexadecanoic</w:t>
      </w:r>
      <w:proofErr w:type="spellEnd"/>
      <w:r w:rsidRPr="002A4185">
        <w:rPr>
          <w:rFonts w:ascii="Times New Roman" w:eastAsia="Times New Roman" w:hAnsi="Times New Roman" w:cs="Times New Roman"/>
          <w:sz w:val="24"/>
          <w:szCs w:val="24"/>
          <w:lang w:eastAsia="en-GB"/>
        </w:rPr>
        <w:t xml:space="preserve"> acid, </w:t>
      </w:r>
      <w:proofErr w:type="spellStart"/>
      <w:r w:rsidRPr="002A4185">
        <w:rPr>
          <w:rFonts w:ascii="Times New Roman" w:eastAsia="Times New Roman" w:hAnsi="Times New Roman" w:cs="Times New Roman"/>
          <w:sz w:val="24"/>
          <w:szCs w:val="24"/>
          <w:lang w:eastAsia="en-GB"/>
        </w:rPr>
        <w:t>hexahydrofarnesyl</w:t>
      </w:r>
      <w:proofErr w:type="spellEnd"/>
      <w:r w:rsidRPr="002A4185">
        <w:rPr>
          <w:rFonts w:ascii="Times New Roman" w:eastAsia="Times New Roman" w:hAnsi="Times New Roman" w:cs="Times New Roman"/>
          <w:sz w:val="24"/>
          <w:szCs w:val="24"/>
          <w:lang w:eastAsia="en-GB"/>
        </w:rPr>
        <w:t xml:space="preserve"> acetone, phytol, </w:t>
      </w:r>
      <w:proofErr w:type="spellStart"/>
      <w:r w:rsidRPr="002A4185">
        <w:rPr>
          <w:rFonts w:ascii="Times New Roman" w:eastAsia="Times New Roman" w:hAnsi="Times New Roman" w:cs="Times New Roman"/>
          <w:sz w:val="24"/>
          <w:szCs w:val="24"/>
          <w:lang w:eastAsia="en-GB"/>
        </w:rPr>
        <w:t>heneicosane</w:t>
      </w:r>
      <w:proofErr w:type="spellEnd"/>
      <w:r w:rsidRPr="002A4185">
        <w:rPr>
          <w:rFonts w:ascii="Times New Roman" w:eastAsia="Times New Roman" w:hAnsi="Times New Roman" w:cs="Times New Roman"/>
          <w:sz w:val="24"/>
          <w:szCs w:val="24"/>
          <w:lang w:eastAsia="en-GB"/>
        </w:rPr>
        <w:t xml:space="preserve">, octadecanoic acid, 3 The antibacterial activity has been identified with these compounds to have different levels of activity both on their individual basis, and on a synergistic basis, and this what justifies the traditional use of G. sepium in the treatment of infections. A volatile aldehyde is hexanal which </w:t>
      </w:r>
      <w:r w:rsidR="007831EB" w:rsidRPr="002A4185">
        <w:rPr>
          <w:rFonts w:ascii="Times New Roman" w:eastAsia="Times New Roman" w:hAnsi="Times New Roman" w:cs="Times New Roman"/>
          <w:sz w:val="24"/>
          <w:szCs w:val="24"/>
          <w:lang w:eastAsia="en-GB"/>
        </w:rPr>
        <w:t>an aldehyde that has widespread antimicrobial purposes is</w:t>
      </w:r>
      <w:r w:rsidRPr="002A4185">
        <w:rPr>
          <w:rFonts w:ascii="Times New Roman" w:eastAsia="Times New Roman" w:hAnsi="Times New Roman" w:cs="Times New Roman"/>
          <w:sz w:val="24"/>
          <w:szCs w:val="24"/>
          <w:lang w:eastAsia="en-GB"/>
        </w:rPr>
        <w:t xml:space="preserve">. The known invaders of membranes and proteins are the aldehyde because their functional groups of amino can react with them to form the Schiff bases which lead to the denaturation of proteins and cell death [27]. A benzopyran derivative </w:t>
      </w:r>
      <w:proofErr w:type="spellStart"/>
      <w:r w:rsidRPr="002A4185">
        <w:rPr>
          <w:rFonts w:ascii="Times New Roman" w:eastAsia="Times New Roman" w:hAnsi="Times New Roman" w:cs="Times New Roman"/>
          <w:sz w:val="24"/>
          <w:szCs w:val="24"/>
          <w:lang w:eastAsia="en-GB"/>
        </w:rPr>
        <w:t>chromene</w:t>
      </w:r>
      <w:proofErr w:type="spellEnd"/>
      <w:r w:rsidRPr="002A4185">
        <w:rPr>
          <w:rFonts w:ascii="Times New Roman" w:eastAsia="Times New Roman" w:hAnsi="Times New Roman" w:cs="Times New Roman"/>
          <w:sz w:val="24"/>
          <w:szCs w:val="24"/>
          <w:lang w:eastAsia="en-GB"/>
        </w:rPr>
        <w:t>- 2H</w:t>
      </w:r>
      <w:r w:rsidR="00211561" w:rsidRPr="002A4185">
        <w:rPr>
          <w:rFonts w:ascii="Times New Roman" w:eastAsia="Times New Roman" w:hAnsi="Times New Roman" w:cs="Times New Roman"/>
          <w:sz w:val="24"/>
          <w:szCs w:val="24"/>
          <w:lang w:eastAsia="en-GB"/>
        </w:rPr>
        <w:t>-1</w:t>
      </w:r>
      <w:r w:rsidRPr="002A4185">
        <w:rPr>
          <w:rFonts w:ascii="Times New Roman" w:eastAsia="Times New Roman" w:hAnsi="Times New Roman" w:cs="Times New Roman"/>
          <w:sz w:val="24"/>
          <w:szCs w:val="24"/>
          <w:lang w:eastAsia="en-GB"/>
        </w:rPr>
        <w:t>, also shows antibacterial properties due to the inhibition of major bacterial enzymes such as DNA gyrase and topoisomerase IV [28]</w:t>
      </w:r>
      <w:r w:rsidR="00730AE2" w:rsidRPr="002A4185">
        <w:rPr>
          <w:rFonts w:ascii="Times New Roman" w:eastAsia="Times New Roman" w:hAnsi="Times New Roman" w:cs="Times New Roman"/>
          <w:sz w:val="24"/>
          <w:szCs w:val="24"/>
          <w:lang w:eastAsia="en-GB"/>
        </w:rPr>
        <w:t xml:space="preserve"> </w:t>
      </w:r>
      <w:r w:rsidRPr="002A4185">
        <w:rPr>
          <w:rFonts w:ascii="Times New Roman" w:eastAsia="Times New Roman" w:hAnsi="Times New Roman" w:cs="Times New Roman"/>
          <w:sz w:val="24"/>
          <w:szCs w:val="24"/>
          <w:lang w:eastAsia="en-GB"/>
        </w:rPr>
        <w:t xml:space="preserve">and therefore impacts the processes of the </w:t>
      </w:r>
      <w:proofErr w:type="spellStart"/>
      <w:r w:rsidRPr="002A4185">
        <w:rPr>
          <w:rFonts w:ascii="Times New Roman" w:eastAsia="Times New Roman" w:hAnsi="Times New Roman" w:cs="Times New Roman"/>
          <w:sz w:val="24"/>
          <w:szCs w:val="24"/>
          <w:lang w:eastAsia="en-GB"/>
        </w:rPr>
        <w:t>Chromenes</w:t>
      </w:r>
      <w:proofErr w:type="spellEnd"/>
      <w:r w:rsidRPr="002A4185">
        <w:rPr>
          <w:rFonts w:ascii="Times New Roman" w:eastAsia="Times New Roman" w:hAnsi="Times New Roman" w:cs="Times New Roman"/>
          <w:sz w:val="24"/>
          <w:szCs w:val="24"/>
          <w:lang w:eastAsia="en-GB"/>
        </w:rPr>
        <w:t xml:space="preserve"> also have antioxidant and anti-inflammatory properties and it was synergistically effective with its antimicrobia</w:t>
      </w:r>
      <w:r w:rsidR="00730AE2" w:rsidRPr="002A4185">
        <w:rPr>
          <w:rFonts w:ascii="Times New Roman" w:eastAsia="Times New Roman" w:hAnsi="Times New Roman" w:cs="Times New Roman"/>
          <w:sz w:val="24"/>
          <w:szCs w:val="24"/>
          <w:lang w:eastAsia="en-GB"/>
        </w:rPr>
        <w:t>l effect [29]</w:t>
      </w:r>
      <w:r w:rsidRPr="002A4185">
        <w:rPr>
          <w:rFonts w:ascii="Times New Roman" w:eastAsia="Times New Roman" w:hAnsi="Times New Roman" w:cs="Times New Roman"/>
          <w:sz w:val="24"/>
          <w:szCs w:val="24"/>
          <w:lang w:eastAsia="en-GB"/>
        </w:rPr>
        <w:t>. 3</w:t>
      </w:r>
      <w:r w:rsidR="000256D2" w:rsidRPr="002A4185">
        <w:rPr>
          <w:rFonts w:ascii="Times New Roman" w:eastAsia="Times New Roman" w:hAnsi="Times New Roman" w:cs="Times New Roman"/>
          <w:sz w:val="24"/>
          <w:szCs w:val="24"/>
          <w:lang w:eastAsia="en-GB"/>
        </w:rPr>
        <w:t>, 4</w:t>
      </w:r>
      <w:r w:rsidRPr="002A4185">
        <w:rPr>
          <w:rFonts w:ascii="Times New Roman" w:eastAsia="Times New Roman" w:hAnsi="Times New Roman" w:cs="Times New Roman"/>
          <w:sz w:val="24"/>
          <w:szCs w:val="24"/>
          <w:lang w:eastAsia="en-GB"/>
        </w:rPr>
        <w:t>-Dihydro-5</w:t>
      </w:r>
      <w:r w:rsidR="000256D2" w:rsidRPr="002A4185">
        <w:rPr>
          <w:rFonts w:ascii="Times New Roman" w:eastAsia="Times New Roman" w:hAnsi="Times New Roman" w:cs="Times New Roman"/>
          <w:sz w:val="24"/>
          <w:szCs w:val="24"/>
          <w:lang w:eastAsia="en-GB"/>
        </w:rPr>
        <w:t>, 9</w:t>
      </w:r>
      <w:r w:rsidRPr="002A4185">
        <w:rPr>
          <w:rFonts w:ascii="Times New Roman" w:eastAsia="Times New Roman" w:hAnsi="Times New Roman" w:cs="Times New Roman"/>
          <w:sz w:val="24"/>
          <w:szCs w:val="24"/>
          <w:lang w:eastAsia="en-GB"/>
        </w:rPr>
        <w:t>-Undecadien-2-one, 6</w:t>
      </w:r>
      <w:r w:rsidR="000256D2" w:rsidRPr="002A4185">
        <w:rPr>
          <w:rFonts w:ascii="Times New Roman" w:eastAsia="Times New Roman" w:hAnsi="Times New Roman" w:cs="Times New Roman"/>
          <w:sz w:val="24"/>
          <w:szCs w:val="24"/>
          <w:lang w:eastAsia="en-GB"/>
        </w:rPr>
        <w:t>, 10</w:t>
      </w:r>
      <w:r w:rsidRPr="002A4185">
        <w:rPr>
          <w:rFonts w:ascii="Times New Roman" w:eastAsia="Times New Roman" w:hAnsi="Times New Roman" w:cs="Times New Roman"/>
          <w:sz w:val="24"/>
          <w:szCs w:val="24"/>
          <w:lang w:eastAsia="en-GB"/>
        </w:rPr>
        <w:t>-dimethyl-, (E</w:t>
      </w:r>
      <w:r w:rsidR="000256D2" w:rsidRPr="002A4185">
        <w:rPr>
          <w:rFonts w:ascii="Times New Roman" w:eastAsia="Times New Roman" w:hAnsi="Times New Roman" w:cs="Times New Roman"/>
          <w:sz w:val="24"/>
          <w:szCs w:val="24"/>
          <w:lang w:eastAsia="en-GB"/>
        </w:rPr>
        <w:t>) -</w:t>
      </w:r>
      <w:r w:rsidRPr="002A4185">
        <w:rPr>
          <w:rFonts w:ascii="Times New Roman" w:eastAsia="Times New Roman" w:hAnsi="Times New Roman" w:cs="Times New Roman"/>
          <w:sz w:val="24"/>
          <w:szCs w:val="24"/>
          <w:lang w:eastAsia="en-GB"/>
        </w:rPr>
        <w:t xml:space="preserve"> is likely to be a terpenoid family compound. There is studied use of Terpenoids in the treatment of bacterial infection on the activity of bacterial membranes and its interference with energy transport [30]. It is </w:t>
      </w:r>
      <w:proofErr w:type="spellStart"/>
      <w:proofErr w:type="gramStart"/>
      <w:r w:rsidRPr="002A4185">
        <w:rPr>
          <w:rFonts w:ascii="Times New Roman" w:eastAsia="Times New Roman" w:hAnsi="Times New Roman" w:cs="Times New Roman"/>
          <w:sz w:val="24"/>
          <w:szCs w:val="24"/>
          <w:lang w:eastAsia="en-GB"/>
        </w:rPr>
        <w:t>Cis,cis</w:t>
      </w:r>
      <w:proofErr w:type="gramEnd"/>
      <w:r w:rsidRPr="002A4185">
        <w:rPr>
          <w:rFonts w:ascii="Times New Roman" w:eastAsia="Times New Roman" w:hAnsi="Times New Roman" w:cs="Times New Roman"/>
          <w:sz w:val="24"/>
          <w:szCs w:val="24"/>
          <w:lang w:eastAsia="en-GB"/>
        </w:rPr>
        <w:t>,cis</w:t>
      </w:r>
      <w:proofErr w:type="spellEnd"/>
      <w:r w:rsidRPr="002A4185">
        <w:rPr>
          <w:rFonts w:ascii="Times New Roman" w:eastAsia="Times New Roman" w:hAnsi="Times New Roman" w:cs="Times New Roman"/>
          <w:sz w:val="24"/>
          <w:szCs w:val="24"/>
          <w:lang w:eastAsia="en-GB"/>
        </w:rPr>
        <w:t xml:space="preserve">- 7,10,13-Hexadecatrienal a polyunsaturated aldehyde that gets </w:t>
      </w:r>
      <w:r w:rsidRPr="002A4185">
        <w:rPr>
          <w:rFonts w:ascii="Times New Roman" w:eastAsia="Times New Roman" w:hAnsi="Times New Roman" w:cs="Times New Roman"/>
          <w:sz w:val="24"/>
          <w:szCs w:val="24"/>
          <w:lang w:eastAsia="en-GB"/>
        </w:rPr>
        <w:lastRenderedPageBreak/>
        <w:t>coupled so much with induction of oxidative stress in microbial cells. These compounds cause lipid peroxidation, oxidation of proteins and damages of DNA hence concluding the inhibition or killing of microbes. n-</w:t>
      </w:r>
      <w:proofErr w:type="spellStart"/>
      <w:r w:rsidRPr="002A4185">
        <w:rPr>
          <w:rFonts w:ascii="Times New Roman" w:eastAsia="Times New Roman" w:hAnsi="Times New Roman" w:cs="Times New Roman"/>
          <w:sz w:val="24"/>
          <w:szCs w:val="24"/>
          <w:lang w:eastAsia="en-GB"/>
        </w:rPr>
        <w:t>Hexadecanoic</w:t>
      </w:r>
      <w:proofErr w:type="spellEnd"/>
      <w:r w:rsidRPr="002A4185">
        <w:rPr>
          <w:rFonts w:ascii="Times New Roman" w:eastAsia="Times New Roman" w:hAnsi="Times New Roman" w:cs="Times New Roman"/>
          <w:sz w:val="24"/>
          <w:szCs w:val="24"/>
          <w:lang w:eastAsia="en-GB"/>
        </w:rPr>
        <w:t xml:space="preserve"> acid or palmitic acid a saturated fatty acid has been shown to have antibacterial activity by going into incorporation of bacteria membrane, disruption of membrane fluidity and excretion of intracellular cont</w:t>
      </w:r>
      <w:r w:rsidR="005169A7" w:rsidRPr="002A4185">
        <w:rPr>
          <w:rFonts w:ascii="Times New Roman" w:eastAsia="Times New Roman" w:hAnsi="Times New Roman" w:cs="Times New Roman"/>
          <w:sz w:val="24"/>
          <w:szCs w:val="24"/>
          <w:lang w:eastAsia="en-GB"/>
        </w:rPr>
        <w:t>ents [31] [</w:t>
      </w:r>
      <w:r w:rsidRPr="002A4185">
        <w:rPr>
          <w:rFonts w:ascii="Times New Roman" w:eastAsia="Times New Roman" w:hAnsi="Times New Roman" w:cs="Times New Roman"/>
          <w:sz w:val="24"/>
          <w:szCs w:val="24"/>
          <w:lang w:eastAsia="en-GB"/>
        </w:rPr>
        <w:t xml:space="preserve">32]. Fatty acids operate in nutrition mode of entry as well as inhibiting vital bacterial enzyme systems. Although not the main actively antibacterial agents, and used more indirectly as hydrophobic hydrocarbons, toluene and Cyclohexane, methyl nevertheless are compounds which can help in delivery of active agents into bacterial cell walls by providing a solvent or enhancer. Collectively, phytochemical composition of the </w:t>
      </w:r>
      <w:proofErr w:type="spellStart"/>
      <w:r w:rsidRPr="002A4185">
        <w:rPr>
          <w:rFonts w:ascii="Times New Roman" w:eastAsia="Times New Roman" w:hAnsi="Times New Roman" w:cs="Times New Roman"/>
          <w:sz w:val="24"/>
          <w:szCs w:val="24"/>
          <w:lang w:eastAsia="en-GB"/>
        </w:rPr>
        <w:t>G.sepium</w:t>
      </w:r>
      <w:proofErr w:type="spellEnd"/>
      <w:r w:rsidRPr="002A4185">
        <w:rPr>
          <w:rFonts w:ascii="Times New Roman" w:eastAsia="Times New Roman" w:hAnsi="Times New Roman" w:cs="Times New Roman"/>
          <w:sz w:val="24"/>
          <w:szCs w:val="24"/>
          <w:lang w:eastAsia="en-GB"/>
        </w:rPr>
        <w:t xml:space="preserve"> leaf extract testifies its traditional medicinal use in treatment of bacterial diseases. The antimicrobial action appears to have synergistic source of effects of multiple drugs toward a broad range of cellular structures and metabolism. This is advantageous, particularly, against the background of increased resistance to traditional antibiotics. </w:t>
      </w:r>
      <w:proofErr w:type="spellStart"/>
      <w:r w:rsidRPr="002A4185">
        <w:rPr>
          <w:rFonts w:ascii="Times New Roman" w:eastAsia="Times New Roman" w:hAnsi="Times New Roman" w:cs="Times New Roman"/>
          <w:sz w:val="24"/>
          <w:szCs w:val="24"/>
          <w:lang w:eastAsia="en-GB"/>
        </w:rPr>
        <w:t>Hexahydrofarnesyl</w:t>
      </w:r>
      <w:proofErr w:type="spellEnd"/>
      <w:r w:rsidRPr="002A4185">
        <w:rPr>
          <w:rFonts w:ascii="Times New Roman" w:eastAsia="Times New Roman" w:hAnsi="Times New Roman" w:cs="Times New Roman"/>
          <w:sz w:val="24"/>
          <w:szCs w:val="24"/>
          <w:lang w:eastAsia="en-GB"/>
        </w:rPr>
        <w:t xml:space="preserve"> acetone is a long chain aliphatic chain ketone type of compound commonly found in the essential oils of plants. It has been described to be antimicrobial and anti-inflammatory [33]. It is lipophilic and has the ability to alter the bacterial cell membranes making it hyperpermeable, that is, it causes cell death.</w:t>
      </w:r>
    </w:p>
    <w:p w14:paraId="0164BBF2" w14:textId="6F62058C" w:rsidR="00E859EF" w:rsidRPr="002A4185" w:rsidRDefault="00E859EF" w:rsidP="007C0EE9">
      <w:pPr>
        <w:spacing w:before="100" w:beforeAutospacing="1" w:after="100" w:afterAutospacing="1" w:line="360" w:lineRule="auto"/>
        <w:jc w:val="both"/>
        <w:rPr>
          <w:rFonts w:ascii="Times New Roman" w:eastAsia="Times New Roman" w:hAnsi="Times New Roman" w:cs="Times New Roman"/>
          <w:sz w:val="24"/>
          <w:szCs w:val="24"/>
          <w:lang w:eastAsia="en-GB"/>
        </w:rPr>
      </w:pPr>
      <w:r w:rsidRPr="002A4185">
        <w:rPr>
          <w:rFonts w:ascii="Times New Roman" w:eastAsia="Times New Roman" w:hAnsi="Times New Roman" w:cs="Times New Roman"/>
          <w:sz w:val="24"/>
          <w:szCs w:val="24"/>
          <w:lang w:eastAsia="en-GB"/>
        </w:rPr>
        <w:t>The phytol is well known acyclic diterpene alcohol, which is involved in antibacterial, antioxidant and anti-inflammatory effects. It disrupts the metabolic activity and integrity of the bacteria membrane [34]. Phytol has demonstrated considerable anti-bacterial activity against Gram-positive bacteria, which may be by its effects on the lipid bilayer structure and by energy production pathways.</w:t>
      </w:r>
    </w:p>
    <w:p w14:paraId="5F2CD0A5" w14:textId="26D5DB05" w:rsidR="007144C6" w:rsidRPr="002A4185" w:rsidRDefault="00E859EF" w:rsidP="007C0EE9">
      <w:pPr>
        <w:spacing w:before="100" w:beforeAutospacing="1" w:after="100" w:afterAutospacing="1" w:line="360" w:lineRule="auto"/>
        <w:jc w:val="both"/>
        <w:rPr>
          <w:rFonts w:ascii="Times New Roman" w:eastAsia="Times New Roman" w:hAnsi="Times New Roman" w:cs="Times New Roman"/>
          <w:sz w:val="24"/>
          <w:szCs w:val="24"/>
          <w:lang w:eastAsia="en-GB"/>
        </w:rPr>
      </w:pPr>
      <w:proofErr w:type="spellStart"/>
      <w:r w:rsidRPr="002A4185">
        <w:rPr>
          <w:rFonts w:ascii="Times New Roman" w:eastAsia="Times New Roman" w:hAnsi="Times New Roman" w:cs="Times New Roman"/>
          <w:sz w:val="24"/>
          <w:szCs w:val="24"/>
          <w:lang w:eastAsia="en-GB"/>
        </w:rPr>
        <w:t>Heneicosane</w:t>
      </w:r>
      <w:proofErr w:type="spellEnd"/>
      <w:r w:rsidRPr="002A4185">
        <w:rPr>
          <w:rFonts w:ascii="Times New Roman" w:eastAsia="Times New Roman" w:hAnsi="Times New Roman" w:cs="Times New Roman"/>
          <w:sz w:val="24"/>
          <w:szCs w:val="24"/>
          <w:lang w:eastAsia="en-GB"/>
        </w:rPr>
        <w:t xml:space="preserve"> is another straight-chain alkane which has been reported on several plant extracts containing known antimicrobial properties. Whereas alkanes tend to be less reactive, in the case of </w:t>
      </w:r>
      <w:proofErr w:type="spellStart"/>
      <w:r w:rsidRPr="002A4185">
        <w:rPr>
          <w:rFonts w:ascii="Times New Roman" w:eastAsia="Times New Roman" w:hAnsi="Times New Roman" w:cs="Times New Roman"/>
          <w:sz w:val="24"/>
          <w:szCs w:val="24"/>
          <w:lang w:eastAsia="en-GB"/>
        </w:rPr>
        <w:t>heneicosane</w:t>
      </w:r>
      <w:proofErr w:type="spellEnd"/>
      <w:r w:rsidRPr="002A4185">
        <w:rPr>
          <w:rFonts w:ascii="Times New Roman" w:eastAsia="Times New Roman" w:hAnsi="Times New Roman" w:cs="Times New Roman"/>
          <w:sz w:val="24"/>
          <w:szCs w:val="24"/>
          <w:lang w:eastAsia="en-GB"/>
        </w:rPr>
        <w:t xml:space="preserve"> they appear to have antibacterial effects due to the blockage of microbial respiration or enhancement of other compounds with interaction with cell membranes [35]. Octadecanoic acid (stearic acid), a saturated fatty acid, is known to exhibit the antimicrobial effects. The mechanism of antibacterial action of fatty acids </w:t>
      </w:r>
      <w:r w:rsidR="000256D2" w:rsidRPr="002A4185">
        <w:rPr>
          <w:rFonts w:ascii="Times New Roman" w:eastAsia="Times New Roman" w:hAnsi="Times New Roman" w:cs="Times New Roman"/>
          <w:sz w:val="24"/>
          <w:szCs w:val="24"/>
          <w:lang w:eastAsia="en-GB"/>
        </w:rPr>
        <w:t>(e.g</w:t>
      </w:r>
      <w:r w:rsidRPr="002A4185">
        <w:rPr>
          <w:rFonts w:ascii="Times New Roman" w:eastAsia="Times New Roman" w:hAnsi="Times New Roman" w:cs="Times New Roman"/>
          <w:sz w:val="24"/>
          <w:szCs w:val="24"/>
          <w:lang w:eastAsia="en-GB"/>
        </w:rPr>
        <w:t>. stearic acid) is the destruction of phospholipid bilayer of bacterial cell membranes, leading to the leakage of cell contents [32].</w:t>
      </w:r>
      <w:r w:rsidR="00B82523" w:rsidRPr="002A4185">
        <w:rPr>
          <w:rFonts w:ascii="Times New Roman" w:eastAsia="Times New Roman" w:hAnsi="Times New Roman" w:cs="Times New Roman"/>
          <w:sz w:val="24"/>
          <w:szCs w:val="24"/>
          <w:lang w:eastAsia="en-GB"/>
        </w:rPr>
        <w:t xml:space="preserve"> </w:t>
      </w:r>
      <w:r w:rsidR="007144C6" w:rsidRPr="002A4185">
        <w:rPr>
          <w:rFonts w:ascii="Times New Roman" w:eastAsia="Times New Roman" w:hAnsi="Times New Roman" w:cs="Times New Roman"/>
          <w:sz w:val="24"/>
          <w:szCs w:val="24"/>
          <w:lang w:eastAsia="en-GB"/>
        </w:rPr>
        <w:t>These also are active in suppressing key bacterial enzyme systems. 3</w:t>
      </w:r>
      <w:r w:rsidR="000256D2" w:rsidRPr="002A4185">
        <w:rPr>
          <w:rFonts w:ascii="Times New Roman" w:eastAsia="Times New Roman" w:hAnsi="Times New Roman" w:cs="Times New Roman"/>
          <w:sz w:val="24"/>
          <w:szCs w:val="24"/>
          <w:lang w:eastAsia="en-GB"/>
        </w:rPr>
        <w:t>, 7, 11, 15</w:t>
      </w:r>
      <w:r w:rsidR="007144C6" w:rsidRPr="002A4185">
        <w:rPr>
          <w:rFonts w:ascii="Times New Roman" w:eastAsia="Times New Roman" w:hAnsi="Times New Roman" w:cs="Times New Roman"/>
          <w:sz w:val="24"/>
          <w:szCs w:val="24"/>
          <w:lang w:eastAsia="en-GB"/>
        </w:rPr>
        <w:t>-Tetramethyl-2-hexadecen</w:t>
      </w:r>
      <w:r w:rsidR="00211561" w:rsidRPr="002A4185">
        <w:rPr>
          <w:rFonts w:ascii="Times New Roman" w:eastAsia="Times New Roman" w:hAnsi="Times New Roman" w:cs="Times New Roman"/>
          <w:sz w:val="24"/>
          <w:szCs w:val="24"/>
          <w:lang w:eastAsia="en-GB"/>
        </w:rPr>
        <w:t>-1</w:t>
      </w:r>
      <w:r w:rsidR="007144C6" w:rsidRPr="002A4185">
        <w:rPr>
          <w:rFonts w:ascii="Times New Roman" w:eastAsia="Times New Roman" w:hAnsi="Times New Roman" w:cs="Times New Roman"/>
          <w:sz w:val="24"/>
          <w:szCs w:val="24"/>
          <w:lang w:eastAsia="en-GB"/>
        </w:rPr>
        <w:t xml:space="preserve">-ol (or phytol isomer) is another bioactive long-chain alcohol with antibacterial and antifungal effect. It is a mechanism of action that acts through interaction with </w:t>
      </w:r>
      <w:r w:rsidR="007144C6" w:rsidRPr="002A4185">
        <w:rPr>
          <w:rFonts w:ascii="Times New Roman" w:eastAsia="Times New Roman" w:hAnsi="Times New Roman" w:cs="Times New Roman"/>
          <w:sz w:val="24"/>
          <w:szCs w:val="24"/>
          <w:lang w:eastAsia="en-GB"/>
        </w:rPr>
        <w:lastRenderedPageBreak/>
        <w:t xml:space="preserve">lipid membranes which cause changes of permeability thereby inhibiting </w:t>
      </w:r>
      <w:r w:rsidR="005169A7" w:rsidRPr="002A4185">
        <w:rPr>
          <w:rFonts w:ascii="Times New Roman" w:eastAsia="Times New Roman" w:hAnsi="Times New Roman" w:cs="Times New Roman"/>
          <w:sz w:val="24"/>
          <w:szCs w:val="24"/>
          <w:lang w:eastAsia="en-GB"/>
        </w:rPr>
        <w:t>the life cycle of bacteria [36].</w:t>
      </w:r>
    </w:p>
    <w:p w14:paraId="554D2D5F" w14:textId="2979FBF1" w:rsidR="007144C6" w:rsidRPr="002A4185" w:rsidRDefault="007144C6" w:rsidP="007C0EE9">
      <w:pPr>
        <w:spacing w:before="100" w:beforeAutospacing="1" w:after="100" w:afterAutospacing="1" w:line="360" w:lineRule="auto"/>
        <w:jc w:val="both"/>
        <w:rPr>
          <w:rFonts w:ascii="Times New Roman" w:eastAsia="Times New Roman" w:hAnsi="Times New Roman" w:cs="Times New Roman"/>
          <w:sz w:val="24"/>
          <w:szCs w:val="24"/>
          <w:lang w:eastAsia="en-GB"/>
        </w:rPr>
      </w:pPr>
      <w:proofErr w:type="spellStart"/>
      <w:r w:rsidRPr="002A4185">
        <w:rPr>
          <w:rFonts w:ascii="Times New Roman" w:eastAsia="Times New Roman" w:hAnsi="Times New Roman" w:cs="Times New Roman"/>
          <w:sz w:val="24"/>
          <w:szCs w:val="24"/>
          <w:lang w:eastAsia="en-GB"/>
        </w:rPr>
        <w:t>Eicosatrienoic</w:t>
      </w:r>
      <w:proofErr w:type="spellEnd"/>
      <w:r w:rsidRPr="002A4185">
        <w:rPr>
          <w:rFonts w:ascii="Times New Roman" w:eastAsia="Times New Roman" w:hAnsi="Times New Roman" w:cs="Times New Roman"/>
          <w:sz w:val="24"/>
          <w:szCs w:val="24"/>
          <w:lang w:eastAsia="en-GB"/>
        </w:rPr>
        <w:t xml:space="preserve"> acid (Z</w:t>
      </w:r>
      <w:r w:rsidR="000256D2" w:rsidRPr="002A4185">
        <w:rPr>
          <w:rFonts w:ascii="Times New Roman" w:eastAsia="Times New Roman" w:hAnsi="Times New Roman" w:cs="Times New Roman"/>
          <w:sz w:val="24"/>
          <w:szCs w:val="24"/>
          <w:lang w:eastAsia="en-GB"/>
        </w:rPr>
        <w:t>, Z, Z</w:t>
      </w:r>
      <w:r w:rsidRPr="002A4185">
        <w:rPr>
          <w:rFonts w:ascii="Times New Roman" w:eastAsia="Times New Roman" w:hAnsi="Times New Roman" w:cs="Times New Roman"/>
          <w:sz w:val="24"/>
          <w:szCs w:val="24"/>
          <w:lang w:eastAsia="en-GB"/>
        </w:rPr>
        <w:t xml:space="preserve">) is unsaturated fatty acid which has demonstrated </w:t>
      </w:r>
      <w:proofErr w:type="spellStart"/>
      <w:r w:rsidRPr="002A4185">
        <w:rPr>
          <w:rFonts w:ascii="Times New Roman" w:eastAsia="Times New Roman" w:hAnsi="Times New Roman" w:cs="Times New Roman"/>
          <w:sz w:val="24"/>
          <w:szCs w:val="24"/>
          <w:lang w:eastAsia="en-GB"/>
        </w:rPr>
        <w:t>anticellular</w:t>
      </w:r>
      <w:proofErr w:type="spellEnd"/>
      <w:r w:rsidRPr="002A4185">
        <w:rPr>
          <w:rFonts w:ascii="Times New Roman" w:eastAsia="Times New Roman" w:hAnsi="Times New Roman" w:cs="Times New Roman"/>
          <w:sz w:val="24"/>
          <w:szCs w:val="24"/>
          <w:lang w:eastAsia="en-GB"/>
        </w:rPr>
        <w:t xml:space="preserve"> activity, </w:t>
      </w:r>
      <w:proofErr w:type="spellStart"/>
      <w:r w:rsidRPr="002A4185">
        <w:rPr>
          <w:rFonts w:ascii="Times New Roman" w:eastAsia="Times New Roman" w:hAnsi="Times New Roman" w:cs="Times New Roman"/>
          <w:sz w:val="24"/>
          <w:szCs w:val="24"/>
          <w:lang w:eastAsia="en-GB"/>
        </w:rPr>
        <w:t>bacteriostasic</w:t>
      </w:r>
      <w:proofErr w:type="spellEnd"/>
      <w:r w:rsidRPr="002A4185">
        <w:rPr>
          <w:rFonts w:ascii="Times New Roman" w:eastAsia="Times New Roman" w:hAnsi="Times New Roman" w:cs="Times New Roman"/>
          <w:sz w:val="24"/>
          <w:szCs w:val="24"/>
          <w:lang w:eastAsia="en-GB"/>
        </w:rPr>
        <w:t xml:space="preserve"> and bactericidal, especially through the ability to incorporate into bacterial membranes and </w:t>
      </w:r>
      <w:proofErr w:type="spellStart"/>
      <w:r w:rsidRPr="002A4185">
        <w:rPr>
          <w:rFonts w:ascii="Times New Roman" w:eastAsia="Times New Roman" w:hAnsi="Times New Roman" w:cs="Times New Roman"/>
          <w:sz w:val="24"/>
          <w:szCs w:val="24"/>
          <w:lang w:eastAsia="en-GB"/>
        </w:rPr>
        <w:t>catalyze</w:t>
      </w:r>
      <w:proofErr w:type="spellEnd"/>
      <w:r w:rsidRPr="002A4185">
        <w:rPr>
          <w:rFonts w:ascii="Times New Roman" w:eastAsia="Times New Roman" w:hAnsi="Times New Roman" w:cs="Times New Roman"/>
          <w:sz w:val="24"/>
          <w:szCs w:val="24"/>
          <w:lang w:eastAsia="en-GB"/>
        </w:rPr>
        <w:t xml:space="preserve"> the generation of oxidative stress. Bacteria signal transduction and nutrient uptake are also known to be hindered by the presence of poly unsaturated fatty acids [37]. Lupeol acetate (3 - beta), also </w:t>
      </w:r>
      <w:proofErr w:type="spellStart"/>
      <w:r w:rsidRPr="002A4185">
        <w:rPr>
          <w:rFonts w:ascii="Times New Roman" w:eastAsia="Times New Roman" w:hAnsi="Times New Roman" w:cs="Times New Roman"/>
          <w:sz w:val="24"/>
          <w:szCs w:val="24"/>
          <w:lang w:eastAsia="en-GB"/>
        </w:rPr>
        <w:t>labeled</w:t>
      </w:r>
      <w:proofErr w:type="spellEnd"/>
      <w:r w:rsidRPr="002A4185">
        <w:rPr>
          <w:rFonts w:ascii="Times New Roman" w:eastAsia="Times New Roman" w:hAnsi="Times New Roman" w:cs="Times New Roman"/>
          <w:sz w:val="24"/>
          <w:szCs w:val="24"/>
          <w:lang w:eastAsia="en-GB"/>
        </w:rPr>
        <w:t xml:space="preserve"> as lup-20(29)-</w:t>
      </w:r>
      <w:proofErr w:type="spellStart"/>
      <w:r w:rsidRPr="002A4185">
        <w:rPr>
          <w:rFonts w:ascii="Times New Roman" w:eastAsia="Times New Roman" w:hAnsi="Times New Roman" w:cs="Times New Roman"/>
          <w:sz w:val="24"/>
          <w:szCs w:val="24"/>
          <w:lang w:eastAsia="en-GB"/>
        </w:rPr>
        <w:t>en</w:t>
      </w:r>
      <w:proofErr w:type="spellEnd"/>
      <w:r w:rsidRPr="002A4185">
        <w:rPr>
          <w:rFonts w:ascii="Times New Roman" w:eastAsia="Times New Roman" w:hAnsi="Times New Roman" w:cs="Times New Roman"/>
          <w:sz w:val="24"/>
          <w:szCs w:val="24"/>
          <w:lang w:eastAsia="en-GB"/>
        </w:rPr>
        <w:t>- 3 -</w:t>
      </w:r>
      <w:proofErr w:type="spellStart"/>
      <w:r w:rsidRPr="002A4185">
        <w:rPr>
          <w:rFonts w:ascii="Times New Roman" w:eastAsia="Times New Roman" w:hAnsi="Times New Roman" w:cs="Times New Roman"/>
          <w:sz w:val="24"/>
          <w:szCs w:val="24"/>
          <w:lang w:eastAsia="en-GB"/>
        </w:rPr>
        <w:t>ol</w:t>
      </w:r>
      <w:proofErr w:type="spellEnd"/>
      <w:r w:rsidRPr="002A4185">
        <w:rPr>
          <w:rFonts w:ascii="Times New Roman" w:eastAsia="Times New Roman" w:hAnsi="Times New Roman" w:cs="Times New Roman"/>
          <w:sz w:val="24"/>
          <w:szCs w:val="24"/>
          <w:lang w:eastAsia="en-GB"/>
        </w:rPr>
        <w:t xml:space="preserve"> acetate, is a pentacyclic triterpenoid. It is well-known of being a potent antimicrobial, anti-inflammatory, and antioxidant activity. The Lupeol acetate suppresses bacterial enzymes, destabilizes membrane integrity and has been reported to be successful against drug- r</w:t>
      </w:r>
      <w:r w:rsidR="005169A7" w:rsidRPr="002A4185">
        <w:rPr>
          <w:rFonts w:ascii="Times New Roman" w:eastAsia="Times New Roman" w:hAnsi="Times New Roman" w:cs="Times New Roman"/>
          <w:sz w:val="24"/>
          <w:szCs w:val="24"/>
          <w:lang w:eastAsia="en-GB"/>
        </w:rPr>
        <w:t>esistant bacterial strains [38]</w:t>
      </w:r>
      <w:r w:rsidRPr="002A4185">
        <w:rPr>
          <w:rFonts w:ascii="Times New Roman" w:eastAsia="Times New Roman" w:hAnsi="Times New Roman" w:cs="Times New Roman"/>
          <w:sz w:val="24"/>
          <w:szCs w:val="24"/>
          <w:lang w:eastAsia="en-GB"/>
        </w:rPr>
        <w:t xml:space="preserve"> [39]. The identified compounds, collectively, show diverse antibacterial actions, i.e., disruption of the membrane, inhibition of an enzyme, induction of oxidative stress. The mixture of these phytochemicals in G. sepium leaf extract could lend synergistic effect on antibacterial activity which could explain that the plant has long been used in the treatment of microbial infections.</w:t>
      </w:r>
    </w:p>
    <w:p w14:paraId="1E16FC3B" w14:textId="003D3EEA" w:rsidR="00B82523" w:rsidRPr="002A4185" w:rsidRDefault="00B82523" w:rsidP="007C0EE9">
      <w:pPr>
        <w:spacing w:before="100" w:beforeAutospacing="1" w:after="100" w:afterAutospacing="1" w:line="360" w:lineRule="auto"/>
        <w:jc w:val="both"/>
        <w:rPr>
          <w:rFonts w:ascii="Times New Roman" w:hAnsi="Times New Roman" w:cs="Times New Roman"/>
          <w:b/>
          <w:sz w:val="24"/>
          <w:szCs w:val="24"/>
        </w:rPr>
      </w:pPr>
    </w:p>
    <w:p w14:paraId="1374361C" w14:textId="5ABE9925" w:rsidR="0062383D" w:rsidRPr="002A4185" w:rsidRDefault="00F842AB" w:rsidP="007C0EE9">
      <w:pPr>
        <w:autoSpaceDE w:val="0"/>
        <w:autoSpaceDN w:val="0"/>
        <w:adjustRightInd w:val="0"/>
        <w:spacing w:after="0" w:line="360" w:lineRule="auto"/>
        <w:jc w:val="both"/>
        <w:rPr>
          <w:rFonts w:ascii="Times New Roman" w:hAnsi="Times New Roman" w:cs="Times New Roman"/>
          <w:b/>
          <w:sz w:val="24"/>
          <w:szCs w:val="24"/>
        </w:rPr>
      </w:pPr>
      <w:r w:rsidRPr="002A4185">
        <w:rPr>
          <w:rFonts w:ascii="Times New Roman" w:hAnsi="Times New Roman" w:cs="Times New Roman"/>
          <w:b/>
          <w:sz w:val="24"/>
          <w:szCs w:val="24"/>
        </w:rPr>
        <w:t xml:space="preserve">4.1 </w:t>
      </w:r>
      <w:r w:rsidR="0062383D" w:rsidRPr="002A4185">
        <w:rPr>
          <w:rFonts w:ascii="Times New Roman" w:hAnsi="Times New Roman" w:cs="Times New Roman"/>
          <w:b/>
          <w:sz w:val="24"/>
          <w:szCs w:val="24"/>
        </w:rPr>
        <w:t>CONCLUSION</w:t>
      </w:r>
    </w:p>
    <w:p w14:paraId="6C4C97CD" w14:textId="46DC7FFA" w:rsidR="0062383D" w:rsidRPr="002A4185" w:rsidRDefault="0062383D" w:rsidP="007C0EE9">
      <w:pPr>
        <w:autoSpaceDE w:val="0"/>
        <w:autoSpaceDN w:val="0"/>
        <w:adjustRightInd w:val="0"/>
        <w:spacing w:after="0" w:line="360" w:lineRule="auto"/>
        <w:ind w:firstLine="720"/>
        <w:jc w:val="both"/>
        <w:rPr>
          <w:rFonts w:ascii="Times New Roman" w:eastAsia="TimesNewRomanPSMT" w:hAnsi="Times New Roman" w:cs="Times New Roman"/>
          <w:sz w:val="24"/>
          <w:szCs w:val="24"/>
        </w:rPr>
      </w:pPr>
      <w:bookmarkStart w:id="12" w:name="_Hlk145583217"/>
      <w:r w:rsidRPr="002A4185">
        <w:rPr>
          <w:rFonts w:ascii="Times New Roman" w:eastAsia="TimesNewRomanPSMT" w:hAnsi="Times New Roman" w:cs="Times New Roman"/>
          <w:sz w:val="24"/>
          <w:szCs w:val="24"/>
        </w:rPr>
        <w:t xml:space="preserve">Medicinal plants were the potent source of human health due to the presence of bioactive compounds that are responsible for its various pharmacological activities. On the basis of the results obtained, the present work concludes that the leaves of </w:t>
      </w:r>
      <w:r w:rsidR="000256D2" w:rsidRPr="000256D2">
        <w:rPr>
          <w:rFonts w:ascii="Times New Roman" w:eastAsia="TimesNewRomanPSMT" w:hAnsi="Times New Roman" w:cs="Times New Roman"/>
          <w:i/>
          <w:iCs/>
          <w:sz w:val="24"/>
          <w:szCs w:val="24"/>
        </w:rPr>
        <w:t xml:space="preserve">G. sepium </w:t>
      </w:r>
      <w:r w:rsidR="000256D2" w:rsidRPr="002A4185">
        <w:rPr>
          <w:rFonts w:ascii="Times New Roman" w:eastAsia="TimesNewRomanPSMT" w:hAnsi="Times New Roman" w:cs="Times New Roman"/>
          <w:i/>
          <w:iCs/>
          <w:sz w:val="24"/>
          <w:szCs w:val="24"/>
        </w:rPr>
        <w:t>are</w:t>
      </w:r>
      <w:r w:rsidRPr="002A4185">
        <w:rPr>
          <w:rFonts w:ascii="Times New Roman" w:eastAsia="TimesNewRomanPSMT" w:hAnsi="Times New Roman" w:cs="Times New Roman"/>
          <w:sz w:val="24"/>
          <w:szCs w:val="24"/>
        </w:rPr>
        <w:t xml:space="preserve"> rich in bioactive constituents. </w:t>
      </w:r>
      <w:bookmarkEnd w:id="12"/>
      <w:r w:rsidRPr="002A4185">
        <w:rPr>
          <w:rFonts w:ascii="Times New Roman" w:eastAsia="TimesNewRomanPSMT" w:hAnsi="Times New Roman" w:cs="Times New Roman"/>
          <w:sz w:val="24"/>
          <w:szCs w:val="24"/>
        </w:rPr>
        <w:t xml:space="preserve">Most components were present in methanol extracts of leaves.  The present work highlights the possible use of </w:t>
      </w:r>
      <w:r w:rsidRPr="002A4185">
        <w:rPr>
          <w:rFonts w:ascii="Times New Roman" w:eastAsia="TimesNewRomanPSMT" w:hAnsi="Times New Roman" w:cs="Times New Roman"/>
          <w:i/>
          <w:iCs/>
          <w:sz w:val="24"/>
          <w:szCs w:val="24"/>
        </w:rPr>
        <w:t xml:space="preserve">G. sepium </w:t>
      </w:r>
      <w:r w:rsidRPr="002A4185">
        <w:rPr>
          <w:rFonts w:ascii="Times New Roman" w:eastAsia="TimesNewRomanPSMT" w:hAnsi="Times New Roman" w:cs="Times New Roman"/>
          <w:sz w:val="24"/>
          <w:szCs w:val="24"/>
        </w:rPr>
        <w:t xml:space="preserve">leaf extracts as a source of antibacterial agents that can be used to prevent enteric diseases. The study reveals that the results of extraction yield, phenol and flavonoid compounds and bioactivity tests varied depending upon the type of solvent being used. The leaves of </w:t>
      </w:r>
      <w:r w:rsidRPr="002A4185">
        <w:rPr>
          <w:rFonts w:ascii="Times New Roman" w:eastAsia="TimesNewRomanPSMT" w:hAnsi="Times New Roman" w:cs="Times New Roman"/>
          <w:i/>
          <w:iCs/>
          <w:sz w:val="24"/>
          <w:szCs w:val="24"/>
        </w:rPr>
        <w:t xml:space="preserve">G. sepium </w:t>
      </w:r>
      <w:r w:rsidRPr="002A4185">
        <w:rPr>
          <w:rFonts w:ascii="Times New Roman" w:eastAsia="TimesNewRomanPSMT" w:hAnsi="Times New Roman" w:cs="Times New Roman"/>
          <w:sz w:val="24"/>
          <w:szCs w:val="24"/>
        </w:rPr>
        <w:t xml:space="preserve">contain a considerable quantity of phenol - flavonoid compounds which were considered to be the major contributor for the antibacterial activities. Hence it can be concluded that the leaves of </w:t>
      </w:r>
      <w:r w:rsidRPr="002A4185">
        <w:rPr>
          <w:rFonts w:ascii="Times New Roman" w:eastAsia="TimesNewRomanPSMT" w:hAnsi="Times New Roman" w:cs="Times New Roman"/>
          <w:i/>
          <w:iCs/>
          <w:sz w:val="24"/>
          <w:szCs w:val="24"/>
        </w:rPr>
        <w:t xml:space="preserve">G. sepium </w:t>
      </w:r>
      <w:r w:rsidRPr="002A4185">
        <w:rPr>
          <w:rFonts w:ascii="Times New Roman" w:eastAsia="TimesNewRomanPSMT" w:hAnsi="Times New Roman" w:cs="Times New Roman"/>
          <w:sz w:val="24"/>
          <w:szCs w:val="24"/>
        </w:rPr>
        <w:t xml:space="preserve">would direct to the establishment of some compounds that could be used to invent new and more potent anti-microbial drugs of natural origin. Therefore, future research should be addressed on the application of using </w:t>
      </w:r>
      <w:r w:rsidRPr="002A4185">
        <w:rPr>
          <w:rFonts w:ascii="Times New Roman" w:eastAsia="TimesNewRomanPSMT" w:hAnsi="Times New Roman" w:cs="Times New Roman"/>
          <w:i/>
          <w:iCs/>
          <w:sz w:val="24"/>
          <w:szCs w:val="24"/>
        </w:rPr>
        <w:t xml:space="preserve">G. sepium </w:t>
      </w:r>
      <w:r w:rsidRPr="002A4185">
        <w:rPr>
          <w:rFonts w:ascii="Times New Roman" w:eastAsia="TimesNewRomanPSMT" w:hAnsi="Times New Roman" w:cs="Times New Roman"/>
          <w:sz w:val="24"/>
          <w:szCs w:val="24"/>
        </w:rPr>
        <w:t>leaves as natural remedied and to protect against infectious diseases.</w:t>
      </w:r>
    </w:p>
    <w:p w14:paraId="23C200EA" w14:textId="69EC2782" w:rsidR="002A4185" w:rsidRDefault="002A4185" w:rsidP="007C0EE9">
      <w:pPr>
        <w:jc w:val="both"/>
        <w:rPr>
          <w:rFonts w:ascii="Times New Roman" w:hAnsi="Times New Roman" w:cs="Times New Roman"/>
          <w:b/>
          <w:sz w:val="24"/>
          <w:szCs w:val="24"/>
        </w:rPr>
      </w:pPr>
      <w:r>
        <w:rPr>
          <w:rFonts w:ascii="Times New Roman" w:hAnsi="Times New Roman" w:cs="Times New Roman"/>
          <w:b/>
          <w:sz w:val="24"/>
          <w:szCs w:val="24"/>
        </w:rPr>
        <w:t xml:space="preserve">Acknowledgement </w:t>
      </w:r>
    </w:p>
    <w:p w14:paraId="60D92A1F" w14:textId="2994ADD5" w:rsidR="002A4185" w:rsidRPr="000256D2" w:rsidRDefault="002A4185" w:rsidP="007C0EE9">
      <w:pPr>
        <w:jc w:val="both"/>
        <w:rPr>
          <w:rFonts w:ascii="Times New Roman" w:hAnsi="Times New Roman" w:cs="Times New Roman"/>
          <w:sz w:val="24"/>
          <w:szCs w:val="24"/>
        </w:rPr>
      </w:pPr>
      <w:r w:rsidRPr="000256D2">
        <w:rPr>
          <w:rFonts w:ascii="Times New Roman" w:hAnsi="Times New Roman" w:cs="Times New Roman"/>
          <w:sz w:val="24"/>
          <w:szCs w:val="24"/>
          <w:highlight w:val="yellow"/>
        </w:rPr>
        <w:lastRenderedPageBreak/>
        <w:t xml:space="preserve">The authors thank Mr </w:t>
      </w:r>
      <w:proofErr w:type="spellStart"/>
      <w:r w:rsidRPr="000256D2">
        <w:rPr>
          <w:rFonts w:ascii="Times New Roman" w:hAnsi="Times New Roman" w:cs="Times New Roman"/>
          <w:sz w:val="24"/>
          <w:szCs w:val="24"/>
          <w:highlight w:val="yellow"/>
        </w:rPr>
        <w:t>Omotayo</w:t>
      </w:r>
      <w:proofErr w:type="spellEnd"/>
      <w:r w:rsidRPr="000256D2">
        <w:rPr>
          <w:rFonts w:ascii="Times New Roman" w:hAnsi="Times New Roman" w:cs="Times New Roman"/>
          <w:sz w:val="24"/>
          <w:szCs w:val="24"/>
          <w:highlight w:val="yellow"/>
        </w:rPr>
        <w:t xml:space="preserve"> in the Department of Plant Science and Biotechnology Ekiti State University Ado Ekiti </w:t>
      </w:r>
      <w:proofErr w:type="spellStart"/>
      <w:r w:rsidRPr="000256D2">
        <w:rPr>
          <w:rFonts w:ascii="Times New Roman" w:hAnsi="Times New Roman" w:cs="Times New Roman"/>
          <w:sz w:val="24"/>
          <w:szCs w:val="24"/>
          <w:highlight w:val="yellow"/>
        </w:rPr>
        <w:t>Ekiti</w:t>
      </w:r>
      <w:proofErr w:type="spellEnd"/>
      <w:r w:rsidRPr="000256D2">
        <w:rPr>
          <w:rFonts w:ascii="Times New Roman" w:hAnsi="Times New Roman" w:cs="Times New Roman"/>
          <w:sz w:val="24"/>
          <w:szCs w:val="24"/>
          <w:highlight w:val="yellow"/>
        </w:rPr>
        <w:t xml:space="preserve"> State</w:t>
      </w:r>
      <w:r w:rsidRPr="000256D2">
        <w:rPr>
          <w:rFonts w:ascii="Times New Roman" w:hAnsi="Times New Roman" w:cs="Times New Roman"/>
          <w:b/>
          <w:sz w:val="24"/>
          <w:szCs w:val="24"/>
          <w:highlight w:val="yellow"/>
        </w:rPr>
        <w:t xml:space="preserve"> </w:t>
      </w:r>
      <w:r w:rsidRPr="000256D2">
        <w:rPr>
          <w:rFonts w:ascii="Times New Roman" w:hAnsi="Times New Roman" w:cs="Times New Roman"/>
          <w:sz w:val="24"/>
          <w:szCs w:val="24"/>
          <w:highlight w:val="yellow"/>
        </w:rPr>
        <w:t xml:space="preserve">for the </w:t>
      </w:r>
      <w:r w:rsidR="000256D2" w:rsidRPr="000256D2">
        <w:rPr>
          <w:rFonts w:ascii="Times New Roman" w:hAnsi="Times New Roman" w:cs="Times New Roman"/>
          <w:sz w:val="24"/>
          <w:szCs w:val="24"/>
          <w:highlight w:val="yellow"/>
        </w:rPr>
        <w:t xml:space="preserve">authentication </w:t>
      </w:r>
      <w:r w:rsidRPr="000256D2">
        <w:rPr>
          <w:rFonts w:ascii="Times New Roman" w:hAnsi="Times New Roman" w:cs="Times New Roman"/>
          <w:sz w:val="24"/>
          <w:szCs w:val="24"/>
          <w:highlight w:val="yellow"/>
        </w:rPr>
        <w:t xml:space="preserve">and </w:t>
      </w:r>
      <w:r w:rsidR="000256D2" w:rsidRPr="000256D2">
        <w:rPr>
          <w:rFonts w:ascii="Times New Roman" w:hAnsi="Times New Roman" w:cs="Times New Roman"/>
          <w:sz w:val="24"/>
          <w:szCs w:val="24"/>
          <w:highlight w:val="yellow"/>
        </w:rPr>
        <w:t>identification of the plant used in this study</w:t>
      </w:r>
    </w:p>
    <w:p w14:paraId="7389F760" w14:textId="0631DABB" w:rsidR="00AD0E04" w:rsidRPr="002A4185" w:rsidRDefault="00AD0E04" w:rsidP="007C0EE9">
      <w:pPr>
        <w:jc w:val="both"/>
        <w:rPr>
          <w:rFonts w:ascii="Times New Roman" w:hAnsi="Times New Roman" w:cs="Times New Roman"/>
          <w:b/>
          <w:sz w:val="24"/>
          <w:szCs w:val="24"/>
        </w:rPr>
      </w:pPr>
      <w:r w:rsidRPr="002A4185">
        <w:rPr>
          <w:rFonts w:ascii="Times New Roman" w:hAnsi="Times New Roman" w:cs="Times New Roman"/>
          <w:b/>
          <w:sz w:val="24"/>
          <w:szCs w:val="24"/>
        </w:rPr>
        <w:t xml:space="preserve">References </w:t>
      </w:r>
    </w:p>
    <w:p w14:paraId="55B315A2" w14:textId="1436F078" w:rsidR="00D85B68" w:rsidRPr="002A4185" w:rsidRDefault="00D85B68" w:rsidP="00D85B68">
      <w:pPr>
        <w:pStyle w:val="ListParagraph"/>
        <w:numPr>
          <w:ilvl w:val="0"/>
          <w:numId w:val="7"/>
        </w:numPr>
        <w:spacing w:line="360" w:lineRule="auto"/>
        <w:jc w:val="both"/>
        <w:rPr>
          <w:rFonts w:ascii="Times New Roman" w:hAnsi="Times New Roman" w:cs="Times New Roman"/>
          <w:sz w:val="24"/>
          <w:szCs w:val="24"/>
        </w:rPr>
      </w:pPr>
      <w:proofErr w:type="spellStart"/>
      <w:r w:rsidRPr="002A4185">
        <w:rPr>
          <w:rFonts w:ascii="Times New Roman" w:hAnsi="Times New Roman" w:cs="Times New Roman"/>
          <w:sz w:val="24"/>
          <w:szCs w:val="24"/>
          <w:highlight w:val="yellow"/>
        </w:rPr>
        <w:t>Wafaey</w:t>
      </w:r>
      <w:proofErr w:type="spellEnd"/>
      <w:r w:rsidRPr="002A4185">
        <w:rPr>
          <w:rFonts w:ascii="Times New Roman" w:hAnsi="Times New Roman" w:cs="Times New Roman"/>
          <w:sz w:val="24"/>
          <w:szCs w:val="24"/>
          <w:highlight w:val="yellow"/>
        </w:rPr>
        <w:t>, A. A., El-</w:t>
      </w:r>
      <w:proofErr w:type="spellStart"/>
      <w:r w:rsidRPr="002A4185">
        <w:rPr>
          <w:rFonts w:ascii="Times New Roman" w:hAnsi="Times New Roman" w:cs="Times New Roman"/>
          <w:sz w:val="24"/>
          <w:szCs w:val="24"/>
          <w:highlight w:val="yellow"/>
        </w:rPr>
        <w:t>Hawary</w:t>
      </w:r>
      <w:proofErr w:type="spellEnd"/>
      <w:r w:rsidRPr="002A4185">
        <w:rPr>
          <w:rFonts w:ascii="Times New Roman" w:hAnsi="Times New Roman" w:cs="Times New Roman"/>
          <w:sz w:val="24"/>
          <w:szCs w:val="24"/>
          <w:highlight w:val="yellow"/>
        </w:rPr>
        <w:t xml:space="preserve">, S. S., </w:t>
      </w:r>
      <w:proofErr w:type="spellStart"/>
      <w:r w:rsidRPr="002A4185">
        <w:rPr>
          <w:rFonts w:ascii="Times New Roman" w:hAnsi="Times New Roman" w:cs="Times New Roman"/>
          <w:sz w:val="24"/>
          <w:szCs w:val="24"/>
          <w:highlight w:val="yellow"/>
        </w:rPr>
        <w:t>Kirollos</w:t>
      </w:r>
      <w:proofErr w:type="spellEnd"/>
      <w:r w:rsidRPr="002A4185">
        <w:rPr>
          <w:rFonts w:ascii="Times New Roman" w:hAnsi="Times New Roman" w:cs="Times New Roman"/>
          <w:sz w:val="24"/>
          <w:szCs w:val="24"/>
          <w:highlight w:val="yellow"/>
        </w:rPr>
        <w:t xml:space="preserve">, F. N., &amp; </w:t>
      </w:r>
      <w:proofErr w:type="spellStart"/>
      <w:r w:rsidRPr="002A4185">
        <w:rPr>
          <w:rFonts w:ascii="Times New Roman" w:hAnsi="Times New Roman" w:cs="Times New Roman"/>
          <w:sz w:val="24"/>
          <w:szCs w:val="24"/>
          <w:highlight w:val="yellow"/>
        </w:rPr>
        <w:t>Abdelhameed</w:t>
      </w:r>
      <w:proofErr w:type="spellEnd"/>
      <w:r w:rsidRPr="002A4185">
        <w:rPr>
          <w:rFonts w:ascii="Times New Roman" w:hAnsi="Times New Roman" w:cs="Times New Roman"/>
          <w:sz w:val="24"/>
          <w:szCs w:val="24"/>
          <w:highlight w:val="yellow"/>
        </w:rPr>
        <w:t xml:space="preserve">, M. F. (2023). </w:t>
      </w:r>
      <w:r w:rsidRPr="002A4185">
        <w:rPr>
          <w:rStyle w:val="Emphasis"/>
          <w:rFonts w:ascii="Times New Roman" w:hAnsi="Times New Roman" w:cs="Times New Roman"/>
          <w:sz w:val="24"/>
          <w:szCs w:val="24"/>
          <w:highlight w:val="yellow"/>
        </w:rPr>
        <w:t xml:space="preserve">An overview on </w:t>
      </w:r>
      <w:r w:rsidR="000256D2" w:rsidRPr="000256D2">
        <w:rPr>
          <w:rStyle w:val="Emphasis"/>
          <w:rFonts w:ascii="Times New Roman" w:hAnsi="Times New Roman" w:cs="Times New Roman"/>
          <w:sz w:val="24"/>
          <w:szCs w:val="24"/>
          <w:highlight w:val="yellow"/>
        </w:rPr>
        <w:t xml:space="preserve">G. </w:t>
      </w:r>
      <w:proofErr w:type="gramStart"/>
      <w:r w:rsidR="000256D2" w:rsidRPr="000256D2">
        <w:rPr>
          <w:rStyle w:val="Emphasis"/>
          <w:rFonts w:ascii="Times New Roman" w:hAnsi="Times New Roman" w:cs="Times New Roman"/>
          <w:sz w:val="24"/>
          <w:szCs w:val="24"/>
          <w:highlight w:val="yellow"/>
        </w:rPr>
        <w:t xml:space="preserve">sepium </w:t>
      </w:r>
      <w:r w:rsidRPr="002A4185">
        <w:rPr>
          <w:rStyle w:val="Emphasis"/>
          <w:rFonts w:ascii="Times New Roman" w:hAnsi="Times New Roman" w:cs="Times New Roman"/>
          <w:sz w:val="24"/>
          <w:szCs w:val="24"/>
          <w:highlight w:val="yellow"/>
        </w:rPr>
        <w:t xml:space="preserve"> in</w:t>
      </w:r>
      <w:proofErr w:type="gramEnd"/>
      <w:r w:rsidRPr="002A4185">
        <w:rPr>
          <w:rStyle w:val="Emphasis"/>
          <w:rFonts w:ascii="Times New Roman" w:hAnsi="Times New Roman" w:cs="Times New Roman"/>
          <w:sz w:val="24"/>
          <w:szCs w:val="24"/>
          <w:highlight w:val="yellow"/>
        </w:rPr>
        <w:t xml:space="preserve"> the pharmaceutical aspect: a review article.</w:t>
      </w:r>
      <w:r w:rsidRPr="002A4185">
        <w:rPr>
          <w:rFonts w:ascii="Times New Roman" w:hAnsi="Times New Roman" w:cs="Times New Roman"/>
          <w:sz w:val="24"/>
          <w:szCs w:val="24"/>
          <w:highlight w:val="yellow"/>
        </w:rPr>
        <w:t xml:space="preserve"> </w:t>
      </w:r>
      <w:r w:rsidRPr="002A4185">
        <w:rPr>
          <w:rStyle w:val="Emphasis"/>
          <w:rFonts w:ascii="Times New Roman" w:hAnsi="Times New Roman" w:cs="Times New Roman"/>
          <w:sz w:val="24"/>
          <w:szCs w:val="24"/>
          <w:highlight w:val="yellow"/>
        </w:rPr>
        <w:t>Egyptian Journal of Chemistry, 66</w:t>
      </w:r>
      <w:r w:rsidRPr="002A4185">
        <w:rPr>
          <w:rFonts w:ascii="Times New Roman" w:hAnsi="Times New Roman" w:cs="Times New Roman"/>
          <w:sz w:val="24"/>
          <w:szCs w:val="24"/>
          <w:highlight w:val="yellow"/>
        </w:rPr>
        <w:t xml:space="preserve">(1), 479–496. </w:t>
      </w:r>
      <w:hyperlink r:id="rId28" w:history="1">
        <w:r w:rsidRPr="002A4185">
          <w:rPr>
            <w:rStyle w:val="Hyperlink"/>
            <w:rFonts w:ascii="Times New Roman" w:hAnsi="Times New Roman" w:cs="Times New Roman"/>
            <w:sz w:val="24"/>
            <w:szCs w:val="24"/>
            <w:highlight w:val="yellow"/>
          </w:rPr>
          <w:t>https://doi.org/10.21608/ejchem.2022.129184.5713</w:t>
        </w:r>
      </w:hyperlink>
      <w:r w:rsidRPr="002A4185">
        <w:rPr>
          <w:rFonts w:ascii="Times New Roman" w:hAnsi="Times New Roman" w:cs="Times New Roman"/>
          <w:sz w:val="24"/>
          <w:szCs w:val="24"/>
        </w:rPr>
        <w:t xml:space="preserve"> </w:t>
      </w:r>
    </w:p>
    <w:p w14:paraId="07DA4752" w14:textId="77777777" w:rsidR="00D85B68" w:rsidRPr="002A4185" w:rsidRDefault="00D85B68" w:rsidP="00D85B68">
      <w:pPr>
        <w:pStyle w:val="NormalWeb"/>
        <w:numPr>
          <w:ilvl w:val="0"/>
          <w:numId w:val="7"/>
        </w:numPr>
        <w:rPr>
          <w:highlight w:val="yellow"/>
        </w:rPr>
      </w:pPr>
      <w:proofErr w:type="spellStart"/>
      <w:r w:rsidRPr="002A4185">
        <w:rPr>
          <w:highlight w:val="yellow"/>
        </w:rPr>
        <w:t>Chatepa</w:t>
      </w:r>
      <w:proofErr w:type="spellEnd"/>
      <w:r w:rsidRPr="002A4185">
        <w:rPr>
          <w:highlight w:val="yellow"/>
        </w:rPr>
        <w:t xml:space="preserve">, L. E., </w:t>
      </w:r>
      <w:proofErr w:type="spellStart"/>
      <w:r w:rsidRPr="002A4185">
        <w:rPr>
          <w:highlight w:val="yellow"/>
        </w:rPr>
        <w:t>Mwamatope</w:t>
      </w:r>
      <w:proofErr w:type="spellEnd"/>
      <w:r w:rsidRPr="002A4185">
        <w:rPr>
          <w:highlight w:val="yellow"/>
        </w:rPr>
        <w:t xml:space="preserve">, B., </w:t>
      </w:r>
      <w:proofErr w:type="spellStart"/>
      <w:r w:rsidRPr="002A4185">
        <w:rPr>
          <w:highlight w:val="yellow"/>
        </w:rPr>
        <w:t>Chikowe</w:t>
      </w:r>
      <w:proofErr w:type="spellEnd"/>
      <w:r w:rsidRPr="002A4185">
        <w:rPr>
          <w:highlight w:val="yellow"/>
        </w:rPr>
        <w:t xml:space="preserve">, I., &amp; </w:t>
      </w:r>
      <w:proofErr w:type="spellStart"/>
      <w:r w:rsidRPr="002A4185">
        <w:rPr>
          <w:highlight w:val="yellow"/>
        </w:rPr>
        <w:t>Masamba</w:t>
      </w:r>
      <w:proofErr w:type="spellEnd"/>
      <w:r w:rsidRPr="002A4185">
        <w:rPr>
          <w:highlight w:val="yellow"/>
        </w:rPr>
        <w:t xml:space="preserve">, K. G. (2024). </w:t>
      </w:r>
      <w:r w:rsidRPr="002A4185">
        <w:rPr>
          <w:rStyle w:val="Emphasis"/>
          <w:i w:val="0"/>
          <w:highlight w:val="yellow"/>
        </w:rPr>
        <w:t>Effects of solvent extraction on the phytoconstituents and in vitro antioxidant activity of leaf extracts of selected medicinal plants from Malawi</w:t>
      </w:r>
      <w:r w:rsidRPr="002A4185">
        <w:rPr>
          <w:rStyle w:val="Emphasis"/>
          <w:highlight w:val="yellow"/>
        </w:rPr>
        <w:t>.</w:t>
      </w:r>
      <w:r w:rsidRPr="002A4185">
        <w:rPr>
          <w:highlight w:val="yellow"/>
        </w:rPr>
        <w:t xml:space="preserve"> BMC Complementary Medicine and Therapies, 24, 317. </w:t>
      </w:r>
      <w:hyperlink r:id="rId29" w:tgtFrame="_new" w:history="1">
        <w:r w:rsidRPr="002A4185">
          <w:rPr>
            <w:rStyle w:val="Hyperlink"/>
            <w:highlight w:val="yellow"/>
          </w:rPr>
          <w:t>https://doi.org/10.1186/s12906-024-04619-7</w:t>
        </w:r>
      </w:hyperlink>
      <w:r w:rsidRPr="002A4185">
        <w:rPr>
          <w:highlight w:val="yellow"/>
        </w:rPr>
        <w:t xml:space="preserve"> </w:t>
      </w:r>
    </w:p>
    <w:p w14:paraId="5BEED500" w14:textId="0150A96A" w:rsidR="00D85B68" w:rsidRPr="002A4185" w:rsidRDefault="00D85B68" w:rsidP="00D85B68">
      <w:pPr>
        <w:pStyle w:val="NormalWeb"/>
        <w:numPr>
          <w:ilvl w:val="0"/>
          <w:numId w:val="7"/>
        </w:numPr>
        <w:rPr>
          <w:highlight w:val="yellow"/>
        </w:rPr>
      </w:pPr>
      <w:proofErr w:type="spellStart"/>
      <w:r w:rsidRPr="002A4185">
        <w:rPr>
          <w:highlight w:val="yellow"/>
        </w:rPr>
        <w:t>Juanico</w:t>
      </w:r>
      <w:proofErr w:type="spellEnd"/>
      <w:r w:rsidRPr="002A4185">
        <w:rPr>
          <w:highlight w:val="yellow"/>
        </w:rPr>
        <w:t xml:space="preserve">, M. P., </w:t>
      </w:r>
      <w:proofErr w:type="spellStart"/>
      <w:r w:rsidRPr="002A4185">
        <w:rPr>
          <w:highlight w:val="yellow"/>
        </w:rPr>
        <w:t>Purnamasari</w:t>
      </w:r>
      <w:proofErr w:type="spellEnd"/>
      <w:r w:rsidRPr="002A4185">
        <w:rPr>
          <w:highlight w:val="yellow"/>
        </w:rPr>
        <w:t xml:space="preserve">, L., Hwang, S. G., &amp; </w:t>
      </w:r>
      <w:proofErr w:type="spellStart"/>
      <w:r w:rsidRPr="002A4185">
        <w:rPr>
          <w:highlight w:val="yellow"/>
        </w:rPr>
        <w:t>dela</w:t>
      </w:r>
      <w:proofErr w:type="spellEnd"/>
      <w:r w:rsidRPr="002A4185">
        <w:rPr>
          <w:highlight w:val="yellow"/>
        </w:rPr>
        <w:t xml:space="preserve"> Cruz, J. F. (2023). The potential of </w:t>
      </w:r>
      <w:r w:rsidR="000256D2" w:rsidRPr="000256D2">
        <w:rPr>
          <w:i/>
          <w:highlight w:val="yellow"/>
        </w:rPr>
        <w:t xml:space="preserve">G. </w:t>
      </w:r>
      <w:proofErr w:type="gramStart"/>
      <w:r w:rsidR="000256D2" w:rsidRPr="000256D2">
        <w:rPr>
          <w:i/>
          <w:highlight w:val="yellow"/>
        </w:rPr>
        <w:t xml:space="preserve">sepium </w:t>
      </w:r>
      <w:r w:rsidRPr="002A4185">
        <w:rPr>
          <w:highlight w:val="yellow"/>
        </w:rPr>
        <w:t xml:space="preserve"> plant</w:t>
      </w:r>
      <w:proofErr w:type="gramEnd"/>
      <w:r w:rsidRPr="002A4185">
        <w:rPr>
          <w:highlight w:val="yellow"/>
        </w:rPr>
        <w:t xml:space="preserve"> extract as antibacterial and antifungal: A review. </w:t>
      </w:r>
      <w:r w:rsidRPr="002A4185">
        <w:rPr>
          <w:i/>
          <w:highlight w:val="yellow"/>
        </w:rPr>
        <w:t>European Journal of Veterinary Medicine</w:t>
      </w:r>
      <w:r w:rsidRPr="002A4185">
        <w:rPr>
          <w:highlight w:val="yellow"/>
        </w:rPr>
        <w:t xml:space="preserve">, 3(3), 1–6. </w:t>
      </w:r>
      <w:hyperlink r:id="rId30" w:history="1">
        <w:r w:rsidRPr="002A4185">
          <w:rPr>
            <w:rStyle w:val="Hyperlink"/>
            <w:highlight w:val="yellow"/>
          </w:rPr>
          <w:t>https://doi.org/10.24018/ejvetmed.2023.3.3.95</w:t>
        </w:r>
      </w:hyperlink>
    </w:p>
    <w:p w14:paraId="3FAFF3A9" w14:textId="56B57C3E" w:rsidR="00AD0E04" w:rsidRPr="002A4185" w:rsidRDefault="00AD0E04" w:rsidP="007C0EE9">
      <w:pPr>
        <w:pStyle w:val="NormalWeb"/>
        <w:numPr>
          <w:ilvl w:val="0"/>
          <w:numId w:val="7"/>
        </w:numPr>
        <w:jc w:val="both"/>
      </w:pPr>
      <w:r w:rsidRPr="002A4185">
        <w:t xml:space="preserve">Oliveira, A. L. S., Santos, L. L., Ferreira, M. I., and Rocha, C. A. (2022). Evaluation of extraction methods on the phytochemical profile and antimicrobial activity of medicinal plants. </w:t>
      </w:r>
      <w:r w:rsidRPr="002A4185">
        <w:rPr>
          <w:rStyle w:val="Emphasis"/>
        </w:rPr>
        <w:t>Industrial Crops and Products, 179,</w:t>
      </w:r>
      <w:r w:rsidRPr="002A4185">
        <w:t xml:space="preserve"> 114672. </w:t>
      </w:r>
      <w:hyperlink r:id="rId31" w:history="1">
        <w:r w:rsidRPr="002A4185">
          <w:rPr>
            <w:rStyle w:val="Hyperlink"/>
          </w:rPr>
          <w:t>https://doi.org/10.1016/j.indcrop.2022.114672</w:t>
        </w:r>
      </w:hyperlink>
    </w:p>
    <w:p w14:paraId="40501185" w14:textId="77777777" w:rsidR="00402637" w:rsidRPr="002A4185" w:rsidRDefault="00402637" w:rsidP="00402637">
      <w:pPr>
        <w:pStyle w:val="NormalWeb"/>
        <w:numPr>
          <w:ilvl w:val="0"/>
          <w:numId w:val="7"/>
        </w:numPr>
      </w:pPr>
      <w:proofErr w:type="spellStart"/>
      <w:r w:rsidRPr="002A4185">
        <w:t>Lappa</w:t>
      </w:r>
      <w:proofErr w:type="spellEnd"/>
      <w:r w:rsidRPr="002A4185">
        <w:t xml:space="preserve">, E. L., </w:t>
      </w:r>
      <w:proofErr w:type="spellStart"/>
      <w:r w:rsidRPr="002A4185">
        <w:t>Bogning</w:t>
      </w:r>
      <w:proofErr w:type="spellEnd"/>
      <w:r w:rsidRPr="002A4185">
        <w:t xml:space="preserve"> Z, C., </w:t>
      </w:r>
      <w:proofErr w:type="spellStart"/>
      <w:r w:rsidRPr="002A4185">
        <w:t>Nguemfo</w:t>
      </w:r>
      <w:proofErr w:type="spellEnd"/>
      <w:r w:rsidRPr="002A4185">
        <w:t xml:space="preserve">, E. L., </w:t>
      </w:r>
      <w:proofErr w:type="spellStart"/>
      <w:r w:rsidRPr="002A4185">
        <w:t>Kojom-Wanche</w:t>
      </w:r>
      <w:proofErr w:type="spellEnd"/>
      <w:r w:rsidRPr="002A4185">
        <w:t xml:space="preserve">, J. J., </w:t>
      </w:r>
      <w:proofErr w:type="spellStart"/>
      <w:r w:rsidRPr="002A4185">
        <w:t>Sonfack</w:t>
      </w:r>
      <w:proofErr w:type="spellEnd"/>
      <w:r w:rsidRPr="002A4185">
        <w:t xml:space="preserve">, C. S., </w:t>
      </w:r>
      <w:proofErr w:type="spellStart"/>
      <w:r w:rsidRPr="002A4185">
        <w:t>Magne</w:t>
      </w:r>
      <w:proofErr w:type="spellEnd"/>
      <w:r w:rsidRPr="002A4185">
        <w:t xml:space="preserve"> </w:t>
      </w:r>
      <w:proofErr w:type="spellStart"/>
      <w:r w:rsidRPr="002A4185">
        <w:t>Fongang</w:t>
      </w:r>
      <w:proofErr w:type="spellEnd"/>
      <w:r w:rsidRPr="002A4185">
        <w:t xml:space="preserve">, A. L., </w:t>
      </w:r>
      <w:proofErr w:type="spellStart"/>
      <w:r w:rsidRPr="002A4185">
        <w:t>Naoussi</w:t>
      </w:r>
      <w:proofErr w:type="spellEnd"/>
      <w:r w:rsidRPr="002A4185">
        <w:t xml:space="preserve">, C. D., Jiménez-López, J., </w:t>
      </w:r>
      <w:proofErr w:type="spellStart"/>
      <w:r w:rsidRPr="002A4185">
        <w:t>Llorent</w:t>
      </w:r>
      <w:proofErr w:type="spellEnd"/>
      <w:r w:rsidRPr="002A4185">
        <w:t xml:space="preserve">-Martínez, E. J., &amp; </w:t>
      </w:r>
      <w:proofErr w:type="spellStart"/>
      <w:r w:rsidRPr="002A4185">
        <w:t>Dongmo</w:t>
      </w:r>
      <w:proofErr w:type="spellEnd"/>
      <w:r w:rsidRPr="002A4185">
        <w:t xml:space="preserve">, A. B. (2022). </w:t>
      </w:r>
      <w:r w:rsidRPr="002A4185">
        <w:rPr>
          <w:rStyle w:val="Emphasis"/>
          <w:i w:val="0"/>
        </w:rPr>
        <w:t>Anti-inflammatory activity and metabolites profiling of aqueous stem bark extract of</w:t>
      </w:r>
      <w:r w:rsidRPr="002A4185">
        <w:rPr>
          <w:i/>
        </w:rPr>
        <w:t xml:space="preserve"> </w:t>
      </w:r>
      <w:proofErr w:type="spellStart"/>
      <w:r w:rsidRPr="002A4185">
        <w:rPr>
          <w:i/>
        </w:rPr>
        <w:t>Ficus</w:t>
      </w:r>
      <w:proofErr w:type="spellEnd"/>
      <w:r w:rsidRPr="002A4185">
        <w:rPr>
          <w:i/>
        </w:rPr>
        <w:t xml:space="preserve"> </w:t>
      </w:r>
      <w:proofErr w:type="spellStart"/>
      <w:r w:rsidRPr="002A4185">
        <w:rPr>
          <w:i/>
        </w:rPr>
        <w:t>vogelii</w:t>
      </w:r>
      <w:proofErr w:type="spellEnd"/>
      <w:r w:rsidRPr="002A4185">
        <w:rPr>
          <w:i/>
        </w:rPr>
        <w:t xml:space="preserve"> </w:t>
      </w:r>
      <w:r w:rsidRPr="002A4185">
        <w:rPr>
          <w:rStyle w:val="Emphasis"/>
          <w:i w:val="0"/>
        </w:rPr>
        <w:t>(</w:t>
      </w:r>
      <w:proofErr w:type="spellStart"/>
      <w:r w:rsidRPr="002A4185">
        <w:rPr>
          <w:rStyle w:val="Emphasis"/>
          <w:i w:val="0"/>
        </w:rPr>
        <w:t>Moraceae</w:t>
      </w:r>
      <w:proofErr w:type="spellEnd"/>
      <w:r w:rsidRPr="002A4185">
        <w:rPr>
          <w:rStyle w:val="Emphasis"/>
          <w:i w:val="0"/>
        </w:rPr>
        <w:t>) in rats</w:t>
      </w:r>
      <w:r w:rsidRPr="002A4185">
        <w:rPr>
          <w:i/>
        </w:rPr>
        <w:t xml:space="preserve">. </w:t>
      </w:r>
      <w:r w:rsidRPr="002A4185">
        <w:rPr>
          <w:rStyle w:val="Strong"/>
          <w:b w:val="0"/>
          <w:i/>
        </w:rPr>
        <w:t>Phytomedicine Plus</w:t>
      </w:r>
      <w:r w:rsidRPr="002A4185">
        <w:rPr>
          <w:rStyle w:val="Strong"/>
        </w:rPr>
        <w:t>, 2</w:t>
      </w:r>
      <w:r w:rsidRPr="002A4185">
        <w:t xml:space="preserve">(4), 100348. </w:t>
      </w:r>
      <w:hyperlink r:id="rId32" w:history="1">
        <w:r w:rsidRPr="002A4185">
          <w:rPr>
            <w:rStyle w:val="Hyperlink"/>
          </w:rPr>
          <w:t>https://doi.org/10.1016/j.phyplu.2022.100348</w:t>
        </w:r>
      </w:hyperlink>
    </w:p>
    <w:p w14:paraId="0109889E" w14:textId="5DBB5381" w:rsidR="00D85B68" w:rsidRPr="002A4185" w:rsidRDefault="00D85B68" w:rsidP="00D85B68">
      <w:pPr>
        <w:pStyle w:val="ListParagraph"/>
        <w:numPr>
          <w:ilvl w:val="0"/>
          <w:numId w:val="7"/>
        </w:numPr>
        <w:spacing w:line="256" w:lineRule="auto"/>
        <w:rPr>
          <w:rFonts w:ascii="Times New Roman" w:eastAsia="Times New Roman" w:hAnsi="Times New Roman" w:cs="Times New Roman"/>
          <w:sz w:val="24"/>
          <w:szCs w:val="24"/>
          <w:highlight w:val="yellow"/>
          <w:lang w:eastAsia="en-GB"/>
        </w:rPr>
      </w:pPr>
      <w:r w:rsidRPr="002A4185">
        <w:rPr>
          <w:rFonts w:ascii="Times New Roman" w:eastAsia="Times New Roman" w:hAnsi="Times New Roman" w:cs="Times New Roman"/>
          <w:sz w:val="24"/>
          <w:szCs w:val="24"/>
          <w:highlight w:val="yellow"/>
          <w:lang w:eastAsia="en-GB"/>
        </w:rPr>
        <w:t xml:space="preserve">Khan, F. K. (2023). An overview on </w:t>
      </w:r>
      <w:r w:rsidR="000256D2" w:rsidRPr="000256D2">
        <w:rPr>
          <w:rFonts w:ascii="Times New Roman" w:eastAsia="Times New Roman" w:hAnsi="Times New Roman" w:cs="Times New Roman"/>
          <w:i/>
          <w:sz w:val="24"/>
          <w:szCs w:val="24"/>
          <w:highlight w:val="yellow"/>
          <w:lang w:eastAsia="en-GB"/>
        </w:rPr>
        <w:t xml:space="preserve">G. </w:t>
      </w:r>
      <w:proofErr w:type="gramStart"/>
      <w:r w:rsidR="000256D2" w:rsidRPr="000256D2">
        <w:rPr>
          <w:rFonts w:ascii="Times New Roman" w:eastAsia="Times New Roman" w:hAnsi="Times New Roman" w:cs="Times New Roman"/>
          <w:i/>
          <w:sz w:val="24"/>
          <w:szCs w:val="24"/>
          <w:highlight w:val="yellow"/>
          <w:lang w:eastAsia="en-GB"/>
        </w:rPr>
        <w:t xml:space="preserve">sepium </w:t>
      </w:r>
      <w:r w:rsidRPr="002A4185">
        <w:rPr>
          <w:rFonts w:ascii="Times New Roman" w:eastAsia="Times New Roman" w:hAnsi="Times New Roman" w:cs="Times New Roman"/>
          <w:sz w:val="24"/>
          <w:szCs w:val="24"/>
          <w:highlight w:val="yellow"/>
          <w:lang w:eastAsia="en-GB"/>
        </w:rPr>
        <w:t xml:space="preserve"> in</w:t>
      </w:r>
      <w:proofErr w:type="gramEnd"/>
      <w:r w:rsidRPr="002A4185">
        <w:rPr>
          <w:rFonts w:ascii="Times New Roman" w:eastAsia="Times New Roman" w:hAnsi="Times New Roman" w:cs="Times New Roman"/>
          <w:sz w:val="24"/>
          <w:szCs w:val="24"/>
          <w:highlight w:val="yellow"/>
          <w:lang w:eastAsia="en-GB"/>
        </w:rPr>
        <w:t xml:space="preserve"> the pharmaceutical aspect: A review article. Egyptian Journal of Chemistry, 66(1), 479–496. https://doi.org/10.21608/ejchem.2022.129184.5713</w:t>
      </w:r>
    </w:p>
    <w:p w14:paraId="65CAC37A" w14:textId="77777777" w:rsidR="00D85B68" w:rsidRPr="002A4185" w:rsidRDefault="00D85B68" w:rsidP="00D85B68">
      <w:pPr>
        <w:pStyle w:val="NormalWeb"/>
        <w:numPr>
          <w:ilvl w:val="0"/>
          <w:numId w:val="7"/>
        </w:numPr>
        <w:rPr>
          <w:highlight w:val="yellow"/>
        </w:rPr>
      </w:pPr>
      <w:proofErr w:type="spellStart"/>
      <w:r w:rsidRPr="002A4185">
        <w:rPr>
          <w:highlight w:val="yellow"/>
        </w:rPr>
        <w:t>Olotuah</w:t>
      </w:r>
      <w:proofErr w:type="spellEnd"/>
      <w:r w:rsidRPr="002A4185">
        <w:rPr>
          <w:highlight w:val="yellow"/>
        </w:rPr>
        <w:t xml:space="preserve">, O. C., Adebayo, O. A., &amp; </w:t>
      </w:r>
      <w:proofErr w:type="spellStart"/>
      <w:r w:rsidRPr="002A4185">
        <w:rPr>
          <w:highlight w:val="yellow"/>
        </w:rPr>
        <w:t>Ogunmefun</w:t>
      </w:r>
      <w:proofErr w:type="spellEnd"/>
      <w:r w:rsidRPr="002A4185">
        <w:rPr>
          <w:highlight w:val="yellow"/>
        </w:rPr>
        <w:t xml:space="preserve">, O. T. (2021). </w:t>
      </w:r>
      <w:r w:rsidRPr="002A4185">
        <w:rPr>
          <w:rStyle w:val="Emphasis"/>
          <w:i w:val="0"/>
          <w:highlight w:val="yellow"/>
        </w:rPr>
        <w:t>Ethnomedicinal relevance and phytochemical constituents of selected Nigerian medicinal plants.</w:t>
      </w:r>
      <w:r w:rsidRPr="002A4185">
        <w:rPr>
          <w:highlight w:val="yellow"/>
        </w:rPr>
        <w:t xml:space="preserve"> </w:t>
      </w:r>
      <w:r w:rsidRPr="002A4185">
        <w:rPr>
          <w:i/>
          <w:highlight w:val="yellow"/>
        </w:rPr>
        <w:t>Journal of Medicinal Plants Research</w:t>
      </w:r>
      <w:r w:rsidRPr="002A4185">
        <w:rPr>
          <w:highlight w:val="yellow"/>
        </w:rPr>
        <w:t>, 15(6), 245–253</w:t>
      </w:r>
    </w:p>
    <w:p w14:paraId="2EBA145C" w14:textId="77777777" w:rsidR="00D85B68" w:rsidRPr="002A4185" w:rsidRDefault="00D85B68" w:rsidP="00D85B68">
      <w:pPr>
        <w:pStyle w:val="NormalWeb"/>
        <w:numPr>
          <w:ilvl w:val="0"/>
          <w:numId w:val="7"/>
        </w:numPr>
        <w:rPr>
          <w:highlight w:val="yellow"/>
        </w:rPr>
      </w:pPr>
      <w:proofErr w:type="spellStart"/>
      <w:r w:rsidRPr="002A4185">
        <w:rPr>
          <w:highlight w:val="yellow"/>
        </w:rPr>
        <w:t>Zouine</w:t>
      </w:r>
      <w:proofErr w:type="spellEnd"/>
      <w:r w:rsidRPr="002A4185">
        <w:rPr>
          <w:highlight w:val="yellow"/>
        </w:rPr>
        <w:t xml:space="preserve">, N., El </w:t>
      </w:r>
      <w:proofErr w:type="spellStart"/>
      <w:r w:rsidRPr="002A4185">
        <w:rPr>
          <w:highlight w:val="yellow"/>
        </w:rPr>
        <w:t>Ghachtouli</w:t>
      </w:r>
      <w:proofErr w:type="spellEnd"/>
      <w:r w:rsidRPr="002A4185">
        <w:rPr>
          <w:highlight w:val="yellow"/>
        </w:rPr>
        <w:t xml:space="preserve">, N., El Abed, S., &amp; </w:t>
      </w:r>
      <w:proofErr w:type="spellStart"/>
      <w:r w:rsidRPr="002A4185">
        <w:rPr>
          <w:highlight w:val="yellow"/>
        </w:rPr>
        <w:t>Koraichi</w:t>
      </w:r>
      <w:proofErr w:type="spellEnd"/>
      <w:r w:rsidRPr="002A4185">
        <w:rPr>
          <w:highlight w:val="yellow"/>
        </w:rPr>
        <w:t xml:space="preserve">, S. I. (2024). A comprehensive review on medicinal plant extracts as antibacterial agents: Factors, mechanism insights and future prospects. Scientific African, 26, e02395. </w:t>
      </w:r>
      <w:hyperlink r:id="rId33" w:history="1">
        <w:r w:rsidRPr="002A4185">
          <w:rPr>
            <w:rStyle w:val="Hyperlink"/>
            <w:highlight w:val="yellow"/>
          </w:rPr>
          <w:t>https://doi.org/10.1016/j.sciaf.2024.e02395</w:t>
        </w:r>
      </w:hyperlink>
    </w:p>
    <w:p w14:paraId="33ABE816" w14:textId="77777777" w:rsidR="00D85B68" w:rsidRPr="002A4185" w:rsidRDefault="00D85B68" w:rsidP="00D85B68">
      <w:pPr>
        <w:pStyle w:val="NormalWeb"/>
        <w:numPr>
          <w:ilvl w:val="0"/>
          <w:numId w:val="7"/>
        </w:numPr>
      </w:pPr>
      <w:r w:rsidRPr="002A4185">
        <w:t xml:space="preserve">Stuart, B. (2004). </w:t>
      </w:r>
      <w:r w:rsidRPr="002A4185">
        <w:rPr>
          <w:rStyle w:val="Emphasis"/>
        </w:rPr>
        <w:t>Infrared spectroscopy: Fundamentals and applications.</w:t>
      </w:r>
      <w:r w:rsidRPr="002A4185">
        <w:t xml:space="preserve"> Wiley.</w:t>
      </w:r>
    </w:p>
    <w:p w14:paraId="64F36596" w14:textId="77777777" w:rsidR="00D85B68" w:rsidRPr="002A4185" w:rsidRDefault="00D85B68" w:rsidP="00D85B68">
      <w:pPr>
        <w:pStyle w:val="NormalWeb"/>
        <w:numPr>
          <w:ilvl w:val="0"/>
          <w:numId w:val="7"/>
        </w:numPr>
      </w:pPr>
      <w:r w:rsidRPr="002A4185">
        <w:t xml:space="preserve">Coates, J. (2000). Interpretation of infrared spectra, a practical approach. In R. A. Meyers (Ed.), </w:t>
      </w:r>
      <w:proofErr w:type="spellStart"/>
      <w:r w:rsidRPr="002A4185">
        <w:rPr>
          <w:rStyle w:val="Emphasis"/>
        </w:rPr>
        <w:t>Encyclopedia</w:t>
      </w:r>
      <w:proofErr w:type="spellEnd"/>
      <w:r w:rsidRPr="002A4185">
        <w:rPr>
          <w:rStyle w:val="Emphasis"/>
        </w:rPr>
        <w:t xml:space="preserve"> of Analytical Chemistry</w:t>
      </w:r>
      <w:r w:rsidRPr="002A4185">
        <w:t xml:space="preserve"> (pp. 10815–10837). Wiley.</w:t>
      </w:r>
    </w:p>
    <w:p w14:paraId="688D2446" w14:textId="77777777" w:rsidR="00D85B68" w:rsidRPr="002A4185" w:rsidRDefault="00D85B68" w:rsidP="00D85B68">
      <w:pPr>
        <w:pStyle w:val="NormalWeb"/>
        <w:numPr>
          <w:ilvl w:val="0"/>
          <w:numId w:val="7"/>
        </w:numPr>
      </w:pPr>
      <w:r w:rsidRPr="002A4185">
        <w:t xml:space="preserve">Adams, R. P. (2007). </w:t>
      </w:r>
      <w:r w:rsidRPr="002A4185">
        <w:rPr>
          <w:rStyle w:val="Emphasis"/>
        </w:rPr>
        <w:t>Identification of essential oil components by gas chromatography/mass spectrometry</w:t>
      </w:r>
      <w:r w:rsidRPr="002A4185">
        <w:t xml:space="preserve"> (4th ed.). Allured Publishing Corporation.</w:t>
      </w:r>
    </w:p>
    <w:p w14:paraId="09B58A25" w14:textId="77777777" w:rsidR="00D85B68" w:rsidRPr="002A4185" w:rsidRDefault="00D85B68" w:rsidP="00D85B68">
      <w:pPr>
        <w:pStyle w:val="NormalWeb"/>
        <w:numPr>
          <w:ilvl w:val="0"/>
          <w:numId w:val="7"/>
        </w:numPr>
        <w:rPr>
          <w:highlight w:val="yellow"/>
        </w:rPr>
      </w:pPr>
      <w:r w:rsidRPr="002A4185">
        <w:rPr>
          <w:highlight w:val="yellow"/>
        </w:rPr>
        <w:t xml:space="preserve">Stein, S. E. (1999). An integrated method for spectrum extraction and compound identification from gas chromatography/mass spectrometry data. Journal of the American Society for Mass Spectrometry, 10(8), 770–781. </w:t>
      </w:r>
    </w:p>
    <w:p w14:paraId="17B7A633" w14:textId="77777777" w:rsidR="00AD0E04" w:rsidRPr="002A4185" w:rsidRDefault="00AD0E04" w:rsidP="007C0EE9">
      <w:pPr>
        <w:pStyle w:val="NormalWeb"/>
        <w:numPr>
          <w:ilvl w:val="0"/>
          <w:numId w:val="7"/>
        </w:numPr>
        <w:jc w:val="both"/>
      </w:pPr>
      <w:r w:rsidRPr="002A4185">
        <w:t xml:space="preserve">Clinical and Laboratory Standards Institute. (2020). </w:t>
      </w:r>
      <w:r w:rsidRPr="002A4185">
        <w:rPr>
          <w:rStyle w:val="Emphasis"/>
        </w:rPr>
        <w:t>Performance standards for antimicrobial susceptibility testing</w:t>
      </w:r>
      <w:r w:rsidRPr="002A4185">
        <w:t xml:space="preserve"> (30th ed., CLSI supplement M100).</w:t>
      </w:r>
    </w:p>
    <w:p w14:paraId="7B6FA626" w14:textId="79E97F48" w:rsidR="00AD0E04" w:rsidRPr="002A4185" w:rsidRDefault="00AD0E04" w:rsidP="007C0EE9">
      <w:pPr>
        <w:pStyle w:val="NormalWeb"/>
        <w:numPr>
          <w:ilvl w:val="0"/>
          <w:numId w:val="7"/>
        </w:numPr>
        <w:jc w:val="both"/>
      </w:pPr>
      <w:proofErr w:type="spellStart"/>
      <w:r w:rsidRPr="002A4185">
        <w:lastRenderedPageBreak/>
        <w:t>Ohunayo</w:t>
      </w:r>
      <w:proofErr w:type="spellEnd"/>
      <w:r w:rsidRPr="002A4185">
        <w:t xml:space="preserve">, A. S., </w:t>
      </w:r>
      <w:proofErr w:type="spellStart"/>
      <w:r w:rsidRPr="002A4185">
        <w:t>Adekeye</w:t>
      </w:r>
      <w:proofErr w:type="spellEnd"/>
      <w:r w:rsidRPr="002A4185">
        <w:t xml:space="preserve">, D. K., Dauda, O. S., </w:t>
      </w:r>
      <w:proofErr w:type="spellStart"/>
      <w:r w:rsidRPr="002A4185">
        <w:t>Odeniyi</w:t>
      </w:r>
      <w:proofErr w:type="spellEnd"/>
      <w:r w:rsidRPr="002A4185">
        <w:t xml:space="preserve">, I. O., Popoola, O. D., and </w:t>
      </w:r>
      <w:proofErr w:type="spellStart"/>
      <w:r w:rsidRPr="002A4185">
        <w:t>Akinwumi</w:t>
      </w:r>
      <w:proofErr w:type="spellEnd"/>
      <w:r w:rsidRPr="002A4185">
        <w:t xml:space="preserve">, O. (2020). Microbial profile of the </w:t>
      </w:r>
      <w:proofErr w:type="spellStart"/>
      <w:r w:rsidRPr="002A4185">
        <w:t>phylosphere</w:t>
      </w:r>
      <w:proofErr w:type="spellEnd"/>
      <w:r w:rsidRPr="002A4185">
        <w:t xml:space="preserve"> and the antimicrobial potency of </w:t>
      </w:r>
      <w:proofErr w:type="spellStart"/>
      <w:r w:rsidRPr="002A4185">
        <w:rPr>
          <w:rStyle w:val="Emphasis"/>
        </w:rPr>
        <w:t>Fiocu</w:t>
      </w:r>
      <w:proofErr w:type="spellEnd"/>
      <w:r w:rsidRPr="002A4185">
        <w:rPr>
          <w:rStyle w:val="Emphasis"/>
        </w:rPr>
        <w:t xml:space="preserve"> </w:t>
      </w:r>
      <w:proofErr w:type="spellStart"/>
      <w:r w:rsidRPr="002A4185">
        <w:rPr>
          <w:rStyle w:val="Emphasis"/>
        </w:rPr>
        <w:t>vogelli</w:t>
      </w:r>
      <w:proofErr w:type="spellEnd"/>
      <w:r w:rsidRPr="002A4185">
        <w:t xml:space="preserve"> extracts. </w:t>
      </w:r>
      <w:r w:rsidRPr="002A4185">
        <w:rPr>
          <w:rStyle w:val="Emphasis"/>
        </w:rPr>
        <w:t>Journal of Pharmaceutical Science and Research, 12</w:t>
      </w:r>
      <w:r w:rsidRPr="002A4185">
        <w:t>(1), 191–195.</w:t>
      </w:r>
    </w:p>
    <w:p w14:paraId="5E9EA607" w14:textId="77777777" w:rsidR="00402637" w:rsidRPr="002A4185" w:rsidRDefault="00402637" w:rsidP="00402637">
      <w:pPr>
        <w:pStyle w:val="NormalWeb"/>
        <w:numPr>
          <w:ilvl w:val="0"/>
          <w:numId w:val="7"/>
        </w:numPr>
        <w:jc w:val="both"/>
        <w:rPr>
          <w:highlight w:val="yellow"/>
        </w:rPr>
      </w:pPr>
      <w:proofErr w:type="spellStart"/>
      <w:r w:rsidRPr="002A4185">
        <w:rPr>
          <w:highlight w:val="yellow"/>
        </w:rPr>
        <w:t>Bouayed</w:t>
      </w:r>
      <w:proofErr w:type="spellEnd"/>
      <w:r w:rsidRPr="002A4185">
        <w:rPr>
          <w:highlight w:val="yellow"/>
        </w:rPr>
        <w:t xml:space="preserve">, J., </w:t>
      </w:r>
      <w:proofErr w:type="spellStart"/>
      <w:r w:rsidRPr="002A4185">
        <w:rPr>
          <w:highlight w:val="yellow"/>
        </w:rPr>
        <w:t>Piri</w:t>
      </w:r>
      <w:proofErr w:type="spellEnd"/>
      <w:r w:rsidRPr="002A4185">
        <w:rPr>
          <w:highlight w:val="yellow"/>
        </w:rPr>
        <w:t xml:space="preserve">, K., </w:t>
      </w:r>
      <w:proofErr w:type="spellStart"/>
      <w:r w:rsidRPr="002A4185">
        <w:rPr>
          <w:highlight w:val="yellow"/>
        </w:rPr>
        <w:t>Rammal</w:t>
      </w:r>
      <w:proofErr w:type="spellEnd"/>
      <w:r w:rsidRPr="002A4185">
        <w:rPr>
          <w:highlight w:val="yellow"/>
        </w:rPr>
        <w:t xml:space="preserve">, H., </w:t>
      </w:r>
      <w:proofErr w:type="spellStart"/>
      <w:r w:rsidRPr="002A4185">
        <w:rPr>
          <w:highlight w:val="yellow"/>
        </w:rPr>
        <w:t>Dicko</w:t>
      </w:r>
      <w:proofErr w:type="spellEnd"/>
      <w:r w:rsidRPr="002A4185">
        <w:rPr>
          <w:highlight w:val="yellow"/>
        </w:rPr>
        <w:t xml:space="preserve">, A., </w:t>
      </w:r>
      <w:proofErr w:type="spellStart"/>
      <w:r w:rsidRPr="002A4185">
        <w:rPr>
          <w:highlight w:val="yellow"/>
        </w:rPr>
        <w:t>Desor</w:t>
      </w:r>
      <w:proofErr w:type="spellEnd"/>
      <w:r w:rsidRPr="002A4185">
        <w:rPr>
          <w:highlight w:val="yellow"/>
        </w:rPr>
        <w:t xml:space="preserve">, F., </w:t>
      </w:r>
      <w:proofErr w:type="spellStart"/>
      <w:r w:rsidRPr="002A4185">
        <w:rPr>
          <w:highlight w:val="yellow"/>
        </w:rPr>
        <w:t>Younos</w:t>
      </w:r>
      <w:proofErr w:type="spellEnd"/>
      <w:r w:rsidRPr="002A4185">
        <w:rPr>
          <w:highlight w:val="yellow"/>
        </w:rPr>
        <w:t xml:space="preserve">, C. and </w:t>
      </w:r>
      <w:proofErr w:type="spellStart"/>
      <w:r w:rsidRPr="002A4185">
        <w:rPr>
          <w:highlight w:val="yellow"/>
        </w:rPr>
        <w:t>Soulimani</w:t>
      </w:r>
      <w:proofErr w:type="spellEnd"/>
      <w:r w:rsidRPr="002A4185">
        <w:rPr>
          <w:highlight w:val="yellow"/>
        </w:rPr>
        <w:t xml:space="preserve">, R. (2007) Comparative Evaluation of the Antioxidant Potential of Some Iranian Medicinal Plants. </w:t>
      </w:r>
      <w:r w:rsidRPr="002A4185">
        <w:rPr>
          <w:i/>
          <w:highlight w:val="yellow"/>
        </w:rPr>
        <w:t>Food Chemistry</w:t>
      </w:r>
      <w:r w:rsidRPr="002A4185">
        <w:rPr>
          <w:highlight w:val="yellow"/>
        </w:rPr>
        <w:t>, 104, 364-368.</w:t>
      </w:r>
      <w:hyperlink r:id="rId34" w:history="1">
        <w:r w:rsidRPr="002A4185">
          <w:rPr>
            <w:rStyle w:val="Hyperlink"/>
            <w:highlight w:val="yellow"/>
          </w:rPr>
          <w:t>http://dx.doi.org/10.1016/j.foodchem.2006.11.069</w:t>
        </w:r>
      </w:hyperlink>
    </w:p>
    <w:p w14:paraId="3A22EB18" w14:textId="10DD7B60" w:rsidR="00402637" w:rsidRPr="002A4185" w:rsidRDefault="00AD0E04" w:rsidP="00402637">
      <w:pPr>
        <w:pStyle w:val="NormalWeb"/>
        <w:numPr>
          <w:ilvl w:val="0"/>
          <w:numId w:val="7"/>
        </w:numPr>
        <w:jc w:val="both"/>
      </w:pPr>
      <w:proofErr w:type="spellStart"/>
      <w:r w:rsidRPr="002A4185">
        <w:t>Akharaiyi</w:t>
      </w:r>
      <w:proofErr w:type="spellEnd"/>
      <w:r w:rsidRPr="002A4185">
        <w:t xml:space="preserve">, F. C., </w:t>
      </w:r>
      <w:proofErr w:type="spellStart"/>
      <w:r w:rsidRPr="002A4185">
        <w:t>Boboye</w:t>
      </w:r>
      <w:proofErr w:type="spellEnd"/>
      <w:r w:rsidRPr="002A4185">
        <w:t xml:space="preserve">, B., and </w:t>
      </w:r>
      <w:proofErr w:type="spellStart"/>
      <w:r w:rsidRPr="002A4185">
        <w:t>Adetuyi</w:t>
      </w:r>
      <w:proofErr w:type="spellEnd"/>
      <w:r w:rsidRPr="002A4185">
        <w:t xml:space="preserve">, F. C. (2012). Antibacterial, phytochemical and antioxidant activities of the leaf extracts of </w:t>
      </w:r>
      <w:r w:rsidR="000256D2" w:rsidRPr="000256D2">
        <w:rPr>
          <w:rStyle w:val="Emphasis"/>
        </w:rPr>
        <w:t xml:space="preserve">G. </w:t>
      </w:r>
      <w:proofErr w:type="spellStart"/>
      <w:proofErr w:type="gramStart"/>
      <w:r w:rsidR="000256D2" w:rsidRPr="000256D2">
        <w:rPr>
          <w:rStyle w:val="Emphasis"/>
        </w:rPr>
        <w:t>sepium</w:t>
      </w:r>
      <w:proofErr w:type="spellEnd"/>
      <w:r w:rsidR="000256D2" w:rsidRPr="000256D2">
        <w:rPr>
          <w:rStyle w:val="Emphasis"/>
        </w:rPr>
        <w:t xml:space="preserve"> </w:t>
      </w:r>
      <w:r w:rsidRPr="002A4185">
        <w:t xml:space="preserve"> and</w:t>
      </w:r>
      <w:proofErr w:type="gramEnd"/>
      <w:r w:rsidRPr="002A4185">
        <w:t xml:space="preserve"> </w:t>
      </w:r>
      <w:proofErr w:type="spellStart"/>
      <w:r w:rsidRPr="002A4185">
        <w:rPr>
          <w:rStyle w:val="Emphasis"/>
        </w:rPr>
        <w:t>Spathodea</w:t>
      </w:r>
      <w:proofErr w:type="spellEnd"/>
      <w:r w:rsidRPr="002A4185">
        <w:rPr>
          <w:rStyle w:val="Emphasis"/>
        </w:rPr>
        <w:t xml:space="preserve"> </w:t>
      </w:r>
      <w:proofErr w:type="spellStart"/>
      <w:r w:rsidRPr="002A4185">
        <w:rPr>
          <w:rStyle w:val="Emphasis"/>
        </w:rPr>
        <w:t>campanulata</w:t>
      </w:r>
      <w:proofErr w:type="spellEnd"/>
      <w:r w:rsidRPr="002A4185">
        <w:t xml:space="preserve">. </w:t>
      </w:r>
      <w:r w:rsidRPr="002A4185">
        <w:rPr>
          <w:rStyle w:val="Emphasis"/>
        </w:rPr>
        <w:t>World Applied Sciences Journal, 16</w:t>
      </w:r>
      <w:r w:rsidRPr="002A4185">
        <w:t>(4), 523–530.</w:t>
      </w:r>
    </w:p>
    <w:p w14:paraId="78C8D75F" w14:textId="77777777" w:rsidR="00402637" w:rsidRPr="002A4185" w:rsidRDefault="00402637" w:rsidP="00402637">
      <w:pPr>
        <w:pStyle w:val="NormalWeb"/>
        <w:numPr>
          <w:ilvl w:val="0"/>
          <w:numId w:val="7"/>
        </w:numPr>
      </w:pPr>
      <w:proofErr w:type="spellStart"/>
      <w:r w:rsidRPr="002A4185">
        <w:t>Offiah</w:t>
      </w:r>
      <w:proofErr w:type="spellEnd"/>
      <w:r w:rsidRPr="002A4185">
        <w:t xml:space="preserve">, N. V., </w:t>
      </w:r>
      <w:proofErr w:type="spellStart"/>
      <w:r w:rsidRPr="002A4185">
        <w:t>Makama</w:t>
      </w:r>
      <w:proofErr w:type="spellEnd"/>
      <w:r w:rsidRPr="002A4185">
        <w:t xml:space="preserve">, S., Elisha, I. L., </w:t>
      </w:r>
      <w:proofErr w:type="spellStart"/>
      <w:r w:rsidRPr="002A4185">
        <w:t>Makoshi</w:t>
      </w:r>
      <w:proofErr w:type="spellEnd"/>
      <w:r w:rsidRPr="002A4185">
        <w:t xml:space="preserve">, M. S., </w:t>
      </w:r>
      <w:proofErr w:type="spellStart"/>
      <w:r w:rsidRPr="002A4185">
        <w:t>Gotep</w:t>
      </w:r>
      <w:proofErr w:type="spellEnd"/>
      <w:r w:rsidRPr="002A4185">
        <w:t xml:space="preserve">, J. G., </w:t>
      </w:r>
      <w:proofErr w:type="spellStart"/>
      <w:r w:rsidRPr="002A4185">
        <w:t>Dawurung</w:t>
      </w:r>
      <w:proofErr w:type="spellEnd"/>
      <w:r w:rsidRPr="002A4185">
        <w:t xml:space="preserve">, C. J., Oladipo, O. O., </w:t>
      </w:r>
      <w:proofErr w:type="spellStart"/>
      <w:r w:rsidRPr="002A4185">
        <w:t>Lohlum</w:t>
      </w:r>
      <w:proofErr w:type="spellEnd"/>
      <w:r w:rsidRPr="002A4185">
        <w:t xml:space="preserve">, A. S., &amp; </w:t>
      </w:r>
      <w:proofErr w:type="spellStart"/>
      <w:r w:rsidRPr="002A4185">
        <w:t>Shamaki</w:t>
      </w:r>
      <w:proofErr w:type="spellEnd"/>
      <w:r w:rsidRPr="002A4185">
        <w:t>, D. (2011</w:t>
      </w:r>
      <w:r w:rsidRPr="002A4185">
        <w:rPr>
          <w:i/>
        </w:rPr>
        <w:t xml:space="preserve">). </w:t>
      </w:r>
      <w:r w:rsidRPr="002A4185">
        <w:rPr>
          <w:rStyle w:val="Emphasis"/>
          <w:i w:val="0"/>
        </w:rPr>
        <w:t>Ethnobotanical survey of medicinal plants used in the treatment of animal diarrhoea in Plateau State, Nigeria</w:t>
      </w:r>
      <w:r w:rsidRPr="002A4185">
        <w:rPr>
          <w:rStyle w:val="Emphasis"/>
        </w:rPr>
        <w:t>.</w:t>
      </w:r>
      <w:r w:rsidRPr="002A4185">
        <w:t xml:space="preserve"> </w:t>
      </w:r>
      <w:r w:rsidRPr="002A4185">
        <w:rPr>
          <w:rStyle w:val="Strong"/>
          <w:b w:val="0"/>
          <w:i/>
        </w:rPr>
        <w:t>BMC Veterinary Research</w:t>
      </w:r>
      <w:r w:rsidRPr="002A4185">
        <w:rPr>
          <w:rStyle w:val="Strong"/>
        </w:rPr>
        <w:t>, 7</w:t>
      </w:r>
      <w:r w:rsidRPr="002A4185">
        <w:t xml:space="preserve">, 36. </w:t>
      </w:r>
      <w:hyperlink r:id="rId35" w:history="1">
        <w:r w:rsidRPr="002A4185">
          <w:rPr>
            <w:rStyle w:val="Hyperlink"/>
          </w:rPr>
          <w:t>https://doi.org/10.1186/1746-6148-7-36</w:t>
        </w:r>
      </w:hyperlink>
    </w:p>
    <w:p w14:paraId="3826EB41" w14:textId="01C4DC74" w:rsidR="00AD0E04" w:rsidRPr="002A4185" w:rsidRDefault="00AD0E04" w:rsidP="00402637">
      <w:pPr>
        <w:pStyle w:val="NormalWeb"/>
        <w:numPr>
          <w:ilvl w:val="0"/>
          <w:numId w:val="7"/>
        </w:numPr>
        <w:jc w:val="both"/>
      </w:pPr>
      <w:r w:rsidRPr="002A4185">
        <w:t xml:space="preserve">Sandhu, D. S., and Heinrich, M. (2005). The use of health foods, spices and other botanicals in the Sikh community in London. </w:t>
      </w:r>
      <w:proofErr w:type="spellStart"/>
      <w:r w:rsidRPr="002A4185">
        <w:rPr>
          <w:rStyle w:val="Emphasis"/>
        </w:rPr>
        <w:t>Phytotherapy</w:t>
      </w:r>
      <w:proofErr w:type="spellEnd"/>
      <w:r w:rsidRPr="002A4185">
        <w:rPr>
          <w:rStyle w:val="Emphasis"/>
        </w:rPr>
        <w:t xml:space="preserve"> Research, 19</w:t>
      </w:r>
      <w:r w:rsidRPr="002A4185">
        <w:t xml:space="preserve">(7), 633–642. </w:t>
      </w:r>
      <w:r w:rsidR="002A4185" w:rsidRPr="002A4185">
        <w:t xml:space="preserve">Doi: </w:t>
      </w:r>
      <w:hyperlink r:id="rId36" w:history="1">
        <w:r w:rsidR="002A4185" w:rsidRPr="002A4185">
          <w:rPr>
            <w:color w:val="0000FF"/>
          </w:rPr>
          <w:t>10.1002/ptr.1714</w:t>
        </w:r>
      </w:hyperlink>
    </w:p>
    <w:p w14:paraId="7EB88DD4" w14:textId="5563DB53" w:rsidR="005C5B11" w:rsidRPr="002A4185" w:rsidRDefault="00AD0E04" w:rsidP="007C0EE9">
      <w:pPr>
        <w:pStyle w:val="NormalWeb"/>
        <w:numPr>
          <w:ilvl w:val="0"/>
          <w:numId w:val="7"/>
        </w:numPr>
        <w:jc w:val="both"/>
      </w:pPr>
      <w:proofErr w:type="spellStart"/>
      <w:r w:rsidRPr="002A4185">
        <w:t>Ashokkumar</w:t>
      </w:r>
      <w:proofErr w:type="spellEnd"/>
      <w:r w:rsidRPr="002A4185">
        <w:t xml:space="preserve">, R., and Ramaswamy, M. (2014). Phytochemical screening by FTIR spectroscopic analysis of leaf extracts of selected Indian medicinal plants. </w:t>
      </w:r>
      <w:r w:rsidRPr="002A4185">
        <w:rPr>
          <w:rStyle w:val="Emphasis"/>
        </w:rPr>
        <w:t>International Journal of Current Microbiology and Applied Sciences, 3</w:t>
      </w:r>
      <w:r w:rsidRPr="002A4185">
        <w:t>(1), 395–406.</w:t>
      </w:r>
    </w:p>
    <w:p w14:paraId="0925F1EF" w14:textId="7E9C6E5E" w:rsidR="005C5B11" w:rsidRPr="002A4185" w:rsidRDefault="005C5B11" w:rsidP="007C0EE9">
      <w:pPr>
        <w:pStyle w:val="NormalWeb"/>
        <w:numPr>
          <w:ilvl w:val="0"/>
          <w:numId w:val="7"/>
        </w:numPr>
        <w:jc w:val="both"/>
      </w:pPr>
      <w:proofErr w:type="spellStart"/>
      <w:r w:rsidRPr="002A4185">
        <w:t>Oladunmoye</w:t>
      </w:r>
      <w:proofErr w:type="spellEnd"/>
      <w:r w:rsidRPr="002A4185">
        <w:t xml:space="preserve">, M. K., Ayantola, K. J., </w:t>
      </w:r>
      <w:proofErr w:type="spellStart"/>
      <w:r w:rsidRPr="002A4185">
        <w:t>Agboola</w:t>
      </w:r>
      <w:proofErr w:type="spellEnd"/>
      <w:r w:rsidRPr="002A4185">
        <w:t xml:space="preserve">, A. A., Olowe, B. M., and </w:t>
      </w:r>
      <w:proofErr w:type="spellStart"/>
      <w:r w:rsidRPr="002A4185">
        <w:t>Adefemi</w:t>
      </w:r>
      <w:proofErr w:type="spellEnd"/>
      <w:r w:rsidRPr="002A4185">
        <w:t xml:space="preserve">, O. G. (2018). Antibacterial and FTIR Spectral Analysis of Methanolic Extract of </w:t>
      </w:r>
      <w:r w:rsidR="000256D2" w:rsidRPr="000256D2">
        <w:rPr>
          <w:i/>
        </w:rPr>
        <w:t xml:space="preserve">G. </w:t>
      </w:r>
      <w:proofErr w:type="gramStart"/>
      <w:r w:rsidR="000256D2" w:rsidRPr="000256D2">
        <w:rPr>
          <w:i/>
        </w:rPr>
        <w:t xml:space="preserve">sepium </w:t>
      </w:r>
      <w:r w:rsidRPr="002A4185">
        <w:t xml:space="preserve"> Leaves</w:t>
      </w:r>
      <w:proofErr w:type="gramEnd"/>
      <w:r w:rsidRPr="002A4185">
        <w:t xml:space="preserve">. Journal of Advances in Microbiology, 9(4), 1–10. </w:t>
      </w:r>
      <w:hyperlink r:id="rId37" w:history="1">
        <w:r w:rsidRPr="002A4185">
          <w:rPr>
            <w:rStyle w:val="Hyperlink"/>
          </w:rPr>
          <w:t>https://doi.org/10.9734/JAMB/2018/40580</w:t>
        </w:r>
      </w:hyperlink>
      <w:r w:rsidRPr="002A4185">
        <w:t xml:space="preserve"> </w:t>
      </w:r>
    </w:p>
    <w:p w14:paraId="0FBF114E" w14:textId="34DD0D1B" w:rsidR="005C5B11" w:rsidRPr="002A4185" w:rsidRDefault="005C5B11" w:rsidP="007C0EE9">
      <w:pPr>
        <w:pStyle w:val="NormalWeb"/>
        <w:numPr>
          <w:ilvl w:val="0"/>
          <w:numId w:val="7"/>
        </w:numPr>
        <w:jc w:val="both"/>
      </w:pPr>
      <w:r w:rsidRPr="002A4185">
        <w:t xml:space="preserve">Sahoo, M. R., and </w:t>
      </w:r>
      <w:proofErr w:type="spellStart"/>
      <w:r w:rsidRPr="002A4185">
        <w:t>Umashankara</w:t>
      </w:r>
      <w:proofErr w:type="spellEnd"/>
      <w:r w:rsidRPr="002A4185">
        <w:t>, M. S. (2023). FTIR-based metabolomics profiling and fingerprinting of some medicinal plants: an attempt to develop an approach for quality control and standardization of herbal materials. Pharmacognosy Research, 15(1), 163</w:t>
      </w:r>
      <w:r w:rsidR="00211561" w:rsidRPr="002A4185">
        <w:t>-1</w:t>
      </w:r>
      <w:r w:rsidRPr="002A4185">
        <w:t xml:space="preserve">67. </w:t>
      </w:r>
      <w:hyperlink r:id="rId38" w:history="1">
        <w:r w:rsidRPr="002A4185">
          <w:rPr>
            <w:rStyle w:val="Hyperlink"/>
          </w:rPr>
          <w:t>https://doi.org/10.5530/097484900288</w:t>
        </w:r>
      </w:hyperlink>
      <w:r w:rsidRPr="002A4185">
        <w:t xml:space="preserve"> </w:t>
      </w:r>
    </w:p>
    <w:p w14:paraId="300788A5" w14:textId="76D094E0" w:rsidR="005C5B11" w:rsidRPr="002A4185" w:rsidRDefault="00341BB4" w:rsidP="007C0EE9">
      <w:pPr>
        <w:pStyle w:val="NormalWeb"/>
        <w:numPr>
          <w:ilvl w:val="0"/>
          <w:numId w:val="7"/>
        </w:numPr>
        <w:jc w:val="both"/>
        <w:rPr>
          <w:highlight w:val="yellow"/>
        </w:rPr>
      </w:pPr>
      <w:r w:rsidRPr="002A4185">
        <w:t xml:space="preserve">. </w:t>
      </w:r>
      <w:proofErr w:type="spellStart"/>
      <w:r w:rsidRPr="002A4185">
        <w:t>Kareru</w:t>
      </w:r>
      <w:proofErr w:type="spellEnd"/>
      <w:r w:rsidRPr="002A4185">
        <w:t xml:space="preserve">, P. G., Kenji, G. M., </w:t>
      </w:r>
      <w:proofErr w:type="spellStart"/>
      <w:r w:rsidRPr="002A4185">
        <w:t>Gachanja</w:t>
      </w:r>
      <w:proofErr w:type="spellEnd"/>
      <w:r w:rsidRPr="002A4185">
        <w:t xml:space="preserve">, A. N., </w:t>
      </w:r>
      <w:proofErr w:type="spellStart"/>
      <w:r w:rsidRPr="002A4185">
        <w:t>Keriko</w:t>
      </w:r>
      <w:proofErr w:type="spellEnd"/>
      <w:r w:rsidRPr="002A4185">
        <w:t xml:space="preserve">, J. M., and Mungai, G. (2007). Traditional medicines among the Embu and </w:t>
      </w:r>
      <w:proofErr w:type="spellStart"/>
      <w:r w:rsidRPr="002A4185">
        <w:t>Mbeere</w:t>
      </w:r>
      <w:proofErr w:type="spellEnd"/>
      <w:r w:rsidRPr="002A4185">
        <w:t xml:space="preserve"> peoples of Kenya. African Journal of Traditional, Complementary and Alternative Medicines, 4(1), 75–86</w:t>
      </w:r>
      <w:r w:rsidR="00636929" w:rsidRPr="002A4185">
        <w:t xml:space="preserve"> </w:t>
      </w:r>
      <w:r w:rsidR="005C5B11" w:rsidRPr="002A4185">
        <w:rPr>
          <w:highlight w:val="yellow"/>
        </w:rPr>
        <w:t xml:space="preserve">  </w:t>
      </w:r>
    </w:p>
    <w:p w14:paraId="2C11FB55" w14:textId="655EFE7F" w:rsidR="005C5B11" w:rsidRPr="002A4185" w:rsidRDefault="005C5B11" w:rsidP="007C0EE9">
      <w:pPr>
        <w:pStyle w:val="NormalWeb"/>
        <w:numPr>
          <w:ilvl w:val="0"/>
          <w:numId w:val="7"/>
        </w:numPr>
        <w:jc w:val="both"/>
        <w:rPr>
          <w:highlight w:val="yellow"/>
        </w:rPr>
      </w:pPr>
      <w:r w:rsidRPr="002A4185">
        <w:rPr>
          <w:highlight w:val="yellow"/>
        </w:rPr>
        <w:t xml:space="preserve">Dev, M., and </w:t>
      </w:r>
      <w:proofErr w:type="spellStart"/>
      <w:r w:rsidRPr="002A4185">
        <w:rPr>
          <w:highlight w:val="yellow"/>
        </w:rPr>
        <w:t>Mukadam</w:t>
      </w:r>
      <w:proofErr w:type="spellEnd"/>
      <w:r w:rsidRPr="002A4185">
        <w:rPr>
          <w:highlight w:val="yellow"/>
        </w:rPr>
        <w:t xml:space="preserve">, M. (2025). Functional-group profiling of medicinal plants using FTIR spectroscopy. World Journal of Biology Pharmacy and Health Sciences, 21(1), 243-249. </w:t>
      </w:r>
      <w:hyperlink r:id="rId39" w:history="1">
        <w:r w:rsidRPr="002A4185">
          <w:rPr>
            <w:rStyle w:val="Hyperlink"/>
            <w:highlight w:val="yellow"/>
          </w:rPr>
          <w:t>https://doi.org/10.30574/wjbphs.2025.21.1.0039</w:t>
        </w:r>
      </w:hyperlink>
      <w:r w:rsidRPr="002A4185">
        <w:rPr>
          <w:highlight w:val="yellow"/>
        </w:rPr>
        <w:t xml:space="preserve">  </w:t>
      </w:r>
    </w:p>
    <w:p w14:paraId="48E3BA1B" w14:textId="213A43D9" w:rsidR="005C5B11" w:rsidRPr="002A4185" w:rsidRDefault="00302B15" w:rsidP="007C0EE9">
      <w:pPr>
        <w:pStyle w:val="NormalWeb"/>
        <w:numPr>
          <w:ilvl w:val="0"/>
          <w:numId w:val="7"/>
        </w:numPr>
        <w:jc w:val="both"/>
        <w:rPr>
          <w:highlight w:val="yellow"/>
        </w:rPr>
      </w:pPr>
      <w:proofErr w:type="spellStart"/>
      <w:r w:rsidRPr="002A4185">
        <w:rPr>
          <w:highlight w:val="yellow"/>
        </w:rPr>
        <w:t>Nkogo</w:t>
      </w:r>
      <w:proofErr w:type="spellEnd"/>
      <w:r w:rsidRPr="002A4185">
        <w:rPr>
          <w:highlight w:val="yellow"/>
        </w:rPr>
        <w:t xml:space="preserve">, E. L. </w:t>
      </w:r>
      <w:r w:rsidR="005C5B11" w:rsidRPr="002A4185">
        <w:rPr>
          <w:highlight w:val="yellow"/>
        </w:rPr>
        <w:t xml:space="preserve">F., Mikala </w:t>
      </w:r>
      <w:proofErr w:type="spellStart"/>
      <w:r w:rsidR="005C5B11" w:rsidRPr="002A4185">
        <w:rPr>
          <w:highlight w:val="yellow"/>
        </w:rPr>
        <w:t>Mouendou</w:t>
      </w:r>
      <w:proofErr w:type="spellEnd"/>
      <w:r w:rsidR="005C5B11" w:rsidRPr="002A4185">
        <w:rPr>
          <w:highlight w:val="yellow"/>
        </w:rPr>
        <w:t xml:space="preserve">, M. S., </w:t>
      </w:r>
      <w:proofErr w:type="spellStart"/>
      <w:r w:rsidR="005C5B11" w:rsidRPr="002A4185">
        <w:rPr>
          <w:highlight w:val="yellow"/>
        </w:rPr>
        <w:t>Dumarçay</w:t>
      </w:r>
      <w:proofErr w:type="spellEnd"/>
      <w:r w:rsidR="005C5B11" w:rsidRPr="002A4185">
        <w:rPr>
          <w:highlight w:val="yellow"/>
        </w:rPr>
        <w:t xml:space="preserve">, S., </w:t>
      </w:r>
      <w:proofErr w:type="spellStart"/>
      <w:r w:rsidR="005C5B11" w:rsidRPr="002A4185">
        <w:rPr>
          <w:highlight w:val="yellow"/>
        </w:rPr>
        <w:t>Edou</w:t>
      </w:r>
      <w:proofErr w:type="spellEnd"/>
      <w:r w:rsidR="005C5B11" w:rsidRPr="002A4185">
        <w:rPr>
          <w:highlight w:val="yellow"/>
        </w:rPr>
        <w:t xml:space="preserve"> </w:t>
      </w:r>
      <w:proofErr w:type="spellStart"/>
      <w:r w:rsidR="005C5B11" w:rsidRPr="002A4185">
        <w:rPr>
          <w:highlight w:val="yellow"/>
        </w:rPr>
        <w:t>Engonga</w:t>
      </w:r>
      <w:proofErr w:type="spellEnd"/>
      <w:r w:rsidR="005C5B11" w:rsidRPr="002A4185">
        <w:rPr>
          <w:highlight w:val="yellow"/>
        </w:rPr>
        <w:t xml:space="preserve">, P., and </w:t>
      </w:r>
      <w:proofErr w:type="spellStart"/>
      <w:r w:rsidR="005C5B11" w:rsidRPr="002A4185">
        <w:rPr>
          <w:highlight w:val="yellow"/>
        </w:rPr>
        <w:t>Gérardin</w:t>
      </w:r>
      <w:proofErr w:type="spellEnd"/>
      <w:r w:rsidR="005C5B11" w:rsidRPr="002A4185">
        <w:rPr>
          <w:highlight w:val="yellow"/>
        </w:rPr>
        <w:t xml:space="preserve">, P. (2024). Phytochemical study, FTIR and GC-MS characterization and evaluation of the antioxidant activity of </w:t>
      </w:r>
      <w:proofErr w:type="spellStart"/>
      <w:r w:rsidR="005C5B11" w:rsidRPr="002A4185">
        <w:rPr>
          <w:highlight w:val="yellow"/>
        </w:rPr>
        <w:t>Letestua</w:t>
      </w:r>
      <w:proofErr w:type="spellEnd"/>
      <w:r w:rsidR="005C5B11" w:rsidRPr="002A4185">
        <w:rPr>
          <w:highlight w:val="yellow"/>
        </w:rPr>
        <w:t xml:space="preserve"> </w:t>
      </w:r>
      <w:proofErr w:type="spellStart"/>
      <w:r w:rsidR="005C5B11" w:rsidRPr="002A4185">
        <w:rPr>
          <w:highlight w:val="yellow"/>
        </w:rPr>
        <w:t>durissima</w:t>
      </w:r>
      <w:proofErr w:type="spellEnd"/>
      <w:r w:rsidR="005C5B11" w:rsidRPr="002A4185">
        <w:rPr>
          <w:highlight w:val="yellow"/>
        </w:rPr>
        <w:t xml:space="preserve"> extracts. Forests, 15(3), 429. </w:t>
      </w:r>
      <w:hyperlink r:id="rId40" w:history="1">
        <w:r w:rsidR="005C5B11" w:rsidRPr="002A4185">
          <w:rPr>
            <w:rStyle w:val="Hyperlink"/>
            <w:highlight w:val="yellow"/>
          </w:rPr>
          <w:t>https://doi.org/10.3390/f15030429</w:t>
        </w:r>
      </w:hyperlink>
      <w:r w:rsidR="005C5B11" w:rsidRPr="002A4185">
        <w:rPr>
          <w:highlight w:val="yellow"/>
        </w:rPr>
        <w:t xml:space="preserve"> </w:t>
      </w:r>
    </w:p>
    <w:p w14:paraId="48B47604" w14:textId="77777777" w:rsidR="00116B18" w:rsidRPr="002A4185" w:rsidRDefault="00116B18" w:rsidP="00116B18">
      <w:pPr>
        <w:pStyle w:val="NormalWeb"/>
        <w:numPr>
          <w:ilvl w:val="0"/>
          <w:numId w:val="7"/>
        </w:numPr>
      </w:pPr>
      <w:r w:rsidRPr="002A4185">
        <w:t xml:space="preserve">Miceli, N., </w:t>
      </w:r>
      <w:proofErr w:type="spellStart"/>
      <w:r w:rsidRPr="002A4185">
        <w:t>Taviano</w:t>
      </w:r>
      <w:proofErr w:type="spellEnd"/>
      <w:r w:rsidRPr="002A4185">
        <w:t xml:space="preserve">, M. F., Giuffrida, D., </w:t>
      </w:r>
      <w:proofErr w:type="spellStart"/>
      <w:r w:rsidRPr="002A4185">
        <w:t>Trovato</w:t>
      </w:r>
      <w:proofErr w:type="spellEnd"/>
      <w:r w:rsidRPr="002A4185">
        <w:t xml:space="preserve">, A., </w:t>
      </w:r>
      <w:proofErr w:type="spellStart"/>
      <w:r w:rsidRPr="002A4185">
        <w:t>Tzakou</w:t>
      </w:r>
      <w:proofErr w:type="spellEnd"/>
      <w:r w:rsidRPr="002A4185">
        <w:t xml:space="preserve">, O., &amp; Galati, E. M. (2005). Anti-inflammatory activity of extract and fractions from </w:t>
      </w:r>
      <w:r w:rsidRPr="002A4185">
        <w:rPr>
          <w:rStyle w:val="Emphasis"/>
        </w:rPr>
        <w:t xml:space="preserve">Nepeta </w:t>
      </w:r>
      <w:proofErr w:type="spellStart"/>
      <w:r w:rsidRPr="002A4185">
        <w:rPr>
          <w:rStyle w:val="Emphasis"/>
        </w:rPr>
        <w:t>sibthorpii</w:t>
      </w:r>
      <w:proofErr w:type="spellEnd"/>
      <w:r w:rsidRPr="002A4185">
        <w:t xml:space="preserve"> Bentham. </w:t>
      </w:r>
      <w:r w:rsidRPr="002A4185">
        <w:rPr>
          <w:rStyle w:val="Emphasis"/>
        </w:rPr>
        <w:t>Journal of Ethnopharmacology, 97</w:t>
      </w:r>
      <w:r w:rsidRPr="002A4185">
        <w:t xml:space="preserve">(2), 261–266. </w:t>
      </w:r>
      <w:hyperlink r:id="rId41" w:history="1">
        <w:r w:rsidRPr="002A4185">
          <w:rPr>
            <w:rStyle w:val="Hyperlink"/>
          </w:rPr>
          <w:t>https://doi.org/10.1016/j.jep.2004.11.024</w:t>
        </w:r>
      </w:hyperlink>
    </w:p>
    <w:p w14:paraId="1149854B" w14:textId="5A830B8F" w:rsidR="005C5B11" w:rsidRPr="002A4185" w:rsidRDefault="005C5B11" w:rsidP="007C0EE9">
      <w:pPr>
        <w:pStyle w:val="NormalWeb"/>
        <w:numPr>
          <w:ilvl w:val="0"/>
          <w:numId w:val="7"/>
        </w:numPr>
        <w:jc w:val="both"/>
        <w:rPr>
          <w:highlight w:val="yellow"/>
        </w:rPr>
      </w:pPr>
      <w:r w:rsidRPr="002A4185">
        <w:rPr>
          <w:highlight w:val="yellow"/>
        </w:rPr>
        <w:t xml:space="preserve">Sharma, D., Gupta, R., and </w:t>
      </w:r>
      <w:proofErr w:type="spellStart"/>
      <w:r w:rsidRPr="002A4185">
        <w:rPr>
          <w:highlight w:val="yellow"/>
        </w:rPr>
        <w:t>Walia</w:t>
      </w:r>
      <w:proofErr w:type="spellEnd"/>
      <w:r w:rsidRPr="002A4185">
        <w:rPr>
          <w:highlight w:val="yellow"/>
        </w:rPr>
        <w:t>, A. (2025). Antibacterial activity and FTIR characterization of herbal plants collected from north-western Himalayas. Journal of Research in Pharmacy, 29(3), 1045</w:t>
      </w:r>
      <w:r w:rsidR="00211561" w:rsidRPr="002A4185">
        <w:rPr>
          <w:highlight w:val="yellow"/>
        </w:rPr>
        <w:t>-1</w:t>
      </w:r>
      <w:r w:rsidRPr="002A4185">
        <w:rPr>
          <w:highlight w:val="yellow"/>
        </w:rPr>
        <w:t xml:space="preserve">058. </w:t>
      </w:r>
      <w:hyperlink r:id="rId42" w:history="1">
        <w:r w:rsidRPr="002A4185">
          <w:rPr>
            <w:rStyle w:val="Hyperlink"/>
            <w:highlight w:val="yellow"/>
          </w:rPr>
          <w:t>https://doi.org/10.12991/jrespharm.1694200</w:t>
        </w:r>
      </w:hyperlink>
      <w:r w:rsidRPr="002A4185">
        <w:rPr>
          <w:highlight w:val="yellow"/>
        </w:rPr>
        <w:t xml:space="preserve">  </w:t>
      </w:r>
    </w:p>
    <w:p w14:paraId="4C8B48C4" w14:textId="344BC7A1" w:rsidR="005C5B11" w:rsidRPr="002A4185" w:rsidRDefault="005C5B11" w:rsidP="007C0EE9">
      <w:pPr>
        <w:pStyle w:val="NormalWeb"/>
        <w:numPr>
          <w:ilvl w:val="0"/>
          <w:numId w:val="7"/>
        </w:numPr>
        <w:jc w:val="both"/>
        <w:rPr>
          <w:highlight w:val="yellow"/>
        </w:rPr>
      </w:pPr>
      <w:r w:rsidRPr="002A4185">
        <w:rPr>
          <w:highlight w:val="yellow"/>
        </w:rPr>
        <w:t xml:space="preserve">Khalid, A., Ansari, H. I., and </w:t>
      </w:r>
      <w:proofErr w:type="spellStart"/>
      <w:r w:rsidRPr="002A4185">
        <w:rPr>
          <w:highlight w:val="yellow"/>
        </w:rPr>
        <w:t>Sindhav</w:t>
      </w:r>
      <w:proofErr w:type="spellEnd"/>
      <w:r w:rsidRPr="002A4185">
        <w:rPr>
          <w:highlight w:val="yellow"/>
        </w:rPr>
        <w:t xml:space="preserve">, G. M. (2022). Fourier Transform Infrared (FTIR) spectroscopy of Gmelina </w:t>
      </w:r>
      <w:proofErr w:type="spellStart"/>
      <w:r w:rsidRPr="002A4185">
        <w:rPr>
          <w:highlight w:val="yellow"/>
        </w:rPr>
        <w:t>arborea</w:t>
      </w:r>
      <w:proofErr w:type="spellEnd"/>
      <w:r w:rsidRPr="002A4185">
        <w:rPr>
          <w:highlight w:val="yellow"/>
        </w:rPr>
        <w:t xml:space="preserve"> </w:t>
      </w:r>
      <w:proofErr w:type="spellStart"/>
      <w:r w:rsidRPr="002A4185">
        <w:rPr>
          <w:highlight w:val="yellow"/>
        </w:rPr>
        <w:t>Roxb</w:t>
      </w:r>
      <w:proofErr w:type="spellEnd"/>
      <w:r w:rsidRPr="002A4185">
        <w:rPr>
          <w:highlight w:val="yellow"/>
        </w:rPr>
        <w:t xml:space="preserve">. leaf extracts. Journal of Asian Multicultural Research for Medical and Health Science Study, 3(3), 32-40. </w:t>
      </w:r>
      <w:hyperlink r:id="rId43" w:history="1">
        <w:r w:rsidRPr="002A4185">
          <w:rPr>
            <w:rStyle w:val="Hyperlink"/>
            <w:highlight w:val="yellow"/>
          </w:rPr>
          <w:t>https://doi.org/10.47616/jamrmhss.v3i3.314</w:t>
        </w:r>
      </w:hyperlink>
      <w:r w:rsidRPr="002A4185">
        <w:rPr>
          <w:highlight w:val="yellow"/>
        </w:rPr>
        <w:t xml:space="preserve"> </w:t>
      </w:r>
    </w:p>
    <w:p w14:paraId="16735BBA" w14:textId="1CB47174" w:rsidR="005C5B11" w:rsidRPr="002A4185" w:rsidRDefault="005C5B11" w:rsidP="007C0EE9">
      <w:pPr>
        <w:pStyle w:val="NormalWeb"/>
        <w:numPr>
          <w:ilvl w:val="0"/>
          <w:numId w:val="7"/>
        </w:numPr>
        <w:jc w:val="both"/>
        <w:rPr>
          <w:highlight w:val="yellow"/>
        </w:rPr>
      </w:pPr>
      <w:proofErr w:type="spellStart"/>
      <w:r w:rsidRPr="002A4185">
        <w:rPr>
          <w:highlight w:val="yellow"/>
        </w:rPr>
        <w:lastRenderedPageBreak/>
        <w:t>Purushothaman</w:t>
      </w:r>
      <w:proofErr w:type="spellEnd"/>
      <w:r w:rsidRPr="002A4185">
        <w:rPr>
          <w:highlight w:val="yellow"/>
        </w:rPr>
        <w:t xml:space="preserve">, R., </w:t>
      </w:r>
      <w:proofErr w:type="spellStart"/>
      <w:r w:rsidRPr="002A4185">
        <w:rPr>
          <w:highlight w:val="yellow"/>
        </w:rPr>
        <w:t>Vishnuram</w:t>
      </w:r>
      <w:proofErr w:type="spellEnd"/>
      <w:r w:rsidRPr="002A4185">
        <w:rPr>
          <w:highlight w:val="yellow"/>
        </w:rPr>
        <w:t xml:space="preserve">, G., and Ramanathan, T. (2024). Isolation and identification of n </w:t>
      </w:r>
      <w:proofErr w:type="spellStart"/>
      <w:r w:rsidRPr="002A4185">
        <w:rPr>
          <w:highlight w:val="yellow"/>
        </w:rPr>
        <w:t>hexadecanoic</w:t>
      </w:r>
      <w:proofErr w:type="spellEnd"/>
      <w:r w:rsidRPr="002A4185">
        <w:rPr>
          <w:highlight w:val="yellow"/>
        </w:rPr>
        <w:t xml:space="preserve"> acid from </w:t>
      </w:r>
      <w:proofErr w:type="spellStart"/>
      <w:r w:rsidRPr="002A4185">
        <w:rPr>
          <w:highlight w:val="yellow"/>
        </w:rPr>
        <w:t>Excoecaria</w:t>
      </w:r>
      <w:proofErr w:type="spellEnd"/>
      <w:r w:rsidRPr="002A4185">
        <w:rPr>
          <w:highlight w:val="yellow"/>
        </w:rPr>
        <w:t xml:space="preserve"> </w:t>
      </w:r>
      <w:proofErr w:type="spellStart"/>
      <w:r w:rsidRPr="002A4185">
        <w:rPr>
          <w:highlight w:val="yellow"/>
        </w:rPr>
        <w:t>agallocha</w:t>
      </w:r>
      <w:proofErr w:type="spellEnd"/>
      <w:r w:rsidRPr="002A4185">
        <w:rPr>
          <w:highlight w:val="yellow"/>
        </w:rPr>
        <w:t xml:space="preserve"> L. and its antibacterial and antioxidant activity. Journal of Emerging Technologies and Innovative Research, 11(1). </w:t>
      </w:r>
      <w:hyperlink r:id="rId44" w:history="1">
        <w:r w:rsidRPr="002A4185">
          <w:rPr>
            <w:rStyle w:val="Hyperlink"/>
            <w:highlight w:val="yellow"/>
          </w:rPr>
          <w:t>https://www.jetir.org/papers/JETIR2401337</w:t>
        </w:r>
      </w:hyperlink>
      <w:r w:rsidRPr="002A4185">
        <w:rPr>
          <w:highlight w:val="yellow"/>
        </w:rPr>
        <w:t xml:space="preserve">.  </w:t>
      </w:r>
    </w:p>
    <w:p w14:paraId="62929DD9" w14:textId="766BB4B0" w:rsidR="005C5B11" w:rsidRPr="002A4185" w:rsidRDefault="005C5B11" w:rsidP="007C0EE9">
      <w:pPr>
        <w:pStyle w:val="NormalWeb"/>
        <w:numPr>
          <w:ilvl w:val="0"/>
          <w:numId w:val="7"/>
        </w:numPr>
        <w:jc w:val="both"/>
        <w:rPr>
          <w:highlight w:val="yellow"/>
        </w:rPr>
      </w:pPr>
      <w:proofErr w:type="spellStart"/>
      <w:r w:rsidRPr="002A4185">
        <w:rPr>
          <w:highlight w:val="yellow"/>
        </w:rPr>
        <w:t>Ünver</w:t>
      </w:r>
      <w:proofErr w:type="spellEnd"/>
      <w:r w:rsidRPr="002A4185">
        <w:rPr>
          <w:highlight w:val="yellow"/>
        </w:rPr>
        <w:t xml:space="preserve">, T., and </w:t>
      </w:r>
      <w:proofErr w:type="spellStart"/>
      <w:r w:rsidRPr="002A4185">
        <w:rPr>
          <w:highlight w:val="yellow"/>
        </w:rPr>
        <w:t>Gürhan</w:t>
      </w:r>
      <w:proofErr w:type="spellEnd"/>
      <w:r w:rsidRPr="002A4185">
        <w:rPr>
          <w:highlight w:val="yellow"/>
        </w:rPr>
        <w:t xml:space="preserve">, I. (2024). Chemical composition and antimicrobial activity of an </w:t>
      </w:r>
      <w:proofErr w:type="spellStart"/>
      <w:r w:rsidRPr="002A4185">
        <w:rPr>
          <w:highlight w:val="yellow"/>
        </w:rPr>
        <w:t>apolar</w:t>
      </w:r>
      <w:proofErr w:type="spellEnd"/>
      <w:r w:rsidRPr="002A4185">
        <w:rPr>
          <w:highlight w:val="yellow"/>
        </w:rPr>
        <w:t xml:space="preserve"> extract from </w:t>
      </w:r>
      <w:proofErr w:type="spellStart"/>
      <w:r w:rsidRPr="002A4185">
        <w:rPr>
          <w:highlight w:val="yellow"/>
        </w:rPr>
        <w:t>Lactuca</w:t>
      </w:r>
      <w:proofErr w:type="spellEnd"/>
      <w:r w:rsidRPr="002A4185">
        <w:rPr>
          <w:highlight w:val="yellow"/>
        </w:rPr>
        <w:t xml:space="preserve"> </w:t>
      </w:r>
      <w:proofErr w:type="spellStart"/>
      <w:r w:rsidRPr="002A4185">
        <w:rPr>
          <w:highlight w:val="yellow"/>
        </w:rPr>
        <w:t>serriola</w:t>
      </w:r>
      <w:proofErr w:type="spellEnd"/>
      <w:r w:rsidRPr="002A4185">
        <w:rPr>
          <w:highlight w:val="yellow"/>
        </w:rPr>
        <w:t xml:space="preserve"> L. leaves. Biochemical Systematics and Ecology, 114, 104832. </w:t>
      </w:r>
      <w:hyperlink r:id="rId45" w:history="1">
        <w:r w:rsidRPr="002A4185">
          <w:rPr>
            <w:rStyle w:val="Hyperlink"/>
            <w:highlight w:val="yellow"/>
          </w:rPr>
          <w:t>https://doi.org/10.1016/j.bse.2024.104832</w:t>
        </w:r>
      </w:hyperlink>
      <w:r w:rsidRPr="002A4185">
        <w:rPr>
          <w:highlight w:val="yellow"/>
        </w:rPr>
        <w:t xml:space="preserve">  </w:t>
      </w:r>
    </w:p>
    <w:p w14:paraId="576AB337" w14:textId="6F14D8F6" w:rsidR="00116B18" w:rsidRPr="002A4185" w:rsidRDefault="00116B18" w:rsidP="00116B18">
      <w:pPr>
        <w:pStyle w:val="NormalWeb"/>
        <w:numPr>
          <w:ilvl w:val="0"/>
          <w:numId w:val="7"/>
        </w:numPr>
        <w:jc w:val="both"/>
        <w:rPr>
          <w:highlight w:val="yellow"/>
        </w:rPr>
      </w:pPr>
      <w:r w:rsidRPr="002A4185">
        <w:t xml:space="preserve">. </w:t>
      </w:r>
      <w:proofErr w:type="spellStart"/>
      <w:r w:rsidRPr="002A4185">
        <w:t>Bakkali</w:t>
      </w:r>
      <w:proofErr w:type="spellEnd"/>
      <w:r w:rsidRPr="002A4185">
        <w:t xml:space="preserve">, F., </w:t>
      </w:r>
      <w:proofErr w:type="spellStart"/>
      <w:r w:rsidRPr="002A4185">
        <w:t>Averbeck</w:t>
      </w:r>
      <w:proofErr w:type="spellEnd"/>
      <w:r w:rsidRPr="002A4185">
        <w:t xml:space="preserve">, S., </w:t>
      </w:r>
      <w:proofErr w:type="spellStart"/>
      <w:r w:rsidRPr="002A4185">
        <w:t>Averbeck</w:t>
      </w:r>
      <w:proofErr w:type="spellEnd"/>
      <w:r w:rsidRPr="002A4185">
        <w:t xml:space="preserve">, D., and </w:t>
      </w:r>
      <w:proofErr w:type="spellStart"/>
      <w:r w:rsidRPr="002A4185">
        <w:t>Idaomar</w:t>
      </w:r>
      <w:proofErr w:type="spellEnd"/>
      <w:r w:rsidRPr="002A4185">
        <w:t xml:space="preserve">, M. (2008). Biological effects of essential oils – A review. Food and Chemical Toxicology, 46(2), 446–475. </w:t>
      </w:r>
      <w:hyperlink r:id="rId46" w:history="1">
        <w:r w:rsidRPr="002A4185">
          <w:rPr>
            <w:rStyle w:val="Hyperlink"/>
          </w:rPr>
          <w:t>https://doi.org/10.1016/j.fct.2007.09.106</w:t>
        </w:r>
      </w:hyperlink>
    </w:p>
    <w:p w14:paraId="00257A6C" w14:textId="336A1FDF" w:rsidR="005C5B11" w:rsidRPr="002A4185" w:rsidRDefault="005C5B11" w:rsidP="00116B18">
      <w:pPr>
        <w:pStyle w:val="NormalWeb"/>
        <w:numPr>
          <w:ilvl w:val="0"/>
          <w:numId w:val="7"/>
        </w:numPr>
        <w:jc w:val="both"/>
        <w:rPr>
          <w:highlight w:val="yellow"/>
        </w:rPr>
      </w:pPr>
      <w:r w:rsidRPr="002A4185">
        <w:rPr>
          <w:highlight w:val="yellow"/>
        </w:rPr>
        <w:t xml:space="preserve">Shahriar, S., </w:t>
      </w:r>
      <w:proofErr w:type="spellStart"/>
      <w:r w:rsidRPr="002A4185">
        <w:rPr>
          <w:highlight w:val="yellow"/>
        </w:rPr>
        <w:t>Shermin</w:t>
      </w:r>
      <w:proofErr w:type="spellEnd"/>
      <w:r w:rsidRPr="002A4185">
        <w:rPr>
          <w:highlight w:val="yellow"/>
        </w:rPr>
        <w:t xml:space="preserve">, S. A., </w:t>
      </w:r>
      <w:proofErr w:type="spellStart"/>
      <w:r w:rsidRPr="002A4185">
        <w:rPr>
          <w:highlight w:val="yellow"/>
        </w:rPr>
        <w:t>Hasnat</w:t>
      </w:r>
      <w:proofErr w:type="spellEnd"/>
      <w:r w:rsidRPr="002A4185">
        <w:rPr>
          <w:highlight w:val="yellow"/>
        </w:rPr>
        <w:t xml:space="preserve">, H., Hossain, F., Han, A., </w:t>
      </w:r>
      <w:proofErr w:type="spellStart"/>
      <w:r w:rsidRPr="002A4185">
        <w:rPr>
          <w:highlight w:val="yellow"/>
        </w:rPr>
        <w:t>Geng</w:t>
      </w:r>
      <w:proofErr w:type="spellEnd"/>
      <w:r w:rsidRPr="002A4185">
        <w:rPr>
          <w:highlight w:val="yellow"/>
        </w:rPr>
        <w:t xml:space="preserve">, P., </w:t>
      </w:r>
      <w:proofErr w:type="spellStart"/>
      <w:r w:rsidRPr="002A4185">
        <w:rPr>
          <w:highlight w:val="yellow"/>
        </w:rPr>
        <w:t>Alam</w:t>
      </w:r>
      <w:proofErr w:type="spellEnd"/>
      <w:r w:rsidRPr="002A4185">
        <w:rPr>
          <w:highlight w:val="yellow"/>
        </w:rPr>
        <w:t xml:space="preserve">, S., and Mamun, A. A. (2024). </w:t>
      </w:r>
      <w:proofErr w:type="spellStart"/>
      <w:r w:rsidRPr="002A4185">
        <w:rPr>
          <w:highlight w:val="yellow"/>
        </w:rPr>
        <w:t>Chemico</w:t>
      </w:r>
      <w:proofErr w:type="spellEnd"/>
      <w:r w:rsidRPr="002A4185">
        <w:rPr>
          <w:highlight w:val="yellow"/>
        </w:rPr>
        <w:t xml:space="preserve"> pharmacological evaluation of the methanolic leaf extract of </w:t>
      </w:r>
      <w:proofErr w:type="spellStart"/>
      <w:r w:rsidRPr="002A4185">
        <w:rPr>
          <w:highlight w:val="yellow"/>
        </w:rPr>
        <w:t>Catharanthus</w:t>
      </w:r>
      <w:proofErr w:type="spellEnd"/>
      <w:r w:rsidRPr="002A4185">
        <w:rPr>
          <w:highlight w:val="yellow"/>
        </w:rPr>
        <w:t xml:space="preserve"> ovalis: GC–MS/MS, in vivo, in vitro, and in silico approaches. Frontiers in Pharmacology, 15, 1347069. </w:t>
      </w:r>
      <w:hyperlink r:id="rId47" w:history="1">
        <w:r w:rsidRPr="002A4185">
          <w:rPr>
            <w:rStyle w:val="Hyperlink"/>
            <w:highlight w:val="yellow"/>
          </w:rPr>
          <w:t>https://doi.org/10.3389/fphar.2024.1347069</w:t>
        </w:r>
      </w:hyperlink>
      <w:r w:rsidRPr="002A4185">
        <w:rPr>
          <w:highlight w:val="yellow"/>
        </w:rPr>
        <w:t xml:space="preserve">  </w:t>
      </w:r>
    </w:p>
    <w:p w14:paraId="53F8E2E4" w14:textId="1D4D36C2" w:rsidR="00116B18" w:rsidRPr="002A4185" w:rsidRDefault="00116B18" w:rsidP="007C0EE9">
      <w:pPr>
        <w:pStyle w:val="NormalWeb"/>
        <w:numPr>
          <w:ilvl w:val="0"/>
          <w:numId w:val="7"/>
        </w:numPr>
        <w:jc w:val="both"/>
        <w:rPr>
          <w:highlight w:val="yellow"/>
        </w:rPr>
      </w:pPr>
      <w:proofErr w:type="spellStart"/>
      <w:r w:rsidRPr="002A4185">
        <w:t>Desbois</w:t>
      </w:r>
      <w:proofErr w:type="spellEnd"/>
      <w:r w:rsidRPr="002A4185">
        <w:t xml:space="preserve">, A. P., and Smith, V. J. (2010). Antibacterial free fatty acids: Activities, mechanisms of action and biotechnological potential. Applied Microbiology and Biotechnology, 85(6), 1629–1642. </w:t>
      </w:r>
      <w:hyperlink r:id="rId48" w:history="1">
        <w:r w:rsidRPr="002A4185">
          <w:rPr>
            <w:rStyle w:val="Hyperlink"/>
          </w:rPr>
          <w:t>https://doi.org/10.1007/s00253-009-2355-3</w:t>
        </w:r>
      </w:hyperlink>
    </w:p>
    <w:p w14:paraId="0D8E51D6" w14:textId="298F5CB7" w:rsidR="005C5B11" w:rsidRPr="002A4185" w:rsidRDefault="00116B18" w:rsidP="00116B18">
      <w:pPr>
        <w:pStyle w:val="NormalWeb"/>
        <w:numPr>
          <w:ilvl w:val="0"/>
          <w:numId w:val="7"/>
        </w:numPr>
        <w:jc w:val="both"/>
        <w:rPr>
          <w:highlight w:val="yellow"/>
        </w:rPr>
      </w:pPr>
      <w:r w:rsidRPr="002A4185">
        <w:t xml:space="preserve">Raut, J. S., and </w:t>
      </w:r>
      <w:proofErr w:type="spellStart"/>
      <w:r w:rsidRPr="002A4185">
        <w:t>Karuppayil</w:t>
      </w:r>
      <w:proofErr w:type="spellEnd"/>
      <w:r w:rsidRPr="002A4185">
        <w:t>, S. M. (2014). A status review on the medicinal properties of essential oils. Industrial Crops and Products, 62, 250–264. https://doi.org/10.1016/j.indcrop.2014.05.055</w:t>
      </w:r>
      <w:r w:rsidR="005C5B11" w:rsidRPr="002A4185">
        <w:rPr>
          <w:highlight w:val="yellow"/>
        </w:rPr>
        <w:t xml:space="preserve"> </w:t>
      </w:r>
    </w:p>
    <w:p w14:paraId="614818FC" w14:textId="77777777" w:rsidR="007C0EE9" w:rsidRPr="002A4185" w:rsidRDefault="005C5B11" w:rsidP="007C0EE9">
      <w:pPr>
        <w:pStyle w:val="NormalWeb"/>
        <w:numPr>
          <w:ilvl w:val="0"/>
          <w:numId w:val="7"/>
        </w:numPr>
        <w:jc w:val="both"/>
        <w:rPr>
          <w:highlight w:val="yellow"/>
        </w:rPr>
      </w:pPr>
      <w:r w:rsidRPr="002A4185">
        <w:rPr>
          <w:highlight w:val="yellow"/>
        </w:rPr>
        <w:t xml:space="preserve">Fatima, G., Khan, M. I., Ahmad, M., </w:t>
      </w:r>
      <w:proofErr w:type="spellStart"/>
      <w:r w:rsidRPr="002A4185">
        <w:rPr>
          <w:highlight w:val="yellow"/>
        </w:rPr>
        <w:t>Badruddeen</w:t>
      </w:r>
      <w:proofErr w:type="spellEnd"/>
      <w:r w:rsidRPr="002A4185">
        <w:rPr>
          <w:highlight w:val="yellow"/>
        </w:rPr>
        <w:t xml:space="preserve">, and Akhtar, J. (2024). GC–MS profiling, standardization and in vitro evaluation of antibacterial activity in </w:t>
      </w:r>
      <w:proofErr w:type="spellStart"/>
      <w:r w:rsidRPr="002A4185">
        <w:rPr>
          <w:highlight w:val="yellow"/>
        </w:rPr>
        <w:t>Hemidesmus</w:t>
      </w:r>
      <w:proofErr w:type="spellEnd"/>
      <w:r w:rsidRPr="002A4185">
        <w:rPr>
          <w:highlight w:val="yellow"/>
        </w:rPr>
        <w:t xml:space="preserve"> indicus L. root extracts. Pharmacognosy Research, 16(2), 282–</w:t>
      </w:r>
      <w:proofErr w:type="gramStart"/>
      <w:r w:rsidRPr="002A4185">
        <w:rPr>
          <w:highlight w:val="yellow"/>
        </w:rPr>
        <w:t>293 .</w:t>
      </w:r>
      <w:proofErr w:type="gramEnd"/>
      <w:r w:rsidRPr="002A4185">
        <w:rPr>
          <w:highlight w:val="yellow"/>
        </w:rPr>
        <w:t xml:space="preserve"> </w:t>
      </w:r>
      <w:hyperlink r:id="rId49" w:history="1">
        <w:r w:rsidRPr="002A4185">
          <w:rPr>
            <w:rStyle w:val="Hyperlink"/>
            <w:highlight w:val="yellow"/>
          </w:rPr>
          <w:t>https://doi.org/10.5530/pres.16.2.36</w:t>
        </w:r>
      </w:hyperlink>
      <w:r w:rsidRPr="002A4185">
        <w:rPr>
          <w:highlight w:val="yellow"/>
        </w:rPr>
        <w:t xml:space="preserve"> </w:t>
      </w:r>
    </w:p>
    <w:p w14:paraId="252E48F2" w14:textId="77777777" w:rsidR="007C0EE9" w:rsidRPr="002A4185" w:rsidRDefault="007C0EE9" w:rsidP="007C0EE9">
      <w:pPr>
        <w:pStyle w:val="NormalWeb"/>
        <w:numPr>
          <w:ilvl w:val="0"/>
          <w:numId w:val="7"/>
        </w:numPr>
        <w:jc w:val="both"/>
        <w:rPr>
          <w:highlight w:val="yellow"/>
        </w:rPr>
      </w:pPr>
      <w:r w:rsidRPr="002A4185">
        <w:rPr>
          <w:highlight w:val="yellow"/>
          <w:lang w:val="en-US"/>
        </w:rPr>
        <w:t>Al</w:t>
      </w:r>
      <w:r w:rsidRPr="002A4185">
        <w:rPr>
          <w:highlight w:val="yellow"/>
          <w:lang w:val="en-US"/>
        </w:rPr>
        <w:noBreakHyphen/>
      </w:r>
      <w:proofErr w:type="spellStart"/>
      <w:r w:rsidRPr="002A4185">
        <w:rPr>
          <w:highlight w:val="yellow"/>
          <w:lang w:val="en-US"/>
        </w:rPr>
        <w:t>Ansi</w:t>
      </w:r>
      <w:proofErr w:type="spellEnd"/>
      <w:r w:rsidRPr="002A4185">
        <w:rPr>
          <w:highlight w:val="yellow"/>
          <w:lang w:val="en-US"/>
        </w:rPr>
        <w:t xml:space="preserve">, Z., </w:t>
      </w:r>
      <w:proofErr w:type="spellStart"/>
      <w:r w:rsidRPr="002A4185">
        <w:rPr>
          <w:highlight w:val="yellow"/>
          <w:lang w:val="en-US"/>
        </w:rPr>
        <w:t>Masaoud</w:t>
      </w:r>
      <w:proofErr w:type="spellEnd"/>
      <w:r w:rsidRPr="002A4185">
        <w:rPr>
          <w:highlight w:val="yellow"/>
          <w:lang w:val="en-US"/>
        </w:rPr>
        <w:t xml:space="preserve">, M., Hussein, K., </w:t>
      </w:r>
      <w:proofErr w:type="spellStart"/>
      <w:r w:rsidRPr="002A4185">
        <w:rPr>
          <w:highlight w:val="yellow"/>
          <w:lang w:val="en-US"/>
        </w:rPr>
        <w:t>Moharram</w:t>
      </w:r>
      <w:proofErr w:type="spellEnd"/>
      <w:r w:rsidRPr="002A4185">
        <w:rPr>
          <w:highlight w:val="yellow"/>
          <w:lang w:val="en-US"/>
        </w:rPr>
        <w:t>, B., &amp; Al</w:t>
      </w:r>
      <w:r w:rsidRPr="002A4185">
        <w:rPr>
          <w:highlight w:val="yellow"/>
          <w:lang w:val="en-US"/>
        </w:rPr>
        <w:noBreakHyphen/>
      </w:r>
      <w:proofErr w:type="spellStart"/>
      <w:r w:rsidRPr="002A4185">
        <w:rPr>
          <w:highlight w:val="yellow"/>
          <w:lang w:val="en-US"/>
        </w:rPr>
        <w:t>Madhagi</w:t>
      </w:r>
      <w:proofErr w:type="spellEnd"/>
      <w:r w:rsidRPr="002A4185">
        <w:rPr>
          <w:highlight w:val="yellow"/>
          <w:lang w:val="en-US"/>
        </w:rPr>
        <w:t xml:space="preserve">, W. M. (2024). Antibacterial and antioxidant activities of triterpenoids isolated from endemic </w:t>
      </w:r>
      <w:r w:rsidRPr="002A4185">
        <w:rPr>
          <w:i/>
          <w:iCs/>
          <w:highlight w:val="yellow"/>
          <w:lang w:val="en-US"/>
        </w:rPr>
        <w:t xml:space="preserve">Euphorbia </w:t>
      </w:r>
      <w:proofErr w:type="spellStart"/>
      <w:r w:rsidRPr="002A4185">
        <w:rPr>
          <w:i/>
          <w:iCs/>
          <w:highlight w:val="yellow"/>
          <w:lang w:val="en-US"/>
        </w:rPr>
        <w:t>arbuscula</w:t>
      </w:r>
      <w:proofErr w:type="spellEnd"/>
      <w:r w:rsidRPr="002A4185">
        <w:rPr>
          <w:highlight w:val="yellow"/>
          <w:lang w:val="en-US"/>
        </w:rPr>
        <w:t xml:space="preserve"> stem latex. </w:t>
      </w:r>
      <w:r w:rsidRPr="002A4185">
        <w:rPr>
          <w:i/>
          <w:iCs/>
          <w:highlight w:val="yellow"/>
          <w:lang w:val="en-US"/>
        </w:rPr>
        <w:t>Advances in Pharmacological and Pharmaceutical Sciences, 2024</w:t>
      </w:r>
      <w:r w:rsidRPr="002A4185">
        <w:rPr>
          <w:highlight w:val="yellow"/>
          <w:lang w:val="en-US"/>
        </w:rPr>
        <w:t xml:space="preserve">, Article 8273789. </w:t>
      </w:r>
      <w:hyperlink r:id="rId50" w:history="1">
        <w:r w:rsidRPr="002A4185">
          <w:rPr>
            <w:rStyle w:val="Hyperlink"/>
            <w:highlight w:val="yellow"/>
            <w:lang w:val="en-US"/>
          </w:rPr>
          <w:t>https://doi.org/10.1155/2024/8273789</w:t>
        </w:r>
      </w:hyperlink>
      <w:r w:rsidRPr="002A4185">
        <w:rPr>
          <w:highlight w:val="yellow"/>
          <w:lang w:val="en-US"/>
        </w:rPr>
        <w:t xml:space="preserve"> </w:t>
      </w:r>
    </w:p>
    <w:p w14:paraId="3C9779A1" w14:textId="4672795F" w:rsidR="00116B18" w:rsidRPr="002A4185" w:rsidRDefault="00116B18" w:rsidP="00116B18">
      <w:pPr>
        <w:pStyle w:val="NormalWeb"/>
        <w:numPr>
          <w:ilvl w:val="0"/>
          <w:numId w:val="7"/>
        </w:numPr>
        <w:jc w:val="both"/>
        <w:rPr>
          <w:highlight w:val="yellow"/>
        </w:rPr>
      </w:pPr>
      <w:r w:rsidRPr="002A4185">
        <w:rPr>
          <w:lang w:val="en-US"/>
        </w:rPr>
        <w:t xml:space="preserve">de Carvalho, C. C. C. R., and Fernandes, P. (2010). Production of metabolites as bacterial responses to the marine environment. Marine Drugs, 8(3), 705–727. </w:t>
      </w:r>
      <w:hyperlink r:id="rId51" w:history="1">
        <w:r w:rsidRPr="002A4185">
          <w:rPr>
            <w:rStyle w:val="Hyperlink"/>
            <w:lang w:val="en-US"/>
          </w:rPr>
          <w:t>https://doi.org/10.3390/md8030705</w:t>
        </w:r>
      </w:hyperlink>
    </w:p>
    <w:p w14:paraId="30624533" w14:textId="2E247F83" w:rsidR="00B67809" w:rsidRPr="002A4185" w:rsidRDefault="00B67809" w:rsidP="00B67809">
      <w:pPr>
        <w:pStyle w:val="NormalWeb"/>
        <w:numPr>
          <w:ilvl w:val="0"/>
          <w:numId w:val="7"/>
        </w:numPr>
        <w:jc w:val="both"/>
        <w:rPr>
          <w:highlight w:val="yellow"/>
        </w:rPr>
      </w:pPr>
      <w:r w:rsidRPr="002A4185">
        <w:rPr>
          <w:lang w:val="en-US"/>
        </w:rPr>
        <w:t xml:space="preserve">Sun, C., Zhang, Y., Liu, H., et al. (2016). Antimicrobial mechanisms of polyunsaturated fatty acids. Applied Microbiology and Biotechnology, 100(3), 1079–1090. </w:t>
      </w:r>
      <w:hyperlink r:id="rId52" w:history="1">
        <w:r w:rsidRPr="002A4185">
          <w:rPr>
            <w:rStyle w:val="Hyperlink"/>
            <w:lang w:val="en-US"/>
          </w:rPr>
          <w:t>https://doi.org/10.1007/s00253-015-7162-3</w:t>
        </w:r>
      </w:hyperlink>
    </w:p>
    <w:p w14:paraId="73BA7BF2" w14:textId="77777777" w:rsidR="00B67809" w:rsidRPr="002A4185" w:rsidRDefault="00B67809" w:rsidP="00636929">
      <w:pPr>
        <w:pStyle w:val="NormalWeb"/>
        <w:numPr>
          <w:ilvl w:val="0"/>
          <w:numId w:val="7"/>
        </w:numPr>
        <w:jc w:val="both"/>
        <w:rPr>
          <w:highlight w:val="yellow"/>
        </w:rPr>
      </w:pPr>
      <w:r w:rsidRPr="002A4185">
        <w:rPr>
          <w:lang w:val="en-US"/>
        </w:rPr>
        <w:t xml:space="preserve">Geetha, T., Varalakshmi, P., and Ramesh, V. (2001). Effect of lupeol and lupeol linoleate on lysosomal enzymes and collagen in adjuvant-induced arthritis in rats. </w:t>
      </w:r>
      <w:r w:rsidRPr="002622DC">
        <w:rPr>
          <w:i/>
          <w:lang w:val="en-US"/>
        </w:rPr>
        <w:t>Journal of Pharmaceutical and Biomedical Analysis</w:t>
      </w:r>
      <w:r w:rsidRPr="002A4185">
        <w:rPr>
          <w:lang w:val="en-US"/>
        </w:rPr>
        <w:t xml:space="preserve">, 25(4), 639–644. </w:t>
      </w:r>
      <w:hyperlink r:id="rId53" w:history="1">
        <w:r w:rsidRPr="002A4185">
          <w:rPr>
            <w:rStyle w:val="Hyperlink"/>
            <w:lang w:val="en-US"/>
          </w:rPr>
          <w:t>https://doi.org/10.1016/S0731-7085(00)00527-2</w:t>
        </w:r>
      </w:hyperlink>
    </w:p>
    <w:p w14:paraId="5EA9BAC8" w14:textId="73EB44F9" w:rsidR="00636929" w:rsidRPr="002A4185" w:rsidRDefault="00B67809" w:rsidP="00636929">
      <w:pPr>
        <w:pStyle w:val="NormalWeb"/>
        <w:numPr>
          <w:ilvl w:val="0"/>
          <w:numId w:val="7"/>
        </w:numPr>
        <w:jc w:val="both"/>
        <w:rPr>
          <w:highlight w:val="yellow"/>
        </w:rPr>
      </w:pPr>
      <w:r w:rsidRPr="002A4185">
        <w:rPr>
          <w:lang w:val="en-US"/>
        </w:rPr>
        <w:t xml:space="preserve">Siddique, H. R., and Saleem, M. (2011). Beneficial health effects of lupeol triterpene: A review of preclinical studies. </w:t>
      </w:r>
      <w:r w:rsidRPr="002622DC">
        <w:rPr>
          <w:i/>
          <w:lang w:val="en-US"/>
        </w:rPr>
        <w:t>Life Sciences</w:t>
      </w:r>
      <w:r w:rsidRPr="002A4185">
        <w:rPr>
          <w:lang w:val="en-US"/>
        </w:rPr>
        <w:t>, 88(7–8), 285–293. https://doi.org/10.1016/j.lfs.2010.11.020</w:t>
      </w:r>
    </w:p>
    <w:sectPr w:rsidR="00636929" w:rsidRPr="002A41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92AFF"/>
    <w:multiLevelType w:val="multilevel"/>
    <w:tmpl w:val="39CA7BEA"/>
    <w:lvl w:ilvl="0">
      <w:start w:val="1"/>
      <w:numFmt w:val="decimal"/>
      <w:lvlText w:val="%1."/>
      <w:lvlJc w:val="left"/>
      <w:pPr>
        <w:tabs>
          <w:tab w:val="num" w:pos="720"/>
        </w:tabs>
        <w:ind w:left="720" w:hanging="360"/>
      </w:pPr>
      <w:rPr>
        <w:rFonts w:hint="default"/>
        <w:sz w:val="20"/>
      </w:rPr>
    </w:lvl>
    <w:lvl w:ilvl="1">
      <w:start w:val="2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74544"/>
    <w:multiLevelType w:val="hybridMultilevel"/>
    <w:tmpl w:val="F9AAA610"/>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16352"/>
    <w:multiLevelType w:val="multilevel"/>
    <w:tmpl w:val="1BB8B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F267AA"/>
    <w:multiLevelType w:val="multilevel"/>
    <w:tmpl w:val="6E08B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0D4704"/>
    <w:multiLevelType w:val="multilevel"/>
    <w:tmpl w:val="3FC6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D2A55"/>
    <w:multiLevelType w:val="hybridMultilevel"/>
    <w:tmpl w:val="6038B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613796"/>
    <w:multiLevelType w:val="multilevel"/>
    <w:tmpl w:val="60D8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4D1C97"/>
    <w:multiLevelType w:val="multilevel"/>
    <w:tmpl w:val="21C0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1"/>
  </w:num>
  <w:num w:numId="5">
    <w:abstractNumId w:val="7"/>
  </w:num>
  <w:num w:numId="6">
    <w:abstractNumId w:val="5"/>
  </w:num>
  <w:num w:numId="7">
    <w:abstractNumId w:val="2"/>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70"/>
    <w:rsid w:val="000256D2"/>
    <w:rsid w:val="00042445"/>
    <w:rsid w:val="00073F6A"/>
    <w:rsid w:val="000B0FF3"/>
    <w:rsid w:val="000C5F4C"/>
    <w:rsid w:val="000D08CF"/>
    <w:rsid w:val="000E1157"/>
    <w:rsid w:val="0010126D"/>
    <w:rsid w:val="00116B18"/>
    <w:rsid w:val="001257B8"/>
    <w:rsid w:val="001338BB"/>
    <w:rsid w:val="001752AC"/>
    <w:rsid w:val="001754DF"/>
    <w:rsid w:val="00180B75"/>
    <w:rsid w:val="00186174"/>
    <w:rsid w:val="0019453D"/>
    <w:rsid w:val="0019597E"/>
    <w:rsid w:val="001F4C1C"/>
    <w:rsid w:val="00201313"/>
    <w:rsid w:val="00211561"/>
    <w:rsid w:val="00240A1B"/>
    <w:rsid w:val="002622DC"/>
    <w:rsid w:val="0026512F"/>
    <w:rsid w:val="00265EB7"/>
    <w:rsid w:val="002A4185"/>
    <w:rsid w:val="002C0800"/>
    <w:rsid w:val="002C6A9B"/>
    <w:rsid w:val="002D4393"/>
    <w:rsid w:val="00302B15"/>
    <w:rsid w:val="00341BB4"/>
    <w:rsid w:val="00354A8A"/>
    <w:rsid w:val="0039498E"/>
    <w:rsid w:val="00395B9F"/>
    <w:rsid w:val="003975BE"/>
    <w:rsid w:val="003A6B70"/>
    <w:rsid w:val="003C0AB9"/>
    <w:rsid w:val="003C2A94"/>
    <w:rsid w:val="00402637"/>
    <w:rsid w:val="00415F74"/>
    <w:rsid w:val="0042364C"/>
    <w:rsid w:val="00470F70"/>
    <w:rsid w:val="004F1081"/>
    <w:rsid w:val="004F1274"/>
    <w:rsid w:val="00505166"/>
    <w:rsid w:val="005169A7"/>
    <w:rsid w:val="00541221"/>
    <w:rsid w:val="00573159"/>
    <w:rsid w:val="005B04F1"/>
    <w:rsid w:val="005C21B3"/>
    <w:rsid w:val="005C5B11"/>
    <w:rsid w:val="005C7CD8"/>
    <w:rsid w:val="0062383D"/>
    <w:rsid w:val="00636929"/>
    <w:rsid w:val="0065044A"/>
    <w:rsid w:val="006907E1"/>
    <w:rsid w:val="00706277"/>
    <w:rsid w:val="007144C6"/>
    <w:rsid w:val="00730AE2"/>
    <w:rsid w:val="007831EB"/>
    <w:rsid w:val="007A408B"/>
    <w:rsid w:val="007B1C16"/>
    <w:rsid w:val="007B2770"/>
    <w:rsid w:val="007B7CDE"/>
    <w:rsid w:val="007C0EE9"/>
    <w:rsid w:val="007C1B1B"/>
    <w:rsid w:val="007D38C1"/>
    <w:rsid w:val="00814044"/>
    <w:rsid w:val="00861514"/>
    <w:rsid w:val="008742C8"/>
    <w:rsid w:val="0089519A"/>
    <w:rsid w:val="008A5B1F"/>
    <w:rsid w:val="008C0D28"/>
    <w:rsid w:val="008C3041"/>
    <w:rsid w:val="008F057D"/>
    <w:rsid w:val="008F532A"/>
    <w:rsid w:val="008F5C16"/>
    <w:rsid w:val="00927887"/>
    <w:rsid w:val="00941B1A"/>
    <w:rsid w:val="009478A7"/>
    <w:rsid w:val="00965FF2"/>
    <w:rsid w:val="009C1D61"/>
    <w:rsid w:val="009C3A63"/>
    <w:rsid w:val="009F6824"/>
    <w:rsid w:val="00A1384E"/>
    <w:rsid w:val="00A34828"/>
    <w:rsid w:val="00A623EF"/>
    <w:rsid w:val="00A87FF4"/>
    <w:rsid w:val="00AD0E04"/>
    <w:rsid w:val="00AD3E44"/>
    <w:rsid w:val="00B23F5D"/>
    <w:rsid w:val="00B419D9"/>
    <w:rsid w:val="00B67809"/>
    <w:rsid w:val="00B80CC7"/>
    <w:rsid w:val="00B81352"/>
    <w:rsid w:val="00B82523"/>
    <w:rsid w:val="00BC78DC"/>
    <w:rsid w:val="00BD66BB"/>
    <w:rsid w:val="00BF7084"/>
    <w:rsid w:val="00C65931"/>
    <w:rsid w:val="00C806C9"/>
    <w:rsid w:val="00CB6DC4"/>
    <w:rsid w:val="00CC0673"/>
    <w:rsid w:val="00D040FC"/>
    <w:rsid w:val="00D3022F"/>
    <w:rsid w:val="00D513DA"/>
    <w:rsid w:val="00D83691"/>
    <w:rsid w:val="00D85B68"/>
    <w:rsid w:val="00D87626"/>
    <w:rsid w:val="00DB6C0D"/>
    <w:rsid w:val="00E24592"/>
    <w:rsid w:val="00E46773"/>
    <w:rsid w:val="00E76802"/>
    <w:rsid w:val="00E8101A"/>
    <w:rsid w:val="00E82065"/>
    <w:rsid w:val="00E859EF"/>
    <w:rsid w:val="00EB4821"/>
    <w:rsid w:val="00EF0E5E"/>
    <w:rsid w:val="00F0192E"/>
    <w:rsid w:val="00F129E9"/>
    <w:rsid w:val="00F157FB"/>
    <w:rsid w:val="00F2306C"/>
    <w:rsid w:val="00F27B24"/>
    <w:rsid w:val="00F37666"/>
    <w:rsid w:val="00F65B33"/>
    <w:rsid w:val="00F71652"/>
    <w:rsid w:val="00F842AB"/>
    <w:rsid w:val="00FC1F5A"/>
    <w:rsid w:val="00FC6517"/>
    <w:rsid w:val="00FF5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97283"/>
  <w15:docId w15:val="{BA023F02-54FE-43D2-8723-53436B7C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A6B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unhideWhenUsed/>
    <w:qFormat/>
    <w:rsid w:val="001752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rsid w:val="002651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3A6B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3A6B70"/>
    <w:rPr>
      <w:rFonts w:ascii="Times New Roman" w:eastAsia="Times New Roman" w:hAnsi="Times New Roman" w:cs="Times New Roman"/>
      <w:b/>
      <w:bCs/>
      <w:kern w:val="36"/>
      <w:sz w:val="48"/>
      <w:szCs w:val="48"/>
      <w:lang w:eastAsia="en-GB"/>
    </w:rPr>
  </w:style>
  <w:style w:type="character" w:customStyle="1" w:styleId="essay-topic">
    <w:name w:val="essay-topic"/>
    <w:basedOn w:val="DefaultParagraphFont"/>
    <w:rsid w:val="003A6B70"/>
  </w:style>
  <w:style w:type="paragraph" w:styleId="NormalWeb">
    <w:name w:val="Normal (Web)"/>
    <w:basedOn w:val="Normal"/>
    <w:uiPriority w:val="99"/>
    <w:unhideWhenUsed/>
    <w:rsid w:val="00BC78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C78DC"/>
    <w:rPr>
      <w:i/>
      <w:iCs/>
    </w:rPr>
  </w:style>
  <w:style w:type="table" w:styleId="TableGrid">
    <w:name w:val="Table Grid"/>
    <w:basedOn w:val="TableNormal"/>
    <w:uiPriority w:val="59"/>
    <w:rsid w:val="000D08C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0CC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E1157"/>
    <w:pPr>
      <w:ind w:left="720"/>
      <w:contextualSpacing/>
    </w:pPr>
  </w:style>
  <w:style w:type="character" w:customStyle="1" w:styleId="Heading3Char">
    <w:name w:val="Heading 3 Char"/>
    <w:basedOn w:val="DefaultParagraphFont"/>
    <w:link w:val="Heading3"/>
    <w:uiPriority w:val="9"/>
    <w:rsid w:val="001752AC"/>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752AC"/>
    <w:rPr>
      <w:b/>
      <w:bCs/>
    </w:rPr>
  </w:style>
  <w:style w:type="character" w:styleId="Hyperlink">
    <w:name w:val="Hyperlink"/>
    <w:basedOn w:val="DefaultParagraphFont"/>
    <w:uiPriority w:val="99"/>
    <w:unhideWhenUsed/>
    <w:rsid w:val="001752AC"/>
    <w:rPr>
      <w:color w:val="0000FF"/>
      <w:u w:val="single"/>
    </w:rPr>
  </w:style>
  <w:style w:type="character" w:customStyle="1" w:styleId="UnresolvedMention1">
    <w:name w:val="Unresolved Mention1"/>
    <w:basedOn w:val="DefaultParagraphFont"/>
    <w:uiPriority w:val="99"/>
    <w:semiHidden/>
    <w:unhideWhenUsed/>
    <w:rsid w:val="007B7CDE"/>
    <w:rPr>
      <w:color w:val="605E5C"/>
      <w:shd w:val="clear" w:color="auto" w:fill="E1DFDD"/>
    </w:rPr>
  </w:style>
  <w:style w:type="paragraph" w:styleId="BalloonText">
    <w:name w:val="Balloon Text"/>
    <w:basedOn w:val="Normal"/>
    <w:link w:val="BalloonTextChar"/>
    <w:uiPriority w:val="99"/>
    <w:semiHidden/>
    <w:unhideWhenUsed/>
    <w:rsid w:val="00516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9A7"/>
    <w:rPr>
      <w:rFonts w:ascii="Tahoma" w:hAnsi="Tahoma" w:cs="Tahoma"/>
      <w:sz w:val="16"/>
      <w:szCs w:val="16"/>
    </w:rPr>
  </w:style>
  <w:style w:type="character" w:styleId="FollowedHyperlink">
    <w:name w:val="FollowedHyperlink"/>
    <w:basedOn w:val="DefaultParagraphFont"/>
    <w:uiPriority w:val="99"/>
    <w:semiHidden/>
    <w:unhideWhenUsed/>
    <w:rsid w:val="006369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4563">
      <w:bodyDiv w:val="1"/>
      <w:marLeft w:val="0"/>
      <w:marRight w:val="0"/>
      <w:marTop w:val="0"/>
      <w:marBottom w:val="0"/>
      <w:divBdr>
        <w:top w:val="none" w:sz="0" w:space="0" w:color="auto"/>
        <w:left w:val="none" w:sz="0" w:space="0" w:color="auto"/>
        <w:bottom w:val="none" w:sz="0" w:space="0" w:color="auto"/>
        <w:right w:val="none" w:sz="0" w:space="0" w:color="auto"/>
      </w:divBdr>
    </w:div>
    <w:div w:id="265499919">
      <w:bodyDiv w:val="1"/>
      <w:marLeft w:val="0"/>
      <w:marRight w:val="0"/>
      <w:marTop w:val="0"/>
      <w:marBottom w:val="0"/>
      <w:divBdr>
        <w:top w:val="none" w:sz="0" w:space="0" w:color="auto"/>
        <w:left w:val="none" w:sz="0" w:space="0" w:color="auto"/>
        <w:bottom w:val="none" w:sz="0" w:space="0" w:color="auto"/>
        <w:right w:val="none" w:sz="0" w:space="0" w:color="auto"/>
      </w:divBdr>
    </w:div>
    <w:div w:id="319625248">
      <w:bodyDiv w:val="1"/>
      <w:marLeft w:val="0"/>
      <w:marRight w:val="0"/>
      <w:marTop w:val="0"/>
      <w:marBottom w:val="0"/>
      <w:divBdr>
        <w:top w:val="none" w:sz="0" w:space="0" w:color="auto"/>
        <w:left w:val="none" w:sz="0" w:space="0" w:color="auto"/>
        <w:bottom w:val="none" w:sz="0" w:space="0" w:color="auto"/>
        <w:right w:val="none" w:sz="0" w:space="0" w:color="auto"/>
      </w:divBdr>
    </w:div>
    <w:div w:id="599609310">
      <w:bodyDiv w:val="1"/>
      <w:marLeft w:val="0"/>
      <w:marRight w:val="0"/>
      <w:marTop w:val="0"/>
      <w:marBottom w:val="0"/>
      <w:divBdr>
        <w:top w:val="none" w:sz="0" w:space="0" w:color="auto"/>
        <w:left w:val="none" w:sz="0" w:space="0" w:color="auto"/>
        <w:bottom w:val="none" w:sz="0" w:space="0" w:color="auto"/>
        <w:right w:val="none" w:sz="0" w:space="0" w:color="auto"/>
      </w:divBdr>
    </w:div>
    <w:div w:id="768086598">
      <w:bodyDiv w:val="1"/>
      <w:marLeft w:val="0"/>
      <w:marRight w:val="0"/>
      <w:marTop w:val="0"/>
      <w:marBottom w:val="0"/>
      <w:divBdr>
        <w:top w:val="none" w:sz="0" w:space="0" w:color="auto"/>
        <w:left w:val="none" w:sz="0" w:space="0" w:color="auto"/>
        <w:bottom w:val="none" w:sz="0" w:space="0" w:color="auto"/>
        <w:right w:val="none" w:sz="0" w:space="0" w:color="auto"/>
      </w:divBdr>
    </w:div>
    <w:div w:id="952640068">
      <w:bodyDiv w:val="1"/>
      <w:marLeft w:val="0"/>
      <w:marRight w:val="0"/>
      <w:marTop w:val="0"/>
      <w:marBottom w:val="0"/>
      <w:divBdr>
        <w:top w:val="none" w:sz="0" w:space="0" w:color="auto"/>
        <w:left w:val="none" w:sz="0" w:space="0" w:color="auto"/>
        <w:bottom w:val="none" w:sz="0" w:space="0" w:color="auto"/>
        <w:right w:val="none" w:sz="0" w:space="0" w:color="auto"/>
      </w:divBdr>
    </w:div>
    <w:div w:id="964039504">
      <w:bodyDiv w:val="1"/>
      <w:marLeft w:val="0"/>
      <w:marRight w:val="0"/>
      <w:marTop w:val="0"/>
      <w:marBottom w:val="0"/>
      <w:divBdr>
        <w:top w:val="none" w:sz="0" w:space="0" w:color="auto"/>
        <w:left w:val="none" w:sz="0" w:space="0" w:color="auto"/>
        <w:bottom w:val="none" w:sz="0" w:space="0" w:color="auto"/>
        <w:right w:val="none" w:sz="0" w:space="0" w:color="auto"/>
      </w:divBdr>
    </w:div>
    <w:div w:id="970019190">
      <w:bodyDiv w:val="1"/>
      <w:marLeft w:val="0"/>
      <w:marRight w:val="0"/>
      <w:marTop w:val="0"/>
      <w:marBottom w:val="0"/>
      <w:divBdr>
        <w:top w:val="none" w:sz="0" w:space="0" w:color="auto"/>
        <w:left w:val="none" w:sz="0" w:space="0" w:color="auto"/>
        <w:bottom w:val="none" w:sz="0" w:space="0" w:color="auto"/>
        <w:right w:val="none" w:sz="0" w:space="0" w:color="auto"/>
      </w:divBdr>
    </w:div>
    <w:div w:id="1012487700">
      <w:bodyDiv w:val="1"/>
      <w:marLeft w:val="0"/>
      <w:marRight w:val="0"/>
      <w:marTop w:val="0"/>
      <w:marBottom w:val="0"/>
      <w:divBdr>
        <w:top w:val="none" w:sz="0" w:space="0" w:color="auto"/>
        <w:left w:val="none" w:sz="0" w:space="0" w:color="auto"/>
        <w:bottom w:val="none" w:sz="0" w:space="0" w:color="auto"/>
        <w:right w:val="none" w:sz="0" w:space="0" w:color="auto"/>
      </w:divBdr>
    </w:div>
    <w:div w:id="1382244393">
      <w:bodyDiv w:val="1"/>
      <w:marLeft w:val="0"/>
      <w:marRight w:val="0"/>
      <w:marTop w:val="0"/>
      <w:marBottom w:val="0"/>
      <w:divBdr>
        <w:top w:val="none" w:sz="0" w:space="0" w:color="auto"/>
        <w:left w:val="none" w:sz="0" w:space="0" w:color="auto"/>
        <w:bottom w:val="none" w:sz="0" w:space="0" w:color="auto"/>
        <w:right w:val="none" w:sz="0" w:space="0" w:color="auto"/>
      </w:divBdr>
    </w:div>
    <w:div w:id="1403524709">
      <w:bodyDiv w:val="1"/>
      <w:marLeft w:val="0"/>
      <w:marRight w:val="0"/>
      <w:marTop w:val="0"/>
      <w:marBottom w:val="0"/>
      <w:divBdr>
        <w:top w:val="none" w:sz="0" w:space="0" w:color="auto"/>
        <w:left w:val="none" w:sz="0" w:space="0" w:color="auto"/>
        <w:bottom w:val="none" w:sz="0" w:space="0" w:color="auto"/>
        <w:right w:val="none" w:sz="0" w:space="0" w:color="auto"/>
      </w:divBdr>
    </w:div>
    <w:div w:id="1463696042">
      <w:bodyDiv w:val="1"/>
      <w:marLeft w:val="0"/>
      <w:marRight w:val="0"/>
      <w:marTop w:val="0"/>
      <w:marBottom w:val="0"/>
      <w:divBdr>
        <w:top w:val="none" w:sz="0" w:space="0" w:color="auto"/>
        <w:left w:val="none" w:sz="0" w:space="0" w:color="auto"/>
        <w:bottom w:val="none" w:sz="0" w:space="0" w:color="auto"/>
        <w:right w:val="none" w:sz="0" w:space="0" w:color="auto"/>
      </w:divBdr>
    </w:div>
    <w:div w:id="1610354045">
      <w:bodyDiv w:val="1"/>
      <w:marLeft w:val="0"/>
      <w:marRight w:val="0"/>
      <w:marTop w:val="0"/>
      <w:marBottom w:val="0"/>
      <w:divBdr>
        <w:top w:val="none" w:sz="0" w:space="0" w:color="auto"/>
        <w:left w:val="none" w:sz="0" w:space="0" w:color="auto"/>
        <w:bottom w:val="none" w:sz="0" w:space="0" w:color="auto"/>
        <w:right w:val="none" w:sz="0" w:space="0" w:color="auto"/>
      </w:divBdr>
    </w:div>
    <w:div w:id="1623465217">
      <w:bodyDiv w:val="1"/>
      <w:marLeft w:val="0"/>
      <w:marRight w:val="0"/>
      <w:marTop w:val="0"/>
      <w:marBottom w:val="0"/>
      <w:divBdr>
        <w:top w:val="none" w:sz="0" w:space="0" w:color="auto"/>
        <w:left w:val="none" w:sz="0" w:space="0" w:color="auto"/>
        <w:bottom w:val="none" w:sz="0" w:space="0" w:color="auto"/>
        <w:right w:val="none" w:sz="0" w:space="0" w:color="auto"/>
      </w:divBdr>
    </w:div>
    <w:div w:id="1669746144">
      <w:bodyDiv w:val="1"/>
      <w:marLeft w:val="0"/>
      <w:marRight w:val="0"/>
      <w:marTop w:val="0"/>
      <w:marBottom w:val="0"/>
      <w:divBdr>
        <w:top w:val="none" w:sz="0" w:space="0" w:color="auto"/>
        <w:left w:val="none" w:sz="0" w:space="0" w:color="auto"/>
        <w:bottom w:val="none" w:sz="0" w:space="0" w:color="auto"/>
        <w:right w:val="none" w:sz="0" w:space="0" w:color="auto"/>
      </w:divBdr>
    </w:div>
    <w:div w:id="1943146476">
      <w:bodyDiv w:val="1"/>
      <w:marLeft w:val="0"/>
      <w:marRight w:val="0"/>
      <w:marTop w:val="0"/>
      <w:marBottom w:val="0"/>
      <w:divBdr>
        <w:top w:val="none" w:sz="0" w:space="0" w:color="auto"/>
        <w:left w:val="none" w:sz="0" w:space="0" w:color="auto"/>
        <w:bottom w:val="none" w:sz="0" w:space="0" w:color="auto"/>
        <w:right w:val="none" w:sz="0" w:space="0" w:color="auto"/>
      </w:divBdr>
    </w:div>
    <w:div w:id="1977442496">
      <w:bodyDiv w:val="1"/>
      <w:marLeft w:val="0"/>
      <w:marRight w:val="0"/>
      <w:marTop w:val="0"/>
      <w:marBottom w:val="0"/>
      <w:divBdr>
        <w:top w:val="none" w:sz="0" w:space="0" w:color="auto"/>
        <w:left w:val="none" w:sz="0" w:space="0" w:color="auto"/>
        <w:bottom w:val="none" w:sz="0" w:space="0" w:color="auto"/>
        <w:right w:val="none" w:sz="0" w:space="0" w:color="auto"/>
      </w:divBdr>
    </w:div>
    <w:div w:id="2060090018">
      <w:bodyDiv w:val="1"/>
      <w:marLeft w:val="0"/>
      <w:marRight w:val="0"/>
      <w:marTop w:val="0"/>
      <w:marBottom w:val="0"/>
      <w:divBdr>
        <w:top w:val="none" w:sz="0" w:space="0" w:color="auto"/>
        <w:left w:val="none" w:sz="0" w:space="0" w:color="auto"/>
        <w:bottom w:val="none" w:sz="0" w:space="0" w:color="auto"/>
        <w:right w:val="none" w:sz="0" w:space="0" w:color="auto"/>
      </w:divBdr>
    </w:div>
    <w:div w:id="213949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9" Type="http://schemas.openxmlformats.org/officeDocument/2006/relationships/hyperlink" Target="https://doi.org/10.30574/wjbphs.2025.21.1.0039" TargetMode="External"/><Relationship Id="rId21" Type="http://schemas.openxmlformats.org/officeDocument/2006/relationships/image" Target="media/image14.png"/><Relationship Id="rId34" Type="http://schemas.openxmlformats.org/officeDocument/2006/relationships/hyperlink" Target="http://dx.doi.org/10.1016/j.foodchem.2006.11.069" TargetMode="External"/><Relationship Id="rId42" Type="http://schemas.openxmlformats.org/officeDocument/2006/relationships/hyperlink" Target="https://doi.org/10.12991/jrespharm.1694200" TargetMode="External"/><Relationship Id="rId47" Type="http://schemas.openxmlformats.org/officeDocument/2006/relationships/hyperlink" Target="https://doi.org/10.3389/fphar.2024.1347069" TargetMode="External"/><Relationship Id="rId50" Type="http://schemas.openxmlformats.org/officeDocument/2006/relationships/hyperlink" Target="https://doi.org/10.1155/2024/8273789" TargetMode="External"/><Relationship Id="rId55" Type="http://schemas.openxmlformats.org/officeDocument/2006/relationships/theme" Target="theme/theme1.xml"/><Relationship Id="rId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doi.org/10.1186/s12906-024-04619-7" TargetMode="Externa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doi.org/10.1016/j.phyplu.2022.100348" TargetMode="External"/><Relationship Id="rId37" Type="http://schemas.openxmlformats.org/officeDocument/2006/relationships/hyperlink" Target="https://doi.org/10.9734/JAMB/2018/40580" TargetMode="External"/><Relationship Id="rId40" Type="http://schemas.openxmlformats.org/officeDocument/2006/relationships/hyperlink" Target="https://doi.org/10.3390/f15030429" TargetMode="External"/><Relationship Id="rId45" Type="http://schemas.openxmlformats.org/officeDocument/2006/relationships/hyperlink" Target="https://doi.org/10.1016/j.bse.2024.104832" TargetMode="External"/><Relationship Id="rId53" Type="http://schemas.openxmlformats.org/officeDocument/2006/relationships/hyperlink" Target="https://doi.org/10.1016/S0731-7085(00)00527-2" TargetMode="Externa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doi.org/10.1016/j.indcrop.2022.114672" TargetMode="External"/><Relationship Id="rId44" Type="http://schemas.openxmlformats.org/officeDocument/2006/relationships/hyperlink" Target="https://www.jetir.org/papers/JETIR2401337" TargetMode="External"/><Relationship Id="rId52" Type="http://schemas.openxmlformats.org/officeDocument/2006/relationships/hyperlink" Target="https://doi.org/10.1007/s00253-015-7162-3" TargetMode="External"/><Relationship Id="rId4" Type="http://schemas.openxmlformats.org/officeDocument/2006/relationships/settings" Target="settings.xml"/><Relationship Id="rId9" Type="http://schemas.microsoft.com/office/2007/relationships/hdphoto" Target="media/hdphoto2.wdp"/><Relationship Id="rId14" Type="http://schemas.openxmlformats.org/officeDocument/2006/relationships/image" Target="media/image7.png"/><Relationship Id="rId22" Type="http://schemas.openxmlformats.org/officeDocument/2006/relationships/image" Target="media/image15.png"/><Relationship Id="rId27" Type="http://schemas.microsoft.com/office/2007/relationships/hdphoto" Target="media/hdphoto4.wdp"/><Relationship Id="rId30" Type="http://schemas.openxmlformats.org/officeDocument/2006/relationships/hyperlink" Target="https://doi.org/10.24018/ejvetmed.2023.3.3.95" TargetMode="External"/><Relationship Id="rId35" Type="http://schemas.openxmlformats.org/officeDocument/2006/relationships/hyperlink" Target="https://doi.org/10.1186/1746-6148-7-36" TargetMode="External"/><Relationship Id="rId43" Type="http://schemas.openxmlformats.org/officeDocument/2006/relationships/hyperlink" Target="https://doi.org/10.47616/jamrmhss.v3i3.314" TargetMode="External"/><Relationship Id="rId48" Type="http://schemas.openxmlformats.org/officeDocument/2006/relationships/hyperlink" Target="https://doi.org/10.1007/s00253-009-2355-3" TargetMode="External"/><Relationship Id="rId8" Type="http://schemas.openxmlformats.org/officeDocument/2006/relationships/image" Target="media/image2.png"/><Relationship Id="rId51" Type="http://schemas.openxmlformats.org/officeDocument/2006/relationships/hyperlink" Target="https://doi.org/10.3390/md8030705"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microsoft.com/office/2007/relationships/hdphoto" Target="media/hdphoto3.wdp"/><Relationship Id="rId33" Type="http://schemas.openxmlformats.org/officeDocument/2006/relationships/hyperlink" Target="https://doi.org/10.1016/j.sciaf.2024.e02395" TargetMode="External"/><Relationship Id="rId38" Type="http://schemas.openxmlformats.org/officeDocument/2006/relationships/hyperlink" Target="https://doi.org/10.5530/097484900288" TargetMode="External"/><Relationship Id="rId46" Type="http://schemas.openxmlformats.org/officeDocument/2006/relationships/hyperlink" Target="https://doi.org/10.1016/j.fct.2007.09.106" TargetMode="External"/><Relationship Id="rId20" Type="http://schemas.openxmlformats.org/officeDocument/2006/relationships/image" Target="media/image13.png"/><Relationship Id="rId41" Type="http://schemas.openxmlformats.org/officeDocument/2006/relationships/hyperlink" Target="https://doi.org/10.1016/j.jep.2004.11.02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s://doi.org/10.21608/ejchem.2022.129184.5713" TargetMode="External"/><Relationship Id="rId36" Type="http://schemas.openxmlformats.org/officeDocument/2006/relationships/hyperlink" Target="https://doi.org/10.1002/ptr.1714" TargetMode="External"/><Relationship Id="rId49" Type="http://schemas.openxmlformats.org/officeDocument/2006/relationships/hyperlink" Target="https://doi.org/10.5530/pres.16.2.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7DD9D-23B1-4B9E-809E-6B90C13A5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18</Pages>
  <Words>6173</Words>
  <Characters>35190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ayantola</dc:creator>
  <cp:lastModifiedBy>Editor-11</cp:lastModifiedBy>
  <cp:revision>7</cp:revision>
  <dcterms:created xsi:type="dcterms:W3CDTF">2025-12-04T12:43:00Z</dcterms:created>
  <dcterms:modified xsi:type="dcterms:W3CDTF">2025-12-08T08:36:00Z</dcterms:modified>
</cp:coreProperties>
</file>