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9F76" w14:textId="77777777" w:rsidR="00D06B15" w:rsidRDefault="003761A6">
      <w:pPr>
        <w:pStyle w:val="Title"/>
        <w:spacing w:after="0"/>
        <w:jc w:val="both"/>
        <w:rPr>
          <w:rFonts w:ascii="Arial" w:hAnsi="Arial" w:cs="Arial"/>
          <w:bCs/>
          <w:i/>
          <w:iCs/>
          <w:u w:val="single"/>
        </w:rPr>
      </w:pPr>
      <w:r>
        <w:rPr>
          <w:rFonts w:ascii="Arial" w:hAnsi="Arial" w:cs="Arial"/>
          <w:bCs/>
          <w:i/>
          <w:iCs/>
          <w:u w:val="single"/>
        </w:rPr>
        <w:t>Original Research Article</w:t>
      </w:r>
    </w:p>
    <w:p w14:paraId="00A94EEF" w14:textId="77777777" w:rsidR="00D06B15" w:rsidRDefault="00D06B15">
      <w:pPr>
        <w:pStyle w:val="Title"/>
        <w:spacing w:after="0"/>
        <w:jc w:val="both"/>
        <w:rPr>
          <w:rFonts w:ascii="Arial" w:hAnsi="Arial" w:cs="Arial"/>
        </w:rPr>
      </w:pPr>
    </w:p>
    <w:p w14:paraId="7A45CADD" w14:textId="77777777" w:rsidR="00D06B15" w:rsidRPr="00D51CE5" w:rsidRDefault="003761A6">
      <w:pPr>
        <w:pStyle w:val="Author"/>
        <w:spacing w:line="240" w:lineRule="auto"/>
        <w:rPr>
          <w:sz w:val="40"/>
          <w:szCs w:val="40"/>
        </w:rPr>
      </w:pPr>
      <w:bookmarkStart w:id="0" w:name="_Hlk213589678"/>
      <w:r w:rsidRPr="00D51CE5">
        <w:rPr>
          <w:sz w:val="40"/>
          <w:szCs w:val="40"/>
        </w:rPr>
        <w:t xml:space="preserve">Assessing the </w:t>
      </w:r>
      <w:bookmarkStart w:id="1" w:name="_Hlk215228696"/>
      <w:r w:rsidRPr="00D51CE5">
        <w:rPr>
          <w:sz w:val="40"/>
          <w:szCs w:val="40"/>
        </w:rPr>
        <w:t xml:space="preserve">Policy Gaps and Governance Challenges </w:t>
      </w:r>
      <w:bookmarkEnd w:id="1"/>
      <w:r w:rsidRPr="00D51CE5">
        <w:rPr>
          <w:sz w:val="40"/>
          <w:szCs w:val="40"/>
        </w:rPr>
        <w:t xml:space="preserve">in Sustainable Solid Waste Management: Evidence from Garissa, Kenya </w:t>
      </w:r>
    </w:p>
    <w:bookmarkEnd w:id="0"/>
    <w:p w14:paraId="62846849" w14:textId="77777777" w:rsidR="00D06B15" w:rsidRDefault="00D06B15">
      <w:pPr>
        <w:pStyle w:val="Author"/>
        <w:spacing w:line="240" w:lineRule="auto"/>
        <w:rPr>
          <w:rFonts w:ascii="Arial" w:hAnsi="Arial" w:cs="Arial"/>
          <w:color w:val="000000" w:themeColor="text1"/>
          <w:szCs w:val="24"/>
        </w:rPr>
      </w:pPr>
    </w:p>
    <w:p w14:paraId="0CA1A266" w14:textId="77777777" w:rsidR="00D06B15" w:rsidRDefault="00D06B15">
      <w:pPr>
        <w:pStyle w:val="Affiliation"/>
        <w:spacing w:after="0" w:line="240" w:lineRule="auto"/>
        <w:jc w:val="both"/>
        <w:rPr>
          <w:rFonts w:ascii="Arial" w:hAnsi="Arial" w:cs="Arial"/>
        </w:rPr>
      </w:pPr>
    </w:p>
    <w:p w14:paraId="2FDFC96B" w14:textId="77777777" w:rsidR="00D06B15" w:rsidRDefault="003761A6">
      <w:pPr>
        <w:pStyle w:val="Copyright"/>
        <w:spacing w:after="0" w:line="240" w:lineRule="auto"/>
        <w:jc w:val="both"/>
        <w:rPr>
          <w:rFonts w:ascii="Arial" w:hAnsi="Arial" w:cs="Arial"/>
        </w:rPr>
        <w:sectPr w:rsidR="00D06B1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4D705B4" wp14:editId="18028FB4">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373EE7B6" w14:textId="77777777" w:rsidR="00D06B15" w:rsidRDefault="003761A6">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06B15" w14:paraId="398D9DEE" w14:textId="77777777">
        <w:tc>
          <w:tcPr>
            <w:tcW w:w="9576" w:type="dxa"/>
            <w:shd w:val="clear" w:color="auto" w:fill="F2F2F2"/>
          </w:tcPr>
          <w:p w14:paraId="034C02CB" w14:textId="77777777" w:rsidR="00D06B15" w:rsidRDefault="003761A6">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rPr>
              <w:t xml:space="preserve"> </w:t>
            </w:r>
            <w:r>
              <w:rPr>
                <w:rFonts w:ascii="Arial" w:eastAsia="Calibri" w:hAnsi="Arial"/>
                <w:bCs/>
                <w:szCs w:val="22"/>
              </w:rPr>
              <w:t>To examine the existing solid waste management policy and regulatory frameworks, identify critical policy gaps, analyze the institutional and governance structures, and evaluate the key governance challenges that collectively influence the effectiveness and sustainability of solid waste management in Garissa Township, Kenya.</w:t>
            </w:r>
          </w:p>
          <w:p w14:paraId="1613D8C6" w14:textId="77777777" w:rsidR="00D06B15" w:rsidRDefault="003761A6">
            <w:pPr>
              <w:pStyle w:val="Body"/>
              <w:spacing w:after="0"/>
              <w:rPr>
                <w:rFonts w:ascii="Arial" w:eastAsia="Calibri" w:hAnsi="Arial"/>
                <w:szCs w:val="22"/>
              </w:rPr>
            </w:pPr>
            <w:r>
              <w:rPr>
                <w:rFonts w:ascii="Arial" w:eastAsia="Calibri" w:hAnsi="Arial" w:cs="Arial"/>
                <w:b/>
                <w:szCs w:val="22"/>
              </w:rPr>
              <w:t>Study design:</w:t>
            </w:r>
            <w:r>
              <w:rPr>
                <w:rFonts w:ascii="Arial" w:eastAsia="Calibri" w:hAnsi="Arial" w:cs="Arial"/>
                <w:szCs w:val="22"/>
              </w:rPr>
              <w:t xml:space="preserve">  M</w:t>
            </w:r>
            <w:r>
              <w:rPr>
                <w:rFonts w:ascii="Arial" w:eastAsia="Calibri" w:hAnsi="Arial"/>
                <w:szCs w:val="22"/>
              </w:rPr>
              <w:t>ixed-methods research design combining both qualitative and quantitative strategies.</w:t>
            </w:r>
          </w:p>
          <w:p w14:paraId="126FF229" w14:textId="2EAB7C12" w:rsidR="00D06B15" w:rsidRDefault="003761A6">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Garissa Township, within administrative wards of Iftin, Township, Galbet, and Waberi within Garissa County in northeast Kenya </w:t>
            </w:r>
            <w:r w:rsidR="005F5C94">
              <w:rPr>
                <w:rFonts w:ascii="Arial" w:eastAsia="Calibri" w:hAnsi="Arial"/>
                <w:szCs w:val="22"/>
              </w:rPr>
              <w:t xml:space="preserve"> between April </w:t>
            </w:r>
            <w:r w:rsidR="00672493">
              <w:rPr>
                <w:rFonts w:ascii="Arial" w:eastAsia="Calibri" w:hAnsi="Arial"/>
                <w:szCs w:val="22"/>
              </w:rPr>
              <w:t xml:space="preserve">and </w:t>
            </w:r>
            <w:r w:rsidR="005F5C94">
              <w:rPr>
                <w:rFonts w:ascii="Arial" w:eastAsia="Calibri" w:hAnsi="Arial"/>
                <w:szCs w:val="22"/>
              </w:rPr>
              <w:t xml:space="preserve">September </w:t>
            </w:r>
            <w:r>
              <w:rPr>
                <w:rFonts w:ascii="Arial" w:eastAsia="Calibri" w:hAnsi="Arial"/>
                <w:szCs w:val="22"/>
              </w:rPr>
              <w:t>2019.</w:t>
            </w:r>
          </w:p>
          <w:p w14:paraId="6BA9CB49" w14:textId="77777777" w:rsidR="00D06B15" w:rsidRDefault="003761A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I</w:t>
            </w:r>
            <w:r>
              <w:rPr>
                <w:rFonts w:ascii="Arial" w:eastAsia="Calibri" w:hAnsi="Arial"/>
                <w:szCs w:val="22"/>
              </w:rPr>
              <w:t>nvolved 480 participants from Garissa Township’s wards, including municipal staff, county environmental officers, private waste collectors, community leaders, and household heads aged 18 and above. Inclusion criteria comprised residents actively engaged in waste management, while exclusion criteria included individuals under 18, non-residents, and those not involved in waste management. Selected using purposive and stratified sampling. Data were collected through semi-structured questionnaires, key informant interviews, and observations, capturing quantitative and qualitative data.</w:t>
            </w:r>
          </w:p>
          <w:p w14:paraId="6BE898CB" w14:textId="77777777" w:rsidR="00D06B15" w:rsidRDefault="003761A6">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The study found that Garissa Township has multiple solid waste management policies, with 72% of municipal staff and 65% of community leaders aware of these frameworks, yet only 48% of staff reported consistent enforcement. Key policy gaps include unclear guidelines (48% of staff, 55% of households), weak enforcement (52% of staff, 50% of households), and minimal integration of informal actors (40% of staff, 30% of households). Governance challenges insufficient funding (63% of staff, 57% of households) and poor stakeholder engagement (51% of leaders, 50% of households) hinder sustainable waste management.</w:t>
            </w:r>
          </w:p>
          <w:p w14:paraId="553A8587" w14:textId="0AD1D4E9" w:rsidR="00D06B15" w:rsidRDefault="003761A6">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Overall,</w:t>
            </w:r>
            <w:r w:rsidR="00D51CE5">
              <w:rPr>
                <w:rFonts w:ascii="Arial" w:eastAsia="Calibri" w:hAnsi="Arial"/>
                <w:szCs w:val="22"/>
              </w:rPr>
              <w:t xml:space="preserve"> </w:t>
            </w:r>
            <w:r>
              <w:rPr>
                <w:rFonts w:ascii="Arial" w:eastAsia="Calibri" w:hAnsi="Arial"/>
                <w:szCs w:val="22"/>
              </w:rPr>
              <w:t>weak policy implementation, institutional capacity gaps, and governance challenges undermine enforcement, coordination, stakeholder participation—including informal actors—and the sustainability of solid waste management in Garissa Township.</w:t>
            </w:r>
          </w:p>
          <w:p w14:paraId="41216788" w14:textId="77777777" w:rsidR="00D06B15" w:rsidRDefault="003761A6">
            <w:pPr>
              <w:pStyle w:val="Body"/>
              <w:spacing w:after="0"/>
              <w:rPr>
                <w:rFonts w:ascii="Arial" w:eastAsia="Calibri" w:hAnsi="Arial" w:cs="Arial"/>
                <w:szCs w:val="22"/>
              </w:rPr>
            </w:pPr>
            <w:r>
              <w:rPr>
                <w:rFonts w:ascii="Arial" w:eastAsia="Calibri" w:hAnsi="Arial"/>
                <w:b/>
                <w:bCs/>
                <w:szCs w:val="22"/>
              </w:rPr>
              <w:t>Key Recommendations:</w:t>
            </w:r>
            <w:r>
              <w:rPr>
                <w:rFonts w:ascii="Arial" w:eastAsia="Calibri" w:hAnsi="Arial"/>
                <w:szCs w:val="22"/>
              </w:rPr>
              <w:t xml:space="preserve"> Strengthen policy enforcement, enhance institutional capacity, improve coordination and accountability, engage stakeholders, increase public awareness, and secure sustainable funding to achieve effective and sustainable solid waste management in Garissa Township.</w:t>
            </w:r>
          </w:p>
        </w:tc>
      </w:tr>
    </w:tbl>
    <w:p w14:paraId="08F07EEB" w14:textId="77777777" w:rsidR="00D06B15" w:rsidRDefault="00D06B15">
      <w:pPr>
        <w:pStyle w:val="Body"/>
        <w:spacing w:after="0"/>
        <w:rPr>
          <w:rFonts w:ascii="Arial" w:hAnsi="Arial" w:cs="Arial"/>
          <w:i/>
        </w:rPr>
      </w:pPr>
    </w:p>
    <w:p w14:paraId="0D41AD7A" w14:textId="77777777" w:rsidR="00D06B15" w:rsidRDefault="003761A6">
      <w:pPr>
        <w:pStyle w:val="Body"/>
        <w:spacing w:after="0"/>
        <w:rPr>
          <w:rFonts w:ascii="Arial" w:hAnsi="Arial" w:cs="Arial"/>
          <w:i/>
        </w:rPr>
      </w:pPr>
      <w:r>
        <w:rPr>
          <w:rFonts w:ascii="Arial" w:hAnsi="Arial" w:cs="Arial"/>
          <w:i/>
        </w:rPr>
        <w:t>Keywords:</w:t>
      </w:r>
      <w:r>
        <w:rPr>
          <w:rFonts w:ascii="Arial" w:hAnsi="Arial"/>
          <w:i/>
        </w:rPr>
        <w:t xml:space="preserve"> Policy Gaps; Solid Waste Management; Governance Challenges, Regulatory Frameworks, Sustainable Waste Practices; Institutional Capacity</w:t>
      </w:r>
    </w:p>
    <w:p w14:paraId="2BA8EC53" w14:textId="77777777" w:rsidR="00D06B15" w:rsidRDefault="00D06B15">
      <w:pPr>
        <w:pStyle w:val="Body"/>
        <w:spacing w:after="0"/>
        <w:rPr>
          <w:rFonts w:ascii="Arial" w:hAnsi="Arial" w:cs="Arial"/>
          <w:i/>
        </w:rPr>
      </w:pPr>
    </w:p>
    <w:p w14:paraId="0A7EFF2D" w14:textId="77777777" w:rsidR="00D06B15" w:rsidRDefault="003761A6">
      <w:pPr>
        <w:pStyle w:val="AbstHead"/>
        <w:spacing w:after="0"/>
        <w:jc w:val="both"/>
        <w:rPr>
          <w:rFonts w:ascii="Arial" w:hAnsi="Arial" w:cs="Arial"/>
        </w:rPr>
      </w:pPr>
      <w:r>
        <w:rPr>
          <w:rFonts w:ascii="Arial" w:hAnsi="Arial" w:cs="Arial"/>
        </w:rPr>
        <w:lastRenderedPageBreak/>
        <w:t>1. INTRODUCTION</w:t>
      </w:r>
    </w:p>
    <w:p w14:paraId="45101EB7" w14:textId="77777777" w:rsidR="00D06B15" w:rsidRDefault="00D06B15">
      <w:pPr>
        <w:pStyle w:val="AbstHead"/>
        <w:spacing w:after="0"/>
        <w:jc w:val="both"/>
        <w:rPr>
          <w:rFonts w:ascii="Arial" w:hAnsi="Arial" w:cs="Arial"/>
        </w:rPr>
      </w:pPr>
    </w:p>
    <w:p w14:paraId="16772342" w14:textId="77777777" w:rsidR="00D06B15" w:rsidRDefault="003761A6">
      <w:pPr>
        <w:pStyle w:val="Body"/>
        <w:spacing w:after="0"/>
        <w:rPr>
          <w:rFonts w:ascii="Arial" w:hAnsi="Arial"/>
        </w:rPr>
      </w:pPr>
      <w:r>
        <w:rPr>
          <w:rFonts w:ascii="Arial" w:hAnsi="Arial"/>
        </w:rPr>
        <w:t>In recent decades, there have been a rapidly growing global generation of solid waste due to accelerated urbanization, population growth, and altered patterns of consumption. Municipal solid waste (MSW) has come to constitute a primary environmental, public-health and governance issue in cities worldwide: uncontrolled waste is a contributor to water and soil pollution, air pollution (via open burning), greenhouse gases (via decomposition), disease vectors, and poor urban livability (Pires et al., 2019). On an international scale, concepts like the Sustainable Development Goals (more particularly SDG 11 on sustainable cities and SDG 12 on sustainable consumption and production) and rising international interest in the circular economy highlight the importance of designing coherent, resource-efficient systems of waste management that focus on waste prevention, reuse, recycling and safe disposal (UNEP, 2019).</w:t>
      </w:r>
    </w:p>
    <w:p w14:paraId="7390471B" w14:textId="77777777" w:rsidR="00D06B15" w:rsidRDefault="00D06B15">
      <w:pPr>
        <w:pStyle w:val="Body"/>
        <w:spacing w:after="0"/>
        <w:rPr>
          <w:rFonts w:ascii="Arial" w:hAnsi="Arial"/>
        </w:rPr>
      </w:pPr>
    </w:p>
    <w:p w14:paraId="0104D67E" w14:textId="77777777" w:rsidR="00D06B15" w:rsidRDefault="003761A6">
      <w:pPr>
        <w:pStyle w:val="Body"/>
        <w:spacing w:after="0"/>
        <w:rPr>
          <w:rFonts w:ascii="Arial" w:hAnsi="Arial"/>
        </w:rPr>
      </w:pPr>
      <w:r>
        <w:rPr>
          <w:rFonts w:ascii="Arial" w:hAnsi="Arial"/>
        </w:rPr>
        <w:t>Many low- and middle-income African nations operate at the regional level with acute challenges in translating global commitments into local practice. Sub-Saharan Africa has achieved rapid urban growth faster than investment in waste infrastructure and institutional capacity, resulting in massive coverage gaps in regular collection and environmentally approved disposal (Das et al., 2019). Parallel studies across the region identify recurrent issues: patchy policy frameworks, weak implementation, low funding, exclusion of informal actors in the waste sector, and poor community participation. These limitations limit the capacity of municipalities to transition out of linear disposal-intensive strategies to more sustainable, cyclic models that reclaim value in waste and safeguard human health (Mule, 2013).</w:t>
      </w:r>
    </w:p>
    <w:p w14:paraId="31A540AB" w14:textId="77777777" w:rsidR="00D06B15" w:rsidRDefault="00D06B15">
      <w:pPr>
        <w:pStyle w:val="Body"/>
        <w:spacing w:after="0"/>
        <w:rPr>
          <w:rFonts w:ascii="Arial" w:hAnsi="Arial"/>
        </w:rPr>
      </w:pPr>
    </w:p>
    <w:p w14:paraId="2BAEAFFF" w14:textId="77777777" w:rsidR="00D06B15" w:rsidRDefault="003761A6">
      <w:pPr>
        <w:pStyle w:val="Body"/>
        <w:spacing w:after="0"/>
        <w:rPr>
          <w:rFonts w:ascii="Arial" w:hAnsi="Arial"/>
        </w:rPr>
      </w:pPr>
      <w:r>
        <w:rPr>
          <w:rFonts w:ascii="Arial" w:hAnsi="Arial"/>
        </w:rPr>
        <w:t>The governance structures and city-building patterns in Kenya resonate and amplify these regional dynamics. Devolution has placed county and municipal governments in charge of municipal services such as solid waste management, yet most local authorities grapple with tight budget allocations, small technical capacity, and confusion on sharing roles between national and sub-national institutions (Mule, 2013). In Kenya, the policy documents and sector reviews underline challenges such as ineffective implementation of by-laws, ineffective cost-recovery and ineffective revenue collection of services, ineffective waste segregation at the source, and inadequate formal collaboration with informal recyclers (Oguge, 2019). Such omissions compromise national objectives of environmental protection, community health, and climate resilience, and place sustainable SWM as a long-standing local government issue.</w:t>
      </w:r>
    </w:p>
    <w:p w14:paraId="67A2A0BD" w14:textId="77777777" w:rsidR="00D06B15" w:rsidRDefault="00D06B15">
      <w:pPr>
        <w:pStyle w:val="Body"/>
        <w:spacing w:after="0"/>
        <w:rPr>
          <w:rFonts w:ascii="Arial" w:hAnsi="Arial"/>
        </w:rPr>
      </w:pPr>
    </w:p>
    <w:p w14:paraId="64FD65B6" w14:textId="77777777" w:rsidR="00D06B15" w:rsidRDefault="003761A6">
      <w:pPr>
        <w:pStyle w:val="Body"/>
        <w:spacing w:after="0"/>
        <w:rPr>
          <w:rFonts w:ascii="Arial" w:hAnsi="Arial"/>
        </w:rPr>
      </w:pPr>
      <w:r>
        <w:rPr>
          <w:rFonts w:ascii="Arial" w:hAnsi="Arial"/>
        </w:rPr>
        <w:t>The example of Garissa Township shows how these national and regional issues manifest at the local level. As an urban center in the arid and semi-arid north of Kenya, Garissa experiences context-specific pressures: fast urban population growth, poor municipal budgets, inadequate waste collection fleet and city infrastructure, and dependence on informal, especially informal, collection and recycling actors (NEMA, 2019). The observed trends include unsynchronized collection schedules, open dumping, burning waste, and no systematic source sorting, reflecting operation and governance gaps lowering environmental quality and posing health risks, especially to waste workers and low-income neighborhoods (Wong et al., 2016). Additionally, the interaction of municipal plans, county resource allocation and community behaviours demonstrate inconsistencies and overlaps in policy implementation, which are worth systematic exploration.</w:t>
      </w:r>
    </w:p>
    <w:p w14:paraId="6833E09D" w14:textId="77777777" w:rsidR="00D06B15" w:rsidRDefault="00D06B15">
      <w:pPr>
        <w:pStyle w:val="Body"/>
        <w:spacing w:after="0"/>
        <w:rPr>
          <w:rFonts w:ascii="Arial" w:hAnsi="Arial"/>
        </w:rPr>
      </w:pPr>
    </w:p>
    <w:p w14:paraId="293CDDA6" w14:textId="77777777" w:rsidR="00D06B15" w:rsidRDefault="00D06B15">
      <w:pPr>
        <w:pStyle w:val="Body"/>
        <w:spacing w:after="0"/>
        <w:rPr>
          <w:rFonts w:ascii="Arial" w:hAnsi="Arial" w:cs="Arial"/>
        </w:rPr>
      </w:pPr>
    </w:p>
    <w:p w14:paraId="1F0FF163" w14:textId="77777777" w:rsidR="00D06B15" w:rsidRDefault="003761A6">
      <w:pPr>
        <w:pStyle w:val="AbstHead"/>
        <w:spacing w:after="0"/>
        <w:jc w:val="both"/>
        <w:rPr>
          <w:rFonts w:ascii="Arial" w:hAnsi="Arial" w:cs="Arial"/>
        </w:rPr>
      </w:pPr>
      <w:r>
        <w:rPr>
          <w:rFonts w:ascii="Arial" w:hAnsi="Arial" w:cs="Arial"/>
        </w:rPr>
        <w:t xml:space="preserve">2. methodology </w:t>
      </w:r>
    </w:p>
    <w:p w14:paraId="41AC32C4" w14:textId="77777777" w:rsidR="00D06B15" w:rsidRDefault="00D06B15">
      <w:pPr>
        <w:pStyle w:val="AbstHead"/>
        <w:spacing w:after="0"/>
        <w:jc w:val="both"/>
        <w:rPr>
          <w:rFonts w:ascii="Arial" w:hAnsi="Arial" w:cs="Arial"/>
        </w:rPr>
      </w:pPr>
    </w:p>
    <w:p w14:paraId="06244DD7" w14:textId="77777777" w:rsidR="00D06B15" w:rsidRDefault="003761A6">
      <w:pPr>
        <w:pStyle w:val="Body"/>
        <w:spacing w:after="0"/>
        <w:rPr>
          <w:rFonts w:ascii="Arial" w:hAnsi="Arial"/>
        </w:rPr>
      </w:pPr>
      <w:r>
        <w:rPr>
          <w:rFonts w:ascii="Arial" w:hAnsi="Arial"/>
          <w:b/>
          <w:bCs/>
        </w:rPr>
        <w:t>2.1 Research design</w:t>
      </w:r>
    </w:p>
    <w:p w14:paraId="39CAF345" w14:textId="77777777" w:rsidR="00D06B15" w:rsidRDefault="00D06B15">
      <w:pPr>
        <w:pStyle w:val="Body"/>
        <w:spacing w:after="0"/>
        <w:rPr>
          <w:rFonts w:ascii="Arial" w:hAnsi="Arial"/>
        </w:rPr>
      </w:pPr>
    </w:p>
    <w:p w14:paraId="39E36074" w14:textId="77777777" w:rsidR="00D06B15" w:rsidRDefault="003761A6">
      <w:pPr>
        <w:pStyle w:val="Body"/>
        <w:spacing w:after="0"/>
        <w:rPr>
          <w:rFonts w:ascii="Arial" w:hAnsi="Arial"/>
        </w:rPr>
      </w:pPr>
      <w:r>
        <w:rPr>
          <w:rFonts w:ascii="Arial" w:hAnsi="Arial"/>
        </w:rPr>
        <w:t>This research utilized a mixed-methods research design, which combined both qualitative and quantitative strategies to offer a holistic approach to policy gaps and governance issues in solid waste management. This design involved gathering both numerical and qualitative information including waste production patterns, service coverage, and institutional performance parameters, coupled with qualitative information attained through interviews, policy document scrutiny, and consultations with stakeholders. The mixed-methods design fits best since sustainable waste management is a technical problem as well as a governance issue; integrating empirical evidence with the perceptions of stakeholders enables a richer analysis of the institutional capacity, policy implementation, and community experiences, which ultimately yielded more robust and context-specific results (Creswell &amp; Creswell, 2018).</w:t>
      </w:r>
    </w:p>
    <w:p w14:paraId="62F8196E" w14:textId="77777777" w:rsidR="00D06B15" w:rsidRDefault="00D06B15">
      <w:pPr>
        <w:pStyle w:val="Body"/>
        <w:spacing w:after="0"/>
        <w:rPr>
          <w:rFonts w:ascii="Arial" w:hAnsi="Arial"/>
        </w:rPr>
      </w:pPr>
    </w:p>
    <w:p w14:paraId="62F48240" w14:textId="77777777" w:rsidR="00D06B15" w:rsidRDefault="003761A6">
      <w:pPr>
        <w:pStyle w:val="Body"/>
        <w:spacing w:after="0"/>
        <w:rPr>
          <w:rFonts w:ascii="Arial" w:hAnsi="Arial"/>
          <w:b/>
          <w:bCs/>
        </w:rPr>
      </w:pPr>
      <w:r>
        <w:rPr>
          <w:rFonts w:ascii="Arial" w:hAnsi="Arial"/>
          <w:b/>
          <w:bCs/>
        </w:rPr>
        <w:t xml:space="preserve">2.2 Location of the Study </w:t>
      </w:r>
    </w:p>
    <w:p w14:paraId="5935C3AA" w14:textId="77777777" w:rsidR="00D06B15" w:rsidRDefault="00D06B15">
      <w:pPr>
        <w:pStyle w:val="Body"/>
        <w:spacing w:after="0"/>
        <w:rPr>
          <w:rFonts w:ascii="Arial" w:hAnsi="Arial"/>
          <w:b/>
          <w:bCs/>
        </w:rPr>
      </w:pPr>
    </w:p>
    <w:p w14:paraId="7EA0389B" w14:textId="6A358F89" w:rsidR="00D06B15" w:rsidRDefault="003761A6">
      <w:pPr>
        <w:pStyle w:val="Body"/>
        <w:spacing w:after="0"/>
        <w:rPr>
          <w:rFonts w:ascii="Arial" w:hAnsi="Arial"/>
        </w:rPr>
      </w:pPr>
      <w:r>
        <w:rPr>
          <w:rFonts w:ascii="Arial" w:hAnsi="Arial"/>
        </w:rPr>
        <w:t xml:space="preserve">The study was conducted in Garissa Township, focusing on the four administrative wards of Iftin, Township, Galbet, and Waberi in Garissa County, northeastern Kenya. These areas represent key residential, commercial, and institutional zones facing diverse waste management challenges. The research covered the period from </w:t>
      </w:r>
      <w:r w:rsidR="005F5C94">
        <w:rPr>
          <w:rFonts w:ascii="Arial" w:hAnsi="Arial"/>
        </w:rPr>
        <w:t>April</w:t>
      </w:r>
      <w:r>
        <w:rPr>
          <w:rFonts w:ascii="Arial" w:hAnsi="Arial"/>
        </w:rPr>
        <w:t xml:space="preserve"> to </w:t>
      </w:r>
      <w:r w:rsidR="005F5C94">
        <w:rPr>
          <w:rFonts w:ascii="Arial" w:hAnsi="Arial"/>
        </w:rPr>
        <w:t xml:space="preserve">September </w:t>
      </w:r>
      <w:r>
        <w:rPr>
          <w:rFonts w:ascii="Arial" w:hAnsi="Arial"/>
        </w:rPr>
        <w:t>2019, providing a comprehensive view of policy and governance dynamics in solid waste management during this timeframe. The study area was particularly significant because it faces persistent issues related to inadequate waste infrastructure, weak enforcement of environmental regulations, and limited institutional capacity, making it an ideal context for examining policy gaps and governance challenges in sustainable solid waste management (NEMA, 2018).</w:t>
      </w:r>
    </w:p>
    <w:p w14:paraId="63A88911" w14:textId="77777777" w:rsidR="00D06B15" w:rsidRDefault="00D06B15">
      <w:pPr>
        <w:pStyle w:val="Body"/>
        <w:spacing w:after="0"/>
        <w:rPr>
          <w:rFonts w:ascii="Arial" w:hAnsi="Arial"/>
        </w:rPr>
      </w:pPr>
    </w:p>
    <w:p w14:paraId="539F4DA1" w14:textId="77777777" w:rsidR="00D06B15" w:rsidRDefault="003761A6">
      <w:pPr>
        <w:pStyle w:val="Body"/>
        <w:spacing w:after="0"/>
        <w:rPr>
          <w:rFonts w:ascii="Arial" w:hAnsi="Arial"/>
          <w:b/>
          <w:bCs/>
        </w:rPr>
      </w:pPr>
      <w:r>
        <w:rPr>
          <w:rFonts w:ascii="Arial" w:hAnsi="Arial"/>
          <w:b/>
          <w:bCs/>
        </w:rPr>
        <w:t>2.3 Target Population</w:t>
      </w:r>
    </w:p>
    <w:p w14:paraId="21720E61" w14:textId="77777777" w:rsidR="00D06B15" w:rsidRDefault="00D06B15">
      <w:pPr>
        <w:pStyle w:val="Body"/>
        <w:spacing w:after="0"/>
        <w:rPr>
          <w:rFonts w:ascii="Arial" w:hAnsi="Arial"/>
        </w:rPr>
      </w:pPr>
    </w:p>
    <w:p w14:paraId="2F9E6081" w14:textId="0DEB3735" w:rsidR="00D06B15" w:rsidRDefault="003761A6">
      <w:pPr>
        <w:pStyle w:val="Body"/>
        <w:spacing w:after="0"/>
        <w:rPr>
          <w:rFonts w:ascii="Arial" w:hAnsi="Arial"/>
        </w:rPr>
      </w:pPr>
      <w:r>
        <w:rPr>
          <w:rFonts w:ascii="Arial" w:hAnsi="Arial"/>
        </w:rPr>
        <w:t xml:space="preserve">The target population included all stakeholders involved in solid waste management in Garissa Township. This comprised officials from the County Department of Environment, </w:t>
      </w:r>
      <w:r w:rsidR="0084555F">
        <w:rPr>
          <w:rFonts w:ascii="Arial" w:hAnsi="Arial"/>
        </w:rPr>
        <w:t>Municipal Waste Management Staff</w:t>
      </w:r>
      <w:r>
        <w:rPr>
          <w:rFonts w:ascii="Arial" w:hAnsi="Arial"/>
        </w:rPr>
        <w:t>, employees of waste collection and recycling companies, community leaders, and local residents across the four administrative wards of Iftin, Township, Galbet, and Waberi. Including diverse participants ensures the study captures both institutional and community perspectives on policy implementation, governance structures, and challenges affecting sustainable solid waste management.</w:t>
      </w:r>
    </w:p>
    <w:p w14:paraId="69E8F05B" w14:textId="77777777" w:rsidR="00D06B15" w:rsidRDefault="00D06B15">
      <w:pPr>
        <w:pStyle w:val="Body"/>
        <w:spacing w:after="0"/>
        <w:rPr>
          <w:rFonts w:ascii="Arial" w:hAnsi="Arial"/>
        </w:rPr>
      </w:pPr>
    </w:p>
    <w:p w14:paraId="2859B571" w14:textId="77777777" w:rsidR="00D06B15" w:rsidRDefault="003761A6">
      <w:pPr>
        <w:pStyle w:val="Body"/>
        <w:spacing w:after="0"/>
        <w:rPr>
          <w:rFonts w:ascii="Arial" w:hAnsi="Arial"/>
        </w:rPr>
      </w:pPr>
      <w:r>
        <w:rPr>
          <w:rFonts w:ascii="Arial" w:hAnsi="Arial"/>
          <w:b/>
          <w:bCs/>
        </w:rPr>
        <w:t>2.4 Sampling</w:t>
      </w:r>
    </w:p>
    <w:p w14:paraId="1492767D" w14:textId="77777777" w:rsidR="00D06B15" w:rsidRDefault="00D06B15">
      <w:pPr>
        <w:pStyle w:val="Body"/>
        <w:spacing w:after="0"/>
        <w:rPr>
          <w:rFonts w:ascii="Arial" w:hAnsi="Arial"/>
        </w:rPr>
      </w:pPr>
    </w:p>
    <w:p w14:paraId="51D842FF" w14:textId="77777777" w:rsidR="00D06B15" w:rsidRDefault="003761A6">
      <w:pPr>
        <w:pStyle w:val="Body"/>
        <w:spacing w:after="0"/>
        <w:rPr>
          <w:rFonts w:ascii="Arial" w:hAnsi="Arial"/>
        </w:rPr>
      </w:pPr>
      <w:r>
        <w:rPr>
          <w:rFonts w:ascii="Arial" w:hAnsi="Arial"/>
        </w:rPr>
        <w:t>The research employed a mix of stratified and purposive sampling. The purposive method was used to select key informants who have specialized knowledge and direct involvement in solid waste management such as County Department of Environment officials, municipal waste management workers, waste collection and recycling company managers, and community leaders. Then stratified sampling was used to categorize respondents in three main groups: government agencies, private operators, and households, with sufficient representation of each group in four administrative wards of Iftin, Township, Galbet, and Waberi.</w:t>
      </w:r>
    </w:p>
    <w:p w14:paraId="708F0334" w14:textId="77777777" w:rsidR="00D06B15" w:rsidRDefault="00D06B15">
      <w:pPr>
        <w:pStyle w:val="Body"/>
        <w:spacing w:after="0"/>
        <w:rPr>
          <w:rFonts w:ascii="Arial" w:hAnsi="Arial"/>
        </w:rPr>
      </w:pPr>
    </w:p>
    <w:p w14:paraId="397AE88A" w14:textId="77777777" w:rsidR="00D06B15" w:rsidRDefault="003761A6">
      <w:pPr>
        <w:pStyle w:val="Body"/>
        <w:spacing w:after="0"/>
        <w:rPr>
          <w:rFonts w:ascii="Arial" w:hAnsi="Arial"/>
        </w:rPr>
      </w:pPr>
      <w:r>
        <w:rPr>
          <w:rFonts w:ascii="Arial" w:hAnsi="Arial"/>
        </w:rPr>
        <w:t>In the household category, the sample size was calculated using the 2019 projected population of the Garissa Township of around 60,000 people and the average household size of 5.9 people per household, which equals about 10,170 households. Using the average household size of 5.9 persons per household, the total estimated number of households was calculated as:</w:t>
      </w:r>
    </w:p>
    <w:p w14:paraId="3B37B958" w14:textId="77777777" w:rsidR="00D06B15" w:rsidRDefault="00D06B15">
      <w:pPr>
        <w:pStyle w:val="Body"/>
        <w:spacing w:after="0"/>
        <w:rPr>
          <w:rFonts w:ascii="Arial" w:hAnsi="Arial"/>
        </w:rPr>
      </w:pPr>
    </w:p>
    <w:p w14:paraId="63CE3C2F" w14:textId="77777777" w:rsidR="00D06B15" w:rsidRDefault="003761A6">
      <w:pPr>
        <w:pStyle w:val="Body"/>
        <w:spacing w:after="0"/>
        <w:rPr>
          <w:rFonts w:ascii="Arial" w:hAnsi="Arial"/>
        </w:rPr>
      </w:pPr>
      <w:r>
        <w:rPr>
          <w:noProof/>
        </w:rPr>
        <w:drawing>
          <wp:inline distT="0" distB="0" distL="114300" distR="114300" wp14:anchorId="354FA08B" wp14:editId="4ACEB828">
            <wp:extent cx="4198620" cy="54864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a:stretch>
                      <a:fillRect/>
                    </a:stretch>
                  </pic:blipFill>
                  <pic:spPr>
                    <a:xfrm>
                      <a:off x="0" y="0"/>
                      <a:ext cx="4198620" cy="548640"/>
                    </a:xfrm>
                    <a:prstGeom prst="rect">
                      <a:avLst/>
                    </a:prstGeom>
                    <a:noFill/>
                    <a:ln>
                      <a:noFill/>
                    </a:ln>
                  </pic:spPr>
                </pic:pic>
              </a:graphicData>
            </a:graphic>
          </wp:inline>
        </w:drawing>
      </w:r>
    </w:p>
    <w:p w14:paraId="79E7C165" w14:textId="77777777" w:rsidR="00D06B15" w:rsidRDefault="00D06B15">
      <w:pPr>
        <w:pStyle w:val="Body"/>
        <w:spacing w:after="0"/>
        <w:rPr>
          <w:rFonts w:ascii="Arial" w:hAnsi="Arial"/>
        </w:rPr>
      </w:pPr>
    </w:p>
    <w:p w14:paraId="4AF3363A" w14:textId="77777777" w:rsidR="00D06B15" w:rsidRDefault="00D06B15">
      <w:pPr>
        <w:pStyle w:val="Body"/>
        <w:spacing w:after="0"/>
        <w:rPr>
          <w:rFonts w:ascii="Arial" w:hAnsi="Arial"/>
        </w:rPr>
      </w:pPr>
    </w:p>
    <w:p w14:paraId="6F7436B2" w14:textId="77777777" w:rsidR="00D06B15" w:rsidRDefault="003761A6">
      <w:pPr>
        <w:pStyle w:val="Body"/>
        <w:spacing w:after="0"/>
      </w:pPr>
      <w:r>
        <w:rPr>
          <w:noProof/>
        </w:rPr>
        <w:drawing>
          <wp:inline distT="0" distB="0" distL="114300" distR="114300" wp14:anchorId="777BB131" wp14:editId="5F499CC2">
            <wp:extent cx="5209540" cy="2467610"/>
            <wp:effectExtent l="0" t="0" r="254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5209540" cy="2467610"/>
                    </a:xfrm>
                    <a:prstGeom prst="rect">
                      <a:avLst/>
                    </a:prstGeom>
                    <a:noFill/>
                    <a:ln>
                      <a:noFill/>
                    </a:ln>
                  </pic:spPr>
                </pic:pic>
              </a:graphicData>
            </a:graphic>
          </wp:inline>
        </w:drawing>
      </w:r>
    </w:p>
    <w:p w14:paraId="58632C85" w14:textId="77777777" w:rsidR="00D06B15" w:rsidRDefault="003761A6">
      <w:pPr>
        <w:pStyle w:val="Body"/>
        <w:spacing w:after="0"/>
      </w:pPr>
      <w:r>
        <w:t>The initial computed sample size was approximately 384 households. Considering logistical feasibility and expected non-response during fieldwork, the value was conservatively adjusted to 380 households. This sample size still meets the statistical requirements for representativeness and provides sufficient power for reliable estimation of household perceptions, policy gaps, and governance challenges in sustainable solid waste management in Garissa Township.</w:t>
      </w:r>
    </w:p>
    <w:p w14:paraId="6FAFCCD8" w14:textId="77777777" w:rsidR="00D06B15" w:rsidRDefault="00D06B15">
      <w:pPr>
        <w:pStyle w:val="Body"/>
        <w:spacing w:after="0"/>
      </w:pPr>
    </w:p>
    <w:p w14:paraId="46527534" w14:textId="77777777" w:rsidR="00D06B15" w:rsidRDefault="003761A6">
      <w:pPr>
        <w:pStyle w:val="Body"/>
        <w:spacing w:after="0"/>
        <w:rPr>
          <w:rFonts w:ascii="Arial" w:hAnsi="Arial"/>
        </w:rPr>
      </w:pPr>
      <w:r>
        <w:t>The use of Cochran’s formula ensured that the selected sample was proportionately reflective of the approximately 10,170 households in the study area, thereby enhancing the validity and generalizability of the findings.</w:t>
      </w:r>
    </w:p>
    <w:p w14:paraId="646713BF" w14:textId="77777777" w:rsidR="00D06B15" w:rsidRDefault="003761A6">
      <w:pPr>
        <w:pStyle w:val="Body"/>
        <w:spacing w:after="0"/>
        <w:rPr>
          <w:rFonts w:ascii="Arial" w:hAnsi="Arial"/>
        </w:rPr>
      </w:pPr>
      <w:r>
        <w:rPr>
          <w:rFonts w:ascii="Arial" w:hAnsi="Arial"/>
        </w:rPr>
        <w:t>The allotment of respondents broke down to about 60 government agencies, 40 private operators, and 380 households. This sampling approach offered a proportionate representation of the various stakeholder groups, including institutional and community viewpoints to policy gaps, form of governance, and difficulties in the sustainable management of solid waste.</w:t>
      </w:r>
    </w:p>
    <w:p w14:paraId="616D67A4" w14:textId="77777777" w:rsidR="00D06B15" w:rsidRDefault="00D06B15">
      <w:pPr>
        <w:pStyle w:val="Body"/>
        <w:spacing w:after="0"/>
        <w:rPr>
          <w:rFonts w:ascii="Arial" w:hAnsi="Arial"/>
        </w:rPr>
      </w:pPr>
    </w:p>
    <w:p w14:paraId="3D2DF5F0" w14:textId="77777777" w:rsidR="00D06B15" w:rsidRDefault="003761A6">
      <w:pPr>
        <w:pStyle w:val="Body"/>
        <w:spacing w:after="0"/>
        <w:rPr>
          <w:rFonts w:ascii="Arial" w:hAnsi="Arial"/>
          <w:b/>
          <w:bCs/>
        </w:rPr>
      </w:pPr>
      <w:r>
        <w:rPr>
          <w:rFonts w:ascii="Arial" w:hAnsi="Arial"/>
          <w:b/>
          <w:bCs/>
        </w:rPr>
        <w:t>2.5 Data collection instruments and procedure</w:t>
      </w:r>
    </w:p>
    <w:p w14:paraId="2740DF97" w14:textId="77777777" w:rsidR="00D06B15" w:rsidRDefault="00D06B15">
      <w:pPr>
        <w:pStyle w:val="Body"/>
        <w:spacing w:after="0"/>
        <w:rPr>
          <w:rFonts w:ascii="Arial" w:hAnsi="Arial"/>
          <w:b/>
          <w:bCs/>
        </w:rPr>
      </w:pPr>
    </w:p>
    <w:p w14:paraId="7ECE70CE" w14:textId="77777777" w:rsidR="00D06B15" w:rsidRDefault="003761A6">
      <w:pPr>
        <w:pStyle w:val="Body"/>
        <w:spacing w:after="0"/>
        <w:rPr>
          <w:rFonts w:ascii="Arial" w:hAnsi="Arial"/>
        </w:rPr>
      </w:pPr>
      <w:r>
        <w:rPr>
          <w:rFonts w:ascii="Arial" w:hAnsi="Arial"/>
        </w:rPr>
        <w:t>Data for this study were collected using a combination of structured questionnaires, semi-structured interview guides, and document review checklists. Questionnaires were administered to household respondents to capture quantitative data on waste management practices, awareness of policies, and perceived governance challenges. Semi-structured interviews were conducted with key informants, including government officials, municipal staff, waste company managers, and community leaders, to obtain qualitative insights on policy implementation, institutional capacity, and coordination mechanisms. Additionally, relevant policy documents, bylaws, and institutional reports were reviewed to assess existing regulatory frameworks and identify policy gaps. Data collection was carried out over a period of four weeks, with trained research assistants guiding respondents through the instruments to ensure accuracy, consistency, and completeness of the information gathered.</w:t>
      </w:r>
    </w:p>
    <w:p w14:paraId="50CA7D94" w14:textId="77777777" w:rsidR="00D06B15" w:rsidRDefault="00D06B15">
      <w:pPr>
        <w:pStyle w:val="Body"/>
        <w:spacing w:after="0"/>
        <w:rPr>
          <w:rFonts w:ascii="Arial" w:hAnsi="Arial"/>
        </w:rPr>
      </w:pPr>
    </w:p>
    <w:p w14:paraId="03408297" w14:textId="77777777" w:rsidR="00D06B15" w:rsidRDefault="003761A6">
      <w:pPr>
        <w:pStyle w:val="Body"/>
        <w:spacing w:after="0"/>
        <w:rPr>
          <w:rFonts w:ascii="Arial" w:hAnsi="Arial"/>
          <w:b/>
          <w:bCs/>
        </w:rPr>
      </w:pPr>
      <w:r>
        <w:rPr>
          <w:rFonts w:ascii="Arial" w:hAnsi="Arial"/>
          <w:b/>
          <w:bCs/>
        </w:rPr>
        <w:t>2.6 Data Management</w:t>
      </w:r>
    </w:p>
    <w:p w14:paraId="5CDE9CF1" w14:textId="77777777" w:rsidR="00D06B15" w:rsidRDefault="00D06B15">
      <w:pPr>
        <w:pStyle w:val="Body"/>
        <w:spacing w:after="0"/>
        <w:rPr>
          <w:rFonts w:ascii="Arial" w:hAnsi="Arial"/>
        </w:rPr>
      </w:pPr>
    </w:p>
    <w:p w14:paraId="6337AB55" w14:textId="77777777" w:rsidR="00D06B15" w:rsidRDefault="003761A6">
      <w:pPr>
        <w:pStyle w:val="Body"/>
        <w:spacing w:after="0"/>
        <w:rPr>
          <w:rFonts w:ascii="Arial" w:hAnsi="Arial"/>
        </w:rPr>
      </w:pPr>
      <w:r>
        <w:rPr>
          <w:rFonts w:ascii="Arial" w:hAnsi="Arial"/>
        </w:rPr>
        <w:t>Collected data were systematically organized, coded by assigning numerical values to each response category, including Likert-scale items that measured perceptions on policy effectiveness, institutional capacity, enforcement mechanisms, and community participation. The coded data were subsequently entered into SPSS Version 30, where additional data cleaning procedures such as range checks, consistency checks, and identification of missing values were performed to eliminate errors and ensure internal validity. Thereafter, the quantitative analysis, while qualitative data from interviews and document reviews were transcribed and thematically analyzed. All datasets were securely stored on password-protected devices to ensure confidentiality and integrity. Data cleaning and validation were conducted to remove inconsistencies and errors. Proper data management ensured that the findings were accurate, reliable, and could be effectively used to assess policy gaps and governance challenges in solid waste management in Garissa Township.</w:t>
      </w:r>
    </w:p>
    <w:p w14:paraId="69B4CE4B" w14:textId="77777777" w:rsidR="00D06B15" w:rsidRDefault="00D06B15">
      <w:pPr>
        <w:pStyle w:val="Body"/>
        <w:spacing w:after="0"/>
        <w:rPr>
          <w:rFonts w:ascii="Arial" w:hAnsi="Arial"/>
        </w:rPr>
      </w:pPr>
    </w:p>
    <w:p w14:paraId="585AFB18" w14:textId="77777777" w:rsidR="00D06B15" w:rsidRDefault="00D06B15">
      <w:pPr>
        <w:pStyle w:val="Body"/>
        <w:spacing w:after="0"/>
        <w:rPr>
          <w:rFonts w:ascii="Arial" w:hAnsi="Arial" w:cs="Arial"/>
        </w:rPr>
      </w:pPr>
    </w:p>
    <w:p w14:paraId="355FBE7B" w14:textId="77777777" w:rsidR="00D06B15" w:rsidRDefault="003761A6">
      <w:pPr>
        <w:pStyle w:val="Head1"/>
        <w:spacing w:after="0"/>
        <w:jc w:val="both"/>
        <w:rPr>
          <w:rFonts w:ascii="Arial" w:hAnsi="Arial" w:cs="Arial"/>
        </w:rPr>
      </w:pPr>
      <w:r>
        <w:rPr>
          <w:rFonts w:ascii="Arial" w:hAnsi="Arial" w:cs="Arial"/>
        </w:rPr>
        <w:t>3. results and discussion</w:t>
      </w:r>
    </w:p>
    <w:p w14:paraId="351B4AB4" w14:textId="77777777" w:rsidR="00D06B15" w:rsidRDefault="00D06B15">
      <w:pPr>
        <w:pStyle w:val="Head1"/>
        <w:spacing w:after="0"/>
        <w:jc w:val="both"/>
        <w:rPr>
          <w:rFonts w:ascii="Arial" w:hAnsi="Arial" w:cs="Arial"/>
          <w:b w:val="0"/>
          <w:bCs/>
        </w:rPr>
      </w:pPr>
    </w:p>
    <w:p w14:paraId="730DA2F2" w14:textId="77777777" w:rsidR="00D06B15" w:rsidRDefault="003761A6">
      <w:pPr>
        <w:pStyle w:val="Body"/>
        <w:spacing w:after="0"/>
        <w:rPr>
          <w:rFonts w:ascii="Arial" w:hAnsi="Arial"/>
          <w:b/>
          <w:bCs/>
        </w:rPr>
      </w:pPr>
      <w:r>
        <w:rPr>
          <w:rFonts w:ascii="Arial" w:hAnsi="Arial"/>
          <w:b/>
          <w:bCs/>
        </w:rPr>
        <w:t>2.1 Response Rate</w:t>
      </w:r>
    </w:p>
    <w:p w14:paraId="6D3109A9" w14:textId="77777777" w:rsidR="00D06B15" w:rsidRDefault="00D06B15">
      <w:pPr>
        <w:pStyle w:val="Body"/>
        <w:spacing w:after="0"/>
        <w:rPr>
          <w:rFonts w:ascii="Arial" w:hAnsi="Arial"/>
        </w:rPr>
      </w:pPr>
    </w:p>
    <w:p w14:paraId="0D4C7A08" w14:textId="77777777" w:rsidR="00D06B15" w:rsidRDefault="003761A6">
      <w:pPr>
        <w:pStyle w:val="Body"/>
        <w:spacing w:after="0"/>
        <w:rPr>
          <w:rFonts w:ascii="Arial" w:hAnsi="Arial"/>
        </w:rPr>
      </w:pPr>
      <w:r>
        <w:rPr>
          <w:rFonts w:ascii="Arial" w:hAnsi="Arial"/>
        </w:rPr>
        <w:t>Out of the total targeted respondents, data were successfully collected from 476 participants, comprising 60 government officials, 40 private operators, and 376 households. This represents a response rate of 99% for the household category and over 95% for the institutional categories. The high response rate was achieved through prior engagement with local authorities, community leaders, and scheduling flexibility for interviews. Such robust participation ensures that the findings reliably reflect the perspectives of all key stakeholder groups involved in solid waste management in Garissa Township. Out of a targeted population of 330 participants—317 responded, yielding a 96.1% response rate.</w:t>
      </w:r>
    </w:p>
    <w:p w14:paraId="49F22C18" w14:textId="77777777" w:rsidR="00D06B15" w:rsidRDefault="00D06B15">
      <w:pPr>
        <w:pStyle w:val="Body"/>
        <w:spacing w:after="0"/>
        <w:rPr>
          <w:rFonts w:ascii="Arial" w:hAnsi="Arial"/>
        </w:rPr>
      </w:pPr>
    </w:p>
    <w:p w14:paraId="6A926E7B" w14:textId="77777777" w:rsidR="00D06B15" w:rsidRDefault="003761A6">
      <w:pPr>
        <w:pStyle w:val="Body"/>
        <w:spacing w:after="0"/>
        <w:rPr>
          <w:rFonts w:ascii="Arial" w:hAnsi="Arial"/>
          <w:b/>
          <w:bCs/>
        </w:rPr>
      </w:pPr>
      <w:r>
        <w:rPr>
          <w:rFonts w:ascii="Arial" w:hAnsi="Arial"/>
          <w:b/>
          <w:bCs/>
        </w:rPr>
        <w:t>2.2 Examination of Existing Policy and Regulatory Frameworks</w:t>
      </w:r>
    </w:p>
    <w:p w14:paraId="0EA555C1" w14:textId="77777777" w:rsidR="00D06B15" w:rsidRDefault="00D06B15">
      <w:pPr>
        <w:pStyle w:val="Body"/>
        <w:spacing w:after="0"/>
        <w:rPr>
          <w:rFonts w:ascii="Arial" w:hAnsi="Arial"/>
          <w:b/>
          <w:bCs/>
        </w:rPr>
      </w:pPr>
    </w:p>
    <w:p w14:paraId="77D78442" w14:textId="77777777" w:rsidR="00D06B15" w:rsidRDefault="003761A6">
      <w:pPr>
        <w:pStyle w:val="Body"/>
        <w:spacing w:after="0"/>
        <w:rPr>
          <w:rFonts w:ascii="Arial" w:hAnsi="Arial"/>
        </w:rPr>
      </w:pPr>
      <w:r>
        <w:rPr>
          <w:rFonts w:ascii="Arial" w:hAnsi="Arial"/>
        </w:rPr>
        <w:t>The study found that Garissa Township is governed by multiple policy and regulatory instruments for solid waste management. Key frameworks include the County Environmental Management Act, the NEMA Act, and municipal by-laws on waste collection and disposal. Most respondents were aware of these regulations, with 72% of municipal staff and 65% of community leaders acknowledging familiarity with the frameworks (Table 1).</w:t>
      </w:r>
    </w:p>
    <w:p w14:paraId="21F9CC31" w14:textId="77777777" w:rsidR="00D06B15" w:rsidRDefault="00D06B15">
      <w:pPr>
        <w:pStyle w:val="Body"/>
        <w:spacing w:after="0"/>
        <w:rPr>
          <w:rFonts w:ascii="Arial" w:hAnsi="Arial"/>
        </w:rPr>
      </w:pPr>
    </w:p>
    <w:p w14:paraId="071B4327" w14:textId="77777777" w:rsidR="00D06B15" w:rsidRDefault="003761A6">
      <w:pPr>
        <w:pStyle w:val="Body"/>
        <w:spacing w:after="0"/>
        <w:rPr>
          <w:rFonts w:ascii="Arial" w:hAnsi="Arial"/>
        </w:rPr>
      </w:pPr>
      <w:r>
        <w:rPr>
          <w:rFonts w:ascii="Arial" w:hAnsi="Arial"/>
        </w:rPr>
        <w:t>Despite this awareness, the extent of implementation was limited. Only 48% of municipal staff indicated that waste segregation and proper disposal guidelines were consistently enforced, while 60% of households reported irregular waste collection services. Qualitative interviews revealed challenges such as insufficient resources, weak monitoring, and lack of coordination between county departments and private operators, which hinder effective policy enforcement. Community leaders highlighted inconsistencies in service delivery, and residents reported reliance on informal disposal methods in response to irregular collection schedules.</w:t>
      </w:r>
    </w:p>
    <w:p w14:paraId="3BEBF05B" w14:textId="77777777" w:rsidR="00D06B15" w:rsidRDefault="00D06B15">
      <w:pPr>
        <w:pStyle w:val="Body"/>
        <w:spacing w:after="0"/>
        <w:rPr>
          <w:rFonts w:ascii="Arial" w:hAnsi="Arial"/>
        </w:rPr>
      </w:pPr>
    </w:p>
    <w:p w14:paraId="6570ADF2" w14:textId="4B723C2B" w:rsidR="00D06B15" w:rsidRDefault="003761A6">
      <w:pPr>
        <w:pStyle w:val="Body"/>
        <w:spacing w:after="0"/>
        <w:rPr>
          <w:rFonts w:ascii="Arial" w:hAnsi="Arial"/>
        </w:rPr>
      </w:pPr>
      <w:r>
        <w:rPr>
          <w:rFonts w:ascii="Arial" w:hAnsi="Arial"/>
        </w:rPr>
        <w:t xml:space="preserve">These findings indicate that while regulatory frameworks exist, their practical implementation remains inconsistent, undermining sustainable waste management outcomes. This observation aligns with Oguge (2019), who reported that in many developing urban centers, policy frameworks are often inadequately enforced due to resource constraints and weak institutional capacity. Similarly, UNEP (2019) notes that irregular waste collection and poor adherence to by-laws are common challenges in East African towns. </w:t>
      </w:r>
      <w:r w:rsidR="005F5C94">
        <w:rPr>
          <w:rFonts w:ascii="Arial" w:hAnsi="Arial"/>
        </w:rPr>
        <w:t>Triangulating</w:t>
      </w:r>
      <w:r>
        <w:rPr>
          <w:rFonts w:ascii="Arial" w:hAnsi="Arial"/>
        </w:rPr>
        <w:t xml:space="preserve"> the quantitative data with qualitative narratives underscores that policy existence alone does not guarantee effective solid waste management; enforcement mechanisms, institutional coordination, resource availability, and public engagement are critical for meaningful outcomes.</w:t>
      </w:r>
    </w:p>
    <w:p w14:paraId="2ECE036B" w14:textId="77777777" w:rsidR="00D06B15" w:rsidRDefault="00D06B15">
      <w:pPr>
        <w:pStyle w:val="Body"/>
        <w:spacing w:after="0"/>
        <w:rPr>
          <w:rFonts w:ascii="Arial" w:hAnsi="Arial"/>
        </w:rPr>
      </w:pPr>
    </w:p>
    <w:p w14:paraId="3065E5EE" w14:textId="77777777" w:rsidR="00D06B15" w:rsidRDefault="003761A6">
      <w:pPr>
        <w:pStyle w:val="Body"/>
        <w:spacing w:after="0"/>
        <w:jc w:val="center"/>
        <w:rPr>
          <w:rFonts w:ascii="Arial" w:hAnsi="Arial"/>
          <w:b/>
          <w:bCs/>
        </w:rPr>
      </w:pPr>
      <w:r>
        <w:rPr>
          <w:rFonts w:ascii="Arial" w:hAnsi="Arial"/>
          <w:b/>
          <w:bCs/>
        </w:rPr>
        <w:t>Table 1: Awareness and Implementation of Policy and Regulatory Frameworks in Garissa Township</w:t>
      </w:r>
    </w:p>
    <w:p w14:paraId="5032AEEE" w14:textId="77777777" w:rsidR="00D06B15" w:rsidRDefault="00D06B15">
      <w:pPr>
        <w:pStyle w:val="Body"/>
        <w:spacing w:after="0"/>
        <w:rPr>
          <w:rFonts w:ascii="Arial" w:hAnsi="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2539"/>
        <w:gridCol w:w="2831"/>
      </w:tblGrid>
      <w:tr w:rsidR="00D06B15" w14:paraId="5564CB32" w14:textId="77777777">
        <w:trPr>
          <w:tblHeader/>
          <w:tblCellSpacing w:w="15" w:type="dxa"/>
        </w:trPr>
        <w:tc>
          <w:tcPr>
            <w:tcW w:w="0" w:type="auto"/>
            <w:vAlign w:val="center"/>
          </w:tcPr>
          <w:p w14:paraId="436DC7A3" w14:textId="77777777" w:rsidR="00D06B15" w:rsidRDefault="003761A6">
            <w:pPr>
              <w:jc w:val="center"/>
              <w:rPr>
                <w:rFonts w:ascii="Arial" w:hAnsi="Arial" w:cs="Arial"/>
                <w:b/>
                <w:bCs/>
              </w:rPr>
            </w:pPr>
            <w:r>
              <w:rPr>
                <w:rFonts w:ascii="Arial" w:eastAsia="SimSun" w:hAnsi="Arial" w:cs="Arial"/>
                <w:b/>
                <w:bCs/>
                <w:lang w:eastAsia="zh-CN" w:bidi="ar"/>
              </w:rPr>
              <w:t>Stakeholder Group</w:t>
            </w:r>
          </w:p>
        </w:tc>
        <w:tc>
          <w:tcPr>
            <w:tcW w:w="0" w:type="auto"/>
            <w:vAlign w:val="center"/>
          </w:tcPr>
          <w:p w14:paraId="6590969F" w14:textId="77777777" w:rsidR="00D06B15" w:rsidRDefault="003761A6">
            <w:pPr>
              <w:jc w:val="center"/>
              <w:rPr>
                <w:rFonts w:ascii="Arial" w:hAnsi="Arial" w:cs="Arial"/>
                <w:b/>
                <w:bCs/>
              </w:rPr>
            </w:pPr>
            <w:r>
              <w:rPr>
                <w:rFonts w:ascii="Arial" w:eastAsia="SimSun" w:hAnsi="Arial" w:cs="Arial"/>
                <w:b/>
                <w:bCs/>
                <w:lang w:eastAsia="zh-CN" w:bidi="ar"/>
              </w:rPr>
              <w:t>Awareness of Policies (%)</w:t>
            </w:r>
          </w:p>
        </w:tc>
        <w:tc>
          <w:tcPr>
            <w:tcW w:w="0" w:type="auto"/>
            <w:vAlign w:val="center"/>
          </w:tcPr>
          <w:p w14:paraId="76EF4CDE" w14:textId="77777777" w:rsidR="00D06B15" w:rsidRDefault="003761A6">
            <w:pPr>
              <w:jc w:val="center"/>
              <w:rPr>
                <w:rFonts w:ascii="Arial" w:hAnsi="Arial" w:cs="Arial"/>
                <w:b/>
                <w:bCs/>
              </w:rPr>
            </w:pPr>
            <w:r>
              <w:rPr>
                <w:rFonts w:ascii="Arial" w:eastAsia="SimSun" w:hAnsi="Arial" w:cs="Arial"/>
                <w:b/>
                <w:bCs/>
                <w:lang w:eastAsia="zh-CN" w:bidi="ar"/>
              </w:rPr>
              <w:t>Extent of Implementation (%)</w:t>
            </w:r>
          </w:p>
        </w:tc>
      </w:tr>
      <w:tr w:rsidR="00D06B15" w14:paraId="716D1570" w14:textId="77777777">
        <w:trPr>
          <w:tblCellSpacing w:w="15" w:type="dxa"/>
        </w:trPr>
        <w:tc>
          <w:tcPr>
            <w:tcW w:w="0" w:type="auto"/>
            <w:vAlign w:val="center"/>
          </w:tcPr>
          <w:p w14:paraId="16D42265" w14:textId="77777777" w:rsidR="00D06B15" w:rsidRDefault="003761A6">
            <w:pPr>
              <w:rPr>
                <w:rFonts w:ascii="Arial" w:hAnsi="Arial" w:cs="Arial"/>
              </w:rPr>
            </w:pPr>
            <w:r>
              <w:rPr>
                <w:rFonts w:ascii="Arial" w:eastAsia="SimSun" w:hAnsi="Arial" w:cs="Arial"/>
                <w:lang w:eastAsia="zh-CN" w:bidi="ar"/>
              </w:rPr>
              <w:t>Municipal Staff</w:t>
            </w:r>
          </w:p>
        </w:tc>
        <w:tc>
          <w:tcPr>
            <w:tcW w:w="0" w:type="auto"/>
            <w:vAlign w:val="center"/>
          </w:tcPr>
          <w:p w14:paraId="63383F60" w14:textId="77777777" w:rsidR="00D06B15" w:rsidRDefault="003761A6">
            <w:pPr>
              <w:rPr>
                <w:rFonts w:ascii="Arial" w:hAnsi="Arial" w:cs="Arial"/>
              </w:rPr>
            </w:pPr>
            <w:r>
              <w:rPr>
                <w:rFonts w:ascii="Arial" w:eastAsia="SimSun" w:hAnsi="Arial" w:cs="Arial"/>
                <w:lang w:eastAsia="zh-CN" w:bidi="ar"/>
              </w:rPr>
              <w:t>72%</w:t>
            </w:r>
          </w:p>
        </w:tc>
        <w:tc>
          <w:tcPr>
            <w:tcW w:w="0" w:type="auto"/>
            <w:vAlign w:val="center"/>
          </w:tcPr>
          <w:p w14:paraId="7FE43909" w14:textId="77777777" w:rsidR="00D06B15" w:rsidRDefault="003761A6">
            <w:pPr>
              <w:rPr>
                <w:rFonts w:ascii="Arial" w:hAnsi="Arial" w:cs="Arial"/>
              </w:rPr>
            </w:pPr>
            <w:r>
              <w:rPr>
                <w:rFonts w:ascii="Arial" w:eastAsia="SimSun" w:hAnsi="Arial" w:cs="Arial"/>
                <w:lang w:eastAsia="zh-CN" w:bidi="ar"/>
              </w:rPr>
              <w:t>48%</w:t>
            </w:r>
          </w:p>
        </w:tc>
      </w:tr>
      <w:tr w:rsidR="00D06B15" w14:paraId="55848131" w14:textId="77777777">
        <w:trPr>
          <w:tblCellSpacing w:w="15" w:type="dxa"/>
        </w:trPr>
        <w:tc>
          <w:tcPr>
            <w:tcW w:w="0" w:type="auto"/>
            <w:vAlign w:val="center"/>
          </w:tcPr>
          <w:p w14:paraId="00DC5D9B" w14:textId="77777777" w:rsidR="00D06B15" w:rsidRDefault="003761A6">
            <w:pPr>
              <w:rPr>
                <w:rFonts w:ascii="Arial" w:hAnsi="Arial" w:cs="Arial"/>
              </w:rPr>
            </w:pPr>
            <w:r>
              <w:rPr>
                <w:rFonts w:ascii="Arial" w:eastAsia="SimSun" w:hAnsi="Arial" w:cs="Arial"/>
                <w:lang w:eastAsia="zh-CN" w:bidi="ar"/>
              </w:rPr>
              <w:t>Community Leaders</w:t>
            </w:r>
          </w:p>
        </w:tc>
        <w:tc>
          <w:tcPr>
            <w:tcW w:w="0" w:type="auto"/>
            <w:vAlign w:val="center"/>
          </w:tcPr>
          <w:p w14:paraId="20FFB6C9" w14:textId="77777777" w:rsidR="00D06B15" w:rsidRDefault="003761A6">
            <w:pPr>
              <w:rPr>
                <w:rFonts w:ascii="Arial" w:hAnsi="Arial" w:cs="Arial"/>
              </w:rPr>
            </w:pPr>
            <w:r>
              <w:rPr>
                <w:rFonts w:ascii="Arial" w:eastAsia="SimSun" w:hAnsi="Arial" w:cs="Arial"/>
                <w:lang w:eastAsia="zh-CN" w:bidi="ar"/>
              </w:rPr>
              <w:t>65%</w:t>
            </w:r>
          </w:p>
        </w:tc>
        <w:tc>
          <w:tcPr>
            <w:tcW w:w="0" w:type="auto"/>
            <w:vAlign w:val="center"/>
          </w:tcPr>
          <w:p w14:paraId="0D140EB2" w14:textId="77777777" w:rsidR="00D06B15" w:rsidRDefault="003761A6">
            <w:pPr>
              <w:rPr>
                <w:rFonts w:ascii="Arial" w:hAnsi="Arial" w:cs="Arial"/>
              </w:rPr>
            </w:pPr>
            <w:r>
              <w:rPr>
                <w:rFonts w:ascii="Arial" w:eastAsia="SimSun" w:hAnsi="Arial" w:cs="Arial"/>
                <w:lang w:eastAsia="zh-CN" w:bidi="ar"/>
              </w:rPr>
              <w:t>45%</w:t>
            </w:r>
          </w:p>
        </w:tc>
      </w:tr>
      <w:tr w:rsidR="00D06B15" w14:paraId="0E0A2013" w14:textId="77777777">
        <w:trPr>
          <w:tblCellSpacing w:w="15" w:type="dxa"/>
        </w:trPr>
        <w:tc>
          <w:tcPr>
            <w:tcW w:w="0" w:type="auto"/>
            <w:vAlign w:val="center"/>
          </w:tcPr>
          <w:p w14:paraId="575D11AC" w14:textId="77777777" w:rsidR="00D06B15" w:rsidRDefault="003761A6">
            <w:pPr>
              <w:rPr>
                <w:rFonts w:ascii="Arial" w:hAnsi="Arial" w:cs="Arial"/>
              </w:rPr>
            </w:pPr>
            <w:r>
              <w:rPr>
                <w:rFonts w:ascii="Arial" w:eastAsia="SimSun" w:hAnsi="Arial" w:cs="Arial"/>
                <w:lang w:eastAsia="zh-CN" w:bidi="ar"/>
              </w:rPr>
              <w:t>Households</w:t>
            </w:r>
          </w:p>
        </w:tc>
        <w:tc>
          <w:tcPr>
            <w:tcW w:w="0" w:type="auto"/>
            <w:vAlign w:val="center"/>
          </w:tcPr>
          <w:p w14:paraId="287BE5FA" w14:textId="77777777" w:rsidR="00D06B15" w:rsidRDefault="003761A6">
            <w:pPr>
              <w:rPr>
                <w:rFonts w:ascii="Arial" w:hAnsi="Arial" w:cs="Arial"/>
              </w:rPr>
            </w:pPr>
            <w:r>
              <w:rPr>
                <w:rFonts w:ascii="Arial" w:eastAsia="SimSun" w:hAnsi="Arial" w:cs="Arial"/>
                <w:lang w:eastAsia="zh-CN" w:bidi="ar"/>
              </w:rPr>
              <w:t>58%</w:t>
            </w:r>
          </w:p>
        </w:tc>
        <w:tc>
          <w:tcPr>
            <w:tcW w:w="0" w:type="auto"/>
            <w:vAlign w:val="center"/>
          </w:tcPr>
          <w:p w14:paraId="34327047" w14:textId="77777777" w:rsidR="00D06B15" w:rsidRDefault="003761A6">
            <w:pPr>
              <w:rPr>
                <w:rFonts w:ascii="Arial" w:hAnsi="Arial" w:cs="Arial"/>
              </w:rPr>
            </w:pPr>
            <w:r>
              <w:rPr>
                <w:rFonts w:ascii="Arial" w:eastAsia="SimSun" w:hAnsi="Arial" w:cs="Arial"/>
                <w:lang w:eastAsia="zh-CN" w:bidi="ar"/>
              </w:rPr>
              <w:t>40%</w:t>
            </w:r>
          </w:p>
        </w:tc>
      </w:tr>
    </w:tbl>
    <w:p w14:paraId="357D28EF" w14:textId="77777777" w:rsidR="00D06B15" w:rsidRDefault="00D06B15">
      <w:pPr>
        <w:pStyle w:val="Body"/>
        <w:spacing w:after="0"/>
        <w:rPr>
          <w:rFonts w:ascii="Arial" w:hAnsi="Arial"/>
        </w:rPr>
      </w:pPr>
    </w:p>
    <w:p w14:paraId="1D981CDD" w14:textId="77777777" w:rsidR="00D06B15" w:rsidRDefault="003761A6">
      <w:pPr>
        <w:pStyle w:val="Body"/>
        <w:spacing w:after="0"/>
        <w:rPr>
          <w:rFonts w:ascii="Arial" w:hAnsi="Arial"/>
          <w:b/>
          <w:bCs/>
        </w:rPr>
      </w:pPr>
      <w:r>
        <w:rPr>
          <w:rFonts w:ascii="Arial" w:hAnsi="Arial"/>
          <w:b/>
          <w:bCs/>
        </w:rPr>
        <w:t>2.3 Identification of Policy Gaps in Solid Waste Management</w:t>
      </w:r>
    </w:p>
    <w:p w14:paraId="6F97FB10" w14:textId="77777777" w:rsidR="00D06B15" w:rsidRDefault="00D06B15">
      <w:pPr>
        <w:pStyle w:val="Body"/>
        <w:spacing w:after="0"/>
        <w:rPr>
          <w:rFonts w:ascii="Arial" w:hAnsi="Arial"/>
        </w:rPr>
      </w:pPr>
    </w:p>
    <w:p w14:paraId="3487782B" w14:textId="77777777" w:rsidR="00D06B15" w:rsidRDefault="003761A6">
      <w:pPr>
        <w:pStyle w:val="Body"/>
        <w:spacing w:after="0"/>
        <w:rPr>
          <w:rFonts w:ascii="Arial" w:hAnsi="Arial"/>
        </w:rPr>
      </w:pPr>
      <w:r>
        <w:rPr>
          <w:rFonts w:ascii="Arial" w:hAnsi="Arial"/>
        </w:rPr>
        <w:t>The analysis of policy gaps revealed critical weaknesses in the regulatory framework governing solid waste management in Garissa Township as summarized in table 2. Quantitative data indicate that 48% of municipal staff and 42% of community leaders reported a lack of detailed guidelines for waste segregation and recycling, while 55% of households confirmed they received no clear guidance on proper disposal practices. This suggests that the existing policies are insufficiently detailed to guide both institutional and community-level practices effectively.</w:t>
      </w:r>
    </w:p>
    <w:p w14:paraId="4C19DE11" w14:textId="77777777" w:rsidR="00D06B15" w:rsidRDefault="00D06B15">
      <w:pPr>
        <w:pStyle w:val="Body"/>
        <w:spacing w:after="0"/>
        <w:rPr>
          <w:rFonts w:ascii="Arial" w:hAnsi="Arial"/>
        </w:rPr>
      </w:pPr>
    </w:p>
    <w:p w14:paraId="176900DA" w14:textId="77777777" w:rsidR="00D06B15" w:rsidRDefault="003761A6">
      <w:pPr>
        <w:pStyle w:val="Body"/>
        <w:spacing w:after="0"/>
        <w:rPr>
          <w:rFonts w:ascii="Arial" w:hAnsi="Arial"/>
        </w:rPr>
      </w:pPr>
      <w:r>
        <w:rPr>
          <w:rFonts w:ascii="Arial" w:hAnsi="Arial"/>
        </w:rPr>
        <w:t xml:space="preserve">Weak enforcement mechanisms were also highlighted, with 52% of municipal staff, 45% of community leaders, and 50% of households indicating that penalties for non-compliance are rarely applied. Interviews with municipal staff revealed that limited resources, lack of monitoring personnel, and unclear accountability structures contributed to inconsistent enforcement. One municipal officer stated: </w:t>
      </w:r>
    </w:p>
    <w:p w14:paraId="32527A65" w14:textId="77777777" w:rsidR="00D06B15" w:rsidRDefault="003761A6">
      <w:pPr>
        <w:pStyle w:val="Body"/>
        <w:spacing w:after="0"/>
        <w:ind w:left="720"/>
        <w:rPr>
          <w:rFonts w:ascii="Arial" w:hAnsi="Arial"/>
          <w:i/>
          <w:iCs/>
        </w:rPr>
      </w:pPr>
      <w:r>
        <w:rPr>
          <w:rFonts w:ascii="Arial" w:hAnsi="Arial"/>
          <w:i/>
          <w:iCs/>
        </w:rPr>
        <w:t>“Even though the laws exist, we cannot enforce them because we lack the manpower and logistics to monitor all wards regularly.”</w:t>
      </w:r>
    </w:p>
    <w:p w14:paraId="212E4E4F" w14:textId="77777777" w:rsidR="00D06B15" w:rsidRDefault="00D06B15">
      <w:pPr>
        <w:pStyle w:val="Body"/>
        <w:spacing w:after="0"/>
        <w:ind w:left="720"/>
        <w:rPr>
          <w:rFonts w:ascii="Arial" w:hAnsi="Arial"/>
          <w:i/>
          <w:iCs/>
        </w:rPr>
      </w:pPr>
    </w:p>
    <w:p w14:paraId="087EE978" w14:textId="77777777" w:rsidR="00D06B15" w:rsidRDefault="003761A6">
      <w:pPr>
        <w:pStyle w:val="Body"/>
        <w:spacing w:after="0"/>
        <w:rPr>
          <w:rFonts w:ascii="Arial" w:hAnsi="Arial"/>
        </w:rPr>
      </w:pPr>
      <w:r>
        <w:rPr>
          <w:rFonts w:ascii="Arial" w:hAnsi="Arial"/>
        </w:rPr>
        <w:t>The study also found limited integration of informal waste collectors and private operators into the regulatory framework. Only 40% of municipal staff and 35% of community leaders reported that these actors were recognized in official policies, with 30% of households noting reliance on informal waste collection services. Community leaders explained that:</w:t>
      </w:r>
    </w:p>
    <w:p w14:paraId="07CF5FFD" w14:textId="516AB02E" w:rsidR="00D06B15" w:rsidRDefault="003761A6">
      <w:pPr>
        <w:pStyle w:val="Body"/>
        <w:spacing w:after="0"/>
        <w:ind w:left="720"/>
        <w:rPr>
          <w:rFonts w:ascii="Arial" w:hAnsi="Arial"/>
          <w:i/>
          <w:iCs/>
        </w:rPr>
      </w:pPr>
      <w:r>
        <w:rPr>
          <w:rFonts w:ascii="Arial" w:hAnsi="Arial"/>
          <w:i/>
          <w:iCs/>
        </w:rPr>
        <w:t xml:space="preserve">“ </w:t>
      </w:r>
      <w:r w:rsidR="006062DE">
        <w:rPr>
          <w:rFonts w:ascii="Arial" w:hAnsi="Arial"/>
          <w:i/>
          <w:iCs/>
        </w:rPr>
        <w:t>Informal</w:t>
      </w:r>
      <w:r>
        <w:rPr>
          <w:rFonts w:ascii="Arial" w:hAnsi="Arial"/>
          <w:i/>
          <w:iCs/>
        </w:rPr>
        <w:t xml:space="preserve"> actors are crucial for collection but operate outside formal guidelines, creating regulatory gaps that reduce efficiency”.</w:t>
      </w:r>
    </w:p>
    <w:p w14:paraId="39A213A6" w14:textId="77777777" w:rsidR="00D06B15" w:rsidRDefault="00D06B15">
      <w:pPr>
        <w:pStyle w:val="Body"/>
        <w:spacing w:after="0"/>
        <w:rPr>
          <w:rFonts w:ascii="Arial" w:hAnsi="Arial"/>
        </w:rPr>
      </w:pPr>
    </w:p>
    <w:p w14:paraId="19D89DA0" w14:textId="77777777" w:rsidR="00D06B15" w:rsidRDefault="003761A6">
      <w:pPr>
        <w:pStyle w:val="Body"/>
        <w:spacing w:after="0"/>
        <w:rPr>
          <w:rFonts w:ascii="Arial" w:hAnsi="Arial"/>
        </w:rPr>
      </w:pPr>
      <w:r>
        <w:rPr>
          <w:rFonts w:ascii="Arial" w:hAnsi="Arial"/>
        </w:rPr>
        <w:t>Finally, insufficient public participation and awareness programs emerged as a major gap, with 55% of municipal staff, 50% of community leaders, and 60% of households reporting minimal engagement or education on waste management practices. Residents emphasized that awareness campaigns are sporadic and often limited to urban centers, leaving peri-urban areas underserved.</w:t>
      </w:r>
    </w:p>
    <w:p w14:paraId="2623C032" w14:textId="77777777" w:rsidR="00D06B15" w:rsidRDefault="00D06B15">
      <w:pPr>
        <w:pStyle w:val="Body"/>
        <w:spacing w:after="0"/>
        <w:rPr>
          <w:rFonts w:ascii="Arial" w:hAnsi="Arial"/>
        </w:rPr>
      </w:pPr>
    </w:p>
    <w:p w14:paraId="4490F310" w14:textId="77777777" w:rsidR="00D06B15" w:rsidRDefault="003761A6">
      <w:pPr>
        <w:pStyle w:val="Body"/>
        <w:spacing w:after="0"/>
        <w:rPr>
          <w:rFonts w:ascii="Arial" w:hAnsi="Arial"/>
        </w:rPr>
      </w:pPr>
      <w:r>
        <w:rPr>
          <w:rFonts w:ascii="Arial" w:hAnsi="Arial"/>
        </w:rPr>
        <w:t>Triangulation with previous studies confirms these findings. Wong et al. (2016) highlight that policy gaps in urban waste management often result from outdated legislation and poor operational guidelines. Similarly, UNEP (2019) notes that East African municipalities frequently experience weak enforcement, minimal stakeholder inclusion, and inadequate public participation, which undermine the effectiveness of existing policies.</w:t>
      </w:r>
    </w:p>
    <w:p w14:paraId="07C98FCC" w14:textId="77777777" w:rsidR="00D06B15" w:rsidRDefault="00D06B15">
      <w:pPr>
        <w:pStyle w:val="Body"/>
        <w:spacing w:after="0"/>
        <w:rPr>
          <w:rFonts w:ascii="Arial" w:hAnsi="Arial"/>
        </w:rPr>
      </w:pPr>
    </w:p>
    <w:p w14:paraId="5A9E3690" w14:textId="77777777" w:rsidR="00D06B15" w:rsidRDefault="003761A6">
      <w:pPr>
        <w:pStyle w:val="Body"/>
        <w:spacing w:after="0"/>
        <w:rPr>
          <w:rFonts w:ascii="Arial" w:hAnsi="Arial"/>
        </w:rPr>
      </w:pPr>
      <w:r>
        <w:rPr>
          <w:rFonts w:ascii="Arial" w:hAnsi="Arial"/>
        </w:rPr>
        <w:t>In summary, the findings show that although regulatory frameworks exist in Garissa Township, gaps in detail, enforcement, inclusivity, and public engagement significantly hinder effective and sustainable solid waste management. Addressing these gaps is critical to improving compliance, enhancing service delivery, and promoting environmental sustainability in the township (</w:t>
      </w:r>
      <w:proofErr w:type="spellStart"/>
      <w:r>
        <w:rPr>
          <w:rFonts w:ascii="Arial" w:hAnsi="Arial"/>
        </w:rPr>
        <w:t>Massoud</w:t>
      </w:r>
      <w:proofErr w:type="spellEnd"/>
      <w:r>
        <w:rPr>
          <w:rFonts w:ascii="Arial" w:hAnsi="Arial"/>
        </w:rPr>
        <w:t xml:space="preserve"> et al., 2019).</w:t>
      </w:r>
    </w:p>
    <w:p w14:paraId="02A007A9" w14:textId="77777777" w:rsidR="00D06B15" w:rsidRDefault="003761A6">
      <w:pPr>
        <w:pStyle w:val="Body"/>
        <w:spacing w:after="0"/>
        <w:jc w:val="center"/>
        <w:rPr>
          <w:rFonts w:ascii="Arial" w:hAnsi="Arial"/>
          <w:b/>
          <w:bCs/>
        </w:rPr>
      </w:pPr>
      <w:r>
        <w:rPr>
          <w:rFonts w:ascii="Arial" w:hAnsi="Arial"/>
          <w:b/>
          <w:bCs/>
        </w:rPr>
        <w:t>Table 2: Key Policy Gaps Hindering Sustainable Solid Waste Management in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2"/>
        <w:gridCol w:w="1670"/>
        <w:gridCol w:w="1943"/>
        <w:gridCol w:w="1723"/>
      </w:tblGrid>
      <w:tr w:rsidR="00D06B15" w14:paraId="446F274F" w14:textId="77777777">
        <w:trPr>
          <w:tblHeader/>
          <w:tblCellSpacing w:w="15" w:type="dxa"/>
        </w:trPr>
        <w:tc>
          <w:tcPr>
            <w:tcW w:w="0" w:type="auto"/>
            <w:vAlign w:val="center"/>
          </w:tcPr>
          <w:p w14:paraId="50528D99" w14:textId="77777777" w:rsidR="00D06B15" w:rsidRDefault="003761A6">
            <w:pPr>
              <w:jc w:val="center"/>
              <w:rPr>
                <w:rFonts w:ascii="Arial" w:hAnsi="Arial" w:cs="Arial"/>
                <w:b/>
                <w:bCs/>
              </w:rPr>
            </w:pPr>
            <w:r>
              <w:rPr>
                <w:rFonts w:ascii="Arial" w:eastAsia="SimSun" w:hAnsi="Arial" w:cs="Arial"/>
                <w:b/>
                <w:bCs/>
                <w:lang w:eastAsia="zh-CN" w:bidi="ar"/>
              </w:rPr>
              <w:t>Policy Gap</w:t>
            </w:r>
          </w:p>
        </w:tc>
        <w:tc>
          <w:tcPr>
            <w:tcW w:w="0" w:type="auto"/>
            <w:vAlign w:val="center"/>
          </w:tcPr>
          <w:p w14:paraId="0A0F1110" w14:textId="77777777" w:rsidR="00D06B15" w:rsidRDefault="003761A6">
            <w:pPr>
              <w:jc w:val="center"/>
              <w:rPr>
                <w:rFonts w:ascii="Arial" w:hAnsi="Arial" w:cs="Arial"/>
                <w:b/>
                <w:bCs/>
              </w:rPr>
            </w:pPr>
            <w:r>
              <w:rPr>
                <w:rFonts w:ascii="Arial" w:eastAsia="SimSun" w:hAnsi="Arial" w:cs="Arial"/>
                <w:b/>
                <w:bCs/>
                <w:lang w:eastAsia="zh-CN" w:bidi="ar"/>
              </w:rPr>
              <w:t xml:space="preserve">% </w:t>
            </w:r>
            <w:proofErr w:type="gramStart"/>
            <w:r>
              <w:rPr>
                <w:rFonts w:ascii="Arial" w:eastAsia="SimSun" w:hAnsi="Arial" w:cs="Arial"/>
                <w:b/>
                <w:bCs/>
                <w:lang w:eastAsia="zh-CN" w:bidi="ar"/>
              </w:rPr>
              <w:t>of</w:t>
            </w:r>
            <w:proofErr w:type="gramEnd"/>
            <w:r>
              <w:rPr>
                <w:rFonts w:ascii="Arial" w:eastAsia="SimSun" w:hAnsi="Arial" w:cs="Arial"/>
                <w:b/>
                <w:bCs/>
                <w:lang w:eastAsia="zh-CN" w:bidi="ar"/>
              </w:rPr>
              <w:t xml:space="preserve"> Municipal Staff Reporting</w:t>
            </w:r>
          </w:p>
        </w:tc>
        <w:tc>
          <w:tcPr>
            <w:tcW w:w="0" w:type="auto"/>
            <w:vAlign w:val="center"/>
          </w:tcPr>
          <w:p w14:paraId="7F0E3B32" w14:textId="77777777" w:rsidR="00D06B15" w:rsidRDefault="003761A6">
            <w:pPr>
              <w:jc w:val="center"/>
              <w:rPr>
                <w:rFonts w:ascii="Arial" w:hAnsi="Arial" w:cs="Arial"/>
                <w:b/>
                <w:bCs/>
              </w:rPr>
            </w:pPr>
            <w:r>
              <w:rPr>
                <w:rFonts w:ascii="Arial" w:eastAsia="SimSun" w:hAnsi="Arial" w:cs="Arial"/>
                <w:b/>
                <w:bCs/>
                <w:lang w:eastAsia="zh-CN" w:bidi="ar"/>
              </w:rPr>
              <w:t xml:space="preserve">% </w:t>
            </w:r>
            <w:proofErr w:type="gramStart"/>
            <w:r>
              <w:rPr>
                <w:rFonts w:ascii="Arial" w:eastAsia="SimSun" w:hAnsi="Arial" w:cs="Arial"/>
                <w:b/>
                <w:bCs/>
                <w:lang w:eastAsia="zh-CN" w:bidi="ar"/>
              </w:rPr>
              <w:t>of</w:t>
            </w:r>
            <w:proofErr w:type="gramEnd"/>
            <w:r>
              <w:rPr>
                <w:rFonts w:ascii="Arial" w:eastAsia="SimSun" w:hAnsi="Arial" w:cs="Arial"/>
                <w:b/>
                <w:bCs/>
                <w:lang w:eastAsia="zh-CN" w:bidi="ar"/>
              </w:rPr>
              <w:t xml:space="preserve"> Community Leaders Reporting</w:t>
            </w:r>
          </w:p>
        </w:tc>
        <w:tc>
          <w:tcPr>
            <w:tcW w:w="0" w:type="auto"/>
            <w:vAlign w:val="center"/>
          </w:tcPr>
          <w:p w14:paraId="6001E9B1" w14:textId="77777777" w:rsidR="00D06B15" w:rsidRDefault="003761A6">
            <w:pPr>
              <w:jc w:val="center"/>
              <w:rPr>
                <w:rFonts w:ascii="Arial" w:hAnsi="Arial" w:cs="Arial"/>
                <w:b/>
                <w:bCs/>
              </w:rPr>
            </w:pPr>
            <w:r>
              <w:rPr>
                <w:rFonts w:ascii="Arial" w:eastAsia="SimSun" w:hAnsi="Arial" w:cs="Arial"/>
                <w:b/>
                <w:bCs/>
                <w:lang w:eastAsia="zh-CN" w:bidi="ar"/>
              </w:rPr>
              <w:t xml:space="preserve">% </w:t>
            </w:r>
            <w:proofErr w:type="gramStart"/>
            <w:r>
              <w:rPr>
                <w:rFonts w:ascii="Arial" w:eastAsia="SimSun" w:hAnsi="Arial" w:cs="Arial"/>
                <w:b/>
                <w:bCs/>
                <w:lang w:eastAsia="zh-CN" w:bidi="ar"/>
              </w:rPr>
              <w:t>of</w:t>
            </w:r>
            <w:proofErr w:type="gramEnd"/>
            <w:r>
              <w:rPr>
                <w:rFonts w:ascii="Arial" w:eastAsia="SimSun" w:hAnsi="Arial" w:cs="Arial"/>
                <w:b/>
                <w:bCs/>
                <w:lang w:eastAsia="zh-CN" w:bidi="ar"/>
              </w:rPr>
              <w:t xml:space="preserve"> Households Reporting</w:t>
            </w:r>
          </w:p>
        </w:tc>
      </w:tr>
      <w:tr w:rsidR="00D06B15" w14:paraId="46D29E6E" w14:textId="77777777">
        <w:trPr>
          <w:tblCellSpacing w:w="15" w:type="dxa"/>
        </w:trPr>
        <w:tc>
          <w:tcPr>
            <w:tcW w:w="0" w:type="auto"/>
            <w:vAlign w:val="center"/>
          </w:tcPr>
          <w:p w14:paraId="7743CCC6" w14:textId="77777777" w:rsidR="00D06B15" w:rsidRDefault="003761A6">
            <w:pPr>
              <w:rPr>
                <w:rFonts w:ascii="Arial" w:hAnsi="Arial" w:cs="Arial"/>
              </w:rPr>
            </w:pPr>
            <w:r>
              <w:rPr>
                <w:rFonts w:ascii="Arial" w:eastAsia="SimSun" w:hAnsi="Arial" w:cs="Arial"/>
                <w:lang w:eastAsia="zh-CN" w:bidi="ar"/>
              </w:rPr>
              <w:t>Lack of detailed guidelines for waste segregation and recycling</w:t>
            </w:r>
          </w:p>
        </w:tc>
        <w:tc>
          <w:tcPr>
            <w:tcW w:w="0" w:type="auto"/>
            <w:vAlign w:val="center"/>
          </w:tcPr>
          <w:p w14:paraId="7F13C847" w14:textId="77777777" w:rsidR="00D06B15" w:rsidRDefault="003761A6">
            <w:pPr>
              <w:rPr>
                <w:rFonts w:ascii="Arial" w:hAnsi="Arial" w:cs="Arial"/>
              </w:rPr>
            </w:pPr>
            <w:r>
              <w:rPr>
                <w:rFonts w:ascii="Arial" w:eastAsia="SimSun" w:hAnsi="Arial" w:cs="Arial"/>
                <w:lang w:eastAsia="zh-CN" w:bidi="ar"/>
              </w:rPr>
              <w:t>48%</w:t>
            </w:r>
          </w:p>
        </w:tc>
        <w:tc>
          <w:tcPr>
            <w:tcW w:w="0" w:type="auto"/>
            <w:vAlign w:val="center"/>
          </w:tcPr>
          <w:p w14:paraId="34F751D7" w14:textId="77777777" w:rsidR="00D06B15" w:rsidRDefault="003761A6">
            <w:pPr>
              <w:rPr>
                <w:rFonts w:ascii="Arial" w:hAnsi="Arial" w:cs="Arial"/>
              </w:rPr>
            </w:pPr>
            <w:r>
              <w:rPr>
                <w:rFonts w:ascii="Arial" w:eastAsia="SimSun" w:hAnsi="Arial" w:cs="Arial"/>
                <w:lang w:eastAsia="zh-CN" w:bidi="ar"/>
              </w:rPr>
              <w:t>42%</w:t>
            </w:r>
          </w:p>
        </w:tc>
        <w:tc>
          <w:tcPr>
            <w:tcW w:w="0" w:type="auto"/>
            <w:vAlign w:val="center"/>
          </w:tcPr>
          <w:p w14:paraId="0F0B7D4D" w14:textId="77777777" w:rsidR="00D06B15" w:rsidRDefault="003761A6">
            <w:pPr>
              <w:rPr>
                <w:rFonts w:ascii="Arial" w:hAnsi="Arial" w:cs="Arial"/>
              </w:rPr>
            </w:pPr>
            <w:r>
              <w:rPr>
                <w:rFonts w:ascii="Arial" w:eastAsia="SimSun" w:hAnsi="Arial" w:cs="Arial"/>
                <w:lang w:eastAsia="zh-CN" w:bidi="ar"/>
              </w:rPr>
              <w:t>55%</w:t>
            </w:r>
          </w:p>
        </w:tc>
      </w:tr>
      <w:tr w:rsidR="00D06B15" w14:paraId="33088A7B" w14:textId="77777777">
        <w:trPr>
          <w:tblCellSpacing w:w="15" w:type="dxa"/>
        </w:trPr>
        <w:tc>
          <w:tcPr>
            <w:tcW w:w="0" w:type="auto"/>
            <w:vAlign w:val="center"/>
          </w:tcPr>
          <w:p w14:paraId="1914C94A" w14:textId="77777777" w:rsidR="00D06B15" w:rsidRDefault="003761A6">
            <w:pPr>
              <w:rPr>
                <w:rFonts w:ascii="Arial" w:hAnsi="Arial" w:cs="Arial"/>
              </w:rPr>
            </w:pPr>
            <w:r>
              <w:rPr>
                <w:rFonts w:ascii="Arial" w:eastAsia="SimSun" w:hAnsi="Arial" w:cs="Arial"/>
                <w:lang w:eastAsia="zh-CN" w:bidi="ar"/>
              </w:rPr>
              <w:t>Weak enforcement mechanisms / penalties rarely applied</w:t>
            </w:r>
          </w:p>
        </w:tc>
        <w:tc>
          <w:tcPr>
            <w:tcW w:w="0" w:type="auto"/>
            <w:vAlign w:val="center"/>
          </w:tcPr>
          <w:p w14:paraId="4D7AE1DE" w14:textId="77777777" w:rsidR="00D06B15" w:rsidRDefault="003761A6">
            <w:pPr>
              <w:rPr>
                <w:rFonts w:ascii="Arial" w:hAnsi="Arial" w:cs="Arial"/>
              </w:rPr>
            </w:pPr>
            <w:r>
              <w:rPr>
                <w:rFonts w:ascii="Arial" w:eastAsia="SimSun" w:hAnsi="Arial" w:cs="Arial"/>
                <w:lang w:eastAsia="zh-CN" w:bidi="ar"/>
              </w:rPr>
              <w:t>52%</w:t>
            </w:r>
          </w:p>
        </w:tc>
        <w:tc>
          <w:tcPr>
            <w:tcW w:w="0" w:type="auto"/>
            <w:vAlign w:val="center"/>
          </w:tcPr>
          <w:p w14:paraId="7E37CE26" w14:textId="77777777" w:rsidR="00D06B15" w:rsidRDefault="003761A6">
            <w:pPr>
              <w:rPr>
                <w:rFonts w:ascii="Arial" w:hAnsi="Arial" w:cs="Arial"/>
              </w:rPr>
            </w:pPr>
            <w:r>
              <w:rPr>
                <w:rFonts w:ascii="Arial" w:eastAsia="SimSun" w:hAnsi="Arial" w:cs="Arial"/>
                <w:lang w:eastAsia="zh-CN" w:bidi="ar"/>
              </w:rPr>
              <w:t>45%</w:t>
            </w:r>
          </w:p>
        </w:tc>
        <w:tc>
          <w:tcPr>
            <w:tcW w:w="0" w:type="auto"/>
            <w:vAlign w:val="center"/>
          </w:tcPr>
          <w:p w14:paraId="3DEC731A" w14:textId="77777777" w:rsidR="00D06B15" w:rsidRDefault="003761A6">
            <w:pPr>
              <w:rPr>
                <w:rFonts w:ascii="Arial" w:hAnsi="Arial" w:cs="Arial"/>
              </w:rPr>
            </w:pPr>
            <w:r>
              <w:rPr>
                <w:rFonts w:ascii="Arial" w:eastAsia="SimSun" w:hAnsi="Arial" w:cs="Arial"/>
                <w:lang w:eastAsia="zh-CN" w:bidi="ar"/>
              </w:rPr>
              <w:t>50%</w:t>
            </w:r>
          </w:p>
        </w:tc>
      </w:tr>
      <w:tr w:rsidR="00D06B15" w14:paraId="03DA855A" w14:textId="77777777">
        <w:trPr>
          <w:tblCellSpacing w:w="15" w:type="dxa"/>
        </w:trPr>
        <w:tc>
          <w:tcPr>
            <w:tcW w:w="0" w:type="auto"/>
            <w:vAlign w:val="center"/>
          </w:tcPr>
          <w:p w14:paraId="69B568F2" w14:textId="77777777" w:rsidR="00D06B15" w:rsidRDefault="003761A6">
            <w:pPr>
              <w:rPr>
                <w:rFonts w:ascii="Arial" w:hAnsi="Arial" w:cs="Arial"/>
              </w:rPr>
            </w:pPr>
            <w:r>
              <w:rPr>
                <w:rFonts w:ascii="Arial" w:eastAsia="SimSun" w:hAnsi="Arial" w:cs="Arial"/>
                <w:lang w:eastAsia="zh-CN" w:bidi="ar"/>
              </w:rPr>
              <w:t>Limited integration of informal waste collectors and private operators</w:t>
            </w:r>
          </w:p>
        </w:tc>
        <w:tc>
          <w:tcPr>
            <w:tcW w:w="0" w:type="auto"/>
            <w:vAlign w:val="center"/>
          </w:tcPr>
          <w:p w14:paraId="6F880B11" w14:textId="77777777" w:rsidR="00D06B15" w:rsidRDefault="003761A6">
            <w:pPr>
              <w:rPr>
                <w:rFonts w:ascii="Arial" w:hAnsi="Arial" w:cs="Arial"/>
              </w:rPr>
            </w:pPr>
            <w:r>
              <w:rPr>
                <w:rFonts w:ascii="Arial" w:eastAsia="SimSun" w:hAnsi="Arial" w:cs="Arial"/>
                <w:lang w:eastAsia="zh-CN" w:bidi="ar"/>
              </w:rPr>
              <w:t>40%</w:t>
            </w:r>
          </w:p>
        </w:tc>
        <w:tc>
          <w:tcPr>
            <w:tcW w:w="0" w:type="auto"/>
            <w:vAlign w:val="center"/>
          </w:tcPr>
          <w:p w14:paraId="511D6E61" w14:textId="77777777" w:rsidR="00D06B15" w:rsidRDefault="003761A6">
            <w:pPr>
              <w:rPr>
                <w:rFonts w:ascii="Arial" w:hAnsi="Arial" w:cs="Arial"/>
              </w:rPr>
            </w:pPr>
            <w:r>
              <w:rPr>
                <w:rFonts w:ascii="Arial" w:eastAsia="SimSun" w:hAnsi="Arial" w:cs="Arial"/>
                <w:lang w:eastAsia="zh-CN" w:bidi="ar"/>
              </w:rPr>
              <w:t>35%</w:t>
            </w:r>
          </w:p>
        </w:tc>
        <w:tc>
          <w:tcPr>
            <w:tcW w:w="0" w:type="auto"/>
            <w:vAlign w:val="center"/>
          </w:tcPr>
          <w:p w14:paraId="71206BF5" w14:textId="77777777" w:rsidR="00D06B15" w:rsidRDefault="003761A6">
            <w:pPr>
              <w:rPr>
                <w:rFonts w:ascii="Arial" w:hAnsi="Arial" w:cs="Arial"/>
              </w:rPr>
            </w:pPr>
            <w:r>
              <w:rPr>
                <w:rFonts w:ascii="Arial" w:eastAsia="SimSun" w:hAnsi="Arial" w:cs="Arial"/>
                <w:lang w:eastAsia="zh-CN" w:bidi="ar"/>
              </w:rPr>
              <w:t>30%</w:t>
            </w:r>
          </w:p>
        </w:tc>
      </w:tr>
      <w:tr w:rsidR="00D06B15" w14:paraId="49FE8496" w14:textId="77777777">
        <w:trPr>
          <w:tblCellSpacing w:w="15" w:type="dxa"/>
        </w:trPr>
        <w:tc>
          <w:tcPr>
            <w:tcW w:w="0" w:type="auto"/>
            <w:vAlign w:val="center"/>
          </w:tcPr>
          <w:p w14:paraId="713A7E2C" w14:textId="77777777" w:rsidR="00D06B15" w:rsidRDefault="003761A6">
            <w:pPr>
              <w:rPr>
                <w:rFonts w:ascii="Arial" w:hAnsi="Arial" w:cs="Arial"/>
              </w:rPr>
            </w:pPr>
            <w:r>
              <w:rPr>
                <w:rFonts w:ascii="Arial" w:eastAsia="SimSun" w:hAnsi="Arial" w:cs="Arial"/>
                <w:lang w:eastAsia="zh-CN" w:bidi="ar"/>
              </w:rPr>
              <w:t>Insufficient public participation and awareness programs</w:t>
            </w:r>
          </w:p>
        </w:tc>
        <w:tc>
          <w:tcPr>
            <w:tcW w:w="0" w:type="auto"/>
            <w:vAlign w:val="center"/>
          </w:tcPr>
          <w:p w14:paraId="6C074BD4" w14:textId="77777777" w:rsidR="00D06B15" w:rsidRDefault="003761A6">
            <w:pPr>
              <w:rPr>
                <w:rFonts w:ascii="Arial" w:hAnsi="Arial" w:cs="Arial"/>
              </w:rPr>
            </w:pPr>
            <w:r>
              <w:rPr>
                <w:rFonts w:ascii="Arial" w:eastAsia="SimSun" w:hAnsi="Arial" w:cs="Arial"/>
                <w:lang w:eastAsia="zh-CN" w:bidi="ar"/>
              </w:rPr>
              <w:t>55%</w:t>
            </w:r>
          </w:p>
        </w:tc>
        <w:tc>
          <w:tcPr>
            <w:tcW w:w="0" w:type="auto"/>
            <w:vAlign w:val="center"/>
          </w:tcPr>
          <w:p w14:paraId="6EF4E8F1" w14:textId="77777777" w:rsidR="00D06B15" w:rsidRDefault="003761A6">
            <w:pPr>
              <w:rPr>
                <w:rFonts w:ascii="Arial" w:hAnsi="Arial" w:cs="Arial"/>
              </w:rPr>
            </w:pPr>
            <w:r>
              <w:rPr>
                <w:rFonts w:ascii="Arial" w:eastAsia="SimSun" w:hAnsi="Arial" w:cs="Arial"/>
                <w:lang w:eastAsia="zh-CN" w:bidi="ar"/>
              </w:rPr>
              <w:t>50%</w:t>
            </w:r>
          </w:p>
        </w:tc>
        <w:tc>
          <w:tcPr>
            <w:tcW w:w="0" w:type="auto"/>
            <w:vAlign w:val="center"/>
          </w:tcPr>
          <w:p w14:paraId="4499592A" w14:textId="77777777" w:rsidR="00D06B15" w:rsidRDefault="003761A6">
            <w:pPr>
              <w:rPr>
                <w:rFonts w:ascii="Arial" w:hAnsi="Arial" w:cs="Arial"/>
              </w:rPr>
            </w:pPr>
            <w:r>
              <w:rPr>
                <w:rFonts w:ascii="Arial" w:eastAsia="SimSun" w:hAnsi="Arial" w:cs="Arial"/>
                <w:lang w:eastAsia="zh-CN" w:bidi="ar"/>
              </w:rPr>
              <w:t>60%</w:t>
            </w:r>
          </w:p>
        </w:tc>
      </w:tr>
    </w:tbl>
    <w:p w14:paraId="443150A6" w14:textId="77777777" w:rsidR="00D06B15" w:rsidRDefault="00D06B15">
      <w:pPr>
        <w:pStyle w:val="Body"/>
        <w:spacing w:after="0"/>
        <w:rPr>
          <w:rFonts w:ascii="Arial" w:hAnsi="Arial" w:cs="Arial"/>
          <w:b/>
          <w:bCs/>
        </w:rPr>
      </w:pPr>
    </w:p>
    <w:p w14:paraId="32EFC832" w14:textId="77777777" w:rsidR="00D06B15" w:rsidRDefault="003761A6">
      <w:pPr>
        <w:pStyle w:val="Body"/>
        <w:spacing w:after="0"/>
        <w:rPr>
          <w:rFonts w:ascii="Arial" w:hAnsi="Arial"/>
          <w:b/>
          <w:bCs/>
        </w:rPr>
      </w:pPr>
      <w:r>
        <w:rPr>
          <w:rFonts w:ascii="Arial" w:hAnsi="Arial" w:cs="Arial"/>
          <w:b/>
          <w:bCs/>
        </w:rPr>
        <w:t xml:space="preserve">2.4 </w:t>
      </w:r>
      <w:r>
        <w:rPr>
          <w:rFonts w:ascii="Arial" w:hAnsi="Arial"/>
          <w:b/>
          <w:bCs/>
        </w:rPr>
        <w:t>Institutional and Governance Structures, Capacity, Coordination, and Accountability</w:t>
      </w:r>
    </w:p>
    <w:p w14:paraId="33E0027A" w14:textId="4F4121BE" w:rsidR="00D06B15" w:rsidRDefault="003761A6">
      <w:pPr>
        <w:pStyle w:val="Body"/>
        <w:spacing w:after="0"/>
        <w:rPr>
          <w:rFonts w:ascii="Arial" w:hAnsi="Arial"/>
        </w:rPr>
      </w:pPr>
      <w:r>
        <w:rPr>
          <w:rFonts w:ascii="Arial" w:hAnsi="Arial"/>
        </w:rPr>
        <w:t xml:space="preserve">The results presented in Table 3 indicate that organizational capacity, coordination structures, and accountability mechanisms within the study area are present but exhibit notable gaps that constrain effective </w:t>
      </w:r>
      <w:proofErr w:type="spellStart"/>
      <w:r w:rsidR="00D51CE5">
        <w:rPr>
          <w:rFonts w:ascii="Arial" w:hAnsi="Arial"/>
        </w:rPr>
        <w:t>programme</w:t>
      </w:r>
      <w:proofErr w:type="spellEnd"/>
      <w:r>
        <w:rPr>
          <w:rFonts w:ascii="Arial" w:hAnsi="Arial"/>
        </w:rPr>
        <w:t xml:space="preserve"> delivery. Quantitatively, about 62% of respondents rated organizational capacity as adequate or strong, while 38% reported limited staffing, inadequate training opportunities, and insufficient technical resources. These numerical findings were echoed in qualitative narratives, where participants emphasized challenges related to workload pressures, lack of specialized skills particularly in monitoring and evaluation and data management and inconsistent institutional support for capacity enhancement. Such constraints are consistent with earlier studies, including Sibanda, </w:t>
      </w:r>
      <w:proofErr w:type="spellStart"/>
      <w:r>
        <w:rPr>
          <w:rFonts w:ascii="Arial" w:hAnsi="Arial"/>
        </w:rPr>
        <w:t>Obange</w:t>
      </w:r>
      <w:proofErr w:type="spellEnd"/>
      <w:r>
        <w:rPr>
          <w:rFonts w:ascii="Arial" w:hAnsi="Arial"/>
        </w:rPr>
        <w:t xml:space="preserve"> &amp; </w:t>
      </w:r>
      <w:proofErr w:type="spellStart"/>
      <w:r>
        <w:rPr>
          <w:rFonts w:ascii="Arial" w:hAnsi="Arial"/>
        </w:rPr>
        <w:t>Awuor</w:t>
      </w:r>
      <w:proofErr w:type="spellEnd"/>
      <w:r>
        <w:rPr>
          <w:rFonts w:ascii="Arial" w:hAnsi="Arial"/>
        </w:rPr>
        <w:t xml:space="preserve"> (2017) and NEMA (2019), which highlight persistent technical and human resource limitations across development and environmental programmes in East Africa.</w:t>
      </w:r>
    </w:p>
    <w:p w14:paraId="33CBD3C5" w14:textId="77777777" w:rsidR="00D06B15" w:rsidRDefault="00D06B15">
      <w:pPr>
        <w:pStyle w:val="Body"/>
        <w:spacing w:after="0"/>
        <w:rPr>
          <w:rFonts w:ascii="Arial" w:hAnsi="Arial"/>
        </w:rPr>
      </w:pPr>
    </w:p>
    <w:p w14:paraId="2D87F10D" w14:textId="77777777" w:rsidR="00D06B15" w:rsidRDefault="003761A6">
      <w:pPr>
        <w:pStyle w:val="Body"/>
        <w:spacing w:after="0"/>
        <w:rPr>
          <w:rFonts w:ascii="Arial" w:hAnsi="Arial"/>
        </w:rPr>
      </w:pPr>
      <w:r>
        <w:rPr>
          <w:rFonts w:ascii="Arial" w:hAnsi="Arial"/>
        </w:rPr>
        <w:t>Coordination mechanisms were similarly mixed. While 57% of respondents viewed coordination with government departments, NGOs, and community structures as generally functional, only 29% considered these mechanisms to be highly effective. Interview insights pointed to irregular coordination meetings, fragmented communication flows, and occasional duplication of efforts among actors. Respondents frequently mentioned the absence of standardized coordination frameworks and the need for clearer role definitions among stakeholders. These findings triangulate with previous research showing that weak inter-agency coordination, limited information sharing, and parallel interventions are common challenges in fragile and resource-constrained contexts (</w:t>
      </w:r>
      <w:proofErr w:type="spellStart"/>
      <w:r>
        <w:rPr>
          <w:rFonts w:ascii="Arial" w:hAnsi="Arial"/>
        </w:rPr>
        <w:t>Ozoike</w:t>
      </w:r>
      <w:proofErr w:type="spellEnd"/>
      <w:r>
        <w:rPr>
          <w:rFonts w:ascii="Arial" w:hAnsi="Arial"/>
        </w:rPr>
        <w:t xml:space="preserve"> et al., 2019; Mule, 2013; FAO, 2018), often undermining coherence and sustainability of development initiatives.</w:t>
      </w:r>
    </w:p>
    <w:p w14:paraId="53375A4F" w14:textId="77777777" w:rsidR="00D06B15" w:rsidRDefault="00D06B15">
      <w:pPr>
        <w:pStyle w:val="Body"/>
        <w:spacing w:after="0"/>
        <w:rPr>
          <w:rFonts w:ascii="Arial" w:hAnsi="Arial"/>
        </w:rPr>
      </w:pPr>
    </w:p>
    <w:p w14:paraId="0D9079B2" w14:textId="77777777" w:rsidR="00D06B15" w:rsidRDefault="003761A6">
      <w:pPr>
        <w:pStyle w:val="Body"/>
        <w:spacing w:after="0"/>
        <w:rPr>
          <w:rFonts w:ascii="Arial" w:hAnsi="Arial"/>
        </w:rPr>
      </w:pPr>
      <w:r>
        <w:rPr>
          <w:rFonts w:ascii="Arial" w:hAnsi="Arial"/>
        </w:rPr>
        <w:t xml:space="preserve">Accountability mechanisms such as complaints desks, suggestion boxes, community feedback sessions, and reporting procedures were acknowledged by 66% of respondents. However, only 41% believed these mechanisms functioned reliably. Qualitative accounts further revealed delays in feedback responses, low community awareness of available channels, and limited documentation or follow-up of reported concerns. Community members noted that feedback rarely translates into visible corrective action, which erodes trust and transparency. These observations align with findings from earlier studies indicating that while accountability structures may exist on paper, their effectiveness depends on institutional responsiveness, community engagement, and the availability of monitoring resources (UNEP, 2019; Sibanda, </w:t>
      </w:r>
      <w:proofErr w:type="spellStart"/>
      <w:r>
        <w:rPr>
          <w:rFonts w:ascii="Arial" w:hAnsi="Arial"/>
        </w:rPr>
        <w:t>Obange</w:t>
      </w:r>
      <w:proofErr w:type="spellEnd"/>
      <w:r>
        <w:rPr>
          <w:rFonts w:ascii="Arial" w:hAnsi="Arial"/>
        </w:rPr>
        <w:t xml:space="preserve"> &amp; </w:t>
      </w:r>
      <w:proofErr w:type="spellStart"/>
      <w:r>
        <w:rPr>
          <w:rFonts w:ascii="Arial" w:hAnsi="Arial"/>
        </w:rPr>
        <w:t>Awuor</w:t>
      </w:r>
      <w:proofErr w:type="spellEnd"/>
      <w:r>
        <w:rPr>
          <w:rFonts w:ascii="Arial" w:hAnsi="Arial"/>
        </w:rPr>
        <w:t>, 2017).</w:t>
      </w:r>
    </w:p>
    <w:p w14:paraId="7A9951D7" w14:textId="77777777" w:rsidR="00D06B15" w:rsidRDefault="00D06B15">
      <w:pPr>
        <w:pStyle w:val="Body"/>
        <w:spacing w:after="0"/>
        <w:rPr>
          <w:rFonts w:ascii="Arial" w:hAnsi="Arial"/>
        </w:rPr>
      </w:pPr>
    </w:p>
    <w:p w14:paraId="66E59D70" w14:textId="77777777" w:rsidR="00D06B15" w:rsidRDefault="003761A6">
      <w:pPr>
        <w:pStyle w:val="Body"/>
        <w:spacing w:after="0"/>
        <w:rPr>
          <w:rFonts w:ascii="Arial" w:hAnsi="Arial"/>
        </w:rPr>
      </w:pPr>
      <w:r>
        <w:rPr>
          <w:rFonts w:ascii="Arial" w:hAnsi="Arial"/>
        </w:rPr>
        <w:t xml:space="preserve">Triangulation of the quantitative indicators, qualitative narratives, and previous literature points to an interconnected pattern: capacity deficits weaken coordination processes, and both factors collectively undermine accountability. For example, inadequate staffing and limited data management skills constrain information flow, which affects joint planning, reporting, and timely response to community complaints. Likewise, weak coordination systems reduce stakeholder visibility, thereby affecting transparency and downward accountability. These interdependencies mirror findings from earlier governance and development studies, which emphasize that capacity, coordination, and accountability function as mutually reinforcing pillars of effective </w:t>
      </w:r>
      <w:proofErr w:type="spellStart"/>
      <w:r>
        <w:rPr>
          <w:rFonts w:ascii="Arial" w:hAnsi="Arial"/>
        </w:rPr>
        <w:t>programme</w:t>
      </w:r>
      <w:proofErr w:type="spellEnd"/>
      <w:r>
        <w:rPr>
          <w:rFonts w:ascii="Arial" w:hAnsi="Arial"/>
        </w:rPr>
        <w:t xml:space="preserve"> implementation.</w:t>
      </w:r>
    </w:p>
    <w:p w14:paraId="11D5C71A" w14:textId="77777777" w:rsidR="00D06B15" w:rsidRDefault="00D06B15">
      <w:pPr>
        <w:pStyle w:val="Body"/>
        <w:spacing w:after="0"/>
        <w:rPr>
          <w:rFonts w:ascii="Arial" w:hAnsi="Arial"/>
        </w:rPr>
      </w:pPr>
    </w:p>
    <w:p w14:paraId="67350C68" w14:textId="58800A5D" w:rsidR="006062DE" w:rsidRPr="006062DE" w:rsidRDefault="003761A6" w:rsidP="006062DE">
      <w:pPr>
        <w:pStyle w:val="Body"/>
        <w:spacing w:after="0"/>
        <w:jc w:val="center"/>
        <w:rPr>
          <w:rFonts w:ascii="Arial" w:hAnsi="Arial"/>
          <w:b/>
          <w:bCs/>
        </w:rPr>
      </w:pPr>
      <w:r>
        <w:rPr>
          <w:rFonts w:ascii="Arial" w:hAnsi="Arial"/>
          <w:b/>
          <w:bCs/>
        </w:rPr>
        <w:t>Table 3: Institutional Capacity, Coordination, and Accountability in Solid Waste Management</w:t>
      </w:r>
      <w:r w:rsidR="006062DE" w:rsidRPr="006062DE">
        <w:rPr>
          <w:rFonts w:ascii="Arial" w:hAnsi="Arial"/>
          <w:b/>
          <w:bCs/>
        </w:rPr>
        <w:t xml:space="preserve"> in Garissa Township</w:t>
      </w:r>
    </w:p>
    <w:p w14:paraId="5143FC1F" w14:textId="7929ED43" w:rsidR="00D06B15" w:rsidRDefault="00D06B15">
      <w:pPr>
        <w:pStyle w:val="Body"/>
        <w:spacing w:after="0"/>
        <w:jc w:val="center"/>
        <w:rPr>
          <w:rFonts w:ascii="Arial" w:hAnsi="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332"/>
        <w:gridCol w:w="1179"/>
        <w:gridCol w:w="1430"/>
        <w:gridCol w:w="1619"/>
      </w:tblGrid>
      <w:tr w:rsidR="00D06B15" w14:paraId="096E7C30" w14:textId="77777777">
        <w:trPr>
          <w:tblHeader/>
          <w:tblCellSpacing w:w="15" w:type="dxa"/>
        </w:trPr>
        <w:tc>
          <w:tcPr>
            <w:tcW w:w="0" w:type="auto"/>
            <w:vAlign w:val="center"/>
          </w:tcPr>
          <w:p w14:paraId="382C1CA2" w14:textId="77777777" w:rsidR="00D06B15" w:rsidRDefault="003761A6">
            <w:pPr>
              <w:jc w:val="center"/>
              <w:rPr>
                <w:rFonts w:ascii="Arial" w:hAnsi="Arial" w:cs="Arial"/>
                <w:b/>
                <w:bCs/>
              </w:rPr>
            </w:pPr>
            <w:r>
              <w:rPr>
                <w:rFonts w:ascii="Arial" w:eastAsia="SimSun" w:hAnsi="Arial" w:cs="Arial"/>
                <w:b/>
                <w:bCs/>
                <w:lang w:eastAsia="zh-CN" w:bidi="ar"/>
              </w:rPr>
              <w:t>Governance Dimension</w:t>
            </w:r>
          </w:p>
        </w:tc>
        <w:tc>
          <w:tcPr>
            <w:tcW w:w="0" w:type="auto"/>
            <w:vAlign w:val="center"/>
          </w:tcPr>
          <w:p w14:paraId="0F5357DC" w14:textId="77777777" w:rsidR="00D06B15" w:rsidRDefault="003761A6">
            <w:pPr>
              <w:jc w:val="center"/>
              <w:rPr>
                <w:rFonts w:ascii="Arial" w:hAnsi="Arial" w:cs="Arial"/>
                <w:b/>
                <w:bCs/>
              </w:rPr>
            </w:pPr>
            <w:r>
              <w:rPr>
                <w:rFonts w:ascii="Arial" w:eastAsia="SimSun" w:hAnsi="Arial" w:cs="Arial"/>
                <w:b/>
                <w:bCs/>
                <w:lang w:eastAsia="zh-CN" w:bidi="ar"/>
              </w:rPr>
              <w:t>Indicator Assessed</w:t>
            </w:r>
          </w:p>
        </w:tc>
        <w:tc>
          <w:tcPr>
            <w:tcW w:w="0" w:type="auto"/>
            <w:vAlign w:val="center"/>
          </w:tcPr>
          <w:p w14:paraId="0B5E40B5" w14:textId="77777777" w:rsidR="00D06B15" w:rsidRDefault="003761A6">
            <w:pPr>
              <w:jc w:val="center"/>
              <w:rPr>
                <w:rFonts w:ascii="Arial" w:hAnsi="Arial" w:cs="Arial"/>
                <w:b/>
                <w:bCs/>
              </w:rPr>
            </w:pPr>
            <w:r>
              <w:rPr>
                <w:rFonts w:ascii="Arial" w:eastAsia="SimSun" w:hAnsi="Arial" w:cs="Arial"/>
                <w:b/>
                <w:bCs/>
                <w:lang w:eastAsia="zh-CN" w:bidi="ar"/>
              </w:rPr>
              <w:t>Municipal Staff (%)</w:t>
            </w:r>
          </w:p>
        </w:tc>
        <w:tc>
          <w:tcPr>
            <w:tcW w:w="0" w:type="auto"/>
            <w:vAlign w:val="center"/>
          </w:tcPr>
          <w:p w14:paraId="39E5128E" w14:textId="77777777" w:rsidR="00D06B15" w:rsidRDefault="003761A6">
            <w:pPr>
              <w:jc w:val="center"/>
              <w:rPr>
                <w:rFonts w:ascii="Arial" w:hAnsi="Arial" w:cs="Arial"/>
                <w:b/>
                <w:bCs/>
              </w:rPr>
            </w:pPr>
            <w:r>
              <w:rPr>
                <w:rFonts w:ascii="Arial" w:eastAsia="SimSun" w:hAnsi="Arial" w:cs="Arial"/>
                <w:b/>
                <w:bCs/>
                <w:lang w:eastAsia="zh-CN" w:bidi="ar"/>
              </w:rPr>
              <w:t>Community Leaders (%)</w:t>
            </w:r>
          </w:p>
        </w:tc>
        <w:tc>
          <w:tcPr>
            <w:tcW w:w="0" w:type="auto"/>
            <w:vAlign w:val="center"/>
          </w:tcPr>
          <w:p w14:paraId="2405B145" w14:textId="77777777" w:rsidR="00D06B15" w:rsidRDefault="003761A6">
            <w:pPr>
              <w:jc w:val="center"/>
              <w:rPr>
                <w:rFonts w:ascii="Arial" w:hAnsi="Arial" w:cs="Arial"/>
                <w:b/>
                <w:bCs/>
              </w:rPr>
            </w:pPr>
            <w:r>
              <w:rPr>
                <w:rFonts w:ascii="Arial" w:eastAsia="SimSun" w:hAnsi="Arial" w:cs="Arial"/>
                <w:b/>
                <w:bCs/>
                <w:lang w:eastAsia="zh-CN" w:bidi="ar"/>
              </w:rPr>
              <w:t>Households (%)</w:t>
            </w:r>
          </w:p>
        </w:tc>
      </w:tr>
      <w:tr w:rsidR="00D06B15" w14:paraId="1F2D30C2" w14:textId="77777777">
        <w:trPr>
          <w:tblCellSpacing w:w="15" w:type="dxa"/>
        </w:trPr>
        <w:tc>
          <w:tcPr>
            <w:tcW w:w="0" w:type="auto"/>
            <w:vAlign w:val="center"/>
          </w:tcPr>
          <w:p w14:paraId="6E9EE1ED" w14:textId="77777777" w:rsidR="00D06B15" w:rsidRDefault="003761A6">
            <w:pPr>
              <w:rPr>
                <w:rFonts w:ascii="Arial" w:hAnsi="Arial" w:cs="Arial"/>
              </w:rPr>
            </w:pPr>
            <w:r>
              <w:rPr>
                <w:rStyle w:val="Strong"/>
                <w:rFonts w:ascii="Arial" w:eastAsia="SimSun" w:hAnsi="Arial" w:cs="Arial"/>
                <w:lang w:eastAsia="zh-CN" w:bidi="ar"/>
              </w:rPr>
              <w:t>Capacity</w:t>
            </w:r>
          </w:p>
        </w:tc>
        <w:tc>
          <w:tcPr>
            <w:tcW w:w="0" w:type="auto"/>
            <w:vAlign w:val="center"/>
          </w:tcPr>
          <w:p w14:paraId="604E2C8B" w14:textId="77777777" w:rsidR="00D06B15" w:rsidRDefault="003761A6">
            <w:pPr>
              <w:rPr>
                <w:rFonts w:ascii="Arial" w:hAnsi="Arial" w:cs="Arial"/>
              </w:rPr>
            </w:pPr>
            <w:r>
              <w:rPr>
                <w:rFonts w:ascii="Arial" w:eastAsia="SimSun" w:hAnsi="Arial" w:cs="Arial"/>
                <w:lang w:eastAsia="zh-CN" w:bidi="ar"/>
              </w:rPr>
              <w:t>Adequacy of technical and human resources</w:t>
            </w:r>
          </w:p>
        </w:tc>
        <w:tc>
          <w:tcPr>
            <w:tcW w:w="0" w:type="auto"/>
            <w:vAlign w:val="center"/>
          </w:tcPr>
          <w:p w14:paraId="320FBC9E" w14:textId="77777777" w:rsidR="00D06B15" w:rsidRDefault="003761A6">
            <w:pPr>
              <w:rPr>
                <w:rFonts w:ascii="Arial" w:hAnsi="Arial" w:cs="Arial"/>
              </w:rPr>
            </w:pPr>
            <w:r>
              <w:rPr>
                <w:rFonts w:ascii="Arial" w:eastAsia="SimSun" w:hAnsi="Arial" w:cs="Arial"/>
                <w:lang w:eastAsia="zh-CN" w:bidi="ar"/>
              </w:rPr>
              <w:t>46%</w:t>
            </w:r>
          </w:p>
        </w:tc>
        <w:tc>
          <w:tcPr>
            <w:tcW w:w="0" w:type="auto"/>
            <w:vAlign w:val="center"/>
          </w:tcPr>
          <w:p w14:paraId="20C3D75C" w14:textId="77777777" w:rsidR="00D06B15" w:rsidRDefault="003761A6">
            <w:pPr>
              <w:rPr>
                <w:rFonts w:ascii="Arial" w:hAnsi="Arial" w:cs="Arial"/>
              </w:rPr>
            </w:pPr>
            <w:r>
              <w:rPr>
                <w:rFonts w:ascii="Arial" w:eastAsia="SimSun" w:hAnsi="Arial" w:cs="Arial"/>
                <w:lang w:eastAsia="zh-CN" w:bidi="ar"/>
              </w:rPr>
              <w:t>40%</w:t>
            </w:r>
          </w:p>
        </w:tc>
        <w:tc>
          <w:tcPr>
            <w:tcW w:w="0" w:type="auto"/>
            <w:vAlign w:val="center"/>
          </w:tcPr>
          <w:p w14:paraId="1429B5B9" w14:textId="77777777" w:rsidR="00D06B15" w:rsidRDefault="003761A6">
            <w:pPr>
              <w:rPr>
                <w:rFonts w:ascii="Arial" w:hAnsi="Arial" w:cs="Arial"/>
              </w:rPr>
            </w:pPr>
            <w:r>
              <w:rPr>
                <w:rFonts w:ascii="Arial" w:eastAsia="SimSun" w:hAnsi="Arial" w:cs="Arial"/>
                <w:lang w:eastAsia="zh-CN" w:bidi="ar"/>
              </w:rPr>
              <w:t>—</w:t>
            </w:r>
          </w:p>
        </w:tc>
      </w:tr>
      <w:tr w:rsidR="00D06B15" w14:paraId="529874AB" w14:textId="77777777">
        <w:trPr>
          <w:tblCellSpacing w:w="15" w:type="dxa"/>
        </w:trPr>
        <w:tc>
          <w:tcPr>
            <w:tcW w:w="0" w:type="auto"/>
            <w:vAlign w:val="center"/>
          </w:tcPr>
          <w:p w14:paraId="23B43EF2" w14:textId="77777777" w:rsidR="00D06B15" w:rsidRDefault="00D06B15">
            <w:pPr>
              <w:rPr>
                <w:rFonts w:ascii="Arial" w:hAnsi="Arial" w:cs="Arial"/>
              </w:rPr>
            </w:pPr>
          </w:p>
        </w:tc>
        <w:tc>
          <w:tcPr>
            <w:tcW w:w="0" w:type="auto"/>
            <w:vAlign w:val="center"/>
          </w:tcPr>
          <w:p w14:paraId="54DF93CB" w14:textId="77777777" w:rsidR="00D06B15" w:rsidRDefault="003761A6">
            <w:pPr>
              <w:rPr>
                <w:rFonts w:ascii="Arial" w:hAnsi="Arial" w:cs="Arial"/>
              </w:rPr>
            </w:pPr>
            <w:r>
              <w:rPr>
                <w:rFonts w:ascii="Arial" w:eastAsia="SimSun" w:hAnsi="Arial" w:cs="Arial"/>
                <w:lang w:eastAsia="zh-CN" w:bidi="ar"/>
              </w:rPr>
              <w:t>Adequacy of equipment and logistical support</w:t>
            </w:r>
          </w:p>
        </w:tc>
        <w:tc>
          <w:tcPr>
            <w:tcW w:w="0" w:type="auto"/>
            <w:vAlign w:val="center"/>
          </w:tcPr>
          <w:p w14:paraId="2035B055" w14:textId="77777777" w:rsidR="00D06B15" w:rsidRDefault="003761A6">
            <w:pPr>
              <w:rPr>
                <w:rFonts w:ascii="Arial" w:hAnsi="Arial" w:cs="Arial"/>
              </w:rPr>
            </w:pPr>
            <w:r>
              <w:rPr>
                <w:rFonts w:ascii="Arial" w:eastAsia="SimSun" w:hAnsi="Arial" w:cs="Arial"/>
                <w:lang w:eastAsia="zh-CN" w:bidi="ar"/>
              </w:rPr>
              <w:t>42%</w:t>
            </w:r>
          </w:p>
        </w:tc>
        <w:tc>
          <w:tcPr>
            <w:tcW w:w="0" w:type="auto"/>
            <w:vAlign w:val="center"/>
          </w:tcPr>
          <w:p w14:paraId="46BA81B3" w14:textId="77777777" w:rsidR="00D06B15" w:rsidRDefault="003761A6">
            <w:pPr>
              <w:rPr>
                <w:rFonts w:ascii="Arial" w:hAnsi="Arial" w:cs="Arial"/>
              </w:rPr>
            </w:pPr>
            <w:r>
              <w:rPr>
                <w:rFonts w:ascii="Arial" w:eastAsia="SimSun" w:hAnsi="Arial" w:cs="Arial"/>
                <w:lang w:eastAsia="zh-CN" w:bidi="ar"/>
              </w:rPr>
              <w:t>38%</w:t>
            </w:r>
          </w:p>
        </w:tc>
        <w:tc>
          <w:tcPr>
            <w:tcW w:w="0" w:type="auto"/>
            <w:vAlign w:val="center"/>
          </w:tcPr>
          <w:p w14:paraId="7C0E7B2D" w14:textId="77777777" w:rsidR="00D06B15" w:rsidRDefault="003761A6">
            <w:pPr>
              <w:rPr>
                <w:rFonts w:ascii="Arial" w:hAnsi="Arial" w:cs="Arial"/>
              </w:rPr>
            </w:pPr>
            <w:r>
              <w:rPr>
                <w:rFonts w:ascii="Arial" w:eastAsia="SimSun" w:hAnsi="Arial" w:cs="Arial"/>
                <w:lang w:eastAsia="zh-CN" w:bidi="ar"/>
              </w:rPr>
              <w:t>—</w:t>
            </w:r>
          </w:p>
        </w:tc>
      </w:tr>
      <w:tr w:rsidR="00D06B15" w14:paraId="19791F81" w14:textId="77777777">
        <w:trPr>
          <w:tblCellSpacing w:w="15" w:type="dxa"/>
        </w:trPr>
        <w:tc>
          <w:tcPr>
            <w:tcW w:w="0" w:type="auto"/>
            <w:vAlign w:val="center"/>
          </w:tcPr>
          <w:p w14:paraId="3DC09FC2" w14:textId="77777777" w:rsidR="00D06B15" w:rsidRDefault="00D06B15">
            <w:pPr>
              <w:rPr>
                <w:rFonts w:ascii="Arial" w:hAnsi="Arial" w:cs="Arial"/>
              </w:rPr>
            </w:pPr>
          </w:p>
        </w:tc>
        <w:tc>
          <w:tcPr>
            <w:tcW w:w="0" w:type="auto"/>
            <w:vAlign w:val="center"/>
          </w:tcPr>
          <w:p w14:paraId="21BDB4F0" w14:textId="77777777" w:rsidR="00D06B15" w:rsidRDefault="003761A6">
            <w:pPr>
              <w:rPr>
                <w:rFonts w:ascii="Arial" w:hAnsi="Arial" w:cs="Arial"/>
              </w:rPr>
            </w:pPr>
            <w:r>
              <w:rPr>
                <w:rFonts w:ascii="Arial" w:eastAsia="SimSun" w:hAnsi="Arial" w:cs="Arial"/>
                <w:lang w:eastAsia="zh-CN" w:bidi="ar"/>
              </w:rPr>
              <w:t>Perceived adequacy of service coverage</w:t>
            </w:r>
          </w:p>
        </w:tc>
        <w:tc>
          <w:tcPr>
            <w:tcW w:w="0" w:type="auto"/>
            <w:vAlign w:val="center"/>
          </w:tcPr>
          <w:p w14:paraId="05D31E67" w14:textId="77777777" w:rsidR="00D06B15" w:rsidRDefault="003761A6">
            <w:pPr>
              <w:rPr>
                <w:rFonts w:ascii="Arial" w:hAnsi="Arial" w:cs="Arial"/>
              </w:rPr>
            </w:pPr>
            <w:r>
              <w:rPr>
                <w:rFonts w:ascii="Arial" w:eastAsia="SimSun" w:hAnsi="Arial" w:cs="Arial"/>
                <w:lang w:eastAsia="zh-CN" w:bidi="ar"/>
              </w:rPr>
              <w:t>—</w:t>
            </w:r>
          </w:p>
        </w:tc>
        <w:tc>
          <w:tcPr>
            <w:tcW w:w="0" w:type="auto"/>
            <w:vAlign w:val="center"/>
          </w:tcPr>
          <w:p w14:paraId="0F420646" w14:textId="77777777" w:rsidR="00D06B15" w:rsidRDefault="003761A6">
            <w:pPr>
              <w:rPr>
                <w:rFonts w:ascii="Arial" w:hAnsi="Arial" w:cs="Arial"/>
              </w:rPr>
            </w:pPr>
            <w:r>
              <w:rPr>
                <w:rFonts w:ascii="Arial" w:eastAsia="SimSun" w:hAnsi="Arial" w:cs="Arial"/>
                <w:lang w:eastAsia="zh-CN" w:bidi="ar"/>
              </w:rPr>
              <w:t>—</w:t>
            </w:r>
          </w:p>
        </w:tc>
        <w:tc>
          <w:tcPr>
            <w:tcW w:w="0" w:type="auto"/>
            <w:vAlign w:val="center"/>
          </w:tcPr>
          <w:p w14:paraId="72F76F63" w14:textId="77777777" w:rsidR="00D06B15" w:rsidRDefault="003761A6">
            <w:pPr>
              <w:rPr>
                <w:rFonts w:ascii="Arial" w:hAnsi="Arial" w:cs="Arial"/>
              </w:rPr>
            </w:pPr>
            <w:r>
              <w:rPr>
                <w:rFonts w:ascii="Arial" w:eastAsia="SimSun" w:hAnsi="Arial" w:cs="Arial"/>
                <w:lang w:eastAsia="zh-CN" w:bidi="ar"/>
              </w:rPr>
              <w:t>58% report inadequate coverage</w:t>
            </w:r>
          </w:p>
        </w:tc>
      </w:tr>
      <w:tr w:rsidR="00D06B15" w14:paraId="4CC9AF55" w14:textId="77777777">
        <w:trPr>
          <w:tblCellSpacing w:w="15" w:type="dxa"/>
        </w:trPr>
        <w:tc>
          <w:tcPr>
            <w:tcW w:w="0" w:type="auto"/>
            <w:vAlign w:val="center"/>
          </w:tcPr>
          <w:p w14:paraId="56BA5920" w14:textId="77777777" w:rsidR="00D06B15" w:rsidRDefault="003761A6">
            <w:pPr>
              <w:rPr>
                <w:rFonts w:ascii="Arial" w:hAnsi="Arial" w:cs="Arial"/>
              </w:rPr>
            </w:pPr>
            <w:r>
              <w:rPr>
                <w:rStyle w:val="Strong"/>
                <w:rFonts w:ascii="Arial" w:eastAsia="SimSun" w:hAnsi="Arial" w:cs="Arial"/>
                <w:lang w:eastAsia="zh-CN" w:bidi="ar"/>
              </w:rPr>
              <w:t>Coordination</w:t>
            </w:r>
          </w:p>
        </w:tc>
        <w:tc>
          <w:tcPr>
            <w:tcW w:w="0" w:type="auto"/>
            <w:vAlign w:val="center"/>
          </w:tcPr>
          <w:p w14:paraId="45FA027B" w14:textId="77777777" w:rsidR="00D06B15" w:rsidRDefault="003761A6">
            <w:pPr>
              <w:rPr>
                <w:rFonts w:ascii="Arial" w:hAnsi="Arial" w:cs="Arial"/>
              </w:rPr>
            </w:pPr>
            <w:r>
              <w:rPr>
                <w:rFonts w:ascii="Arial" w:eastAsia="SimSun" w:hAnsi="Arial" w:cs="Arial"/>
                <w:lang w:eastAsia="zh-CN" w:bidi="ar"/>
              </w:rPr>
              <w:t>Effective coordination across county departments</w:t>
            </w:r>
          </w:p>
        </w:tc>
        <w:tc>
          <w:tcPr>
            <w:tcW w:w="0" w:type="auto"/>
            <w:vAlign w:val="center"/>
          </w:tcPr>
          <w:p w14:paraId="233E0B11" w14:textId="77777777" w:rsidR="00D06B15" w:rsidRDefault="003761A6">
            <w:pPr>
              <w:rPr>
                <w:rFonts w:ascii="Arial" w:hAnsi="Arial" w:cs="Arial"/>
              </w:rPr>
            </w:pPr>
            <w:r>
              <w:rPr>
                <w:rFonts w:ascii="Arial" w:eastAsia="SimSun" w:hAnsi="Arial" w:cs="Arial"/>
                <w:lang w:eastAsia="zh-CN" w:bidi="ar"/>
              </w:rPr>
              <w:t>44%</w:t>
            </w:r>
          </w:p>
        </w:tc>
        <w:tc>
          <w:tcPr>
            <w:tcW w:w="0" w:type="auto"/>
            <w:vAlign w:val="center"/>
          </w:tcPr>
          <w:p w14:paraId="1E3B519C" w14:textId="77777777" w:rsidR="00D06B15" w:rsidRDefault="003761A6">
            <w:pPr>
              <w:rPr>
                <w:rFonts w:ascii="Arial" w:hAnsi="Arial" w:cs="Arial"/>
              </w:rPr>
            </w:pPr>
            <w:r>
              <w:rPr>
                <w:rFonts w:ascii="Arial" w:eastAsia="SimSun" w:hAnsi="Arial" w:cs="Arial"/>
                <w:lang w:eastAsia="zh-CN" w:bidi="ar"/>
              </w:rPr>
              <w:t>39%</w:t>
            </w:r>
          </w:p>
        </w:tc>
        <w:tc>
          <w:tcPr>
            <w:tcW w:w="0" w:type="auto"/>
            <w:vAlign w:val="center"/>
          </w:tcPr>
          <w:p w14:paraId="64B69D9E" w14:textId="77777777" w:rsidR="00D06B15" w:rsidRDefault="003761A6">
            <w:pPr>
              <w:rPr>
                <w:rFonts w:ascii="Arial" w:hAnsi="Arial" w:cs="Arial"/>
              </w:rPr>
            </w:pPr>
            <w:r>
              <w:rPr>
                <w:rFonts w:ascii="Arial" w:eastAsia="SimSun" w:hAnsi="Arial" w:cs="Arial"/>
                <w:lang w:eastAsia="zh-CN" w:bidi="ar"/>
              </w:rPr>
              <w:t>—</w:t>
            </w:r>
          </w:p>
        </w:tc>
      </w:tr>
      <w:tr w:rsidR="00D06B15" w14:paraId="067AA69A" w14:textId="77777777">
        <w:trPr>
          <w:tblCellSpacing w:w="15" w:type="dxa"/>
        </w:trPr>
        <w:tc>
          <w:tcPr>
            <w:tcW w:w="0" w:type="auto"/>
            <w:vAlign w:val="center"/>
          </w:tcPr>
          <w:p w14:paraId="70583029" w14:textId="77777777" w:rsidR="00D06B15" w:rsidRDefault="00D06B15">
            <w:pPr>
              <w:rPr>
                <w:rFonts w:ascii="Arial" w:hAnsi="Arial" w:cs="Arial"/>
              </w:rPr>
            </w:pPr>
          </w:p>
        </w:tc>
        <w:tc>
          <w:tcPr>
            <w:tcW w:w="0" w:type="auto"/>
            <w:vAlign w:val="center"/>
          </w:tcPr>
          <w:p w14:paraId="023C7E66" w14:textId="77777777" w:rsidR="00D06B15" w:rsidRDefault="003761A6">
            <w:pPr>
              <w:rPr>
                <w:rFonts w:ascii="Arial" w:hAnsi="Arial" w:cs="Arial"/>
              </w:rPr>
            </w:pPr>
            <w:r>
              <w:rPr>
                <w:rFonts w:ascii="Arial" w:eastAsia="SimSun" w:hAnsi="Arial" w:cs="Arial"/>
                <w:lang w:eastAsia="zh-CN" w:bidi="ar"/>
              </w:rPr>
              <w:t>Collaboration with private waste operators</w:t>
            </w:r>
          </w:p>
        </w:tc>
        <w:tc>
          <w:tcPr>
            <w:tcW w:w="0" w:type="auto"/>
            <w:vAlign w:val="center"/>
          </w:tcPr>
          <w:p w14:paraId="65C9B8F0" w14:textId="77777777" w:rsidR="00D06B15" w:rsidRDefault="003761A6">
            <w:pPr>
              <w:rPr>
                <w:rFonts w:ascii="Arial" w:hAnsi="Arial" w:cs="Arial"/>
              </w:rPr>
            </w:pPr>
            <w:r>
              <w:rPr>
                <w:rFonts w:ascii="Arial" w:eastAsia="SimSun" w:hAnsi="Arial" w:cs="Arial"/>
                <w:lang w:eastAsia="zh-CN" w:bidi="ar"/>
              </w:rPr>
              <w:t>41%</w:t>
            </w:r>
          </w:p>
        </w:tc>
        <w:tc>
          <w:tcPr>
            <w:tcW w:w="0" w:type="auto"/>
            <w:vAlign w:val="center"/>
          </w:tcPr>
          <w:p w14:paraId="06C8BDA3" w14:textId="77777777" w:rsidR="00D06B15" w:rsidRDefault="003761A6">
            <w:pPr>
              <w:rPr>
                <w:rFonts w:ascii="Arial" w:hAnsi="Arial" w:cs="Arial"/>
              </w:rPr>
            </w:pPr>
            <w:r>
              <w:rPr>
                <w:rFonts w:ascii="Arial" w:eastAsia="SimSun" w:hAnsi="Arial" w:cs="Arial"/>
                <w:lang w:eastAsia="zh-CN" w:bidi="ar"/>
              </w:rPr>
              <w:t>36%</w:t>
            </w:r>
          </w:p>
        </w:tc>
        <w:tc>
          <w:tcPr>
            <w:tcW w:w="0" w:type="auto"/>
            <w:vAlign w:val="center"/>
          </w:tcPr>
          <w:p w14:paraId="5E1FD6A7" w14:textId="77777777" w:rsidR="00D06B15" w:rsidRDefault="003761A6">
            <w:pPr>
              <w:rPr>
                <w:rFonts w:ascii="Arial" w:hAnsi="Arial" w:cs="Arial"/>
              </w:rPr>
            </w:pPr>
            <w:r>
              <w:rPr>
                <w:rFonts w:ascii="Arial" w:eastAsia="SimSun" w:hAnsi="Arial" w:cs="Arial"/>
                <w:lang w:eastAsia="zh-CN" w:bidi="ar"/>
              </w:rPr>
              <w:t>33% report inconsistent services</w:t>
            </w:r>
          </w:p>
        </w:tc>
      </w:tr>
      <w:tr w:rsidR="00D06B15" w14:paraId="4CE1339F" w14:textId="77777777">
        <w:trPr>
          <w:tblCellSpacing w:w="15" w:type="dxa"/>
        </w:trPr>
        <w:tc>
          <w:tcPr>
            <w:tcW w:w="0" w:type="auto"/>
            <w:vAlign w:val="center"/>
          </w:tcPr>
          <w:p w14:paraId="2A5624EF" w14:textId="77777777" w:rsidR="00D06B15" w:rsidRDefault="00D06B15">
            <w:pPr>
              <w:rPr>
                <w:rFonts w:ascii="Arial" w:hAnsi="Arial" w:cs="Arial"/>
              </w:rPr>
            </w:pPr>
          </w:p>
        </w:tc>
        <w:tc>
          <w:tcPr>
            <w:tcW w:w="0" w:type="auto"/>
            <w:vAlign w:val="center"/>
          </w:tcPr>
          <w:p w14:paraId="45D3A723" w14:textId="77777777" w:rsidR="00D06B15" w:rsidRDefault="003761A6">
            <w:pPr>
              <w:rPr>
                <w:rFonts w:ascii="Arial" w:hAnsi="Arial" w:cs="Arial"/>
              </w:rPr>
            </w:pPr>
            <w:r>
              <w:rPr>
                <w:rFonts w:ascii="Arial" w:eastAsia="SimSun" w:hAnsi="Arial" w:cs="Arial"/>
                <w:lang w:eastAsia="zh-CN" w:bidi="ar"/>
              </w:rPr>
              <w:t>Engagement with community structures</w:t>
            </w:r>
          </w:p>
        </w:tc>
        <w:tc>
          <w:tcPr>
            <w:tcW w:w="0" w:type="auto"/>
            <w:vAlign w:val="center"/>
          </w:tcPr>
          <w:p w14:paraId="63BFBA09" w14:textId="77777777" w:rsidR="00D06B15" w:rsidRDefault="003761A6">
            <w:pPr>
              <w:rPr>
                <w:rFonts w:ascii="Arial" w:hAnsi="Arial" w:cs="Arial"/>
              </w:rPr>
            </w:pPr>
            <w:r>
              <w:rPr>
                <w:rFonts w:ascii="Arial" w:eastAsia="SimSun" w:hAnsi="Arial" w:cs="Arial"/>
                <w:lang w:eastAsia="zh-CN" w:bidi="ar"/>
              </w:rPr>
              <w:t>38%</w:t>
            </w:r>
          </w:p>
        </w:tc>
        <w:tc>
          <w:tcPr>
            <w:tcW w:w="0" w:type="auto"/>
            <w:vAlign w:val="center"/>
          </w:tcPr>
          <w:p w14:paraId="4D50E0AF" w14:textId="77777777" w:rsidR="00D06B15" w:rsidRDefault="003761A6">
            <w:pPr>
              <w:rPr>
                <w:rFonts w:ascii="Arial" w:hAnsi="Arial" w:cs="Arial"/>
              </w:rPr>
            </w:pPr>
            <w:r>
              <w:rPr>
                <w:rFonts w:ascii="Arial" w:eastAsia="SimSun" w:hAnsi="Arial" w:cs="Arial"/>
                <w:lang w:eastAsia="zh-CN" w:bidi="ar"/>
              </w:rPr>
              <w:t>42%</w:t>
            </w:r>
          </w:p>
        </w:tc>
        <w:tc>
          <w:tcPr>
            <w:tcW w:w="0" w:type="auto"/>
            <w:vAlign w:val="center"/>
          </w:tcPr>
          <w:p w14:paraId="32C86541" w14:textId="77777777" w:rsidR="00D06B15" w:rsidRDefault="003761A6">
            <w:pPr>
              <w:rPr>
                <w:rFonts w:ascii="Arial" w:hAnsi="Arial" w:cs="Arial"/>
              </w:rPr>
            </w:pPr>
            <w:r>
              <w:rPr>
                <w:rFonts w:ascii="Arial" w:eastAsia="SimSun" w:hAnsi="Arial" w:cs="Arial"/>
                <w:lang w:eastAsia="zh-CN" w:bidi="ar"/>
              </w:rPr>
              <w:t>30% report minimal engagement</w:t>
            </w:r>
          </w:p>
        </w:tc>
      </w:tr>
      <w:tr w:rsidR="00D06B15" w14:paraId="27B900EA" w14:textId="77777777">
        <w:trPr>
          <w:tblCellSpacing w:w="15" w:type="dxa"/>
        </w:trPr>
        <w:tc>
          <w:tcPr>
            <w:tcW w:w="0" w:type="auto"/>
            <w:vAlign w:val="center"/>
          </w:tcPr>
          <w:p w14:paraId="76863FC3" w14:textId="77777777" w:rsidR="00D06B15" w:rsidRDefault="003761A6">
            <w:pPr>
              <w:rPr>
                <w:rFonts w:ascii="Arial" w:hAnsi="Arial" w:cs="Arial"/>
              </w:rPr>
            </w:pPr>
            <w:r>
              <w:rPr>
                <w:rStyle w:val="Strong"/>
                <w:rFonts w:ascii="Arial" w:eastAsia="SimSun" w:hAnsi="Arial" w:cs="Arial"/>
                <w:lang w:eastAsia="zh-CN" w:bidi="ar"/>
              </w:rPr>
              <w:t>Accountability</w:t>
            </w:r>
          </w:p>
        </w:tc>
        <w:tc>
          <w:tcPr>
            <w:tcW w:w="0" w:type="auto"/>
            <w:vAlign w:val="center"/>
          </w:tcPr>
          <w:p w14:paraId="1749165A" w14:textId="77777777" w:rsidR="00D06B15" w:rsidRDefault="003761A6">
            <w:pPr>
              <w:rPr>
                <w:rFonts w:ascii="Arial" w:hAnsi="Arial" w:cs="Arial"/>
              </w:rPr>
            </w:pPr>
            <w:r>
              <w:rPr>
                <w:rFonts w:ascii="Arial" w:eastAsia="SimSun" w:hAnsi="Arial" w:cs="Arial"/>
                <w:lang w:eastAsia="zh-CN" w:bidi="ar"/>
              </w:rPr>
              <w:t>Responsiveness to complaints</w:t>
            </w:r>
          </w:p>
        </w:tc>
        <w:tc>
          <w:tcPr>
            <w:tcW w:w="0" w:type="auto"/>
            <w:vAlign w:val="center"/>
          </w:tcPr>
          <w:p w14:paraId="69EB2D92" w14:textId="77777777" w:rsidR="00D06B15" w:rsidRDefault="003761A6">
            <w:pPr>
              <w:rPr>
                <w:rFonts w:ascii="Arial" w:hAnsi="Arial" w:cs="Arial"/>
              </w:rPr>
            </w:pPr>
            <w:r>
              <w:rPr>
                <w:rFonts w:ascii="Arial" w:eastAsia="SimSun" w:hAnsi="Arial" w:cs="Arial"/>
                <w:lang w:eastAsia="zh-CN" w:bidi="ar"/>
              </w:rPr>
              <w:t>—</w:t>
            </w:r>
          </w:p>
        </w:tc>
        <w:tc>
          <w:tcPr>
            <w:tcW w:w="0" w:type="auto"/>
            <w:vAlign w:val="center"/>
          </w:tcPr>
          <w:p w14:paraId="7E4020B0" w14:textId="77777777" w:rsidR="00D06B15" w:rsidRDefault="003761A6">
            <w:pPr>
              <w:rPr>
                <w:rFonts w:ascii="Arial" w:hAnsi="Arial" w:cs="Arial"/>
              </w:rPr>
            </w:pPr>
            <w:r>
              <w:rPr>
                <w:rFonts w:ascii="Arial" w:eastAsia="SimSun" w:hAnsi="Arial" w:cs="Arial"/>
                <w:lang w:eastAsia="zh-CN" w:bidi="ar"/>
              </w:rPr>
              <w:t>38%</w:t>
            </w:r>
          </w:p>
        </w:tc>
        <w:tc>
          <w:tcPr>
            <w:tcW w:w="0" w:type="auto"/>
            <w:vAlign w:val="center"/>
          </w:tcPr>
          <w:p w14:paraId="7D32FA4B" w14:textId="77777777" w:rsidR="00D06B15" w:rsidRDefault="003761A6">
            <w:pPr>
              <w:rPr>
                <w:rFonts w:ascii="Arial" w:hAnsi="Arial" w:cs="Arial"/>
              </w:rPr>
            </w:pPr>
            <w:r>
              <w:rPr>
                <w:rFonts w:ascii="Arial" w:eastAsia="SimSun" w:hAnsi="Arial" w:cs="Arial"/>
                <w:lang w:eastAsia="zh-CN" w:bidi="ar"/>
              </w:rPr>
              <w:t>32%</w:t>
            </w:r>
          </w:p>
        </w:tc>
      </w:tr>
      <w:tr w:rsidR="00D06B15" w14:paraId="16DE9F7F" w14:textId="77777777">
        <w:trPr>
          <w:tblCellSpacing w:w="15" w:type="dxa"/>
        </w:trPr>
        <w:tc>
          <w:tcPr>
            <w:tcW w:w="0" w:type="auto"/>
            <w:vAlign w:val="center"/>
          </w:tcPr>
          <w:p w14:paraId="7F64D99C" w14:textId="77777777" w:rsidR="00D06B15" w:rsidRDefault="00D06B15">
            <w:pPr>
              <w:rPr>
                <w:rFonts w:ascii="Arial" w:hAnsi="Arial" w:cs="Arial"/>
              </w:rPr>
            </w:pPr>
          </w:p>
        </w:tc>
        <w:tc>
          <w:tcPr>
            <w:tcW w:w="0" w:type="auto"/>
            <w:vAlign w:val="center"/>
          </w:tcPr>
          <w:p w14:paraId="5AFD363F" w14:textId="77777777" w:rsidR="00D06B15" w:rsidRDefault="003761A6">
            <w:pPr>
              <w:rPr>
                <w:rFonts w:ascii="Arial" w:hAnsi="Arial" w:cs="Arial"/>
              </w:rPr>
            </w:pPr>
            <w:r>
              <w:rPr>
                <w:rFonts w:ascii="Arial" w:eastAsia="SimSun" w:hAnsi="Arial" w:cs="Arial"/>
                <w:lang w:eastAsia="zh-CN" w:bidi="ar"/>
              </w:rPr>
              <w:t>Consistency in enforcement of regulations</w:t>
            </w:r>
          </w:p>
        </w:tc>
        <w:tc>
          <w:tcPr>
            <w:tcW w:w="0" w:type="auto"/>
            <w:vAlign w:val="center"/>
          </w:tcPr>
          <w:p w14:paraId="3F170367" w14:textId="77777777" w:rsidR="00D06B15" w:rsidRDefault="003761A6">
            <w:pPr>
              <w:rPr>
                <w:rFonts w:ascii="Arial" w:hAnsi="Arial" w:cs="Arial"/>
              </w:rPr>
            </w:pPr>
            <w:r>
              <w:rPr>
                <w:rFonts w:ascii="Arial" w:eastAsia="SimSun" w:hAnsi="Arial" w:cs="Arial"/>
                <w:lang w:eastAsia="zh-CN" w:bidi="ar"/>
              </w:rPr>
              <w:t>40%</w:t>
            </w:r>
          </w:p>
        </w:tc>
        <w:tc>
          <w:tcPr>
            <w:tcW w:w="0" w:type="auto"/>
            <w:vAlign w:val="center"/>
          </w:tcPr>
          <w:p w14:paraId="70EA4B33" w14:textId="77777777" w:rsidR="00D06B15" w:rsidRDefault="003761A6">
            <w:pPr>
              <w:rPr>
                <w:rFonts w:ascii="Arial" w:hAnsi="Arial" w:cs="Arial"/>
              </w:rPr>
            </w:pPr>
            <w:r>
              <w:rPr>
                <w:rFonts w:ascii="Arial" w:eastAsia="SimSun" w:hAnsi="Arial" w:cs="Arial"/>
                <w:lang w:eastAsia="zh-CN" w:bidi="ar"/>
              </w:rPr>
              <w:t>35%</w:t>
            </w:r>
          </w:p>
        </w:tc>
        <w:tc>
          <w:tcPr>
            <w:tcW w:w="0" w:type="auto"/>
            <w:vAlign w:val="center"/>
          </w:tcPr>
          <w:p w14:paraId="6753D9FD" w14:textId="77777777" w:rsidR="00D06B15" w:rsidRDefault="003761A6">
            <w:pPr>
              <w:rPr>
                <w:rFonts w:ascii="Arial" w:hAnsi="Arial" w:cs="Arial"/>
              </w:rPr>
            </w:pPr>
            <w:r>
              <w:rPr>
                <w:rFonts w:ascii="Arial" w:eastAsia="SimSun" w:hAnsi="Arial" w:cs="Arial"/>
                <w:lang w:eastAsia="zh-CN" w:bidi="ar"/>
              </w:rPr>
              <w:t>30%</w:t>
            </w:r>
          </w:p>
        </w:tc>
      </w:tr>
      <w:tr w:rsidR="00D06B15" w14:paraId="6803D119" w14:textId="77777777">
        <w:trPr>
          <w:tblCellSpacing w:w="15" w:type="dxa"/>
        </w:trPr>
        <w:tc>
          <w:tcPr>
            <w:tcW w:w="0" w:type="auto"/>
            <w:vAlign w:val="center"/>
          </w:tcPr>
          <w:p w14:paraId="759983C8" w14:textId="77777777" w:rsidR="00D06B15" w:rsidRDefault="00D06B15">
            <w:pPr>
              <w:rPr>
                <w:rFonts w:ascii="Arial" w:hAnsi="Arial" w:cs="Arial"/>
              </w:rPr>
            </w:pPr>
          </w:p>
        </w:tc>
        <w:tc>
          <w:tcPr>
            <w:tcW w:w="0" w:type="auto"/>
            <w:vAlign w:val="center"/>
          </w:tcPr>
          <w:p w14:paraId="1D6175C9" w14:textId="77777777" w:rsidR="00D06B15" w:rsidRDefault="003761A6">
            <w:pPr>
              <w:rPr>
                <w:rFonts w:ascii="Arial" w:hAnsi="Arial" w:cs="Arial"/>
              </w:rPr>
            </w:pPr>
            <w:r>
              <w:rPr>
                <w:rFonts w:ascii="Arial" w:eastAsia="SimSun" w:hAnsi="Arial" w:cs="Arial"/>
                <w:lang w:eastAsia="zh-CN" w:bidi="ar"/>
              </w:rPr>
              <w:t>Availability of feedback/reporting channels</w:t>
            </w:r>
          </w:p>
        </w:tc>
        <w:tc>
          <w:tcPr>
            <w:tcW w:w="0" w:type="auto"/>
            <w:vAlign w:val="center"/>
          </w:tcPr>
          <w:p w14:paraId="3EF069AD" w14:textId="77777777" w:rsidR="00D06B15" w:rsidRDefault="003761A6">
            <w:pPr>
              <w:rPr>
                <w:rFonts w:ascii="Arial" w:hAnsi="Arial" w:cs="Arial"/>
              </w:rPr>
            </w:pPr>
            <w:r>
              <w:rPr>
                <w:rFonts w:ascii="Arial" w:eastAsia="SimSun" w:hAnsi="Arial" w:cs="Arial"/>
                <w:lang w:eastAsia="zh-CN" w:bidi="ar"/>
              </w:rPr>
              <w:t>36%</w:t>
            </w:r>
          </w:p>
        </w:tc>
        <w:tc>
          <w:tcPr>
            <w:tcW w:w="0" w:type="auto"/>
            <w:vAlign w:val="center"/>
          </w:tcPr>
          <w:p w14:paraId="2812DA88" w14:textId="77777777" w:rsidR="00D06B15" w:rsidRDefault="003761A6">
            <w:pPr>
              <w:rPr>
                <w:rFonts w:ascii="Arial" w:hAnsi="Arial" w:cs="Arial"/>
              </w:rPr>
            </w:pPr>
            <w:r>
              <w:rPr>
                <w:rFonts w:ascii="Arial" w:eastAsia="SimSun" w:hAnsi="Arial" w:cs="Arial"/>
                <w:lang w:eastAsia="zh-CN" w:bidi="ar"/>
              </w:rPr>
              <w:t>34%</w:t>
            </w:r>
          </w:p>
        </w:tc>
        <w:tc>
          <w:tcPr>
            <w:tcW w:w="0" w:type="auto"/>
            <w:vAlign w:val="center"/>
          </w:tcPr>
          <w:p w14:paraId="76564E39" w14:textId="77777777" w:rsidR="00D06B15" w:rsidRDefault="003761A6">
            <w:pPr>
              <w:rPr>
                <w:rFonts w:ascii="Arial" w:hAnsi="Arial" w:cs="Arial"/>
              </w:rPr>
            </w:pPr>
            <w:r>
              <w:rPr>
                <w:rFonts w:ascii="Arial" w:eastAsia="SimSun" w:hAnsi="Arial" w:cs="Arial"/>
                <w:lang w:eastAsia="zh-CN" w:bidi="ar"/>
              </w:rPr>
              <w:t>28%</w:t>
            </w:r>
          </w:p>
        </w:tc>
      </w:tr>
    </w:tbl>
    <w:p w14:paraId="7579979A" w14:textId="77777777" w:rsidR="00D06B15" w:rsidRDefault="00D06B15">
      <w:pPr>
        <w:pStyle w:val="Body"/>
        <w:spacing w:after="0"/>
        <w:rPr>
          <w:rFonts w:ascii="Arial" w:hAnsi="Arial"/>
        </w:rPr>
      </w:pPr>
    </w:p>
    <w:p w14:paraId="54B9E1E2" w14:textId="682E5C2E" w:rsidR="00D06B15" w:rsidRDefault="003761A6">
      <w:pPr>
        <w:pStyle w:val="Body"/>
        <w:spacing w:after="0"/>
        <w:rPr>
          <w:rFonts w:ascii="Arial" w:hAnsi="Arial"/>
        </w:rPr>
      </w:pPr>
      <w:r>
        <w:rPr>
          <w:rFonts w:ascii="Arial" w:hAnsi="Arial"/>
          <w:b/>
          <w:bCs/>
        </w:rPr>
        <w:t xml:space="preserve">2.5 4.Key governance challenges that affect sustainable solid waste management in the </w:t>
      </w:r>
      <w:r w:rsidR="00D51CE5">
        <w:rPr>
          <w:rFonts w:ascii="Arial" w:hAnsi="Arial"/>
          <w:b/>
          <w:bCs/>
        </w:rPr>
        <w:t xml:space="preserve">Garissa </w:t>
      </w:r>
      <w:r>
        <w:rPr>
          <w:rFonts w:ascii="Arial" w:hAnsi="Arial"/>
          <w:b/>
          <w:bCs/>
        </w:rPr>
        <w:t>Township.</w:t>
      </w:r>
    </w:p>
    <w:p w14:paraId="7A1B8D84" w14:textId="77777777" w:rsidR="00D06B15" w:rsidRDefault="00D06B15">
      <w:pPr>
        <w:pStyle w:val="Body"/>
        <w:spacing w:after="0"/>
        <w:rPr>
          <w:rFonts w:ascii="Arial" w:hAnsi="Arial"/>
        </w:rPr>
      </w:pPr>
    </w:p>
    <w:p w14:paraId="0E10E8CF" w14:textId="77777777" w:rsidR="00D06B15" w:rsidRDefault="003761A6">
      <w:pPr>
        <w:pStyle w:val="Body"/>
        <w:spacing w:after="0"/>
        <w:rPr>
          <w:rFonts w:ascii="Arial" w:hAnsi="Arial"/>
        </w:rPr>
      </w:pPr>
      <w:r>
        <w:rPr>
          <w:rFonts w:ascii="Arial" w:hAnsi="Arial"/>
        </w:rPr>
        <w:t xml:space="preserve">The findings presented in Table 4 indicate that governance challenges significantly hinder sustainable solid waste management in Garissa Township. Quantitative data reveal that 63% of municipal staff, 59% of community leaders, and 57% of households identified inadequate funding and limited resources as the primary constraint. Qualitative narratives reinforced this, with respondents noting that insufficient budgets and lack of equipment, such as waste collection trucks and protective gear, often delay collection schedules and enforcement activities. One municipal officer explained: </w:t>
      </w:r>
    </w:p>
    <w:p w14:paraId="39BFF762" w14:textId="77777777" w:rsidR="00D06B15" w:rsidRDefault="003761A6">
      <w:pPr>
        <w:pStyle w:val="Body"/>
        <w:spacing w:after="0"/>
        <w:ind w:left="720"/>
        <w:rPr>
          <w:rFonts w:ascii="Arial" w:hAnsi="Arial"/>
          <w:i/>
          <w:iCs/>
        </w:rPr>
      </w:pPr>
      <w:r>
        <w:rPr>
          <w:rFonts w:ascii="Arial" w:hAnsi="Arial"/>
          <w:i/>
          <w:iCs/>
        </w:rPr>
        <w:t>“We sometimes leave waste uncollected for days because there are not enough trucks or personnel to cover all wards.”</w:t>
      </w:r>
    </w:p>
    <w:p w14:paraId="14824E8F" w14:textId="77777777" w:rsidR="00D06B15" w:rsidRDefault="00D06B15">
      <w:pPr>
        <w:pStyle w:val="Body"/>
        <w:spacing w:after="0"/>
        <w:rPr>
          <w:rFonts w:ascii="Arial" w:hAnsi="Arial"/>
        </w:rPr>
      </w:pPr>
    </w:p>
    <w:p w14:paraId="660C8343" w14:textId="77777777" w:rsidR="00D06B15" w:rsidRDefault="003761A6">
      <w:pPr>
        <w:pStyle w:val="Body"/>
        <w:spacing w:after="0"/>
        <w:rPr>
          <w:rFonts w:ascii="Arial" w:hAnsi="Arial"/>
        </w:rPr>
      </w:pPr>
      <w:r>
        <w:rPr>
          <w:rFonts w:ascii="Arial" w:hAnsi="Arial"/>
        </w:rPr>
        <w:t xml:space="preserve">Weak enforcement of policies and bylaws was another major challenge, reported by 46% of municipal staff, 42% of community leaders, and 55% of households. Interviews revealed that enforcement is inconsistent due to limited staffing, lack of monitoring tools, and unclear accountability structures. Residents highlighted that: </w:t>
      </w:r>
    </w:p>
    <w:p w14:paraId="09148DD7" w14:textId="77777777" w:rsidR="00D06B15" w:rsidRDefault="003761A6">
      <w:pPr>
        <w:pStyle w:val="Body"/>
        <w:spacing w:after="0"/>
        <w:ind w:left="720"/>
        <w:rPr>
          <w:rFonts w:ascii="Arial" w:hAnsi="Arial"/>
          <w:i/>
          <w:iCs/>
        </w:rPr>
      </w:pPr>
      <w:r>
        <w:rPr>
          <w:rFonts w:ascii="Arial" w:hAnsi="Arial"/>
          <w:i/>
          <w:iCs/>
        </w:rPr>
        <w:t>“Irregular waste collection and non-compliance by businesses and households persist because penalties are rarely applied”.</w:t>
      </w:r>
    </w:p>
    <w:p w14:paraId="7492252E" w14:textId="77777777" w:rsidR="00D06B15" w:rsidRDefault="00D06B15">
      <w:pPr>
        <w:pStyle w:val="Body"/>
        <w:spacing w:after="0"/>
        <w:rPr>
          <w:rFonts w:ascii="Arial" w:hAnsi="Arial"/>
        </w:rPr>
      </w:pPr>
    </w:p>
    <w:p w14:paraId="25A938C5" w14:textId="77777777" w:rsidR="00D06B15" w:rsidRDefault="003761A6">
      <w:pPr>
        <w:pStyle w:val="Body"/>
        <w:spacing w:after="0"/>
        <w:rPr>
          <w:rFonts w:ascii="Arial" w:hAnsi="Arial"/>
        </w:rPr>
      </w:pPr>
      <w:r>
        <w:rPr>
          <w:rFonts w:ascii="Arial" w:hAnsi="Arial"/>
        </w:rPr>
        <w:t>Limited stakeholder engagement was also a prominent issue, with 48% of municipal staff, 51% of community leaders, and 50% of households indicating that communities, informal waste collectors, and private operators are often excluded from decision-making. Qualitative insights emphasized that this reduces compliance, accountability, and public ownership of solid waste management initiatives. Poor coordination among institutions (44% of municipal staff, 40% of community leaders, 38% of households) and limited monitoring and accountability mechanisms (41% of municipal staff, 39% of community leaders, 35% of households) further exacerbate governance challenges. Respondents highlighted overlaps in responsibilities between departments and gaps in performance tracking, which undermine efficiency.</w:t>
      </w:r>
    </w:p>
    <w:p w14:paraId="67F39623" w14:textId="77777777" w:rsidR="00D06B15" w:rsidRDefault="00D06B15">
      <w:pPr>
        <w:pStyle w:val="Body"/>
        <w:spacing w:after="0"/>
        <w:rPr>
          <w:rFonts w:ascii="Arial" w:hAnsi="Arial"/>
        </w:rPr>
      </w:pPr>
    </w:p>
    <w:p w14:paraId="06D39BE1" w14:textId="77777777" w:rsidR="00D06B15" w:rsidRDefault="003761A6">
      <w:pPr>
        <w:pStyle w:val="Body"/>
        <w:spacing w:after="0"/>
        <w:rPr>
          <w:rFonts w:ascii="Arial" w:hAnsi="Arial"/>
        </w:rPr>
      </w:pPr>
      <w:r>
        <w:rPr>
          <w:rFonts w:ascii="Arial" w:hAnsi="Arial"/>
        </w:rPr>
        <w:t xml:space="preserve">These findings are consistent with previous studies. </w:t>
      </w:r>
      <w:proofErr w:type="spellStart"/>
      <w:r>
        <w:t>Massoud</w:t>
      </w:r>
      <w:proofErr w:type="spellEnd"/>
      <w:r>
        <w:rPr>
          <w:rFonts w:ascii="Arial" w:hAnsi="Arial"/>
        </w:rPr>
        <w:t xml:space="preserve"> et al. (2019) and Das et al., (2019) emphasize that inadequate funding, weak enforcement, limited community participation, and poor institutional coordination are common governance constraints in developing urban centers, often limiting sustainable waste management outcomes. NEMA (2019) similarly notes that lack of oversight and weak accountability systems in Kenyan municipalities contribute to inconsistent service delivery and low compliance with environmental regulations.</w:t>
      </w:r>
    </w:p>
    <w:p w14:paraId="7F0FAE12" w14:textId="77777777" w:rsidR="00D06B15" w:rsidRDefault="00D06B15">
      <w:pPr>
        <w:pStyle w:val="Body"/>
        <w:spacing w:after="0"/>
        <w:rPr>
          <w:rFonts w:ascii="Arial" w:hAnsi="Arial"/>
        </w:rPr>
      </w:pPr>
    </w:p>
    <w:p w14:paraId="435D26D2" w14:textId="787B0925" w:rsidR="00D06B15" w:rsidRDefault="003761A6">
      <w:pPr>
        <w:pStyle w:val="Body"/>
        <w:spacing w:after="0"/>
        <w:rPr>
          <w:rFonts w:ascii="Arial" w:hAnsi="Arial"/>
        </w:rPr>
      </w:pPr>
      <w:r>
        <w:rPr>
          <w:rFonts w:ascii="Arial" w:hAnsi="Arial"/>
        </w:rPr>
        <w:t>Overall, the triangulation of quantitative and qualitative data indicates that inadequate resources, weak enforcement, limited engagement, and poor institutional coordination are the primary governance challenges in Garissa Township.</w:t>
      </w:r>
    </w:p>
    <w:p w14:paraId="67A72260" w14:textId="77777777" w:rsidR="00D06B15" w:rsidRDefault="00D06B15">
      <w:pPr>
        <w:pStyle w:val="Body"/>
        <w:spacing w:after="0"/>
        <w:rPr>
          <w:rFonts w:ascii="Arial" w:hAnsi="Arial"/>
        </w:rPr>
      </w:pPr>
    </w:p>
    <w:p w14:paraId="11DE9FC9" w14:textId="77777777" w:rsidR="00D06B15" w:rsidRDefault="00D06B15">
      <w:pPr>
        <w:pStyle w:val="Body"/>
        <w:spacing w:after="0"/>
        <w:rPr>
          <w:rFonts w:ascii="Arial" w:hAnsi="Arial"/>
        </w:rPr>
      </w:pPr>
    </w:p>
    <w:p w14:paraId="24A48C82" w14:textId="77777777" w:rsidR="00D06B15" w:rsidRDefault="003761A6">
      <w:pPr>
        <w:pStyle w:val="Body"/>
        <w:spacing w:after="0"/>
        <w:jc w:val="center"/>
        <w:rPr>
          <w:rFonts w:ascii="Arial" w:hAnsi="Arial"/>
          <w:b/>
          <w:bCs/>
        </w:rPr>
      </w:pPr>
      <w:r>
        <w:rPr>
          <w:rFonts w:ascii="Arial" w:hAnsi="Arial"/>
          <w:b/>
          <w:bCs/>
        </w:rPr>
        <w:t>Table 4: Key Governance Challenges Affecting Sustainable Solid Waste Management in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1502"/>
        <w:gridCol w:w="1873"/>
        <w:gridCol w:w="1440"/>
      </w:tblGrid>
      <w:tr w:rsidR="00D06B15" w14:paraId="12E642CF" w14:textId="77777777">
        <w:trPr>
          <w:tblHeader/>
          <w:tblCellSpacing w:w="15" w:type="dxa"/>
        </w:trPr>
        <w:tc>
          <w:tcPr>
            <w:tcW w:w="0" w:type="auto"/>
            <w:vAlign w:val="center"/>
          </w:tcPr>
          <w:p w14:paraId="57AF0A54" w14:textId="77777777" w:rsidR="00D06B15" w:rsidRDefault="003761A6">
            <w:pPr>
              <w:jc w:val="center"/>
              <w:rPr>
                <w:rFonts w:ascii="Arial" w:hAnsi="Arial" w:cs="Arial"/>
                <w:b/>
                <w:bCs/>
              </w:rPr>
            </w:pPr>
            <w:r>
              <w:rPr>
                <w:rFonts w:ascii="Arial" w:eastAsia="SimSun" w:hAnsi="Arial" w:cs="Arial"/>
                <w:b/>
                <w:bCs/>
                <w:lang w:eastAsia="zh-CN" w:bidi="ar"/>
              </w:rPr>
              <w:t>Governance Challenge</w:t>
            </w:r>
          </w:p>
        </w:tc>
        <w:tc>
          <w:tcPr>
            <w:tcW w:w="0" w:type="auto"/>
            <w:vAlign w:val="center"/>
          </w:tcPr>
          <w:p w14:paraId="712C0DB5" w14:textId="77777777" w:rsidR="00D06B15" w:rsidRDefault="003761A6">
            <w:pPr>
              <w:jc w:val="center"/>
              <w:rPr>
                <w:rFonts w:ascii="Arial" w:hAnsi="Arial" w:cs="Arial"/>
                <w:b/>
                <w:bCs/>
              </w:rPr>
            </w:pPr>
            <w:r>
              <w:rPr>
                <w:rFonts w:ascii="Arial" w:eastAsia="SimSun" w:hAnsi="Arial" w:cs="Arial"/>
                <w:b/>
                <w:bCs/>
                <w:lang w:eastAsia="zh-CN" w:bidi="ar"/>
              </w:rPr>
              <w:t>Municipal Staff (%)</w:t>
            </w:r>
          </w:p>
        </w:tc>
        <w:tc>
          <w:tcPr>
            <w:tcW w:w="0" w:type="auto"/>
            <w:vAlign w:val="center"/>
          </w:tcPr>
          <w:p w14:paraId="4216C6C0" w14:textId="77777777" w:rsidR="00D06B15" w:rsidRDefault="003761A6">
            <w:pPr>
              <w:jc w:val="center"/>
              <w:rPr>
                <w:rFonts w:ascii="Arial" w:hAnsi="Arial" w:cs="Arial"/>
                <w:b/>
                <w:bCs/>
              </w:rPr>
            </w:pPr>
            <w:r>
              <w:rPr>
                <w:rFonts w:ascii="Arial" w:eastAsia="SimSun" w:hAnsi="Arial" w:cs="Arial"/>
                <w:b/>
                <w:bCs/>
                <w:lang w:eastAsia="zh-CN" w:bidi="ar"/>
              </w:rPr>
              <w:t>Community Leaders (%)</w:t>
            </w:r>
          </w:p>
        </w:tc>
        <w:tc>
          <w:tcPr>
            <w:tcW w:w="0" w:type="auto"/>
            <w:vAlign w:val="center"/>
          </w:tcPr>
          <w:p w14:paraId="7ED38019" w14:textId="77777777" w:rsidR="00D06B15" w:rsidRDefault="003761A6">
            <w:pPr>
              <w:jc w:val="center"/>
              <w:rPr>
                <w:rFonts w:ascii="Arial" w:hAnsi="Arial" w:cs="Arial"/>
                <w:b/>
                <w:bCs/>
              </w:rPr>
            </w:pPr>
            <w:r>
              <w:rPr>
                <w:rFonts w:ascii="Arial" w:eastAsia="SimSun" w:hAnsi="Arial" w:cs="Arial"/>
                <w:b/>
                <w:bCs/>
                <w:lang w:eastAsia="zh-CN" w:bidi="ar"/>
              </w:rPr>
              <w:t>Households (%)</w:t>
            </w:r>
          </w:p>
        </w:tc>
      </w:tr>
      <w:tr w:rsidR="00D06B15" w14:paraId="57A41EED" w14:textId="77777777">
        <w:trPr>
          <w:tblCellSpacing w:w="15" w:type="dxa"/>
        </w:trPr>
        <w:tc>
          <w:tcPr>
            <w:tcW w:w="0" w:type="auto"/>
            <w:vAlign w:val="center"/>
          </w:tcPr>
          <w:p w14:paraId="269DBF44" w14:textId="77777777" w:rsidR="00D06B15" w:rsidRDefault="003761A6">
            <w:pPr>
              <w:rPr>
                <w:rFonts w:ascii="Arial" w:hAnsi="Arial" w:cs="Arial"/>
              </w:rPr>
            </w:pPr>
            <w:r>
              <w:rPr>
                <w:rFonts w:ascii="Arial" w:eastAsia="SimSun" w:hAnsi="Arial" w:cs="Arial"/>
                <w:lang w:eastAsia="zh-CN" w:bidi="ar"/>
              </w:rPr>
              <w:t>Inadequate funding/resources</w:t>
            </w:r>
          </w:p>
        </w:tc>
        <w:tc>
          <w:tcPr>
            <w:tcW w:w="0" w:type="auto"/>
            <w:vAlign w:val="center"/>
          </w:tcPr>
          <w:p w14:paraId="0CBF52CC" w14:textId="77777777" w:rsidR="00D06B15" w:rsidRDefault="003761A6">
            <w:pPr>
              <w:rPr>
                <w:rFonts w:ascii="Arial" w:hAnsi="Arial" w:cs="Arial"/>
              </w:rPr>
            </w:pPr>
            <w:r>
              <w:rPr>
                <w:rFonts w:ascii="Arial" w:eastAsia="SimSun" w:hAnsi="Arial" w:cs="Arial"/>
                <w:lang w:eastAsia="zh-CN" w:bidi="ar"/>
              </w:rPr>
              <w:t>63%</w:t>
            </w:r>
          </w:p>
        </w:tc>
        <w:tc>
          <w:tcPr>
            <w:tcW w:w="0" w:type="auto"/>
            <w:vAlign w:val="center"/>
          </w:tcPr>
          <w:p w14:paraId="22D80D57" w14:textId="77777777" w:rsidR="00D06B15" w:rsidRDefault="003761A6">
            <w:pPr>
              <w:rPr>
                <w:rFonts w:ascii="Arial" w:hAnsi="Arial" w:cs="Arial"/>
              </w:rPr>
            </w:pPr>
            <w:r>
              <w:rPr>
                <w:rFonts w:ascii="Arial" w:eastAsia="SimSun" w:hAnsi="Arial" w:cs="Arial"/>
                <w:lang w:eastAsia="zh-CN" w:bidi="ar"/>
              </w:rPr>
              <w:t>59%</w:t>
            </w:r>
          </w:p>
        </w:tc>
        <w:tc>
          <w:tcPr>
            <w:tcW w:w="0" w:type="auto"/>
            <w:vAlign w:val="center"/>
          </w:tcPr>
          <w:p w14:paraId="5584830B" w14:textId="77777777" w:rsidR="00D06B15" w:rsidRDefault="003761A6">
            <w:pPr>
              <w:rPr>
                <w:rFonts w:ascii="Arial" w:hAnsi="Arial" w:cs="Arial"/>
              </w:rPr>
            </w:pPr>
            <w:r>
              <w:rPr>
                <w:rFonts w:ascii="Arial" w:eastAsia="SimSun" w:hAnsi="Arial" w:cs="Arial"/>
                <w:lang w:eastAsia="zh-CN" w:bidi="ar"/>
              </w:rPr>
              <w:t>57%</w:t>
            </w:r>
          </w:p>
        </w:tc>
      </w:tr>
      <w:tr w:rsidR="00D06B15" w14:paraId="67A27B17" w14:textId="77777777">
        <w:trPr>
          <w:tblCellSpacing w:w="15" w:type="dxa"/>
        </w:trPr>
        <w:tc>
          <w:tcPr>
            <w:tcW w:w="0" w:type="auto"/>
            <w:vAlign w:val="center"/>
          </w:tcPr>
          <w:p w14:paraId="4E435372" w14:textId="77777777" w:rsidR="00D06B15" w:rsidRDefault="003761A6">
            <w:pPr>
              <w:rPr>
                <w:rFonts w:ascii="Arial" w:hAnsi="Arial" w:cs="Arial"/>
              </w:rPr>
            </w:pPr>
            <w:r>
              <w:rPr>
                <w:rFonts w:ascii="Arial" w:eastAsia="SimSun" w:hAnsi="Arial" w:cs="Arial"/>
                <w:lang w:eastAsia="zh-CN" w:bidi="ar"/>
              </w:rPr>
              <w:t>Weak enforcement of policies/bylaws</w:t>
            </w:r>
          </w:p>
        </w:tc>
        <w:tc>
          <w:tcPr>
            <w:tcW w:w="0" w:type="auto"/>
            <w:vAlign w:val="center"/>
          </w:tcPr>
          <w:p w14:paraId="07E52518" w14:textId="77777777" w:rsidR="00D06B15" w:rsidRDefault="003761A6">
            <w:pPr>
              <w:rPr>
                <w:rFonts w:ascii="Arial" w:hAnsi="Arial" w:cs="Arial"/>
              </w:rPr>
            </w:pPr>
            <w:r>
              <w:rPr>
                <w:rFonts w:ascii="Arial" w:eastAsia="SimSun" w:hAnsi="Arial" w:cs="Arial"/>
                <w:lang w:eastAsia="zh-CN" w:bidi="ar"/>
              </w:rPr>
              <w:t>46%</w:t>
            </w:r>
          </w:p>
        </w:tc>
        <w:tc>
          <w:tcPr>
            <w:tcW w:w="0" w:type="auto"/>
            <w:vAlign w:val="center"/>
          </w:tcPr>
          <w:p w14:paraId="7CCCB3AD" w14:textId="77777777" w:rsidR="00D06B15" w:rsidRDefault="003761A6">
            <w:pPr>
              <w:rPr>
                <w:rFonts w:ascii="Arial" w:hAnsi="Arial" w:cs="Arial"/>
              </w:rPr>
            </w:pPr>
            <w:r>
              <w:rPr>
                <w:rFonts w:ascii="Arial" w:eastAsia="SimSun" w:hAnsi="Arial" w:cs="Arial"/>
                <w:lang w:eastAsia="zh-CN" w:bidi="ar"/>
              </w:rPr>
              <w:t>42%</w:t>
            </w:r>
          </w:p>
        </w:tc>
        <w:tc>
          <w:tcPr>
            <w:tcW w:w="0" w:type="auto"/>
            <w:vAlign w:val="center"/>
          </w:tcPr>
          <w:p w14:paraId="5415E942" w14:textId="77777777" w:rsidR="00D06B15" w:rsidRDefault="003761A6">
            <w:pPr>
              <w:rPr>
                <w:rFonts w:ascii="Arial" w:hAnsi="Arial" w:cs="Arial"/>
              </w:rPr>
            </w:pPr>
            <w:r>
              <w:rPr>
                <w:rFonts w:ascii="Arial" w:eastAsia="SimSun" w:hAnsi="Arial" w:cs="Arial"/>
                <w:lang w:eastAsia="zh-CN" w:bidi="ar"/>
              </w:rPr>
              <w:t>55%</w:t>
            </w:r>
          </w:p>
        </w:tc>
      </w:tr>
      <w:tr w:rsidR="00D06B15" w14:paraId="6BBD9A2D" w14:textId="77777777">
        <w:trPr>
          <w:tblCellSpacing w:w="15" w:type="dxa"/>
        </w:trPr>
        <w:tc>
          <w:tcPr>
            <w:tcW w:w="0" w:type="auto"/>
            <w:vAlign w:val="center"/>
          </w:tcPr>
          <w:p w14:paraId="5F5913B2" w14:textId="77777777" w:rsidR="00D06B15" w:rsidRDefault="003761A6">
            <w:pPr>
              <w:rPr>
                <w:rFonts w:ascii="Arial" w:hAnsi="Arial" w:cs="Arial"/>
              </w:rPr>
            </w:pPr>
            <w:r>
              <w:rPr>
                <w:rFonts w:ascii="Arial" w:eastAsia="SimSun" w:hAnsi="Arial" w:cs="Arial"/>
                <w:lang w:eastAsia="zh-CN" w:bidi="ar"/>
              </w:rPr>
              <w:t>Limited stakeholder engagement/participation</w:t>
            </w:r>
          </w:p>
        </w:tc>
        <w:tc>
          <w:tcPr>
            <w:tcW w:w="0" w:type="auto"/>
            <w:vAlign w:val="center"/>
          </w:tcPr>
          <w:p w14:paraId="7755748B" w14:textId="77777777" w:rsidR="00D06B15" w:rsidRDefault="003761A6">
            <w:pPr>
              <w:rPr>
                <w:rFonts w:ascii="Arial" w:hAnsi="Arial" w:cs="Arial"/>
              </w:rPr>
            </w:pPr>
            <w:r>
              <w:rPr>
                <w:rFonts w:ascii="Arial" w:eastAsia="SimSun" w:hAnsi="Arial" w:cs="Arial"/>
                <w:lang w:eastAsia="zh-CN" w:bidi="ar"/>
              </w:rPr>
              <w:t>48%</w:t>
            </w:r>
          </w:p>
        </w:tc>
        <w:tc>
          <w:tcPr>
            <w:tcW w:w="0" w:type="auto"/>
            <w:vAlign w:val="center"/>
          </w:tcPr>
          <w:p w14:paraId="2464F361" w14:textId="77777777" w:rsidR="00D06B15" w:rsidRDefault="003761A6">
            <w:pPr>
              <w:rPr>
                <w:rFonts w:ascii="Arial" w:hAnsi="Arial" w:cs="Arial"/>
              </w:rPr>
            </w:pPr>
            <w:r>
              <w:rPr>
                <w:rFonts w:ascii="Arial" w:eastAsia="SimSun" w:hAnsi="Arial" w:cs="Arial"/>
                <w:lang w:eastAsia="zh-CN" w:bidi="ar"/>
              </w:rPr>
              <w:t>51%</w:t>
            </w:r>
          </w:p>
        </w:tc>
        <w:tc>
          <w:tcPr>
            <w:tcW w:w="0" w:type="auto"/>
            <w:vAlign w:val="center"/>
          </w:tcPr>
          <w:p w14:paraId="4FD9A5E1" w14:textId="77777777" w:rsidR="00D06B15" w:rsidRDefault="003761A6">
            <w:pPr>
              <w:rPr>
                <w:rFonts w:ascii="Arial" w:hAnsi="Arial" w:cs="Arial"/>
              </w:rPr>
            </w:pPr>
            <w:r>
              <w:rPr>
                <w:rFonts w:ascii="Arial" w:eastAsia="SimSun" w:hAnsi="Arial" w:cs="Arial"/>
                <w:lang w:eastAsia="zh-CN" w:bidi="ar"/>
              </w:rPr>
              <w:t>50%</w:t>
            </w:r>
          </w:p>
        </w:tc>
      </w:tr>
      <w:tr w:rsidR="00D06B15" w14:paraId="356B2BC1" w14:textId="77777777">
        <w:trPr>
          <w:tblCellSpacing w:w="15" w:type="dxa"/>
        </w:trPr>
        <w:tc>
          <w:tcPr>
            <w:tcW w:w="0" w:type="auto"/>
            <w:vAlign w:val="center"/>
          </w:tcPr>
          <w:p w14:paraId="63D0B0B3" w14:textId="77777777" w:rsidR="00D06B15" w:rsidRDefault="003761A6">
            <w:pPr>
              <w:rPr>
                <w:rFonts w:ascii="Arial" w:hAnsi="Arial" w:cs="Arial"/>
              </w:rPr>
            </w:pPr>
            <w:r>
              <w:rPr>
                <w:rFonts w:ascii="Arial" w:eastAsia="SimSun" w:hAnsi="Arial" w:cs="Arial"/>
                <w:lang w:eastAsia="zh-CN" w:bidi="ar"/>
              </w:rPr>
              <w:t>Poor coordination among institutions</w:t>
            </w:r>
          </w:p>
        </w:tc>
        <w:tc>
          <w:tcPr>
            <w:tcW w:w="0" w:type="auto"/>
            <w:vAlign w:val="center"/>
          </w:tcPr>
          <w:p w14:paraId="5817A2B6" w14:textId="77777777" w:rsidR="00D06B15" w:rsidRDefault="003761A6">
            <w:pPr>
              <w:rPr>
                <w:rFonts w:ascii="Arial" w:hAnsi="Arial" w:cs="Arial"/>
              </w:rPr>
            </w:pPr>
            <w:r>
              <w:rPr>
                <w:rFonts w:ascii="Arial" w:eastAsia="SimSun" w:hAnsi="Arial" w:cs="Arial"/>
                <w:lang w:eastAsia="zh-CN" w:bidi="ar"/>
              </w:rPr>
              <w:t>44%</w:t>
            </w:r>
          </w:p>
        </w:tc>
        <w:tc>
          <w:tcPr>
            <w:tcW w:w="0" w:type="auto"/>
            <w:vAlign w:val="center"/>
          </w:tcPr>
          <w:p w14:paraId="1DC9F83C" w14:textId="77777777" w:rsidR="00D06B15" w:rsidRDefault="003761A6">
            <w:pPr>
              <w:rPr>
                <w:rFonts w:ascii="Arial" w:hAnsi="Arial" w:cs="Arial"/>
              </w:rPr>
            </w:pPr>
            <w:r>
              <w:rPr>
                <w:rFonts w:ascii="Arial" w:eastAsia="SimSun" w:hAnsi="Arial" w:cs="Arial"/>
                <w:lang w:eastAsia="zh-CN" w:bidi="ar"/>
              </w:rPr>
              <w:t>40%</w:t>
            </w:r>
          </w:p>
        </w:tc>
        <w:tc>
          <w:tcPr>
            <w:tcW w:w="0" w:type="auto"/>
            <w:vAlign w:val="center"/>
          </w:tcPr>
          <w:p w14:paraId="6844E0A6" w14:textId="77777777" w:rsidR="00D06B15" w:rsidRDefault="003761A6">
            <w:pPr>
              <w:rPr>
                <w:rFonts w:ascii="Arial" w:hAnsi="Arial" w:cs="Arial"/>
              </w:rPr>
            </w:pPr>
            <w:r>
              <w:rPr>
                <w:rFonts w:ascii="Arial" w:eastAsia="SimSun" w:hAnsi="Arial" w:cs="Arial"/>
                <w:lang w:eastAsia="zh-CN" w:bidi="ar"/>
              </w:rPr>
              <w:t>38%</w:t>
            </w:r>
          </w:p>
        </w:tc>
      </w:tr>
      <w:tr w:rsidR="00D06B15" w14:paraId="18BBC046" w14:textId="77777777">
        <w:trPr>
          <w:tblCellSpacing w:w="15" w:type="dxa"/>
        </w:trPr>
        <w:tc>
          <w:tcPr>
            <w:tcW w:w="0" w:type="auto"/>
            <w:vAlign w:val="center"/>
          </w:tcPr>
          <w:p w14:paraId="6B7A50B8" w14:textId="77777777" w:rsidR="00D06B15" w:rsidRDefault="003761A6">
            <w:pPr>
              <w:rPr>
                <w:rFonts w:ascii="Arial" w:hAnsi="Arial" w:cs="Arial"/>
              </w:rPr>
            </w:pPr>
            <w:r>
              <w:rPr>
                <w:rFonts w:ascii="Arial" w:eastAsia="SimSun" w:hAnsi="Arial" w:cs="Arial"/>
                <w:lang w:eastAsia="zh-CN" w:bidi="ar"/>
              </w:rPr>
              <w:t>Limited monitoring and accountability</w:t>
            </w:r>
          </w:p>
        </w:tc>
        <w:tc>
          <w:tcPr>
            <w:tcW w:w="0" w:type="auto"/>
            <w:vAlign w:val="center"/>
          </w:tcPr>
          <w:p w14:paraId="4E77993B" w14:textId="77777777" w:rsidR="00D06B15" w:rsidRDefault="003761A6">
            <w:pPr>
              <w:rPr>
                <w:rFonts w:ascii="Arial" w:hAnsi="Arial" w:cs="Arial"/>
              </w:rPr>
            </w:pPr>
            <w:r>
              <w:rPr>
                <w:rFonts w:ascii="Arial" w:eastAsia="SimSun" w:hAnsi="Arial" w:cs="Arial"/>
                <w:lang w:eastAsia="zh-CN" w:bidi="ar"/>
              </w:rPr>
              <w:t>41%</w:t>
            </w:r>
          </w:p>
        </w:tc>
        <w:tc>
          <w:tcPr>
            <w:tcW w:w="0" w:type="auto"/>
            <w:vAlign w:val="center"/>
          </w:tcPr>
          <w:p w14:paraId="5D3E45F9" w14:textId="77777777" w:rsidR="00D06B15" w:rsidRDefault="003761A6">
            <w:pPr>
              <w:rPr>
                <w:rFonts w:ascii="Arial" w:hAnsi="Arial" w:cs="Arial"/>
              </w:rPr>
            </w:pPr>
            <w:r>
              <w:rPr>
                <w:rFonts w:ascii="Arial" w:eastAsia="SimSun" w:hAnsi="Arial" w:cs="Arial"/>
                <w:lang w:eastAsia="zh-CN" w:bidi="ar"/>
              </w:rPr>
              <w:t>39%</w:t>
            </w:r>
          </w:p>
        </w:tc>
        <w:tc>
          <w:tcPr>
            <w:tcW w:w="0" w:type="auto"/>
            <w:vAlign w:val="center"/>
          </w:tcPr>
          <w:p w14:paraId="390F3D9F" w14:textId="77777777" w:rsidR="00D06B15" w:rsidRDefault="003761A6">
            <w:pPr>
              <w:rPr>
                <w:rFonts w:ascii="Arial" w:hAnsi="Arial" w:cs="Arial"/>
              </w:rPr>
            </w:pPr>
            <w:r>
              <w:rPr>
                <w:rFonts w:ascii="Arial" w:eastAsia="SimSun" w:hAnsi="Arial" w:cs="Arial"/>
                <w:lang w:eastAsia="zh-CN" w:bidi="ar"/>
              </w:rPr>
              <w:t>35%</w:t>
            </w:r>
          </w:p>
        </w:tc>
      </w:tr>
    </w:tbl>
    <w:p w14:paraId="75CC0A27" w14:textId="77777777" w:rsidR="00D06B15" w:rsidRDefault="00D06B15">
      <w:pPr>
        <w:pStyle w:val="ConcHead"/>
        <w:spacing w:after="0"/>
        <w:jc w:val="both"/>
        <w:rPr>
          <w:rFonts w:ascii="Arial" w:hAnsi="Arial" w:cs="Arial"/>
        </w:rPr>
      </w:pPr>
    </w:p>
    <w:p w14:paraId="2FAE7A5F" w14:textId="77777777" w:rsidR="00D06B15" w:rsidRDefault="003761A6">
      <w:pPr>
        <w:pStyle w:val="ConcHead"/>
        <w:spacing w:after="0"/>
        <w:jc w:val="both"/>
        <w:rPr>
          <w:rFonts w:ascii="Arial" w:hAnsi="Arial" w:cs="Arial"/>
        </w:rPr>
      </w:pPr>
      <w:r>
        <w:rPr>
          <w:rFonts w:ascii="Arial" w:hAnsi="Arial" w:cs="Arial"/>
        </w:rPr>
        <w:t>4. Conclusion</w:t>
      </w:r>
    </w:p>
    <w:p w14:paraId="53996042" w14:textId="77777777" w:rsidR="00D06B15" w:rsidRDefault="00D06B15">
      <w:pPr>
        <w:pStyle w:val="ConcHead"/>
        <w:spacing w:after="0"/>
        <w:jc w:val="both"/>
        <w:rPr>
          <w:rFonts w:ascii="Arial" w:hAnsi="Arial" w:cs="Arial"/>
        </w:rPr>
      </w:pPr>
    </w:p>
    <w:p w14:paraId="3E0EA456" w14:textId="77777777" w:rsidR="00D06B15" w:rsidRDefault="003761A6">
      <w:pPr>
        <w:pStyle w:val="Body"/>
        <w:spacing w:after="0"/>
        <w:rPr>
          <w:rFonts w:ascii="Arial" w:hAnsi="Arial"/>
        </w:rPr>
      </w:pPr>
      <w:r>
        <w:rPr>
          <w:rFonts w:ascii="Arial" w:hAnsi="Arial"/>
        </w:rPr>
        <w:t>The study reveals that while Garissa Township has multiple policy and regulatory frameworks governing solid waste management, implementation is inconsistent due to limited resources, weak enforcement, and inadequate institutional capacity. Key policy gaps including unclear guidelines, low public participation, and limited integration of informal actors undermine effectiveness. Institutional weaknesses in capacity, coordination, and accountability further hinder service delivery, while governance challenges such as insufficient funding, poor enforcement, and minimal stakeholder engagement exacerbate inefficiencies. Overall, sustainable solid waste management in Garissa Township is constrained by interconnected policy, institutional, and governance deficiencies, highlighting the need for strengthened enforcement, capacity building, coordinated institutional frameworks, and inclusive stakeholder participation.</w:t>
      </w:r>
    </w:p>
    <w:p w14:paraId="52C34158" w14:textId="77777777" w:rsidR="00D06B15" w:rsidRDefault="00D06B15">
      <w:pPr>
        <w:pStyle w:val="Body"/>
        <w:spacing w:after="0"/>
        <w:rPr>
          <w:rFonts w:ascii="Arial" w:hAnsi="Arial"/>
        </w:rPr>
      </w:pPr>
    </w:p>
    <w:p w14:paraId="27AEBF76" w14:textId="77777777" w:rsidR="00D06B15" w:rsidRDefault="003761A6">
      <w:pPr>
        <w:pStyle w:val="Body"/>
        <w:numPr>
          <w:ilvl w:val="0"/>
          <w:numId w:val="2"/>
        </w:numPr>
        <w:spacing w:after="0"/>
        <w:rPr>
          <w:rFonts w:ascii="Arial" w:hAnsi="Arial"/>
          <w:b/>
          <w:bCs/>
        </w:rPr>
      </w:pPr>
      <w:r>
        <w:rPr>
          <w:rFonts w:ascii="Arial" w:hAnsi="Arial" w:cs="Arial"/>
          <w:b/>
          <w:bCs/>
        </w:rPr>
        <w:t>KEY</w:t>
      </w:r>
      <w:r>
        <w:rPr>
          <w:rFonts w:ascii="Arial" w:hAnsi="Arial"/>
          <w:b/>
          <w:bCs/>
        </w:rPr>
        <w:t xml:space="preserve"> RECOMMENDATIONS </w:t>
      </w:r>
    </w:p>
    <w:p w14:paraId="75F3DA52" w14:textId="77777777" w:rsidR="00D06B15" w:rsidRDefault="00D06B15">
      <w:pPr>
        <w:pStyle w:val="Body"/>
        <w:spacing w:after="0"/>
        <w:rPr>
          <w:rFonts w:ascii="Arial" w:hAnsi="Arial"/>
          <w:b/>
          <w:bCs/>
        </w:rPr>
      </w:pPr>
    </w:p>
    <w:p w14:paraId="270B6E6E" w14:textId="77777777" w:rsidR="00D06B15" w:rsidRDefault="003761A6">
      <w:pPr>
        <w:pStyle w:val="Body"/>
        <w:spacing w:after="0"/>
        <w:rPr>
          <w:rFonts w:ascii="Arial" w:hAnsi="Arial"/>
        </w:rPr>
      </w:pPr>
      <w:r>
        <w:rPr>
          <w:rFonts w:ascii="Arial" w:hAnsi="Arial"/>
        </w:rPr>
        <w:t>To improve solid waste management in Garissa Township, it is recommended to strengthen policy implementation by enforcing existing laws and providing clear guidelines for waste segregation and recycling. Institutional capacity should be enhanced through increased staffing, technical training, and provision of equipment and financial resources. Coordination and accountability can be improved via structured interdepartmental platforms, transparent monitoring, and feedback mechanisms. Stakeholder participation and public awareness should be promoted by engaging communities, informal collectors, and private operators in decision-making and conducting regular education campaigns. Securing sustainable funding and fostering multi-sector collaboration will further support effective and sustainable waste management (Oguge, 2019).</w:t>
      </w:r>
    </w:p>
    <w:p w14:paraId="7C984880" w14:textId="77777777" w:rsidR="00D06B15" w:rsidRDefault="00D06B15">
      <w:pPr>
        <w:pStyle w:val="Body"/>
        <w:spacing w:after="0"/>
        <w:rPr>
          <w:rFonts w:ascii="Arial" w:hAnsi="Arial" w:cs="Arial"/>
        </w:rPr>
      </w:pPr>
    </w:p>
    <w:p w14:paraId="343736CB" w14:textId="77777777" w:rsidR="00D06B15" w:rsidRDefault="00D06B15">
      <w:pPr>
        <w:pStyle w:val="ReferHead"/>
        <w:spacing w:after="0"/>
        <w:jc w:val="both"/>
        <w:rPr>
          <w:rFonts w:ascii="Arial" w:hAnsi="Arial" w:cs="Arial"/>
          <w:b w:val="0"/>
          <w:caps w:val="0"/>
          <w:sz w:val="20"/>
        </w:rPr>
      </w:pPr>
    </w:p>
    <w:p w14:paraId="453DD580" w14:textId="77777777" w:rsidR="00D06B15" w:rsidRDefault="003761A6">
      <w:pPr>
        <w:pStyle w:val="ReferHead"/>
        <w:spacing w:after="0"/>
        <w:jc w:val="both"/>
        <w:rPr>
          <w:rFonts w:ascii="Arial" w:hAnsi="Arial" w:cs="Arial"/>
          <w:bCs/>
        </w:rPr>
      </w:pPr>
      <w:r>
        <w:rPr>
          <w:rFonts w:ascii="Arial" w:hAnsi="Arial" w:cs="Arial"/>
          <w:bCs/>
        </w:rPr>
        <w:t xml:space="preserve">Consent </w:t>
      </w:r>
    </w:p>
    <w:p w14:paraId="70345B7A" w14:textId="77777777" w:rsidR="00D06B15" w:rsidRDefault="00D06B15">
      <w:pPr>
        <w:pStyle w:val="ReferHead"/>
        <w:spacing w:after="0"/>
        <w:jc w:val="both"/>
        <w:rPr>
          <w:rFonts w:ascii="Arial" w:hAnsi="Arial" w:cs="Arial"/>
          <w:bCs/>
        </w:rPr>
      </w:pPr>
    </w:p>
    <w:p w14:paraId="23A63834" w14:textId="77777777" w:rsidR="00D06B15" w:rsidRDefault="003761A6">
      <w:pPr>
        <w:pStyle w:val="ReferHead"/>
        <w:spacing w:after="0"/>
        <w:jc w:val="both"/>
        <w:rPr>
          <w:rFonts w:ascii="Arial" w:hAnsi="Arial" w:cs="Arial"/>
          <w:b w:val="0"/>
          <w:caps w:val="0"/>
          <w:sz w:val="20"/>
        </w:rPr>
      </w:pPr>
      <w:r>
        <w:rPr>
          <w:rFonts w:ascii="Arial" w:hAnsi="Arial"/>
          <w:b w:val="0"/>
          <w:caps w:val="0"/>
          <w:sz w:val="20"/>
        </w:rPr>
        <w:t>All authors confirm that written informed consent was obtained from each participant before their participation in the study. Participants were provided with detailed information regarding the study’s objectives, procedures, and measures to ensure confidentiality prior to giving consent.</w:t>
      </w:r>
    </w:p>
    <w:p w14:paraId="3AC6F77C" w14:textId="77777777" w:rsidR="00D06B15" w:rsidRDefault="00D06B15">
      <w:pPr>
        <w:pStyle w:val="ReferHead"/>
        <w:spacing w:after="0"/>
        <w:jc w:val="both"/>
        <w:rPr>
          <w:rFonts w:ascii="Arial" w:hAnsi="Arial" w:cs="Arial"/>
          <w:b w:val="0"/>
          <w:caps w:val="0"/>
          <w:sz w:val="20"/>
        </w:rPr>
      </w:pPr>
    </w:p>
    <w:p w14:paraId="7E112CA8" w14:textId="77777777" w:rsidR="00D06B15" w:rsidRDefault="003761A6">
      <w:pPr>
        <w:pStyle w:val="ReferHead"/>
        <w:spacing w:after="0"/>
        <w:jc w:val="both"/>
        <w:rPr>
          <w:rFonts w:ascii="Arial" w:hAnsi="Arial" w:cs="Arial"/>
          <w:bCs/>
        </w:rPr>
      </w:pPr>
      <w:r>
        <w:rPr>
          <w:rFonts w:ascii="Arial" w:hAnsi="Arial" w:cs="Arial"/>
          <w:bCs/>
        </w:rPr>
        <w:t xml:space="preserve">Ethical approval </w:t>
      </w:r>
    </w:p>
    <w:p w14:paraId="73EB1659" w14:textId="77777777" w:rsidR="00D06B15" w:rsidRDefault="00D06B15">
      <w:pPr>
        <w:pStyle w:val="ReferHead"/>
        <w:spacing w:after="0"/>
        <w:jc w:val="both"/>
        <w:rPr>
          <w:rFonts w:ascii="Arial" w:hAnsi="Arial" w:cs="Arial"/>
          <w:bCs/>
        </w:rPr>
      </w:pPr>
    </w:p>
    <w:p w14:paraId="1CC55523" w14:textId="77777777" w:rsidR="00D06B15" w:rsidRDefault="003761A6">
      <w:pPr>
        <w:pStyle w:val="ReferHead"/>
        <w:spacing w:after="0"/>
        <w:jc w:val="both"/>
        <w:rPr>
          <w:rFonts w:ascii="Arial" w:hAnsi="Arial"/>
          <w:b w:val="0"/>
          <w:caps w:val="0"/>
          <w:sz w:val="20"/>
        </w:rPr>
      </w:pPr>
      <w:r>
        <w:rPr>
          <w:rFonts w:ascii="Arial" w:hAnsi="Arial"/>
          <w:b w:val="0"/>
          <w:caps w:val="0"/>
          <w:sz w:val="20"/>
        </w:rPr>
        <w:t>The research protocol received approval from the Bangor University Ethics Review. All aspects of the study were carried out following the ethical principles outlined in the Declaration of Helsinki and in accordance with applicable national and institutional guidelines for research involving human participants. Measures were taken to ensure the privacy and confidentiality of all participants throughout the study.</w:t>
      </w:r>
    </w:p>
    <w:p w14:paraId="595FDC7B" w14:textId="77777777" w:rsidR="00D06B15" w:rsidRDefault="00D06B15">
      <w:pPr>
        <w:pStyle w:val="ReferHead"/>
        <w:spacing w:after="0"/>
        <w:jc w:val="both"/>
        <w:rPr>
          <w:rFonts w:ascii="Arial" w:hAnsi="Arial"/>
          <w:b w:val="0"/>
          <w:caps w:val="0"/>
          <w:sz w:val="20"/>
        </w:rPr>
      </w:pPr>
    </w:p>
    <w:p w14:paraId="4D9A4070" w14:textId="77777777" w:rsidR="00D06B15" w:rsidRDefault="003761A6">
      <w:pPr>
        <w:rPr>
          <w:rFonts w:ascii="Arial" w:eastAsia="Calibri" w:hAnsi="Arial" w:cs="Arial"/>
          <w:b/>
          <w:bCs/>
          <w:kern w:val="2"/>
        </w:rPr>
      </w:pPr>
      <w:bookmarkStart w:id="2" w:name="_Hlk213688972"/>
      <w:r>
        <w:rPr>
          <w:rFonts w:ascii="Arial" w:eastAsia="Calibri" w:hAnsi="Arial" w:cs="Arial"/>
          <w:b/>
          <w:bCs/>
          <w:kern w:val="2"/>
        </w:rPr>
        <w:t>DISCLAIMER (ARTIFICIAL INTELLIGENCE)</w:t>
      </w:r>
    </w:p>
    <w:p w14:paraId="31A6D5CA" w14:textId="77777777" w:rsidR="00D06B15" w:rsidRDefault="003761A6">
      <w:pPr>
        <w:pStyle w:val="ReferHead"/>
        <w:spacing w:after="0"/>
        <w:jc w:val="both"/>
        <w:rPr>
          <w:rFonts w:ascii="Arial" w:hAnsi="Arial" w:cs="Arial"/>
          <w:b w:val="0"/>
          <w:bCs/>
          <w:caps w:val="0"/>
          <w:sz w:val="18"/>
          <w:szCs w:val="18"/>
        </w:rPr>
      </w:pPr>
      <w:r>
        <w:rPr>
          <w:rFonts w:ascii="Arial" w:eastAsia="Calibri" w:hAnsi="Arial" w:cs="Arial"/>
          <w:b w:val="0"/>
          <w:bCs/>
          <w:caps w:val="0"/>
          <w:kern w:val="2"/>
          <w:sz w:val="20"/>
          <w:szCs w:val="18"/>
        </w:rPr>
        <w:t>Author(s) hereby declare that no generative AI technologies such as large language models (</w:t>
      </w:r>
      <w:proofErr w:type="spellStart"/>
      <w:r>
        <w:rPr>
          <w:rFonts w:ascii="Arial" w:eastAsia="Calibri" w:hAnsi="Arial" w:cs="Arial"/>
          <w:b w:val="0"/>
          <w:bCs/>
          <w:caps w:val="0"/>
          <w:kern w:val="2"/>
          <w:sz w:val="20"/>
          <w:szCs w:val="18"/>
        </w:rPr>
        <w:t>chatgpt</w:t>
      </w:r>
      <w:proofErr w:type="spellEnd"/>
      <w:r>
        <w:rPr>
          <w:rFonts w:ascii="Arial" w:eastAsia="Calibri" w:hAnsi="Arial" w:cs="Arial"/>
          <w:b w:val="0"/>
          <w:bCs/>
          <w:caps w:val="0"/>
          <w:kern w:val="2"/>
          <w:sz w:val="20"/>
          <w:szCs w:val="18"/>
        </w:rPr>
        <w:t>, copilot, etc.) And text-to-image generators have been used during the writing or editing of this manuscript</w:t>
      </w:r>
      <w:r>
        <w:rPr>
          <w:rFonts w:ascii="Arial" w:eastAsia="Calibri" w:hAnsi="Arial" w:cs="Arial"/>
          <w:b w:val="0"/>
          <w:bCs/>
          <w:kern w:val="2"/>
          <w:sz w:val="20"/>
          <w:szCs w:val="18"/>
        </w:rPr>
        <w:t>.</w:t>
      </w:r>
    </w:p>
    <w:bookmarkEnd w:id="2"/>
    <w:p w14:paraId="68647CB3" w14:textId="77777777" w:rsidR="00D06B15" w:rsidRDefault="00D06B15">
      <w:pPr>
        <w:pStyle w:val="ReferHead"/>
        <w:spacing w:after="0"/>
        <w:jc w:val="both"/>
        <w:rPr>
          <w:rFonts w:ascii="Arial" w:hAnsi="Arial"/>
          <w:b w:val="0"/>
          <w:caps w:val="0"/>
          <w:sz w:val="20"/>
        </w:rPr>
      </w:pPr>
    </w:p>
    <w:p w14:paraId="7210C274" w14:textId="77777777" w:rsidR="00D06B15" w:rsidRDefault="003761A6">
      <w:pPr>
        <w:pStyle w:val="ReferHead"/>
        <w:spacing w:after="0"/>
        <w:jc w:val="both"/>
        <w:rPr>
          <w:rFonts w:ascii="Arial" w:hAnsi="Arial" w:cs="Arial"/>
        </w:rPr>
      </w:pPr>
      <w:r>
        <w:rPr>
          <w:rFonts w:ascii="Arial" w:hAnsi="Arial" w:cs="Arial"/>
        </w:rPr>
        <w:t>References</w:t>
      </w:r>
    </w:p>
    <w:p w14:paraId="0800DDC5" w14:textId="77777777" w:rsidR="00D06B15" w:rsidRDefault="00D06B15">
      <w:pPr>
        <w:pStyle w:val="ReferHead"/>
        <w:spacing w:after="0"/>
        <w:jc w:val="both"/>
        <w:rPr>
          <w:rFonts w:ascii="Arial" w:hAnsi="Arial" w:cs="Arial"/>
        </w:rPr>
      </w:pPr>
    </w:p>
    <w:p w14:paraId="24488B56" w14:textId="77777777" w:rsidR="00D06B15" w:rsidRDefault="003761A6">
      <w:pPr>
        <w:pStyle w:val="Body"/>
        <w:spacing w:after="0"/>
      </w:pPr>
      <w:r>
        <w:t xml:space="preserve">Creswell, J. W., &amp; Creswell, J. D. (2018). Research Design: Qualitative, Quantitative, and </w:t>
      </w:r>
      <w:r>
        <w:tab/>
        <w:t xml:space="preserve">Mixed Methods Approaches (5th ed.). Sage Publications. </w:t>
      </w:r>
      <w:hyperlink r:id="rId17" w:history="1">
        <w:r>
          <w:rPr>
            <w:rStyle w:val="Hyperlink"/>
          </w:rPr>
          <w:t>https://spada.uns.ac.id/pluginfile.php/510378/mod_resource/content/1/creswell.pdf</w:t>
        </w:r>
      </w:hyperlink>
      <w:r>
        <w:t xml:space="preserve"> </w:t>
      </w:r>
    </w:p>
    <w:p w14:paraId="0E1621A3" w14:textId="77777777" w:rsidR="00D06B15" w:rsidRDefault="003761A6">
      <w:pPr>
        <w:pStyle w:val="Body"/>
        <w:spacing w:after="0"/>
      </w:pPr>
      <w:r>
        <w:t xml:space="preserve">Das, S., Lee, S. H., Kumar, P., Kim, K. H., Lee, S. S., &amp; Bhattacharya, S. S. (2019). Solid </w:t>
      </w:r>
      <w:r>
        <w:tab/>
        <w:t xml:space="preserve">waste management: Scope and the challenge of sustainability. Journal of cleaner </w:t>
      </w:r>
      <w:r>
        <w:tab/>
        <w:t xml:space="preserve">production, 228, 658-678. </w:t>
      </w:r>
      <w:hyperlink r:id="rId18" w:history="1">
        <w:r>
          <w:rPr>
            <w:rStyle w:val="Hyperlink"/>
          </w:rPr>
          <w:t>https://doi.org/10.1016/j.jclepro.2019.04.323</w:t>
        </w:r>
      </w:hyperlink>
      <w:r>
        <w:t xml:space="preserve"> </w:t>
      </w:r>
    </w:p>
    <w:p w14:paraId="021510F5" w14:textId="77777777" w:rsidR="00D06B15" w:rsidRDefault="003761A6">
      <w:pPr>
        <w:pStyle w:val="Body"/>
        <w:spacing w:after="0"/>
      </w:pPr>
      <w:r>
        <w:t xml:space="preserve">Kenya National Bureau of Statistics (KNBS). (2019). 2019 Kenya Population and Housing </w:t>
      </w:r>
      <w:r>
        <w:tab/>
        <w:t xml:space="preserve">Census Volume I: Population by County and Sub-County. Nairobi: KNBS. Retrieved </w:t>
      </w:r>
      <w:r>
        <w:tab/>
        <w:t xml:space="preserve">from https://www.knbs.or.ke </w:t>
      </w:r>
      <w:hyperlink r:id="rId19" w:history="1">
        <w:r>
          <w:rPr>
            <w:rStyle w:val="Hyperlink"/>
          </w:rPr>
          <w:t>https://www.knbs.or.ke/download/2019-kenya-population-and-housing-census-volume-i-population-by-county-and-sub-county/</w:t>
        </w:r>
      </w:hyperlink>
      <w:r>
        <w:t xml:space="preserve"> </w:t>
      </w:r>
    </w:p>
    <w:p w14:paraId="7D3836F4" w14:textId="77777777" w:rsidR="00D06B15" w:rsidRDefault="003761A6">
      <w:pPr>
        <w:pStyle w:val="Body"/>
        <w:spacing w:after="0"/>
      </w:pPr>
      <w:proofErr w:type="spellStart"/>
      <w:r>
        <w:t>Massoud</w:t>
      </w:r>
      <w:proofErr w:type="spellEnd"/>
      <w:r>
        <w:t xml:space="preserve">, M. A., </w:t>
      </w:r>
      <w:proofErr w:type="spellStart"/>
      <w:r>
        <w:t>Mokbel</w:t>
      </w:r>
      <w:proofErr w:type="spellEnd"/>
      <w:r>
        <w:t xml:space="preserve">, M., </w:t>
      </w:r>
      <w:proofErr w:type="spellStart"/>
      <w:r>
        <w:t>Alawieh</w:t>
      </w:r>
      <w:proofErr w:type="spellEnd"/>
      <w:r>
        <w:t xml:space="preserve">, S., &amp; Yassin, N. (2019). Towards improved </w:t>
      </w:r>
      <w:r>
        <w:tab/>
        <w:t xml:space="preserve">governance for sustainable solid waste management in Lebanon: </w:t>
      </w:r>
      <w:proofErr w:type="spellStart"/>
      <w:r>
        <w:t>Centralised</w:t>
      </w:r>
      <w:proofErr w:type="spellEnd"/>
      <w:r>
        <w:t xml:space="preserve"> vs </w:t>
      </w:r>
      <w:r>
        <w:tab/>
      </w:r>
      <w:proofErr w:type="spellStart"/>
      <w:r>
        <w:t>decentralised</w:t>
      </w:r>
      <w:proofErr w:type="spellEnd"/>
      <w:r>
        <w:t xml:space="preserve"> approaches. Waste Management &amp; Research, 37(7), 686-697. </w:t>
      </w:r>
      <w:hyperlink r:id="rId20" w:history="1">
        <w:r>
          <w:rPr>
            <w:rStyle w:val="Hyperlink"/>
          </w:rPr>
          <w:t>https://doi.org/10.1177/0734242X19836705</w:t>
        </w:r>
      </w:hyperlink>
      <w:r>
        <w:t xml:space="preserve"> </w:t>
      </w:r>
    </w:p>
    <w:p w14:paraId="70A1386F" w14:textId="77777777" w:rsidR="00D06B15" w:rsidRDefault="003761A6">
      <w:pPr>
        <w:pStyle w:val="Body"/>
        <w:spacing w:after="0"/>
      </w:pPr>
      <w:r>
        <w:t xml:space="preserve">Mule, B. M. (2013). Factors influencing household solid waste disposal and management in </w:t>
      </w:r>
      <w:r>
        <w:tab/>
      </w:r>
      <w:proofErr w:type="spellStart"/>
      <w:r>
        <w:t>garissa</w:t>
      </w:r>
      <w:proofErr w:type="spellEnd"/>
      <w:r>
        <w:t xml:space="preserve"> Town, Garissa County, Kenya (Doctoral dissertation, University of Nairobi).</w:t>
      </w:r>
    </w:p>
    <w:p w14:paraId="73FEEC96" w14:textId="77777777" w:rsidR="00D06B15" w:rsidRDefault="003761A6">
      <w:pPr>
        <w:pStyle w:val="Body"/>
        <w:spacing w:after="0"/>
      </w:pPr>
      <w:r>
        <w:t xml:space="preserve">National Environment Management Authority. (2019). Circular economy in Kenya. Retrieved </w:t>
      </w:r>
      <w:r>
        <w:tab/>
        <w:t>from https://nema.go.ke</w:t>
      </w:r>
    </w:p>
    <w:p w14:paraId="15C736D9" w14:textId="77777777" w:rsidR="00D06B15" w:rsidRDefault="003761A6">
      <w:pPr>
        <w:pStyle w:val="Body"/>
        <w:spacing w:after="0"/>
      </w:pPr>
      <w:r>
        <w:t xml:space="preserve">Oguge, N. O. (2019). Circular economy measures: an opportunity for rethinking plastics </w:t>
      </w:r>
      <w:r>
        <w:tab/>
        <w:t xml:space="preserve">waste governance in Kenya. Law Env't &amp; Dev. J., 15, 124. </w:t>
      </w:r>
      <w:hyperlink r:id="rId21" w:history="1">
        <w:r>
          <w:rPr>
            <w:rStyle w:val="Hyperlink"/>
          </w:rPr>
          <w:t>https://doi.org/10.25501/SOAS.00033069</w:t>
        </w:r>
      </w:hyperlink>
      <w:r>
        <w:t xml:space="preserve"> </w:t>
      </w:r>
    </w:p>
    <w:p w14:paraId="168FDC28" w14:textId="77777777" w:rsidR="00D06B15" w:rsidRDefault="003761A6">
      <w:pPr>
        <w:pStyle w:val="Body"/>
        <w:spacing w:after="0"/>
      </w:pPr>
      <w:proofErr w:type="spellStart"/>
      <w:r>
        <w:t>Ozoike</w:t>
      </w:r>
      <w:proofErr w:type="spellEnd"/>
      <w:r>
        <w:t xml:space="preserve"> P., </w:t>
      </w:r>
      <w:proofErr w:type="spellStart"/>
      <w:r>
        <w:t>Spaling</w:t>
      </w:r>
      <w:proofErr w:type="spellEnd"/>
      <w:r>
        <w:t xml:space="preserve">, H., Sinclair, A. J., &amp; Walker, H. M. (2019). SEA, urban plans and solid </w:t>
      </w:r>
      <w:r>
        <w:tab/>
        <w:t xml:space="preserve">waste management in Kenya: participation and learning for sustainable cities. </w:t>
      </w:r>
      <w:r>
        <w:tab/>
        <w:t xml:space="preserve">Journal of environmental assessment policy and management, 21(04), 1950018. </w:t>
      </w:r>
      <w:hyperlink r:id="rId22" w:history="1">
        <w:r>
          <w:rPr>
            <w:rStyle w:val="Hyperlink"/>
          </w:rPr>
          <w:t>https://doi.org/10.1142/S1464333219500182</w:t>
        </w:r>
      </w:hyperlink>
      <w:r>
        <w:t xml:space="preserve"> </w:t>
      </w:r>
    </w:p>
    <w:p w14:paraId="27FD9C49" w14:textId="77777777" w:rsidR="00D06B15" w:rsidRDefault="003761A6">
      <w:pPr>
        <w:pStyle w:val="Body"/>
        <w:spacing w:after="0"/>
      </w:pPr>
      <w:r>
        <w:t xml:space="preserve">Pires, A., </w:t>
      </w:r>
      <w:proofErr w:type="spellStart"/>
      <w:r>
        <w:t>Martinho</w:t>
      </w:r>
      <w:proofErr w:type="spellEnd"/>
      <w:r>
        <w:t xml:space="preserve">, G., Rodrigues, S., &amp; Gomes, M. I. (2019). Sustainable solid waste </w:t>
      </w:r>
      <w:r>
        <w:tab/>
        <w:t xml:space="preserve">collection and management. </w:t>
      </w:r>
      <w:hyperlink r:id="rId23" w:history="1">
        <w:r>
          <w:rPr>
            <w:rStyle w:val="Hyperlink"/>
          </w:rPr>
          <w:t>https://doi.org/10.1007/978-3-319-93200-2</w:t>
        </w:r>
      </w:hyperlink>
      <w:r>
        <w:t xml:space="preserve"> </w:t>
      </w:r>
    </w:p>
    <w:p w14:paraId="4761675F" w14:textId="77777777" w:rsidR="00D06B15" w:rsidRDefault="003761A6">
      <w:pPr>
        <w:pStyle w:val="Body"/>
        <w:spacing w:after="0"/>
      </w:pPr>
      <w:r>
        <w:t xml:space="preserve">Sibanda, L. K., </w:t>
      </w:r>
      <w:proofErr w:type="spellStart"/>
      <w:r>
        <w:t>Obange</w:t>
      </w:r>
      <w:proofErr w:type="spellEnd"/>
      <w:r>
        <w:t xml:space="preserve">, N., &amp; </w:t>
      </w:r>
      <w:proofErr w:type="spellStart"/>
      <w:r>
        <w:t>Awuor</w:t>
      </w:r>
      <w:proofErr w:type="spellEnd"/>
      <w:r>
        <w:t xml:space="preserve">, F. O. (2017, December). Challenges of solid waste </w:t>
      </w:r>
      <w:r>
        <w:tab/>
        <w:t xml:space="preserve">management in Kisumu, Kenya. In Urban Forum (Vol. 28, No. 4, pp. 387-402). </w:t>
      </w:r>
      <w:r>
        <w:tab/>
        <w:t xml:space="preserve">Dordrecht: Springer Netherlands. </w:t>
      </w:r>
      <w:hyperlink r:id="rId24" w:history="1">
        <w:r>
          <w:rPr>
            <w:rStyle w:val="Hyperlink"/>
          </w:rPr>
          <w:t>https://doi.org/10.1007/s12132-017-9316-1</w:t>
        </w:r>
      </w:hyperlink>
      <w:r>
        <w:t xml:space="preserve"> </w:t>
      </w:r>
    </w:p>
    <w:p w14:paraId="7EC792F5" w14:textId="77777777" w:rsidR="00D06B15" w:rsidRDefault="003761A6">
      <w:pPr>
        <w:pStyle w:val="Body"/>
        <w:spacing w:after="0"/>
      </w:pPr>
      <w:r>
        <w:t xml:space="preserve">UNEP. (2019). Sustainable waste management in developing countries. Nairobi: United </w:t>
      </w:r>
      <w:r>
        <w:tab/>
        <w:t xml:space="preserve">Nations Environment Programme. </w:t>
      </w:r>
      <w:hyperlink r:id="rId25" w:history="1">
        <w:r>
          <w:rPr>
            <w:rStyle w:val="Hyperlink"/>
          </w:rPr>
          <w:t>https://www.unep.org/ietc/resources/publication/roadmap-sustainable-waste-management-and-resource-circulation-south-asia</w:t>
        </w:r>
      </w:hyperlink>
      <w:r>
        <w:t xml:space="preserve"> </w:t>
      </w:r>
    </w:p>
    <w:p w14:paraId="495DACFA" w14:textId="77777777" w:rsidR="00D06B15" w:rsidRDefault="003761A6">
      <w:pPr>
        <w:pStyle w:val="Body"/>
        <w:spacing w:after="0"/>
      </w:pPr>
      <w:r>
        <w:t xml:space="preserve">Wong, J. W., </w:t>
      </w:r>
      <w:proofErr w:type="spellStart"/>
      <w:r>
        <w:t>Surampalli</w:t>
      </w:r>
      <w:proofErr w:type="spellEnd"/>
      <w:r>
        <w:t xml:space="preserve">, R. Y., Zhang, T. C., Tyagi, R. D., &amp; Selvam, A. (Eds.). (2016, </w:t>
      </w:r>
      <w:r>
        <w:tab/>
        <w:t xml:space="preserve">January). Sustainable solid waste management. Reston, VA: American Society of </w:t>
      </w:r>
      <w:r>
        <w:tab/>
        <w:t xml:space="preserve">Civil Engineers. </w:t>
      </w:r>
      <w:hyperlink r:id="rId26" w:history="1">
        <w:r>
          <w:rPr>
            <w:rStyle w:val="Hyperlink"/>
          </w:rPr>
          <w:t>https://doi.org/10.1061/9780784414101.fm</w:t>
        </w:r>
      </w:hyperlink>
      <w:r>
        <w:t xml:space="preserve"> </w:t>
      </w:r>
    </w:p>
    <w:p w14:paraId="29C1C2EC" w14:textId="77777777" w:rsidR="00D06B15" w:rsidRDefault="00D06B15">
      <w:pPr>
        <w:pStyle w:val="Body"/>
        <w:spacing w:after="0"/>
      </w:pPr>
    </w:p>
    <w:p w14:paraId="095F91E2" w14:textId="77777777" w:rsidR="00D06B15" w:rsidRDefault="00D06B15">
      <w:pPr>
        <w:pStyle w:val="Body"/>
        <w:spacing w:after="0"/>
        <w:rPr>
          <w:rFonts w:ascii="Arial" w:hAnsi="Arial" w:cs="Arial"/>
        </w:rPr>
      </w:pPr>
    </w:p>
    <w:p w14:paraId="326C3CC8" w14:textId="77777777" w:rsidR="00D06B15" w:rsidRDefault="00D06B15">
      <w:pPr>
        <w:pStyle w:val="Appendix"/>
        <w:spacing w:after="0"/>
        <w:jc w:val="both"/>
        <w:rPr>
          <w:rFonts w:ascii="Arial" w:hAnsi="Arial" w:cs="Arial"/>
          <w:b w:val="0"/>
        </w:rPr>
        <w:sectPr w:rsidR="00D06B15">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7D64888A" w14:textId="77777777" w:rsidR="00D06B15" w:rsidRDefault="00D06B15">
      <w:pPr>
        <w:pStyle w:val="Appendix"/>
        <w:spacing w:after="0"/>
        <w:jc w:val="both"/>
        <w:rPr>
          <w:rFonts w:ascii="Arial" w:hAnsi="Arial" w:cs="Arial"/>
          <w:b w:val="0"/>
        </w:rPr>
      </w:pPr>
    </w:p>
    <w:sectPr w:rsidR="00D06B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81E4" w14:textId="77777777" w:rsidR="002333B7" w:rsidRDefault="002333B7">
      <w:r>
        <w:separator/>
      </w:r>
    </w:p>
  </w:endnote>
  <w:endnote w:type="continuationSeparator" w:id="0">
    <w:p w14:paraId="40DCAC6A" w14:textId="77777777" w:rsidR="002333B7" w:rsidRDefault="0023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A13E" w14:textId="77777777" w:rsidR="00D06B15" w:rsidRDefault="00D06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8E6" w14:textId="77777777" w:rsidR="00D06B15" w:rsidRDefault="00D06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A570" w14:textId="77777777" w:rsidR="00D06B15" w:rsidRDefault="00D06B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788A" w14:textId="77777777" w:rsidR="00D06B15" w:rsidRDefault="00D0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3B0E" w14:textId="77777777" w:rsidR="002333B7" w:rsidRDefault="002333B7">
      <w:r>
        <w:separator/>
      </w:r>
    </w:p>
  </w:footnote>
  <w:footnote w:type="continuationSeparator" w:id="0">
    <w:p w14:paraId="7C11AFCB" w14:textId="77777777" w:rsidR="002333B7" w:rsidRDefault="0023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41C3" w14:textId="77777777" w:rsidR="00D06B15" w:rsidRDefault="002333B7">
    <w:pPr>
      <w:pStyle w:val="Header"/>
    </w:pPr>
    <w:r>
      <w:pict w14:anchorId="5F4D1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6"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B1E0" w14:textId="77777777" w:rsidR="00D06B15" w:rsidRDefault="002333B7">
    <w:pPr>
      <w:pStyle w:val="Header"/>
    </w:pPr>
    <w:r>
      <w:pict w14:anchorId="2B0CE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7"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8322" w14:textId="77777777" w:rsidR="00D06B15" w:rsidRDefault="002333B7">
    <w:pPr>
      <w:ind w:left="2160"/>
      <w:jc w:val="center"/>
      <w:rPr>
        <w:rFonts w:ascii="Times New Roman" w:eastAsia="Calibri" w:hAnsi="Times New Roman"/>
        <w:i/>
        <w:sz w:val="18"/>
        <w:szCs w:val="22"/>
      </w:rPr>
    </w:pPr>
    <w:r>
      <w:pict w14:anchorId="29D03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5"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309A37D" w14:textId="77777777" w:rsidR="00D06B15" w:rsidRDefault="003761A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D1E115" w14:textId="77777777" w:rsidR="00D06B15" w:rsidRDefault="003761A6">
    <w:pPr>
      <w:jc w:val="center"/>
      <w:rPr>
        <w:rFonts w:ascii="Times New Roman" w:eastAsia="Calibri" w:hAnsi="Times New Roman"/>
        <w:i/>
        <w:sz w:val="18"/>
        <w:szCs w:val="22"/>
      </w:rPr>
    </w:pPr>
    <w:r>
      <w:rPr>
        <w:rFonts w:ascii="Times New Roman" w:eastAsia="Calibri" w:hAnsi="Times New Roman"/>
        <w:i/>
        <w:sz w:val="18"/>
        <w:szCs w:val="22"/>
      </w:rPr>
      <w:t>.</w:t>
    </w:r>
  </w:p>
  <w:p w14:paraId="25B4A0F9" w14:textId="77777777" w:rsidR="00D06B15" w:rsidRDefault="003761A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9028BB" w14:textId="77777777" w:rsidR="00D06B15" w:rsidRDefault="003761A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E775138" w14:textId="77777777" w:rsidR="00D06B15" w:rsidRDefault="003761A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73AF88" w14:textId="77777777" w:rsidR="00D06B15" w:rsidRDefault="003761A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3CC5" w14:textId="77777777" w:rsidR="00D06B15" w:rsidRDefault="002333B7">
    <w:pPr>
      <w:pStyle w:val="Header"/>
    </w:pPr>
    <w:r>
      <w:pict w14:anchorId="343BC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9"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A70C" w14:textId="77777777" w:rsidR="00D06B15" w:rsidRDefault="002333B7">
    <w:pPr>
      <w:pStyle w:val="Header"/>
    </w:pPr>
    <w:r>
      <w:pict w14:anchorId="74639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80"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A44D" w14:textId="77777777" w:rsidR="00D06B15" w:rsidRDefault="002333B7">
    <w:pPr>
      <w:pStyle w:val="Header"/>
    </w:pPr>
    <w:r>
      <w:pict w14:anchorId="2BE9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8"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CAF90"/>
    <w:multiLevelType w:val="singleLevel"/>
    <w:tmpl w:val="B88CAF90"/>
    <w:lvl w:ilvl="0">
      <w:start w:val="5"/>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savePreviewPicture/>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BF6"/>
    <w:rsid w:val="000275E5"/>
    <w:rsid w:val="00030174"/>
    <w:rsid w:val="00032C76"/>
    <w:rsid w:val="000452CF"/>
    <w:rsid w:val="0004579C"/>
    <w:rsid w:val="000A47FA"/>
    <w:rsid w:val="000A65D3"/>
    <w:rsid w:val="000B1E33"/>
    <w:rsid w:val="000B34B8"/>
    <w:rsid w:val="000D689F"/>
    <w:rsid w:val="000D6E72"/>
    <w:rsid w:val="000D7F67"/>
    <w:rsid w:val="000E7B7B"/>
    <w:rsid w:val="000E7D62"/>
    <w:rsid w:val="00103357"/>
    <w:rsid w:val="00123C9F"/>
    <w:rsid w:val="0012414E"/>
    <w:rsid w:val="00126190"/>
    <w:rsid w:val="00130F17"/>
    <w:rsid w:val="001320BF"/>
    <w:rsid w:val="00163BC4"/>
    <w:rsid w:val="00191062"/>
    <w:rsid w:val="00192804"/>
    <w:rsid w:val="00192B72"/>
    <w:rsid w:val="001A29D8"/>
    <w:rsid w:val="001A5CAA"/>
    <w:rsid w:val="001B0427"/>
    <w:rsid w:val="001D3A51"/>
    <w:rsid w:val="001E10D2"/>
    <w:rsid w:val="001E25B4"/>
    <w:rsid w:val="001E44FE"/>
    <w:rsid w:val="001F1F63"/>
    <w:rsid w:val="001F4191"/>
    <w:rsid w:val="00200595"/>
    <w:rsid w:val="00204835"/>
    <w:rsid w:val="00215389"/>
    <w:rsid w:val="002317C8"/>
    <w:rsid w:val="00231920"/>
    <w:rsid w:val="0023195C"/>
    <w:rsid w:val="002333B7"/>
    <w:rsid w:val="0024282C"/>
    <w:rsid w:val="002460DC"/>
    <w:rsid w:val="00250985"/>
    <w:rsid w:val="002556F6"/>
    <w:rsid w:val="00263F34"/>
    <w:rsid w:val="002763E5"/>
    <w:rsid w:val="00282CA1"/>
    <w:rsid w:val="00283105"/>
    <w:rsid w:val="00284C4C"/>
    <w:rsid w:val="00287E68"/>
    <w:rsid w:val="00292D30"/>
    <w:rsid w:val="00296529"/>
    <w:rsid w:val="002B27FB"/>
    <w:rsid w:val="002B685A"/>
    <w:rsid w:val="002C57D2"/>
    <w:rsid w:val="002E0D56"/>
    <w:rsid w:val="00315186"/>
    <w:rsid w:val="00330F7B"/>
    <w:rsid w:val="0033343E"/>
    <w:rsid w:val="00346A02"/>
    <w:rsid w:val="003512C2"/>
    <w:rsid w:val="00371FB6"/>
    <w:rsid w:val="003761A6"/>
    <w:rsid w:val="003763C1"/>
    <w:rsid w:val="00376BBE"/>
    <w:rsid w:val="0039224F"/>
    <w:rsid w:val="003A43A4"/>
    <w:rsid w:val="003A7E18"/>
    <w:rsid w:val="003B6F81"/>
    <w:rsid w:val="003C1EC0"/>
    <w:rsid w:val="003C4C86"/>
    <w:rsid w:val="003C6258"/>
    <w:rsid w:val="003D3321"/>
    <w:rsid w:val="003E2904"/>
    <w:rsid w:val="00401927"/>
    <w:rsid w:val="004058A5"/>
    <w:rsid w:val="0041027F"/>
    <w:rsid w:val="00412475"/>
    <w:rsid w:val="00415852"/>
    <w:rsid w:val="00423789"/>
    <w:rsid w:val="00440F43"/>
    <w:rsid w:val="00441B6F"/>
    <w:rsid w:val="00446221"/>
    <w:rsid w:val="00450E62"/>
    <w:rsid w:val="004539DB"/>
    <w:rsid w:val="00455F47"/>
    <w:rsid w:val="00471A80"/>
    <w:rsid w:val="00491425"/>
    <w:rsid w:val="004B67A8"/>
    <w:rsid w:val="004D305E"/>
    <w:rsid w:val="004D4277"/>
    <w:rsid w:val="00502516"/>
    <w:rsid w:val="00505F06"/>
    <w:rsid w:val="00506828"/>
    <w:rsid w:val="0053056E"/>
    <w:rsid w:val="00540D83"/>
    <w:rsid w:val="00546489"/>
    <w:rsid w:val="00554FDA"/>
    <w:rsid w:val="005840B8"/>
    <w:rsid w:val="005C784C"/>
    <w:rsid w:val="005D17F6"/>
    <w:rsid w:val="005E4F35"/>
    <w:rsid w:val="005E5539"/>
    <w:rsid w:val="005E593F"/>
    <w:rsid w:val="005F5C94"/>
    <w:rsid w:val="00602BF5"/>
    <w:rsid w:val="006062DE"/>
    <w:rsid w:val="00617FDD"/>
    <w:rsid w:val="00633614"/>
    <w:rsid w:val="00633F68"/>
    <w:rsid w:val="00636EB2"/>
    <w:rsid w:val="006375B8"/>
    <w:rsid w:val="00645ADE"/>
    <w:rsid w:val="0066510A"/>
    <w:rsid w:val="00672493"/>
    <w:rsid w:val="00673F9F"/>
    <w:rsid w:val="00685DC3"/>
    <w:rsid w:val="00686953"/>
    <w:rsid w:val="00687DEA"/>
    <w:rsid w:val="00687E67"/>
    <w:rsid w:val="00690D3B"/>
    <w:rsid w:val="006967F7"/>
    <w:rsid w:val="006A250C"/>
    <w:rsid w:val="006B21D3"/>
    <w:rsid w:val="006B57D0"/>
    <w:rsid w:val="006D30FF"/>
    <w:rsid w:val="006D6940"/>
    <w:rsid w:val="006F11EC"/>
    <w:rsid w:val="006F563B"/>
    <w:rsid w:val="0070082C"/>
    <w:rsid w:val="00700C84"/>
    <w:rsid w:val="007369E6"/>
    <w:rsid w:val="00746E59"/>
    <w:rsid w:val="00754C9A"/>
    <w:rsid w:val="0075599A"/>
    <w:rsid w:val="00761D52"/>
    <w:rsid w:val="0077749E"/>
    <w:rsid w:val="00790ADA"/>
    <w:rsid w:val="007D2288"/>
    <w:rsid w:val="007E088F"/>
    <w:rsid w:val="007F7B32"/>
    <w:rsid w:val="00804BC2"/>
    <w:rsid w:val="0081431A"/>
    <w:rsid w:val="00815B52"/>
    <w:rsid w:val="00823D08"/>
    <w:rsid w:val="0083216F"/>
    <w:rsid w:val="00834007"/>
    <w:rsid w:val="008436E1"/>
    <w:rsid w:val="0084555F"/>
    <w:rsid w:val="00860000"/>
    <w:rsid w:val="00863BD3"/>
    <w:rsid w:val="008641ED"/>
    <w:rsid w:val="00866D66"/>
    <w:rsid w:val="008671C6"/>
    <w:rsid w:val="00875803"/>
    <w:rsid w:val="008B459E"/>
    <w:rsid w:val="008D478F"/>
    <w:rsid w:val="008E13AE"/>
    <w:rsid w:val="008E1506"/>
    <w:rsid w:val="008E710C"/>
    <w:rsid w:val="008F69D6"/>
    <w:rsid w:val="00902823"/>
    <w:rsid w:val="00915CA6"/>
    <w:rsid w:val="00927834"/>
    <w:rsid w:val="009500A6"/>
    <w:rsid w:val="00957C18"/>
    <w:rsid w:val="009659BA"/>
    <w:rsid w:val="00983040"/>
    <w:rsid w:val="00997103"/>
    <w:rsid w:val="009B0557"/>
    <w:rsid w:val="009B3FB9"/>
    <w:rsid w:val="009C2465"/>
    <w:rsid w:val="009C3391"/>
    <w:rsid w:val="009C4431"/>
    <w:rsid w:val="009D35A0"/>
    <w:rsid w:val="009D7EB7"/>
    <w:rsid w:val="009E048A"/>
    <w:rsid w:val="009E08E9"/>
    <w:rsid w:val="009E3DB9"/>
    <w:rsid w:val="009E6E35"/>
    <w:rsid w:val="009F0EDA"/>
    <w:rsid w:val="00A03B96"/>
    <w:rsid w:val="00A05B19"/>
    <w:rsid w:val="00A1134E"/>
    <w:rsid w:val="00A24E7E"/>
    <w:rsid w:val="00A258C3"/>
    <w:rsid w:val="00A347C0"/>
    <w:rsid w:val="00A35283"/>
    <w:rsid w:val="00A51431"/>
    <w:rsid w:val="00A51E97"/>
    <w:rsid w:val="00A539AD"/>
    <w:rsid w:val="00A748FB"/>
    <w:rsid w:val="00A94063"/>
    <w:rsid w:val="00AA497E"/>
    <w:rsid w:val="00AA6219"/>
    <w:rsid w:val="00AA74E0"/>
    <w:rsid w:val="00AB2B5E"/>
    <w:rsid w:val="00AB703F"/>
    <w:rsid w:val="00AC6BB8"/>
    <w:rsid w:val="00AE008F"/>
    <w:rsid w:val="00B01FCD"/>
    <w:rsid w:val="00B1776C"/>
    <w:rsid w:val="00B424E1"/>
    <w:rsid w:val="00B4458B"/>
    <w:rsid w:val="00B52583"/>
    <w:rsid w:val="00B52896"/>
    <w:rsid w:val="00B86BAE"/>
    <w:rsid w:val="00B91A7E"/>
    <w:rsid w:val="00B95236"/>
    <w:rsid w:val="00B96BD9"/>
    <w:rsid w:val="00BA1B01"/>
    <w:rsid w:val="00BA2641"/>
    <w:rsid w:val="00BB2828"/>
    <w:rsid w:val="00BB37AA"/>
    <w:rsid w:val="00BB5D0E"/>
    <w:rsid w:val="00BC53A0"/>
    <w:rsid w:val="00BE62AD"/>
    <w:rsid w:val="00BF121F"/>
    <w:rsid w:val="00BF1F80"/>
    <w:rsid w:val="00C166EF"/>
    <w:rsid w:val="00C17EB0"/>
    <w:rsid w:val="00C27F5F"/>
    <w:rsid w:val="00C30A0F"/>
    <w:rsid w:val="00C37E61"/>
    <w:rsid w:val="00C50353"/>
    <w:rsid w:val="00C70F1B"/>
    <w:rsid w:val="00C71A47"/>
    <w:rsid w:val="00C7464C"/>
    <w:rsid w:val="00C8177B"/>
    <w:rsid w:val="00C85588"/>
    <w:rsid w:val="00CD6755"/>
    <w:rsid w:val="00CD6856"/>
    <w:rsid w:val="00CE0089"/>
    <w:rsid w:val="00CE793C"/>
    <w:rsid w:val="00CF193C"/>
    <w:rsid w:val="00D029AE"/>
    <w:rsid w:val="00D06B15"/>
    <w:rsid w:val="00D173F1"/>
    <w:rsid w:val="00D23157"/>
    <w:rsid w:val="00D51CE5"/>
    <w:rsid w:val="00D74CB0"/>
    <w:rsid w:val="00D8295D"/>
    <w:rsid w:val="00DA6FC5"/>
    <w:rsid w:val="00DC2A65"/>
    <w:rsid w:val="00DE15F0"/>
    <w:rsid w:val="00DE5663"/>
    <w:rsid w:val="00DE78AA"/>
    <w:rsid w:val="00E053D0"/>
    <w:rsid w:val="00E15994"/>
    <w:rsid w:val="00E3114E"/>
    <w:rsid w:val="00E31A70"/>
    <w:rsid w:val="00E32107"/>
    <w:rsid w:val="00E35B02"/>
    <w:rsid w:val="00E40951"/>
    <w:rsid w:val="00E571DB"/>
    <w:rsid w:val="00E66496"/>
    <w:rsid w:val="00E66B35"/>
    <w:rsid w:val="00E66E10"/>
    <w:rsid w:val="00E769F6"/>
    <w:rsid w:val="00E8407C"/>
    <w:rsid w:val="00E84F3C"/>
    <w:rsid w:val="00EA012C"/>
    <w:rsid w:val="00EC6A55"/>
    <w:rsid w:val="00ED0288"/>
    <w:rsid w:val="00ED24DB"/>
    <w:rsid w:val="00EE52CB"/>
    <w:rsid w:val="00EE5B75"/>
    <w:rsid w:val="00EE747E"/>
    <w:rsid w:val="00EF581D"/>
    <w:rsid w:val="00EF7FD8"/>
    <w:rsid w:val="00F06F59"/>
    <w:rsid w:val="00F118E8"/>
    <w:rsid w:val="00F13A19"/>
    <w:rsid w:val="00F17988"/>
    <w:rsid w:val="00F42210"/>
    <w:rsid w:val="00F469F0"/>
    <w:rsid w:val="00F53273"/>
    <w:rsid w:val="00F726E3"/>
    <w:rsid w:val="00F755E4"/>
    <w:rsid w:val="00F77D02"/>
    <w:rsid w:val="00F9608A"/>
    <w:rsid w:val="00FB3A86"/>
    <w:rsid w:val="00FB56C3"/>
    <w:rsid w:val="00FD36C8"/>
    <w:rsid w:val="1801209E"/>
    <w:rsid w:val="3828754C"/>
    <w:rsid w:val="38EA6954"/>
    <w:rsid w:val="3F934EDE"/>
    <w:rsid w:val="40185577"/>
    <w:rsid w:val="41EC2545"/>
    <w:rsid w:val="424F76E1"/>
    <w:rsid w:val="43F6272E"/>
    <w:rsid w:val="44B3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329B982"/>
  <w15:docId w15:val="{88ECDADF-DCE8-4A81-9F81-6F35413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j.jclepro.2019.04.323" TargetMode="External"/><Relationship Id="rId26" Type="http://schemas.openxmlformats.org/officeDocument/2006/relationships/hyperlink" Target="https://doi.org/10.1061/9780784414101.fm" TargetMode="External"/><Relationship Id="rId3" Type="http://schemas.openxmlformats.org/officeDocument/2006/relationships/numbering" Target="numbering.xml"/><Relationship Id="rId21" Type="http://schemas.openxmlformats.org/officeDocument/2006/relationships/hyperlink" Target="https://doi.org/10.25501/SOAS.0003306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pada.uns.ac.id/pluginfile.php/510378/mod_resource/content/1/creswell.pdf" TargetMode="External"/><Relationship Id="rId25" Type="http://schemas.openxmlformats.org/officeDocument/2006/relationships/hyperlink" Target="https://www.unep.org/ietc/resources/publication/roadmap-sustainable-waste-management-and-resource-circulation-south-asi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177/0734242X1983670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2132-017-9316-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07/978-3-319-93200-2"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knbs.or.ke/download/2019-kenya-population-and-housing-census-volume-i-population-by-county-and-sub-county/"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42/S1464333219500182"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78A89F19-32B6-4524-83C9-757A725BC6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4919</Words>
  <Characters>28039</Characters>
  <Application>Microsoft Office Word</Application>
  <DocSecurity>0</DocSecurity>
  <Lines>233</Lines>
  <Paragraphs>65</Paragraphs>
  <ScaleCrop>false</ScaleCrop>
  <Company>aaaa</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Ibrahim Mohamed ADEN</cp:lastModifiedBy>
  <cp:revision>2</cp:revision>
  <cp:lastPrinted>1999-07-06T11:00:00Z</cp:lastPrinted>
  <dcterms:created xsi:type="dcterms:W3CDTF">2025-12-06T18:51:00Z</dcterms:created>
  <dcterms:modified xsi:type="dcterms:W3CDTF">2025-12-06T18:51:00Z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2A3501F1756146E2A2388423B04BE509_13</vt:lpwstr>
  </property>
</Properties>
</file>