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FCD26" w14:textId="1251131B" w:rsidR="00754C9A" w:rsidRPr="002A5CB7" w:rsidRDefault="002A5CB7" w:rsidP="00441B6F">
      <w:pPr>
        <w:pStyle w:val="Title"/>
        <w:spacing w:after="0"/>
        <w:jc w:val="both"/>
        <w:rPr>
          <w:rFonts w:ascii="Arial" w:hAnsi="Arial" w:cs="Arial"/>
          <w:sz w:val="32"/>
          <w:szCs w:val="18"/>
          <w:u w:val="single"/>
        </w:rPr>
      </w:pPr>
      <w:r w:rsidRPr="002A5CB7">
        <w:rPr>
          <w:rFonts w:ascii="Arial" w:hAnsi="Arial" w:cs="Arial"/>
          <w:sz w:val="32"/>
          <w:szCs w:val="18"/>
          <w:u w:val="single"/>
        </w:rPr>
        <w:t>Original Research Article</w:t>
      </w:r>
    </w:p>
    <w:p w14:paraId="50A92843" w14:textId="77777777" w:rsidR="002A5CB7" w:rsidRDefault="002A5CB7" w:rsidP="00441B6F">
      <w:pPr>
        <w:pStyle w:val="Title"/>
        <w:spacing w:after="0"/>
        <w:jc w:val="both"/>
        <w:rPr>
          <w:rFonts w:ascii="Arial" w:hAnsi="Arial" w:cs="Arial"/>
        </w:rPr>
      </w:pPr>
    </w:p>
    <w:p w14:paraId="3617C8DB" w14:textId="3240C5F7" w:rsidR="00A258C3" w:rsidRPr="00790ADA" w:rsidRDefault="00D164E3" w:rsidP="00D164E3">
      <w:pPr>
        <w:pStyle w:val="Author"/>
        <w:spacing w:line="240" w:lineRule="auto"/>
        <w:rPr>
          <w:rFonts w:ascii="Arial" w:hAnsi="Arial" w:cs="Arial"/>
          <w:sz w:val="36"/>
        </w:rPr>
      </w:pPr>
      <w:r w:rsidRPr="00D164E3">
        <w:rPr>
          <w:rFonts w:ascii="Arial" w:hAnsi="Arial" w:cs="Arial"/>
          <w:bCs/>
          <w:iCs/>
          <w:kern w:val="28"/>
          <w:sz w:val="36"/>
        </w:rPr>
        <w:t>Cluster-Based Flare-Gas Aggregation in the Niger Delta and Empirical Gas-to-Power Modelling for Enhanced Energy Security in Nigeria</w:t>
      </w:r>
    </w:p>
    <w:p w14:paraId="1BE2CB7D" w14:textId="77777777" w:rsidR="00B01FCD" w:rsidRPr="00FB3A86" w:rsidRDefault="00DE6A65" w:rsidP="00441B6F">
      <w:pPr>
        <w:pStyle w:val="Copyright"/>
        <w:spacing w:after="0" w:line="240" w:lineRule="auto"/>
        <w:jc w:val="both"/>
        <w:rPr>
          <w:rFonts w:ascii="Arial" w:hAnsi="Arial" w:cs="Arial"/>
        </w:rPr>
        <w:sectPr w:rsidR="00B01FCD" w:rsidRPr="00FB3A86" w:rsidSect="005E06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6A5491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68F32A4" w14:textId="777B3F7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E967C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8DFF2D" w14:textId="77777777" w:rsidTr="001E44FE">
        <w:tc>
          <w:tcPr>
            <w:tcW w:w="9576" w:type="dxa"/>
            <w:shd w:val="clear" w:color="auto" w:fill="F2F2F2"/>
          </w:tcPr>
          <w:p w14:paraId="05FDA97F" w14:textId="221B0E1F" w:rsidR="00F03993" w:rsidRPr="00975431" w:rsidRDefault="00F03993" w:rsidP="00F03993">
            <w:pPr>
              <w:jc w:val="both"/>
              <w:rPr>
                <w:rFonts w:ascii="Arial" w:hAnsi="Arial" w:cs="Arial"/>
              </w:rPr>
            </w:pPr>
            <w:r w:rsidRPr="00975431">
              <w:rPr>
                <w:rFonts w:ascii="Arial" w:hAnsi="Arial" w:cs="Arial"/>
                <w:b/>
              </w:rPr>
              <w:t xml:space="preserve">Aims: </w:t>
            </w:r>
            <w:r w:rsidRPr="00975431">
              <w:rPr>
                <w:rFonts w:ascii="Arial" w:hAnsi="Arial" w:cs="Arial"/>
              </w:rPr>
              <w:t xml:space="preserve">This study aims to quantify the power-generation potential of optimally aggregated flare-gas clusters in the Niger Delta. </w:t>
            </w:r>
            <w:r w:rsidR="0076050C">
              <w:rPr>
                <w:rFonts w:ascii="Arial" w:hAnsi="Arial" w:cs="Arial"/>
              </w:rPr>
              <w:t>This</w:t>
            </w:r>
            <w:r w:rsidRPr="00975431">
              <w:rPr>
                <w:rFonts w:ascii="Arial" w:hAnsi="Arial" w:cs="Arial"/>
              </w:rPr>
              <w:t xml:space="preserve"> is achieved by integrating geospatial clustering, gas-conditioning process simulation, and empirical gas-to-power modelling. The objective of the study is to provide a practical basis for translating flare-gas recovery into enhanced energy security in Nigeria.</w:t>
            </w:r>
          </w:p>
          <w:p w14:paraId="6F5C1346" w14:textId="77777777" w:rsidR="00F03993" w:rsidRPr="00975431" w:rsidRDefault="00F03993" w:rsidP="00F03993">
            <w:pPr>
              <w:jc w:val="both"/>
              <w:rPr>
                <w:rFonts w:ascii="Arial" w:hAnsi="Arial" w:cs="Arial"/>
              </w:rPr>
            </w:pPr>
            <w:r w:rsidRPr="00975431">
              <w:rPr>
                <w:rFonts w:ascii="Arial" w:hAnsi="Arial" w:cs="Arial"/>
                <w:b/>
              </w:rPr>
              <w:t xml:space="preserve">Study Design: </w:t>
            </w:r>
            <w:r w:rsidRPr="00975431">
              <w:rPr>
                <w:rFonts w:ascii="Arial" w:hAnsi="Arial" w:cs="Arial"/>
              </w:rPr>
              <w:t>The study adopts a quantitative, model-based analytical design. It builds on an existing geospatial clustering framework and extends it through process simulation and data-driven power-generation modelling.</w:t>
            </w:r>
          </w:p>
          <w:p w14:paraId="3A5C4FBA" w14:textId="77777777" w:rsidR="00F03993" w:rsidRPr="00975431" w:rsidRDefault="00F03993" w:rsidP="00F03993">
            <w:pPr>
              <w:jc w:val="both"/>
              <w:rPr>
                <w:rFonts w:ascii="Arial" w:hAnsi="Arial" w:cs="Arial"/>
              </w:rPr>
            </w:pPr>
            <w:r w:rsidRPr="00975431">
              <w:rPr>
                <w:rFonts w:ascii="Arial" w:hAnsi="Arial" w:cs="Arial"/>
                <w:b/>
              </w:rPr>
              <w:t xml:space="preserve">Place and Duration of Study: </w:t>
            </w:r>
            <w:r w:rsidRPr="00975431">
              <w:rPr>
                <w:rFonts w:ascii="Arial" w:hAnsi="Arial" w:cs="Arial"/>
              </w:rPr>
              <w:t xml:space="preserve">The study focuses on twenty-four onshore oil and gas </w:t>
            </w:r>
            <w:proofErr w:type="spellStart"/>
            <w:r w:rsidRPr="00975431">
              <w:rPr>
                <w:rFonts w:ascii="Arial" w:hAnsi="Arial" w:cs="Arial"/>
              </w:rPr>
              <w:t>flowstations</w:t>
            </w:r>
            <w:proofErr w:type="spellEnd"/>
            <w:r w:rsidRPr="00975431">
              <w:rPr>
                <w:rFonts w:ascii="Arial" w:hAnsi="Arial" w:cs="Arial"/>
              </w:rPr>
              <w:t xml:space="preserve"> located in the Niger Delta, Nigeria. Power-plant operational data used for the empirical modelling cover the period from 1 January 2024 to 15 August 2024.</w:t>
            </w:r>
          </w:p>
          <w:p w14:paraId="026B709C" w14:textId="61C286A8" w:rsidR="00F03993" w:rsidRPr="00975431" w:rsidRDefault="00F03993" w:rsidP="00F03993">
            <w:pPr>
              <w:jc w:val="both"/>
              <w:rPr>
                <w:rFonts w:ascii="Arial" w:hAnsi="Arial" w:cs="Arial"/>
              </w:rPr>
            </w:pPr>
            <w:r w:rsidRPr="00975431">
              <w:rPr>
                <w:rFonts w:ascii="Arial" w:hAnsi="Arial" w:cs="Arial"/>
                <w:b/>
              </w:rPr>
              <w:t xml:space="preserve">Methodology: </w:t>
            </w:r>
            <w:r w:rsidRPr="00975431">
              <w:rPr>
                <w:rFonts w:ascii="Arial" w:hAnsi="Arial" w:cs="Arial"/>
              </w:rPr>
              <w:t xml:space="preserve">Previously optimized flare-gas clusters were adopted as fixed spatial units. Cluster-level gas compositions were determined using volume-weighted aggregation while gas-conditioning simulations, including dehydration and natural gas liquids recovery, were performed in Aspen UniSim Design to produce turbine-suitable lean gas. An empirical gas-to-power regression model was developed using operational data from the Afam VI combined-cycle gas-turbine plant. The regression was applied to </w:t>
            </w:r>
            <w:r w:rsidR="00CF462B" w:rsidRPr="00975431">
              <w:rPr>
                <w:rFonts w:ascii="Arial" w:hAnsi="Arial" w:cs="Arial"/>
              </w:rPr>
              <w:t xml:space="preserve">deliver </w:t>
            </w:r>
            <w:r w:rsidRPr="00975431">
              <w:rPr>
                <w:rFonts w:ascii="Arial" w:hAnsi="Arial" w:cs="Arial"/>
              </w:rPr>
              <w:t>the simulated lean-gas outputs to estimate both cluster-level and total power-generation potential.</w:t>
            </w:r>
          </w:p>
          <w:p w14:paraId="2AA3505E" w14:textId="77777777" w:rsidR="007C274D" w:rsidRDefault="00F03993" w:rsidP="00F03993">
            <w:pPr>
              <w:pStyle w:val="Body"/>
              <w:spacing w:after="0"/>
              <w:rPr>
                <w:rFonts w:ascii="Arial" w:hAnsi="Arial" w:cs="Arial"/>
              </w:rPr>
            </w:pPr>
            <w:r w:rsidRPr="00975431">
              <w:rPr>
                <w:rFonts w:ascii="Arial" w:hAnsi="Arial" w:cs="Arial"/>
                <w:b/>
              </w:rPr>
              <w:t xml:space="preserve">Results: </w:t>
            </w:r>
            <w:r w:rsidRPr="00975431">
              <w:rPr>
                <w:rFonts w:ascii="Arial" w:hAnsi="Arial" w:cs="Arial"/>
              </w:rPr>
              <w:t>The conditioned lean-gas streams exhibited stable methane-rich compositions, with lower heating values ranging from 46.29 to 47.</w:t>
            </w:r>
            <w:r w:rsidRPr="00F03993">
              <w:rPr>
                <w:rFonts w:ascii="Arial" w:hAnsi="Arial" w:cs="Arial"/>
              </w:rPr>
              <w:t>92 MJ/kg. Applying the empirical model yielded an estimated total recoverable capacity of approximately 578 MW. This corresponds to 13,872 MWh/day or 5.06 TWh/year. Over 70% of</w:t>
            </w:r>
            <w:r w:rsidRPr="00975431">
              <w:rPr>
                <w:rFonts w:ascii="Arial" w:hAnsi="Arial" w:cs="Arial"/>
              </w:rPr>
              <w:t xml:space="preserve"> this capacity is concentrated in two clusters, </w:t>
            </w:r>
            <w:r w:rsidR="00BF4318" w:rsidRPr="00BF4318">
              <w:rPr>
                <w:rFonts w:ascii="Arial" w:hAnsi="Arial" w:cs="Arial"/>
              </w:rPr>
              <w:t>demonstrating the effectiveness of spatial aggregation for prioritizing infrastructure investment.</w:t>
            </w:r>
          </w:p>
          <w:p w14:paraId="37D0C7CE" w14:textId="23B991DD" w:rsidR="00505F06" w:rsidRPr="00BA1B01" w:rsidRDefault="00F03993" w:rsidP="00F03993">
            <w:pPr>
              <w:pStyle w:val="Body"/>
              <w:spacing w:after="0"/>
              <w:rPr>
                <w:rFonts w:ascii="Arial" w:eastAsia="Calibri" w:hAnsi="Arial" w:cs="Arial"/>
                <w:szCs w:val="22"/>
              </w:rPr>
            </w:pPr>
            <w:r w:rsidRPr="00975431">
              <w:rPr>
                <w:rFonts w:ascii="Arial" w:hAnsi="Arial" w:cs="Arial"/>
                <w:b/>
              </w:rPr>
              <w:t xml:space="preserve">Conclusion: </w:t>
            </w:r>
            <w:r w:rsidRPr="00975431">
              <w:rPr>
                <w:rFonts w:ascii="Arial" w:hAnsi="Arial" w:cs="Arial"/>
              </w:rPr>
              <w:t xml:space="preserve">The results demonstrate that cluster-based flare-gas aggregation, combined with realistic gas conditioning and empirical power modelling, can </w:t>
            </w:r>
            <w:r w:rsidR="00262B30">
              <w:rPr>
                <w:rFonts w:ascii="Arial" w:hAnsi="Arial" w:cs="Arial"/>
              </w:rPr>
              <w:t xml:space="preserve">deliver </w:t>
            </w:r>
            <w:r w:rsidRPr="00975431">
              <w:rPr>
                <w:rFonts w:ascii="Arial" w:hAnsi="Arial" w:cs="Arial"/>
              </w:rPr>
              <w:t>meaningful and achievable electricity generation. This approach provides a credible pathway for reducing gas flaring while strengthening Nigeria’s energy security.</w:t>
            </w:r>
          </w:p>
        </w:tc>
      </w:tr>
    </w:tbl>
    <w:p w14:paraId="65835D47" w14:textId="77777777" w:rsidR="00636EB2" w:rsidRDefault="00636EB2" w:rsidP="00441B6F">
      <w:pPr>
        <w:pStyle w:val="Body"/>
        <w:spacing w:after="0"/>
        <w:rPr>
          <w:rFonts w:ascii="Arial" w:hAnsi="Arial" w:cs="Arial"/>
          <w:i/>
        </w:rPr>
      </w:pPr>
    </w:p>
    <w:p w14:paraId="0486A9D1" w14:textId="6D696A13" w:rsidR="00790ADA" w:rsidRDefault="006E716E" w:rsidP="00441B6F">
      <w:pPr>
        <w:pStyle w:val="Body"/>
        <w:spacing w:after="0"/>
        <w:rPr>
          <w:rFonts w:ascii="Arial" w:hAnsi="Arial" w:cs="Arial"/>
          <w:i/>
        </w:rPr>
      </w:pPr>
      <w:r>
        <w:rPr>
          <w:rFonts w:ascii="Arial" w:hAnsi="Arial" w:cs="Arial"/>
          <w:i/>
        </w:rPr>
        <w:t xml:space="preserve">Keywords: </w:t>
      </w:r>
      <w:r w:rsidR="009520E8" w:rsidRPr="009520E8">
        <w:rPr>
          <w:rFonts w:ascii="Arial" w:hAnsi="Arial" w:cs="Arial"/>
          <w:i/>
        </w:rPr>
        <w:t>Gas-to-power; Niger Delta; Flare gas; Clustering; Energy security; Lean gas</w:t>
      </w:r>
      <w:bookmarkStart w:id="0" w:name="_GoBack"/>
      <w:bookmarkEnd w:id="0"/>
    </w:p>
    <w:p w14:paraId="3A08369B" w14:textId="77777777" w:rsidR="006E716E" w:rsidRDefault="006E716E" w:rsidP="00441B6F">
      <w:pPr>
        <w:pStyle w:val="Body"/>
        <w:spacing w:after="0"/>
        <w:rPr>
          <w:rFonts w:ascii="Arial" w:hAnsi="Arial" w:cs="Arial"/>
          <w:i/>
        </w:rPr>
      </w:pPr>
    </w:p>
    <w:p w14:paraId="778C5635" w14:textId="77777777" w:rsidR="0024282C" w:rsidRDefault="0024282C" w:rsidP="00441B6F">
      <w:pPr>
        <w:pStyle w:val="Body"/>
        <w:spacing w:after="0"/>
        <w:rPr>
          <w:rFonts w:ascii="Arial" w:hAnsi="Arial" w:cs="Arial"/>
          <w:i/>
          <w:sz w:val="18"/>
        </w:rPr>
      </w:pPr>
    </w:p>
    <w:p w14:paraId="5DD4305B" w14:textId="77777777" w:rsidR="00505F06" w:rsidRPr="00A24E7E" w:rsidRDefault="00505F06" w:rsidP="00441B6F">
      <w:pPr>
        <w:pStyle w:val="Body"/>
        <w:spacing w:after="0"/>
        <w:rPr>
          <w:rFonts w:ascii="Arial" w:hAnsi="Arial" w:cs="Arial"/>
          <w:i/>
        </w:rPr>
      </w:pPr>
    </w:p>
    <w:p w14:paraId="304FEBB3" w14:textId="6BDF9A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12074D" w14:textId="77777777" w:rsidR="00790ADA" w:rsidRPr="00FB3A86" w:rsidRDefault="00790ADA" w:rsidP="00441B6F">
      <w:pPr>
        <w:pStyle w:val="AbstHead"/>
        <w:spacing w:after="0"/>
        <w:jc w:val="both"/>
        <w:rPr>
          <w:rFonts w:ascii="Arial" w:hAnsi="Arial" w:cs="Arial"/>
        </w:rPr>
      </w:pPr>
    </w:p>
    <w:p w14:paraId="072B2232" w14:textId="19E10C1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Nigeria holds one of the largest proven natural gas reserves in Africa, yet it continues to experience persistent electricity shortages that undermine national energy security. Despite having approximately 210.54 TCF as of 2025 (THISDAY Live, 2025), a significant proportion of associated gas (AG) continues to be flared due to infrastructural and monetization constraints. </w:t>
      </w:r>
      <w:r w:rsidR="000A4419" w:rsidRPr="000A4419">
        <w:rPr>
          <w:rFonts w:ascii="Arial" w:hAnsi="Arial" w:cs="Arial"/>
          <w:color w:val="000000" w:themeColor="text1"/>
        </w:rPr>
        <w:t>Hence, gas wastage and power scarcity occur simultaneously.</w:t>
      </w:r>
      <w:r w:rsidRPr="00645C34">
        <w:rPr>
          <w:rFonts w:ascii="Arial" w:hAnsi="Arial" w:cs="Arial"/>
          <w:color w:val="000000" w:themeColor="text1"/>
        </w:rPr>
        <w:t xml:space="preserve"> This remains one of the most critical inefficiencies within Nigeria’s energy system.</w:t>
      </w:r>
    </w:p>
    <w:p w14:paraId="1CCB93A9" w14:textId="7C7638A3"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Gas flaring results in substantial economic losses, environmental degradation, and missed opportunities for domestic energy supply (</w:t>
      </w:r>
      <w:proofErr w:type="spellStart"/>
      <w:r w:rsidRPr="00645C34">
        <w:rPr>
          <w:rFonts w:ascii="Arial" w:hAnsi="Arial" w:cs="Arial"/>
          <w:color w:val="000000" w:themeColor="text1"/>
        </w:rPr>
        <w:t>Olujobi</w:t>
      </w:r>
      <w:proofErr w:type="spellEnd"/>
      <w:r w:rsidRPr="00645C34">
        <w:rPr>
          <w:rFonts w:ascii="Arial" w:hAnsi="Arial" w:cs="Arial"/>
          <w:color w:val="000000" w:themeColor="text1"/>
        </w:rPr>
        <w:t xml:space="preserve"> &amp; Ape, 2025). Recent regulatory reports indicate that Nigeria continues to flare hundreds of </w:t>
      </w:r>
      <w:r w:rsidRPr="00645C34">
        <w:rPr>
          <w:rFonts w:ascii="Arial" w:hAnsi="Arial" w:cs="Arial"/>
          <w:color w:val="000000" w:themeColor="text1"/>
        </w:rPr>
        <w:lastRenderedPageBreak/>
        <w:t xml:space="preserve">millions of standard cubic feet (MMSCF) of gas daily, volumes that are theoretically sufficient to support multiple medium- to large-scale gas-fired power plants. According to Okoro, et al. (2021), there is </w:t>
      </w:r>
      <w:r w:rsidR="00FD5E70">
        <w:rPr>
          <w:rFonts w:ascii="Arial" w:hAnsi="Arial" w:cs="Arial"/>
          <w:color w:val="000000" w:themeColor="text1"/>
        </w:rPr>
        <w:t xml:space="preserve">a </w:t>
      </w:r>
      <w:r w:rsidRPr="00645C34">
        <w:rPr>
          <w:rFonts w:ascii="Arial" w:hAnsi="Arial" w:cs="Arial"/>
          <w:color w:val="000000" w:themeColor="text1"/>
        </w:rPr>
        <w:t xml:space="preserve">need to implement a policy of energy conservation through reduction of associated gas flaring. At the same time, actual electricity delivered to the national grid remains far below installed capacity. This is due to fuel supply constraints, pipeline disruptions, and infrastructure unreliability. </w:t>
      </w:r>
    </w:p>
    <w:p w14:paraId="48EC7669"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1.1 Gas Flaring and Energy Security in Nigeria</w:t>
      </w:r>
    </w:p>
    <w:p w14:paraId="328786F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Gas flaring remains a clear inefficiency in Nigeria’s petroleum production system. This results in environmental harm, economic losses, and underutilization of valuable energy resources. Nigeria consistently ranks among the world’s top gas-flaring nations.  This is largely due to AG production from oil fields lacking adequate gas processing infrastructure. Numerous studies have documented the environmental and socio-economic impacts of gas flaring in the Niger Delta (</w:t>
      </w:r>
      <w:proofErr w:type="spellStart"/>
      <w:r w:rsidRPr="00645C34">
        <w:rPr>
          <w:rFonts w:ascii="Arial" w:hAnsi="Arial" w:cs="Arial"/>
          <w:color w:val="000000" w:themeColor="text1"/>
        </w:rPr>
        <w:t>Awulu</w:t>
      </w:r>
      <w:proofErr w:type="spellEnd"/>
      <w:r w:rsidRPr="00645C34">
        <w:rPr>
          <w:rFonts w:ascii="Arial" w:hAnsi="Arial" w:cs="Arial"/>
          <w:color w:val="000000" w:themeColor="text1"/>
        </w:rPr>
        <w:t>, 2021; Okoro et al., 2021; World Bank, 2024). These effects persist even as Nigeria seeks to reposition gas as a transition fuel for economic growth.</w:t>
      </w:r>
    </w:p>
    <w:p w14:paraId="14509B8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From an energy-security perspective, the persistence of routine flaring is particularly paradoxical. Nigeria’s power sector is dominated by gas-fired thermal plants, yet generation output remains constrained by inadequate fuel supply, pipeline disruptions, and infrastructure failures. Energy security frameworks emphasize availability, reliability, and affordability of energy supply. Flare-gas utilization is a strategic pathway for strengthening Nigeria’s energy security and improving power system resilience (</w:t>
      </w:r>
      <w:proofErr w:type="spellStart"/>
      <w:r w:rsidRPr="00645C34">
        <w:rPr>
          <w:rFonts w:ascii="Arial" w:hAnsi="Arial" w:cs="Arial"/>
          <w:color w:val="000000" w:themeColor="text1"/>
        </w:rPr>
        <w:t>Aigbe</w:t>
      </w:r>
      <w:proofErr w:type="spellEnd"/>
      <w:r w:rsidRPr="00645C34">
        <w:rPr>
          <w:rFonts w:ascii="Arial" w:hAnsi="Arial" w:cs="Arial"/>
          <w:color w:val="000000" w:themeColor="text1"/>
        </w:rPr>
        <w:t xml:space="preserve"> et al., 2023). It calls for coordinated planning that accounts for the spatial dispersion of flare sites, infrastructure optimization, and realistic power-plant performance under local operating conditions (Musa &amp; Ibrahim, 2025).</w:t>
      </w:r>
    </w:p>
    <w:p w14:paraId="736A5011"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1.2 Flare-Gas Recovery</w:t>
      </w:r>
    </w:p>
    <w:p w14:paraId="508EA2D2"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A range of technologies has been proposed and deployed worldwide for flare-gas recovery. These include gas reinjection, gas-to-liquids (GTL), compressed natural gas (CNG), liquefied natural gas (LNG), and gas-to-power systems. Among these options, gas-to-power can be integrated directly into existing electricity infrastructure (Okoro et al., 2021).</w:t>
      </w:r>
    </w:p>
    <w:p w14:paraId="0B093BDE" w14:textId="265D5221"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Previous studies on gas-to-power systems have typically focused on techno-economic feasibility, emissions reduction potential, and comparative analysis of conversion technologies. Also, flare-gas sources are frequently treated as single, centralized supply points. This overlooks the spatially dispersed nature of flare-gas production, as well as the infrastructure constraints that strongly influence pipeline routing and overall project viability (</w:t>
      </w:r>
      <w:proofErr w:type="spellStart"/>
      <w:r w:rsidRPr="00645C34">
        <w:rPr>
          <w:rFonts w:ascii="Arial" w:hAnsi="Arial" w:cs="Arial"/>
          <w:color w:val="000000" w:themeColor="text1"/>
        </w:rPr>
        <w:t>Aigbe</w:t>
      </w:r>
      <w:proofErr w:type="spellEnd"/>
      <w:r w:rsidRPr="00645C34">
        <w:rPr>
          <w:rFonts w:ascii="Arial" w:hAnsi="Arial" w:cs="Arial"/>
          <w:color w:val="000000" w:themeColor="text1"/>
        </w:rPr>
        <w:t xml:space="preserve"> et al., 2023). Systematic planning should be considered beyond just gas volumes; hence gas and power infrastructure planning should be treated jointly (Wang et. al, 2023).</w:t>
      </w:r>
      <w:r w:rsidR="00EB7AD3">
        <w:rPr>
          <w:rFonts w:ascii="Arial" w:hAnsi="Arial" w:cs="Arial"/>
          <w:color w:val="000000" w:themeColor="text1"/>
        </w:rPr>
        <w:t xml:space="preserve"> </w:t>
      </w:r>
      <w:r w:rsidR="00EB7AD3" w:rsidRPr="00EB7AD3">
        <w:rPr>
          <w:rFonts w:ascii="Arial" w:hAnsi="Arial" w:cs="Arial"/>
          <w:color w:val="000000" w:themeColor="text1"/>
        </w:rPr>
        <w:t xml:space="preserve">Recent studies have emphasized the importance of multi-scale energy systems engineering frameworks for optimizing natural gas utilization across production, processing, and end-use stages, particularly in </w:t>
      </w:r>
      <w:r w:rsidR="00B367A4">
        <w:rPr>
          <w:rFonts w:ascii="Arial" w:hAnsi="Arial" w:cs="Arial"/>
          <w:color w:val="000000" w:themeColor="text1"/>
        </w:rPr>
        <w:t>areas</w:t>
      </w:r>
      <w:r w:rsidR="00EB7AD3" w:rsidRPr="00EB7AD3">
        <w:rPr>
          <w:rFonts w:ascii="Arial" w:hAnsi="Arial" w:cs="Arial"/>
          <w:color w:val="000000" w:themeColor="text1"/>
        </w:rPr>
        <w:t xml:space="preserve"> characterized by resource inefficiencies and energy-access constraints (Tso et al., 2020).</w:t>
      </w:r>
    </w:p>
    <w:p w14:paraId="7C4A6480"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1.3 Geospatial Optimization and Cluster-Based Flare-Gas Aggregation</w:t>
      </w:r>
    </w:p>
    <w:p w14:paraId="4CFE6CD3"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A key challenge in flare-gas utilization is the fragmented spatial distribution of flare sites, particularly in the Niger Delta. Many flare points are geographically dispersed and individually too small to justify standalone gas recovery projects.</w:t>
      </w:r>
    </w:p>
    <w:p w14:paraId="57A1AAE6" w14:textId="68C1B31A"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Recent advances in geospatial analysis and optimization techniques have enabled more systematic planning of energy infrastructure. Clustering algorithms, such as K-means, have been used in engineering and environmental studies to group spatially distributed assets in a manner that minimizes distance</w:t>
      </w:r>
      <w:r w:rsidR="00645DFD">
        <w:rPr>
          <w:rFonts w:ascii="Arial" w:hAnsi="Arial" w:cs="Arial"/>
          <w:color w:val="000000" w:themeColor="text1"/>
        </w:rPr>
        <w:t xml:space="preserve"> </w:t>
      </w:r>
      <w:r w:rsidRPr="00645C34">
        <w:rPr>
          <w:rFonts w:ascii="Arial" w:hAnsi="Arial" w:cs="Arial"/>
          <w:color w:val="000000" w:themeColor="text1"/>
        </w:rPr>
        <w:t>and cost (Jain, 2010; Ikotun et al., 2023). In gas-gathering systems, clustering offers a practical solution. Aggregating small and dispersed gas sources into centralized hubs improves economies of scale and reduces pipeline length.</w:t>
      </w:r>
    </w:p>
    <w:p w14:paraId="702627FF"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Building on this concept, Nwankwo, </w:t>
      </w:r>
      <w:proofErr w:type="spellStart"/>
      <w:r w:rsidRPr="00645C34">
        <w:rPr>
          <w:rFonts w:ascii="Arial" w:hAnsi="Arial" w:cs="Arial"/>
          <w:color w:val="000000" w:themeColor="text1"/>
        </w:rPr>
        <w:t>Omijeh</w:t>
      </w:r>
      <w:proofErr w:type="spellEnd"/>
      <w:r w:rsidRPr="00645C34">
        <w:rPr>
          <w:rFonts w:ascii="Arial" w:hAnsi="Arial" w:cs="Arial"/>
          <w:color w:val="000000" w:themeColor="text1"/>
        </w:rPr>
        <w:t xml:space="preserve">, and </w:t>
      </w:r>
      <w:proofErr w:type="spellStart"/>
      <w:r w:rsidRPr="00645C34">
        <w:rPr>
          <w:rFonts w:ascii="Arial" w:hAnsi="Arial" w:cs="Arial"/>
          <w:color w:val="000000" w:themeColor="text1"/>
        </w:rPr>
        <w:t>Ehikhamenle</w:t>
      </w:r>
      <w:proofErr w:type="spellEnd"/>
      <w:r w:rsidRPr="00645C34">
        <w:rPr>
          <w:rFonts w:ascii="Arial" w:hAnsi="Arial" w:cs="Arial"/>
          <w:color w:val="000000" w:themeColor="text1"/>
        </w:rPr>
        <w:t xml:space="preserve"> (2025) applied a cluster-based geospatial optimization framework to twenty-four onshore flare sites in the Niger Delta. The study used K-means clustering supported by the Elbow Method and silhouette validation, thereby identifying four statistically robust clusters. That work established a spatially optimized foundation for centralized gas-gathering infrastructure.</w:t>
      </w:r>
    </w:p>
    <w:p w14:paraId="02D957CD"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While the study by Nwankwo et al. (2025) advanced the application of clustering theory to flare-gas optimization in Nigeria, it stopped at the level of spatial aggregation and volumetric assessment. Downstream utilization was identified as a necessary next step for translating spatial feasibility into energy-security outcomes.</w:t>
      </w:r>
    </w:p>
    <w:p w14:paraId="670A182E"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1.4 Gas Conditioning for Power Generation</w:t>
      </w:r>
    </w:p>
    <w:p w14:paraId="094E8C36" w14:textId="75912EDD"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Before flare gas can be used for power generation, it must be conditioned to meet gas-turbine fuel specifications (Molière, 2023). Raw flare gas usually contains water </w:t>
      </w:r>
      <w:proofErr w:type="spellStart"/>
      <w:r w:rsidRPr="00645C34">
        <w:rPr>
          <w:rFonts w:ascii="Arial" w:hAnsi="Arial" w:cs="Arial"/>
          <w:color w:val="000000" w:themeColor="text1"/>
        </w:rPr>
        <w:t>vapour</w:t>
      </w:r>
      <w:proofErr w:type="spellEnd"/>
      <w:r w:rsidRPr="00645C34">
        <w:rPr>
          <w:rFonts w:ascii="Arial" w:hAnsi="Arial" w:cs="Arial"/>
          <w:color w:val="000000" w:themeColor="text1"/>
        </w:rPr>
        <w:t xml:space="preserve"> and heavier hydrocarbons that can create operational issues. In practice, gas conditioning often includes dehydration—frequently via </w:t>
      </w:r>
      <w:proofErr w:type="spellStart"/>
      <w:r w:rsidRPr="00645C34">
        <w:rPr>
          <w:rFonts w:ascii="Arial" w:hAnsi="Arial" w:cs="Arial"/>
          <w:color w:val="000000" w:themeColor="text1"/>
        </w:rPr>
        <w:t>triethylene</w:t>
      </w:r>
      <w:proofErr w:type="spellEnd"/>
      <w:r w:rsidRPr="00645C34">
        <w:rPr>
          <w:rFonts w:ascii="Arial" w:hAnsi="Arial" w:cs="Arial"/>
          <w:color w:val="000000" w:themeColor="text1"/>
        </w:rPr>
        <w:t xml:space="preserve"> glycol (TEG)—to remove moisture (Liu et al., 2022). While NGL recovery manages heavier components, control hydrocarbon dew point, and stabilize</w:t>
      </w:r>
      <w:r w:rsidR="003C1118">
        <w:rPr>
          <w:rFonts w:ascii="Arial" w:hAnsi="Arial" w:cs="Arial"/>
          <w:color w:val="000000" w:themeColor="text1"/>
        </w:rPr>
        <w:t>s</w:t>
      </w:r>
      <w:r w:rsidRPr="00645C34">
        <w:rPr>
          <w:rFonts w:ascii="Arial" w:hAnsi="Arial" w:cs="Arial"/>
          <w:color w:val="000000" w:themeColor="text1"/>
        </w:rPr>
        <w:t xml:space="preserve"> fuel quality (Islam et al., 2024; Kazemi, 2025).</w:t>
      </w:r>
    </w:p>
    <w:p w14:paraId="2565A286"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Process-simulation tools such as Aspen HYSYS and UniSim Design are commonly used to model gas-conditioning systems and to estimate lean-gas yield under varying feed compositions and operating conditions. These tools allow engineers to represent real-gas </w:t>
      </w:r>
      <w:proofErr w:type="spellStart"/>
      <w:r w:rsidRPr="00645C34">
        <w:rPr>
          <w:rFonts w:ascii="Arial" w:hAnsi="Arial" w:cs="Arial"/>
          <w:color w:val="000000" w:themeColor="text1"/>
        </w:rPr>
        <w:t>behaviour</w:t>
      </w:r>
      <w:proofErr w:type="spellEnd"/>
      <w:r w:rsidRPr="00645C34">
        <w:rPr>
          <w:rFonts w:ascii="Arial" w:hAnsi="Arial" w:cs="Arial"/>
          <w:color w:val="000000" w:themeColor="text1"/>
        </w:rPr>
        <w:t xml:space="preserve"> and phase equilibrium.</w:t>
      </w:r>
    </w:p>
    <w:p w14:paraId="4718BD48" w14:textId="33877D4C"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Studies have shown that inadequate gas conditioning can lead to turbine fouling and performance degradation in gas turbines. Moisture and heavier hydrocarbons are particularly problematic, as they promote corrosion and liquid dropout, within fuel systems and turbine components (Molière, 2023). As a result, realistic estimation of gas-to-power potential depends not only on the volume of available gas, but also on accurate modelling of gas-processing units. Many gas-to-</w:t>
      </w:r>
      <w:r w:rsidRPr="00645C34">
        <w:rPr>
          <w:rFonts w:ascii="Arial" w:hAnsi="Arial" w:cs="Arial"/>
          <w:color w:val="000000" w:themeColor="text1"/>
        </w:rPr>
        <w:lastRenderedPageBreak/>
        <w:t>power assessments omit the conditioning stage</w:t>
      </w:r>
      <w:r w:rsidR="001F67ED">
        <w:rPr>
          <w:rFonts w:ascii="Arial" w:hAnsi="Arial" w:cs="Arial"/>
          <w:color w:val="000000" w:themeColor="text1"/>
        </w:rPr>
        <w:t>.</w:t>
      </w:r>
      <w:r w:rsidRPr="00645C34">
        <w:rPr>
          <w:rFonts w:ascii="Arial" w:hAnsi="Arial" w:cs="Arial"/>
          <w:color w:val="000000" w:themeColor="text1"/>
        </w:rPr>
        <w:t xml:space="preserve"> Common practices include applying generic heating values or assuming ideal, pipeline-quality gas without explicitly modelling dehydration and NGL recovery. </w:t>
      </w:r>
    </w:p>
    <w:p w14:paraId="1B223B64"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1.5 Power-Generation Modelling.</w:t>
      </w:r>
    </w:p>
    <w:p w14:paraId="0B4D22B4"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Modelling of power-generation in gas-fired plants is commonly based on heat-rate equations or turbine efficiency curves. While these methods provide useful first-order estimates, they do not capture real-world operational </w:t>
      </w:r>
      <w:proofErr w:type="spellStart"/>
      <w:r w:rsidRPr="00645C34">
        <w:rPr>
          <w:rFonts w:ascii="Arial" w:hAnsi="Arial" w:cs="Arial"/>
          <w:color w:val="000000" w:themeColor="text1"/>
        </w:rPr>
        <w:t>behaviour</w:t>
      </w:r>
      <w:proofErr w:type="spellEnd"/>
      <w:r w:rsidRPr="00645C34">
        <w:rPr>
          <w:rFonts w:ascii="Arial" w:hAnsi="Arial" w:cs="Arial"/>
          <w:color w:val="000000" w:themeColor="text1"/>
        </w:rPr>
        <w:t>, particularly in developing-countries. This is because plants operate under variable load, fuel quality fluctuations, and maintenance constraints (Molière, 2023).</w:t>
      </w:r>
    </w:p>
    <w:p w14:paraId="29390FC9" w14:textId="138A0A82"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Empirical models derived from actual plant data offer a more realistic alternative. Having a correlation between gas input rates and delivered megawatt output; such models implicitly account for operational inefficiencies and site-specific conditions. Leveraging such data enables the development of regression-based power-generation models. In Nigeria, access to high-quality operational data from combined-cycle gas turbine (CCGT) plants such as Afam VI presents a unique opportunity to develop data-driven models that represent real system performance.</w:t>
      </w:r>
    </w:p>
    <w:p w14:paraId="0D1F54EF"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This study directly builds on the cluster-based framework established by Nwankwo et al. (2025) by integrating process simulation and empirical power-generation modelling. Lean-gas streams derived from aggregated flare-gas clusters are first simulated through standard gas-conditioning units. This is to ensure fuel suitability for power generation. An empirical power-generation model, developed using operational data from the Afam VI power plant, is then applied to estimate the electricity-generation potential of each flare-gas cluster.</w:t>
      </w:r>
    </w:p>
    <w:p w14:paraId="060A102C" w14:textId="77777777" w:rsidR="002E5C6E" w:rsidRPr="00D17670" w:rsidRDefault="002E5C6E" w:rsidP="002E5C6E">
      <w:pPr>
        <w:jc w:val="both"/>
        <w:rPr>
          <w:rFonts w:ascii="Arial" w:hAnsi="Arial" w:cs="Arial"/>
          <w:b/>
          <w:bCs/>
          <w:color w:val="000000" w:themeColor="text1"/>
          <w:sz w:val="22"/>
          <w:szCs w:val="22"/>
        </w:rPr>
      </w:pPr>
      <w:r w:rsidRPr="00D17670">
        <w:rPr>
          <w:rFonts w:ascii="Arial" w:hAnsi="Arial" w:cs="Arial"/>
          <w:b/>
          <w:bCs/>
          <w:color w:val="000000" w:themeColor="text1"/>
          <w:sz w:val="22"/>
          <w:szCs w:val="22"/>
        </w:rPr>
        <w:t>1.6 Purpose and Objectives of the Study</w:t>
      </w:r>
    </w:p>
    <w:p w14:paraId="4B1B1611"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 xml:space="preserve">The primary purpose of this study is to quantify the realistic power-generation potential of optimally aggregated flare-gas clusters in the Niger Delta by integrating geospatial clustering, gas-conditioning process simulation, and empirical power-generation modelling. The findings are intended to support policymakers, gas developers, and infrastructure planners involved in flare-reduction initiatives. It will also support domestic gas utilization </w:t>
      </w:r>
      <w:proofErr w:type="spellStart"/>
      <w:r w:rsidRPr="00645C34">
        <w:rPr>
          <w:rFonts w:ascii="Arial" w:hAnsi="Arial" w:cs="Arial"/>
          <w:color w:val="000000" w:themeColor="text1"/>
        </w:rPr>
        <w:t>programmes</w:t>
      </w:r>
      <w:proofErr w:type="spellEnd"/>
      <w:r w:rsidRPr="00645C34">
        <w:rPr>
          <w:rFonts w:ascii="Arial" w:hAnsi="Arial" w:cs="Arial"/>
          <w:color w:val="000000" w:themeColor="text1"/>
        </w:rPr>
        <w:t>.</w:t>
      </w:r>
    </w:p>
    <w:p w14:paraId="692A58D9" w14:textId="77777777" w:rsidR="002E5C6E" w:rsidRPr="00645C34" w:rsidRDefault="002E5C6E" w:rsidP="002E5C6E">
      <w:pPr>
        <w:jc w:val="both"/>
        <w:rPr>
          <w:rFonts w:ascii="Arial" w:hAnsi="Arial" w:cs="Arial"/>
          <w:color w:val="000000" w:themeColor="text1"/>
        </w:rPr>
      </w:pPr>
      <w:r w:rsidRPr="00645C34">
        <w:rPr>
          <w:rFonts w:ascii="Arial" w:hAnsi="Arial" w:cs="Arial"/>
          <w:color w:val="000000" w:themeColor="text1"/>
        </w:rPr>
        <w:t>The specific objectives of this study are to:</w:t>
      </w:r>
    </w:p>
    <w:p w14:paraId="189F7266"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adopt previously optimized flare-gas cluster configurations for the Niger Delta;</w:t>
      </w:r>
    </w:p>
    <w:p w14:paraId="37F4664E"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determine the cluster-level gas compositions using volume-weighted aggregation;</w:t>
      </w:r>
    </w:p>
    <w:p w14:paraId="3605A178"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simulate gas-conditioning to produce lean gas suitable for gas-turbine operation;</w:t>
      </w:r>
    </w:p>
    <w:p w14:paraId="111037FC"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develop an empirical gas-to-power model using operational data from the Afam VI gas power plant in the Niger Delta;</w:t>
      </w:r>
    </w:p>
    <w:p w14:paraId="36408BA6"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estimate the cluster-level and total power-generation potential from aggregated flare gas; and</w:t>
      </w:r>
    </w:p>
    <w:p w14:paraId="653A359F" w14:textId="77777777" w:rsidR="002E5C6E" w:rsidRPr="00645C34" w:rsidRDefault="002E5C6E" w:rsidP="002E5C6E">
      <w:pPr>
        <w:numPr>
          <w:ilvl w:val="0"/>
          <w:numId w:val="31"/>
        </w:numPr>
        <w:spacing w:after="160" w:line="278" w:lineRule="auto"/>
        <w:jc w:val="both"/>
        <w:rPr>
          <w:rFonts w:ascii="Arial" w:hAnsi="Arial" w:cs="Arial"/>
          <w:color w:val="000000" w:themeColor="text1"/>
        </w:rPr>
      </w:pPr>
      <w:r w:rsidRPr="00645C34">
        <w:rPr>
          <w:rFonts w:ascii="Arial" w:hAnsi="Arial" w:cs="Arial"/>
          <w:color w:val="000000" w:themeColor="text1"/>
        </w:rPr>
        <w:t>evaluate the implications of cluster-based gas-to-power deployment for enhancing Nigeria’s energy security.</w:t>
      </w:r>
    </w:p>
    <w:p w14:paraId="2D42FF6F" w14:textId="77777777" w:rsidR="00790ADA" w:rsidRPr="00FB3A86" w:rsidRDefault="00790ADA" w:rsidP="00441B6F">
      <w:pPr>
        <w:pStyle w:val="Body"/>
        <w:spacing w:after="0"/>
        <w:rPr>
          <w:rFonts w:ascii="Arial" w:hAnsi="Arial" w:cs="Arial"/>
        </w:rPr>
      </w:pPr>
    </w:p>
    <w:p w14:paraId="7E4E0862" w14:textId="6F3DCFF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7107BD84" w14:textId="77777777" w:rsidR="00F61F63" w:rsidRPr="003408EF" w:rsidRDefault="00F61F63" w:rsidP="00F61F63">
      <w:pPr>
        <w:jc w:val="both"/>
        <w:rPr>
          <w:rFonts w:ascii="Arial" w:hAnsi="Arial" w:cs="Arial"/>
          <w:b/>
          <w:bCs/>
          <w:color w:val="000000" w:themeColor="text1"/>
          <w:sz w:val="22"/>
          <w:szCs w:val="22"/>
        </w:rPr>
      </w:pPr>
      <w:r w:rsidRPr="003408EF">
        <w:rPr>
          <w:rFonts w:ascii="Arial" w:hAnsi="Arial" w:cs="Arial"/>
          <w:b/>
          <w:color w:val="000000" w:themeColor="text1"/>
          <w:sz w:val="22"/>
          <w:szCs w:val="22"/>
        </w:rPr>
        <w:t xml:space="preserve">2.1 Study Area </w:t>
      </w:r>
    </w:p>
    <w:p w14:paraId="50FE5E33"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The study focuses on selected onshore oil and gas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within the Niger Delta region of Nigeria. This region hosts the majority of Nigeria’s oil and gas production activities. It also accounts for a significant share of routine gas flaring. Offshore facilities were excluded due to differences in seabed topography, and marine logistics, which introduce cost and design dynamics beyond the scope of this onshore-focused analysis.</w:t>
      </w:r>
    </w:p>
    <w:p w14:paraId="49709E12"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t>2.2 Data Sources</w:t>
      </w:r>
    </w:p>
    <w:p w14:paraId="006D06B0"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Flare-gas composition data were obtained from operational records of the oil fields hosting the twenty-four (24) onshore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considered in this study. The compositional datasets include the major hydrocarbon components and impurities in the gas stream. These composition data were used to develop cluster-level gas streams for process simulation.</w:t>
      </w:r>
    </w:p>
    <w:p w14:paraId="71A641DC"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In addition, daily operational records of gas consumption and corresponding electrical power output were obtained from a combined-cycle gas turbine (CCGT) power plant. The dataset was over the period </w:t>
      </w:r>
      <w:r w:rsidRPr="00590C8D">
        <w:rPr>
          <w:rFonts w:ascii="Arial" w:hAnsi="Arial" w:cs="Arial"/>
          <w:bCs/>
          <w:color w:val="000000" w:themeColor="text1"/>
        </w:rPr>
        <w:t xml:space="preserve">1 January 2024 to 15 August 2024, covering a total of 229 operational days. </w:t>
      </w:r>
    </w:p>
    <w:p w14:paraId="12399068"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Together, the flare-gas composition data and the power-plant operational records form the primary datasets used for downstream gas-conditioning simulation and empirical gas-to-power modelling in this study. This data-driven approach ensures that power-generation estimates are realistic based on actual plant performance rather than assumed theoretical efficiencies.</w:t>
      </w:r>
    </w:p>
    <w:p w14:paraId="4565B1FC"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t>2.3 Flare-Gas Cluster Framework</w:t>
      </w:r>
    </w:p>
    <w:p w14:paraId="6969DFF8"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The flare-gas clusters adopted in this study were derived from a previously published geospatial optimization analysis by the authors. In that study, twenty-four (24) onshore flare sites were grouped into four statistically robust clusters using K-means clustering. The clustering framework established flare-gas aggregation hubs suitable for shared infrastructure development.</w:t>
      </w:r>
    </w:p>
    <w:p w14:paraId="1DC21B9E" w14:textId="5ADAFCDA"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lastRenderedPageBreak/>
        <w:t>In the present study, the identified clusters are treated as fixed spatial units. No further clustering or re-optimization was performed</w:t>
      </w:r>
      <w:r w:rsidR="00B700F8">
        <w:rPr>
          <w:rFonts w:ascii="Arial" w:hAnsi="Arial" w:cs="Arial"/>
          <w:color w:val="000000" w:themeColor="text1"/>
        </w:rPr>
        <w:t>;</w:t>
      </w:r>
      <w:r w:rsidRPr="00590C8D">
        <w:rPr>
          <w:rFonts w:ascii="Arial" w:hAnsi="Arial" w:cs="Arial"/>
          <w:color w:val="000000" w:themeColor="text1"/>
        </w:rPr>
        <w:t xml:space="preserve"> rather the cluster outputs serve as inputs for gas-conditioning simulation and power-generation modelling. This ensures continuity while extending the analysis from spatial feasibility to energy-conversion potential.</w:t>
      </w:r>
    </w:p>
    <w:p w14:paraId="3AAA2CCE" w14:textId="77777777" w:rsidR="00F61F63" w:rsidRPr="003408EF" w:rsidRDefault="00F61F63" w:rsidP="00F61F63">
      <w:pPr>
        <w:jc w:val="both"/>
        <w:rPr>
          <w:rFonts w:ascii="Arial" w:hAnsi="Arial" w:cs="Arial"/>
          <w:b/>
          <w:color w:val="000000" w:themeColor="text1"/>
          <w:sz w:val="22"/>
          <w:szCs w:val="22"/>
        </w:rPr>
      </w:pPr>
      <w:r w:rsidRPr="003408EF">
        <w:rPr>
          <w:rFonts w:ascii="Arial" w:hAnsi="Arial" w:cs="Arial"/>
          <w:b/>
          <w:color w:val="000000" w:themeColor="text1"/>
          <w:sz w:val="22"/>
          <w:szCs w:val="22"/>
        </w:rPr>
        <w:t>2.4 Cluster-Level Gas Composition Determination</w:t>
      </w:r>
    </w:p>
    <w:p w14:paraId="2D859B5A"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A weighted compositional aggregation</w:t>
      </w:r>
      <w:r w:rsidRPr="00590C8D">
        <w:rPr>
          <w:rFonts w:ascii="Arial" w:hAnsi="Arial" w:cs="Arial"/>
          <w:b/>
          <w:bCs/>
          <w:color w:val="000000" w:themeColor="text1"/>
        </w:rPr>
        <w:t xml:space="preserve"> </w:t>
      </w:r>
      <w:r w:rsidRPr="00590C8D">
        <w:rPr>
          <w:rFonts w:ascii="Arial" w:hAnsi="Arial" w:cs="Arial"/>
          <w:color w:val="000000" w:themeColor="text1"/>
        </w:rPr>
        <w:t xml:space="preserve">approach was applied to compute gas compositions for each cluster. The mole fraction of a given component was calculated as a flare-rate-weighted average of the compositions of its constituent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This approach ensures that </w:t>
      </w:r>
      <w:proofErr w:type="spellStart"/>
      <w:r w:rsidRPr="00590C8D">
        <w:rPr>
          <w:rFonts w:ascii="Arial" w:hAnsi="Arial" w:cs="Arial"/>
          <w:color w:val="000000" w:themeColor="text1"/>
        </w:rPr>
        <w:t>flowstations</w:t>
      </w:r>
      <w:proofErr w:type="spellEnd"/>
      <w:r w:rsidRPr="00590C8D">
        <w:rPr>
          <w:rFonts w:ascii="Arial" w:hAnsi="Arial" w:cs="Arial"/>
          <w:color w:val="000000" w:themeColor="text1"/>
        </w:rPr>
        <w:t xml:space="preserve"> contributing larger flare volumes exert proportionally greater influence on the resulting cluster composition.</w:t>
      </w:r>
    </w:p>
    <w:p w14:paraId="79A58E3A"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 xml:space="preserve">The cluster-level mole fraction for component </w:t>
      </w:r>
      <w:r w:rsidRPr="00590C8D">
        <w:rPr>
          <w:rFonts w:ascii="Arial" w:hAnsi="Arial" w:cs="Arial"/>
          <w:i/>
          <w:iCs/>
          <w:color w:val="000000" w:themeColor="text1"/>
        </w:rPr>
        <w:t>i</w:t>
      </w:r>
      <w:r w:rsidRPr="00590C8D">
        <w:rPr>
          <w:rFonts w:ascii="Arial" w:hAnsi="Arial" w:cs="Arial"/>
          <w:color w:val="000000" w:themeColor="text1"/>
        </w:rPr>
        <w:t xml:space="preserve"> was computed using equation (2.1):</w:t>
      </w:r>
    </w:p>
    <w:p w14:paraId="5F4E52A9" w14:textId="77777777" w:rsidR="00F61F63" w:rsidRPr="00590C8D" w:rsidRDefault="00DE6A65" w:rsidP="00F61F63">
      <w:pPr>
        <w:jc w:val="both"/>
        <w:rPr>
          <w:rFonts w:ascii="Arial" w:hAnsi="Arial" w:cs="Arial"/>
          <w:color w:val="000000" w:themeColor="text1"/>
        </w:rPr>
      </w:pP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y</m:t>
            </m:r>
          </m:e>
          <m:sub>
            <m:r>
              <w:rPr>
                <w:rFonts w:ascii="Cambria Math" w:hAnsi="Cambria Math" w:cs="Arial"/>
                <w:color w:val="000000" w:themeColor="text1"/>
                <w:sz w:val="22"/>
                <w:szCs w:val="22"/>
              </w:rPr>
              <m:t>i</m:t>
            </m:r>
            <m:r>
              <w:rPr>
                <w:rFonts w:ascii="Cambria Math" w:hAnsi="Cambria Math" w:cs="Arial"/>
                <w:color w:val="000000" w:themeColor="text1"/>
                <w:sz w:val="22"/>
                <w:szCs w:val="22"/>
              </w:rPr>
              <m:t>,</m:t>
            </m:r>
            <m:r>
              <w:rPr>
                <w:rFonts w:ascii="Cambria Math" w:hAnsi="Cambria Math" w:cs="Arial"/>
                <w:color w:val="000000" w:themeColor="text1"/>
                <w:sz w:val="22"/>
                <w:szCs w:val="22"/>
              </w:rPr>
              <m:t>cluster</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nary>
              <m:naryPr>
                <m:chr m:val="∑"/>
                <m:limLoc m:val="subSup"/>
                <m:ctrlPr>
                  <w:rPr>
                    <w:rFonts w:ascii="Cambria Math" w:hAnsi="Cambria Math" w:cs="Arial"/>
                    <w:i/>
                    <w:color w:val="000000" w:themeColor="text1"/>
                    <w:sz w:val="22"/>
                    <w:szCs w:val="22"/>
                  </w:rPr>
                </m:ctrlPr>
              </m:naryPr>
              <m:sub>
                <m:r>
                  <w:rPr>
                    <w:rFonts w:ascii="Cambria Math" w:hAnsi="Cambria Math" w:cs="Arial"/>
                    <w:color w:val="000000" w:themeColor="text1"/>
                    <w:sz w:val="22"/>
                    <w:szCs w:val="22"/>
                  </w:rPr>
                  <m:t>j</m:t>
                </m:r>
                <m:r>
                  <w:rPr>
                    <w:rFonts w:ascii="Cambria Math" w:hAnsi="Cambria Math" w:cs="Arial"/>
                    <w:color w:val="000000" w:themeColor="text1"/>
                    <w:sz w:val="22"/>
                    <w:szCs w:val="22"/>
                  </w:rPr>
                  <m:t>=1</m:t>
                </m:r>
              </m:sub>
              <m:sup>
                <m:r>
                  <w:rPr>
                    <w:rFonts w:ascii="Cambria Math" w:hAnsi="Cambria Math" w:cs="Arial"/>
                    <w:color w:val="000000" w:themeColor="text1"/>
                    <w:sz w:val="22"/>
                    <w:szCs w:val="22"/>
                  </w:rPr>
                  <m:t>n</m:t>
                </m:r>
              </m:sup>
              <m:e>
                <m:d>
                  <m:dPr>
                    <m:ctrlPr>
                      <w:rPr>
                        <w:rFonts w:ascii="Cambria Math" w:hAnsi="Cambria Math" w:cs="Arial"/>
                        <w:i/>
                        <w:color w:val="000000" w:themeColor="text1"/>
                        <w:sz w:val="22"/>
                        <w:szCs w:val="22"/>
                      </w:rPr>
                    </m:ctrlPr>
                  </m:dPr>
                  <m:e>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y</m:t>
                        </m:r>
                      </m:e>
                      <m:sub>
                        <m:r>
                          <w:rPr>
                            <w:rFonts w:ascii="Cambria Math" w:hAnsi="Cambria Math" w:cs="Arial"/>
                            <w:color w:val="000000" w:themeColor="text1"/>
                            <w:sz w:val="22"/>
                            <w:szCs w:val="22"/>
                          </w:rPr>
                          <m:t>i</m:t>
                        </m:r>
                        <m:r>
                          <w:rPr>
                            <w:rFonts w:ascii="Cambria Math" w:hAnsi="Cambria Math" w:cs="Arial"/>
                            <w:color w:val="000000" w:themeColor="text1"/>
                            <w:sz w:val="22"/>
                            <w:szCs w:val="22"/>
                          </w:rPr>
                          <m:t>,</m:t>
                        </m:r>
                        <m:r>
                          <w:rPr>
                            <w:rFonts w:ascii="Cambria Math" w:hAnsi="Cambria Math" w:cs="Arial"/>
                            <w:color w:val="000000" w:themeColor="text1"/>
                            <w:sz w:val="22"/>
                            <w:szCs w:val="22"/>
                          </w:rPr>
                          <m:t>j</m:t>
                        </m:r>
                      </m:sub>
                    </m:sSub>
                    <m:r>
                      <w:rPr>
                        <w:rFonts w:ascii="Cambria Math" w:hAnsi="Cambria Math" w:cs="Arial"/>
                        <w:color w:val="000000" w:themeColor="text1"/>
                        <w:sz w:val="22"/>
                        <w:szCs w:val="22"/>
                      </w:rPr>
                      <m:t xml:space="preserve"> .  </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Q</m:t>
                        </m:r>
                      </m:e>
                      <m:sub>
                        <m:r>
                          <w:rPr>
                            <w:rFonts w:ascii="Cambria Math" w:hAnsi="Cambria Math" w:cs="Arial"/>
                            <w:color w:val="000000" w:themeColor="text1"/>
                            <w:sz w:val="22"/>
                            <w:szCs w:val="22"/>
                          </w:rPr>
                          <m:t>j</m:t>
                        </m:r>
                      </m:sub>
                    </m:sSub>
                  </m:e>
                </m:d>
              </m:e>
            </m:nary>
          </m:num>
          <m:den>
            <m:nary>
              <m:naryPr>
                <m:chr m:val="∑"/>
                <m:limLoc m:val="subSup"/>
                <m:ctrlPr>
                  <w:rPr>
                    <w:rFonts w:ascii="Cambria Math" w:hAnsi="Cambria Math" w:cs="Arial"/>
                    <w:i/>
                    <w:color w:val="000000" w:themeColor="text1"/>
                    <w:sz w:val="22"/>
                    <w:szCs w:val="22"/>
                  </w:rPr>
                </m:ctrlPr>
              </m:naryPr>
              <m:sub>
                <m:r>
                  <w:rPr>
                    <w:rFonts w:ascii="Cambria Math" w:hAnsi="Cambria Math" w:cs="Arial"/>
                    <w:color w:val="000000" w:themeColor="text1"/>
                    <w:sz w:val="22"/>
                    <w:szCs w:val="22"/>
                  </w:rPr>
                  <m:t>j</m:t>
                </m:r>
                <m:r>
                  <w:rPr>
                    <w:rFonts w:ascii="Cambria Math" w:hAnsi="Cambria Math" w:cs="Arial"/>
                    <w:color w:val="000000" w:themeColor="text1"/>
                    <w:sz w:val="22"/>
                    <w:szCs w:val="22"/>
                  </w:rPr>
                  <m:t>=1</m:t>
                </m:r>
              </m:sub>
              <m:sup>
                <m:r>
                  <w:rPr>
                    <w:rFonts w:ascii="Cambria Math" w:hAnsi="Cambria Math" w:cs="Arial"/>
                    <w:color w:val="000000" w:themeColor="text1"/>
                    <w:sz w:val="22"/>
                    <w:szCs w:val="22"/>
                  </w:rPr>
                  <m:t>n</m:t>
                </m:r>
              </m:sup>
              <m:e>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Q</m:t>
                    </m:r>
                  </m:e>
                  <m:sub>
                    <m:r>
                      <w:rPr>
                        <w:rFonts w:ascii="Cambria Math" w:hAnsi="Cambria Math" w:cs="Arial"/>
                        <w:color w:val="000000" w:themeColor="text1"/>
                        <w:sz w:val="22"/>
                        <w:szCs w:val="22"/>
                      </w:rPr>
                      <m:t>j</m:t>
                    </m:r>
                  </m:sub>
                </m:sSub>
              </m:e>
            </m:nary>
          </m:den>
        </m:f>
      </m:oMath>
      <w:r w:rsidR="00F61F63" w:rsidRPr="00590C8D">
        <w:rPr>
          <w:rFonts w:ascii="Arial" w:eastAsiaTheme="minorEastAsia" w:hAnsi="Arial" w:cs="Arial"/>
          <w:color w:val="000000" w:themeColor="text1"/>
        </w:rPr>
        <w:t xml:space="preserve">               (2.1)</w:t>
      </w:r>
    </w:p>
    <w:p w14:paraId="5AC60685"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where:</w:t>
      </w:r>
      <w:r w:rsidRPr="00590C8D">
        <w:rPr>
          <w:rFonts w:ascii="Arial" w:hAnsi="Arial" w:cs="Arial"/>
          <w:color w:val="000000" w:themeColor="text1"/>
        </w:rPr>
        <w:br/>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oMath>
      <w:r w:rsidRPr="00590C8D">
        <w:rPr>
          <w:rFonts w:ascii="Arial" w:eastAsiaTheme="minorEastAsia" w:hAnsi="Arial" w:cs="Arial"/>
          <w:color w:val="000000" w:themeColor="text1"/>
        </w:rPr>
        <w:t xml:space="preserve"> </w:t>
      </w:r>
      <w:r w:rsidRPr="00590C8D">
        <w:rPr>
          <w:rFonts w:ascii="Arial" w:hAnsi="Arial" w:cs="Arial"/>
          <w:color w:val="000000" w:themeColor="text1"/>
        </w:rPr>
        <w:t xml:space="preserve">is the mole fraction of component </w:t>
      </w:r>
      <w:proofErr w:type="spellStart"/>
      <w:r w:rsidRPr="00590C8D">
        <w:rPr>
          <w:rFonts w:ascii="Arial" w:hAnsi="Arial" w:cs="Arial"/>
          <w:i/>
          <w:iCs/>
          <w:color w:val="000000" w:themeColor="text1"/>
        </w:rPr>
        <w:t>i</w:t>
      </w:r>
      <w:proofErr w:type="spellEnd"/>
      <w:r w:rsidRPr="00590C8D">
        <w:rPr>
          <w:rFonts w:ascii="Arial" w:hAnsi="Arial" w:cs="Arial"/>
          <w:color w:val="000000" w:themeColor="text1"/>
        </w:rPr>
        <w:t xml:space="preserve"> at </w:t>
      </w:r>
      <w:proofErr w:type="spellStart"/>
      <w:r w:rsidRPr="00590C8D">
        <w:rPr>
          <w:rFonts w:ascii="Arial" w:hAnsi="Arial" w:cs="Arial"/>
          <w:color w:val="000000" w:themeColor="text1"/>
        </w:rPr>
        <w:t>flowstation</w:t>
      </w:r>
      <w:proofErr w:type="spellEnd"/>
      <w:r w:rsidRPr="00590C8D">
        <w:rPr>
          <w:rFonts w:ascii="Arial" w:hAnsi="Arial" w:cs="Arial"/>
          <w:color w:val="000000" w:themeColor="text1"/>
        </w:rPr>
        <w:t xml:space="preserve"> </w:t>
      </w:r>
      <w:r w:rsidRPr="00590C8D">
        <w:rPr>
          <w:rFonts w:ascii="Arial" w:hAnsi="Arial" w:cs="Arial"/>
          <w:i/>
          <w:iCs/>
          <w:color w:val="000000" w:themeColor="text1"/>
        </w:rPr>
        <w:t>j</w:t>
      </w:r>
      <w:r w:rsidRPr="00590C8D">
        <w:rPr>
          <w:rFonts w:ascii="Arial" w:hAnsi="Arial" w:cs="Arial"/>
          <w:color w:val="000000" w:themeColor="text1"/>
        </w:rPr>
        <w:t>;</w:t>
      </w:r>
    </w:p>
    <w:p w14:paraId="79F4F015" w14:textId="77777777" w:rsidR="00F61F63" w:rsidRPr="00590C8D" w:rsidRDefault="00DE6A65" w:rsidP="00F61F63">
      <w:pPr>
        <w:jc w:val="both"/>
        <w:rPr>
          <w:rFonts w:ascii="Arial" w:hAnsi="Arial" w:cs="Arial"/>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j</m:t>
            </m:r>
          </m:sub>
        </m:sSub>
      </m:oMath>
      <w:r w:rsidR="00F61F63" w:rsidRPr="00590C8D">
        <w:rPr>
          <w:rFonts w:ascii="Arial" w:eastAsiaTheme="minorEastAsia" w:hAnsi="Arial" w:cs="Arial"/>
          <w:color w:val="000000" w:themeColor="text1"/>
        </w:rPr>
        <w:t xml:space="preserve"> </w:t>
      </w:r>
      <w:r w:rsidR="00F61F63" w:rsidRPr="00590C8D">
        <w:rPr>
          <w:rFonts w:ascii="Arial" w:hAnsi="Arial" w:cs="Arial"/>
          <w:color w:val="000000" w:themeColor="text1"/>
        </w:rPr>
        <w:t xml:space="preserve">is the average flare-gas rate of </w:t>
      </w:r>
      <w:proofErr w:type="spellStart"/>
      <w:r w:rsidR="00F61F63" w:rsidRPr="00590C8D">
        <w:rPr>
          <w:rFonts w:ascii="Arial" w:hAnsi="Arial" w:cs="Arial"/>
          <w:color w:val="000000" w:themeColor="text1"/>
        </w:rPr>
        <w:t>flowstation</w:t>
      </w:r>
      <w:proofErr w:type="spellEnd"/>
      <w:r w:rsidR="00F61F63" w:rsidRPr="00590C8D">
        <w:rPr>
          <w:rFonts w:ascii="Arial" w:hAnsi="Arial" w:cs="Arial"/>
          <w:color w:val="000000" w:themeColor="text1"/>
        </w:rPr>
        <w:t xml:space="preserve"> </w:t>
      </w:r>
      <w:r w:rsidR="00F61F63" w:rsidRPr="00590C8D">
        <w:rPr>
          <w:rFonts w:ascii="Arial" w:hAnsi="Arial" w:cs="Arial"/>
          <w:i/>
          <w:iCs/>
          <w:color w:val="000000" w:themeColor="text1"/>
        </w:rPr>
        <w:t>j</w:t>
      </w:r>
      <w:r w:rsidR="00F61F63" w:rsidRPr="00590C8D">
        <w:rPr>
          <w:rFonts w:ascii="Arial" w:hAnsi="Arial" w:cs="Arial"/>
          <w:color w:val="000000" w:themeColor="text1"/>
        </w:rPr>
        <w:t>;</w:t>
      </w:r>
    </w:p>
    <w:p w14:paraId="44AB58AE" w14:textId="77777777" w:rsidR="00F61F63" w:rsidRPr="00590C8D" w:rsidRDefault="00F61F63" w:rsidP="00F61F63">
      <w:pPr>
        <w:jc w:val="both"/>
        <w:rPr>
          <w:rFonts w:ascii="Arial" w:hAnsi="Arial" w:cs="Arial"/>
          <w:color w:val="000000" w:themeColor="text1"/>
        </w:rPr>
      </w:pPr>
      <m:oMath>
        <m:r>
          <w:rPr>
            <w:rFonts w:ascii="Cambria Math" w:hAnsi="Cambria Math"/>
            <w:color w:val="000000" w:themeColor="text1"/>
          </w:rPr>
          <m:t xml:space="preserve">n </m:t>
        </m:r>
      </m:oMath>
      <w:r w:rsidRPr="00590C8D">
        <w:rPr>
          <w:rFonts w:ascii="Arial" w:hAnsi="Arial" w:cs="Arial"/>
          <w:color w:val="000000" w:themeColor="text1"/>
        </w:rPr>
        <w:t>is the number of flowstations within the cluster.</w:t>
      </w:r>
    </w:p>
    <w:p w14:paraId="7C75D935" w14:textId="7558360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All compositional data processing with equation 2.1 were performed using Python (See Figure 1), ensuring numerical consistency and reproducibility.</w:t>
      </w:r>
    </w:p>
    <w:p w14:paraId="501AC9D4" w14:textId="77777777" w:rsidR="00F61F63" w:rsidRPr="00590C8D" w:rsidRDefault="00F61F63" w:rsidP="00F61F63">
      <w:pPr>
        <w:jc w:val="both"/>
        <w:rPr>
          <w:rFonts w:ascii="Arial" w:hAnsi="Arial" w:cs="Arial"/>
          <w:color w:val="000000" w:themeColor="text1"/>
        </w:rPr>
      </w:pPr>
      <w:r w:rsidRPr="00590C8D">
        <w:rPr>
          <w:rFonts w:ascii="Arial" w:hAnsi="Arial" w:cs="Arial"/>
          <w:color w:val="000000" w:themeColor="text1"/>
        </w:rPr>
        <w:t>Python scripts were developed to:</w:t>
      </w:r>
    </w:p>
    <w:p w14:paraId="2EBDA25C"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 xml:space="preserve">import </w:t>
      </w:r>
      <w:proofErr w:type="spellStart"/>
      <w:r w:rsidRPr="00590C8D">
        <w:rPr>
          <w:rFonts w:ascii="Arial" w:hAnsi="Arial" w:cs="Arial"/>
          <w:color w:val="000000" w:themeColor="text1"/>
        </w:rPr>
        <w:t>flowstation</w:t>
      </w:r>
      <w:proofErr w:type="spellEnd"/>
      <w:r w:rsidRPr="00590C8D">
        <w:rPr>
          <w:rFonts w:ascii="Arial" w:hAnsi="Arial" w:cs="Arial"/>
          <w:color w:val="000000" w:themeColor="text1"/>
        </w:rPr>
        <w:t xml:space="preserve"> flare volumes and gas compositions;</w:t>
      </w:r>
    </w:p>
    <w:p w14:paraId="3C0A5CD1"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normalize component mole fractions;</w:t>
      </w:r>
    </w:p>
    <w:p w14:paraId="74979D02"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apply weighted averaging to compute cluster-specific gas compositions;</w:t>
      </w:r>
    </w:p>
    <w:p w14:paraId="776F42D2" w14:textId="77777777" w:rsidR="00F61F63" w:rsidRPr="00590C8D" w:rsidRDefault="00F61F63" w:rsidP="00F61F63">
      <w:pPr>
        <w:numPr>
          <w:ilvl w:val="0"/>
          <w:numId w:val="32"/>
        </w:numPr>
        <w:spacing w:after="160" w:line="278" w:lineRule="auto"/>
        <w:jc w:val="both"/>
        <w:rPr>
          <w:rFonts w:ascii="Arial" w:hAnsi="Arial" w:cs="Arial"/>
          <w:color w:val="000000" w:themeColor="text1"/>
        </w:rPr>
      </w:pPr>
      <w:r w:rsidRPr="00590C8D">
        <w:rPr>
          <w:rFonts w:ascii="Arial" w:hAnsi="Arial" w:cs="Arial"/>
          <w:color w:val="000000" w:themeColor="text1"/>
        </w:rPr>
        <w:t>generate final cluster feed specifications compatible with process simulation inputs.</w:t>
      </w:r>
    </w:p>
    <w:p w14:paraId="02635E1D" w14:textId="77777777" w:rsidR="00F61F63" w:rsidRDefault="00F61F63" w:rsidP="00F61F63">
      <w:pPr>
        <w:jc w:val="both"/>
        <w:rPr>
          <w:rFonts w:ascii="Arial" w:hAnsi="Arial" w:cs="Arial"/>
          <w:color w:val="000000" w:themeColor="text1"/>
        </w:rPr>
      </w:pPr>
      <w:r w:rsidRPr="00590C8D">
        <w:rPr>
          <w:rFonts w:ascii="Arial" w:hAnsi="Arial" w:cs="Arial"/>
          <w:color w:val="000000" w:themeColor="text1"/>
        </w:rPr>
        <w:t>The scripts follow standard mass- and mole-balance logic and are available upon request to support reproducibility.</w:t>
      </w:r>
    </w:p>
    <w:p w14:paraId="1D41D9E9" w14:textId="77777777" w:rsidR="003408EF" w:rsidRDefault="003408EF" w:rsidP="00F61F63">
      <w:pPr>
        <w:jc w:val="both"/>
        <w:rPr>
          <w:rFonts w:ascii="Arial" w:hAnsi="Arial" w:cs="Arial"/>
          <w:color w:val="000000" w:themeColor="text1"/>
        </w:rPr>
      </w:pPr>
    </w:p>
    <w:p w14:paraId="1CA72B9A" w14:textId="75B9C7F5" w:rsidR="00326B59" w:rsidRDefault="00326B59" w:rsidP="00F61F63">
      <w:pPr>
        <w:jc w:val="both"/>
        <w:rPr>
          <w:rFonts w:ascii="Arial" w:hAnsi="Arial" w:cs="Arial"/>
          <w:color w:val="000000" w:themeColor="text1"/>
        </w:rPr>
      </w:pPr>
      <w:r w:rsidRPr="00855BAA">
        <w:rPr>
          <w:rFonts w:ascii="Arial" w:hAnsi="Arial" w:cs="Arial"/>
          <w:b/>
          <w:noProof/>
        </w:rPr>
        <w:lastRenderedPageBreak/>
        <w:drawing>
          <wp:inline distT="0" distB="0" distL="0" distR="0" wp14:anchorId="733901AE" wp14:editId="39AC81BC">
            <wp:extent cx="5212080" cy="5089660"/>
            <wp:effectExtent l="0" t="0" r="0" b="0"/>
            <wp:docPr id="156526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64085" name=""/>
                    <pic:cNvPicPr/>
                  </pic:nvPicPr>
                  <pic:blipFill>
                    <a:blip r:embed="rId14"/>
                    <a:stretch>
                      <a:fillRect/>
                    </a:stretch>
                  </pic:blipFill>
                  <pic:spPr>
                    <a:xfrm>
                      <a:off x="0" y="0"/>
                      <a:ext cx="5212080" cy="5089660"/>
                    </a:xfrm>
                    <a:prstGeom prst="rect">
                      <a:avLst/>
                    </a:prstGeom>
                  </pic:spPr>
                </pic:pic>
              </a:graphicData>
            </a:graphic>
          </wp:inline>
        </w:drawing>
      </w:r>
    </w:p>
    <w:p w14:paraId="0AC4A98D" w14:textId="55C27884" w:rsidR="00815A98" w:rsidRPr="006654C6" w:rsidRDefault="006654C6" w:rsidP="00F61F63">
      <w:pPr>
        <w:jc w:val="both"/>
        <w:rPr>
          <w:rFonts w:ascii="Arial" w:hAnsi="Arial" w:cs="Arial"/>
          <w:i/>
          <w:iCs/>
          <w:color w:val="000000" w:themeColor="text1"/>
        </w:rPr>
      </w:pPr>
      <w:r w:rsidRPr="006654C6">
        <w:rPr>
          <w:rFonts w:ascii="Arial" w:hAnsi="Arial" w:cs="Arial"/>
          <w:i/>
          <w:iCs/>
          <w:color w:val="000000" w:themeColor="text1"/>
        </w:rPr>
        <w:t>Figure 1 Python Script for Computing Volume-Weighted Cluster Gas Compositions</w:t>
      </w:r>
    </w:p>
    <w:p w14:paraId="12A4873F" w14:textId="77777777" w:rsidR="00790ADA" w:rsidRDefault="00790ADA" w:rsidP="00441B6F">
      <w:pPr>
        <w:pStyle w:val="AbstHead"/>
        <w:spacing w:after="0"/>
        <w:jc w:val="both"/>
        <w:rPr>
          <w:rFonts w:ascii="Arial" w:hAnsi="Arial" w:cs="Arial"/>
        </w:rPr>
      </w:pPr>
    </w:p>
    <w:p w14:paraId="0D2E966B"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 xml:space="preserve">UniSim Design needs the molecular weight (MW) and flowrate of the feed gas (in </w:t>
      </w:r>
      <w:proofErr w:type="spellStart"/>
      <w:r w:rsidRPr="009C5D45">
        <w:rPr>
          <w:rFonts w:ascii="Arial" w:hAnsi="Arial" w:cs="Arial"/>
          <w:color w:val="000000" w:themeColor="text1"/>
        </w:rPr>
        <w:t>kmol</w:t>
      </w:r>
      <w:proofErr w:type="spellEnd"/>
      <w:r w:rsidRPr="009C5D45">
        <w:rPr>
          <w:rFonts w:ascii="Arial" w:hAnsi="Arial" w:cs="Arial"/>
          <w:color w:val="000000" w:themeColor="text1"/>
        </w:rPr>
        <w:t>/h) as input parameters. The average molecular weight (</w:t>
      </w:r>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oMath>
      <w:r w:rsidRPr="009C5D45">
        <w:rPr>
          <w:rFonts w:ascii="Arial" w:hAnsi="Arial" w:cs="Arial"/>
          <w:color w:val="000000" w:themeColor="text1"/>
        </w:rPr>
        <w:t>) of the gas from each cluster was determined by the sum of the products of the mole fraction y</w:t>
      </w:r>
      <w:r w:rsidRPr="009C5D45">
        <w:rPr>
          <w:rFonts w:ascii="Arial" w:hAnsi="Arial" w:cs="Arial"/>
          <w:color w:val="000000" w:themeColor="text1"/>
          <w:vertAlign w:val="subscript"/>
        </w:rPr>
        <w:t>i</w:t>
      </w:r>
      <w:r w:rsidRPr="009C5D45">
        <w:rPr>
          <w:rFonts w:ascii="Arial" w:hAnsi="Arial" w:cs="Arial"/>
          <w:color w:val="000000" w:themeColor="text1"/>
        </w:rPr>
        <w:t xml:space="preserve"> of each component and its corresponding molecular weight as in equation (2.2).</w:t>
      </w:r>
    </w:p>
    <w:p w14:paraId="4F4D4609" w14:textId="77777777" w:rsidR="00CB54C1" w:rsidRPr="009C5D45" w:rsidRDefault="00CB54C1" w:rsidP="00CB54C1">
      <w:pPr>
        <w:jc w:val="both"/>
        <w:rPr>
          <w:rFonts w:ascii="Arial" w:hAnsi="Arial" w:cs="Arial"/>
          <w:color w:val="000000" w:themeColor="text1"/>
        </w:rPr>
      </w:pPr>
      <m:oMathPara>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r>
            <w:rPr>
              <w:rFonts w:ascii="Cambria Math" w:hAnsi="Cambria Math"/>
              <w:color w:val="000000" w:themeColor="text1"/>
            </w:rPr>
            <m:t>=</m:t>
          </m:r>
          <m:nary>
            <m:naryPr>
              <m:chr m:val="∑"/>
              <m:limLoc m:val="undOvr"/>
              <m:grow m:val="1"/>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d>
                <m:dPr>
                  <m:ctrlPr>
                    <w:rPr>
                      <w:rFonts w:ascii="Cambria Math" w:hAnsi="Cambria Math"/>
                      <w:i/>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d>
              <m:r>
                <w:rPr>
                  <w:rFonts w:ascii="Cambria Math" w:hAnsi="Cambria Math"/>
                  <w:color w:val="000000" w:themeColor="text1"/>
                </w:rPr>
                <m:t xml:space="preserve">                                    (2.2)</m:t>
              </m:r>
            </m:e>
          </m:nary>
          <m:r>
            <m:rPr>
              <m:sty m:val="p"/>
            </m:rPr>
            <w:rPr>
              <w:rFonts w:ascii="Cambria Math" w:hAnsi="Cambria Math"/>
              <w:color w:val="000000" w:themeColor="text1"/>
            </w:rPr>
            <w:br/>
          </m:r>
        </m:oMath>
      </m:oMathPara>
      <w:r w:rsidRPr="009C5D45">
        <w:rPr>
          <w:rFonts w:ascii="Arial" w:hAnsi="Arial" w:cs="Arial"/>
          <w:color w:val="000000" w:themeColor="text1"/>
        </w:rPr>
        <w:t xml:space="preserve">where </w:t>
      </w:r>
      <m:oMath>
        <m:r>
          <w:rPr>
            <w:rFonts w:ascii="Cambria Math" w:hAnsi="Cambria Math"/>
            <w:color w:val="000000" w:themeColor="text1"/>
          </w:rPr>
          <m:t>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j</m:t>
            </m:r>
          </m:sub>
        </m:sSub>
      </m:oMath>
      <w:r w:rsidRPr="009C5D45">
        <w:rPr>
          <w:rFonts w:ascii="Arial" w:hAnsi="Arial" w:cs="Arial"/>
          <w:color w:val="000000" w:themeColor="text1"/>
        </w:rPr>
        <w:t xml:space="preserve">is the molecular weight of component </w:t>
      </w:r>
      <w:r w:rsidRPr="009C5D45">
        <w:rPr>
          <w:rFonts w:ascii="Arial" w:hAnsi="Arial" w:cs="Arial"/>
          <w:i/>
          <w:color w:val="000000" w:themeColor="text1"/>
        </w:rPr>
        <w:t>i</w:t>
      </w:r>
      <w:r w:rsidRPr="009C5D45">
        <w:rPr>
          <w:rFonts w:ascii="Arial" w:hAnsi="Arial" w:cs="Arial"/>
          <w:color w:val="000000" w:themeColor="text1"/>
        </w:rPr>
        <w:t xml:space="preserve">, while </w:t>
      </w:r>
      <m:oMath>
        <m:r>
          <w:rPr>
            <w:rFonts w:ascii="Cambria Math" w:hAnsi="Cambria Math"/>
            <w:color w:val="000000" w:themeColor="text1"/>
          </w:rPr>
          <m:t xml:space="preserve">m </m:t>
        </m:r>
      </m:oMath>
      <w:r w:rsidRPr="009C5D45">
        <w:rPr>
          <w:rFonts w:ascii="Arial" w:hAnsi="Arial" w:cs="Arial"/>
          <w:color w:val="000000" w:themeColor="text1"/>
        </w:rPr>
        <w:t>is the total number of gas components.</w:t>
      </w:r>
    </w:p>
    <w:p w14:paraId="6284A5D4"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 xml:space="preserve">To convert daily flare volumes (in </w:t>
      </w:r>
      <w:proofErr w:type="spellStart"/>
      <w:r w:rsidRPr="009C5D45">
        <w:rPr>
          <w:rFonts w:ascii="Arial" w:hAnsi="Arial" w:cs="Arial"/>
          <w:color w:val="000000" w:themeColor="text1"/>
        </w:rPr>
        <w:t>mmscf</w:t>
      </w:r>
      <w:proofErr w:type="spellEnd"/>
      <w:r w:rsidRPr="009C5D45">
        <w:rPr>
          <w:rFonts w:ascii="Arial" w:hAnsi="Arial" w:cs="Arial"/>
          <w:color w:val="000000" w:themeColor="text1"/>
        </w:rPr>
        <w:t xml:space="preserve">/day) to molar flowrates (in </w:t>
      </w:r>
      <w:proofErr w:type="spellStart"/>
      <w:r w:rsidRPr="009C5D45">
        <w:rPr>
          <w:rFonts w:ascii="Arial" w:hAnsi="Arial" w:cs="Arial"/>
          <w:color w:val="000000" w:themeColor="text1"/>
        </w:rPr>
        <w:t>kmol</w:t>
      </w:r>
      <w:proofErr w:type="spellEnd"/>
      <w:r w:rsidRPr="009C5D45">
        <w:rPr>
          <w:rFonts w:ascii="Arial" w:hAnsi="Arial" w:cs="Arial"/>
          <w:color w:val="000000" w:themeColor="text1"/>
        </w:rPr>
        <w:t xml:space="preserve">/h), two conversion steps were applied. Firstly, volumes were converted from </w:t>
      </w:r>
      <w:proofErr w:type="spellStart"/>
      <w:r w:rsidRPr="009C5D45">
        <w:rPr>
          <w:rFonts w:ascii="Arial" w:hAnsi="Arial" w:cs="Arial"/>
          <w:color w:val="000000" w:themeColor="text1"/>
        </w:rPr>
        <w:t>mmscf</w:t>
      </w:r>
      <w:proofErr w:type="spellEnd"/>
      <w:r w:rsidRPr="009C5D45">
        <w:rPr>
          <w:rFonts w:ascii="Arial" w:hAnsi="Arial" w:cs="Arial"/>
          <w:color w:val="000000" w:themeColor="text1"/>
        </w:rPr>
        <w:t>/day to standard cubic meters per day (</w:t>
      </w:r>
      <w:proofErr w:type="spellStart"/>
      <w:r w:rsidRPr="009C5D45">
        <w:rPr>
          <w:rFonts w:ascii="Arial" w:hAnsi="Arial" w:cs="Arial"/>
          <w:color w:val="000000" w:themeColor="text1"/>
        </w:rPr>
        <w:t>scm</w:t>
      </w:r>
      <w:proofErr w:type="spellEnd"/>
      <w:r w:rsidRPr="009C5D45">
        <w:rPr>
          <w:rFonts w:ascii="Arial" w:hAnsi="Arial" w:cs="Arial"/>
          <w:color w:val="000000" w:themeColor="text1"/>
        </w:rPr>
        <w:t>/day) using equation (2.3):</w:t>
      </w:r>
    </w:p>
    <w:p w14:paraId="15DA98B3" w14:textId="77777777" w:rsidR="00CB54C1" w:rsidRPr="009C5D45" w:rsidRDefault="00DE6A65" w:rsidP="00CB54C1">
      <w:pPr>
        <w:jc w:val="both"/>
        <w:rPr>
          <w:rFonts w:ascii="Arial" w:hAnsi="Arial" w:cs="Arial"/>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scm</m:t>
              </m:r>
              <m:ctrlPr>
                <w:rPr>
                  <w:rFonts w:ascii="Cambria Math" w:hAnsi="Cambria Math"/>
                  <w:i/>
                  <w:color w:val="000000" w:themeColor="text1"/>
                </w:rPr>
              </m:ctrlPr>
            </m:num>
            <m:den>
              <m:r>
                <w:rPr>
                  <w:rFonts w:ascii="Cambria Math" w:hAnsi="Cambria Math"/>
                  <w:color w:val="000000" w:themeColor="text1"/>
                </w:rPr>
                <m:t>day</m:t>
              </m:r>
            </m:den>
          </m:f>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color w:val="000000" w:themeColor="text1"/>
                    </w:rPr>
                  </m:ctrlPr>
                </m:fPr>
                <m:num>
                  <m:r>
                    <w:rPr>
                      <w:rFonts w:ascii="Cambria Math" w:hAnsi="Cambria Math"/>
                      <w:color w:val="000000" w:themeColor="text1"/>
                    </w:rPr>
                    <m:t>mmscf</m:t>
                  </m:r>
                  <m:ctrlPr>
                    <w:rPr>
                      <w:rFonts w:ascii="Cambria Math" w:hAnsi="Cambria Math"/>
                      <w:i/>
                      <w:color w:val="000000" w:themeColor="text1"/>
                    </w:rPr>
                  </m:ctrlPr>
                </m:num>
                <m:den>
                  <m:r>
                    <w:rPr>
                      <w:rFonts w:ascii="Cambria Math" w:hAnsi="Cambria Math"/>
                      <w:color w:val="000000" w:themeColor="text1"/>
                    </w:rPr>
                    <m:t>day</m:t>
                  </m:r>
                </m:den>
              </m:f>
            </m:e>
          </m:d>
          <m:r>
            <w:rPr>
              <w:rFonts w:ascii="Cambria Math" w:hAnsi="Cambria Math"/>
              <w:color w:val="000000" w:themeColor="text1"/>
            </w:rPr>
            <m:t>×</m:t>
          </m:r>
          <m:r>
            <m:rPr>
              <m:sty m:val="p"/>
            </m:rPr>
            <w:rPr>
              <w:rFonts w:ascii="Cambria Math" w:hAnsi="Cambria Math"/>
              <w:color w:val="000000" w:themeColor="text1"/>
            </w:rPr>
            <m:t>28,316.8                                        (2.3)</m:t>
          </m:r>
          <m:r>
            <m:rPr>
              <m:sty m:val="p"/>
            </m:rPr>
            <w:rPr>
              <w:rFonts w:ascii="Cambria Math" w:hAnsi="Cambria Math"/>
              <w:color w:val="000000" w:themeColor="text1"/>
            </w:rPr>
            <w:br/>
          </m:r>
        </m:oMath>
      </m:oMathPara>
      <w:r w:rsidR="00CB54C1" w:rsidRPr="009C5D45">
        <w:rPr>
          <w:rFonts w:ascii="Arial" w:hAnsi="Arial" w:cs="Arial"/>
          <w:color w:val="000000" w:themeColor="text1"/>
        </w:rPr>
        <w:t>Then, the volumetric flowrate was converted to a molar flowrate (kmol/h) using equation 2.4:</w:t>
      </w:r>
    </w:p>
    <w:p w14:paraId="7E20C6F7" w14:textId="77777777" w:rsidR="00CB54C1" w:rsidRPr="009C5D45" w:rsidRDefault="00CB54C1" w:rsidP="00CB54C1">
      <w:pPr>
        <w:jc w:val="both"/>
        <w:rPr>
          <w:rFonts w:ascii="Arial" w:hAnsi="Arial" w:cs="Arial"/>
          <w:color w:val="000000" w:themeColor="text1"/>
        </w:rPr>
      </w:pPr>
      <m:oMathPara>
        <m:oMath>
          <m:r>
            <m:rPr>
              <m:nor/>
            </m:rPr>
            <w:rPr>
              <w:rFonts w:ascii="Arial" w:hAnsi="Arial" w:cs="Arial"/>
              <w:color w:val="000000" w:themeColor="text1"/>
            </w:rPr>
            <m:t>Flowrate (</m:t>
          </m:r>
          <w:proofErr w:type="spellStart"/>
          <m:r>
            <m:rPr>
              <m:nor/>
            </m:rPr>
            <w:rPr>
              <w:rFonts w:ascii="Arial" w:hAnsi="Arial" w:cs="Arial"/>
              <w:color w:val="000000" w:themeColor="text1"/>
            </w:rPr>
            <m:t>kmol</m:t>
          </m:r>
          <w:proofErr w:type="spellEnd"/>
          <m:r>
            <m:rPr>
              <m:nor/>
            </m:rPr>
            <w:rPr>
              <w:rFonts w:ascii="Arial" w:hAnsi="Arial" w:cs="Arial"/>
              <w:color w:val="000000" w:themeColor="text1"/>
            </w:rPr>
            <m:t>/h)</m:t>
          </m:r>
          <m:r>
            <w:rPr>
              <w:rFonts w:ascii="Cambria Math" w:hAnsi="Cambria Math"/>
              <w:color w:val="000000" w:themeColor="text1"/>
            </w:rPr>
            <m:t>=</m:t>
          </m:r>
          <m:f>
            <m:fPr>
              <m:ctrlPr>
                <w:rPr>
                  <w:rFonts w:ascii="Cambria Math" w:hAnsi="Cambria Math"/>
                  <w:color w:val="000000" w:themeColor="text1"/>
                </w:rPr>
              </m:ctrlPr>
            </m:fPr>
            <m:num>
              <m:r>
                <m:rPr>
                  <m:nor/>
                </m:rPr>
                <w:rPr>
                  <w:rFonts w:ascii="Arial" w:hAnsi="Arial" w:cs="Arial"/>
                  <w:color w:val="000000" w:themeColor="text1"/>
                </w:rPr>
                <m:t>scm/day</m:t>
              </m:r>
            </m:num>
            <m:den>
              <m:r>
                <w:rPr>
                  <w:rFonts w:ascii="Cambria Math" w:hAnsi="Cambria Math"/>
                  <w:color w:val="000000" w:themeColor="text1"/>
                </w:rPr>
                <m:t>24×M</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avg</m:t>
                  </m:r>
                </m:sub>
              </m:sSub>
            </m:den>
          </m:f>
          <m:r>
            <w:rPr>
              <w:rFonts w:ascii="Cambria Math" w:hAnsi="Cambria Math"/>
              <w:color w:val="000000" w:themeColor="text1"/>
            </w:rPr>
            <m:t xml:space="preserve">                                                     (2.4)</m:t>
          </m:r>
          <m:r>
            <m:rPr>
              <m:sty m:val="p"/>
            </m:rPr>
            <w:rPr>
              <w:rFonts w:ascii="Cambria Math" w:hAnsi="Cambria Math"/>
              <w:color w:val="000000" w:themeColor="text1"/>
            </w:rPr>
            <w:br/>
          </m:r>
        </m:oMath>
      </m:oMathPara>
      <w:r w:rsidRPr="009C5D45">
        <w:rPr>
          <w:rFonts w:ascii="Arial" w:hAnsi="Arial" w:cs="Arial"/>
          <w:color w:val="000000" w:themeColor="text1"/>
        </w:rPr>
        <w:t>The above computations were carried out in Python to ensure consistency. The resulting molecular weights and molar flowrates were tabulated in section 3 and was used as feed-gas parameters for UniSim Design modelling.</w:t>
      </w:r>
    </w:p>
    <w:p w14:paraId="4A7DFDEC" w14:textId="77777777" w:rsidR="00CB54C1" w:rsidRPr="00CB54C1" w:rsidRDefault="00CB54C1" w:rsidP="00CB54C1">
      <w:pPr>
        <w:jc w:val="both"/>
        <w:rPr>
          <w:rFonts w:ascii="Arial" w:hAnsi="Arial" w:cs="Arial"/>
          <w:b/>
          <w:bCs/>
          <w:color w:val="000000" w:themeColor="text1"/>
          <w:sz w:val="22"/>
          <w:szCs w:val="22"/>
        </w:rPr>
      </w:pPr>
      <w:r w:rsidRPr="00CB54C1">
        <w:rPr>
          <w:rFonts w:ascii="Arial" w:hAnsi="Arial" w:cs="Arial"/>
          <w:b/>
          <w:bCs/>
          <w:color w:val="000000" w:themeColor="text1"/>
          <w:sz w:val="22"/>
          <w:szCs w:val="22"/>
        </w:rPr>
        <w:t>2.5 Gas Conditioning and Process Simulation</w:t>
      </w:r>
    </w:p>
    <w:p w14:paraId="5E831AE1" w14:textId="77777777" w:rsidR="00CB54C1" w:rsidRPr="008714A0" w:rsidRDefault="00CB54C1" w:rsidP="00CB54C1">
      <w:pPr>
        <w:jc w:val="both"/>
        <w:rPr>
          <w:rFonts w:ascii="Arial" w:hAnsi="Arial" w:cs="Arial"/>
          <w:b/>
          <w:bCs/>
          <w:color w:val="000000" w:themeColor="text1"/>
          <w:u w:val="single"/>
        </w:rPr>
      </w:pPr>
      <w:r w:rsidRPr="008714A0">
        <w:rPr>
          <w:rFonts w:ascii="Arial" w:hAnsi="Arial" w:cs="Arial"/>
          <w:b/>
          <w:bCs/>
          <w:color w:val="000000" w:themeColor="text1"/>
          <w:u w:val="single"/>
        </w:rPr>
        <w:t>2.5.1 Simulation Environment</w:t>
      </w:r>
    </w:p>
    <w:p w14:paraId="66AB02E7"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In this study, the gas-conditioning simulations were carried out using Aspen UniSim Design, a steady-state process-modelling platform widely applied in natural-gas processing research. Simulators such as UniSim and Aspen HYSYS are routinely used to model dehydration systems, hydrocarbon separation units, and gas-treatment trains. The Peng–Robinson + UNIQUAC thermodynamic property package was utilized to predict vapor–liquid equilibria accurately.</w:t>
      </w:r>
    </w:p>
    <w:p w14:paraId="499B379A"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lastRenderedPageBreak/>
        <w:t xml:space="preserve">Recent studies have demonstrated the suitability of these simulators for evaluating dehydration and hydrocarbon-recovery systems under steady-state conditions, including </w:t>
      </w:r>
      <w:proofErr w:type="spellStart"/>
      <w:r w:rsidRPr="009C5D45">
        <w:rPr>
          <w:rFonts w:ascii="Arial" w:hAnsi="Arial" w:cs="Arial"/>
          <w:color w:val="000000" w:themeColor="text1"/>
        </w:rPr>
        <w:t>triethylene</w:t>
      </w:r>
      <w:proofErr w:type="spellEnd"/>
      <w:r w:rsidRPr="009C5D45">
        <w:rPr>
          <w:rFonts w:ascii="Arial" w:hAnsi="Arial" w:cs="Arial"/>
          <w:color w:val="000000" w:themeColor="text1"/>
        </w:rPr>
        <w:t xml:space="preserve"> glycol (TEG) dehydration and NGL recovery configurations. Their thermodynamic frameworks enable realistic representation of mass transfer, phase </w:t>
      </w:r>
      <w:proofErr w:type="spellStart"/>
      <w:r w:rsidRPr="009C5D45">
        <w:rPr>
          <w:rFonts w:ascii="Arial" w:hAnsi="Arial" w:cs="Arial"/>
          <w:color w:val="000000" w:themeColor="text1"/>
        </w:rPr>
        <w:t>behaviour</w:t>
      </w:r>
      <w:proofErr w:type="spellEnd"/>
      <w:r w:rsidRPr="009C5D45">
        <w:rPr>
          <w:rFonts w:ascii="Arial" w:hAnsi="Arial" w:cs="Arial"/>
          <w:color w:val="000000" w:themeColor="text1"/>
        </w:rPr>
        <w:t>, and energy balances. This makes them appropriate tools for assessing flare-gas conditioning schemes. (Liu et al., 2022; Islam et al., 2024).</w:t>
      </w:r>
    </w:p>
    <w:p w14:paraId="62B0E70F" w14:textId="77777777"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Each flare-gas cluster was represented by a feed stream defined by:</w:t>
      </w:r>
    </w:p>
    <w:p w14:paraId="379D1BAB"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cluster-specific gas composition (from Section 3.3),</w:t>
      </w:r>
    </w:p>
    <w:p w14:paraId="213B3435"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aggregated flare-gas flow rate,</w:t>
      </w:r>
    </w:p>
    <w:p w14:paraId="774E9ADC" w14:textId="77777777" w:rsidR="00CB54C1" w:rsidRPr="009C5D45" w:rsidRDefault="00CB54C1" w:rsidP="00CB54C1">
      <w:pPr>
        <w:numPr>
          <w:ilvl w:val="0"/>
          <w:numId w:val="33"/>
        </w:numPr>
        <w:spacing w:after="160" w:line="278" w:lineRule="auto"/>
        <w:jc w:val="both"/>
        <w:rPr>
          <w:rFonts w:ascii="Arial" w:hAnsi="Arial" w:cs="Arial"/>
          <w:color w:val="000000" w:themeColor="text1"/>
        </w:rPr>
      </w:pPr>
      <w:r w:rsidRPr="009C5D45">
        <w:rPr>
          <w:rFonts w:ascii="Arial" w:hAnsi="Arial" w:cs="Arial"/>
          <w:color w:val="000000" w:themeColor="text1"/>
        </w:rPr>
        <w:t>representative inlet temperature and pressure.</w:t>
      </w:r>
    </w:p>
    <w:p w14:paraId="1D97E050" w14:textId="77777777" w:rsidR="00CB54C1" w:rsidRPr="008714A0" w:rsidRDefault="00CB54C1" w:rsidP="00CB54C1">
      <w:pPr>
        <w:jc w:val="both"/>
        <w:rPr>
          <w:rFonts w:ascii="Arial" w:hAnsi="Arial" w:cs="Arial"/>
          <w:b/>
          <w:bCs/>
          <w:color w:val="000000" w:themeColor="text1"/>
          <w:u w:val="single"/>
        </w:rPr>
      </w:pPr>
      <w:r w:rsidRPr="008714A0">
        <w:rPr>
          <w:rFonts w:ascii="Arial" w:hAnsi="Arial" w:cs="Arial"/>
          <w:b/>
          <w:bCs/>
          <w:color w:val="000000" w:themeColor="text1"/>
          <w:u w:val="single"/>
        </w:rPr>
        <w:t>2.5.2 Conditioning Configuration</w:t>
      </w:r>
    </w:p>
    <w:p w14:paraId="6685103D" w14:textId="20726192" w:rsidR="00CB54C1" w:rsidRPr="009C5D45" w:rsidRDefault="00CB54C1" w:rsidP="00CB54C1">
      <w:pPr>
        <w:jc w:val="both"/>
        <w:rPr>
          <w:rFonts w:ascii="Arial" w:hAnsi="Arial" w:cs="Arial"/>
          <w:color w:val="000000" w:themeColor="text1"/>
        </w:rPr>
      </w:pPr>
      <w:r w:rsidRPr="009C5D45">
        <w:rPr>
          <w:rFonts w:ascii="Arial" w:hAnsi="Arial" w:cs="Arial"/>
          <w:color w:val="000000" w:themeColor="text1"/>
        </w:rPr>
        <w:t>The gas processing applied to each cluster (as in Figure 2) comprised of:</w:t>
      </w:r>
    </w:p>
    <w:p w14:paraId="19CCD053"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an inlet separator for free-water removal;</w:t>
      </w:r>
    </w:p>
    <w:p w14:paraId="6160C3A9"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 xml:space="preserve">a </w:t>
      </w:r>
      <w:proofErr w:type="spellStart"/>
      <w:r w:rsidRPr="009C5D45">
        <w:rPr>
          <w:rFonts w:ascii="Arial" w:hAnsi="Arial" w:cs="Arial"/>
          <w:color w:val="000000" w:themeColor="text1"/>
        </w:rPr>
        <w:t>triethylene</w:t>
      </w:r>
      <w:proofErr w:type="spellEnd"/>
      <w:r w:rsidRPr="009C5D45">
        <w:rPr>
          <w:rFonts w:ascii="Arial" w:hAnsi="Arial" w:cs="Arial"/>
          <w:color w:val="000000" w:themeColor="text1"/>
        </w:rPr>
        <w:t xml:space="preserve"> glycol (TEG) dehydration unit to reduce water content;</w:t>
      </w:r>
    </w:p>
    <w:p w14:paraId="583F1D7C" w14:textId="77777777" w:rsidR="00CB54C1" w:rsidRPr="009C5D45" w:rsidRDefault="00CB54C1" w:rsidP="00CB54C1">
      <w:pPr>
        <w:numPr>
          <w:ilvl w:val="0"/>
          <w:numId w:val="34"/>
        </w:numPr>
        <w:spacing w:after="160" w:line="278" w:lineRule="auto"/>
        <w:jc w:val="both"/>
        <w:rPr>
          <w:rFonts w:ascii="Arial" w:hAnsi="Arial" w:cs="Arial"/>
          <w:color w:val="000000" w:themeColor="text1"/>
        </w:rPr>
      </w:pPr>
      <w:r w:rsidRPr="009C5D45">
        <w:rPr>
          <w:rFonts w:ascii="Arial" w:hAnsi="Arial" w:cs="Arial"/>
          <w:color w:val="000000" w:themeColor="text1"/>
        </w:rPr>
        <w:t>a natural gas liquids (NGL) recovery section to control hydrocarbon dew point and heating value.</w:t>
      </w:r>
    </w:p>
    <w:p w14:paraId="57D79998" w14:textId="75D912C2" w:rsidR="0069632E" w:rsidRDefault="006C4EC0" w:rsidP="00441B6F">
      <w:pPr>
        <w:pStyle w:val="AbstHead"/>
        <w:spacing w:after="0"/>
        <w:jc w:val="both"/>
        <w:rPr>
          <w:rFonts w:ascii="Arial" w:hAnsi="Arial" w:cs="Arial"/>
        </w:rPr>
      </w:pPr>
      <w:r w:rsidRPr="00855BAA">
        <w:rPr>
          <w:rFonts w:ascii="Arial" w:hAnsi="Arial" w:cs="Arial"/>
          <w:noProof/>
        </w:rPr>
        <w:drawing>
          <wp:inline distT="0" distB="0" distL="0" distR="0" wp14:anchorId="23B18DEC" wp14:editId="15404C04">
            <wp:extent cx="4837020" cy="2344020"/>
            <wp:effectExtent l="0" t="0" r="0" b="0"/>
            <wp:docPr id="144876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6205" name=""/>
                    <pic:cNvPicPr/>
                  </pic:nvPicPr>
                  <pic:blipFill>
                    <a:blip r:embed="rId15"/>
                    <a:stretch>
                      <a:fillRect/>
                    </a:stretch>
                  </pic:blipFill>
                  <pic:spPr>
                    <a:xfrm>
                      <a:off x="0" y="0"/>
                      <a:ext cx="4856671" cy="2353543"/>
                    </a:xfrm>
                    <a:prstGeom prst="rect">
                      <a:avLst/>
                    </a:prstGeom>
                  </pic:spPr>
                </pic:pic>
              </a:graphicData>
            </a:graphic>
          </wp:inline>
        </w:drawing>
      </w:r>
    </w:p>
    <w:p w14:paraId="26F732ED" w14:textId="59FCDEEF" w:rsidR="00217FF4" w:rsidRPr="00217FF4" w:rsidRDefault="00217FF4" w:rsidP="00217FF4">
      <w:pPr>
        <w:rPr>
          <w:rFonts w:ascii="Arial" w:hAnsi="Arial" w:cs="Arial"/>
          <w:i/>
          <w:iCs/>
        </w:rPr>
      </w:pPr>
      <w:r w:rsidRPr="00217FF4">
        <w:rPr>
          <w:rFonts w:ascii="Arial" w:hAnsi="Arial" w:cs="Arial"/>
          <w:i/>
          <w:iCs/>
        </w:rPr>
        <w:t>Figure 2 Gas processing Simulation layout (UniSim Software)</w:t>
      </w:r>
    </w:p>
    <w:p w14:paraId="68128D75" w14:textId="77777777" w:rsidR="006C4EC0" w:rsidRDefault="006C4EC0" w:rsidP="00441B6F">
      <w:pPr>
        <w:pStyle w:val="AbstHead"/>
        <w:spacing w:after="0"/>
        <w:jc w:val="both"/>
        <w:rPr>
          <w:rFonts w:ascii="Arial" w:hAnsi="Arial" w:cs="Arial"/>
        </w:rPr>
      </w:pPr>
    </w:p>
    <w:p w14:paraId="6C6C764C" w14:textId="77777777" w:rsidR="00AD3D6E" w:rsidRPr="00AD3D6E" w:rsidRDefault="00AD3D6E" w:rsidP="00AD3D6E">
      <w:pPr>
        <w:jc w:val="both"/>
        <w:rPr>
          <w:rFonts w:ascii="Arial" w:hAnsi="Arial" w:cs="Arial"/>
          <w:b/>
          <w:bCs/>
          <w:color w:val="000000" w:themeColor="text1"/>
          <w:sz w:val="22"/>
          <w:szCs w:val="22"/>
        </w:rPr>
      </w:pPr>
      <w:r w:rsidRPr="00AD3D6E">
        <w:rPr>
          <w:rFonts w:ascii="Arial" w:hAnsi="Arial" w:cs="Arial"/>
          <w:b/>
          <w:bCs/>
          <w:color w:val="000000" w:themeColor="text1"/>
          <w:sz w:val="22"/>
          <w:szCs w:val="22"/>
        </w:rPr>
        <w:t>2.6 Lean-Gas Output and Heating Value Estimation</w:t>
      </w:r>
    </w:p>
    <w:p w14:paraId="18033E98"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The main output of the gas-processing simulation is lean gas; which is conditioned natural gas suitable for gas-turbine combustion. For each cluster, the lean-gas composition and flow rate were extracted from the simulation results.</w:t>
      </w:r>
    </w:p>
    <w:p w14:paraId="4F84FFCB" w14:textId="74FDB4F3"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The energy content of the lean gas streams produced from the process simulations was evaluated using the Lower Heating Value (LHV). </w:t>
      </w:r>
      <w:r w:rsidR="00574826" w:rsidRPr="00574826">
        <w:rPr>
          <w:rFonts w:ascii="Arial" w:hAnsi="Arial" w:cs="Arial"/>
          <w:color w:val="000000" w:themeColor="text1"/>
        </w:rPr>
        <w:t>The lower heating value (LHV) was adopted because</w:t>
      </w:r>
      <w:r w:rsidR="007950AC">
        <w:rPr>
          <w:rFonts w:ascii="Arial" w:hAnsi="Arial" w:cs="Arial"/>
          <w:color w:val="000000" w:themeColor="text1"/>
        </w:rPr>
        <w:t xml:space="preserve"> the </w:t>
      </w:r>
      <w:r w:rsidR="00574826" w:rsidRPr="00574826">
        <w:rPr>
          <w:rFonts w:ascii="Arial" w:hAnsi="Arial" w:cs="Arial"/>
          <w:color w:val="000000" w:themeColor="text1"/>
        </w:rPr>
        <w:t>water formed during combustion remains in the vapor phase and its latent heat is not recovered; hence LHV (net calorific value) is the appropriate basis for performance calculations. This convention is consistent with recent gas-turbine performance studies (</w:t>
      </w:r>
      <w:proofErr w:type="spellStart"/>
      <w:r w:rsidR="00574826" w:rsidRPr="00574826">
        <w:rPr>
          <w:rFonts w:ascii="Arial" w:hAnsi="Arial" w:cs="Arial"/>
          <w:color w:val="000000" w:themeColor="text1"/>
        </w:rPr>
        <w:t>Naeim</w:t>
      </w:r>
      <w:proofErr w:type="spellEnd"/>
      <w:r w:rsidR="00574826" w:rsidRPr="00574826">
        <w:rPr>
          <w:rFonts w:ascii="Arial" w:hAnsi="Arial" w:cs="Arial"/>
          <w:color w:val="000000" w:themeColor="text1"/>
        </w:rPr>
        <w:t xml:space="preserve"> et al., 2022; Kim et al., 2025).</w:t>
      </w:r>
      <w:r w:rsidR="00053951">
        <w:rPr>
          <w:rFonts w:ascii="Arial" w:hAnsi="Arial" w:cs="Arial"/>
          <w:color w:val="000000" w:themeColor="text1"/>
        </w:rPr>
        <w:t xml:space="preserve"> </w:t>
      </w:r>
      <w:r w:rsidRPr="00FA0968">
        <w:rPr>
          <w:rFonts w:ascii="Arial" w:hAnsi="Arial" w:cs="Arial"/>
          <w:color w:val="000000" w:themeColor="text1"/>
        </w:rPr>
        <w:t>Consequently, LHV provides a realistic basis for assessing the usable energy available from the conditioned gas streams (Clarke Energy, n.d.).</w:t>
      </w:r>
      <w:r w:rsidR="00704876">
        <w:rPr>
          <w:rFonts w:ascii="Arial" w:hAnsi="Arial" w:cs="Arial"/>
          <w:color w:val="000000" w:themeColor="text1"/>
        </w:rPr>
        <w:t xml:space="preserve"> </w:t>
      </w:r>
    </w:p>
    <w:p w14:paraId="3C55FFE3" w14:textId="77777777" w:rsidR="00AD3D6E" w:rsidRPr="00AD3D6E" w:rsidRDefault="00AD3D6E" w:rsidP="00AD3D6E">
      <w:pPr>
        <w:jc w:val="both"/>
        <w:rPr>
          <w:rFonts w:ascii="Arial" w:hAnsi="Arial" w:cs="Arial"/>
          <w:b/>
          <w:bCs/>
          <w:color w:val="000000" w:themeColor="text1"/>
          <w:sz w:val="22"/>
          <w:szCs w:val="22"/>
        </w:rPr>
      </w:pPr>
      <w:r w:rsidRPr="00AD3D6E">
        <w:rPr>
          <w:rFonts w:ascii="Arial" w:hAnsi="Arial" w:cs="Arial"/>
          <w:b/>
          <w:bCs/>
          <w:color w:val="000000" w:themeColor="text1"/>
          <w:sz w:val="22"/>
          <w:szCs w:val="22"/>
        </w:rPr>
        <w:t>2.7 Empirical Power-Generation Model Development</w:t>
      </w:r>
    </w:p>
    <w:p w14:paraId="4A468BF2" w14:textId="77777777" w:rsidR="00AD3D6E" w:rsidRPr="00AE27B3" w:rsidRDefault="00AD3D6E" w:rsidP="00AD3D6E">
      <w:pPr>
        <w:jc w:val="both"/>
        <w:rPr>
          <w:rFonts w:ascii="Arial" w:hAnsi="Arial" w:cs="Arial"/>
          <w:b/>
          <w:bCs/>
          <w:color w:val="000000" w:themeColor="text1"/>
          <w:u w:val="single"/>
        </w:rPr>
      </w:pPr>
      <w:r w:rsidRPr="00AE27B3">
        <w:rPr>
          <w:rFonts w:ascii="Arial" w:hAnsi="Arial" w:cs="Arial"/>
          <w:b/>
          <w:bCs/>
          <w:color w:val="000000" w:themeColor="text1"/>
          <w:u w:val="single"/>
        </w:rPr>
        <w:t>2.7.1 Model Basis</w:t>
      </w:r>
    </w:p>
    <w:p w14:paraId="0F738CA6"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An empirical power-generation model was developed using operational data from the Afam VI combined-cycle gas turbine (CCGT) power plant. Unlike theoretical heat-rate models, empirical approaches capture real operational </w:t>
      </w:r>
      <w:proofErr w:type="spellStart"/>
      <w:r w:rsidRPr="00FA0968">
        <w:rPr>
          <w:rFonts w:ascii="Arial" w:hAnsi="Arial" w:cs="Arial"/>
          <w:color w:val="000000" w:themeColor="text1"/>
        </w:rPr>
        <w:t>behaviour</w:t>
      </w:r>
      <w:proofErr w:type="spellEnd"/>
      <w:r w:rsidRPr="00FA0968">
        <w:rPr>
          <w:rFonts w:ascii="Arial" w:hAnsi="Arial" w:cs="Arial"/>
          <w:color w:val="000000" w:themeColor="text1"/>
        </w:rPr>
        <w:t>, including part-load operation, auxiliary losses, and site-specific efficiencies.</w:t>
      </w:r>
    </w:p>
    <w:p w14:paraId="5EE76597" w14:textId="77777777" w:rsidR="00AD3D6E" w:rsidRPr="00FA0968" w:rsidRDefault="00AD3D6E" w:rsidP="00AD3D6E">
      <w:pPr>
        <w:jc w:val="both"/>
        <w:rPr>
          <w:rFonts w:ascii="Arial" w:hAnsi="Arial" w:cs="Arial"/>
          <w:color w:val="000000" w:themeColor="text1"/>
        </w:rPr>
      </w:pPr>
      <w:r w:rsidRPr="00FA0968">
        <w:rPr>
          <w:rFonts w:ascii="Arial" w:hAnsi="Arial" w:cs="Arial"/>
          <w:color w:val="000000" w:themeColor="text1"/>
        </w:rPr>
        <w:t xml:space="preserve">Daily records of gas consumption and corresponding electrical output from 01 January 2024 to 15 August 2024 (totaling 229 days) were </w:t>
      </w:r>
      <w:proofErr w:type="spellStart"/>
      <w:r w:rsidRPr="00FA0968">
        <w:rPr>
          <w:rFonts w:ascii="Arial" w:hAnsi="Arial" w:cs="Arial"/>
          <w:color w:val="000000" w:themeColor="text1"/>
        </w:rPr>
        <w:t>analysed</w:t>
      </w:r>
      <w:proofErr w:type="spellEnd"/>
      <w:r w:rsidRPr="00FA0968">
        <w:rPr>
          <w:rFonts w:ascii="Arial" w:hAnsi="Arial" w:cs="Arial"/>
          <w:color w:val="000000" w:themeColor="text1"/>
        </w:rPr>
        <w:t xml:space="preserve"> to establish a statistical relationship between fuel input and generated power. The daily operational dataset included total gas feed (MMSCF/day) and corresponding electrical output (MW) covering multiple days of operation. The data was from the three Gas turbines in Afam VI.</w:t>
      </w:r>
    </w:p>
    <w:p w14:paraId="6E312EEA" w14:textId="77777777" w:rsidR="00AD3D6E" w:rsidRPr="00FA0968" w:rsidRDefault="00AD3D6E" w:rsidP="00AD3D6E">
      <w:pPr>
        <w:jc w:val="both"/>
        <w:rPr>
          <w:rFonts w:ascii="Arial" w:hAnsi="Arial" w:cs="Arial"/>
          <w:color w:val="000000" w:themeColor="text1"/>
        </w:rPr>
      </w:pPr>
    </w:p>
    <w:p w14:paraId="6FE1B7C6" w14:textId="77777777" w:rsidR="00AD3D6E" w:rsidRPr="00AE27B3" w:rsidRDefault="00AD3D6E" w:rsidP="00AD3D6E">
      <w:pPr>
        <w:jc w:val="both"/>
        <w:rPr>
          <w:rFonts w:ascii="Arial" w:hAnsi="Arial" w:cs="Arial"/>
          <w:b/>
          <w:bCs/>
          <w:color w:val="000000" w:themeColor="text1"/>
          <w:u w:val="single"/>
        </w:rPr>
      </w:pPr>
      <w:r w:rsidRPr="00AE27B3">
        <w:rPr>
          <w:rFonts w:ascii="Arial" w:hAnsi="Arial" w:cs="Arial"/>
          <w:b/>
          <w:bCs/>
          <w:color w:val="000000" w:themeColor="text1"/>
          <w:u w:val="single"/>
        </w:rPr>
        <w:t>2.7.2 Model Formulation</w:t>
      </w:r>
    </w:p>
    <w:p w14:paraId="7053E293" w14:textId="053B5F8B" w:rsidR="00081D0B" w:rsidRPr="00DB2279" w:rsidRDefault="00AD3D6E" w:rsidP="00081D0B">
      <w:pPr>
        <w:jc w:val="both"/>
        <w:rPr>
          <w:rFonts w:ascii="Arial" w:hAnsi="Arial" w:cs="Arial"/>
        </w:rPr>
      </w:pPr>
      <w:r w:rsidRPr="00FA0968">
        <w:rPr>
          <w:rFonts w:ascii="Arial" w:hAnsi="Arial" w:cs="Arial"/>
          <w:color w:val="000000" w:themeColor="text1"/>
        </w:rPr>
        <w:t>A linear regression model was hence fitted between the daily gas feed and the corresponding power output using Python script as shown in Figure (3). The regression equation obtained provided a real-world benchmark for the simulated clusters.</w:t>
      </w:r>
      <w:r w:rsidR="00936A83">
        <w:rPr>
          <w:rFonts w:ascii="Arial" w:hAnsi="Arial" w:cs="Arial"/>
          <w:color w:val="000000" w:themeColor="text1"/>
        </w:rPr>
        <w:t xml:space="preserve"> </w:t>
      </w:r>
      <w:r w:rsidR="00081D0B" w:rsidRPr="00DB2279">
        <w:rPr>
          <w:rFonts w:ascii="Arial" w:hAnsi="Arial" w:cs="Arial"/>
        </w:rPr>
        <w:t>Model adequacy was evaluated using the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081D0B" w:rsidRPr="00DB2279">
        <w:rPr>
          <w:rFonts w:ascii="Arial" w:hAnsi="Arial" w:cs="Arial"/>
        </w:rPr>
        <w:t xml:space="preserve">) and residual diagnostics. </w:t>
      </w:r>
    </w:p>
    <w:p w14:paraId="41540F01" w14:textId="5D280EA5" w:rsidR="00AD3D6E" w:rsidRPr="00FA0968" w:rsidRDefault="00AD3D6E" w:rsidP="00AD3D6E">
      <w:pPr>
        <w:jc w:val="both"/>
        <w:rPr>
          <w:rFonts w:ascii="Arial" w:hAnsi="Arial" w:cs="Arial"/>
          <w:color w:val="000000" w:themeColor="text1"/>
        </w:rPr>
      </w:pPr>
    </w:p>
    <w:p w14:paraId="7548FD64" w14:textId="77777777" w:rsidR="009243D7" w:rsidRDefault="009243D7" w:rsidP="00441B6F">
      <w:pPr>
        <w:pStyle w:val="AbstHead"/>
        <w:spacing w:after="0"/>
        <w:jc w:val="both"/>
        <w:rPr>
          <w:rFonts w:ascii="Arial" w:hAnsi="Arial" w:cs="Arial"/>
        </w:rPr>
      </w:pPr>
    </w:p>
    <w:p w14:paraId="789B18CB" w14:textId="6831B14A" w:rsidR="009243D7" w:rsidRDefault="0028793D" w:rsidP="00441B6F">
      <w:pPr>
        <w:pStyle w:val="AbstHead"/>
        <w:spacing w:after="0"/>
        <w:jc w:val="both"/>
        <w:rPr>
          <w:rFonts w:ascii="Arial" w:hAnsi="Arial" w:cs="Arial"/>
        </w:rPr>
      </w:pPr>
      <w:r w:rsidRPr="00855BAA">
        <w:rPr>
          <w:rFonts w:ascii="Arial" w:hAnsi="Arial" w:cs="Arial"/>
          <w:noProof/>
          <w:color w:val="000000" w:themeColor="text1"/>
        </w:rPr>
        <w:drawing>
          <wp:inline distT="0" distB="0" distL="0" distR="0" wp14:anchorId="556B5F83" wp14:editId="133C198E">
            <wp:extent cx="5040372" cy="6019800"/>
            <wp:effectExtent l="0" t="0" r="8255" b="0"/>
            <wp:docPr id="34336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68287" name=""/>
                    <pic:cNvPicPr/>
                  </pic:nvPicPr>
                  <pic:blipFill>
                    <a:blip r:embed="rId16"/>
                    <a:stretch>
                      <a:fillRect/>
                    </a:stretch>
                  </pic:blipFill>
                  <pic:spPr>
                    <a:xfrm>
                      <a:off x="0" y="0"/>
                      <a:ext cx="5055444" cy="6037801"/>
                    </a:xfrm>
                    <a:prstGeom prst="rect">
                      <a:avLst/>
                    </a:prstGeom>
                  </pic:spPr>
                </pic:pic>
              </a:graphicData>
            </a:graphic>
          </wp:inline>
        </w:drawing>
      </w:r>
    </w:p>
    <w:p w14:paraId="674C3B05" w14:textId="1C1E3E55" w:rsidR="0028031C" w:rsidRPr="0028031C" w:rsidRDefault="0028031C" w:rsidP="0028031C">
      <w:pPr>
        <w:rPr>
          <w:rFonts w:ascii="Arial" w:hAnsi="Arial" w:cs="Arial"/>
          <w:i/>
          <w:iCs/>
          <w:color w:val="000000" w:themeColor="text1"/>
        </w:rPr>
      </w:pPr>
      <w:r w:rsidRPr="0028031C">
        <w:rPr>
          <w:rFonts w:ascii="Arial" w:hAnsi="Arial" w:cs="Arial"/>
          <w:i/>
          <w:iCs/>
          <w:color w:val="000000" w:themeColor="text1"/>
        </w:rPr>
        <w:t xml:space="preserve">Figure 3:  </w:t>
      </w:r>
      <w:r w:rsidRPr="0028031C">
        <w:rPr>
          <w:rFonts w:ascii="Arial" w:hAnsi="Arial" w:cs="Arial"/>
          <w:i/>
          <w:iCs/>
        </w:rPr>
        <w:t>Python script used for Afam VI regression analysis</w:t>
      </w:r>
    </w:p>
    <w:p w14:paraId="7C3CB830" w14:textId="77777777" w:rsidR="0028793D" w:rsidRDefault="0028793D" w:rsidP="00441B6F">
      <w:pPr>
        <w:pStyle w:val="AbstHead"/>
        <w:spacing w:after="0"/>
        <w:jc w:val="both"/>
        <w:rPr>
          <w:rFonts w:ascii="Arial" w:hAnsi="Arial" w:cs="Arial"/>
        </w:rPr>
      </w:pPr>
    </w:p>
    <w:p w14:paraId="58D86397" w14:textId="77777777" w:rsidR="00645407" w:rsidRPr="00645407" w:rsidRDefault="00645407" w:rsidP="00645407">
      <w:pPr>
        <w:rPr>
          <w:rFonts w:ascii="Arial" w:hAnsi="Arial" w:cs="Arial"/>
          <w:b/>
          <w:bCs/>
          <w:sz w:val="22"/>
          <w:szCs w:val="22"/>
        </w:rPr>
      </w:pPr>
      <w:r w:rsidRPr="00645407">
        <w:rPr>
          <w:rFonts w:ascii="Arial" w:hAnsi="Arial" w:cs="Arial"/>
          <w:b/>
          <w:bCs/>
          <w:sz w:val="22"/>
          <w:szCs w:val="22"/>
        </w:rPr>
        <w:t>2.8 Estimation of Cluster-Level Power Generation</w:t>
      </w:r>
    </w:p>
    <w:p w14:paraId="00718D1F" w14:textId="77777777" w:rsidR="00645407" w:rsidRPr="00855BAA" w:rsidRDefault="00645407" w:rsidP="00645407">
      <w:pPr>
        <w:jc w:val="both"/>
        <w:rPr>
          <w:rFonts w:ascii="Arial" w:hAnsi="Arial" w:cs="Arial"/>
        </w:rPr>
      </w:pPr>
      <w:r w:rsidRPr="00855BAA">
        <w:rPr>
          <w:rFonts w:ascii="Arial" w:hAnsi="Arial" w:cs="Arial"/>
        </w:rPr>
        <w:t>Lean-gas flow rates obtained from process simulation were converted to units compatible with the Afam VI empirical model. The regression equation was then applied, thereby estimating the electricity-generation potential of each flare-gas cluster. This approach provides realistic and implementable projections of gas-to-power potential.</w:t>
      </w:r>
    </w:p>
    <w:p w14:paraId="18415022" w14:textId="77777777" w:rsidR="0028793D" w:rsidRPr="00FB3A86" w:rsidRDefault="0028793D" w:rsidP="00441B6F">
      <w:pPr>
        <w:pStyle w:val="AbstHead"/>
        <w:spacing w:after="0"/>
        <w:jc w:val="both"/>
        <w:rPr>
          <w:rFonts w:ascii="Arial" w:hAnsi="Arial" w:cs="Arial"/>
        </w:rPr>
      </w:pPr>
    </w:p>
    <w:p w14:paraId="036F3F95" w14:textId="0AB24D9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5DE6E835" w14:textId="77777777" w:rsidR="00790ADA" w:rsidRPr="00FB3A86" w:rsidRDefault="00790ADA" w:rsidP="00441B6F">
      <w:pPr>
        <w:pStyle w:val="Head1"/>
        <w:spacing w:after="0"/>
        <w:jc w:val="both"/>
        <w:rPr>
          <w:rFonts w:ascii="Arial" w:hAnsi="Arial" w:cs="Arial"/>
        </w:rPr>
      </w:pPr>
    </w:p>
    <w:p w14:paraId="13315F23"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3.1 Cluster-Level Gas Composition and Feed Characteristics</w:t>
      </w:r>
    </w:p>
    <w:p w14:paraId="681B7317" w14:textId="18145D9D" w:rsidR="00944613" w:rsidRPr="00855BAA" w:rsidRDefault="00944613" w:rsidP="00BD68B8">
      <w:pPr>
        <w:jc w:val="both"/>
        <w:rPr>
          <w:rFonts w:ascii="Arial" w:hAnsi="Arial" w:cs="Arial"/>
        </w:rPr>
      </w:pPr>
      <w:bookmarkStart w:id="1" w:name="_Toc215420301"/>
      <w:r w:rsidRPr="00855BAA">
        <w:rPr>
          <w:rFonts w:ascii="Arial" w:hAnsi="Arial" w:cs="Arial"/>
        </w:rPr>
        <w:t xml:space="preserve">Table </w:t>
      </w:r>
      <w:r w:rsidR="005A21FA">
        <w:rPr>
          <w:rFonts w:ascii="Arial" w:hAnsi="Arial" w:cs="Arial"/>
        </w:rPr>
        <w:t>(</w:t>
      </w:r>
      <w:r w:rsidRPr="00855BAA">
        <w:rPr>
          <w:rFonts w:ascii="Arial" w:hAnsi="Arial" w:cs="Arial"/>
        </w:rPr>
        <w:t>1</w:t>
      </w:r>
      <w:r w:rsidR="005A21FA">
        <w:rPr>
          <w:rFonts w:ascii="Arial" w:hAnsi="Arial" w:cs="Arial"/>
        </w:rPr>
        <w:t>)</w:t>
      </w:r>
      <w:r w:rsidRPr="00855BAA">
        <w:rPr>
          <w:rFonts w:ascii="Arial" w:hAnsi="Arial" w:cs="Arial"/>
        </w:rPr>
        <w:t xml:space="preserve"> summarizes the average molecular weights of the aggregated flare-gas streams for the four clusters. It was derived using Python-based compositional aggregation based on equation (2.2). The molecular weights range from 18.565 g/mol (Cluster 0) to 27.337 g/mol (Cluster 2), reflecting variations in heavier hydrocarbon content across the clusters.</w:t>
      </w:r>
    </w:p>
    <w:p w14:paraId="001B2E19" w14:textId="4B3AE99B" w:rsidR="00944613" w:rsidRDefault="00944613" w:rsidP="00BD68B8">
      <w:pPr>
        <w:jc w:val="both"/>
        <w:rPr>
          <w:rFonts w:ascii="Arial" w:hAnsi="Arial" w:cs="Arial"/>
        </w:rPr>
      </w:pPr>
      <w:r w:rsidRPr="00855BAA">
        <w:rPr>
          <w:rFonts w:ascii="Arial" w:hAnsi="Arial" w:cs="Arial"/>
        </w:rPr>
        <w:t xml:space="preserve">Daily flare-gas volumes adopted from the geospatial optimization study by Nwankwo et al (2025) were converted to molar flowrates for UniSim Design input. As shown in Table </w:t>
      </w:r>
      <w:r w:rsidR="005A21FA">
        <w:rPr>
          <w:rFonts w:ascii="Arial" w:hAnsi="Arial" w:cs="Arial"/>
        </w:rPr>
        <w:t>(</w:t>
      </w:r>
      <w:r w:rsidR="009E24B4">
        <w:rPr>
          <w:rFonts w:ascii="Arial" w:hAnsi="Arial" w:cs="Arial"/>
        </w:rPr>
        <w:t>2</w:t>
      </w:r>
      <w:r w:rsidR="005A21FA">
        <w:rPr>
          <w:rFonts w:ascii="Arial" w:hAnsi="Arial" w:cs="Arial"/>
        </w:rPr>
        <w:t>)</w:t>
      </w:r>
      <w:r w:rsidRPr="00855BAA">
        <w:rPr>
          <w:rFonts w:ascii="Arial" w:hAnsi="Arial" w:cs="Arial"/>
        </w:rPr>
        <w:t xml:space="preserve">, Cluster 0 has the largest flare volume (45.99 MMSCF/day), </w:t>
      </w:r>
      <w:r w:rsidRPr="00855BAA">
        <w:rPr>
          <w:rFonts w:ascii="Arial" w:hAnsi="Arial" w:cs="Arial"/>
        </w:rPr>
        <w:lastRenderedPageBreak/>
        <w:t xml:space="preserve">corresponding to a UniSim feed flowrate of 2,922.6 </w:t>
      </w:r>
      <w:proofErr w:type="spellStart"/>
      <w:r w:rsidRPr="00855BAA">
        <w:rPr>
          <w:rFonts w:ascii="Arial" w:hAnsi="Arial" w:cs="Arial"/>
        </w:rPr>
        <w:t>kmol</w:t>
      </w:r>
      <w:proofErr w:type="spellEnd"/>
      <w:r w:rsidRPr="00855BAA">
        <w:rPr>
          <w:rFonts w:ascii="Arial" w:hAnsi="Arial" w:cs="Arial"/>
        </w:rPr>
        <w:t xml:space="preserve">/h. While Cluster 2 has the smallest feed flowrate at 973.4 </w:t>
      </w:r>
      <w:proofErr w:type="spellStart"/>
      <w:r w:rsidRPr="00855BAA">
        <w:rPr>
          <w:rFonts w:ascii="Arial" w:hAnsi="Arial" w:cs="Arial"/>
        </w:rPr>
        <w:t>kmol</w:t>
      </w:r>
      <w:proofErr w:type="spellEnd"/>
      <w:r w:rsidRPr="00855BAA">
        <w:rPr>
          <w:rFonts w:ascii="Arial" w:hAnsi="Arial" w:cs="Arial"/>
        </w:rPr>
        <w:t xml:space="preserve">/h. These feed specifications formed the basis for subsequent gas-conditioning simulations. </w:t>
      </w:r>
    </w:p>
    <w:p w14:paraId="30858281" w14:textId="77777777" w:rsidR="00BD68B8" w:rsidRPr="00855BAA" w:rsidRDefault="00BD68B8" w:rsidP="00BD68B8">
      <w:pPr>
        <w:jc w:val="both"/>
        <w:rPr>
          <w:rFonts w:ascii="Arial" w:hAnsi="Arial" w:cs="Arial"/>
        </w:rPr>
      </w:pPr>
    </w:p>
    <w:p w14:paraId="2DC42869" w14:textId="252C95EE" w:rsidR="00944613" w:rsidRPr="00BD68B8" w:rsidRDefault="00944613" w:rsidP="00944613">
      <w:pPr>
        <w:pStyle w:val="Tables"/>
        <w:rPr>
          <w:rFonts w:ascii="Arial" w:hAnsi="Arial" w:cs="Arial"/>
          <w:sz w:val="20"/>
          <w:szCs w:val="20"/>
        </w:rPr>
      </w:pPr>
      <w:r w:rsidRPr="00BD68B8">
        <w:rPr>
          <w:rFonts w:ascii="Arial" w:hAnsi="Arial" w:cs="Arial"/>
          <w:sz w:val="20"/>
          <w:szCs w:val="20"/>
        </w:rPr>
        <w:t xml:space="preserve">Table </w:t>
      </w:r>
      <w:proofErr w:type="gramStart"/>
      <w:r w:rsidRPr="00BD68B8">
        <w:rPr>
          <w:rFonts w:ascii="Arial" w:hAnsi="Arial" w:cs="Arial"/>
          <w:sz w:val="20"/>
          <w:szCs w:val="20"/>
        </w:rPr>
        <w:t>1  Cluster’s</w:t>
      </w:r>
      <w:proofErr w:type="gramEnd"/>
      <w:r w:rsidRPr="00BD68B8">
        <w:rPr>
          <w:rFonts w:ascii="Arial" w:hAnsi="Arial" w:cs="Arial"/>
          <w:sz w:val="20"/>
          <w:szCs w:val="20"/>
        </w:rPr>
        <w:t xml:space="preserve"> gas average molecular weight (MW) (derived using Python code)</w:t>
      </w:r>
      <w:bookmarkEnd w:id="1"/>
    </w:p>
    <w:tbl>
      <w:tblPr>
        <w:tblW w:w="7763" w:type="dxa"/>
        <w:tblLook w:val="04A0" w:firstRow="1" w:lastRow="0" w:firstColumn="1" w:lastColumn="0" w:noHBand="0" w:noVBand="1"/>
      </w:tblPr>
      <w:tblGrid>
        <w:gridCol w:w="3540"/>
        <w:gridCol w:w="4223"/>
      </w:tblGrid>
      <w:tr w:rsidR="00944613" w:rsidRPr="00855BAA" w14:paraId="181E0529" w14:textId="77777777" w:rsidTr="00001C0C">
        <w:trPr>
          <w:trHeight w:val="223"/>
        </w:trPr>
        <w:tc>
          <w:tcPr>
            <w:tcW w:w="3540" w:type="dxa"/>
            <w:tcBorders>
              <w:top w:val="nil"/>
              <w:left w:val="nil"/>
              <w:bottom w:val="single" w:sz="8" w:space="0" w:color="auto"/>
              <w:right w:val="single" w:sz="4" w:space="0" w:color="auto"/>
            </w:tcBorders>
            <w:noWrap/>
            <w:vAlign w:val="center"/>
            <w:hideMark/>
          </w:tcPr>
          <w:p w14:paraId="594F07E1" w14:textId="77777777" w:rsidR="00944613" w:rsidRPr="00FA35BC" w:rsidRDefault="00944613" w:rsidP="00BB6153">
            <w:pPr>
              <w:contextualSpacing/>
              <w:jc w:val="center"/>
              <w:rPr>
                <w:rFonts w:ascii="Arial" w:hAnsi="Arial" w:cs="Arial"/>
                <w:b/>
              </w:rPr>
            </w:pPr>
            <w:r w:rsidRPr="00FA35BC">
              <w:rPr>
                <w:rFonts w:ascii="Arial" w:hAnsi="Arial" w:cs="Arial"/>
                <w:b/>
              </w:rPr>
              <w:t>Clusters</w:t>
            </w:r>
          </w:p>
        </w:tc>
        <w:tc>
          <w:tcPr>
            <w:tcW w:w="4223" w:type="dxa"/>
            <w:tcBorders>
              <w:top w:val="nil"/>
              <w:left w:val="nil"/>
              <w:bottom w:val="single" w:sz="8" w:space="0" w:color="auto"/>
              <w:right w:val="nil"/>
            </w:tcBorders>
            <w:noWrap/>
            <w:vAlign w:val="center"/>
            <w:hideMark/>
          </w:tcPr>
          <w:p w14:paraId="47EE32C2" w14:textId="77777777" w:rsidR="00944613" w:rsidRPr="00FA35BC" w:rsidRDefault="00944613" w:rsidP="00BB6153">
            <w:pPr>
              <w:contextualSpacing/>
              <w:jc w:val="center"/>
              <w:rPr>
                <w:rFonts w:ascii="Arial" w:hAnsi="Arial" w:cs="Arial"/>
                <w:b/>
              </w:rPr>
            </w:pPr>
            <w:r w:rsidRPr="00FA35BC">
              <w:rPr>
                <w:rFonts w:ascii="Arial" w:hAnsi="Arial" w:cs="Arial"/>
                <w:b/>
              </w:rPr>
              <w:t>Average MW (g/mol)</w:t>
            </w:r>
          </w:p>
        </w:tc>
      </w:tr>
      <w:tr w:rsidR="00944613" w:rsidRPr="00855BAA" w14:paraId="0DB234C1" w14:textId="77777777" w:rsidTr="00001C0C">
        <w:trPr>
          <w:trHeight w:val="231"/>
        </w:trPr>
        <w:tc>
          <w:tcPr>
            <w:tcW w:w="3540" w:type="dxa"/>
            <w:tcBorders>
              <w:top w:val="nil"/>
              <w:left w:val="nil"/>
              <w:bottom w:val="nil"/>
              <w:right w:val="single" w:sz="4" w:space="0" w:color="auto"/>
            </w:tcBorders>
            <w:noWrap/>
            <w:vAlign w:val="center"/>
            <w:hideMark/>
          </w:tcPr>
          <w:p w14:paraId="52B8B0B6" w14:textId="77777777" w:rsidR="00944613" w:rsidRPr="00FA35BC" w:rsidRDefault="00944613" w:rsidP="00BB6153">
            <w:pPr>
              <w:contextualSpacing/>
              <w:jc w:val="center"/>
              <w:rPr>
                <w:rFonts w:ascii="Arial" w:hAnsi="Arial" w:cs="Arial"/>
              </w:rPr>
            </w:pPr>
            <w:r w:rsidRPr="00FA35BC">
              <w:rPr>
                <w:rFonts w:ascii="Arial" w:hAnsi="Arial" w:cs="Arial"/>
              </w:rPr>
              <w:t>0</w:t>
            </w:r>
          </w:p>
        </w:tc>
        <w:tc>
          <w:tcPr>
            <w:tcW w:w="4223" w:type="dxa"/>
            <w:tcBorders>
              <w:top w:val="nil"/>
              <w:left w:val="nil"/>
              <w:bottom w:val="nil"/>
              <w:right w:val="nil"/>
            </w:tcBorders>
            <w:noWrap/>
            <w:vAlign w:val="center"/>
            <w:hideMark/>
          </w:tcPr>
          <w:p w14:paraId="12602683" w14:textId="77777777" w:rsidR="00944613" w:rsidRPr="00FA35BC" w:rsidRDefault="00944613" w:rsidP="00BB6153">
            <w:pPr>
              <w:contextualSpacing/>
              <w:jc w:val="center"/>
              <w:rPr>
                <w:rFonts w:ascii="Arial" w:hAnsi="Arial" w:cs="Arial"/>
              </w:rPr>
            </w:pPr>
            <w:r w:rsidRPr="00FA35BC">
              <w:rPr>
                <w:rFonts w:ascii="Arial" w:hAnsi="Arial" w:cs="Arial"/>
              </w:rPr>
              <w:t>18.565</w:t>
            </w:r>
          </w:p>
        </w:tc>
      </w:tr>
      <w:tr w:rsidR="00944613" w:rsidRPr="00855BAA" w14:paraId="036A22CA" w14:textId="77777777" w:rsidTr="00001C0C">
        <w:trPr>
          <w:trHeight w:val="397"/>
        </w:trPr>
        <w:tc>
          <w:tcPr>
            <w:tcW w:w="3540" w:type="dxa"/>
            <w:tcBorders>
              <w:top w:val="nil"/>
              <w:left w:val="nil"/>
              <w:bottom w:val="nil"/>
              <w:right w:val="single" w:sz="4" w:space="0" w:color="auto"/>
            </w:tcBorders>
            <w:noWrap/>
            <w:vAlign w:val="center"/>
            <w:hideMark/>
          </w:tcPr>
          <w:p w14:paraId="089E7655" w14:textId="77777777" w:rsidR="00944613" w:rsidRPr="00FA35BC" w:rsidRDefault="00944613" w:rsidP="00BB6153">
            <w:pPr>
              <w:contextualSpacing/>
              <w:jc w:val="center"/>
              <w:rPr>
                <w:rFonts w:ascii="Arial" w:hAnsi="Arial" w:cs="Arial"/>
              </w:rPr>
            </w:pPr>
            <w:r w:rsidRPr="00FA35BC">
              <w:rPr>
                <w:rFonts w:ascii="Arial" w:hAnsi="Arial" w:cs="Arial"/>
              </w:rPr>
              <w:t>1</w:t>
            </w:r>
          </w:p>
        </w:tc>
        <w:tc>
          <w:tcPr>
            <w:tcW w:w="4223" w:type="dxa"/>
            <w:tcBorders>
              <w:top w:val="nil"/>
              <w:left w:val="nil"/>
              <w:bottom w:val="nil"/>
              <w:right w:val="nil"/>
            </w:tcBorders>
            <w:noWrap/>
            <w:vAlign w:val="center"/>
            <w:hideMark/>
          </w:tcPr>
          <w:p w14:paraId="422E406B" w14:textId="77777777" w:rsidR="00944613" w:rsidRPr="00FA35BC" w:rsidRDefault="00944613" w:rsidP="00BB6153">
            <w:pPr>
              <w:contextualSpacing/>
              <w:jc w:val="center"/>
              <w:rPr>
                <w:rFonts w:ascii="Arial" w:hAnsi="Arial" w:cs="Arial"/>
              </w:rPr>
            </w:pPr>
            <w:r w:rsidRPr="00FA35BC">
              <w:rPr>
                <w:rFonts w:ascii="Arial" w:hAnsi="Arial" w:cs="Arial"/>
              </w:rPr>
              <w:t>22.199</w:t>
            </w:r>
          </w:p>
        </w:tc>
      </w:tr>
      <w:tr w:rsidR="00944613" w:rsidRPr="00855BAA" w14:paraId="79AC695B" w14:textId="77777777" w:rsidTr="00001C0C">
        <w:trPr>
          <w:trHeight w:val="275"/>
        </w:trPr>
        <w:tc>
          <w:tcPr>
            <w:tcW w:w="3540" w:type="dxa"/>
            <w:tcBorders>
              <w:top w:val="nil"/>
              <w:left w:val="nil"/>
              <w:bottom w:val="nil"/>
              <w:right w:val="single" w:sz="4" w:space="0" w:color="auto"/>
            </w:tcBorders>
            <w:noWrap/>
            <w:vAlign w:val="center"/>
            <w:hideMark/>
          </w:tcPr>
          <w:p w14:paraId="19C551AA" w14:textId="77777777" w:rsidR="00944613" w:rsidRPr="00FA35BC" w:rsidRDefault="00944613" w:rsidP="00BB6153">
            <w:pPr>
              <w:contextualSpacing/>
              <w:jc w:val="center"/>
              <w:rPr>
                <w:rFonts w:ascii="Arial" w:hAnsi="Arial" w:cs="Arial"/>
              </w:rPr>
            </w:pPr>
            <w:r w:rsidRPr="00FA35BC">
              <w:rPr>
                <w:rFonts w:ascii="Arial" w:hAnsi="Arial" w:cs="Arial"/>
              </w:rPr>
              <w:t>2</w:t>
            </w:r>
          </w:p>
        </w:tc>
        <w:tc>
          <w:tcPr>
            <w:tcW w:w="4223" w:type="dxa"/>
            <w:tcBorders>
              <w:top w:val="nil"/>
              <w:left w:val="nil"/>
              <w:bottom w:val="nil"/>
              <w:right w:val="nil"/>
            </w:tcBorders>
            <w:noWrap/>
            <w:vAlign w:val="center"/>
            <w:hideMark/>
          </w:tcPr>
          <w:p w14:paraId="41DA95AA" w14:textId="77777777" w:rsidR="00944613" w:rsidRPr="00FA35BC" w:rsidRDefault="00944613" w:rsidP="00BB6153">
            <w:pPr>
              <w:contextualSpacing/>
              <w:jc w:val="center"/>
              <w:rPr>
                <w:rFonts w:ascii="Arial" w:hAnsi="Arial" w:cs="Arial"/>
              </w:rPr>
            </w:pPr>
            <w:r w:rsidRPr="00FA35BC">
              <w:rPr>
                <w:rFonts w:ascii="Arial" w:hAnsi="Arial" w:cs="Arial"/>
              </w:rPr>
              <w:t>27.337</w:t>
            </w:r>
          </w:p>
        </w:tc>
      </w:tr>
      <w:tr w:rsidR="00944613" w:rsidRPr="00855BAA" w14:paraId="49070C2C" w14:textId="77777777" w:rsidTr="00001C0C">
        <w:trPr>
          <w:trHeight w:val="293"/>
        </w:trPr>
        <w:tc>
          <w:tcPr>
            <w:tcW w:w="3540" w:type="dxa"/>
            <w:tcBorders>
              <w:top w:val="nil"/>
              <w:left w:val="nil"/>
              <w:bottom w:val="nil"/>
              <w:right w:val="single" w:sz="4" w:space="0" w:color="auto"/>
            </w:tcBorders>
            <w:noWrap/>
            <w:vAlign w:val="center"/>
            <w:hideMark/>
          </w:tcPr>
          <w:p w14:paraId="6652B6A7" w14:textId="77777777" w:rsidR="00944613" w:rsidRPr="00FA35BC" w:rsidRDefault="00944613" w:rsidP="00BB6153">
            <w:pPr>
              <w:contextualSpacing/>
              <w:jc w:val="center"/>
              <w:rPr>
                <w:rFonts w:ascii="Arial" w:hAnsi="Arial" w:cs="Arial"/>
              </w:rPr>
            </w:pPr>
            <w:r w:rsidRPr="00FA35BC">
              <w:rPr>
                <w:rFonts w:ascii="Arial" w:hAnsi="Arial" w:cs="Arial"/>
              </w:rPr>
              <w:t>3</w:t>
            </w:r>
          </w:p>
        </w:tc>
        <w:tc>
          <w:tcPr>
            <w:tcW w:w="4223" w:type="dxa"/>
            <w:tcBorders>
              <w:top w:val="nil"/>
              <w:left w:val="nil"/>
              <w:bottom w:val="nil"/>
              <w:right w:val="nil"/>
            </w:tcBorders>
            <w:noWrap/>
            <w:vAlign w:val="center"/>
            <w:hideMark/>
          </w:tcPr>
          <w:p w14:paraId="0E360268" w14:textId="77777777" w:rsidR="00944613" w:rsidRPr="00FA35BC" w:rsidRDefault="00944613" w:rsidP="00BB6153">
            <w:pPr>
              <w:contextualSpacing/>
              <w:jc w:val="center"/>
              <w:rPr>
                <w:rFonts w:ascii="Arial" w:hAnsi="Arial" w:cs="Arial"/>
              </w:rPr>
            </w:pPr>
            <w:r w:rsidRPr="00FA35BC">
              <w:rPr>
                <w:rFonts w:ascii="Arial" w:hAnsi="Arial" w:cs="Arial"/>
              </w:rPr>
              <w:t>18.623</w:t>
            </w:r>
          </w:p>
        </w:tc>
      </w:tr>
    </w:tbl>
    <w:p w14:paraId="2E6ADD43" w14:textId="77777777" w:rsidR="00944613" w:rsidRPr="00855BAA" w:rsidRDefault="00944613" w:rsidP="00944613">
      <w:pPr>
        <w:pStyle w:val="Tables"/>
        <w:rPr>
          <w:rFonts w:ascii="Arial" w:hAnsi="Arial" w:cs="Arial"/>
        </w:rPr>
      </w:pPr>
      <w:bookmarkStart w:id="2" w:name="_Toc215420302"/>
    </w:p>
    <w:p w14:paraId="54B70EAF" w14:textId="724E8B0E" w:rsidR="00944613" w:rsidRPr="00E146DA" w:rsidRDefault="00944613" w:rsidP="00944613">
      <w:pPr>
        <w:pStyle w:val="Tables"/>
        <w:rPr>
          <w:rFonts w:ascii="Arial" w:hAnsi="Arial" w:cs="Arial"/>
          <w:sz w:val="20"/>
          <w:szCs w:val="20"/>
        </w:rPr>
      </w:pPr>
      <w:r w:rsidRPr="00E146DA">
        <w:rPr>
          <w:rFonts w:ascii="Arial" w:hAnsi="Arial" w:cs="Arial"/>
          <w:sz w:val="20"/>
          <w:szCs w:val="20"/>
        </w:rPr>
        <w:t xml:space="preserve">Table 2   Cluster gas Flowrate in </w:t>
      </w:r>
      <w:proofErr w:type="spellStart"/>
      <w:r w:rsidRPr="00E146DA">
        <w:rPr>
          <w:rFonts w:ascii="Arial" w:hAnsi="Arial" w:cs="Arial"/>
          <w:sz w:val="20"/>
          <w:szCs w:val="20"/>
        </w:rPr>
        <w:t>kmol</w:t>
      </w:r>
      <w:proofErr w:type="spellEnd"/>
      <w:r w:rsidRPr="00E146DA">
        <w:rPr>
          <w:rFonts w:ascii="Arial" w:hAnsi="Arial" w:cs="Arial"/>
          <w:sz w:val="20"/>
          <w:szCs w:val="20"/>
        </w:rPr>
        <w:t>/</w:t>
      </w:r>
      <w:proofErr w:type="spellStart"/>
      <w:r w:rsidRPr="00E146DA">
        <w:rPr>
          <w:rFonts w:ascii="Arial" w:hAnsi="Arial" w:cs="Arial"/>
          <w:sz w:val="20"/>
          <w:szCs w:val="20"/>
        </w:rPr>
        <w:t>hr</w:t>
      </w:r>
      <w:proofErr w:type="spellEnd"/>
      <w:r w:rsidRPr="00E146DA">
        <w:rPr>
          <w:rFonts w:ascii="Arial" w:hAnsi="Arial" w:cs="Arial"/>
          <w:sz w:val="20"/>
          <w:szCs w:val="20"/>
        </w:rPr>
        <w:t xml:space="preserve"> (derived)</w:t>
      </w:r>
      <w:bookmarkEnd w:id="2"/>
    </w:p>
    <w:tbl>
      <w:tblPr>
        <w:tblW w:w="7905" w:type="dxa"/>
        <w:tblLook w:val="04A0" w:firstRow="1" w:lastRow="0" w:firstColumn="1" w:lastColumn="0" w:noHBand="0" w:noVBand="1"/>
      </w:tblPr>
      <w:tblGrid>
        <w:gridCol w:w="1134"/>
        <w:gridCol w:w="1668"/>
        <w:gridCol w:w="1985"/>
        <w:gridCol w:w="1006"/>
        <w:gridCol w:w="2112"/>
      </w:tblGrid>
      <w:tr w:rsidR="00944613" w:rsidRPr="00855BAA" w14:paraId="395452E0" w14:textId="77777777" w:rsidTr="00001C0C">
        <w:trPr>
          <w:trHeight w:val="427"/>
        </w:trPr>
        <w:tc>
          <w:tcPr>
            <w:tcW w:w="1134" w:type="dxa"/>
            <w:tcBorders>
              <w:top w:val="nil"/>
              <w:left w:val="nil"/>
              <w:bottom w:val="single" w:sz="8" w:space="0" w:color="auto"/>
              <w:right w:val="single" w:sz="4" w:space="0" w:color="auto"/>
            </w:tcBorders>
            <w:noWrap/>
            <w:vAlign w:val="center"/>
            <w:hideMark/>
          </w:tcPr>
          <w:p w14:paraId="0DBB2406" w14:textId="77777777" w:rsidR="00944613" w:rsidRPr="00FA35BC" w:rsidRDefault="00944613" w:rsidP="00BB6153">
            <w:pPr>
              <w:jc w:val="center"/>
              <w:rPr>
                <w:rFonts w:ascii="Arial" w:hAnsi="Arial" w:cs="Arial"/>
                <w:b/>
              </w:rPr>
            </w:pPr>
            <w:r w:rsidRPr="00FA35BC">
              <w:rPr>
                <w:rFonts w:ascii="Arial" w:hAnsi="Arial" w:cs="Arial"/>
                <w:b/>
              </w:rPr>
              <w:t>Cluster</w:t>
            </w:r>
          </w:p>
        </w:tc>
        <w:tc>
          <w:tcPr>
            <w:tcW w:w="1668" w:type="dxa"/>
            <w:tcBorders>
              <w:top w:val="nil"/>
              <w:left w:val="nil"/>
              <w:bottom w:val="single" w:sz="8" w:space="0" w:color="auto"/>
              <w:right w:val="nil"/>
            </w:tcBorders>
            <w:noWrap/>
            <w:vAlign w:val="center"/>
            <w:hideMark/>
          </w:tcPr>
          <w:p w14:paraId="5F61A27D" w14:textId="77777777" w:rsidR="00944613" w:rsidRPr="00FA35BC" w:rsidRDefault="00944613" w:rsidP="00BB6153">
            <w:pPr>
              <w:jc w:val="center"/>
              <w:rPr>
                <w:rFonts w:ascii="Arial" w:hAnsi="Arial" w:cs="Arial"/>
                <w:b/>
              </w:rPr>
            </w:pPr>
            <w:r w:rsidRPr="00FA35BC">
              <w:rPr>
                <w:rFonts w:ascii="Arial" w:hAnsi="Arial" w:cs="Arial"/>
                <w:b/>
              </w:rPr>
              <w:t>Daily Flare (</w:t>
            </w:r>
            <w:proofErr w:type="spellStart"/>
            <w:r w:rsidRPr="00FA35BC">
              <w:rPr>
                <w:rFonts w:ascii="Arial" w:hAnsi="Arial" w:cs="Arial"/>
                <w:b/>
              </w:rPr>
              <w:t>mmscf</w:t>
            </w:r>
            <w:proofErr w:type="spellEnd"/>
            <w:r w:rsidRPr="00FA35BC">
              <w:rPr>
                <w:rFonts w:ascii="Arial" w:hAnsi="Arial" w:cs="Arial"/>
                <w:b/>
              </w:rPr>
              <w:t>)</w:t>
            </w:r>
          </w:p>
        </w:tc>
        <w:tc>
          <w:tcPr>
            <w:tcW w:w="1985" w:type="dxa"/>
            <w:tcBorders>
              <w:top w:val="nil"/>
              <w:left w:val="nil"/>
              <w:bottom w:val="single" w:sz="8" w:space="0" w:color="auto"/>
              <w:right w:val="nil"/>
            </w:tcBorders>
            <w:noWrap/>
            <w:vAlign w:val="center"/>
            <w:hideMark/>
          </w:tcPr>
          <w:p w14:paraId="3FA38AF9" w14:textId="77777777" w:rsidR="00944613" w:rsidRPr="00FA35BC" w:rsidRDefault="00944613" w:rsidP="00BB6153">
            <w:pPr>
              <w:jc w:val="center"/>
              <w:rPr>
                <w:rFonts w:ascii="Arial" w:hAnsi="Arial" w:cs="Arial"/>
                <w:b/>
              </w:rPr>
            </w:pPr>
            <w:r w:rsidRPr="00FA35BC">
              <w:rPr>
                <w:rFonts w:ascii="Arial" w:hAnsi="Arial" w:cs="Arial"/>
                <w:b/>
              </w:rPr>
              <w:t>Daily Flare (</w:t>
            </w:r>
            <w:proofErr w:type="spellStart"/>
            <w:r w:rsidRPr="00FA35BC">
              <w:rPr>
                <w:rFonts w:ascii="Arial" w:hAnsi="Arial" w:cs="Arial"/>
                <w:b/>
              </w:rPr>
              <w:t>scm</w:t>
            </w:r>
            <w:proofErr w:type="spellEnd"/>
            <w:r w:rsidRPr="00FA35BC">
              <w:rPr>
                <w:rFonts w:ascii="Arial" w:hAnsi="Arial" w:cs="Arial"/>
                <w:b/>
              </w:rPr>
              <w:t>)</w:t>
            </w:r>
          </w:p>
        </w:tc>
        <w:tc>
          <w:tcPr>
            <w:tcW w:w="1006" w:type="dxa"/>
            <w:tcBorders>
              <w:top w:val="nil"/>
              <w:left w:val="nil"/>
              <w:bottom w:val="single" w:sz="8" w:space="0" w:color="auto"/>
              <w:right w:val="nil"/>
            </w:tcBorders>
            <w:noWrap/>
            <w:vAlign w:val="center"/>
            <w:hideMark/>
          </w:tcPr>
          <w:p w14:paraId="00174C13" w14:textId="77777777" w:rsidR="00944613" w:rsidRPr="00FA35BC" w:rsidRDefault="00944613" w:rsidP="00BB6153">
            <w:pPr>
              <w:jc w:val="center"/>
              <w:rPr>
                <w:rFonts w:ascii="Arial" w:hAnsi="Arial" w:cs="Arial"/>
                <w:b/>
              </w:rPr>
            </w:pPr>
            <w:r w:rsidRPr="00FA35BC">
              <w:rPr>
                <w:rFonts w:ascii="Arial" w:hAnsi="Arial" w:cs="Arial"/>
                <w:b/>
              </w:rPr>
              <w:t>Average MW</w:t>
            </w:r>
          </w:p>
        </w:tc>
        <w:tc>
          <w:tcPr>
            <w:tcW w:w="2112" w:type="dxa"/>
            <w:tcBorders>
              <w:top w:val="nil"/>
              <w:left w:val="nil"/>
              <w:bottom w:val="single" w:sz="8" w:space="0" w:color="auto"/>
              <w:right w:val="nil"/>
            </w:tcBorders>
            <w:noWrap/>
            <w:vAlign w:val="center"/>
            <w:hideMark/>
          </w:tcPr>
          <w:p w14:paraId="18CE31AC" w14:textId="77777777" w:rsidR="00944613" w:rsidRPr="00FA35BC" w:rsidRDefault="00944613" w:rsidP="00BB6153">
            <w:pPr>
              <w:jc w:val="center"/>
              <w:rPr>
                <w:rFonts w:ascii="Arial" w:hAnsi="Arial" w:cs="Arial"/>
                <w:b/>
              </w:rPr>
            </w:pPr>
            <w:proofErr w:type="spellStart"/>
            <w:r w:rsidRPr="00FA35BC">
              <w:rPr>
                <w:rFonts w:ascii="Arial" w:hAnsi="Arial" w:cs="Arial"/>
                <w:b/>
              </w:rPr>
              <w:t>UniSim</w:t>
            </w:r>
            <w:proofErr w:type="spellEnd"/>
            <w:r w:rsidRPr="00FA35BC">
              <w:rPr>
                <w:rFonts w:ascii="Arial" w:hAnsi="Arial" w:cs="Arial"/>
                <w:b/>
              </w:rPr>
              <w:t xml:space="preserve"> Input (</w:t>
            </w:r>
            <w:proofErr w:type="spellStart"/>
            <w:r w:rsidRPr="00FA35BC">
              <w:rPr>
                <w:rFonts w:ascii="Arial" w:hAnsi="Arial" w:cs="Arial"/>
                <w:b/>
              </w:rPr>
              <w:t>kmol</w:t>
            </w:r>
            <w:proofErr w:type="spellEnd"/>
            <w:r w:rsidRPr="00FA35BC">
              <w:rPr>
                <w:rFonts w:ascii="Arial" w:hAnsi="Arial" w:cs="Arial"/>
                <w:b/>
              </w:rPr>
              <w:t>/</w:t>
            </w:r>
            <w:proofErr w:type="spellStart"/>
            <w:r w:rsidRPr="00FA35BC">
              <w:rPr>
                <w:rFonts w:ascii="Arial" w:hAnsi="Arial" w:cs="Arial"/>
                <w:b/>
              </w:rPr>
              <w:t>hr</w:t>
            </w:r>
            <w:proofErr w:type="spellEnd"/>
            <w:r w:rsidRPr="00FA35BC">
              <w:rPr>
                <w:rFonts w:ascii="Arial" w:hAnsi="Arial" w:cs="Arial"/>
                <w:b/>
              </w:rPr>
              <w:t>)</w:t>
            </w:r>
          </w:p>
        </w:tc>
      </w:tr>
      <w:tr w:rsidR="00944613" w:rsidRPr="00855BAA" w14:paraId="22D86AE4" w14:textId="77777777" w:rsidTr="006743A7">
        <w:trPr>
          <w:trHeight w:val="425"/>
        </w:trPr>
        <w:tc>
          <w:tcPr>
            <w:tcW w:w="1134" w:type="dxa"/>
            <w:tcBorders>
              <w:top w:val="nil"/>
              <w:left w:val="nil"/>
              <w:bottom w:val="nil"/>
              <w:right w:val="single" w:sz="4" w:space="0" w:color="auto"/>
            </w:tcBorders>
            <w:noWrap/>
            <w:vAlign w:val="center"/>
            <w:hideMark/>
          </w:tcPr>
          <w:p w14:paraId="72FC3621" w14:textId="77777777" w:rsidR="00944613" w:rsidRPr="00FA35BC" w:rsidRDefault="00944613" w:rsidP="00BB6153">
            <w:pPr>
              <w:jc w:val="center"/>
              <w:rPr>
                <w:rFonts w:ascii="Arial" w:hAnsi="Arial" w:cs="Arial"/>
              </w:rPr>
            </w:pPr>
            <w:r w:rsidRPr="00FA35BC">
              <w:rPr>
                <w:rFonts w:ascii="Arial" w:hAnsi="Arial" w:cs="Arial"/>
              </w:rPr>
              <w:t>0</w:t>
            </w:r>
          </w:p>
        </w:tc>
        <w:tc>
          <w:tcPr>
            <w:tcW w:w="1668" w:type="dxa"/>
            <w:tcBorders>
              <w:top w:val="nil"/>
              <w:left w:val="nil"/>
              <w:bottom w:val="nil"/>
              <w:right w:val="nil"/>
            </w:tcBorders>
            <w:noWrap/>
            <w:vAlign w:val="center"/>
            <w:hideMark/>
          </w:tcPr>
          <w:p w14:paraId="50B5870C" w14:textId="77777777" w:rsidR="00944613" w:rsidRPr="00FA35BC" w:rsidRDefault="00944613" w:rsidP="00BB6153">
            <w:pPr>
              <w:jc w:val="center"/>
              <w:rPr>
                <w:rFonts w:ascii="Arial" w:hAnsi="Arial" w:cs="Arial"/>
              </w:rPr>
            </w:pPr>
            <w:r w:rsidRPr="00FA35BC">
              <w:rPr>
                <w:rFonts w:ascii="Arial" w:hAnsi="Arial" w:cs="Arial"/>
              </w:rPr>
              <w:t>45.986</w:t>
            </w:r>
          </w:p>
        </w:tc>
        <w:tc>
          <w:tcPr>
            <w:tcW w:w="1985" w:type="dxa"/>
            <w:tcBorders>
              <w:top w:val="nil"/>
              <w:left w:val="nil"/>
              <w:bottom w:val="nil"/>
              <w:right w:val="nil"/>
            </w:tcBorders>
            <w:noWrap/>
            <w:vAlign w:val="center"/>
            <w:hideMark/>
          </w:tcPr>
          <w:p w14:paraId="5F0AC953" w14:textId="77777777" w:rsidR="00944613" w:rsidRPr="00FA35BC" w:rsidRDefault="00944613" w:rsidP="00BB6153">
            <w:pPr>
              <w:jc w:val="center"/>
              <w:rPr>
                <w:rFonts w:ascii="Arial" w:hAnsi="Arial" w:cs="Arial"/>
              </w:rPr>
            </w:pPr>
            <w:r w:rsidRPr="00FA35BC">
              <w:rPr>
                <w:rFonts w:ascii="Arial" w:hAnsi="Arial" w:cs="Arial"/>
              </w:rPr>
              <w:t>1302165.944</w:t>
            </w:r>
          </w:p>
        </w:tc>
        <w:tc>
          <w:tcPr>
            <w:tcW w:w="1006" w:type="dxa"/>
            <w:tcBorders>
              <w:top w:val="nil"/>
              <w:left w:val="nil"/>
              <w:bottom w:val="nil"/>
              <w:right w:val="nil"/>
            </w:tcBorders>
            <w:noWrap/>
            <w:vAlign w:val="center"/>
            <w:hideMark/>
          </w:tcPr>
          <w:p w14:paraId="3BDA598F" w14:textId="77777777" w:rsidR="00944613" w:rsidRPr="00FA35BC" w:rsidRDefault="00944613" w:rsidP="00BB6153">
            <w:pPr>
              <w:jc w:val="center"/>
              <w:rPr>
                <w:rFonts w:ascii="Arial" w:hAnsi="Arial" w:cs="Arial"/>
              </w:rPr>
            </w:pPr>
            <w:r w:rsidRPr="00FA35BC">
              <w:rPr>
                <w:rFonts w:ascii="Arial" w:hAnsi="Arial" w:cs="Arial"/>
              </w:rPr>
              <w:t>18.565</w:t>
            </w:r>
          </w:p>
        </w:tc>
        <w:tc>
          <w:tcPr>
            <w:tcW w:w="2112" w:type="dxa"/>
            <w:tcBorders>
              <w:top w:val="nil"/>
              <w:left w:val="nil"/>
              <w:bottom w:val="nil"/>
              <w:right w:val="nil"/>
            </w:tcBorders>
            <w:noWrap/>
            <w:vAlign w:val="center"/>
            <w:hideMark/>
          </w:tcPr>
          <w:p w14:paraId="42AA85B6" w14:textId="77777777" w:rsidR="00944613" w:rsidRPr="00FA35BC" w:rsidRDefault="00944613" w:rsidP="00BB6153">
            <w:pPr>
              <w:jc w:val="center"/>
              <w:rPr>
                <w:rFonts w:ascii="Arial" w:hAnsi="Arial" w:cs="Arial"/>
              </w:rPr>
            </w:pPr>
            <w:r w:rsidRPr="00FA35BC">
              <w:rPr>
                <w:rFonts w:ascii="Arial" w:hAnsi="Arial" w:cs="Arial"/>
              </w:rPr>
              <w:t>2922.575</w:t>
            </w:r>
          </w:p>
        </w:tc>
      </w:tr>
      <w:tr w:rsidR="00944613" w:rsidRPr="00855BAA" w14:paraId="687553A8" w14:textId="77777777" w:rsidTr="006743A7">
        <w:trPr>
          <w:trHeight w:val="437"/>
        </w:trPr>
        <w:tc>
          <w:tcPr>
            <w:tcW w:w="1134" w:type="dxa"/>
            <w:tcBorders>
              <w:top w:val="nil"/>
              <w:left w:val="nil"/>
              <w:bottom w:val="nil"/>
              <w:right w:val="single" w:sz="4" w:space="0" w:color="auto"/>
            </w:tcBorders>
            <w:noWrap/>
            <w:vAlign w:val="center"/>
            <w:hideMark/>
          </w:tcPr>
          <w:p w14:paraId="63896326" w14:textId="77777777" w:rsidR="00944613" w:rsidRPr="00FA35BC" w:rsidRDefault="00944613" w:rsidP="00BB6153">
            <w:pPr>
              <w:jc w:val="center"/>
              <w:rPr>
                <w:rFonts w:ascii="Arial" w:hAnsi="Arial" w:cs="Arial"/>
              </w:rPr>
            </w:pPr>
            <w:r w:rsidRPr="00FA35BC">
              <w:rPr>
                <w:rFonts w:ascii="Arial" w:hAnsi="Arial" w:cs="Arial"/>
              </w:rPr>
              <w:t>1</w:t>
            </w:r>
          </w:p>
        </w:tc>
        <w:tc>
          <w:tcPr>
            <w:tcW w:w="1668" w:type="dxa"/>
            <w:tcBorders>
              <w:top w:val="nil"/>
              <w:left w:val="nil"/>
              <w:bottom w:val="nil"/>
              <w:right w:val="nil"/>
            </w:tcBorders>
            <w:noWrap/>
            <w:vAlign w:val="center"/>
            <w:hideMark/>
          </w:tcPr>
          <w:p w14:paraId="28AD9D18" w14:textId="77777777" w:rsidR="00944613" w:rsidRPr="00FA35BC" w:rsidRDefault="00944613" w:rsidP="00BB6153">
            <w:pPr>
              <w:jc w:val="center"/>
              <w:rPr>
                <w:rFonts w:ascii="Arial" w:hAnsi="Arial" w:cs="Arial"/>
              </w:rPr>
            </w:pPr>
            <w:r w:rsidRPr="00FA35BC">
              <w:rPr>
                <w:rFonts w:ascii="Arial" w:hAnsi="Arial" w:cs="Arial"/>
              </w:rPr>
              <w:t>24.557</w:t>
            </w:r>
          </w:p>
        </w:tc>
        <w:tc>
          <w:tcPr>
            <w:tcW w:w="1985" w:type="dxa"/>
            <w:tcBorders>
              <w:top w:val="nil"/>
              <w:left w:val="nil"/>
              <w:bottom w:val="nil"/>
              <w:right w:val="nil"/>
            </w:tcBorders>
            <w:noWrap/>
            <w:vAlign w:val="center"/>
            <w:hideMark/>
          </w:tcPr>
          <w:p w14:paraId="277077F7" w14:textId="77777777" w:rsidR="00944613" w:rsidRPr="00FA35BC" w:rsidRDefault="00944613" w:rsidP="00BB6153">
            <w:pPr>
              <w:jc w:val="center"/>
              <w:rPr>
                <w:rFonts w:ascii="Arial" w:hAnsi="Arial" w:cs="Arial"/>
              </w:rPr>
            </w:pPr>
            <w:r w:rsidRPr="00FA35BC">
              <w:rPr>
                <w:rFonts w:ascii="Arial" w:hAnsi="Arial" w:cs="Arial"/>
              </w:rPr>
              <w:t>695383.898</w:t>
            </w:r>
          </w:p>
        </w:tc>
        <w:tc>
          <w:tcPr>
            <w:tcW w:w="1006" w:type="dxa"/>
            <w:tcBorders>
              <w:top w:val="nil"/>
              <w:left w:val="nil"/>
              <w:bottom w:val="nil"/>
              <w:right w:val="nil"/>
            </w:tcBorders>
            <w:noWrap/>
            <w:vAlign w:val="center"/>
            <w:hideMark/>
          </w:tcPr>
          <w:p w14:paraId="20B6F4D5" w14:textId="77777777" w:rsidR="00944613" w:rsidRPr="00FA35BC" w:rsidRDefault="00944613" w:rsidP="00BB6153">
            <w:pPr>
              <w:jc w:val="center"/>
              <w:rPr>
                <w:rFonts w:ascii="Arial" w:hAnsi="Arial" w:cs="Arial"/>
              </w:rPr>
            </w:pPr>
            <w:r w:rsidRPr="00FA35BC">
              <w:rPr>
                <w:rFonts w:ascii="Arial" w:hAnsi="Arial" w:cs="Arial"/>
              </w:rPr>
              <w:t>22.199</w:t>
            </w:r>
          </w:p>
        </w:tc>
        <w:tc>
          <w:tcPr>
            <w:tcW w:w="2112" w:type="dxa"/>
            <w:tcBorders>
              <w:top w:val="nil"/>
              <w:left w:val="nil"/>
              <w:bottom w:val="nil"/>
              <w:right w:val="nil"/>
            </w:tcBorders>
            <w:noWrap/>
            <w:vAlign w:val="center"/>
            <w:hideMark/>
          </w:tcPr>
          <w:p w14:paraId="25DB4867" w14:textId="77777777" w:rsidR="00944613" w:rsidRPr="00FA35BC" w:rsidRDefault="00944613" w:rsidP="00BB6153">
            <w:pPr>
              <w:jc w:val="center"/>
              <w:rPr>
                <w:rFonts w:ascii="Arial" w:hAnsi="Arial" w:cs="Arial"/>
              </w:rPr>
            </w:pPr>
            <w:r w:rsidRPr="00FA35BC">
              <w:rPr>
                <w:rFonts w:ascii="Arial" w:hAnsi="Arial" w:cs="Arial"/>
              </w:rPr>
              <w:t>1305.204</w:t>
            </w:r>
          </w:p>
        </w:tc>
      </w:tr>
      <w:tr w:rsidR="00944613" w:rsidRPr="00855BAA" w14:paraId="58349AD3" w14:textId="77777777" w:rsidTr="006743A7">
        <w:trPr>
          <w:trHeight w:val="428"/>
        </w:trPr>
        <w:tc>
          <w:tcPr>
            <w:tcW w:w="1134" w:type="dxa"/>
            <w:tcBorders>
              <w:top w:val="nil"/>
              <w:left w:val="nil"/>
              <w:bottom w:val="nil"/>
              <w:right w:val="single" w:sz="4" w:space="0" w:color="auto"/>
            </w:tcBorders>
            <w:noWrap/>
            <w:vAlign w:val="center"/>
            <w:hideMark/>
          </w:tcPr>
          <w:p w14:paraId="781755BB" w14:textId="77777777" w:rsidR="00944613" w:rsidRPr="00FA35BC" w:rsidRDefault="00944613" w:rsidP="00BB6153">
            <w:pPr>
              <w:jc w:val="center"/>
              <w:rPr>
                <w:rFonts w:ascii="Arial" w:hAnsi="Arial" w:cs="Arial"/>
              </w:rPr>
            </w:pPr>
            <w:r w:rsidRPr="00FA35BC">
              <w:rPr>
                <w:rFonts w:ascii="Arial" w:hAnsi="Arial" w:cs="Arial"/>
              </w:rPr>
              <w:t>2</w:t>
            </w:r>
          </w:p>
        </w:tc>
        <w:tc>
          <w:tcPr>
            <w:tcW w:w="1668" w:type="dxa"/>
            <w:tcBorders>
              <w:top w:val="nil"/>
              <w:left w:val="nil"/>
              <w:bottom w:val="nil"/>
              <w:right w:val="nil"/>
            </w:tcBorders>
            <w:noWrap/>
            <w:vAlign w:val="center"/>
            <w:hideMark/>
          </w:tcPr>
          <w:p w14:paraId="3240D0E2" w14:textId="77777777" w:rsidR="00944613" w:rsidRPr="00FA35BC" w:rsidRDefault="00944613" w:rsidP="00BB6153">
            <w:pPr>
              <w:jc w:val="center"/>
              <w:rPr>
                <w:rFonts w:ascii="Arial" w:hAnsi="Arial" w:cs="Arial"/>
              </w:rPr>
            </w:pPr>
            <w:r w:rsidRPr="00FA35BC">
              <w:rPr>
                <w:rFonts w:ascii="Arial" w:hAnsi="Arial" w:cs="Arial"/>
              </w:rPr>
              <w:t>22.552</w:t>
            </w:r>
          </w:p>
        </w:tc>
        <w:tc>
          <w:tcPr>
            <w:tcW w:w="1985" w:type="dxa"/>
            <w:tcBorders>
              <w:top w:val="nil"/>
              <w:left w:val="nil"/>
              <w:bottom w:val="nil"/>
              <w:right w:val="nil"/>
            </w:tcBorders>
            <w:noWrap/>
            <w:vAlign w:val="center"/>
            <w:hideMark/>
          </w:tcPr>
          <w:p w14:paraId="7B9A41F1" w14:textId="77777777" w:rsidR="00944613" w:rsidRPr="00FA35BC" w:rsidRDefault="00944613" w:rsidP="00BB6153">
            <w:pPr>
              <w:jc w:val="center"/>
              <w:rPr>
                <w:rFonts w:ascii="Arial" w:hAnsi="Arial" w:cs="Arial"/>
              </w:rPr>
            </w:pPr>
            <w:r w:rsidRPr="00FA35BC">
              <w:rPr>
                <w:rFonts w:ascii="Arial" w:hAnsi="Arial" w:cs="Arial"/>
              </w:rPr>
              <w:t>638613.273</w:t>
            </w:r>
          </w:p>
        </w:tc>
        <w:tc>
          <w:tcPr>
            <w:tcW w:w="1006" w:type="dxa"/>
            <w:tcBorders>
              <w:top w:val="nil"/>
              <w:left w:val="nil"/>
              <w:bottom w:val="nil"/>
              <w:right w:val="nil"/>
            </w:tcBorders>
            <w:noWrap/>
            <w:vAlign w:val="center"/>
            <w:hideMark/>
          </w:tcPr>
          <w:p w14:paraId="67E0C491" w14:textId="77777777" w:rsidR="00944613" w:rsidRPr="00FA35BC" w:rsidRDefault="00944613" w:rsidP="00BB6153">
            <w:pPr>
              <w:jc w:val="center"/>
              <w:rPr>
                <w:rFonts w:ascii="Arial" w:hAnsi="Arial" w:cs="Arial"/>
              </w:rPr>
            </w:pPr>
            <w:r w:rsidRPr="00FA35BC">
              <w:rPr>
                <w:rFonts w:ascii="Arial" w:hAnsi="Arial" w:cs="Arial"/>
              </w:rPr>
              <w:t>27.337</w:t>
            </w:r>
          </w:p>
        </w:tc>
        <w:tc>
          <w:tcPr>
            <w:tcW w:w="2112" w:type="dxa"/>
            <w:tcBorders>
              <w:top w:val="nil"/>
              <w:left w:val="nil"/>
              <w:bottom w:val="nil"/>
              <w:right w:val="nil"/>
            </w:tcBorders>
            <w:noWrap/>
            <w:vAlign w:val="center"/>
            <w:hideMark/>
          </w:tcPr>
          <w:p w14:paraId="34E1DEFF" w14:textId="77777777" w:rsidR="00944613" w:rsidRPr="00FA35BC" w:rsidRDefault="00944613" w:rsidP="00BB6153">
            <w:pPr>
              <w:jc w:val="center"/>
              <w:rPr>
                <w:rFonts w:ascii="Arial" w:hAnsi="Arial" w:cs="Arial"/>
              </w:rPr>
            </w:pPr>
            <w:r w:rsidRPr="00FA35BC">
              <w:rPr>
                <w:rFonts w:ascii="Arial" w:hAnsi="Arial" w:cs="Arial"/>
              </w:rPr>
              <w:t>973.356</w:t>
            </w:r>
          </w:p>
        </w:tc>
      </w:tr>
      <w:tr w:rsidR="00944613" w:rsidRPr="00855BAA" w14:paraId="39B5012A" w14:textId="77777777" w:rsidTr="006743A7">
        <w:trPr>
          <w:trHeight w:val="421"/>
        </w:trPr>
        <w:tc>
          <w:tcPr>
            <w:tcW w:w="1134" w:type="dxa"/>
            <w:tcBorders>
              <w:top w:val="nil"/>
              <w:left w:val="nil"/>
              <w:bottom w:val="nil"/>
              <w:right w:val="single" w:sz="4" w:space="0" w:color="auto"/>
            </w:tcBorders>
            <w:noWrap/>
            <w:vAlign w:val="center"/>
            <w:hideMark/>
          </w:tcPr>
          <w:p w14:paraId="752487B6" w14:textId="77777777" w:rsidR="00944613" w:rsidRPr="00FA35BC" w:rsidRDefault="00944613" w:rsidP="00BB6153">
            <w:pPr>
              <w:jc w:val="center"/>
              <w:rPr>
                <w:rFonts w:ascii="Arial" w:hAnsi="Arial" w:cs="Arial"/>
              </w:rPr>
            </w:pPr>
            <w:r w:rsidRPr="00FA35BC">
              <w:rPr>
                <w:rFonts w:ascii="Arial" w:hAnsi="Arial" w:cs="Arial"/>
              </w:rPr>
              <w:t>3</w:t>
            </w:r>
          </w:p>
        </w:tc>
        <w:tc>
          <w:tcPr>
            <w:tcW w:w="1668" w:type="dxa"/>
            <w:tcBorders>
              <w:top w:val="nil"/>
              <w:left w:val="nil"/>
              <w:bottom w:val="nil"/>
              <w:right w:val="nil"/>
            </w:tcBorders>
            <w:noWrap/>
            <w:vAlign w:val="center"/>
            <w:hideMark/>
          </w:tcPr>
          <w:p w14:paraId="15774303" w14:textId="77777777" w:rsidR="00944613" w:rsidRPr="00FA35BC" w:rsidRDefault="00944613" w:rsidP="00BB6153">
            <w:pPr>
              <w:jc w:val="center"/>
              <w:rPr>
                <w:rFonts w:ascii="Arial" w:hAnsi="Arial" w:cs="Arial"/>
              </w:rPr>
            </w:pPr>
            <w:r w:rsidRPr="00FA35BC">
              <w:rPr>
                <w:rFonts w:ascii="Arial" w:hAnsi="Arial" w:cs="Arial"/>
              </w:rPr>
              <w:t>30.222</w:t>
            </w:r>
          </w:p>
        </w:tc>
        <w:tc>
          <w:tcPr>
            <w:tcW w:w="1985" w:type="dxa"/>
            <w:tcBorders>
              <w:top w:val="nil"/>
              <w:left w:val="nil"/>
              <w:bottom w:val="nil"/>
              <w:right w:val="nil"/>
            </w:tcBorders>
            <w:noWrap/>
            <w:vAlign w:val="center"/>
            <w:hideMark/>
          </w:tcPr>
          <w:p w14:paraId="1B52812A" w14:textId="77777777" w:rsidR="00944613" w:rsidRPr="00FA35BC" w:rsidRDefault="00944613" w:rsidP="00BB6153">
            <w:pPr>
              <w:jc w:val="center"/>
              <w:rPr>
                <w:rFonts w:ascii="Arial" w:hAnsi="Arial" w:cs="Arial"/>
              </w:rPr>
            </w:pPr>
            <w:r w:rsidRPr="00FA35BC">
              <w:rPr>
                <w:rFonts w:ascii="Arial" w:hAnsi="Arial" w:cs="Arial"/>
              </w:rPr>
              <w:t>855803.978</w:t>
            </w:r>
          </w:p>
        </w:tc>
        <w:tc>
          <w:tcPr>
            <w:tcW w:w="1006" w:type="dxa"/>
            <w:tcBorders>
              <w:top w:val="nil"/>
              <w:left w:val="nil"/>
              <w:bottom w:val="nil"/>
              <w:right w:val="nil"/>
            </w:tcBorders>
            <w:noWrap/>
            <w:vAlign w:val="center"/>
            <w:hideMark/>
          </w:tcPr>
          <w:p w14:paraId="4731EF24" w14:textId="77777777" w:rsidR="00944613" w:rsidRPr="00FA35BC" w:rsidRDefault="00944613" w:rsidP="00BB6153">
            <w:pPr>
              <w:jc w:val="center"/>
              <w:rPr>
                <w:rFonts w:ascii="Arial" w:hAnsi="Arial" w:cs="Arial"/>
              </w:rPr>
            </w:pPr>
            <w:r w:rsidRPr="00FA35BC">
              <w:rPr>
                <w:rFonts w:ascii="Arial" w:hAnsi="Arial" w:cs="Arial"/>
              </w:rPr>
              <w:t>18.623</w:t>
            </w:r>
          </w:p>
        </w:tc>
        <w:tc>
          <w:tcPr>
            <w:tcW w:w="2112" w:type="dxa"/>
            <w:tcBorders>
              <w:top w:val="nil"/>
              <w:left w:val="nil"/>
              <w:bottom w:val="nil"/>
              <w:right w:val="nil"/>
            </w:tcBorders>
            <w:noWrap/>
            <w:vAlign w:val="center"/>
            <w:hideMark/>
          </w:tcPr>
          <w:p w14:paraId="61B00B79" w14:textId="77777777" w:rsidR="00944613" w:rsidRPr="00FA35BC" w:rsidRDefault="00944613" w:rsidP="00BB6153">
            <w:pPr>
              <w:jc w:val="center"/>
              <w:rPr>
                <w:rFonts w:ascii="Arial" w:hAnsi="Arial" w:cs="Arial"/>
              </w:rPr>
            </w:pPr>
            <w:r w:rsidRPr="00FA35BC">
              <w:rPr>
                <w:rFonts w:ascii="Arial" w:hAnsi="Arial" w:cs="Arial"/>
              </w:rPr>
              <w:t>1914.714</w:t>
            </w:r>
          </w:p>
        </w:tc>
      </w:tr>
    </w:tbl>
    <w:p w14:paraId="6FFA8AC9" w14:textId="77777777" w:rsidR="00944613" w:rsidRPr="00855BAA" w:rsidRDefault="00944613" w:rsidP="00944613">
      <w:pPr>
        <w:rPr>
          <w:rFonts w:ascii="Arial" w:hAnsi="Arial" w:cs="Arial"/>
          <w:color w:val="EE0000"/>
        </w:rPr>
      </w:pPr>
    </w:p>
    <w:p w14:paraId="79AB3BC0" w14:textId="03C52D1F" w:rsidR="00944613" w:rsidRDefault="00944613" w:rsidP="00944613">
      <w:pPr>
        <w:rPr>
          <w:rFonts w:ascii="Arial" w:hAnsi="Arial" w:cs="Arial"/>
        </w:rPr>
      </w:pPr>
      <w:r w:rsidRPr="00855BAA">
        <w:rPr>
          <w:rFonts w:ascii="Arial" w:hAnsi="Arial" w:cs="Arial"/>
        </w:rPr>
        <w:t>Based on the Python script executed in Figure (</w:t>
      </w:r>
      <w:r w:rsidR="00EF3940">
        <w:rPr>
          <w:rFonts w:ascii="Arial" w:hAnsi="Arial" w:cs="Arial"/>
        </w:rPr>
        <w:t>1</w:t>
      </w:r>
      <w:r w:rsidRPr="00855BAA">
        <w:rPr>
          <w:rFonts w:ascii="Arial" w:hAnsi="Arial" w:cs="Arial"/>
        </w:rPr>
        <w:t>), it resulted in the cluster-gas compositions captured in Table (3).</w:t>
      </w:r>
    </w:p>
    <w:p w14:paraId="607B0067" w14:textId="77777777" w:rsidR="00414A28" w:rsidRPr="00855BAA" w:rsidRDefault="00414A28" w:rsidP="00944613">
      <w:pPr>
        <w:rPr>
          <w:rFonts w:ascii="Arial" w:hAnsi="Arial" w:cs="Arial"/>
        </w:rPr>
      </w:pPr>
    </w:p>
    <w:p w14:paraId="392022F8" w14:textId="3DC8F7D2" w:rsidR="00944613" w:rsidRDefault="00944613" w:rsidP="00944613">
      <w:pPr>
        <w:pStyle w:val="Tables"/>
        <w:rPr>
          <w:rFonts w:ascii="Arial" w:hAnsi="Arial" w:cs="Arial"/>
          <w:sz w:val="20"/>
          <w:szCs w:val="20"/>
        </w:rPr>
      </w:pPr>
      <w:bookmarkStart w:id="3" w:name="_Toc215420300"/>
      <w:r w:rsidRPr="00414A28">
        <w:rPr>
          <w:rFonts w:ascii="Arial" w:hAnsi="Arial" w:cs="Arial"/>
          <w:sz w:val="20"/>
          <w:szCs w:val="20"/>
        </w:rPr>
        <w:t>Table 3   Clusters’ Gas Composition (derived from Python analysis)</w:t>
      </w:r>
      <w:bookmarkEnd w:id="3"/>
    </w:p>
    <w:tbl>
      <w:tblPr>
        <w:tblW w:w="7763" w:type="dxa"/>
        <w:tblLook w:val="04A0" w:firstRow="1" w:lastRow="0" w:firstColumn="1" w:lastColumn="0" w:noHBand="0" w:noVBand="1"/>
      </w:tblPr>
      <w:tblGrid>
        <w:gridCol w:w="1017"/>
        <w:gridCol w:w="1167"/>
        <w:gridCol w:w="1043"/>
        <w:gridCol w:w="828"/>
        <w:gridCol w:w="828"/>
        <w:gridCol w:w="1014"/>
        <w:gridCol w:w="851"/>
        <w:gridCol w:w="1134"/>
      </w:tblGrid>
      <w:tr w:rsidR="00944613" w:rsidRPr="00855BAA" w14:paraId="6FA4FD9B" w14:textId="77777777" w:rsidTr="00001C0C">
        <w:trPr>
          <w:trHeight w:val="293"/>
        </w:trPr>
        <w:tc>
          <w:tcPr>
            <w:tcW w:w="1017" w:type="dxa"/>
            <w:tcBorders>
              <w:top w:val="nil"/>
              <w:left w:val="nil"/>
              <w:bottom w:val="single" w:sz="8" w:space="0" w:color="auto"/>
              <w:right w:val="single" w:sz="4" w:space="0" w:color="auto"/>
            </w:tcBorders>
            <w:noWrap/>
            <w:vAlign w:val="center"/>
            <w:hideMark/>
          </w:tcPr>
          <w:p w14:paraId="20EA656E"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Clusters</w:t>
            </w:r>
          </w:p>
        </w:tc>
        <w:tc>
          <w:tcPr>
            <w:tcW w:w="1167" w:type="dxa"/>
            <w:tcBorders>
              <w:top w:val="nil"/>
              <w:left w:val="nil"/>
              <w:bottom w:val="single" w:sz="8" w:space="0" w:color="auto"/>
              <w:right w:val="nil"/>
            </w:tcBorders>
            <w:noWrap/>
            <w:vAlign w:val="center"/>
            <w:hideMark/>
          </w:tcPr>
          <w:p w14:paraId="5B41DE9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w:t>
            </w:r>
            <w:r w:rsidRPr="00B14EE7">
              <w:rPr>
                <w:rFonts w:ascii="Arial" w:hAnsi="Arial" w:cs="Arial"/>
                <w:b/>
                <w:color w:val="000000"/>
                <w:vertAlign w:val="subscript"/>
              </w:rPr>
              <w:t>2</w:t>
            </w:r>
          </w:p>
        </w:tc>
        <w:tc>
          <w:tcPr>
            <w:tcW w:w="1043" w:type="dxa"/>
            <w:tcBorders>
              <w:top w:val="nil"/>
              <w:left w:val="nil"/>
              <w:bottom w:val="single" w:sz="8" w:space="0" w:color="auto"/>
              <w:right w:val="nil"/>
            </w:tcBorders>
            <w:noWrap/>
            <w:vAlign w:val="center"/>
            <w:hideMark/>
          </w:tcPr>
          <w:p w14:paraId="09041D99"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CO</w:t>
            </w:r>
            <w:r w:rsidRPr="00B14EE7">
              <w:rPr>
                <w:rFonts w:ascii="Arial" w:hAnsi="Arial" w:cs="Arial"/>
                <w:b/>
                <w:color w:val="000000"/>
                <w:vertAlign w:val="subscript"/>
              </w:rPr>
              <w:t>2</w:t>
            </w:r>
          </w:p>
        </w:tc>
        <w:tc>
          <w:tcPr>
            <w:tcW w:w="709" w:type="dxa"/>
            <w:tcBorders>
              <w:top w:val="nil"/>
              <w:left w:val="nil"/>
              <w:bottom w:val="single" w:sz="8" w:space="0" w:color="auto"/>
              <w:right w:val="nil"/>
            </w:tcBorders>
            <w:noWrap/>
            <w:vAlign w:val="center"/>
            <w:hideMark/>
          </w:tcPr>
          <w:p w14:paraId="7DF01D8B"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CH</w:t>
            </w:r>
            <w:r w:rsidRPr="00B14EE7">
              <w:rPr>
                <w:rFonts w:ascii="Arial" w:hAnsi="Arial" w:cs="Arial"/>
                <w:b/>
                <w:color w:val="000000"/>
                <w:vertAlign w:val="subscript"/>
              </w:rPr>
              <w:t>4</w:t>
            </w:r>
          </w:p>
        </w:tc>
        <w:tc>
          <w:tcPr>
            <w:tcW w:w="828" w:type="dxa"/>
            <w:tcBorders>
              <w:top w:val="nil"/>
              <w:left w:val="nil"/>
              <w:bottom w:val="single" w:sz="8" w:space="0" w:color="auto"/>
              <w:right w:val="nil"/>
            </w:tcBorders>
            <w:noWrap/>
            <w:vAlign w:val="center"/>
            <w:hideMark/>
          </w:tcPr>
          <w:p w14:paraId="7FAA48B7"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2</w:t>
            </w:r>
            <w:r w:rsidRPr="00B14EE7">
              <w:rPr>
                <w:rFonts w:ascii="Arial" w:hAnsi="Arial" w:cs="Arial"/>
                <w:b/>
                <w:color w:val="000000"/>
              </w:rPr>
              <w:t>H</w:t>
            </w:r>
            <w:r w:rsidRPr="00B14EE7">
              <w:rPr>
                <w:rFonts w:ascii="Arial" w:hAnsi="Arial" w:cs="Arial"/>
                <w:b/>
                <w:color w:val="000000"/>
                <w:vertAlign w:val="subscript"/>
              </w:rPr>
              <w:t>6</w:t>
            </w:r>
          </w:p>
        </w:tc>
        <w:tc>
          <w:tcPr>
            <w:tcW w:w="1014" w:type="dxa"/>
            <w:tcBorders>
              <w:top w:val="nil"/>
              <w:left w:val="nil"/>
              <w:bottom w:val="single" w:sz="8" w:space="0" w:color="auto"/>
              <w:right w:val="nil"/>
            </w:tcBorders>
            <w:noWrap/>
            <w:vAlign w:val="center"/>
            <w:hideMark/>
          </w:tcPr>
          <w:p w14:paraId="42B491FC"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3</w:t>
            </w:r>
            <w:r w:rsidRPr="00B14EE7">
              <w:rPr>
                <w:rFonts w:ascii="Arial" w:hAnsi="Arial" w:cs="Arial"/>
                <w:b/>
                <w:color w:val="000000"/>
              </w:rPr>
              <w:t>H</w:t>
            </w:r>
            <w:r w:rsidRPr="00B14EE7">
              <w:rPr>
                <w:rFonts w:ascii="Arial" w:hAnsi="Arial" w:cs="Arial"/>
                <w:b/>
                <w:color w:val="000000"/>
                <w:vertAlign w:val="subscript"/>
              </w:rPr>
              <w:t>8</w:t>
            </w:r>
          </w:p>
        </w:tc>
        <w:tc>
          <w:tcPr>
            <w:tcW w:w="851" w:type="dxa"/>
            <w:tcBorders>
              <w:top w:val="nil"/>
              <w:left w:val="nil"/>
              <w:bottom w:val="single" w:sz="8" w:space="0" w:color="auto"/>
              <w:right w:val="nil"/>
            </w:tcBorders>
            <w:noWrap/>
            <w:vAlign w:val="center"/>
            <w:hideMark/>
          </w:tcPr>
          <w:p w14:paraId="245153FB" w14:textId="77777777" w:rsidR="00944613" w:rsidRPr="00B14EE7" w:rsidRDefault="00944613" w:rsidP="00BB6153">
            <w:pPr>
              <w:jc w:val="center"/>
              <w:rPr>
                <w:rFonts w:ascii="Arial" w:hAnsi="Arial" w:cs="Arial"/>
                <w:b/>
                <w:color w:val="000000"/>
              </w:rPr>
            </w:pPr>
            <w:r w:rsidRPr="00B14EE7">
              <w:rPr>
                <w:rFonts w:ascii="Arial" w:hAnsi="Arial" w:cs="Arial"/>
                <w:b/>
                <w:color w:val="000000"/>
              </w:rPr>
              <w:t>I-C</w:t>
            </w:r>
            <w:r w:rsidRPr="00B14EE7">
              <w:rPr>
                <w:rFonts w:ascii="Arial" w:hAnsi="Arial" w:cs="Arial"/>
                <w:b/>
                <w:color w:val="000000"/>
                <w:vertAlign w:val="subscript"/>
              </w:rPr>
              <w:t>4</w:t>
            </w:r>
            <w:r w:rsidRPr="00B14EE7">
              <w:rPr>
                <w:rFonts w:ascii="Arial" w:hAnsi="Arial" w:cs="Arial"/>
                <w:b/>
                <w:color w:val="000000"/>
              </w:rPr>
              <w:t>H</w:t>
            </w:r>
            <w:r w:rsidRPr="00B14EE7">
              <w:rPr>
                <w:rFonts w:ascii="Arial" w:hAnsi="Arial" w:cs="Arial"/>
                <w:b/>
                <w:color w:val="000000"/>
                <w:vertAlign w:val="subscript"/>
              </w:rPr>
              <w:t>10</w:t>
            </w:r>
          </w:p>
        </w:tc>
        <w:tc>
          <w:tcPr>
            <w:tcW w:w="1134" w:type="dxa"/>
            <w:tcBorders>
              <w:top w:val="nil"/>
              <w:left w:val="nil"/>
              <w:bottom w:val="single" w:sz="8" w:space="0" w:color="auto"/>
              <w:right w:val="nil"/>
            </w:tcBorders>
            <w:noWrap/>
            <w:vAlign w:val="center"/>
            <w:hideMark/>
          </w:tcPr>
          <w:p w14:paraId="5F0F7915"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N-C</w:t>
            </w:r>
            <w:r w:rsidRPr="00B14EE7">
              <w:rPr>
                <w:rFonts w:ascii="Arial" w:hAnsi="Arial" w:cs="Arial"/>
                <w:b/>
                <w:color w:val="000000"/>
                <w:vertAlign w:val="subscript"/>
              </w:rPr>
              <w:t>4</w:t>
            </w:r>
            <w:r w:rsidRPr="00B14EE7">
              <w:rPr>
                <w:rFonts w:ascii="Arial" w:hAnsi="Arial" w:cs="Arial"/>
                <w:b/>
                <w:color w:val="000000"/>
              </w:rPr>
              <w:t>H</w:t>
            </w:r>
            <w:r w:rsidRPr="00B14EE7">
              <w:rPr>
                <w:rFonts w:ascii="Arial" w:hAnsi="Arial" w:cs="Arial"/>
                <w:b/>
                <w:color w:val="000000"/>
                <w:vertAlign w:val="subscript"/>
              </w:rPr>
              <w:t>10</w:t>
            </w:r>
          </w:p>
        </w:tc>
      </w:tr>
      <w:tr w:rsidR="00944613" w:rsidRPr="00855BAA" w14:paraId="3AFECF29" w14:textId="77777777" w:rsidTr="006743A7">
        <w:trPr>
          <w:trHeight w:val="391"/>
        </w:trPr>
        <w:tc>
          <w:tcPr>
            <w:tcW w:w="1017" w:type="dxa"/>
            <w:tcBorders>
              <w:top w:val="nil"/>
              <w:left w:val="nil"/>
              <w:bottom w:val="nil"/>
              <w:right w:val="single" w:sz="4" w:space="0" w:color="auto"/>
            </w:tcBorders>
            <w:noWrap/>
            <w:vAlign w:val="center"/>
            <w:hideMark/>
          </w:tcPr>
          <w:p w14:paraId="27A2217D" w14:textId="77777777" w:rsidR="00944613" w:rsidRPr="00B14EE7" w:rsidRDefault="00944613" w:rsidP="00BB6153">
            <w:pPr>
              <w:jc w:val="center"/>
              <w:rPr>
                <w:rFonts w:ascii="Arial" w:hAnsi="Arial" w:cs="Arial"/>
                <w:color w:val="000000"/>
              </w:rPr>
            </w:pPr>
            <w:r w:rsidRPr="00B14EE7">
              <w:rPr>
                <w:rFonts w:ascii="Arial" w:hAnsi="Arial" w:cs="Arial"/>
                <w:color w:val="000000"/>
              </w:rPr>
              <w:t>0</w:t>
            </w:r>
          </w:p>
        </w:tc>
        <w:tc>
          <w:tcPr>
            <w:tcW w:w="1167" w:type="dxa"/>
            <w:tcBorders>
              <w:top w:val="nil"/>
              <w:left w:val="nil"/>
              <w:bottom w:val="nil"/>
              <w:right w:val="nil"/>
            </w:tcBorders>
            <w:noWrap/>
            <w:vAlign w:val="center"/>
            <w:hideMark/>
          </w:tcPr>
          <w:p w14:paraId="11EB8DC2" w14:textId="77777777" w:rsidR="00944613" w:rsidRPr="00B14EE7" w:rsidRDefault="00944613" w:rsidP="00BB6153">
            <w:pPr>
              <w:jc w:val="center"/>
              <w:rPr>
                <w:rFonts w:ascii="Arial" w:hAnsi="Arial" w:cs="Arial"/>
                <w:color w:val="000000"/>
              </w:rPr>
            </w:pPr>
            <w:r w:rsidRPr="00B14EE7">
              <w:rPr>
                <w:rFonts w:ascii="Arial" w:hAnsi="Arial" w:cs="Arial"/>
                <w:color w:val="000000"/>
              </w:rPr>
              <w:t>0.764</w:t>
            </w:r>
          </w:p>
        </w:tc>
        <w:tc>
          <w:tcPr>
            <w:tcW w:w="1043" w:type="dxa"/>
            <w:tcBorders>
              <w:top w:val="nil"/>
              <w:left w:val="nil"/>
              <w:bottom w:val="nil"/>
              <w:right w:val="nil"/>
            </w:tcBorders>
            <w:noWrap/>
            <w:vAlign w:val="center"/>
            <w:hideMark/>
          </w:tcPr>
          <w:p w14:paraId="14A9FAAF" w14:textId="77777777" w:rsidR="00944613" w:rsidRPr="00B14EE7" w:rsidRDefault="00944613" w:rsidP="00BB6153">
            <w:pPr>
              <w:jc w:val="center"/>
              <w:rPr>
                <w:rFonts w:ascii="Arial" w:hAnsi="Arial" w:cs="Arial"/>
                <w:color w:val="000000"/>
              </w:rPr>
            </w:pPr>
            <w:r w:rsidRPr="00B14EE7">
              <w:rPr>
                <w:rFonts w:ascii="Arial" w:hAnsi="Arial" w:cs="Arial"/>
                <w:color w:val="000000"/>
              </w:rPr>
              <w:t>2.582</w:t>
            </w:r>
          </w:p>
        </w:tc>
        <w:tc>
          <w:tcPr>
            <w:tcW w:w="709" w:type="dxa"/>
            <w:tcBorders>
              <w:top w:val="nil"/>
              <w:left w:val="nil"/>
              <w:bottom w:val="nil"/>
              <w:right w:val="nil"/>
            </w:tcBorders>
            <w:noWrap/>
            <w:vAlign w:val="center"/>
            <w:hideMark/>
          </w:tcPr>
          <w:p w14:paraId="5802CFAF" w14:textId="77777777" w:rsidR="00944613" w:rsidRPr="00B14EE7" w:rsidRDefault="00944613" w:rsidP="00BB6153">
            <w:pPr>
              <w:jc w:val="center"/>
              <w:rPr>
                <w:rFonts w:ascii="Arial" w:hAnsi="Arial" w:cs="Arial"/>
                <w:color w:val="000000"/>
              </w:rPr>
            </w:pPr>
            <w:r w:rsidRPr="00B14EE7">
              <w:rPr>
                <w:rFonts w:ascii="Arial" w:hAnsi="Arial" w:cs="Arial"/>
                <w:color w:val="000000"/>
              </w:rPr>
              <w:t>88.959</w:t>
            </w:r>
          </w:p>
        </w:tc>
        <w:tc>
          <w:tcPr>
            <w:tcW w:w="828" w:type="dxa"/>
            <w:tcBorders>
              <w:top w:val="nil"/>
              <w:left w:val="nil"/>
              <w:bottom w:val="nil"/>
              <w:right w:val="nil"/>
            </w:tcBorders>
            <w:noWrap/>
            <w:vAlign w:val="center"/>
            <w:hideMark/>
          </w:tcPr>
          <w:p w14:paraId="7EE64AAE" w14:textId="77777777" w:rsidR="00944613" w:rsidRPr="00B14EE7" w:rsidRDefault="00944613" w:rsidP="00BB6153">
            <w:pPr>
              <w:jc w:val="center"/>
              <w:rPr>
                <w:rFonts w:ascii="Arial" w:hAnsi="Arial" w:cs="Arial"/>
                <w:color w:val="000000"/>
              </w:rPr>
            </w:pPr>
            <w:r w:rsidRPr="00B14EE7">
              <w:rPr>
                <w:rFonts w:ascii="Arial" w:hAnsi="Arial" w:cs="Arial"/>
                <w:color w:val="000000"/>
              </w:rPr>
              <w:t>5.231</w:t>
            </w:r>
          </w:p>
        </w:tc>
        <w:tc>
          <w:tcPr>
            <w:tcW w:w="1014" w:type="dxa"/>
            <w:tcBorders>
              <w:top w:val="nil"/>
              <w:left w:val="nil"/>
              <w:bottom w:val="nil"/>
              <w:right w:val="nil"/>
            </w:tcBorders>
            <w:noWrap/>
            <w:vAlign w:val="center"/>
            <w:hideMark/>
          </w:tcPr>
          <w:p w14:paraId="63CBFACE" w14:textId="77777777" w:rsidR="00944613" w:rsidRPr="00B14EE7" w:rsidRDefault="00944613" w:rsidP="00BB6153">
            <w:pPr>
              <w:jc w:val="center"/>
              <w:rPr>
                <w:rFonts w:ascii="Arial" w:hAnsi="Arial" w:cs="Arial"/>
                <w:color w:val="000000"/>
              </w:rPr>
            </w:pPr>
            <w:r w:rsidRPr="00B14EE7">
              <w:rPr>
                <w:rFonts w:ascii="Arial" w:hAnsi="Arial" w:cs="Arial"/>
                <w:color w:val="000000"/>
              </w:rPr>
              <w:t>1.220</w:t>
            </w:r>
          </w:p>
        </w:tc>
        <w:tc>
          <w:tcPr>
            <w:tcW w:w="851" w:type="dxa"/>
            <w:tcBorders>
              <w:top w:val="nil"/>
              <w:left w:val="nil"/>
              <w:bottom w:val="nil"/>
              <w:right w:val="nil"/>
            </w:tcBorders>
            <w:noWrap/>
            <w:vAlign w:val="center"/>
            <w:hideMark/>
          </w:tcPr>
          <w:p w14:paraId="2361ABF2" w14:textId="77777777" w:rsidR="00944613" w:rsidRPr="00B14EE7" w:rsidRDefault="00944613" w:rsidP="00BB6153">
            <w:pPr>
              <w:jc w:val="center"/>
              <w:rPr>
                <w:rFonts w:ascii="Arial" w:hAnsi="Arial" w:cs="Arial"/>
                <w:color w:val="000000"/>
              </w:rPr>
            </w:pPr>
            <w:r w:rsidRPr="00B14EE7">
              <w:rPr>
                <w:rFonts w:ascii="Arial" w:hAnsi="Arial" w:cs="Arial"/>
                <w:color w:val="000000"/>
              </w:rPr>
              <w:t>0.383</w:t>
            </w:r>
          </w:p>
        </w:tc>
        <w:tc>
          <w:tcPr>
            <w:tcW w:w="1134" w:type="dxa"/>
            <w:tcBorders>
              <w:top w:val="nil"/>
              <w:left w:val="nil"/>
              <w:bottom w:val="nil"/>
              <w:right w:val="nil"/>
            </w:tcBorders>
            <w:noWrap/>
            <w:vAlign w:val="center"/>
            <w:hideMark/>
          </w:tcPr>
          <w:p w14:paraId="750E2719" w14:textId="77777777" w:rsidR="00944613" w:rsidRPr="00B14EE7" w:rsidRDefault="00944613" w:rsidP="00BB6153">
            <w:pPr>
              <w:jc w:val="center"/>
              <w:rPr>
                <w:rFonts w:ascii="Arial" w:hAnsi="Arial" w:cs="Arial"/>
                <w:color w:val="000000"/>
              </w:rPr>
            </w:pPr>
            <w:r w:rsidRPr="00B14EE7">
              <w:rPr>
                <w:rFonts w:ascii="Arial" w:hAnsi="Arial" w:cs="Arial"/>
                <w:color w:val="000000"/>
              </w:rPr>
              <w:t>0.385</w:t>
            </w:r>
          </w:p>
        </w:tc>
      </w:tr>
      <w:tr w:rsidR="00944613" w:rsidRPr="00855BAA" w14:paraId="516482C2" w14:textId="77777777" w:rsidTr="006743A7">
        <w:trPr>
          <w:trHeight w:val="431"/>
        </w:trPr>
        <w:tc>
          <w:tcPr>
            <w:tcW w:w="1017" w:type="dxa"/>
            <w:tcBorders>
              <w:top w:val="nil"/>
              <w:left w:val="nil"/>
              <w:bottom w:val="nil"/>
              <w:right w:val="single" w:sz="4" w:space="0" w:color="auto"/>
            </w:tcBorders>
            <w:noWrap/>
            <w:vAlign w:val="center"/>
            <w:hideMark/>
          </w:tcPr>
          <w:p w14:paraId="5C5E3315" w14:textId="77777777" w:rsidR="00944613" w:rsidRPr="00B14EE7" w:rsidRDefault="00944613" w:rsidP="00BB6153">
            <w:pPr>
              <w:jc w:val="center"/>
              <w:rPr>
                <w:rFonts w:ascii="Arial" w:hAnsi="Arial" w:cs="Arial"/>
                <w:color w:val="000000"/>
              </w:rPr>
            </w:pPr>
            <w:r w:rsidRPr="00B14EE7">
              <w:rPr>
                <w:rFonts w:ascii="Arial" w:hAnsi="Arial" w:cs="Arial"/>
                <w:color w:val="000000"/>
              </w:rPr>
              <w:t>1</w:t>
            </w:r>
          </w:p>
        </w:tc>
        <w:tc>
          <w:tcPr>
            <w:tcW w:w="1167" w:type="dxa"/>
            <w:tcBorders>
              <w:top w:val="nil"/>
              <w:left w:val="nil"/>
              <w:bottom w:val="nil"/>
              <w:right w:val="nil"/>
            </w:tcBorders>
            <w:noWrap/>
            <w:vAlign w:val="center"/>
            <w:hideMark/>
          </w:tcPr>
          <w:p w14:paraId="24DA88A5" w14:textId="77777777" w:rsidR="00944613" w:rsidRPr="00B14EE7" w:rsidRDefault="00944613" w:rsidP="00BB6153">
            <w:pPr>
              <w:jc w:val="center"/>
              <w:rPr>
                <w:rFonts w:ascii="Arial" w:hAnsi="Arial" w:cs="Arial"/>
                <w:color w:val="000000"/>
              </w:rPr>
            </w:pPr>
            <w:r w:rsidRPr="00B14EE7">
              <w:rPr>
                <w:rFonts w:ascii="Arial" w:hAnsi="Arial" w:cs="Arial"/>
                <w:color w:val="000000"/>
              </w:rPr>
              <w:t>0.037</w:t>
            </w:r>
          </w:p>
        </w:tc>
        <w:tc>
          <w:tcPr>
            <w:tcW w:w="1043" w:type="dxa"/>
            <w:tcBorders>
              <w:top w:val="nil"/>
              <w:left w:val="nil"/>
              <w:bottom w:val="nil"/>
              <w:right w:val="nil"/>
            </w:tcBorders>
            <w:noWrap/>
            <w:vAlign w:val="center"/>
            <w:hideMark/>
          </w:tcPr>
          <w:p w14:paraId="6EB8D783" w14:textId="77777777" w:rsidR="00944613" w:rsidRPr="00B14EE7" w:rsidRDefault="00944613" w:rsidP="00BB6153">
            <w:pPr>
              <w:jc w:val="center"/>
              <w:rPr>
                <w:rFonts w:ascii="Arial" w:hAnsi="Arial" w:cs="Arial"/>
                <w:color w:val="000000"/>
              </w:rPr>
            </w:pPr>
            <w:r w:rsidRPr="00B14EE7">
              <w:rPr>
                <w:rFonts w:ascii="Arial" w:hAnsi="Arial" w:cs="Arial"/>
                <w:color w:val="000000"/>
              </w:rPr>
              <w:t>1.923</w:t>
            </w:r>
          </w:p>
        </w:tc>
        <w:tc>
          <w:tcPr>
            <w:tcW w:w="709" w:type="dxa"/>
            <w:tcBorders>
              <w:top w:val="nil"/>
              <w:left w:val="nil"/>
              <w:bottom w:val="nil"/>
              <w:right w:val="nil"/>
            </w:tcBorders>
            <w:noWrap/>
            <w:vAlign w:val="center"/>
            <w:hideMark/>
          </w:tcPr>
          <w:p w14:paraId="4430B7EC" w14:textId="77777777" w:rsidR="00944613" w:rsidRPr="00B14EE7" w:rsidRDefault="00944613" w:rsidP="00BB6153">
            <w:pPr>
              <w:jc w:val="center"/>
              <w:rPr>
                <w:rFonts w:ascii="Arial" w:hAnsi="Arial" w:cs="Arial"/>
                <w:color w:val="000000"/>
              </w:rPr>
            </w:pPr>
            <w:r w:rsidRPr="00B14EE7">
              <w:rPr>
                <w:rFonts w:ascii="Arial" w:hAnsi="Arial" w:cs="Arial"/>
                <w:color w:val="000000"/>
              </w:rPr>
              <w:t>77.514</w:t>
            </w:r>
          </w:p>
        </w:tc>
        <w:tc>
          <w:tcPr>
            <w:tcW w:w="828" w:type="dxa"/>
            <w:tcBorders>
              <w:top w:val="nil"/>
              <w:left w:val="nil"/>
              <w:bottom w:val="nil"/>
              <w:right w:val="nil"/>
            </w:tcBorders>
            <w:noWrap/>
            <w:vAlign w:val="center"/>
            <w:hideMark/>
          </w:tcPr>
          <w:p w14:paraId="1C0CB1FA" w14:textId="77777777" w:rsidR="00944613" w:rsidRPr="00B14EE7" w:rsidRDefault="00944613" w:rsidP="00BB6153">
            <w:pPr>
              <w:jc w:val="center"/>
              <w:rPr>
                <w:rFonts w:ascii="Arial" w:hAnsi="Arial" w:cs="Arial"/>
                <w:color w:val="000000"/>
              </w:rPr>
            </w:pPr>
            <w:r w:rsidRPr="00B14EE7">
              <w:rPr>
                <w:rFonts w:ascii="Arial" w:hAnsi="Arial" w:cs="Arial"/>
                <w:color w:val="000000"/>
              </w:rPr>
              <w:t>8.605</w:t>
            </w:r>
          </w:p>
        </w:tc>
        <w:tc>
          <w:tcPr>
            <w:tcW w:w="1014" w:type="dxa"/>
            <w:tcBorders>
              <w:top w:val="nil"/>
              <w:left w:val="nil"/>
              <w:bottom w:val="nil"/>
              <w:right w:val="nil"/>
            </w:tcBorders>
            <w:noWrap/>
            <w:vAlign w:val="center"/>
            <w:hideMark/>
          </w:tcPr>
          <w:p w14:paraId="2E14841C" w14:textId="77777777" w:rsidR="00944613" w:rsidRPr="00B14EE7" w:rsidRDefault="00944613" w:rsidP="00BB6153">
            <w:pPr>
              <w:jc w:val="center"/>
              <w:rPr>
                <w:rFonts w:ascii="Arial" w:hAnsi="Arial" w:cs="Arial"/>
                <w:color w:val="000000"/>
              </w:rPr>
            </w:pPr>
            <w:r w:rsidRPr="00B14EE7">
              <w:rPr>
                <w:rFonts w:ascii="Arial" w:hAnsi="Arial" w:cs="Arial"/>
                <w:color w:val="000000"/>
              </w:rPr>
              <w:t>6.934</w:t>
            </w:r>
          </w:p>
        </w:tc>
        <w:tc>
          <w:tcPr>
            <w:tcW w:w="851" w:type="dxa"/>
            <w:tcBorders>
              <w:top w:val="nil"/>
              <w:left w:val="nil"/>
              <w:bottom w:val="nil"/>
              <w:right w:val="nil"/>
            </w:tcBorders>
            <w:noWrap/>
            <w:vAlign w:val="center"/>
            <w:hideMark/>
          </w:tcPr>
          <w:p w14:paraId="641CFA2A" w14:textId="77777777" w:rsidR="00944613" w:rsidRPr="00B14EE7" w:rsidRDefault="00944613" w:rsidP="00BB6153">
            <w:pPr>
              <w:jc w:val="center"/>
              <w:rPr>
                <w:rFonts w:ascii="Arial" w:hAnsi="Arial" w:cs="Arial"/>
                <w:color w:val="000000"/>
              </w:rPr>
            </w:pPr>
            <w:r w:rsidRPr="00B14EE7">
              <w:rPr>
                <w:rFonts w:ascii="Arial" w:hAnsi="Arial" w:cs="Arial"/>
                <w:color w:val="000000"/>
              </w:rPr>
              <w:t>1.465</w:t>
            </w:r>
          </w:p>
        </w:tc>
        <w:tc>
          <w:tcPr>
            <w:tcW w:w="1134" w:type="dxa"/>
            <w:tcBorders>
              <w:top w:val="nil"/>
              <w:left w:val="nil"/>
              <w:bottom w:val="nil"/>
              <w:right w:val="nil"/>
            </w:tcBorders>
            <w:noWrap/>
            <w:vAlign w:val="center"/>
            <w:hideMark/>
          </w:tcPr>
          <w:p w14:paraId="46B60ED9" w14:textId="77777777" w:rsidR="00944613" w:rsidRPr="00B14EE7" w:rsidRDefault="00944613" w:rsidP="00BB6153">
            <w:pPr>
              <w:jc w:val="center"/>
              <w:rPr>
                <w:rFonts w:ascii="Arial" w:hAnsi="Arial" w:cs="Arial"/>
                <w:color w:val="000000"/>
              </w:rPr>
            </w:pPr>
            <w:r w:rsidRPr="00B14EE7">
              <w:rPr>
                <w:rFonts w:ascii="Arial" w:hAnsi="Arial" w:cs="Arial"/>
                <w:color w:val="000000"/>
              </w:rPr>
              <w:t>2.001</w:t>
            </w:r>
          </w:p>
        </w:tc>
      </w:tr>
      <w:tr w:rsidR="00944613" w:rsidRPr="00855BAA" w14:paraId="373F960A" w14:textId="77777777" w:rsidTr="006743A7">
        <w:trPr>
          <w:trHeight w:val="276"/>
        </w:trPr>
        <w:tc>
          <w:tcPr>
            <w:tcW w:w="1017" w:type="dxa"/>
            <w:tcBorders>
              <w:top w:val="nil"/>
              <w:left w:val="nil"/>
              <w:bottom w:val="nil"/>
              <w:right w:val="single" w:sz="4" w:space="0" w:color="auto"/>
            </w:tcBorders>
            <w:noWrap/>
            <w:vAlign w:val="center"/>
            <w:hideMark/>
          </w:tcPr>
          <w:p w14:paraId="17F923D9" w14:textId="77777777" w:rsidR="00944613" w:rsidRPr="00B14EE7" w:rsidRDefault="00944613" w:rsidP="00BB6153">
            <w:pPr>
              <w:jc w:val="center"/>
              <w:rPr>
                <w:rFonts w:ascii="Arial" w:hAnsi="Arial" w:cs="Arial"/>
                <w:color w:val="000000"/>
              </w:rPr>
            </w:pPr>
            <w:r w:rsidRPr="00B14EE7">
              <w:rPr>
                <w:rFonts w:ascii="Arial" w:hAnsi="Arial" w:cs="Arial"/>
                <w:color w:val="000000"/>
              </w:rPr>
              <w:t>2</w:t>
            </w:r>
          </w:p>
        </w:tc>
        <w:tc>
          <w:tcPr>
            <w:tcW w:w="1167" w:type="dxa"/>
            <w:tcBorders>
              <w:top w:val="nil"/>
              <w:left w:val="nil"/>
              <w:bottom w:val="nil"/>
              <w:right w:val="nil"/>
            </w:tcBorders>
            <w:noWrap/>
            <w:vAlign w:val="center"/>
            <w:hideMark/>
          </w:tcPr>
          <w:p w14:paraId="4BE0E75D" w14:textId="77777777" w:rsidR="00944613" w:rsidRPr="00B14EE7" w:rsidRDefault="00944613" w:rsidP="00BB6153">
            <w:pPr>
              <w:jc w:val="center"/>
              <w:rPr>
                <w:rFonts w:ascii="Arial" w:hAnsi="Arial" w:cs="Arial"/>
                <w:color w:val="000000"/>
              </w:rPr>
            </w:pPr>
            <w:r w:rsidRPr="00B14EE7">
              <w:rPr>
                <w:rFonts w:ascii="Arial" w:hAnsi="Arial" w:cs="Arial"/>
                <w:color w:val="000000"/>
              </w:rPr>
              <w:t>1.932</w:t>
            </w:r>
          </w:p>
        </w:tc>
        <w:tc>
          <w:tcPr>
            <w:tcW w:w="1043" w:type="dxa"/>
            <w:tcBorders>
              <w:top w:val="nil"/>
              <w:left w:val="nil"/>
              <w:bottom w:val="nil"/>
              <w:right w:val="nil"/>
            </w:tcBorders>
            <w:noWrap/>
            <w:vAlign w:val="center"/>
            <w:hideMark/>
          </w:tcPr>
          <w:p w14:paraId="0E18C915" w14:textId="77777777" w:rsidR="00944613" w:rsidRPr="00B14EE7" w:rsidRDefault="00944613" w:rsidP="00BB6153">
            <w:pPr>
              <w:jc w:val="center"/>
              <w:rPr>
                <w:rFonts w:ascii="Arial" w:hAnsi="Arial" w:cs="Arial"/>
                <w:color w:val="000000"/>
              </w:rPr>
            </w:pPr>
            <w:r w:rsidRPr="00B14EE7">
              <w:rPr>
                <w:rFonts w:ascii="Arial" w:hAnsi="Arial" w:cs="Arial"/>
                <w:color w:val="000000"/>
              </w:rPr>
              <w:t>1.354</w:t>
            </w:r>
          </w:p>
        </w:tc>
        <w:tc>
          <w:tcPr>
            <w:tcW w:w="709" w:type="dxa"/>
            <w:tcBorders>
              <w:top w:val="nil"/>
              <w:left w:val="nil"/>
              <w:bottom w:val="nil"/>
              <w:right w:val="nil"/>
            </w:tcBorders>
            <w:noWrap/>
            <w:vAlign w:val="center"/>
            <w:hideMark/>
          </w:tcPr>
          <w:p w14:paraId="67E6EC7D" w14:textId="77777777" w:rsidR="00944613" w:rsidRPr="00B14EE7" w:rsidRDefault="00944613" w:rsidP="00BB6153">
            <w:pPr>
              <w:jc w:val="center"/>
              <w:rPr>
                <w:rFonts w:ascii="Arial" w:hAnsi="Arial" w:cs="Arial"/>
                <w:color w:val="000000"/>
              </w:rPr>
            </w:pPr>
            <w:r w:rsidRPr="00B14EE7">
              <w:rPr>
                <w:rFonts w:ascii="Arial" w:hAnsi="Arial" w:cs="Arial"/>
                <w:color w:val="000000"/>
              </w:rPr>
              <w:t>62.276</w:t>
            </w:r>
          </w:p>
        </w:tc>
        <w:tc>
          <w:tcPr>
            <w:tcW w:w="828" w:type="dxa"/>
            <w:tcBorders>
              <w:top w:val="nil"/>
              <w:left w:val="nil"/>
              <w:bottom w:val="nil"/>
              <w:right w:val="nil"/>
            </w:tcBorders>
            <w:noWrap/>
            <w:vAlign w:val="center"/>
            <w:hideMark/>
          </w:tcPr>
          <w:p w14:paraId="210B6AA7" w14:textId="77777777" w:rsidR="00944613" w:rsidRPr="00B14EE7" w:rsidRDefault="00944613" w:rsidP="00BB6153">
            <w:pPr>
              <w:jc w:val="center"/>
              <w:rPr>
                <w:rFonts w:ascii="Arial" w:hAnsi="Arial" w:cs="Arial"/>
                <w:color w:val="000000"/>
              </w:rPr>
            </w:pPr>
            <w:r w:rsidRPr="00B14EE7">
              <w:rPr>
                <w:rFonts w:ascii="Arial" w:hAnsi="Arial" w:cs="Arial"/>
                <w:color w:val="000000"/>
              </w:rPr>
              <w:t>12.679</w:t>
            </w:r>
          </w:p>
        </w:tc>
        <w:tc>
          <w:tcPr>
            <w:tcW w:w="1014" w:type="dxa"/>
            <w:tcBorders>
              <w:top w:val="nil"/>
              <w:left w:val="nil"/>
              <w:bottom w:val="nil"/>
              <w:right w:val="nil"/>
            </w:tcBorders>
            <w:noWrap/>
            <w:vAlign w:val="center"/>
            <w:hideMark/>
          </w:tcPr>
          <w:p w14:paraId="4E074A14" w14:textId="77777777" w:rsidR="00944613" w:rsidRPr="00B14EE7" w:rsidRDefault="00944613" w:rsidP="00BB6153">
            <w:pPr>
              <w:jc w:val="center"/>
              <w:rPr>
                <w:rFonts w:ascii="Arial" w:hAnsi="Arial" w:cs="Arial"/>
                <w:color w:val="000000"/>
              </w:rPr>
            </w:pPr>
            <w:r w:rsidRPr="00B14EE7">
              <w:rPr>
                <w:rFonts w:ascii="Arial" w:hAnsi="Arial" w:cs="Arial"/>
                <w:color w:val="000000"/>
              </w:rPr>
              <w:t>9.212</w:t>
            </w:r>
          </w:p>
        </w:tc>
        <w:tc>
          <w:tcPr>
            <w:tcW w:w="851" w:type="dxa"/>
            <w:tcBorders>
              <w:top w:val="nil"/>
              <w:left w:val="nil"/>
              <w:bottom w:val="nil"/>
              <w:right w:val="nil"/>
            </w:tcBorders>
            <w:noWrap/>
            <w:vAlign w:val="center"/>
            <w:hideMark/>
          </w:tcPr>
          <w:p w14:paraId="08B1D110" w14:textId="77777777" w:rsidR="00944613" w:rsidRPr="00B14EE7" w:rsidRDefault="00944613" w:rsidP="00BB6153">
            <w:pPr>
              <w:jc w:val="center"/>
              <w:rPr>
                <w:rFonts w:ascii="Arial" w:hAnsi="Arial" w:cs="Arial"/>
                <w:color w:val="000000"/>
              </w:rPr>
            </w:pPr>
            <w:r w:rsidRPr="00B14EE7">
              <w:rPr>
                <w:rFonts w:ascii="Arial" w:hAnsi="Arial" w:cs="Arial"/>
                <w:color w:val="000000"/>
              </w:rPr>
              <w:t>3.616</w:t>
            </w:r>
          </w:p>
        </w:tc>
        <w:tc>
          <w:tcPr>
            <w:tcW w:w="1134" w:type="dxa"/>
            <w:tcBorders>
              <w:top w:val="nil"/>
              <w:left w:val="nil"/>
              <w:bottom w:val="nil"/>
              <w:right w:val="nil"/>
            </w:tcBorders>
            <w:noWrap/>
            <w:vAlign w:val="center"/>
            <w:hideMark/>
          </w:tcPr>
          <w:p w14:paraId="28AE0697" w14:textId="77777777" w:rsidR="00944613" w:rsidRPr="00B14EE7" w:rsidRDefault="00944613" w:rsidP="00BB6153">
            <w:pPr>
              <w:jc w:val="center"/>
              <w:rPr>
                <w:rFonts w:ascii="Arial" w:hAnsi="Arial" w:cs="Arial"/>
                <w:color w:val="000000"/>
              </w:rPr>
            </w:pPr>
            <w:r w:rsidRPr="00B14EE7">
              <w:rPr>
                <w:rFonts w:ascii="Arial" w:hAnsi="Arial" w:cs="Arial"/>
                <w:color w:val="000000"/>
              </w:rPr>
              <w:t>4.260</w:t>
            </w:r>
          </w:p>
        </w:tc>
      </w:tr>
      <w:tr w:rsidR="00944613" w:rsidRPr="00855BAA" w14:paraId="7AB98136" w14:textId="77777777" w:rsidTr="006743A7">
        <w:trPr>
          <w:trHeight w:val="422"/>
        </w:trPr>
        <w:tc>
          <w:tcPr>
            <w:tcW w:w="1017" w:type="dxa"/>
            <w:tcBorders>
              <w:top w:val="nil"/>
              <w:left w:val="nil"/>
              <w:bottom w:val="nil"/>
              <w:right w:val="single" w:sz="4" w:space="0" w:color="auto"/>
            </w:tcBorders>
            <w:noWrap/>
            <w:vAlign w:val="center"/>
            <w:hideMark/>
          </w:tcPr>
          <w:p w14:paraId="1D6BC68A" w14:textId="77777777" w:rsidR="00944613" w:rsidRPr="00B14EE7" w:rsidRDefault="00944613" w:rsidP="00BB6153">
            <w:pPr>
              <w:jc w:val="center"/>
              <w:rPr>
                <w:rFonts w:ascii="Arial" w:hAnsi="Arial" w:cs="Arial"/>
                <w:color w:val="000000"/>
              </w:rPr>
            </w:pPr>
            <w:r w:rsidRPr="00B14EE7">
              <w:rPr>
                <w:rFonts w:ascii="Arial" w:hAnsi="Arial" w:cs="Arial"/>
                <w:color w:val="000000"/>
              </w:rPr>
              <w:t>3</w:t>
            </w:r>
          </w:p>
        </w:tc>
        <w:tc>
          <w:tcPr>
            <w:tcW w:w="1167" w:type="dxa"/>
            <w:tcBorders>
              <w:top w:val="nil"/>
              <w:left w:val="nil"/>
              <w:bottom w:val="nil"/>
              <w:right w:val="nil"/>
            </w:tcBorders>
            <w:noWrap/>
            <w:vAlign w:val="center"/>
            <w:hideMark/>
          </w:tcPr>
          <w:p w14:paraId="4AAC6BDB" w14:textId="77777777" w:rsidR="00944613" w:rsidRPr="00B14EE7" w:rsidRDefault="00944613" w:rsidP="00BB6153">
            <w:pPr>
              <w:jc w:val="center"/>
              <w:rPr>
                <w:rFonts w:ascii="Arial" w:hAnsi="Arial" w:cs="Arial"/>
                <w:color w:val="000000"/>
              </w:rPr>
            </w:pPr>
            <w:r w:rsidRPr="00B14EE7">
              <w:rPr>
                <w:rFonts w:ascii="Arial" w:hAnsi="Arial" w:cs="Arial"/>
                <w:color w:val="000000"/>
              </w:rPr>
              <w:t>0.337</w:t>
            </w:r>
          </w:p>
        </w:tc>
        <w:tc>
          <w:tcPr>
            <w:tcW w:w="1043" w:type="dxa"/>
            <w:tcBorders>
              <w:top w:val="nil"/>
              <w:left w:val="nil"/>
              <w:bottom w:val="nil"/>
              <w:right w:val="nil"/>
            </w:tcBorders>
            <w:noWrap/>
            <w:vAlign w:val="center"/>
            <w:hideMark/>
          </w:tcPr>
          <w:p w14:paraId="53B29496" w14:textId="77777777" w:rsidR="00944613" w:rsidRPr="00B14EE7" w:rsidRDefault="00944613" w:rsidP="00BB6153">
            <w:pPr>
              <w:jc w:val="center"/>
              <w:rPr>
                <w:rFonts w:ascii="Arial" w:hAnsi="Arial" w:cs="Arial"/>
                <w:color w:val="000000"/>
              </w:rPr>
            </w:pPr>
            <w:r w:rsidRPr="00B14EE7">
              <w:rPr>
                <w:rFonts w:ascii="Arial" w:hAnsi="Arial" w:cs="Arial"/>
                <w:color w:val="000000"/>
              </w:rPr>
              <w:t>1.044</w:t>
            </w:r>
          </w:p>
        </w:tc>
        <w:tc>
          <w:tcPr>
            <w:tcW w:w="709" w:type="dxa"/>
            <w:tcBorders>
              <w:top w:val="nil"/>
              <w:left w:val="nil"/>
              <w:bottom w:val="nil"/>
              <w:right w:val="nil"/>
            </w:tcBorders>
            <w:noWrap/>
            <w:vAlign w:val="center"/>
            <w:hideMark/>
          </w:tcPr>
          <w:p w14:paraId="04FB2B24" w14:textId="77777777" w:rsidR="00944613" w:rsidRPr="00B14EE7" w:rsidRDefault="00944613" w:rsidP="00BB6153">
            <w:pPr>
              <w:jc w:val="center"/>
              <w:rPr>
                <w:rFonts w:ascii="Arial" w:hAnsi="Arial" w:cs="Arial"/>
                <w:color w:val="000000"/>
              </w:rPr>
            </w:pPr>
            <w:r w:rsidRPr="00B14EE7">
              <w:rPr>
                <w:rFonts w:ascii="Arial" w:hAnsi="Arial" w:cs="Arial"/>
                <w:color w:val="000000"/>
              </w:rPr>
              <w:t>88.924</w:t>
            </w:r>
          </w:p>
        </w:tc>
        <w:tc>
          <w:tcPr>
            <w:tcW w:w="828" w:type="dxa"/>
            <w:tcBorders>
              <w:top w:val="nil"/>
              <w:left w:val="nil"/>
              <w:bottom w:val="nil"/>
              <w:right w:val="nil"/>
            </w:tcBorders>
            <w:noWrap/>
            <w:vAlign w:val="center"/>
            <w:hideMark/>
          </w:tcPr>
          <w:p w14:paraId="32B2C617" w14:textId="77777777" w:rsidR="00944613" w:rsidRPr="00B14EE7" w:rsidRDefault="00944613" w:rsidP="00BB6153">
            <w:pPr>
              <w:jc w:val="center"/>
              <w:rPr>
                <w:rFonts w:ascii="Arial" w:hAnsi="Arial" w:cs="Arial"/>
                <w:color w:val="000000"/>
              </w:rPr>
            </w:pPr>
            <w:r w:rsidRPr="00B14EE7">
              <w:rPr>
                <w:rFonts w:ascii="Arial" w:hAnsi="Arial" w:cs="Arial"/>
                <w:color w:val="000000"/>
              </w:rPr>
              <w:t>5.713</w:t>
            </w:r>
          </w:p>
        </w:tc>
        <w:tc>
          <w:tcPr>
            <w:tcW w:w="1014" w:type="dxa"/>
            <w:tcBorders>
              <w:top w:val="nil"/>
              <w:left w:val="nil"/>
              <w:bottom w:val="nil"/>
              <w:right w:val="nil"/>
            </w:tcBorders>
            <w:noWrap/>
            <w:vAlign w:val="center"/>
            <w:hideMark/>
          </w:tcPr>
          <w:p w14:paraId="0F663B2C" w14:textId="77777777" w:rsidR="00944613" w:rsidRPr="00B14EE7" w:rsidRDefault="00944613" w:rsidP="00BB6153">
            <w:pPr>
              <w:jc w:val="center"/>
              <w:rPr>
                <w:rFonts w:ascii="Arial" w:hAnsi="Arial" w:cs="Arial"/>
                <w:color w:val="000000"/>
              </w:rPr>
            </w:pPr>
            <w:r w:rsidRPr="00B14EE7">
              <w:rPr>
                <w:rFonts w:ascii="Arial" w:hAnsi="Arial" w:cs="Arial"/>
                <w:color w:val="000000"/>
              </w:rPr>
              <w:t>2.205</w:t>
            </w:r>
          </w:p>
        </w:tc>
        <w:tc>
          <w:tcPr>
            <w:tcW w:w="851" w:type="dxa"/>
            <w:tcBorders>
              <w:top w:val="nil"/>
              <w:left w:val="nil"/>
              <w:bottom w:val="nil"/>
              <w:right w:val="nil"/>
            </w:tcBorders>
            <w:noWrap/>
            <w:vAlign w:val="center"/>
            <w:hideMark/>
          </w:tcPr>
          <w:p w14:paraId="5FF8C027" w14:textId="77777777" w:rsidR="00944613" w:rsidRPr="00B14EE7" w:rsidRDefault="00944613" w:rsidP="00BB6153">
            <w:pPr>
              <w:jc w:val="center"/>
              <w:rPr>
                <w:rFonts w:ascii="Arial" w:hAnsi="Arial" w:cs="Arial"/>
                <w:color w:val="000000"/>
              </w:rPr>
            </w:pPr>
            <w:r w:rsidRPr="00B14EE7">
              <w:rPr>
                <w:rFonts w:ascii="Arial" w:hAnsi="Arial" w:cs="Arial"/>
                <w:color w:val="000000"/>
              </w:rPr>
              <w:t>0.551</w:t>
            </w:r>
          </w:p>
        </w:tc>
        <w:tc>
          <w:tcPr>
            <w:tcW w:w="1134" w:type="dxa"/>
            <w:tcBorders>
              <w:top w:val="nil"/>
              <w:left w:val="nil"/>
              <w:bottom w:val="nil"/>
              <w:right w:val="nil"/>
            </w:tcBorders>
            <w:noWrap/>
            <w:vAlign w:val="center"/>
            <w:hideMark/>
          </w:tcPr>
          <w:p w14:paraId="64F088B5" w14:textId="77777777" w:rsidR="00944613" w:rsidRPr="00B14EE7" w:rsidRDefault="00944613" w:rsidP="00BB6153">
            <w:pPr>
              <w:jc w:val="center"/>
              <w:rPr>
                <w:rFonts w:ascii="Arial" w:hAnsi="Arial" w:cs="Arial"/>
                <w:color w:val="000000"/>
              </w:rPr>
            </w:pPr>
            <w:r w:rsidRPr="00B14EE7">
              <w:rPr>
                <w:rFonts w:ascii="Arial" w:hAnsi="Arial" w:cs="Arial"/>
                <w:color w:val="000000"/>
              </w:rPr>
              <w:t>0.703</w:t>
            </w:r>
          </w:p>
        </w:tc>
      </w:tr>
      <w:tr w:rsidR="00944613" w:rsidRPr="00855BAA" w14:paraId="04760C44" w14:textId="77777777" w:rsidTr="006743A7">
        <w:trPr>
          <w:trHeight w:val="49"/>
        </w:trPr>
        <w:tc>
          <w:tcPr>
            <w:tcW w:w="1017" w:type="dxa"/>
            <w:tcBorders>
              <w:top w:val="nil"/>
              <w:left w:val="nil"/>
              <w:bottom w:val="nil"/>
              <w:right w:val="single" w:sz="4" w:space="0" w:color="auto"/>
            </w:tcBorders>
            <w:noWrap/>
            <w:vAlign w:val="center"/>
            <w:hideMark/>
          </w:tcPr>
          <w:p w14:paraId="399EDF51" w14:textId="77777777" w:rsidR="00944613" w:rsidRPr="00B14EE7" w:rsidRDefault="00944613" w:rsidP="00BB6153">
            <w:pPr>
              <w:jc w:val="center"/>
              <w:rPr>
                <w:rFonts w:ascii="Arial" w:hAnsi="Arial" w:cs="Arial"/>
                <w:color w:val="000000"/>
              </w:rPr>
            </w:pPr>
            <w:r w:rsidRPr="00B14EE7">
              <w:rPr>
                <w:rFonts w:ascii="Arial" w:hAnsi="Arial" w:cs="Arial"/>
                <w:color w:val="000000"/>
              </w:rPr>
              <w:t> </w:t>
            </w:r>
          </w:p>
        </w:tc>
        <w:tc>
          <w:tcPr>
            <w:tcW w:w="1167" w:type="dxa"/>
            <w:tcBorders>
              <w:top w:val="nil"/>
              <w:left w:val="nil"/>
              <w:bottom w:val="nil"/>
              <w:right w:val="nil"/>
            </w:tcBorders>
            <w:noWrap/>
            <w:vAlign w:val="center"/>
            <w:hideMark/>
          </w:tcPr>
          <w:p w14:paraId="1EE9F314" w14:textId="77777777" w:rsidR="00944613" w:rsidRPr="00B14EE7" w:rsidRDefault="00944613" w:rsidP="00BB6153">
            <w:pPr>
              <w:jc w:val="center"/>
              <w:rPr>
                <w:rFonts w:ascii="Arial" w:hAnsi="Arial" w:cs="Arial"/>
                <w:color w:val="000000"/>
              </w:rPr>
            </w:pPr>
          </w:p>
        </w:tc>
        <w:tc>
          <w:tcPr>
            <w:tcW w:w="1043" w:type="dxa"/>
            <w:tcBorders>
              <w:top w:val="nil"/>
              <w:left w:val="nil"/>
              <w:bottom w:val="nil"/>
              <w:right w:val="nil"/>
            </w:tcBorders>
            <w:noWrap/>
            <w:vAlign w:val="center"/>
            <w:hideMark/>
          </w:tcPr>
          <w:p w14:paraId="101F1924" w14:textId="77777777" w:rsidR="00944613" w:rsidRPr="00B14EE7" w:rsidRDefault="00944613" w:rsidP="00BB6153">
            <w:pPr>
              <w:jc w:val="center"/>
              <w:rPr>
                <w:rFonts w:ascii="Arial" w:hAnsi="Arial" w:cs="Arial"/>
              </w:rPr>
            </w:pPr>
          </w:p>
        </w:tc>
        <w:tc>
          <w:tcPr>
            <w:tcW w:w="709" w:type="dxa"/>
            <w:tcBorders>
              <w:top w:val="nil"/>
              <w:left w:val="nil"/>
              <w:bottom w:val="nil"/>
              <w:right w:val="nil"/>
            </w:tcBorders>
            <w:noWrap/>
            <w:vAlign w:val="center"/>
            <w:hideMark/>
          </w:tcPr>
          <w:p w14:paraId="14142983" w14:textId="77777777" w:rsidR="00944613" w:rsidRPr="00B14EE7" w:rsidRDefault="00944613" w:rsidP="00BB6153">
            <w:pPr>
              <w:jc w:val="center"/>
              <w:rPr>
                <w:rFonts w:ascii="Arial" w:hAnsi="Arial" w:cs="Arial"/>
              </w:rPr>
            </w:pPr>
          </w:p>
        </w:tc>
        <w:tc>
          <w:tcPr>
            <w:tcW w:w="828" w:type="dxa"/>
            <w:tcBorders>
              <w:top w:val="nil"/>
              <w:left w:val="nil"/>
              <w:bottom w:val="nil"/>
              <w:right w:val="nil"/>
            </w:tcBorders>
            <w:noWrap/>
            <w:vAlign w:val="center"/>
            <w:hideMark/>
          </w:tcPr>
          <w:p w14:paraId="6489393D" w14:textId="77777777" w:rsidR="00944613" w:rsidRPr="00B14EE7" w:rsidRDefault="00944613" w:rsidP="00BB6153">
            <w:pPr>
              <w:jc w:val="center"/>
              <w:rPr>
                <w:rFonts w:ascii="Arial" w:hAnsi="Arial" w:cs="Arial"/>
              </w:rPr>
            </w:pPr>
          </w:p>
        </w:tc>
        <w:tc>
          <w:tcPr>
            <w:tcW w:w="1014" w:type="dxa"/>
            <w:tcBorders>
              <w:top w:val="nil"/>
              <w:left w:val="nil"/>
              <w:bottom w:val="nil"/>
              <w:right w:val="nil"/>
            </w:tcBorders>
            <w:noWrap/>
            <w:vAlign w:val="center"/>
            <w:hideMark/>
          </w:tcPr>
          <w:p w14:paraId="7F65D144" w14:textId="77777777" w:rsidR="00944613" w:rsidRPr="00B14EE7" w:rsidRDefault="00944613" w:rsidP="00BB6153">
            <w:pPr>
              <w:jc w:val="center"/>
              <w:rPr>
                <w:rFonts w:ascii="Arial" w:hAnsi="Arial" w:cs="Arial"/>
              </w:rPr>
            </w:pPr>
          </w:p>
        </w:tc>
        <w:tc>
          <w:tcPr>
            <w:tcW w:w="851" w:type="dxa"/>
            <w:tcBorders>
              <w:top w:val="nil"/>
              <w:left w:val="nil"/>
              <w:bottom w:val="nil"/>
              <w:right w:val="nil"/>
            </w:tcBorders>
            <w:noWrap/>
            <w:vAlign w:val="center"/>
            <w:hideMark/>
          </w:tcPr>
          <w:p w14:paraId="001A246E" w14:textId="77777777" w:rsidR="00944613" w:rsidRPr="00B14EE7" w:rsidRDefault="00944613" w:rsidP="00BB6153">
            <w:pPr>
              <w:jc w:val="center"/>
              <w:rPr>
                <w:rFonts w:ascii="Arial" w:hAnsi="Arial" w:cs="Arial"/>
              </w:rPr>
            </w:pPr>
          </w:p>
        </w:tc>
        <w:tc>
          <w:tcPr>
            <w:tcW w:w="1134" w:type="dxa"/>
            <w:tcBorders>
              <w:top w:val="nil"/>
              <w:left w:val="nil"/>
              <w:bottom w:val="nil"/>
              <w:right w:val="nil"/>
            </w:tcBorders>
            <w:noWrap/>
            <w:vAlign w:val="center"/>
            <w:hideMark/>
          </w:tcPr>
          <w:p w14:paraId="05F433DB" w14:textId="77777777" w:rsidR="00944613" w:rsidRPr="00B14EE7" w:rsidRDefault="00944613" w:rsidP="00BB6153">
            <w:pPr>
              <w:jc w:val="center"/>
              <w:rPr>
                <w:rFonts w:ascii="Arial" w:hAnsi="Arial" w:cs="Arial"/>
              </w:rPr>
            </w:pPr>
          </w:p>
        </w:tc>
      </w:tr>
      <w:tr w:rsidR="00944613" w:rsidRPr="00855BAA" w14:paraId="3DA8A774" w14:textId="77777777" w:rsidTr="006743A7">
        <w:trPr>
          <w:trHeight w:val="501"/>
        </w:trPr>
        <w:tc>
          <w:tcPr>
            <w:tcW w:w="1017" w:type="dxa"/>
            <w:tcBorders>
              <w:top w:val="nil"/>
              <w:left w:val="nil"/>
              <w:bottom w:val="single" w:sz="8" w:space="0" w:color="auto"/>
              <w:right w:val="single" w:sz="4" w:space="0" w:color="auto"/>
            </w:tcBorders>
            <w:noWrap/>
            <w:vAlign w:val="center"/>
            <w:hideMark/>
          </w:tcPr>
          <w:p w14:paraId="3FC134ED" w14:textId="77777777" w:rsidR="00944613" w:rsidRPr="00B14EE7" w:rsidRDefault="00944613" w:rsidP="00BB6153">
            <w:pPr>
              <w:jc w:val="center"/>
              <w:rPr>
                <w:rFonts w:ascii="Arial" w:hAnsi="Arial" w:cs="Arial"/>
                <w:b/>
                <w:color w:val="000000"/>
              </w:rPr>
            </w:pPr>
            <w:r w:rsidRPr="00B14EE7">
              <w:rPr>
                <w:rFonts w:ascii="Arial" w:hAnsi="Arial" w:cs="Arial"/>
                <w:b/>
                <w:color w:val="000000"/>
              </w:rPr>
              <w:t> </w:t>
            </w:r>
          </w:p>
        </w:tc>
        <w:tc>
          <w:tcPr>
            <w:tcW w:w="1167" w:type="dxa"/>
            <w:tcBorders>
              <w:top w:val="nil"/>
              <w:left w:val="nil"/>
              <w:bottom w:val="single" w:sz="8" w:space="0" w:color="auto"/>
              <w:right w:val="nil"/>
            </w:tcBorders>
            <w:noWrap/>
            <w:vAlign w:val="center"/>
            <w:hideMark/>
          </w:tcPr>
          <w:p w14:paraId="72183FCE" w14:textId="77777777" w:rsidR="00944613" w:rsidRPr="00B14EE7" w:rsidRDefault="00944613" w:rsidP="00BB6153">
            <w:pPr>
              <w:jc w:val="center"/>
              <w:rPr>
                <w:rFonts w:ascii="Arial" w:hAnsi="Arial" w:cs="Arial"/>
                <w:b/>
                <w:color w:val="000000"/>
              </w:rPr>
            </w:pPr>
            <w:r w:rsidRPr="00B14EE7">
              <w:rPr>
                <w:rFonts w:ascii="Arial" w:hAnsi="Arial" w:cs="Arial"/>
                <w:b/>
                <w:color w:val="000000"/>
              </w:rPr>
              <w:t>I-C</w:t>
            </w:r>
            <w:r w:rsidRPr="00B14EE7">
              <w:rPr>
                <w:rFonts w:ascii="Arial" w:hAnsi="Arial" w:cs="Arial"/>
                <w:b/>
                <w:color w:val="000000"/>
                <w:vertAlign w:val="subscript"/>
              </w:rPr>
              <w:t>5</w:t>
            </w:r>
            <w:r w:rsidRPr="00B14EE7">
              <w:rPr>
                <w:rFonts w:ascii="Arial" w:hAnsi="Arial" w:cs="Arial"/>
                <w:b/>
                <w:color w:val="000000"/>
              </w:rPr>
              <w:t>H</w:t>
            </w:r>
            <w:r w:rsidRPr="00B14EE7">
              <w:rPr>
                <w:rFonts w:ascii="Arial" w:hAnsi="Arial" w:cs="Arial"/>
                <w:b/>
                <w:color w:val="000000"/>
                <w:vertAlign w:val="subscript"/>
              </w:rPr>
              <w:t>12</w:t>
            </w:r>
          </w:p>
        </w:tc>
        <w:tc>
          <w:tcPr>
            <w:tcW w:w="1043" w:type="dxa"/>
            <w:tcBorders>
              <w:top w:val="nil"/>
              <w:left w:val="nil"/>
              <w:bottom w:val="single" w:sz="8" w:space="0" w:color="auto"/>
              <w:right w:val="nil"/>
            </w:tcBorders>
            <w:noWrap/>
            <w:vAlign w:val="center"/>
            <w:hideMark/>
          </w:tcPr>
          <w:p w14:paraId="2754A784" w14:textId="77777777" w:rsidR="00944613" w:rsidRPr="00B14EE7" w:rsidRDefault="00944613" w:rsidP="00BB6153">
            <w:pPr>
              <w:jc w:val="center"/>
              <w:rPr>
                <w:rFonts w:ascii="Arial" w:hAnsi="Arial" w:cs="Arial"/>
                <w:b/>
                <w:color w:val="000000"/>
              </w:rPr>
            </w:pPr>
            <w:r w:rsidRPr="00B14EE7">
              <w:rPr>
                <w:rFonts w:ascii="Arial" w:hAnsi="Arial" w:cs="Arial"/>
                <w:b/>
                <w:color w:val="000000"/>
              </w:rPr>
              <w:t>N-C</w:t>
            </w:r>
            <w:r w:rsidRPr="00B14EE7">
              <w:rPr>
                <w:rFonts w:ascii="Arial" w:hAnsi="Arial" w:cs="Arial"/>
                <w:b/>
                <w:color w:val="000000"/>
                <w:vertAlign w:val="subscript"/>
              </w:rPr>
              <w:t>5</w:t>
            </w:r>
            <w:r w:rsidRPr="00B14EE7">
              <w:rPr>
                <w:rFonts w:ascii="Arial" w:hAnsi="Arial" w:cs="Arial"/>
                <w:b/>
                <w:color w:val="000000"/>
              </w:rPr>
              <w:t>H</w:t>
            </w:r>
            <w:r w:rsidRPr="00B14EE7">
              <w:rPr>
                <w:rFonts w:ascii="Arial" w:hAnsi="Arial" w:cs="Arial"/>
                <w:b/>
                <w:color w:val="000000"/>
                <w:vertAlign w:val="subscript"/>
              </w:rPr>
              <w:t>12</w:t>
            </w:r>
          </w:p>
        </w:tc>
        <w:tc>
          <w:tcPr>
            <w:tcW w:w="709" w:type="dxa"/>
            <w:tcBorders>
              <w:top w:val="nil"/>
              <w:left w:val="nil"/>
              <w:bottom w:val="single" w:sz="8" w:space="0" w:color="auto"/>
              <w:right w:val="nil"/>
            </w:tcBorders>
            <w:noWrap/>
            <w:vAlign w:val="center"/>
            <w:hideMark/>
          </w:tcPr>
          <w:p w14:paraId="75AB3928"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6</w:t>
            </w:r>
            <w:r w:rsidRPr="00B14EE7">
              <w:rPr>
                <w:rFonts w:ascii="Arial" w:hAnsi="Arial" w:cs="Arial"/>
                <w:b/>
                <w:color w:val="000000"/>
              </w:rPr>
              <w:t>H</w:t>
            </w:r>
            <w:r w:rsidRPr="00B14EE7">
              <w:rPr>
                <w:rFonts w:ascii="Arial" w:hAnsi="Arial" w:cs="Arial"/>
                <w:b/>
                <w:color w:val="000000"/>
                <w:vertAlign w:val="subscript"/>
              </w:rPr>
              <w:t>14</w:t>
            </w:r>
          </w:p>
        </w:tc>
        <w:tc>
          <w:tcPr>
            <w:tcW w:w="828" w:type="dxa"/>
            <w:tcBorders>
              <w:top w:val="nil"/>
              <w:left w:val="nil"/>
              <w:bottom w:val="single" w:sz="8" w:space="0" w:color="auto"/>
              <w:right w:val="nil"/>
            </w:tcBorders>
            <w:noWrap/>
            <w:vAlign w:val="center"/>
            <w:hideMark/>
          </w:tcPr>
          <w:p w14:paraId="44BCBB4D"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7</w:t>
            </w:r>
            <w:r w:rsidRPr="00B14EE7">
              <w:rPr>
                <w:rFonts w:ascii="Arial" w:hAnsi="Arial" w:cs="Arial"/>
                <w:b/>
                <w:color w:val="000000"/>
              </w:rPr>
              <w:t>H</w:t>
            </w:r>
            <w:r w:rsidRPr="00B14EE7">
              <w:rPr>
                <w:rFonts w:ascii="Arial" w:hAnsi="Arial" w:cs="Arial"/>
                <w:b/>
                <w:color w:val="000000"/>
                <w:vertAlign w:val="subscript"/>
              </w:rPr>
              <w:t>16</w:t>
            </w:r>
          </w:p>
        </w:tc>
        <w:tc>
          <w:tcPr>
            <w:tcW w:w="1014" w:type="dxa"/>
            <w:tcBorders>
              <w:top w:val="nil"/>
              <w:left w:val="nil"/>
              <w:bottom w:val="single" w:sz="8" w:space="0" w:color="auto"/>
              <w:right w:val="nil"/>
            </w:tcBorders>
            <w:noWrap/>
            <w:vAlign w:val="center"/>
            <w:hideMark/>
          </w:tcPr>
          <w:p w14:paraId="176A57E9"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8</w:t>
            </w:r>
            <w:r w:rsidRPr="00B14EE7">
              <w:rPr>
                <w:rFonts w:ascii="Arial" w:hAnsi="Arial" w:cs="Arial"/>
                <w:b/>
                <w:color w:val="000000"/>
              </w:rPr>
              <w:t>H</w:t>
            </w:r>
            <w:r w:rsidRPr="00B14EE7">
              <w:rPr>
                <w:rFonts w:ascii="Arial" w:hAnsi="Arial" w:cs="Arial"/>
                <w:b/>
                <w:color w:val="000000"/>
                <w:vertAlign w:val="subscript"/>
              </w:rPr>
              <w:t>18</w:t>
            </w:r>
          </w:p>
        </w:tc>
        <w:tc>
          <w:tcPr>
            <w:tcW w:w="851" w:type="dxa"/>
            <w:tcBorders>
              <w:top w:val="nil"/>
              <w:left w:val="nil"/>
              <w:bottom w:val="single" w:sz="8" w:space="0" w:color="auto"/>
              <w:right w:val="nil"/>
            </w:tcBorders>
            <w:noWrap/>
            <w:vAlign w:val="center"/>
            <w:hideMark/>
          </w:tcPr>
          <w:p w14:paraId="65BB3E7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9</w:t>
            </w:r>
            <w:r w:rsidRPr="00B14EE7">
              <w:rPr>
                <w:rFonts w:ascii="Arial" w:hAnsi="Arial" w:cs="Arial"/>
                <w:b/>
                <w:color w:val="000000"/>
              </w:rPr>
              <w:t>H</w:t>
            </w:r>
            <w:r w:rsidRPr="00B14EE7">
              <w:rPr>
                <w:rFonts w:ascii="Arial" w:hAnsi="Arial" w:cs="Arial"/>
                <w:b/>
                <w:color w:val="000000"/>
                <w:vertAlign w:val="subscript"/>
              </w:rPr>
              <w:t>20</w:t>
            </w:r>
          </w:p>
        </w:tc>
        <w:tc>
          <w:tcPr>
            <w:tcW w:w="1134" w:type="dxa"/>
            <w:tcBorders>
              <w:top w:val="nil"/>
              <w:left w:val="nil"/>
              <w:bottom w:val="single" w:sz="8" w:space="0" w:color="auto"/>
              <w:right w:val="nil"/>
            </w:tcBorders>
            <w:noWrap/>
            <w:vAlign w:val="center"/>
            <w:hideMark/>
          </w:tcPr>
          <w:p w14:paraId="5B5742C0" w14:textId="77777777" w:rsidR="00944613" w:rsidRPr="00B14EE7" w:rsidRDefault="00944613" w:rsidP="00BB6153">
            <w:pPr>
              <w:jc w:val="center"/>
              <w:rPr>
                <w:rFonts w:ascii="Arial" w:hAnsi="Arial" w:cs="Arial"/>
                <w:b/>
                <w:color w:val="000000"/>
              </w:rPr>
            </w:pPr>
            <w:r w:rsidRPr="00B14EE7">
              <w:rPr>
                <w:rFonts w:ascii="Arial" w:hAnsi="Arial" w:cs="Arial"/>
                <w:b/>
                <w:color w:val="000000"/>
              </w:rPr>
              <w:t>C</w:t>
            </w:r>
            <w:r w:rsidRPr="00B14EE7">
              <w:rPr>
                <w:rFonts w:ascii="Arial" w:hAnsi="Arial" w:cs="Arial"/>
                <w:b/>
                <w:color w:val="000000"/>
                <w:vertAlign w:val="subscript"/>
              </w:rPr>
              <w:t>10</w:t>
            </w:r>
            <w:r w:rsidRPr="00B14EE7">
              <w:rPr>
                <w:rFonts w:ascii="Arial" w:hAnsi="Arial" w:cs="Arial"/>
                <w:b/>
                <w:color w:val="000000"/>
              </w:rPr>
              <w:t>+</w:t>
            </w:r>
          </w:p>
        </w:tc>
      </w:tr>
      <w:tr w:rsidR="00944613" w:rsidRPr="00855BAA" w14:paraId="009D0245" w14:textId="77777777" w:rsidTr="006743A7">
        <w:trPr>
          <w:trHeight w:val="247"/>
        </w:trPr>
        <w:tc>
          <w:tcPr>
            <w:tcW w:w="1017" w:type="dxa"/>
            <w:tcBorders>
              <w:top w:val="nil"/>
              <w:left w:val="nil"/>
              <w:bottom w:val="nil"/>
              <w:right w:val="single" w:sz="4" w:space="0" w:color="auto"/>
            </w:tcBorders>
            <w:noWrap/>
            <w:vAlign w:val="center"/>
            <w:hideMark/>
          </w:tcPr>
          <w:p w14:paraId="0A2CCF9B" w14:textId="77777777" w:rsidR="00944613" w:rsidRPr="00B14EE7" w:rsidRDefault="00944613" w:rsidP="00BB6153">
            <w:pPr>
              <w:jc w:val="center"/>
              <w:rPr>
                <w:rFonts w:ascii="Arial" w:hAnsi="Arial" w:cs="Arial"/>
                <w:color w:val="000000"/>
              </w:rPr>
            </w:pPr>
            <w:r w:rsidRPr="00B14EE7">
              <w:rPr>
                <w:rFonts w:ascii="Arial" w:hAnsi="Arial" w:cs="Arial"/>
                <w:color w:val="000000"/>
              </w:rPr>
              <w:t>0</w:t>
            </w:r>
          </w:p>
        </w:tc>
        <w:tc>
          <w:tcPr>
            <w:tcW w:w="1167" w:type="dxa"/>
            <w:tcBorders>
              <w:top w:val="nil"/>
              <w:left w:val="nil"/>
              <w:bottom w:val="nil"/>
              <w:right w:val="nil"/>
            </w:tcBorders>
            <w:noWrap/>
            <w:vAlign w:val="center"/>
            <w:hideMark/>
          </w:tcPr>
          <w:p w14:paraId="74252534" w14:textId="77777777" w:rsidR="00944613" w:rsidRPr="00B14EE7" w:rsidRDefault="00944613" w:rsidP="00BB6153">
            <w:pPr>
              <w:jc w:val="center"/>
              <w:rPr>
                <w:rFonts w:ascii="Arial" w:hAnsi="Arial" w:cs="Arial"/>
                <w:color w:val="000000"/>
              </w:rPr>
            </w:pPr>
            <w:r w:rsidRPr="00B14EE7">
              <w:rPr>
                <w:rFonts w:ascii="Arial" w:hAnsi="Arial" w:cs="Arial"/>
                <w:color w:val="000000"/>
              </w:rPr>
              <w:t>0.168</w:t>
            </w:r>
          </w:p>
        </w:tc>
        <w:tc>
          <w:tcPr>
            <w:tcW w:w="1043" w:type="dxa"/>
            <w:tcBorders>
              <w:top w:val="nil"/>
              <w:left w:val="nil"/>
              <w:bottom w:val="nil"/>
              <w:right w:val="nil"/>
            </w:tcBorders>
            <w:noWrap/>
            <w:vAlign w:val="center"/>
            <w:hideMark/>
          </w:tcPr>
          <w:p w14:paraId="5011290F" w14:textId="77777777" w:rsidR="00944613" w:rsidRPr="00B14EE7" w:rsidRDefault="00944613" w:rsidP="00BB6153">
            <w:pPr>
              <w:jc w:val="center"/>
              <w:rPr>
                <w:rFonts w:ascii="Arial" w:hAnsi="Arial" w:cs="Arial"/>
                <w:color w:val="000000"/>
              </w:rPr>
            </w:pPr>
            <w:r w:rsidRPr="00B14EE7">
              <w:rPr>
                <w:rFonts w:ascii="Arial" w:hAnsi="Arial" w:cs="Arial"/>
                <w:color w:val="000000"/>
              </w:rPr>
              <w:t>0.119</w:t>
            </w:r>
          </w:p>
        </w:tc>
        <w:tc>
          <w:tcPr>
            <w:tcW w:w="709" w:type="dxa"/>
            <w:tcBorders>
              <w:top w:val="nil"/>
              <w:left w:val="nil"/>
              <w:bottom w:val="nil"/>
              <w:right w:val="nil"/>
            </w:tcBorders>
            <w:noWrap/>
            <w:vAlign w:val="center"/>
            <w:hideMark/>
          </w:tcPr>
          <w:p w14:paraId="3D611751" w14:textId="77777777" w:rsidR="00944613" w:rsidRPr="00B14EE7" w:rsidRDefault="00944613" w:rsidP="00BB6153">
            <w:pPr>
              <w:jc w:val="center"/>
              <w:rPr>
                <w:rFonts w:ascii="Arial" w:hAnsi="Arial" w:cs="Arial"/>
                <w:color w:val="000000"/>
              </w:rPr>
            </w:pPr>
            <w:r w:rsidRPr="00B14EE7">
              <w:rPr>
                <w:rFonts w:ascii="Arial" w:hAnsi="Arial" w:cs="Arial"/>
                <w:color w:val="000000"/>
              </w:rPr>
              <w:t>0.084</w:t>
            </w:r>
          </w:p>
        </w:tc>
        <w:tc>
          <w:tcPr>
            <w:tcW w:w="828" w:type="dxa"/>
            <w:tcBorders>
              <w:top w:val="nil"/>
              <w:left w:val="nil"/>
              <w:bottom w:val="nil"/>
              <w:right w:val="nil"/>
            </w:tcBorders>
            <w:noWrap/>
            <w:vAlign w:val="center"/>
            <w:hideMark/>
          </w:tcPr>
          <w:p w14:paraId="50C8435C" w14:textId="77777777" w:rsidR="00944613" w:rsidRPr="00B14EE7" w:rsidRDefault="00944613" w:rsidP="00BB6153">
            <w:pPr>
              <w:jc w:val="center"/>
              <w:rPr>
                <w:rFonts w:ascii="Arial" w:hAnsi="Arial" w:cs="Arial"/>
                <w:color w:val="000000"/>
              </w:rPr>
            </w:pPr>
            <w:r w:rsidRPr="00B14EE7">
              <w:rPr>
                <w:rFonts w:ascii="Arial" w:hAnsi="Arial" w:cs="Arial"/>
                <w:color w:val="000000"/>
              </w:rPr>
              <w:t>0.100</w:t>
            </w:r>
          </w:p>
        </w:tc>
        <w:tc>
          <w:tcPr>
            <w:tcW w:w="1014" w:type="dxa"/>
            <w:tcBorders>
              <w:top w:val="nil"/>
              <w:left w:val="nil"/>
              <w:bottom w:val="nil"/>
              <w:right w:val="nil"/>
            </w:tcBorders>
            <w:noWrap/>
            <w:vAlign w:val="center"/>
            <w:hideMark/>
          </w:tcPr>
          <w:p w14:paraId="2DCCFE75" w14:textId="77777777" w:rsidR="00944613" w:rsidRPr="00B14EE7" w:rsidRDefault="00944613" w:rsidP="00BB6153">
            <w:pPr>
              <w:jc w:val="center"/>
              <w:rPr>
                <w:rFonts w:ascii="Arial" w:hAnsi="Arial" w:cs="Arial"/>
                <w:color w:val="000000"/>
              </w:rPr>
            </w:pPr>
            <w:r w:rsidRPr="00B14EE7">
              <w:rPr>
                <w:rFonts w:ascii="Arial" w:hAnsi="Arial" w:cs="Arial"/>
                <w:color w:val="000000"/>
              </w:rPr>
              <w:t>0.005</w:t>
            </w:r>
          </w:p>
        </w:tc>
        <w:tc>
          <w:tcPr>
            <w:tcW w:w="851" w:type="dxa"/>
            <w:tcBorders>
              <w:top w:val="nil"/>
              <w:left w:val="nil"/>
              <w:bottom w:val="nil"/>
              <w:right w:val="nil"/>
            </w:tcBorders>
            <w:noWrap/>
            <w:vAlign w:val="center"/>
            <w:hideMark/>
          </w:tcPr>
          <w:p w14:paraId="2C4AA6C5"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1134" w:type="dxa"/>
            <w:tcBorders>
              <w:top w:val="nil"/>
              <w:left w:val="nil"/>
              <w:bottom w:val="nil"/>
              <w:right w:val="nil"/>
            </w:tcBorders>
            <w:noWrap/>
            <w:vAlign w:val="center"/>
            <w:hideMark/>
          </w:tcPr>
          <w:p w14:paraId="46ECAC5B"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r>
      <w:tr w:rsidR="00944613" w:rsidRPr="00855BAA" w14:paraId="36659D93" w14:textId="77777777" w:rsidTr="006743A7">
        <w:trPr>
          <w:trHeight w:val="427"/>
        </w:trPr>
        <w:tc>
          <w:tcPr>
            <w:tcW w:w="1017" w:type="dxa"/>
            <w:tcBorders>
              <w:top w:val="nil"/>
              <w:left w:val="nil"/>
              <w:bottom w:val="nil"/>
              <w:right w:val="single" w:sz="4" w:space="0" w:color="auto"/>
            </w:tcBorders>
            <w:noWrap/>
            <w:vAlign w:val="center"/>
            <w:hideMark/>
          </w:tcPr>
          <w:p w14:paraId="226CB110" w14:textId="77777777" w:rsidR="00944613" w:rsidRPr="00B14EE7" w:rsidRDefault="00944613" w:rsidP="00BB6153">
            <w:pPr>
              <w:jc w:val="center"/>
              <w:rPr>
                <w:rFonts w:ascii="Arial" w:hAnsi="Arial" w:cs="Arial"/>
                <w:color w:val="000000"/>
              </w:rPr>
            </w:pPr>
            <w:r w:rsidRPr="00B14EE7">
              <w:rPr>
                <w:rFonts w:ascii="Arial" w:hAnsi="Arial" w:cs="Arial"/>
                <w:color w:val="000000"/>
              </w:rPr>
              <w:t>1</w:t>
            </w:r>
          </w:p>
        </w:tc>
        <w:tc>
          <w:tcPr>
            <w:tcW w:w="1167" w:type="dxa"/>
            <w:tcBorders>
              <w:top w:val="nil"/>
              <w:left w:val="nil"/>
              <w:bottom w:val="nil"/>
              <w:right w:val="nil"/>
            </w:tcBorders>
            <w:noWrap/>
            <w:vAlign w:val="center"/>
            <w:hideMark/>
          </w:tcPr>
          <w:p w14:paraId="3ED17BCB" w14:textId="77777777" w:rsidR="00944613" w:rsidRPr="00B14EE7" w:rsidRDefault="00944613" w:rsidP="00BB6153">
            <w:pPr>
              <w:jc w:val="center"/>
              <w:rPr>
                <w:rFonts w:ascii="Arial" w:hAnsi="Arial" w:cs="Arial"/>
                <w:color w:val="000000"/>
              </w:rPr>
            </w:pPr>
            <w:r w:rsidRPr="00B14EE7">
              <w:rPr>
                <w:rFonts w:ascii="Arial" w:hAnsi="Arial" w:cs="Arial"/>
                <w:color w:val="000000"/>
              </w:rPr>
              <w:t>0.607</w:t>
            </w:r>
          </w:p>
        </w:tc>
        <w:tc>
          <w:tcPr>
            <w:tcW w:w="1043" w:type="dxa"/>
            <w:tcBorders>
              <w:top w:val="nil"/>
              <w:left w:val="nil"/>
              <w:bottom w:val="nil"/>
              <w:right w:val="nil"/>
            </w:tcBorders>
            <w:noWrap/>
            <w:vAlign w:val="center"/>
            <w:hideMark/>
          </w:tcPr>
          <w:p w14:paraId="0586FCF2" w14:textId="77777777" w:rsidR="00944613" w:rsidRPr="00B14EE7" w:rsidRDefault="00944613" w:rsidP="00BB6153">
            <w:pPr>
              <w:jc w:val="center"/>
              <w:rPr>
                <w:rFonts w:ascii="Arial" w:hAnsi="Arial" w:cs="Arial"/>
                <w:color w:val="000000"/>
              </w:rPr>
            </w:pPr>
            <w:r w:rsidRPr="00B14EE7">
              <w:rPr>
                <w:rFonts w:ascii="Arial" w:hAnsi="Arial" w:cs="Arial"/>
                <w:color w:val="000000"/>
              </w:rPr>
              <w:t>0.385</w:t>
            </w:r>
          </w:p>
        </w:tc>
        <w:tc>
          <w:tcPr>
            <w:tcW w:w="709" w:type="dxa"/>
            <w:tcBorders>
              <w:top w:val="nil"/>
              <w:left w:val="nil"/>
              <w:bottom w:val="nil"/>
              <w:right w:val="nil"/>
            </w:tcBorders>
            <w:noWrap/>
            <w:vAlign w:val="center"/>
            <w:hideMark/>
          </w:tcPr>
          <w:p w14:paraId="26A271C9" w14:textId="77777777" w:rsidR="00944613" w:rsidRPr="00B14EE7" w:rsidRDefault="00944613" w:rsidP="00BB6153">
            <w:pPr>
              <w:jc w:val="center"/>
              <w:rPr>
                <w:rFonts w:ascii="Arial" w:hAnsi="Arial" w:cs="Arial"/>
                <w:color w:val="000000"/>
              </w:rPr>
            </w:pPr>
            <w:r w:rsidRPr="00B14EE7">
              <w:rPr>
                <w:rFonts w:ascii="Arial" w:hAnsi="Arial" w:cs="Arial"/>
                <w:color w:val="000000"/>
              </w:rPr>
              <w:t>0.216</w:t>
            </w:r>
          </w:p>
        </w:tc>
        <w:tc>
          <w:tcPr>
            <w:tcW w:w="828" w:type="dxa"/>
            <w:tcBorders>
              <w:top w:val="nil"/>
              <w:left w:val="nil"/>
              <w:bottom w:val="nil"/>
              <w:right w:val="nil"/>
            </w:tcBorders>
            <w:noWrap/>
            <w:vAlign w:val="center"/>
            <w:hideMark/>
          </w:tcPr>
          <w:p w14:paraId="40F3E364" w14:textId="77777777" w:rsidR="00944613" w:rsidRPr="00B14EE7" w:rsidRDefault="00944613" w:rsidP="00BB6153">
            <w:pPr>
              <w:jc w:val="center"/>
              <w:rPr>
                <w:rFonts w:ascii="Arial" w:hAnsi="Arial" w:cs="Arial"/>
                <w:color w:val="000000"/>
              </w:rPr>
            </w:pPr>
            <w:r w:rsidRPr="00B14EE7">
              <w:rPr>
                <w:rFonts w:ascii="Arial" w:hAnsi="Arial" w:cs="Arial"/>
                <w:color w:val="000000"/>
              </w:rPr>
              <w:t>0.147</w:t>
            </w:r>
          </w:p>
        </w:tc>
        <w:tc>
          <w:tcPr>
            <w:tcW w:w="1014" w:type="dxa"/>
            <w:tcBorders>
              <w:top w:val="nil"/>
              <w:left w:val="nil"/>
              <w:bottom w:val="nil"/>
              <w:right w:val="nil"/>
            </w:tcBorders>
            <w:noWrap/>
            <w:vAlign w:val="center"/>
            <w:hideMark/>
          </w:tcPr>
          <w:p w14:paraId="67675615" w14:textId="77777777" w:rsidR="00944613" w:rsidRPr="00B14EE7" w:rsidRDefault="00944613" w:rsidP="00BB6153">
            <w:pPr>
              <w:jc w:val="center"/>
              <w:rPr>
                <w:rFonts w:ascii="Arial" w:hAnsi="Arial" w:cs="Arial"/>
                <w:color w:val="000000"/>
              </w:rPr>
            </w:pPr>
            <w:r w:rsidRPr="00B14EE7">
              <w:rPr>
                <w:rFonts w:ascii="Arial" w:hAnsi="Arial" w:cs="Arial"/>
                <w:color w:val="000000"/>
              </w:rPr>
              <w:t>0.110</w:t>
            </w:r>
          </w:p>
        </w:tc>
        <w:tc>
          <w:tcPr>
            <w:tcW w:w="851" w:type="dxa"/>
            <w:tcBorders>
              <w:top w:val="nil"/>
              <w:left w:val="nil"/>
              <w:bottom w:val="nil"/>
              <w:right w:val="nil"/>
            </w:tcBorders>
            <w:noWrap/>
            <w:vAlign w:val="center"/>
            <w:hideMark/>
          </w:tcPr>
          <w:p w14:paraId="025E4CE8" w14:textId="77777777" w:rsidR="00944613" w:rsidRPr="00B14EE7" w:rsidRDefault="00944613" w:rsidP="00BB6153">
            <w:pPr>
              <w:jc w:val="center"/>
              <w:rPr>
                <w:rFonts w:ascii="Arial" w:hAnsi="Arial" w:cs="Arial"/>
                <w:color w:val="000000"/>
              </w:rPr>
            </w:pPr>
            <w:r w:rsidRPr="00B14EE7">
              <w:rPr>
                <w:rFonts w:ascii="Arial" w:hAnsi="Arial" w:cs="Arial"/>
                <w:color w:val="000000"/>
              </w:rPr>
              <w:t>0.044</w:t>
            </w:r>
          </w:p>
        </w:tc>
        <w:tc>
          <w:tcPr>
            <w:tcW w:w="1134" w:type="dxa"/>
            <w:tcBorders>
              <w:top w:val="nil"/>
              <w:left w:val="nil"/>
              <w:bottom w:val="nil"/>
              <w:right w:val="nil"/>
            </w:tcBorders>
            <w:noWrap/>
            <w:vAlign w:val="center"/>
            <w:hideMark/>
          </w:tcPr>
          <w:p w14:paraId="76B91B9F" w14:textId="77777777" w:rsidR="00944613" w:rsidRPr="00B14EE7" w:rsidRDefault="00944613" w:rsidP="00BB6153">
            <w:pPr>
              <w:jc w:val="center"/>
              <w:rPr>
                <w:rFonts w:ascii="Arial" w:hAnsi="Arial" w:cs="Arial"/>
                <w:color w:val="000000"/>
              </w:rPr>
            </w:pPr>
            <w:r w:rsidRPr="00B14EE7">
              <w:rPr>
                <w:rFonts w:ascii="Arial" w:hAnsi="Arial" w:cs="Arial"/>
                <w:color w:val="000000"/>
              </w:rPr>
              <w:t>0.011</w:t>
            </w:r>
          </w:p>
        </w:tc>
      </w:tr>
      <w:tr w:rsidR="00944613" w:rsidRPr="00855BAA" w14:paraId="27A14DC9" w14:textId="77777777" w:rsidTr="006743A7">
        <w:trPr>
          <w:trHeight w:val="149"/>
        </w:trPr>
        <w:tc>
          <w:tcPr>
            <w:tcW w:w="1017" w:type="dxa"/>
            <w:tcBorders>
              <w:top w:val="nil"/>
              <w:left w:val="nil"/>
              <w:bottom w:val="nil"/>
              <w:right w:val="single" w:sz="4" w:space="0" w:color="auto"/>
            </w:tcBorders>
            <w:noWrap/>
            <w:vAlign w:val="center"/>
            <w:hideMark/>
          </w:tcPr>
          <w:p w14:paraId="735ACFB7" w14:textId="77777777" w:rsidR="00944613" w:rsidRPr="00B14EE7" w:rsidRDefault="00944613" w:rsidP="00BB6153">
            <w:pPr>
              <w:jc w:val="center"/>
              <w:rPr>
                <w:rFonts w:ascii="Arial" w:hAnsi="Arial" w:cs="Arial"/>
                <w:color w:val="000000"/>
              </w:rPr>
            </w:pPr>
            <w:r w:rsidRPr="00B14EE7">
              <w:rPr>
                <w:rFonts w:ascii="Arial" w:hAnsi="Arial" w:cs="Arial"/>
                <w:color w:val="000000"/>
              </w:rPr>
              <w:t>2</w:t>
            </w:r>
          </w:p>
        </w:tc>
        <w:tc>
          <w:tcPr>
            <w:tcW w:w="1167" w:type="dxa"/>
            <w:tcBorders>
              <w:top w:val="nil"/>
              <w:left w:val="nil"/>
              <w:bottom w:val="nil"/>
              <w:right w:val="nil"/>
            </w:tcBorders>
            <w:noWrap/>
            <w:vAlign w:val="center"/>
            <w:hideMark/>
          </w:tcPr>
          <w:p w14:paraId="7DDF8BF9" w14:textId="77777777" w:rsidR="00944613" w:rsidRPr="00B14EE7" w:rsidRDefault="00944613" w:rsidP="00BB6153">
            <w:pPr>
              <w:jc w:val="center"/>
              <w:rPr>
                <w:rFonts w:ascii="Arial" w:hAnsi="Arial" w:cs="Arial"/>
                <w:color w:val="000000"/>
              </w:rPr>
            </w:pPr>
            <w:r w:rsidRPr="00B14EE7">
              <w:rPr>
                <w:rFonts w:ascii="Arial" w:hAnsi="Arial" w:cs="Arial"/>
                <w:color w:val="000000"/>
              </w:rPr>
              <w:t>1.710</w:t>
            </w:r>
          </w:p>
        </w:tc>
        <w:tc>
          <w:tcPr>
            <w:tcW w:w="1043" w:type="dxa"/>
            <w:tcBorders>
              <w:top w:val="nil"/>
              <w:left w:val="nil"/>
              <w:bottom w:val="nil"/>
              <w:right w:val="nil"/>
            </w:tcBorders>
            <w:noWrap/>
            <w:vAlign w:val="center"/>
            <w:hideMark/>
          </w:tcPr>
          <w:p w14:paraId="0409D043" w14:textId="77777777" w:rsidR="00944613" w:rsidRPr="00B14EE7" w:rsidRDefault="00944613" w:rsidP="00BB6153">
            <w:pPr>
              <w:jc w:val="center"/>
              <w:rPr>
                <w:rFonts w:ascii="Arial" w:hAnsi="Arial" w:cs="Arial"/>
                <w:color w:val="000000"/>
              </w:rPr>
            </w:pPr>
            <w:r w:rsidRPr="00B14EE7">
              <w:rPr>
                <w:rFonts w:ascii="Arial" w:hAnsi="Arial" w:cs="Arial"/>
                <w:color w:val="000000"/>
              </w:rPr>
              <w:t>1.146</w:t>
            </w:r>
          </w:p>
        </w:tc>
        <w:tc>
          <w:tcPr>
            <w:tcW w:w="709" w:type="dxa"/>
            <w:tcBorders>
              <w:top w:val="nil"/>
              <w:left w:val="nil"/>
              <w:bottom w:val="nil"/>
              <w:right w:val="nil"/>
            </w:tcBorders>
            <w:noWrap/>
            <w:vAlign w:val="center"/>
            <w:hideMark/>
          </w:tcPr>
          <w:p w14:paraId="0787571C" w14:textId="77777777" w:rsidR="00944613" w:rsidRPr="00B14EE7" w:rsidRDefault="00944613" w:rsidP="00BB6153">
            <w:pPr>
              <w:jc w:val="center"/>
              <w:rPr>
                <w:rFonts w:ascii="Arial" w:hAnsi="Arial" w:cs="Arial"/>
                <w:color w:val="000000"/>
              </w:rPr>
            </w:pPr>
            <w:r w:rsidRPr="00B14EE7">
              <w:rPr>
                <w:rFonts w:ascii="Arial" w:hAnsi="Arial" w:cs="Arial"/>
                <w:color w:val="000000"/>
              </w:rPr>
              <w:t>0.935</w:t>
            </w:r>
          </w:p>
        </w:tc>
        <w:tc>
          <w:tcPr>
            <w:tcW w:w="828" w:type="dxa"/>
            <w:tcBorders>
              <w:top w:val="nil"/>
              <w:left w:val="nil"/>
              <w:bottom w:val="nil"/>
              <w:right w:val="nil"/>
            </w:tcBorders>
            <w:noWrap/>
            <w:vAlign w:val="center"/>
            <w:hideMark/>
          </w:tcPr>
          <w:p w14:paraId="6E258C8F" w14:textId="77777777" w:rsidR="00944613" w:rsidRPr="00B14EE7" w:rsidRDefault="00944613" w:rsidP="00BB6153">
            <w:pPr>
              <w:jc w:val="center"/>
              <w:rPr>
                <w:rFonts w:ascii="Arial" w:hAnsi="Arial" w:cs="Arial"/>
                <w:color w:val="000000"/>
              </w:rPr>
            </w:pPr>
            <w:r w:rsidRPr="00B14EE7">
              <w:rPr>
                <w:rFonts w:ascii="Arial" w:hAnsi="Arial" w:cs="Arial"/>
                <w:color w:val="000000"/>
              </w:rPr>
              <w:t>0.837</w:t>
            </w:r>
          </w:p>
        </w:tc>
        <w:tc>
          <w:tcPr>
            <w:tcW w:w="1014" w:type="dxa"/>
            <w:tcBorders>
              <w:top w:val="nil"/>
              <w:left w:val="nil"/>
              <w:bottom w:val="nil"/>
              <w:right w:val="nil"/>
            </w:tcBorders>
            <w:noWrap/>
            <w:vAlign w:val="center"/>
            <w:hideMark/>
          </w:tcPr>
          <w:p w14:paraId="318E3D6A" w14:textId="77777777" w:rsidR="00944613" w:rsidRPr="00B14EE7" w:rsidRDefault="00944613" w:rsidP="00BB6153">
            <w:pPr>
              <w:jc w:val="center"/>
              <w:rPr>
                <w:rFonts w:ascii="Arial" w:hAnsi="Arial" w:cs="Arial"/>
                <w:color w:val="000000"/>
              </w:rPr>
            </w:pPr>
            <w:r w:rsidRPr="00B14EE7">
              <w:rPr>
                <w:rFonts w:ascii="Arial" w:hAnsi="Arial" w:cs="Arial"/>
                <w:color w:val="000000"/>
              </w:rPr>
              <w:t>0.024</w:t>
            </w:r>
          </w:p>
        </w:tc>
        <w:tc>
          <w:tcPr>
            <w:tcW w:w="851" w:type="dxa"/>
            <w:tcBorders>
              <w:top w:val="nil"/>
              <w:left w:val="nil"/>
              <w:bottom w:val="nil"/>
              <w:right w:val="nil"/>
            </w:tcBorders>
            <w:noWrap/>
            <w:vAlign w:val="center"/>
            <w:hideMark/>
          </w:tcPr>
          <w:p w14:paraId="38D6E1E7" w14:textId="77777777" w:rsidR="00944613" w:rsidRPr="00B14EE7" w:rsidRDefault="00944613" w:rsidP="00BB6153">
            <w:pPr>
              <w:jc w:val="center"/>
              <w:rPr>
                <w:rFonts w:ascii="Arial" w:hAnsi="Arial" w:cs="Arial"/>
                <w:color w:val="000000"/>
              </w:rPr>
            </w:pPr>
            <w:r w:rsidRPr="00B14EE7">
              <w:rPr>
                <w:rFonts w:ascii="Arial" w:hAnsi="Arial" w:cs="Arial"/>
                <w:color w:val="000000"/>
              </w:rPr>
              <w:t>0.012</w:t>
            </w:r>
          </w:p>
        </w:tc>
        <w:tc>
          <w:tcPr>
            <w:tcW w:w="1134" w:type="dxa"/>
            <w:tcBorders>
              <w:top w:val="nil"/>
              <w:left w:val="nil"/>
              <w:bottom w:val="nil"/>
              <w:right w:val="nil"/>
            </w:tcBorders>
            <w:noWrap/>
            <w:vAlign w:val="center"/>
            <w:hideMark/>
          </w:tcPr>
          <w:p w14:paraId="26A51EF4" w14:textId="77777777" w:rsidR="00944613" w:rsidRPr="00B14EE7" w:rsidRDefault="00944613" w:rsidP="00BB6153">
            <w:pPr>
              <w:jc w:val="center"/>
              <w:rPr>
                <w:rFonts w:ascii="Arial" w:hAnsi="Arial" w:cs="Arial"/>
                <w:color w:val="000000"/>
              </w:rPr>
            </w:pPr>
            <w:r w:rsidRPr="00B14EE7">
              <w:rPr>
                <w:rFonts w:ascii="Arial" w:hAnsi="Arial" w:cs="Arial"/>
                <w:color w:val="000000"/>
              </w:rPr>
              <w:t>0.006</w:t>
            </w:r>
          </w:p>
        </w:tc>
      </w:tr>
      <w:tr w:rsidR="00944613" w:rsidRPr="00855BAA" w14:paraId="3CC6EAAE" w14:textId="77777777" w:rsidTr="006743A7">
        <w:trPr>
          <w:trHeight w:val="337"/>
        </w:trPr>
        <w:tc>
          <w:tcPr>
            <w:tcW w:w="1017" w:type="dxa"/>
            <w:tcBorders>
              <w:top w:val="nil"/>
              <w:left w:val="nil"/>
              <w:bottom w:val="nil"/>
              <w:right w:val="single" w:sz="4" w:space="0" w:color="auto"/>
            </w:tcBorders>
            <w:noWrap/>
            <w:vAlign w:val="center"/>
            <w:hideMark/>
          </w:tcPr>
          <w:p w14:paraId="7231D502" w14:textId="77777777" w:rsidR="00944613" w:rsidRPr="00B14EE7" w:rsidRDefault="00944613" w:rsidP="00BB6153">
            <w:pPr>
              <w:jc w:val="center"/>
              <w:rPr>
                <w:rFonts w:ascii="Arial" w:hAnsi="Arial" w:cs="Arial"/>
                <w:color w:val="000000"/>
              </w:rPr>
            </w:pPr>
            <w:r w:rsidRPr="00B14EE7">
              <w:rPr>
                <w:rFonts w:ascii="Arial" w:hAnsi="Arial" w:cs="Arial"/>
                <w:color w:val="000000"/>
              </w:rPr>
              <w:t>3</w:t>
            </w:r>
          </w:p>
        </w:tc>
        <w:tc>
          <w:tcPr>
            <w:tcW w:w="1167" w:type="dxa"/>
            <w:tcBorders>
              <w:top w:val="nil"/>
              <w:left w:val="nil"/>
              <w:bottom w:val="nil"/>
              <w:right w:val="nil"/>
            </w:tcBorders>
            <w:noWrap/>
            <w:vAlign w:val="center"/>
            <w:hideMark/>
          </w:tcPr>
          <w:p w14:paraId="7CC5A861" w14:textId="77777777" w:rsidR="00944613" w:rsidRPr="00B14EE7" w:rsidRDefault="00944613" w:rsidP="00BB6153">
            <w:pPr>
              <w:jc w:val="center"/>
              <w:rPr>
                <w:rFonts w:ascii="Arial" w:hAnsi="Arial" w:cs="Arial"/>
                <w:color w:val="000000"/>
              </w:rPr>
            </w:pPr>
            <w:r w:rsidRPr="00B14EE7">
              <w:rPr>
                <w:rFonts w:ascii="Arial" w:hAnsi="Arial" w:cs="Arial"/>
                <w:color w:val="000000"/>
              </w:rPr>
              <w:t>0.269</w:t>
            </w:r>
          </w:p>
        </w:tc>
        <w:tc>
          <w:tcPr>
            <w:tcW w:w="1043" w:type="dxa"/>
            <w:tcBorders>
              <w:top w:val="nil"/>
              <w:left w:val="nil"/>
              <w:bottom w:val="nil"/>
              <w:right w:val="nil"/>
            </w:tcBorders>
            <w:noWrap/>
            <w:vAlign w:val="center"/>
            <w:hideMark/>
          </w:tcPr>
          <w:p w14:paraId="45D99EC7" w14:textId="77777777" w:rsidR="00944613" w:rsidRPr="00B14EE7" w:rsidRDefault="00944613" w:rsidP="00BB6153">
            <w:pPr>
              <w:jc w:val="center"/>
              <w:rPr>
                <w:rFonts w:ascii="Arial" w:hAnsi="Arial" w:cs="Arial"/>
                <w:color w:val="000000"/>
              </w:rPr>
            </w:pPr>
            <w:r w:rsidRPr="00B14EE7">
              <w:rPr>
                <w:rFonts w:ascii="Arial" w:hAnsi="Arial" w:cs="Arial"/>
                <w:color w:val="000000"/>
              </w:rPr>
              <w:t>0.218</w:t>
            </w:r>
          </w:p>
        </w:tc>
        <w:tc>
          <w:tcPr>
            <w:tcW w:w="709" w:type="dxa"/>
            <w:tcBorders>
              <w:top w:val="nil"/>
              <w:left w:val="nil"/>
              <w:bottom w:val="nil"/>
              <w:right w:val="nil"/>
            </w:tcBorders>
            <w:noWrap/>
            <w:vAlign w:val="center"/>
            <w:hideMark/>
          </w:tcPr>
          <w:p w14:paraId="48AD16C7" w14:textId="77777777" w:rsidR="00944613" w:rsidRPr="00B14EE7" w:rsidRDefault="00944613" w:rsidP="00BB6153">
            <w:pPr>
              <w:jc w:val="center"/>
              <w:rPr>
                <w:rFonts w:ascii="Arial" w:hAnsi="Arial" w:cs="Arial"/>
                <w:color w:val="000000"/>
              </w:rPr>
            </w:pPr>
            <w:r w:rsidRPr="00B14EE7">
              <w:rPr>
                <w:rFonts w:ascii="Arial" w:hAnsi="Arial" w:cs="Arial"/>
                <w:color w:val="000000"/>
              </w:rPr>
              <w:t>0.028</w:t>
            </w:r>
          </w:p>
        </w:tc>
        <w:tc>
          <w:tcPr>
            <w:tcW w:w="828" w:type="dxa"/>
            <w:tcBorders>
              <w:top w:val="nil"/>
              <w:left w:val="nil"/>
              <w:bottom w:val="nil"/>
              <w:right w:val="nil"/>
            </w:tcBorders>
            <w:noWrap/>
            <w:vAlign w:val="center"/>
            <w:hideMark/>
          </w:tcPr>
          <w:p w14:paraId="334FAC02" w14:textId="77777777" w:rsidR="00944613" w:rsidRPr="00B14EE7" w:rsidRDefault="00944613" w:rsidP="00BB6153">
            <w:pPr>
              <w:jc w:val="center"/>
              <w:rPr>
                <w:rFonts w:ascii="Arial" w:hAnsi="Arial" w:cs="Arial"/>
                <w:color w:val="000000"/>
              </w:rPr>
            </w:pPr>
            <w:r w:rsidRPr="00B14EE7">
              <w:rPr>
                <w:rFonts w:ascii="Arial" w:hAnsi="Arial" w:cs="Arial"/>
                <w:color w:val="000000"/>
              </w:rPr>
              <w:t>0.009</w:t>
            </w:r>
          </w:p>
        </w:tc>
        <w:tc>
          <w:tcPr>
            <w:tcW w:w="1014" w:type="dxa"/>
            <w:tcBorders>
              <w:top w:val="nil"/>
              <w:left w:val="nil"/>
              <w:bottom w:val="nil"/>
              <w:right w:val="nil"/>
            </w:tcBorders>
            <w:noWrap/>
            <w:vAlign w:val="center"/>
            <w:hideMark/>
          </w:tcPr>
          <w:p w14:paraId="128688CB"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851" w:type="dxa"/>
            <w:tcBorders>
              <w:top w:val="nil"/>
              <w:left w:val="nil"/>
              <w:bottom w:val="nil"/>
              <w:right w:val="nil"/>
            </w:tcBorders>
            <w:noWrap/>
            <w:vAlign w:val="center"/>
            <w:hideMark/>
          </w:tcPr>
          <w:p w14:paraId="4E3A92D6"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c>
          <w:tcPr>
            <w:tcW w:w="1134" w:type="dxa"/>
            <w:tcBorders>
              <w:top w:val="nil"/>
              <w:left w:val="nil"/>
              <w:bottom w:val="nil"/>
              <w:right w:val="nil"/>
            </w:tcBorders>
            <w:noWrap/>
            <w:vAlign w:val="center"/>
            <w:hideMark/>
          </w:tcPr>
          <w:p w14:paraId="381FF356" w14:textId="77777777" w:rsidR="00944613" w:rsidRPr="00B14EE7" w:rsidRDefault="00944613" w:rsidP="00BB6153">
            <w:pPr>
              <w:jc w:val="center"/>
              <w:rPr>
                <w:rFonts w:ascii="Arial" w:hAnsi="Arial" w:cs="Arial"/>
                <w:color w:val="000000"/>
              </w:rPr>
            </w:pPr>
            <w:r w:rsidRPr="00B14EE7">
              <w:rPr>
                <w:rFonts w:ascii="Arial" w:hAnsi="Arial" w:cs="Arial"/>
                <w:color w:val="000000"/>
              </w:rPr>
              <w:t>0.000</w:t>
            </w:r>
          </w:p>
        </w:tc>
      </w:tr>
    </w:tbl>
    <w:p w14:paraId="3625F725" w14:textId="77777777" w:rsidR="00944613" w:rsidRPr="00855BAA" w:rsidRDefault="00944613" w:rsidP="00944613">
      <w:pPr>
        <w:rPr>
          <w:rFonts w:ascii="Arial" w:hAnsi="Arial" w:cs="Arial"/>
        </w:rPr>
      </w:pPr>
    </w:p>
    <w:p w14:paraId="6987096D" w14:textId="5E5AD72B" w:rsidR="00944613" w:rsidRPr="00AC5FC4" w:rsidRDefault="00944613" w:rsidP="00AC5FC4">
      <w:pPr>
        <w:jc w:val="both"/>
        <w:rPr>
          <w:rFonts w:ascii="Arial" w:hAnsi="Arial" w:cs="Arial"/>
        </w:rPr>
      </w:pPr>
      <w:r w:rsidRPr="00855BAA">
        <w:rPr>
          <w:rFonts w:ascii="Arial" w:hAnsi="Arial" w:cs="Arial"/>
        </w:rPr>
        <w:t xml:space="preserve">The clustered gas compositions for the four clusters, as presented in Table </w:t>
      </w:r>
      <w:r w:rsidR="00E64FD8">
        <w:rPr>
          <w:rFonts w:ascii="Arial" w:hAnsi="Arial" w:cs="Arial"/>
        </w:rPr>
        <w:t>(</w:t>
      </w:r>
      <w:r w:rsidRPr="00855BAA">
        <w:rPr>
          <w:rFonts w:ascii="Arial" w:hAnsi="Arial" w:cs="Arial"/>
        </w:rPr>
        <w:t>3</w:t>
      </w:r>
      <w:r w:rsidR="00E64FD8">
        <w:rPr>
          <w:rFonts w:ascii="Arial" w:hAnsi="Arial" w:cs="Arial"/>
        </w:rPr>
        <w:t>)</w:t>
      </w:r>
      <w:r w:rsidRPr="00855BAA">
        <w:rPr>
          <w:rFonts w:ascii="Arial" w:hAnsi="Arial" w:cs="Arial"/>
        </w:rPr>
        <w:t>, show that methane (CH</w:t>
      </w:r>
      <w:r w:rsidRPr="00855BAA">
        <w:rPr>
          <w:rFonts w:ascii="Cambria Math" w:hAnsi="Cambria Math" w:cs="Cambria Math"/>
        </w:rPr>
        <w:t>₄</w:t>
      </w:r>
      <w:r w:rsidRPr="00855BAA">
        <w:rPr>
          <w:rFonts w:ascii="Arial" w:hAnsi="Arial" w:cs="Arial"/>
        </w:rPr>
        <w:t xml:space="preserve">) is the predominant </w:t>
      </w:r>
      <w:r w:rsidRPr="00AC5FC4">
        <w:rPr>
          <w:rFonts w:ascii="Arial" w:hAnsi="Arial" w:cs="Arial"/>
        </w:rPr>
        <w:t>component across all clusters. This is consistent with the typical composition of associated gas from onshore Niger Delta reservoirs (</w:t>
      </w:r>
      <w:proofErr w:type="spellStart"/>
      <w:r w:rsidRPr="00AC5FC4">
        <w:rPr>
          <w:rFonts w:ascii="Arial" w:hAnsi="Arial" w:cs="Arial"/>
        </w:rPr>
        <w:t>Awulu</w:t>
      </w:r>
      <w:proofErr w:type="spellEnd"/>
      <w:r w:rsidRPr="00AC5FC4">
        <w:rPr>
          <w:rFonts w:ascii="Arial" w:hAnsi="Arial" w:cs="Arial"/>
        </w:rPr>
        <w:t xml:space="preserve">, 2021; </w:t>
      </w:r>
      <w:proofErr w:type="spellStart"/>
      <w:r w:rsidRPr="00AC5FC4">
        <w:rPr>
          <w:rFonts w:ascii="Arial" w:hAnsi="Arial" w:cs="Arial"/>
        </w:rPr>
        <w:t>Emekwuru</w:t>
      </w:r>
      <w:proofErr w:type="spellEnd"/>
      <w:r w:rsidRPr="00AC5FC4">
        <w:rPr>
          <w:rFonts w:ascii="Arial" w:hAnsi="Arial" w:cs="Arial"/>
        </w:rPr>
        <w:t xml:space="preserve">, 2024). Methane concentrations range from 77.51% in Cluster 1 to 88.96% in Cluster 0, reflecting moderate variability in reservoir characteristics and separation efficiency across the contributing </w:t>
      </w:r>
      <w:proofErr w:type="spellStart"/>
      <w:r w:rsidRPr="00AC5FC4">
        <w:rPr>
          <w:rFonts w:ascii="Arial" w:hAnsi="Arial" w:cs="Arial"/>
        </w:rPr>
        <w:t>flowstations</w:t>
      </w:r>
      <w:proofErr w:type="spellEnd"/>
      <w:r w:rsidRPr="00AC5FC4">
        <w:rPr>
          <w:rFonts w:ascii="Arial" w:hAnsi="Arial" w:cs="Arial"/>
        </w:rPr>
        <w:t>.</w:t>
      </w:r>
    </w:p>
    <w:p w14:paraId="7C818345" w14:textId="657A83BD" w:rsidR="00944613" w:rsidRPr="00AC5FC4" w:rsidRDefault="00944613" w:rsidP="00AC5FC4">
      <w:pPr>
        <w:jc w:val="both"/>
        <w:rPr>
          <w:rFonts w:ascii="Arial" w:hAnsi="Arial" w:cs="Arial"/>
        </w:rPr>
      </w:pPr>
      <w:r w:rsidRPr="00AC5FC4">
        <w:rPr>
          <w:rFonts w:ascii="Arial" w:hAnsi="Arial" w:cs="Arial"/>
        </w:rPr>
        <w:t>Carbon dioxide (CO</w:t>
      </w:r>
      <w:r w:rsidRPr="00AC5FC4">
        <w:rPr>
          <w:rFonts w:ascii="Cambria Math" w:hAnsi="Cambria Math" w:cs="Cambria Math"/>
        </w:rPr>
        <w:t>₂</w:t>
      </w:r>
      <w:r w:rsidRPr="00AC5FC4">
        <w:rPr>
          <w:rFonts w:ascii="Arial" w:hAnsi="Arial" w:cs="Arial"/>
        </w:rPr>
        <w:t>) occurs only in minor proportions, with concentrations ranging between 1.04% and 2.58%. The values fall within the expected limits for untreated associated gas in Nigerian onshore production systems (</w:t>
      </w:r>
      <w:proofErr w:type="spellStart"/>
      <w:r w:rsidRPr="00AC5FC4">
        <w:rPr>
          <w:rFonts w:ascii="Arial" w:hAnsi="Arial" w:cs="Arial"/>
        </w:rPr>
        <w:t>Olujobi</w:t>
      </w:r>
      <w:proofErr w:type="spellEnd"/>
      <w:r w:rsidRPr="00AC5FC4">
        <w:rPr>
          <w:rFonts w:ascii="Arial" w:hAnsi="Arial" w:cs="Arial"/>
        </w:rPr>
        <w:t xml:space="preserve"> et al., 2022; Fan et al., 2025). The relatively low CO</w:t>
      </w:r>
      <w:r w:rsidRPr="00AC5FC4">
        <w:rPr>
          <w:rFonts w:ascii="Cambria Math" w:hAnsi="Cambria Math" w:cs="Cambria Math"/>
        </w:rPr>
        <w:t>₂</w:t>
      </w:r>
      <w:r w:rsidRPr="00AC5FC4">
        <w:rPr>
          <w:rFonts w:ascii="Arial" w:hAnsi="Arial" w:cs="Arial"/>
        </w:rPr>
        <w:t xml:space="preserve"> content suggests </w:t>
      </w:r>
      <w:proofErr w:type="spellStart"/>
      <w:r w:rsidRPr="00AC5FC4">
        <w:rPr>
          <w:rFonts w:ascii="Arial" w:hAnsi="Arial" w:cs="Arial"/>
        </w:rPr>
        <w:t>favourable</w:t>
      </w:r>
      <w:proofErr w:type="spellEnd"/>
      <w:r w:rsidRPr="00AC5FC4">
        <w:rPr>
          <w:rFonts w:ascii="Arial" w:hAnsi="Arial" w:cs="Arial"/>
        </w:rPr>
        <w:t xml:space="preserve"> conditions for gas-to-power applications; as excessive CO</w:t>
      </w:r>
      <w:r w:rsidRPr="00AC5FC4">
        <w:rPr>
          <w:rFonts w:ascii="Cambria Math" w:hAnsi="Cambria Math" w:cs="Cambria Math"/>
        </w:rPr>
        <w:t>₂</w:t>
      </w:r>
      <w:r w:rsidRPr="00AC5FC4">
        <w:rPr>
          <w:rFonts w:ascii="Arial" w:hAnsi="Arial" w:cs="Arial"/>
        </w:rPr>
        <w:t xml:space="preserve"> would reduce heating value and adversely affect combustion performance.</w:t>
      </w:r>
    </w:p>
    <w:p w14:paraId="0F95E4C2" w14:textId="77777777" w:rsidR="00944613" w:rsidRPr="00855BAA" w:rsidRDefault="00944613" w:rsidP="00AC5FC4">
      <w:pPr>
        <w:jc w:val="both"/>
        <w:rPr>
          <w:rFonts w:ascii="Arial" w:hAnsi="Arial" w:cs="Arial"/>
        </w:rPr>
      </w:pPr>
      <w:r w:rsidRPr="00AC5FC4">
        <w:rPr>
          <w:rFonts w:ascii="Arial" w:hAnsi="Arial" w:cs="Arial"/>
        </w:rPr>
        <w:t>Heavier hydrocarbons such as ethane (C</w:t>
      </w:r>
      <w:r w:rsidRPr="00AC5FC4">
        <w:rPr>
          <w:rFonts w:ascii="Cambria Math" w:hAnsi="Cambria Math" w:cs="Cambria Math"/>
        </w:rPr>
        <w:t>₂</w:t>
      </w:r>
      <w:r w:rsidRPr="00AC5FC4">
        <w:rPr>
          <w:rFonts w:ascii="Arial" w:hAnsi="Arial" w:cs="Arial"/>
        </w:rPr>
        <w:t>H</w:t>
      </w:r>
      <w:r w:rsidRPr="00AC5FC4">
        <w:rPr>
          <w:rFonts w:ascii="Cambria Math" w:hAnsi="Cambria Math" w:cs="Cambria Math"/>
        </w:rPr>
        <w:t>₆</w:t>
      </w:r>
      <w:r w:rsidRPr="00AC5FC4">
        <w:rPr>
          <w:rFonts w:ascii="Arial" w:hAnsi="Arial" w:cs="Arial"/>
        </w:rPr>
        <w:t>), propane (C</w:t>
      </w:r>
      <w:r w:rsidRPr="00AC5FC4">
        <w:rPr>
          <w:rFonts w:ascii="Cambria Math" w:hAnsi="Cambria Math" w:cs="Cambria Math"/>
        </w:rPr>
        <w:t>₃</w:t>
      </w:r>
      <w:r w:rsidRPr="00AC5FC4">
        <w:rPr>
          <w:rFonts w:ascii="Arial" w:hAnsi="Arial" w:cs="Arial"/>
        </w:rPr>
        <w:t>H</w:t>
      </w:r>
      <w:r w:rsidRPr="00AC5FC4">
        <w:rPr>
          <w:rFonts w:ascii="Cambria Math" w:hAnsi="Cambria Math" w:cs="Cambria Math"/>
        </w:rPr>
        <w:t>₈</w:t>
      </w:r>
      <w:r w:rsidRPr="00AC5FC4">
        <w:rPr>
          <w:rFonts w:ascii="Arial" w:hAnsi="Arial" w:cs="Arial"/>
        </w:rPr>
        <w:t>), and butanes (C</w:t>
      </w:r>
      <w:r w:rsidRPr="00AC5FC4">
        <w:rPr>
          <w:rFonts w:ascii="Cambria Math" w:hAnsi="Cambria Math" w:cs="Cambria Math"/>
        </w:rPr>
        <w:t>₄</w:t>
      </w:r>
      <w:r w:rsidRPr="00AC5FC4">
        <w:rPr>
          <w:rFonts w:ascii="Arial" w:hAnsi="Arial" w:cs="Arial"/>
        </w:rPr>
        <w:t>)—contribute modest fractions to the overall gas composition. The presence of these components is typical of AG streams and necessitates appropriate gas-conditioning measures to prevent condensation and ensure fuel-gas quality suitable for gas-turbine operation (Wu et al., 2022;</w:t>
      </w:r>
      <w:r w:rsidRPr="00855BAA">
        <w:rPr>
          <w:rFonts w:ascii="Arial" w:hAnsi="Arial" w:cs="Arial"/>
        </w:rPr>
        <w:t xml:space="preserve"> </w:t>
      </w:r>
      <w:proofErr w:type="spellStart"/>
      <w:r w:rsidRPr="00855BAA">
        <w:rPr>
          <w:rFonts w:ascii="Arial" w:hAnsi="Arial" w:cs="Arial"/>
        </w:rPr>
        <w:t>Fagbami</w:t>
      </w:r>
      <w:proofErr w:type="spellEnd"/>
      <w:r w:rsidRPr="00855BAA">
        <w:rPr>
          <w:rFonts w:ascii="Arial" w:hAnsi="Arial" w:cs="Arial"/>
        </w:rPr>
        <w:t xml:space="preserve"> et al., 2024).</w:t>
      </w:r>
    </w:p>
    <w:p w14:paraId="04758F2B"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lastRenderedPageBreak/>
        <w:t>3.2 Lean-Gas Output from Cluster-Level Gas Conditioning</w:t>
      </w:r>
    </w:p>
    <w:p w14:paraId="2D0209F0" w14:textId="1F92A1C8" w:rsidR="00944613" w:rsidRPr="00ED34AB" w:rsidRDefault="00944613" w:rsidP="00ED34AB">
      <w:pPr>
        <w:jc w:val="both"/>
        <w:rPr>
          <w:rFonts w:ascii="Arial" w:hAnsi="Arial" w:cs="Arial"/>
        </w:rPr>
      </w:pPr>
      <w:bookmarkStart w:id="4" w:name="_Toc215420304"/>
      <w:bookmarkStart w:id="5" w:name="_Toc215420305"/>
      <w:r w:rsidRPr="00855BAA">
        <w:rPr>
          <w:rFonts w:ascii="Arial" w:hAnsi="Arial" w:cs="Arial"/>
        </w:rPr>
        <w:t xml:space="preserve">Steady-state gas-conditioning simulations were successfully completed for all four </w:t>
      </w:r>
      <w:r w:rsidRPr="00ED34AB">
        <w:rPr>
          <w:rFonts w:ascii="Arial" w:hAnsi="Arial" w:cs="Arial"/>
        </w:rPr>
        <w:t xml:space="preserve">clusters using Aspen UniSim Design. It is an established practice in gas-processing studies in using steady-state simulation to evaluate dehydration/conditioning performance and compliance (Chong et al., 2023). The </w:t>
      </w:r>
      <w:proofErr w:type="spellStart"/>
      <w:r w:rsidRPr="00ED34AB">
        <w:rPr>
          <w:rFonts w:ascii="Arial" w:hAnsi="Arial" w:cs="Arial"/>
        </w:rPr>
        <w:t>demethanizer</w:t>
      </w:r>
      <w:proofErr w:type="spellEnd"/>
      <w:r w:rsidRPr="00ED34AB">
        <w:rPr>
          <w:rFonts w:ascii="Arial" w:hAnsi="Arial" w:cs="Arial"/>
        </w:rPr>
        <w:t xml:space="preserve"> operating conditions and the resulting lean-gas outputs are summarized in Table </w:t>
      </w:r>
      <w:r w:rsidR="009B1112">
        <w:rPr>
          <w:rFonts w:ascii="Arial" w:hAnsi="Arial" w:cs="Arial"/>
        </w:rPr>
        <w:t>(</w:t>
      </w:r>
      <w:r w:rsidRPr="00ED34AB">
        <w:rPr>
          <w:rFonts w:ascii="Arial" w:hAnsi="Arial" w:cs="Arial"/>
        </w:rPr>
        <w:t>4</w:t>
      </w:r>
      <w:r w:rsidR="009B1112">
        <w:rPr>
          <w:rFonts w:ascii="Arial" w:hAnsi="Arial" w:cs="Arial"/>
        </w:rPr>
        <w:t>)</w:t>
      </w:r>
      <w:r w:rsidRPr="00ED34AB">
        <w:rPr>
          <w:rFonts w:ascii="Arial" w:hAnsi="Arial" w:cs="Arial"/>
        </w:rPr>
        <w:t>.</w:t>
      </w:r>
    </w:p>
    <w:p w14:paraId="42440132" w14:textId="7945CCF3" w:rsidR="00944613" w:rsidRDefault="00944613" w:rsidP="00ED34AB">
      <w:pPr>
        <w:jc w:val="both"/>
        <w:rPr>
          <w:rFonts w:ascii="Arial" w:hAnsi="Arial" w:cs="Arial"/>
        </w:rPr>
      </w:pPr>
      <w:r w:rsidRPr="00ED34AB">
        <w:rPr>
          <w:rFonts w:ascii="Arial" w:hAnsi="Arial" w:cs="Arial"/>
        </w:rPr>
        <w:t xml:space="preserve">Lean-gas flow rates obtained from the simulations range from 637.1 </w:t>
      </w:r>
      <w:proofErr w:type="spellStart"/>
      <w:r w:rsidRPr="00ED34AB">
        <w:rPr>
          <w:rFonts w:ascii="Arial" w:hAnsi="Arial" w:cs="Arial"/>
        </w:rPr>
        <w:t>kmol</w:t>
      </w:r>
      <w:proofErr w:type="spellEnd"/>
      <w:r w:rsidRPr="00ED34AB">
        <w:rPr>
          <w:rFonts w:ascii="Arial" w:hAnsi="Arial" w:cs="Arial"/>
        </w:rPr>
        <w:t xml:space="preserve">/h (Cluster 2) to 2,707 </w:t>
      </w:r>
      <w:proofErr w:type="spellStart"/>
      <w:r w:rsidRPr="00ED34AB">
        <w:rPr>
          <w:rFonts w:ascii="Arial" w:hAnsi="Arial" w:cs="Arial"/>
        </w:rPr>
        <w:t>kmol</w:t>
      </w:r>
      <w:proofErr w:type="spellEnd"/>
      <w:r w:rsidRPr="00ED34AB">
        <w:rPr>
          <w:rFonts w:ascii="Arial" w:hAnsi="Arial" w:cs="Arial"/>
        </w:rPr>
        <w:t xml:space="preserve">/h (Cluster 0). Table </w:t>
      </w:r>
      <w:r w:rsidR="009B1112">
        <w:rPr>
          <w:rFonts w:ascii="Arial" w:hAnsi="Arial" w:cs="Arial"/>
        </w:rPr>
        <w:t>(</w:t>
      </w:r>
      <w:r w:rsidRPr="00ED34AB">
        <w:rPr>
          <w:rFonts w:ascii="Arial" w:hAnsi="Arial" w:cs="Arial"/>
        </w:rPr>
        <w:t>5</w:t>
      </w:r>
      <w:r w:rsidR="009B1112">
        <w:rPr>
          <w:rFonts w:ascii="Arial" w:hAnsi="Arial" w:cs="Arial"/>
        </w:rPr>
        <w:t>)</w:t>
      </w:r>
      <w:r w:rsidRPr="00ED34AB">
        <w:rPr>
          <w:rFonts w:ascii="Arial" w:hAnsi="Arial" w:cs="Arial"/>
        </w:rPr>
        <w:t xml:space="preserve"> presents the composition of the lean gas produced after processing. Methane purity of the conditioned gas is consistently high (95.0–96.0 mol %), which supports fuel-gas suitability for gas-turbine when assessed alongside interchangeability parameters such as Wobbe Index / methane number and related fuel-quality constraints (Welch, 2013; </w:t>
      </w:r>
      <w:proofErr w:type="spellStart"/>
      <w:r w:rsidRPr="00ED34AB">
        <w:rPr>
          <w:rFonts w:ascii="Arial" w:hAnsi="Arial" w:cs="Arial"/>
        </w:rPr>
        <w:t>Kuczyński</w:t>
      </w:r>
      <w:proofErr w:type="spellEnd"/>
      <w:r w:rsidRPr="00ED34AB">
        <w:rPr>
          <w:rFonts w:ascii="Arial" w:hAnsi="Arial" w:cs="Arial"/>
        </w:rPr>
        <w:t xml:space="preserve"> et al., 2020). These results indicate that aggregated flare gas from all clusters can be processed into turbine-suitable lean gas, consistent with practical cluster-gathering/processing case evidence (</w:t>
      </w:r>
      <w:proofErr w:type="spellStart"/>
      <w:r w:rsidRPr="00ED34AB">
        <w:rPr>
          <w:rFonts w:ascii="Arial" w:hAnsi="Arial" w:cs="Arial"/>
        </w:rPr>
        <w:t>Fagbami</w:t>
      </w:r>
      <w:proofErr w:type="spellEnd"/>
      <w:r w:rsidRPr="00ED34AB">
        <w:rPr>
          <w:rFonts w:ascii="Arial" w:hAnsi="Arial" w:cs="Arial"/>
        </w:rPr>
        <w:t xml:space="preserve"> et al., 2024). </w:t>
      </w:r>
    </w:p>
    <w:p w14:paraId="35E7D78E" w14:textId="77777777" w:rsidR="00086646" w:rsidRPr="00ED34AB" w:rsidRDefault="00086646" w:rsidP="00ED34AB">
      <w:pPr>
        <w:jc w:val="both"/>
        <w:rPr>
          <w:rFonts w:ascii="Arial" w:hAnsi="Arial" w:cs="Arial"/>
        </w:rPr>
      </w:pPr>
    </w:p>
    <w:p w14:paraId="45EEC02B" w14:textId="253D1B54" w:rsidR="00944613" w:rsidRPr="00086646" w:rsidRDefault="00944613" w:rsidP="00944613">
      <w:pPr>
        <w:pStyle w:val="Tables"/>
        <w:rPr>
          <w:rFonts w:ascii="Arial" w:hAnsi="Arial" w:cs="Arial"/>
          <w:sz w:val="20"/>
          <w:szCs w:val="20"/>
        </w:rPr>
      </w:pPr>
      <w:r w:rsidRPr="00086646">
        <w:rPr>
          <w:rFonts w:ascii="Arial" w:hAnsi="Arial" w:cs="Arial"/>
          <w:sz w:val="20"/>
          <w:szCs w:val="20"/>
        </w:rPr>
        <w:t xml:space="preserve">Table 4    </w:t>
      </w:r>
      <w:proofErr w:type="spellStart"/>
      <w:r w:rsidRPr="00086646">
        <w:rPr>
          <w:rFonts w:ascii="Arial" w:hAnsi="Arial" w:cs="Arial"/>
          <w:sz w:val="20"/>
          <w:szCs w:val="20"/>
        </w:rPr>
        <w:t>Demethanizer</w:t>
      </w:r>
      <w:proofErr w:type="spellEnd"/>
      <w:r w:rsidRPr="00086646">
        <w:rPr>
          <w:rFonts w:ascii="Arial" w:hAnsi="Arial" w:cs="Arial"/>
          <w:sz w:val="20"/>
          <w:szCs w:val="20"/>
        </w:rPr>
        <w:t xml:space="preserve"> boundary conditions and lean-gas recovery (UniSim results)</w:t>
      </w:r>
      <w:bookmarkEnd w:id="4"/>
    </w:p>
    <w:tbl>
      <w:tblPr>
        <w:tblW w:w="8209" w:type="dxa"/>
        <w:tblLook w:val="04A0" w:firstRow="1" w:lastRow="0" w:firstColumn="1" w:lastColumn="0" w:noHBand="0" w:noVBand="1"/>
      </w:tblPr>
      <w:tblGrid>
        <w:gridCol w:w="1093"/>
        <w:gridCol w:w="1034"/>
        <w:gridCol w:w="983"/>
        <w:gridCol w:w="956"/>
        <w:gridCol w:w="992"/>
        <w:gridCol w:w="991"/>
        <w:gridCol w:w="1265"/>
        <w:gridCol w:w="895"/>
      </w:tblGrid>
      <w:tr w:rsidR="00944613" w:rsidRPr="00855BAA" w14:paraId="250AB12F" w14:textId="77777777" w:rsidTr="00E571BE">
        <w:trPr>
          <w:trHeight w:val="624"/>
        </w:trPr>
        <w:tc>
          <w:tcPr>
            <w:tcW w:w="1100" w:type="dxa"/>
            <w:tcBorders>
              <w:top w:val="nil"/>
              <w:left w:val="nil"/>
              <w:bottom w:val="single" w:sz="4" w:space="0" w:color="auto"/>
              <w:right w:val="single" w:sz="4" w:space="0" w:color="auto"/>
            </w:tcBorders>
            <w:vAlign w:val="center"/>
            <w:hideMark/>
          </w:tcPr>
          <w:p w14:paraId="734F05C3" w14:textId="77777777" w:rsidR="00944613" w:rsidRPr="00086646" w:rsidRDefault="00944613" w:rsidP="00BB6153">
            <w:pPr>
              <w:jc w:val="center"/>
              <w:rPr>
                <w:rFonts w:ascii="Arial" w:hAnsi="Arial" w:cs="Arial"/>
                <w:b/>
                <w:color w:val="000000"/>
              </w:rPr>
            </w:pPr>
            <w:r w:rsidRPr="00086646">
              <w:rPr>
                <w:rFonts w:ascii="Arial" w:hAnsi="Arial" w:cs="Arial"/>
                <w:b/>
                <w:color w:val="000000"/>
              </w:rPr>
              <w:t>Cluster</w:t>
            </w:r>
          </w:p>
        </w:tc>
        <w:tc>
          <w:tcPr>
            <w:tcW w:w="1036" w:type="dxa"/>
            <w:tcBorders>
              <w:top w:val="nil"/>
              <w:left w:val="nil"/>
              <w:bottom w:val="single" w:sz="4" w:space="0" w:color="auto"/>
              <w:right w:val="nil"/>
            </w:tcBorders>
            <w:vAlign w:val="center"/>
            <w:hideMark/>
          </w:tcPr>
          <w:p w14:paraId="399D095E" w14:textId="77777777" w:rsidR="00944613" w:rsidRPr="00086646" w:rsidRDefault="00944613" w:rsidP="00BB6153">
            <w:pPr>
              <w:jc w:val="center"/>
              <w:rPr>
                <w:rFonts w:ascii="Arial" w:hAnsi="Arial" w:cs="Arial"/>
                <w:b/>
                <w:color w:val="000000"/>
              </w:rPr>
            </w:pPr>
            <w:r w:rsidRPr="00086646">
              <w:rPr>
                <w:rFonts w:ascii="Arial" w:hAnsi="Arial" w:cs="Arial"/>
                <w:b/>
                <w:color w:val="000000"/>
              </w:rPr>
              <w:t>Pre-</w:t>
            </w:r>
            <w:proofErr w:type="spellStart"/>
            <w:r w:rsidRPr="00086646">
              <w:rPr>
                <w:rFonts w:ascii="Arial" w:hAnsi="Arial" w:cs="Arial"/>
                <w:b/>
                <w:color w:val="000000"/>
              </w:rPr>
              <w:t>demeth</w:t>
            </w:r>
            <w:proofErr w:type="spellEnd"/>
            <w:r w:rsidRPr="00086646">
              <w:rPr>
                <w:rFonts w:ascii="Arial" w:hAnsi="Arial" w:cs="Arial"/>
                <w:b/>
                <w:color w:val="000000"/>
              </w:rPr>
              <w:t>. feed P (kPa)</w:t>
            </w:r>
          </w:p>
        </w:tc>
        <w:tc>
          <w:tcPr>
            <w:tcW w:w="983" w:type="dxa"/>
            <w:tcBorders>
              <w:top w:val="nil"/>
              <w:left w:val="nil"/>
              <w:bottom w:val="single" w:sz="4" w:space="0" w:color="auto"/>
              <w:right w:val="nil"/>
            </w:tcBorders>
            <w:vAlign w:val="center"/>
            <w:hideMark/>
          </w:tcPr>
          <w:p w14:paraId="587D3AFB" w14:textId="77777777" w:rsidR="00944613" w:rsidRPr="00086646" w:rsidRDefault="00944613" w:rsidP="00BB6153">
            <w:pPr>
              <w:jc w:val="center"/>
              <w:rPr>
                <w:rFonts w:ascii="Arial" w:hAnsi="Arial" w:cs="Arial"/>
                <w:b/>
                <w:color w:val="000000"/>
              </w:rPr>
            </w:pPr>
            <w:r w:rsidRPr="00086646">
              <w:rPr>
                <w:rFonts w:ascii="Arial" w:hAnsi="Arial" w:cs="Arial"/>
                <w:b/>
                <w:color w:val="000000"/>
              </w:rPr>
              <w:t>Pre-</w:t>
            </w:r>
            <w:proofErr w:type="spellStart"/>
            <w:r w:rsidRPr="00086646">
              <w:rPr>
                <w:rFonts w:ascii="Arial" w:hAnsi="Arial" w:cs="Arial"/>
                <w:b/>
                <w:color w:val="000000"/>
              </w:rPr>
              <w:t>demeth</w:t>
            </w:r>
            <w:proofErr w:type="spellEnd"/>
            <w:r w:rsidRPr="00086646">
              <w:rPr>
                <w:rFonts w:ascii="Arial" w:hAnsi="Arial" w:cs="Arial"/>
                <w:b/>
                <w:color w:val="000000"/>
              </w:rPr>
              <w:t>. feed T (°C)</w:t>
            </w:r>
          </w:p>
        </w:tc>
        <w:tc>
          <w:tcPr>
            <w:tcW w:w="958" w:type="dxa"/>
            <w:tcBorders>
              <w:top w:val="nil"/>
              <w:left w:val="nil"/>
              <w:bottom w:val="single" w:sz="4" w:space="0" w:color="auto"/>
              <w:right w:val="nil"/>
            </w:tcBorders>
            <w:vAlign w:val="center"/>
            <w:hideMark/>
          </w:tcPr>
          <w:p w14:paraId="574C953C" w14:textId="77777777" w:rsidR="00944613" w:rsidRPr="00086646" w:rsidRDefault="00944613" w:rsidP="00BB6153">
            <w:pPr>
              <w:jc w:val="center"/>
              <w:rPr>
                <w:rFonts w:ascii="Arial" w:hAnsi="Arial" w:cs="Arial"/>
                <w:b/>
                <w:color w:val="000000"/>
              </w:rPr>
            </w:pPr>
            <w:r w:rsidRPr="00086646">
              <w:rPr>
                <w:rFonts w:ascii="Arial" w:hAnsi="Arial" w:cs="Arial"/>
                <w:b/>
                <w:color w:val="000000"/>
              </w:rPr>
              <w:t>Bottom (kettle) T (°C)</w:t>
            </w:r>
          </w:p>
        </w:tc>
        <w:tc>
          <w:tcPr>
            <w:tcW w:w="993" w:type="dxa"/>
            <w:tcBorders>
              <w:top w:val="nil"/>
              <w:left w:val="nil"/>
              <w:bottom w:val="single" w:sz="4" w:space="0" w:color="auto"/>
              <w:right w:val="nil"/>
            </w:tcBorders>
            <w:vAlign w:val="center"/>
            <w:hideMark/>
          </w:tcPr>
          <w:p w14:paraId="300607C6"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product P (kPa)</w:t>
            </w:r>
          </w:p>
        </w:tc>
        <w:tc>
          <w:tcPr>
            <w:tcW w:w="992" w:type="dxa"/>
            <w:tcBorders>
              <w:top w:val="nil"/>
              <w:left w:val="nil"/>
              <w:bottom w:val="single" w:sz="4" w:space="0" w:color="auto"/>
              <w:right w:val="nil"/>
            </w:tcBorders>
            <w:vAlign w:val="center"/>
            <w:hideMark/>
          </w:tcPr>
          <w:p w14:paraId="7264FCC3"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product T (°C)</w:t>
            </w:r>
          </w:p>
        </w:tc>
        <w:tc>
          <w:tcPr>
            <w:tcW w:w="1276" w:type="dxa"/>
            <w:tcBorders>
              <w:top w:val="nil"/>
              <w:left w:val="nil"/>
              <w:bottom w:val="single" w:sz="4" w:space="0" w:color="auto"/>
              <w:right w:val="nil"/>
            </w:tcBorders>
            <w:vAlign w:val="center"/>
            <w:hideMark/>
          </w:tcPr>
          <w:p w14:paraId="2741A9C5" w14:textId="77777777" w:rsidR="00944613" w:rsidRPr="00086646" w:rsidRDefault="00944613" w:rsidP="00BB6153">
            <w:pPr>
              <w:jc w:val="center"/>
              <w:rPr>
                <w:rFonts w:ascii="Arial" w:hAnsi="Arial" w:cs="Arial"/>
                <w:b/>
                <w:color w:val="000000"/>
              </w:rPr>
            </w:pPr>
            <w:r w:rsidRPr="00086646">
              <w:rPr>
                <w:rFonts w:ascii="Arial" w:hAnsi="Arial" w:cs="Arial"/>
                <w:b/>
                <w:color w:val="000000"/>
              </w:rPr>
              <w:t>Lean-gas flow (</w:t>
            </w:r>
            <w:proofErr w:type="spellStart"/>
            <w:r w:rsidRPr="00086646">
              <w:rPr>
                <w:rFonts w:ascii="Arial" w:hAnsi="Arial" w:cs="Arial"/>
                <w:b/>
                <w:color w:val="000000"/>
              </w:rPr>
              <w:t>kmol</w:t>
            </w:r>
            <w:proofErr w:type="spellEnd"/>
            <w:r w:rsidRPr="00086646">
              <w:rPr>
                <w:rFonts w:ascii="Arial" w:hAnsi="Arial" w:cs="Arial"/>
                <w:b/>
                <w:color w:val="000000"/>
              </w:rPr>
              <w:t>/h)</w:t>
            </w:r>
          </w:p>
        </w:tc>
        <w:tc>
          <w:tcPr>
            <w:tcW w:w="871" w:type="dxa"/>
            <w:tcBorders>
              <w:top w:val="nil"/>
              <w:left w:val="nil"/>
              <w:bottom w:val="single" w:sz="4" w:space="0" w:color="auto"/>
              <w:right w:val="nil"/>
            </w:tcBorders>
            <w:vAlign w:val="center"/>
            <w:hideMark/>
          </w:tcPr>
          <w:p w14:paraId="1D1AB7D2" w14:textId="77777777" w:rsidR="00944613" w:rsidRPr="00086646" w:rsidRDefault="00944613" w:rsidP="00BB6153">
            <w:pPr>
              <w:jc w:val="center"/>
              <w:rPr>
                <w:rFonts w:ascii="Arial" w:hAnsi="Arial" w:cs="Arial"/>
                <w:b/>
                <w:color w:val="000000"/>
              </w:rPr>
            </w:pPr>
            <w:r w:rsidRPr="00086646">
              <w:rPr>
                <w:rFonts w:ascii="Arial" w:hAnsi="Arial" w:cs="Arial"/>
                <w:b/>
                <w:color w:val="000000"/>
              </w:rPr>
              <w:t>CH4 purity (Mol%)</w:t>
            </w:r>
          </w:p>
        </w:tc>
      </w:tr>
      <w:tr w:rsidR="00944613" w:rsidRPr="00855BAA" w14:paraId="711A2875" w14:textId="77777777" w:rsidTr="00E571BE">
        <w:trPr>
          <w:trHeight w:val="516"/>
        </w:trPr>
        <w:tc>
          <w:tcPr>
            <w:tcW w:w="1100" w:type="dxa"/>
            <w:tcBorders>
              <w:top w:val="nil"/>
              <w:left w:val="nil"/>
              <w:bottom w:val="nil"/>
              <w:right w:val="single" w:sz="4" w:space="0" w:color="auto"/>
            </w:tcBorders>
            <w:vAlign w:val="center"/>
            <w:hideMark/>
          </w:tcPr>
          <w:p w14:paraId="263C0CE7" w14:textId="77777777" w:rsidR="00944613" w:rsidRPr="00086646" w:rsidRDefault="00944613" w:rsidP="00BB6153">
            <w:pPr>
              <w:jc w:val="center"/>
              <w:rPr>
                <w:rFonts w:ascii="Arial" w:hAnsi="Arial" w:cs="Arial"/>
                <w:color w:val="000000"/>
              </w:rPr>
            </w:pPr>
            <w:r w:rsidRPr="00086646">
              <w:rPr>
                <w:rFonts w:ascii="Arial" w:hAnsi="Arial" w:cs="Arial"/>
                <w:color w:val="000000"/>
              </w:rPr>
              <w:t>0</w:t>
            </w:r>
          </w:p>
        </w:tc>
        <w:tc>
          <w:tcPr>
            <w:tcW w:w="1036" w:type="dxa"/>
            <w:tcBorders>
              <w:top w:val="nil"/>
              <w:left w:val="nil"/>
              <w:bottom w:val="nil"/>
              <w:right w:val="nil"/>
            </w:tcBorders>
            <w:vAlign w:val="center"/>
            <w:hideMark/>
          </w:tcPr>
          <w:p w14:paraId="68C7AF91"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4FA7299D"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5AF44101" w14:textId="77777777" w:rsidR="00944613" w:rsidRPr="00086646" w:rsidRDefault="00944613" w:rsidP="00BB6153">
            <w:pPr>
              <w:jc w:val="center"/>
              <w:rPr>
                <w:rFonts w:ascii="Arial" w:hAnsi="Arial" w:cs="Arial"/>
                <w:color w:val="000000"/>
              </w:rPr>
            </w:pPr>
            <w:r w:rsidRPr="00086646">
              <w:rPr>
                <w:rFonts w:ascii="Arial" w:hAnsi="Arial" w:cs="Arial"/>
                <w:color w:val="000000"/>
              </w:rPr>
              <w:t>10.43</w:t>
            </w:r>
          </w:p>
        </w:tc>
        <w:tc>
          <w:tcPr>
            <w:tcW w:w="993" w:type="dxa"/>
            <w:tcBorders>
              <w:top w:val="nil"/>
              <w:left w:val="nil"/>
              <w:bottom w:val="nil"/>
              <w:right w:val="nil"/>
            </w:tcBorders>
            <w:vAlign w:val="center"/>
            <w:hideMark/>
          </w:tcPr>
          <w:p w14:paraId="676E9C73"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1974E6DC" w14:textId="77777777" w:rsidR="00944613" w:rsidRPr="00086646" w:rsidRDefault="00944613" w:rsidP="00BB6153">
            <w:pPr>
              <w:jc w:val="center"/>
              <w:rPr>
                <w:rFonts w:ascii="Arial" w:hAnsi="Arial" w:cs="Arial"/>
                <w:color w:val="000000"/>
              </w:rPr>
            </w:pPr>
            <w:r w:rsidRPr="00086646">
              <w:rPr>
                <w:rFonts w:ascii="Arial" w:hAnsi="Arial" w:cs="Arial"/>
                <w:color w:val="000000"/>
              </w:rPr>
              <w:t>−95.30</w:t>
            </w:r>
          </w:p>
        </w:tc>
        <w:tc>
          <w:tcPr>
            <w:tcW w:w="1276" w:type="dxa"/>
            <w:tcBorders>
              <w:top w:val="nil"/>
              <w:left w:val="nil"/>
              <w:bottom w:val="nil"/>
              <w:right w:val="nil"/>
            </w:tcBorders>
            <w:vAlign w:val="center"/>
            <w:hideMark/>
          </w:tcPr>
          <w:p w14:paraId="34C93BCC" w14:textId="77777777" w:rsidR="00944613" w:rsidRPr="00086646" w:rsidRDefault="00944613" w:rsidP="00BB6153">
            <w:pPr>
              <w:jc w:val="center"/>
              <w:rPr>
                <w:rFonts w:ascii="Arial" w:hAnsi="Arial" w:cs="Arial"/>
                <w:color w:val="000000"/>
              </w:rPr>
            </w:pPr>
            <w:r w:rsidRPr="00086646">
              <w:rPr>
                <w:rFonts w:ascii="Arial" w:hAnsi="Arial" w:cs="Arial"/>
                <w:color w:val="000000"/>
              </w:rPr>
              <w:t>2,707</w:t>
            </w:r>
          </w:p>
        </w:tc>
        <w:tc>
          <w:tcPr>
            <w:tcW w:w="871" w:type="dxa"/>
            <w:tcBorders>
              <w:top w:val="nil"/>
              <w:left w:val="nil"/>
              <w:bottom w:val="nil"/>
              <w:right w:val="nil"/>
            </w:tcBorders>
            <w:noWrap/>
            <w:vAlign w:val="center"/>
            <w:hideMark/>
          </w:tcPr>
          <w:p w14:paraId="2707CB97" w14:textId="77777777" w:rsidR="00944613" w:rsidRPr="00086646" w:rsidRDefault="00944613" w:rsidP="00BB6153">
            <w:pPr>
              <w:jc w:val="center"/>
              <w:rPr>
                <w:rFonts w:ascii="Arial" w:hAnsi="Arial" w:cs="Arial"/>
                <w:color w:val="000000"/>
              </w:rPr>
            </w:pPr>
            <w:r w:rsidRPr="00086646">
              <w:rPr>
                <w:rFonts w:ascii="Arial" w:hAnsi="Arial" w:cs="Arial"/>
                <w:color w:val="000000"/>
              </w:rPr>
              <w:t>95.99%</w:t>
            </w:r>
          </w:p>
        </w:tc>
      </w:tr>
      <w:tr w:rsidR="00944613" w:rsidRPr="00855BAA" w14:paraId="3C47D86E" w14:textId="77777777" w:rsidTr="00E571BE">
        <w:trPr>
          <w:trHeight w:val="516"/>
        </w:trPr>
        <w:tc>
          <w:tcPr>
            <w:tcW w:w="1100" w:type="dxa"/>
            <w:tcBorders>
              <w:top w:val="nil"/>
              <w:left w:val="nil"/>
              <w:bottom w:val="nil"/>
              <w:right w:val="single" w:sz="4" w:space="0" w:color="auto"/>
            </w:tcBorders>
            <w:vAlign w:val="center"/>
            <w:hideMark/>
          </w:tcPr>
          <w:p w14:paraId="138F1115" w14:textId="77777777" w:rsidR="00944613" w:rsidRPr="00086646" w:rsidRDefault="00944613" w:rsidP="00BB6153">
            <w:pPr>
              <w:jc w:val="center"/>
              <w:rPr>
                <w:rFonts w:ascii="Arial" w:hAnsi="Arial" w:cs="Arial"/>
                <w:color w:val="000000"/>
              </w:rPr>
            </w:pPr>
            <w:r w:rsidRPr="00086646">
              <w:rPr>
                <w:rFonts w:ascii="Arial" w:hAnsi="Arial" w:cs="Arial"/>
                <w:color w:val="000000"/>
              </w:rPr>
              <w:t>1</w:t>
            </w:r>
          </w:p>
        </w:tc>
        <w:tc>
          <w:tcPr>
            <w:tcW w:w="1036" w:type="dxa"/>
            <w:tcBorders>
              <w:top w:val="nil"/>
              <w:left w:val="nil"/>
              <w:bottom w:val="nil"/>
              <w:right w:val="nil"/>
            </w:tcBorders>
            <w:vAlign w:val="center"/>
            <w:hideMark/>
          </w:tcPr>
          <w:p w14:paraId="728F20C7"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77E95D70"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4EB2884C" w14:textId="77777777" w:rsidR="00944613" w:rsidRPr="00086646" w:rsidRDefault="00944613" w:rsidP="00BB6153">
            <w:pPr>
              <w:jc w:val="center"/>
              <w:rPr>
                <w:rFonts w:ascii="Arial" w:hAnsi="Arial" w:cs="Arial"/>
                <w:color w:val="000000"/>
              </w:rPr>
            </w:pPr>
            <w:r w:rsidRPr="00086646">
              <w:rPr>
                <w:rFonts w:ascii="Arial" w:hAnsi="Arial" w:cs="Arial"/>
                <w:color w:val="000000"/>
              </w:rPr>
              <w:t>39.85</w:t>
            </w:r>
          </w:p>
        </w:tc>
        <w:tc>
          <w:tcPr>
            <w:tcW w:w="993" w:type="dxa"/>
            <w:tcBorders>
              <w:top w:val="nil"/>
              <w:left w:val="nil"/>
              <w:bottom w:val="nil"/>
              <w:right w:val="nil"/>
            </w:tcBorders>
            <w:vAlign w:val="center"/>
            <w:hideMark/>
          </w:tcPr>
          <w:p w14:paraId="3223BA21"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1FA85AC2" w14:textId="77777777" w:rsidR="00944613" w:rsidRPr="00086646" w:rsidRDefault="00944613" w:rsidP="00BB6153">
            <w:pPr>
              <w:jc w:val="center"/>
              <w:rPr>
                <w:rFonts w:ascii="Arial" w:hAnsi="Arial" w:cs="Arial"/>
                <w:color w:val="000000"/>
              </w:rPr>
            </w:pPr>
            <w:r w:rsidRPr="00086646">
              <w:rPr>
                <w:rFonts w:ascii="Arial" w:hAnsi="Arial" w:cs="Arial"/>
                <w:color w:val="000000"/>
              </w:rPr>
              <w:t>−88.54</w:t>
            </w:r>
          </w:p>
        </w:tc>
        <w:tc>
          <w:tcPr>
            <w:tcW w:w="1276" w:type="dxa"/>
            <w:tcBorders>
              <w:top w:val="nil"/>
              <w:left w:val="nil"/>
              <w:bottom w:val="nil"/>
              <w:right w:val="nil"/>
            </w:tcBorders>
            <w:vAlign w:val="center"/>
            <w:hideMark/>
          </w:tcPr>
          <w:p w14:paraId="18AE84FE" w14:textId="77777777" w:rsidR="00944613" w:rsidRPr="00086646" w:rsidRDefault="00944613" w:rsidP="00BB6153">
            <w:pPr>
              <w:jc w:val="center"/>
              <w:rPr>
                <w:rFonts w:ascii="Arial" w:hAnsi="Arial" w:cs="Arial"/>
                <w:color w:val="000000"/>
              </w:rPr>
            </w:pPr>
            <w:r w:rsidRPr="00086646">
              <w:rPr>
                <w:rFonts w:ascii="Arial" w:hAnsi="Arial" w:cs="Arial"/>
                <w:color w:val="000000"/>
              </w:rPr>
              <w:t>1,053</w:t>
            </w:r>
          </w:p>
        </w:tc>
        <w:tc>
          <w:tcPr>
            <w:tcW w:w="871" w:type="dxa"/>
            <w:tcBorders>
              <w:top w:val="nil"/>
              <w:left w:val="nil"/>
              <w:bottom w:val="nil"/>
              <w:right w:val="nil"/>
            </w:tcBorders>
            <w:noWrap/>
            <w:vAlign w:val="center"/>
            <w:hideMark/>
          </w:tcPr>
          <w:p w14:paraId="7A30C6CE" w14:textId="77777777" w:rsidR="00944613" w:rsidRPr="00086646" w:rsidRDefault="00944613" w:rsidP="00BB6153">
            <w:pPr>
              <w:jc w:val="center"/>
              <w:rPr>
                <w:rFonts w:ascii="Arial" w:hAnsi="Arial" w:cs="Arial"/>
                <w:color w:val="000000"/>
              </w:rPr>
            </w:pPr>
            <w:r w:rsidRPr="00086646">
              <w:rPr>
                <w:rFonts w:ascii="Arial" w:hAnsi="Arial" w:cs="Arial"/>
                <w:color w:val="000000"/>
              </w:rPr>
              <w:t>96.00%</w:t>
            </w:r>
          </w:p>
        </w:tc>
      </w:tr>
      <w:tr w:rsidR="00944613" w:rsidRPr="00855BAA" w14:paraId="72B7B09E" w14:textId="77777777" w:rsidTr="00E571BE">
        <w:trPr>
          <w:trHeight w:val="516"/>
        </w:trPr>
        <w:tc>
          <w:tcPr>
            <w:tcW w:w="1100" w:type="dxa"/>
            <w:tcBorders>
              <w:top w:val="nil"/>
              <w:left w:val="nil"/>
              <w:bottom w:val="nil"/>
              <w:right w:val="single" w:sz="4" w:space="0" w:color="auto"/>
            </w:tcBorders>
            <w:vAlign w:val="center"/>
            <w:hideMark/>
          </w:tcPr>
          <w:p w14:paraId="2B46B6B9" w14:textId="77777777" w:rsidR="00944613" w:rsidRPr="00086646" w:rsidRDefault="00944613" w:rsidP="00BB6153">
            <w:pPr>
              <w:jc w:val="center"/>
              <w:rPr>
                <w:rFonts w:ascii="Arial" w:hAnsi="Arial" w:cs="Arial"/>
                <w:color w:val="000000"/>
              </w:rPr>
            </w:pPr>
            <w:r w:rsidRPr="00086646">
              <w:rPr>
                <w:rFonts w:ascii="Arial" w:hAnsi="Arial" w:cs="Arial"/>
                <w:color w:val="000000"/>
              </w:rPr>
              <w:t>2</w:t>
            </w:r>
          </w:p>
        </w:tc>
        <w:tc>
          <w:tcPr>
            <w:tcW w:w="1036" w:type="dxa"/>
            <w:tcBorders>
              <w:top w:val="nil"/>
              <w:left w:val="nil"/>
              <w:bottom w:val="nil"/>
              <w:right w:val="nil"/>
            </w:tcBorders>
            <w:vAlign w:val="center"/>
            <w:hideMark/>
          </w:tcPr>
          <w:p w14:paraId="52DCAAFA"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76981581"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437DEA27" w14:textId="77777777" w:rsidR="00944613" w:rsidRPr="00086646" w:rsidRDefault="00944613" w:rsidP="00BB6153">
            <w:pPr>
              <w:jc w:val="center"/>
              <w:rPr>
                <w:rFonts w:ascii="Arial" w:hAnsi="Arial" w:cs="Arial"/>
                <w:color w:val="000000"/>
              </w:rPr>
            </w:pPr>
            <w:r w:rsidRPr="00086646">
              <w:rPr>
                <w:rFonts w:ascii="Arial" w:hAnsi="Arial" w:cs="Arial"/>
                <w:color w:val="000000"/>
              </w:rPr>
              <w:t>41.57</w:t>
            </w:r>
          </w:p>
        </w:tc>
        <w:tc>
          <w:tcPr>
            <w:tcW w:w="993" w:type="dxa"/>
            <w:tcBorders>
              <w:top w:val="nil"/>
              <w:left w:val="nil"/>
              <w:bottom w:val="nil"/>
              <w:right w:val="nil"/>
            </w:tcBorders>
            <w:vAlign w:val="center"/>
            <w:hideMark/>
          </w:tcPr>
          <w:p w14:paraId="508CB069"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4058889B" w14:textId="77777777" w:rsidR="00944613" w:rsidRPr="00086646" w:rsidRDefault="00944613" w:rsidP="00BB6153">
            <w:pPr>
              <w:jc w:val="center"/>
              <w:rPr>
                <w:rFonts w:ascii="Arial" w:hAnsi="Arial" w:cs="Arial"/>
                <w:color w:val="000000"/>
              </w:rPr>
            </w:pPr>
            <w:r w:rsidRPr="00086646">
              <w:rPr>
                <w:rFonts w:ascii="Arial" w:hAnsi="Arial" w:cs="Arial"/>
                <w:color w:val="000000"/>
              </w:rPr>
              <w:t>−91.09</w:t>
            </w:r>
          </w:p>
        </w:tc>
        <w:tc>
          <w:tcPr>
            <w:tcW w:w="1276" w:type="dxa"/>
            <w:tcBorders>
              <w:top w:val="nil"/>
              <w:left w:val="nil"/>
              <w:bottom w:val="nil"/>
              <w:right w:val="nil"/>
            </w:tcBorders>
            <w:vAlign w:val="center"/>
            <w:hideMark/>
          </w:tcPr>
          <w:p w14:paraId="1F7D81B2" w14:textId="77777777" w:rsidR="00944613" w:rsidRPr="00086646" w:rsidRDefault="00944613" w:rsidP="00BB6153">
            <w:pPr>
              <w:jc w:val="center"/>
              <w:rPr>
                <w:rFonts w:ascii="Arial" w:hAnsi="Arial" w:cs="Arial"/>
                <w:color w:val="000000"/>
              </w:rPr>
            </w:pPr>
            <w:r w:rsidRPr="00086646">
              <w:rPr>
                <w:rFonts w:ascii="Arial" w:hAnsi="Arial" w:cs="Arial"/>
                <w:color w:val="000000"/>
              </w:rPr>
              <w:t>637.1</w:t>
            </w:r>
          </w:p>
        </w:tc>
        <w:tc>
          <w:tcPr>
            <w:tcW w:w="871" w:type="dxa"/>
            <w:tcBorders>
              <w:top w:val="nil"/>
              <w:left w:val="nil"/>
              <w:bottom w:val="nil"/>
              <w:right w:val="nil"/>
            </w:tcBorders>
            <w:noWrap/>
            <w:vAlign w:val="center"/>
            <w:hideMark/>
          </w:tcPr>
          <w:p w14:paraId="2CE545E8" w14:textId="77777777" w:rsidR="00944613" w:rsidRPr="00086646" w:rsidRDefault="00944613" w:rsidP="00BB6153">
            <w:pPr>
              <w:jc w:val="center"/>
              <w:rPr>
                <w:rFonts w:ascii="Arial" w:hAnsi="Arial" w:cs="Arial"/>
                <w:color w:val="000000"/>
              </w:rPr>
            </w:pPr>
            <w:r w:rsidRPr="00086646">
              <w:rPr>
                <w:rFonts w:ascii="Arial" w:hAnsi="Arial" w:cs="Arial"/>
                <w:color w:val="000000"/>
              </w:rPr>
              <w:t>95.00%</w:t>
            </w:r>
          </w:p>
        </w:tc>
      </w:tr>
      <w:tr w:rsidR="00944613" w:rsidRPr="00855BAA" w14:paraId="69AF51E8" w14:textId="77777777" w:rsidTr="00E571BE">
        <w:trPr>
          <w:trHeight w:val="516"/>
        </w:trPr>
        <w:tc>
          <w:tcPr>
            <w:tcW w:w="1100" w:type="dxa"/>
            <w:tcBorders>
              <w:top w:val="nil"/>
              <w:left w:val="nil"/>
              <w:bottom w:val="nil"/>
              <w:right w:val="single" w:sz="4" w:space="0" w:color="auto"/>
            </w:tcBorders>
            <w:vAlign w:val="center"/>
            <w:hideMark/>
          </w:tcPr>
          <w:p w14:paraId="0BFF875A" w14:textId="77777777" w:rsidR="00944613" w:rsidRPr="00086646" w:rsidRDefault="00944613" w:rsidP="00BB6153">
            <w:pPr>
              <w:jc w:val="center"/>
              <w:rPr>
                <w:rFonts w:ascii="Arial" w:hAnsi="Arial" w:cs="Arial"/>
                <w:color w:val="000000"/>
              </w:rPr>
            </w:pPr>
            <w:r w:rsidRPr="00086646">
              <w:rPr>
                <w:rFonts w:ascii="Arial" w:hAnsi="Arial" w:cs="Arial"/>
                <w:color w:val="000000"/>
              </w:rPr>
              <w:t>3</w:t>
            </w:r>
          </w:p>
        </w:tc>
        <w:tc>
          <w:tcPr>
            <w:tcW w:w="1036" w:type="dxa"/>
            <w:tcBorders>
              <w:top w:val="nil"/>
              <w:left w:val="nil"/>
              <w:bottom w:val="nil"/>
              <w:right w:val="nil"/>
            </w:tcBorders>
            <w:vAlign w:val="center"/>
            <w:hideMark/>
          </w:tcPr>
          <w:p w14:paraId="64F8352D" w14:textId="77777777" w:rsidR="00944613" w:rsidRPr="00086646" w:rsidRDefault="00944613" w:rsidP="00BB6153">
            <w:pPr>
              <w:jc w:val="center"/>
              <w:rPr>
                <w:rFonts w:ascii="Arial" w:hAnsi="Arial" w:cs="Arial"/>
                <w:color w:val="000000"/>
              </w:rPr>
            </w:pPr>
            <w:r w:rsidRPr="00086646">
              <w:rPr>
                <w:rFonts w:ascii="Arial" w:hAnsi="Arial" w:cs="Arial"/>
                <w:color w:val="000000"/>
              </w:rPr>
              <w:t>3,000</w:t>
            </w:r>
          </w:p>
        </w:tc>
        <w:tc>
          <w:tcPr>
            <w:tcW w:w="983" w:type="dxa"/>
            <w:tcBorders>
              <w:top w:val="nil"/>
              <w:left w:val="nil"/>
              <w:bottom w:val="nil"/>
              <w:right w:val="nil"/>
            </w:tcBorders>
            <w:vAlign w:val="center"/>
            <w:hideMark/>
          </w:tcPr>
          <w:p w14:paraId="211CE301" w14:textId="77777777" w:rsidR="00944613" w:rsidRPr="00086646" w:rsidRDefault="00944613" w:rsidP="00BB6153">
            <w:pPr>
              <w:jc w:val="center"/>
              <w:rPr>
                <w:rFonts w:ascii="Arial" w:hAnsi="Arial" w:cs="Arial"/>
                <w:color w:val="000000"/>
              </w:rPr>
            </w:pPr>
            <w:r w:rsidRPr="00086646">
              <w:rPr>
                <w:rFonts w:ascii="Arial" w:hAnsi="Arial" w:cs="Arial"/>
                <w:color w:val="000000"/>
              </w:rPr>
              <w:t>−95</w:t>
            </w:r>
          </w:p>
        </w:tc>
        <w:tc>
          <w:tcPr>
            <w:tcW w:w="958" w:type="dxa"/>
            <w:tcBorders>
              <w:top w:val="nil"/>
              <w:left w:val="nil"/>
              <w:bottom w:val="nil"/>
              <w:right w:val="nil"/>
            </w:tcBorders>
            <w:vAlign w:val="center"/>
            <w:hideMark/>
          </w:tcPr>
          <w:p w14:paraId="6C3D672A" w14:textId="77777777" w:rsidR="00944613" w:rsidRPr="00086646" w:rsidRDefault="00944613" w:rsidP="00BB6153">
            <w:pPr>
              <w:jc w:val="center"/>
              <w:rPr>
                <w:rFonts w:ascii="Arial" w:hAnsi="Arial" w:cs="Arial"/>
                <w:color w:val="000000"/>
              </w:rPr>
            </w:pPr>
            <w:r w:rsidRPr="00086646">
              <w:rPr>
                <w:rFonts w:ascii="Arial" w:hAnsi="Arial" w:cs="Arial"/>
                <w:color w:val="000000"/>
              </w:rPr>
              <w:t>33.17</w:t>
            </w:r>
          </w:p>
        </w:tc>
        <w:tc>
          <w:tcPr>
            <w:tcW w:w="993" w:type="dxa"/>
            <w:tcBorders>
              <w:top w:val="nil"/>
              <w:left w:val="nil"/>
              <w:bottom w:val="nil"/>
              <w:right w:val="nil"/>
            </w:tcBorders>
            <w:vAlign w:val="center"/>
            <w:hideMark/>
          </w:tcPr>
          <w:p w14:paraId="0AABB33E" w14:textId="77777777" w:rsidR="00944613" w:rsidRPr="00086646" w:rsidRDefault="00944613" w:rsidP="00BB6153">
            <w:pPr>
              <w:jc w:val="center"/>
              <w:rPr>
                <w:rFonts w:ascii="Arial" w:hAnsi="Arial" w:cs="Arial"/>
                <w:color w:val="000000"/>
              </w:rPr>
            </w:pPr>
            <w:r w:rsidRPr="00086646">
              <w:rPr>
                <w:rFonts w:ascii="Arial" w:hAnsi="Arial" w:cs="Arial"/>
                <w:color w:val="000000"/>
              </w:rPr>
              <w:t>2,275</w:t>
            </w:r>
          </w:p>
        </w:tc>
        <w:tc>
          <w:tcPr>
            <w:tcW w:w="992" w:type="dxa"/>
            <w:tcBorders>
              <w:top w:val="nil"/>
              <w:left w:val="nil"/>
              <w:bottom w:val="nil"/>
              <w:right w:val="nil"/>
            </w:tcBorders>
            <w:vAlign w:val="center"/>
            <w:hideMark/>
          </w:tcPr>
          <w:p w14:paraId="78080419" w14:textId="77777777" w:rsidR="00944613" w:rsidRPr="00086646" w:rsidRDefault="00944613" w:rsidP="00BB6153">
            <w:pPr>
              <w:jc w:val="center"/>
              <w:rPr>
                <w:rFonts w:ascii="Arial" w:hAnsi="Arial" w:cs="Arial"/>
                <w:color w:val="000000"/>
              </w:rPr>
            </w:pPr>
            <w:r w:rsidRPr="00086646">
              <w:rPr>
                <w:rFonts w:ascii="Arial" w:hAnsi="Arial" w:cs="Arial"/>
                <w:color w:val="000000"/>
              </w:rPr>
              <w:t>−89.86</w:t>
            </w:r>
          </w:p>
        </w:tc>
        <w:tc>
          <w:tcPr>
            <w:tcW w:w="1276" w:type="dxa"/>
            <w:tcBorders>
              <w:top w:val="nil"/>
              <w:left w:val="nil"/>
              <w:bottom w:val="nil"/>
              <w:right w:val="nil"/>
            </w:tcBorders>
            <w:vAlign w:val="center"/>
            <w:hideMark/>
          </w:tcPr>
          <w:p w14:paraId="66922439" w14:textId="77777777" w:rsidR="00944613" w:rsidRPr="00086646" w:rsidRDefault="00944613" w:rsidP="00BB6153">
            <w:pPr>
              <w:jc w:val="center"/>
              <w:rPr>
                <w:rFonts w:ascii="Arial" w:hAnsi="Arial" w:cs="Arial"/>
                <w:color w:val="000000"/>
              </w:rPr>
            </w:pPr>
            <w:r w:rsidRPr="00086646">
              <w:rPr>
                <w:rFonts w:ascii="Arial" w:hAnsi="Arial" w:cs="Arial"/>
                <w:color w:val="000000"/>
              </w:rPr>
              <w:t>1,772</w:t>
            </w:r>
          </w:p>
        </w:tc>
        <w:tc>
          <w:tcPr>
            <w:tcW w:w="871" w:type="dxa"/>
            <w:tcBorders>
              <w:top w:val="nil"/>
              <w:left w:val="nil"/>
              <w:bottom w:val="nil"/>
              <w:right w:val="nil"/>
            </w:tcBorders>
            <w:noWrap/>
            <w:vAlign w:val="center"/>
            <w:hideMark/>
          </w:tcPr>
          <w:p w14:paraId="0F848357" w14:textId="77777777" w:rsidR="00944613" w:rsidRPr="00086646" w:rsidRDefault="00944613" w:rsidP="00BB6153">
            <w:pPr>
              <w:jc w:val="center"/>
              <w:rPr>
                <w:rFonts w:ascii="Arial" w:hAnsi="Arial" w:cs="Arial"/>
                <w:color w:val="000000"/>
              </w:rPr>
            </w:pPr>
            <w:r w:rsidRPr="00086646">
              <w:rPr>
                <w:rFonts w:ascii="Arial" w:hAnsi="Arial" w:cs="Arial"/>
                <w:color w:val="000000"/>
              </w:rPr>
              <w:t>96.00%</w:t>
            </w:r>
          </w:p>
        </w:tc>
      </w:tr>
    </w:tbl>
    <w:p w14:paraId="05E61F0E" w14:textId="77777777" w:rsidR="00944613" w:rsidRPr="00855BAA" w:rsidRDefault="00944613" w:rsidP="00944613">
      <w:pPr>
        <w:rPr>
          <w:rFonts w:ascii="Arial" w:hAnsi="Arial" w:cs="Arial"/>
        </w:rPr>
      </w:pPr>
    </w:p>
    <w:p w14:paraId="68421388" w14:textId="21FD6B04" w:rsidR="00944613" w:rsidRPr="00E571BE" w:rsidRDefault="00944613" w:rsidP="00944613">
      <w:pPr>
        <w:pStyle w:val="Tables"/>
        <w:rPr>
          <w:rFonts w:ascii="Arial" w:hAnsi="Arial" w:cs="Arial"/>
          <w:sz w:val="20"/>
          <w:szCs w:val="20"/>
        </w:rPr>
      </w:pPr>
      <w:r w:rsidRPr="00E571BE">
        <w:rPr>
          <w:rFonts w:ascii="Arial" w:hAnsi="Arial" w:cs="Arial"/>
          <w:sz w:val="20"/>
          <w:szCs w:val="20"/>
        </w:rPr>
        <w:t xml:space="preserve">Table </w:t>
      </w:r>
      <w:proofErr w:type="gramStart"/>
      <w:r w:rsidRPr="00E571BE">
        <w:rPr>
          <w:rFonts w:ascii="Arial" w:hAnsi="Arial" w:cs="Arial"/>
          <w:sz w:val="20"/>
          <w:szCs w:val="20"/>
        </w:rPr>
        <w:t>5  Lean</w:t>
      </w:r>
      <w:proofErr w:type="gramEnd"/>
      <w:r w:rsidRPr="00E571BE">
        <w:rPr>
          <w:rFonts w:ascii="Arial" w:hAnsi="Arial" w:cs="Arial"/>
          <w:sz w:val="20"/>
          <w:szCs w:val="20"/>
        </w:rPr>
        <w:t xml:space="preserve"> Gas Compositions of the Clusters (Mole Fractions) – from UniSim Design</w:t>
      </w:r>
      <w:bookmarkEnd w:id="5"/>
    </w:p>
    <w:tbl>
      <w:tblPr>
        <w:tblW w:w="6771" w:type="dxa"/>
        <w:tblLook w:val="04A0" w:firstRow="1" w:lastRow="0" w:firstColumn="1" w:lastColumn="0" w:noHBand="0" w:noVBand="1"/>
      </w:tblPr>
      <w:tblGrid>
        <w:gridCol w:w="1360"/>
        <w:gridCol w:w="875"/>
        <w:gridCol w:w="850"/>
        <w:gridCol w:w="992"/>
        <w:gridCol w:w="993"/>
        <w:gridCol w:w="717"/>
        <w:gridCol w:w="984"/>
      </w:tblGrid>
      <w:tr w:rsidR="00944613" w:rsidRPr="00855BAA" w14:paraId="0F4A0B2A" w14:textId="77777777" w:rsidTr="00E571BE">
        <w:trPr>
          <w:trHeight w:val="276"/>
        </w:trPr>
        <w:tc>
          <w:tcPr>
            <w:tcW w:w="1360" w:type="dxa"/>
            <w:tcBorders>
              <w:top w:val="nil"/>
              <w:left w:val="nil"/>
              <w:bottom w:val="single" w:sz="8" w:space="0" w:color="auto"/>
              <w:right w:val="single" w:sz="4" w:space="0" w:color="auto"/>
            </w:tcBorders>
            <w:noWrap/>
            <w:vAlign w:val="bottom"/>
            <w:hideMark/>
          </w:tcPr>
          <w:p w14:paraId="49F4322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875" w:type="dxa"/>
            <w:tcBorders>
              <w:top w:val="nil"/>
              <w:left w:val="nil"/>
              <w:bottom w:val="single" w:sz="8" w:space="0" w:color="auto"/>
              <w:right w:val="nil"/>
            </w:tcBorders>
            <w:noWrap/>
            <w:vAlign w:val="bottom"/>
            <w:hideMark/>
          </w:tcPr>
          <w:p w14:paraId="38340124" w14:textId="77777777" w:rsidR="00944613" w:rsidRPr="00855BAA" w:rsidRDefault="00944613" w:rsidP="00BB6153">
            <w:pPr>
              <w:jc w:val="center"/>
              <w:rPr>
                <w:rFonts w:ascii="Arial" w:hAnsi="Arial" w:cs="Arial"/>
                <w:b/>
                <w:color w:val="000000"/>
              </w:rPr>
            </w:pPr>
            <w:r w:rsidRPr="00855BAA">
              <w:rPr>
                <w:rFonts w:ascii="Arial" w:hAnsi="Arial" w:cs="Arial"/>
                <w:b/>
                <w:color w:val="000000"/>
              </w:rPr>
              <w:t>N</w:t>
            </w:r>
            <w:r w:rsidRPr="00855BAA">
              <w:rPr>
                <w:rFonts w:ascii="Arial" w:hAnsi="Arial" w:cs="Arial"/>
                <w:b/>
                <w:color w:val="000000"/>
                <w:vertAlign w:val="subscript"/>
              </w:rPr>
              <w:t>2</w:t>
            </w:r>
          </w:p>
        </w:tc>
        <w:tc>
          <w:tcPr>
            <w:tcW w:w="850" w:type="dxa"/>
            <w:tcBorders>
              <w:top w:val="nil"/>
              <w:left w:val="nil"/>
              <w:bottom w:val="single" w:sz="8" w:space="0" w:color="auto"/>
              <w:right w:val="nil"/>
            </w:tcBorders>
            <w:noWrap/>
            <w:vAlign w:val="bottom"/>
            <w:hideMark/>
          </w:tcPr>
          <w:p w14:paraId="3E1CA429"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CO</w:t>
            </w:r>
            <w:r w:rsidRPr="00855BAA">
              <w:rPr>
                <w:rFonts w:ascii="Arial" w:hAnsi="Arial" w:cs="Arial"/>
                <w:b/>
                <w:color w:val="000000"/>
                <w:vertAlign w:val="subscript"/>
              </w:rPr>
              <w:t>2</w:t>
            </w:r>
          </w:p>
        </w:tc>
        <w:tc>
          <w:tcPr>
            <w:tcW w:w="992" w:type="dxa"/>
            <w:tcBorders>
              <w:top w:val="nil"/>
              <w:left w:val="nil"/>
              <w:bottom w:val="single" w:sz="8" w:space="0" w:color="auto"/>
              <w:right w:val="nil"/>
            </w:tcBorders>
            <w:noWrap/>
            <w:vAlign w:val="bottom"/>
            <w:hideMark/>
          </w:tcPr>
          <w:p w14:paraId="6BD289D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CH</w:t>
            </w:r>
            <w:r w:rsidRPr="00855BAA">
              <w:rPr>
                <w:rFonts w:ascii="Arial" w:hAnsi="Arial" w:cs="Arial"/>
                <w:b/>
                <w:color w:val="000000"/>
                <w:vertAlign w:val="subscript"/>
              </w:rPr>
              <w:t>4</w:t>
            </w:r>
          </w:p>
        </w:tc>
        <w:tc>
          <w:tcPr>
            <w:tcW w:w="993" w:type="dxa"/>
            <w:tcBorders>
              <w:top w:val="nil"/>
              <w:left w:val="nil"/>
              <w:bottom w:val="single" w:sz="8" w:space="0" w:color="auto"/>
              <w:right w:val="nil"/>
            </w:tcBorders>
            <w:noWrap/>
            <w:vAlign w:val="bottom"/>
            <w:hideMark/>
          </w:tcPr>
          <w:p w14:paraId="06FDF75D"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2</w:t>
            </w:r>
            <w:r w:rsidRPr="00855BAA">
              <w:rPr>
                <w:rFonts w:ascii="Arial" w:hAnsi="Arial" w:cs="Arial"/>
                <w:b/>
                <w:color w:val="000000"/>
              </w:rPr>
              <w:t>H</w:t>
            </w:r>
            <w:r w:rsidRPr="00855BAA">
              <w:rPr>
                <w:rFonts w:ascii="Arial" w:hAnsi="Arial" w:cs="Arial"/>
                <w:b/>
                <w:color w:val="000000"/>
                <w:vertAlign w:val="subscript"/>
              </w:rPr>
              <w:t>6</w:t>
            </w:r>
          </w:p>
        </w:tc>
        <w:tc>
          <w:tcPr>
            <w:tcW w:w="717" w:type="dxa"/>
            <w:tcBorders>
              <w:top w:val="nil"/>
              <w:left w:val="nil"/>
              <w:bottom w:val="single" w:sz="8" w:space="0" w:color="auto"/>
              <w:right w:val="nil"/>
            </w:tcBorders>
            <w:noWrap/>
            <w:vAlign w:val="bottom"/>
            <w:hideMark/>
          </w:tcPr>
          <w:p w14:paraId="58075591"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3</w:t>
            </w:r>
            <w:r w:rsidRPr="00855BAA">
              <w:rPr>
                <w:rFonts w:ascii="Arial" w:hAnsi="Arial" w:cs="Arial"/>
                <w:b/>
                <w:color w:val="000000"/>
              </w:rPr>
              <w:t>H</w:t>
            </w:r>
            <w:r w:rsidRPr="00855BAA">
              <w:rPr>
                <w:rFonts w:ascii="Arial" w:hAnsi="Arial" w:cs="Arial"/>
                <w:b/>
                <w:color w:val="000000"/>
                <w:vertAlign w:val="subscript"/>
              </w:rPr>
              <w:t>8</w:t>
            </w:r>
          </w:p>
        </w:tc>
        <w:tc>
          <w:tcPr>
            <w:tcW w:w="984" w:type="dxa"/>
            <w:tcBorders>
              <w:top w:val="nil"/>
              <w:left w:val="nil"/>
              <w:bottom w:val="single" w:sz="8" w:space="0" w:color="auto"/>
              <w:right w:val="nil"/>
            </w:tcBorders>
            <w:noWrap/>
            <w:vAlign w:val="bottom"/>
            <w:hideMark/>
          </w:tcPr>
          <w:p w14:paraId="2C6A9104"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w:t>
            </w:r>
            <w:r w:rsidRPr="00855BAA">
              <w:rPr>
                <w:rFonts w:ascii="Arial" w:hAnsi="Arial" w:cs="Arial"/>
                <w:b/>
                <w:color w:val="000000"/>
                <w:vertAlign w:val="subscript"/>
              </w:rPr>
              <w:t>4</w:t>
            </w:r>
            <w:r w:rsidRPr="00855BAA">
              <w:rPr>
                <w:rFonts w:ascii="Arial" w:hAnsi="Arial" w:cs="Arial"/>
                <w:b/>
                <w:color w:val="000000"/>
              </w:rPr>
              <w:t xml:space="preserve"> +</w:t>
            </w:r>
          </w:p>
        </w:tc>
      </w:tr>
      <w:tr w:rsidR="00944613" w:rsidRPr="00855BAA" w14:paraId="0FA6389C" w14:textId="77777777" w:rsidTr="00E571BE">
        <w:trPr>
          <w:trHeight w:val="501"/>
        </w:trPr>
        <w:tc>
          <w:tcPr>
            <w:tcW w:w="1360" w:type="dxa"/>
            <w:tcBorders>
              <w:top w:val="nil"/>
              <w:left w:val="nil"/>
              <w:bottom w:val="nil"/>
              <w:right w:val="single" w:sz="4" w:space="0" w:color="auto"/>
            </w:tcBorders>
            <w:noWrap/>
            <w:vAlign w:val="bottom"/>
            <w:hideMark/>
          </w:tcPr>
          <w:p w14:paraId="269B1364"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0</w:t>
            </w:r>
          </w:p>
        </w:tc>
        <w:tc>
          <w:tcPr>
            <w:tcW w:w="875" w:type="dxa"/>
            <w:tcBorders>
              <w:top w:val="nil"/>
              <w:left w:val="nil"/>
              <w:bottom w:val="nil"/>
              <w:right w:val="nil"/>
            </w:tcBorders>
            <w:noWrap/>
            <w:vAlign w:val="bottom"/>
            <w:hideMark/>
          </w:tcPr>
          <w:p w14:paraId="2643A198" w14:textId="77777777" w:rsidR="00944613" w:rsidRPr="00855BAA" w:rsidRDefault="00944613" w:rsidP="00BB6153">
            <w:pPr>
              <w:jc w:val="center"/>
              <w:rPr>
                <w:rFonts w:ascii="Arial" w:hAnsi="Arial" w:cs="Arial"/>
                <w:color w:val="000000"/>
              </w:rPr>
            </w:pPr>
            <w:r w:rsidRPr="00855BAA">
              <w:rPr>
                <w:rFonts w:ascii="Arial" w:hAnsi="Arial" w:cs="Arial"/>
                <w:color w:val="000000"/>
              </w:rPr>
              <w:t>0.008</w:t>
            </w:r>
          </w:p>
        </w:tc>
        <w:tc>
          <w:tcPr>
            <w:tcW w:w="850" w:type="dxa"/>
            <w:tcBorders>
              <w:top w:val="nil"/>
              <w:left w:val="nil"/>
              <w:bottom w:val="nil"/>
              <w:right w:val="nil"/>
            </w:tcBorders>
            <w:noWrap/>
            <w:vAlign w:val="bottom"/>
            <w:hideMark/>
          </w:tcPr>
          <w:p w14:paraId="0B9B1BE3" w14:textId="77777777" w:rsidR="00944613" w:rsidRPr="00855BAA" w:rsidRDefault="00944613" w:rsidP="00BB6153">
            <w:pPr>
              <w:jc w:val="center"/>
              <w:rPr>
                <w:rFonts w:ascii="Arial" w:hAnsi="Arial" w:cs="Arial"/>
                <w:color w:val="000000"/>
              </w:rPr>
            </w:pPr>
            <w:r w:rsidRPr="00855BAA">
              <w:rPr>
                <w:rFonts w:ascii="Arial" w:hAnsi="Arial" w:cs="Arial"/>
                <w:color w:val="000000"/>
              </w:rPr>
              <w:t>0.022</w:t>
            </w:r>
          </w:p>
        </w:tc>
        <w:tc>
          <w:tcPr>
            <w:tcW w:w="992" w:type="dxa"/>
            <w:tcBorders>
              <w:top w:val="nil"/>
              <w:left w:val="nil"/>
              <w:bottom w:val="nil"/>
              <w:right w:val="nil"/>
            </w:tcBorders>
            <w:noWrap/>
            <w:vAlign w:val="bottom"/>
            <w:hideMark/>
          </w:tcPr>
          <w:p w14:paraId="58899ADF"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32073AD3" w14:textId="77777777" w:rsidR="00944613" w:rsidRPr="00855BAA" w:rsidRDefault="00944613" w:rsidP="00BB6153">
            <w:pPr>
              <w:jc w:val="center"/>
              <w:rPr>
                <w:rFonts w:ascii="Arial" w:hAnsi="Arial" w:cs="Arial"/>
                <w:color w:val="000000"/>
              </w:rPr>
            </w:pPr>
            <w:r w:rsidRPr="00855BAA">
              <w:rPr>
                <w:rFonts w:ascii="Arial" w:hAnsi="Arial" w:cs="Arial"/>
                <w:color w:val="000000"/>
              </w:rPr>
              <w:t>0.01</w:t>
            </w:r>
          </w:p>
        </w:tc>
        <w:tc>
          <w:tcPr>
            <w:tcW w:w="717" w:type="dxa"/>
            <w:tcBorders>
              <w:top w:val="nil"/>
              <w:left w:val="nil"/>
              <w:bottom w:val="nil"/>
              <w:right w:val="nil"/>
            </w:tcBorders>
            <w:noWrap/>
            <w:vAlign w:val="bottom"/>
            <w:hideMark/>
          </w:tcPr>
          <w:p w14:paraId="5A687403"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984" w:type="dxa"/>
            <w:tcBorders>
              <w:top w:val="nil"/>
              <w:left w:val="nil"/>
              <w:bottom w:val="nil"/>
              <w:right w:val="nil"/>
            </w:tcBorders>
            <w:noWrap/>
            <w:vAlign w:val="bottom"/>
            <w:hideMark/>
          </w:tcPr>
          <w:p w14:paraId="74377C3D"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54AD1199" w14:textId="77777777" w:rsidTr="00E571BE">
        <w:trPr>
          <w:trHeight w:val="501"/>
        </w:trPr>
        <w:tc>
          <w:tcPr>
            <w:tcW w:w="1360" w:type="dxa"/>
            <w:tcBorders>
              <w:top w:val="nil"/>
              <w:left w:val="nil"/>
              <w:bottom w:val="nil"/>
              <w:right w:val="single" w:sz="4" w:space="0" w:color="auto"/>
            </w:tcBorders>
            <w:noWrap/>
            <w:vAlign w:val="bottom"/>
            <w:hideMark/>
          </w:tcPr>
          <w:p w14:paraId="76D6634E"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1</w:t>
            </w:r>
          </w:p>
        </w:tc>
        <w:tc>
          <w:tcPr>
            <w:tcW w:w="875" w:type="dxa"/>
            <w:tcBorders>
              <w:top w:val="nil"/>
              <w:left w:val="nil"/>
              <w:bottom w:val="nil"/>
              <w:right w:val="nil"/>
            </w:tcBorders>
            <w:noWrap/>
            <w:vAlign w:val="bottom"/>
            <w:hideMark/>
          </w:tcPr>
          <w:p w14:paraId="19AC8EBD"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850" w:type="dxa"/>
            <w:tcBorders>
              <w:top w:val="nil"/>
              <w:left w:val="nil"/>
              <w:bottom w:val="nil"/>
              <w:right w:val="nil"/>
            </w:tcBorders>
            <w:noWrap/>
            <w:vAlign w:val="bottom"/>
            <w:hideMark/>
          </w:tcPr>
          <w:p w14:paraId="0BECB59D" w14:textId="77777777" w:rsidR="00944613" w:rsidRPr="00855BAA" w:rsidRDefault="00944613" w:rsidP="00BB6153">
            <w:pPr>
              <w:jc w:val="center"/>
              <w:rPr>
                <w:rFonts w:ascii="Arial" w:hAnsi="Arial" w:cs="Arial"/>
                <w:color w:val="000000"/>
              </w:rPr>
            </w:pPr>
            <w:r w:rsidRPr="00855BAA">
              <w:rPr>
                <w:rFonts w:ascii="Arial" w:hAnsi="Arial" w:cs="Arial"/>
                <w:color w:val="000000"/>
              </w:rPr>
              <w:t>0.023</w:t>
            </w:r>
          </w:p>
        </w:tc>
        <w:tc>
          <w:tcPr>
            <w:tcW w:w="992" w:type="dxa"/>
            <w:tcBorders>
              <w:top w:val="nil"/>
              <w:left w:val="nil"/>
              <w:bottom w:val="nil"/>
              <w:right w:val="nil"/>
            </w:tcBorders>
            <w:noWrap/>
            <w:vAlign w:val="bottom"/>
            <w:hideMark/>
          </w:tcPr>
          <w:p w14:paraId="1300106B"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04829E2F" w14:textId="77777777" w:rsidR="00944613" w:rsidRPr="00855BAA" w:rsidRDefault="00944613" w:rsidP="00BB6153">
            <w:pPr>
              <w:jc w:val="center"/>
              <w:rPr>
                <w:rFonts w:ascii="Arial" w:hAnsi="Arial" w:cs="Arial"/>
                <w:color w:val="000000"/>
              </w:rPr>
            </w:pPr>
            <w:r w:rsidRPr="00855BAA">
              <w:rPr>
                <w:rFonts w:ascii="Arial" w:hAnsi="Arial" w:cs="Arial"/>
                <w:color w:val="000000"/>
              </w:rPr>
              <w:t>0.015</w:t>
            </w:r>
          </w:p>
        </w:tc>
        <w:tc>
          <w:tcPr>
            <w:tcW w:w="717" w:type="dxa"/>
            <w:tcBorders>
              <w:top w:val="nil"/>
              <w:left w:val="nil"/>
              <w:bottom w:val="nil"/>
              <w:right w:val="nil"/>
            </w:tcBorders>
            <w:noWrap/>
            <w:vAlign w:val="bottom"/>
            <w:hideMark/>
          </w:tcPr>
          <w:p w14:paraId="21FB253A" w14:textId="77777777" w:rsidR="00944613" w:rsidRPr="00855BAA" w:rsidRDefault="00944613" w:rsidP="00BB6153">
            <w:pPr>
              <w:jc w:val="center"/>
              <w:rPr>
                <w:rFonts w:ascii="Arial" w:hAnsi="Arial" w:cs="Arial"/>
                <w:color w:val="000000"/>
              </w:rPr>
            </w:pPr>
            <w:r w:rsidRPr="00855BAA">
              <w:rPr>
                <w:rFonts w:ascii="Arial" w:hAnsi="Arial" w:cs="Arial"/>
                <w:color w:val="000000"/>
              </w:rPr>
              <w:t>0.001</w:t>
            </w:r>
          </w:p>
        </w:tc>
        <w:tc>
          <w:tcPr>
            <w:tcW w:w="984" w:type="dxa"/>
            <w:tcBorders>
              <w:top w:val="nil"/>
              <w:left w:val="nil"/>
              <w:bottom w:val="nil"/>
              <w:right w:val="nil"/>
            </w:tcBorders>
            <w:noWrap/>
            <w:vAlign w:val="bottom"/>
            <w:hideMark/>
          </w:tcPr>
          <w:p w14:paraId="3ACFE5BB"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1675E122" w14:textId="77777777" w:rsidTr="00E571BE">
        <w:trPr>
          <w:trHeight w:val="501"/>
        </w:trPr>
        <w:tc>
          <w:tcPr>
            <w:tcW w:w="1360" w:type="dxa"/>
            <w:tcBorders>
              <w:top w:val="nil"/>
              <w:left w:val="nil"/>
              <w:bottom w:val="nil"/>
              <w:right w:val="single" w:sz="4" w:space="0" w:color="auto"/>
            </w:tcBorders>
            <w:noWrap/>
            <w:vAlign w:val="bottom"/>
            <w:hideMark/>
          </w:tcPr>
          <w:p w14:paraId="0E88EC2F"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2</w:t>
            </w:r>
          </w:p>
        </w:tc>
        <w:tc>
          <w:tcPr>
            <w:tcW w:w="875" w:type="dxa"/>
            <w:tcBorders>
              <w:top w:val="nil"/>
              <w:left w:val="nil"/>
              <w:bottom w:val="nil"/>
              <w:right w:val="nil"/>
            </w:tcBorders>
            <w:noWrap/>
            <w:vAlign w:val="bottom"/>
            <w:hideMark/>
          </w:tcPr>
          <w:p w14:paraId="35D97322" w14:textId="77777777" w:rsidR="00944613" w:rsidRPr="00855BAA" w:rsidRDefault="00944613" w:rsidP="00BB6153">
            <w:pPr>
              <w:jc w:val="center"/>
              <w:rPr>
                <w:rFonts w:ascii="Arial" w:hAnsi="Arial" w:cs="Arial"/>
                <w:color w:val="000000"/>
              </w:rPr>
            </w:pPr>
            <w:r w:rsidRPr="00855BAA">
              <w:rPr>
                <w:rFonts w:ascii="Arial" w:hAnsi="Arial" w:cs="Arial"/>
                <w:color w:val="000000"/>
              </w:rPr>
              <w:t>0.029</w:t>
            </w:r>
          </w:p>
        </w:tc>
        <w:tc>
          <w:tcPr>
            <w:tcW w:w="850" w:type="dxa"/>
            <w:tcBorders>
              <w:top w:val="nil"/>
              <w:left w:val="nil"/>
              <w:bottom w:val="nil"/>
              <w:right w:val="nil"/>
            </w:tcBorders>
            <w:noWrap/>
            <w:vAlign w:val="bottom"/>
            <w:hideMark/>
          </w:tcPr>
          <w:p w14:paraId="7222B1B2" w14:textId="77777777" w:rsidR="00944613" w:rsidRPr="00855BAA" w:rsidRDefault="00944613" w:rsidP="00BB6153">
            <w:pPr>
              <w:jc w:val="center"/>
              <w:rPr>
                <w:rFonts w:ascii="Arial" w:hAnsi="Arial" w:cs="Arial"/>
                <w:color w:val="000000"/>
              </w:rPr>
            </w:pPr>
            <w:r w:rsidRPr="00855BAA">
              <w:rPr>
                <w:rFonts w:ascii="Arial" w:hAnsi="Arial" w:cs="Arial"/>
                <w:color w:val="000000"/>
              </w:rPr>
              <w:t>0.008</w:t>
            </w:r>
          </w:p>
        </w:tc>
        <w:tc>
          <w:tcPr>
            <w:tcW w:w="992" w:type="dxa"/>
            <w:tcBorders>
              <w:top w:val="nil"/>
              <w:left w:val="nil"/>
              <w:bottom w:val="nil"/>
              <w:right w:val="nil"/>
            </w:tcBorders>
            <w:noWrap/>
            <w:vAlign w:val="bottom"/>
            <w:hideMark/>
          </w:tcPr>
          <w:p w14:paraId="3807EB68" w14:textId="77777777" w:rsidR="00944613" w:rsidRPr="00855BAA" w:rsidRDefault="00944613" w:rsidP="00BB6153">
            <w:pPr>
              <w:jc w:val="center"/>
              <w:rPr>
                <w:rFonts w:ascii="Arial" w:hAnsi="Arial" w:cs="Arial"/>
                <w:color w:val="000000"/>
              </w:rPr>
            </w:pPr>
            <w:r w:rsidRPr="00855BAA">
              <w:rPr>
                <w:rFonts w:ascii="Arial" w:hAnsi="Arial" w:cs="Arial"/>
                <w:color w:val="000000"/>
              </w:rPr>
              <w:t>0.95</w:t>
            </w:r>
          </w:p>
        </w:tc>
        <w:tc>
          <w:tcPr>
            <w:tcW w:w="993" w:type="dxa"/>
            <w:tcBorders>
              <w:top w:val="nil"/>
              <w:left w:val="nil"/>
              <w:bottom w:val="nil"/>
              <w:right w:val="nil"/>
            </w:tcBorders>
            <w:noWrap/>
            <w:vAlign w:val="bottom"/>
            <w:hideMark/>
          </w:tcPr>
          <w:p w14:paraId="22DEC46F" w14:textId="77777777" w:rsidR="00944613" w:rsidRPr="00855BAA" w:rsidRDefault="00944613" w:rsidP="00BB6153">
            <w:pPr>
              <w:jc w:val="center"/>
              <w:rPr>
                <w:rFonts w:ascii="Arial" w:hAnsi="Arial" w:cs="Arial"/>
                <w:color w:val="000000"/>
              </w:rPr>
            </w:pPr>
            <w:r w:rsidRPr="00855BAA">
              <w:rPr>
                <w:rFonts w:ascii="Arial" w:hAnsi="Arial" w:cs="Arial"/>
                <w:color w:val="000000"/>
              </w:rPr>
              <w:t>0.012</w:t>
            </w:r>
          </w:p>
        </w:tc>
        <w:tc>
          <w:tcPr>
            <w:tcW w:w="717" w:type="dxa"/>
            <w:tcBorders>
              <w:top w:val="nil"/>
              <w:left w:val="nil"/>
              <w:bottom w:val="nil"/>
              <w:right w:val="nil"/>
            </w:tcBorders>
            <w:noWrap/>
            <w:vAlign w:val="bottom"/>
            <w:hideMark/>
          </w:tcPr>
          <w:p w14:paraId="57228D05" w14:textId="77777777" w:rsidR="00944613" w:rsidRPr="00855BAA" w:rsidRDefault="00944613" w:rsidP="00BB6153">
            <w:pPr>
              <w:jc w:val="center"/>
              <w:rPr>
                <w:rFonts w:ascii="Arial" w:hAnsi="Arial" w:cs="Arial"/>
                <w:color w:val="000000"/>
              </w:rPr>
            </w:pPr>
            <w:r w:rsidRPr="00855BAA">
              <w:rPr>
                <w:rFonts w:ascii="Arial" w:hAnsi="Arial" w:cs="Arial"/>
                <w:color w:val="000000"/>
              </w:rPr>
              <w:t>0.001</w:t>
            </w:r>
          </w:p>
        </w:tc>
        <w:tc>
          <w:tcPr>
            <w:tcW w:w="984" w:type="dxa"/>
            <w:tcBorders>
              <w:top w:val="nil"/>
              <w:left w:val="nil"/>
              <w:bottom w:val="nil"/>
              <w:right w:val="nil"/>
            </w:tcBorders>
            <w:noWrap/>
            <w:vAlign w:val="bottom"/>
            <w:hideMark/>
          </w:tcPr>
          <w:p w14:paraId="6388E995"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r w:rsidR="00944613" w:rsidRPr="00855BAA" w14:paraId="54F919EC" w14:textId="77777777" w:rsidTr="00E571BE">
        <w:trPr>
          <w:trHeight w:val="501"/>
        </w:trPr>
        <w:tc>
          <w:tcPr>
            <w:tcW w:w="1360" w:type="dxa"/>
            <w:tcBorders>
              <w:top w:val="nil"/>
              <w:left w:val="nil"/>
              <w:bottom w:val="nil"/>
              <w:right w:val="single" w:sz="4" w:space="0" w:color="auto"/>
            </w:tcBorders>
            <w:noWrap/>
            <w:vAlign w:val="bottom"/>
            <w:hideMark/>
          </w:tcPr>
          <w:p w14:paraId="434A8D53" w14:textId="77777777" w:rsidR="00944613" w:rsidRPr="00855BAA" w:rsidRDefault="00944613" w:rsidP="00BB6153">
            <w:pPr>
              <w:jc w:val="center"/>
              <w:rPr>
                <w:rFonts w:ascii="Arial" w:hAnsi="Arial" w:cs="Arial"/>
                <w:color w:val="000000"/>
              </w:rPr>
            </w:pPr>
            <w:r w:rsidRPr="00855BAA">
              <w:rPr>
                <w:rFonts w:ascii="Arial" w:hAnsi="Arial" w:cs="Arial"/>
                <w:color w:val="000000"/>
              </w:rPr>
              <w:t>Cluster 3</w:t>
            </w:r>
          </w:p>
        </w:tc>
        <w:tc>
          <w:tcPr>
            <w:tcW w:w="875" w:type="dxa"/>
            <w:tcBorders>
              <w:top w:val="nil"/>
              <w:left w:val="nil"/>
              <w:bottom w:val="nil"/>
              <w:right w:val="nil"/>
            </w:tcBorders>
            <w:noWrap/>
            <w:vAlign w:val="bottom"/>
            <w:hideMark/>
          </w:tcPr>
          <w:p w14:paraId="1E1C76EE" w14:textId="77777777" w:rsidR="00944613" w:rsidRPr="00855BAA" w:rsidRDefault="00944613" w:rsidP="00BB6153">
            <w:pPr>
              <w:jc w:val="center"/>
              <w:rPr>
                <w:rFonts w:ascii="Arial" w:hAnsi="Arial" w:cs="Arial"/>
                <w:color w:val="000000"/>
              </w:rPr>
            </w:pPr>
            <w:r w:rsidRPr="00855BAA">
              <w:rPr>
                <w:rFonts w:ascii="Arial" w:hAnsi="Arial" w:cs="Arial"/>
                <w:color w:val="000000"/>
              </w:rPr>
              <w:t>0.004</w:t>
            </w:r>
          </w:p>
        </w:tc>
        <w:tc>
          <w:tcPr>
            <w:tcW w:w="850" w:type="dxa"/>
            <w:tcBorders>
              <w:top w:val="nil"/>
              <w:left w:val="nil"/>
              <w:bottom w:val="nil"/>
              <w:right w:val="nil"/>
            </w:tcBorders>
            <w:noWrap/>
            <w:vAlign w:val="bottom"/>
            <w:hideMark/>
          </w:tcPr>
          <w:p w14:paraId="450B50C4" w14:textId="77777777" w:rsidR="00944613" w:rsidRPr="00855BAA" w:rsidRDefault="00944613" w:rsidP="00BB6153">
            <w:pPr>
              <w:jc w:val="center"/>
              <w:rPr>
                <w:rFonts w:ascii="Arial" w:hAnsi="Arial" w:cs="Arial"/>
                <w:color w:val="000000"/>
              </w:rPr>
            </w:pPr>
            <w:r w:rsidRPr="00855BAA">
              <w:rPr>
                <w:rFonts w:ascii="Arial" w:hAnsi="Arial" w:cs="Arial"/>
                <w:color w:val="000000"/>
              </w:rPr>
              <w:t>0.011</w:t>
            </w:r>
          </w:p>
        </w:tc>
        <w:tc>
          <w:tcPr>
            <w:tcW w:w="992" w:type="dxa"/>
            <w:tcBorders>
              <w:top w:val="nil"/>
              <w:left w:val="nil"/>
              <w:bottom w:val="nil"/>
              <w:right w:val="nil"/>
            </w:tcBorders>
            <w:noWrap/>
            <w:vAlign w:val="bottom"/>
            <w:hideMark/>
          </w:tcPr>
          <w:p w14:paraId="5E2653E8" w14:textId="77777777" w:rsidR="00944613" w:rsidRPr="00855BAA" w:rsidRDefault="00944613" w:rsidP="00BB6153">
            <w:pPr>
              <w:jc w:val="center"/>
              <w:rPr>
                <w:rFonts w:ascii="Arial" w:hAnsi="Arial" w:cs="Arial"/>
                <w:color w:val="000000"/>
              </w:rPr>
            </w:pPr>
            <w:r w:rsidRPr="00855BAA">
              <w:rPr>
                <w:rFonts w:ascii="Arial" w:hAnsi="Arial" w:cs="Arial"/>
                <w:color w:val="000000"/>
              </w:rPr>
              <w:t>0.96</w:t>
            </w:r>
          </w:p>
        </w:tc>
        <w:tc>
          <w:tcPr>
            <w:tcW w:w="993" w:type="dxa"/>
            <w:tcBorders>
              <w:top w:val="nil"/>
              <w:left w:val="nil"/>
              <w:bottom w:val="nil"/>
              <w:right w:val="nil"/>
            </w:tcBorders>
            <w:noWrap/>
            <w:vAlign w:val="bottom"/>
            <w:hideMark/>
          </w:tcPr>
          <w:p w14:paraId="7F6DC9EA" w14:textId="77777777" w:rsidR="00944613" w:rsidRPr="00855BAA" w:rsidRDefault="00944613" w:rsidP="00BB6153">
            <w:pPr>
              <w:jc w:val="center"/>
              <w:rPr>
                <w:rFonts w:ascii="Arial" w:hAnsi="Arial" w:cs="Arial"/>
                <w:color w:val="000000"/>
              </w:rPr>
            </w:pPr>
            <w:r w:rsidRPr="00855BAA">
              <w:rPr>
                <w:rFonts w:ascii="Arial" w:hAnsi="Arial" w:cs="Arial"/>
                <w:color w:val="000000"/>
              </w:rPr>
              <w:t>0.025</w:t>
            </w:r>
          </w:p>
        </w:tc>
        <w:tc>
          <w:tcPr>
            <w:tcW w:w="717" w:type="dxa"/>
            <w:tcBorders>
              <w:top w:val="nil"/>
              <w:left w:val="nil"/>
              <w:bottom w:val="nil"/>
              <w:right w:val="nil"/>
            </w:tcBorders>
            <w:noWrap/>
            <w:vAlign w:val="bottom"/>
            <w:hideMark/>
          </w:tcPr>
          <w:p w14:paraId="31E7FFA8" w14:textId="77777777" w:rsidR="00944613" w:rsidRPr="00855BAA" w:rsidRDefault="00944613" w:rsidP="00BB6153">
            <w:pPr>
              <w:jc w:val="center"/>
              <w:rPr>
                <w:rFonts w:ascii="Arial" w:hAnsi="Arial" w:cs="Arial"/>
                <w:color w:val="000000"/>
              </w:rPr>
            </w:pPr>
            <w:r w:rsidRPr="00855BAA">
              <w:rPr>
                <w:rFonts w:ascii="Arial" w:hAnsi="Arial" w:cs="Arial"/>
                <w:color w:val="000000"/>
              </w:rPr>
              <w:t>0.000</w:t>
            </w:r>
          </w:p>
        </w:tc>
        <w:tc>
          <w:tcPr>
            <w:tcW w:w="984" w:type="dxa"/>
            <w:tcBorders>
              <w:top w:val="nil"/>
              <w:left w:val="nil"/>
              <w:bottom w:val="nil"/>
              <w:right w:val="nil"/>
            </w:tcBorders>
            <w:noWrap/>
            <w:vAlign w:val="bottom"/>
            <w:hideMark/>
          </w:tcPr>
          <w:p w14:paraId="2C47AE5E"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r>
    </w:tbl>
    <w:p w14:paraId="73646167" w14:textId="77777777" w:rsidR="00944613" w:rsidRPr="00855BAA" w:rsidRDefault="00944613" w:rsidP="00944613">
      <w:pPr>
        <w:rPr>
          <w:rFonts w:ascii="Arial" w:hAnsi="Arial" w:cs="Arial"/>
        </w:rPr>
      </w:pPr>
    </w:p>
    <w:p w14:paraId="6CF9911F"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3.3 Lean-Gas Properties and Heating Value</w:t>
      </w:r>
    </w:p>
    <w:p w14:paraId="3D4130E6" w14:textId="28D0330D" w:rsidR="00944613" w:rsidRPr="00855BAA" w:rsidRDefault="00944613" w:rsidP="00E571BE">
      <w:pPr>
        <w:jc w:val="both"/>
        <w:rPr>
          <w:rFonts w:ascii="Arial" w:hAnsi="Arial" w:cs="Arial"/>
        </w:rPr>
      </w:pPr>
      <w:r w:rsidRPr="00855BAA">
        <w:rPr>
          <w:rFonts w:ascii="Arial" w:hAnsi="Arial" w:cs="Arial"/>
        </w:rPr>
        <w:t xml:space="preserve">The molecular weights of the </w:t>
      </w:r>
      <w:r w:rsidRPr="00E571BE">
        <w:rPr>
          <w:rFonts w:ascii="Arial" w:hAnsi="Arial" w:cs="Arial"/>
        </w:rPr>
        <w:t>lean-gas streams obtained from the UniSim simulations (Table</w:t>
      </w:r>
      <w:r w:rsidR="0064156E">
        <w:rPr>
          <w:rFonts w:ascii="Arial" w:hAnsi="Arial" w:cs="Arial"/>
        </w:rPr>
        <w:t xml:space="preserve"> </w:t>
      </w:r>
      <w:r w:rsidRPr="00E571BE">
        <w:rPr>
          <w:rFonts w:ascii="Arial" w:hAnsi="Arial" w:cs="Arial"/>
        </w:rPr>
        <w:t>6) fall within a narrow range of 16.76–16.94 g/mol, which indicates convergence toward methane-dominated fuel streams due to NGL recovery. This range is consistent with methane-rich natural gas compositions typically reported for conditioned</w:t>
      </w:r>
      <w:r w:rsidRPr="00855BAA">
        <w:rPr>
          <w:rFonts w:ascii="Arial" w:hAnsi="Arial" w:cs="Arial"/>
        </w:rPr>
        <w:t xml:space="preserve"> fuel gas supplied to gas turbines after hydrocarbon dew-point control (</w:t>
      </w:r>
      <w:proofErr w:type="spellStart"/>
      <w:r w:rsidRPr="00855BAA">
        <w:rPr>
          <w:rFonts w:ascii="Arial" w:hAnsi="Arial" w:cs="Arial"/>
        </w:rPr>
        <w:t>Kuczyński</w:t>
      </w:r>
      <w:proofErr w:type="spellEnd"/>
      <w:r w:rsidRPr="00855BAA">
        <w:rPr>
          <w:rFonts w:ascii="Arial" w:hAnsi="Arial" w:cs="Arial"/>
        </w:rPr>
        <w:t xml:space="preserve"> et al., 2020).</w:t>
      </w:r>
    </w:p>
    <w:p w14:paraId="08FDAAEB" w14:textId="77777777" w:rsidR="00944613" w:rsidRDefault="00944613" w:rsidP="00E571BE">
      <w:pPr>
        <w:jc w:val="both"/>
        <w:rPr>
          <w:rFonts w:ascii="Arial" w:hAnsi="Arial" w:cs="Arial"/>
          <w:bCs/>
        </w:rPr>
      </w:pPr>
      <w:r w:rsidRPr="00855BAA">
        <w:rPr>
          <w:rFonts w:ascii="Arial" w:hAnsi="Arial" w:cs="Arial"/>
        </w:rPr>
        <w:t xml:space="preserve">The corresponding lower heating values (LHVs), presented in the same table, range from </w:t>
      </w:r>
      <w:r w:rsidRPr="00E571BE">
        <w:rPr>
          <w:rFonts w:ascii="Arial" w:hAnsi="Arial" w:cs="Arial"/>
          <w:bCs/>
        </w:rPr>
        <w:t>46.29 MJ/kg for Cluster 0 to 47.92 MJ/kg for Cluster 3. These values are in close agreement with reported LHVs for high-methane natural gas. The observed consistency in LHV across the clusters is particularly important for power estimation, as it implies that variations in power-generation potential are driven primarily by available gas flow rate, rather than significant differences in fuel quality. When fuel composition and heating value remain within a narrow band, a single empirical gas-to-power relationship can be reliably applied across multiple operating scenarios (</w:t>
      </w:r>
      <w:proofErr w:type="spellStart"/>
      <w:r w:rsidRPr="00E571BE">
        <w:rPr>
          <w:rFonts w:ascii="Arial" w:hAnsi="Arial" w:cs="Arial"/>
          <w:bCs/>
        </w:rPr>
        <w:t>Kuczyński</w:t>
      </w:r>
      <w:proofErr w:type="spellEnd"/>
      <w:r w:rsidRPr="00E571BE">
        <w:rPr>
          <w:rFonts w:ascii="Arial" w:hAnsi="Arial" w:cs="Arial"/>
          <w:bCs/>
        </w:rPr>
        <w:t xml:space="preserve"> et al., 2020). This supports the adoption of a unified empirical gas-to-power model for subsequent analysis in this study.</w:t>
      </w:r>
    </w:p>
    <w:p w14:paraId="5865010F" w14:textId="77777777" w:rsidR="009A1D9D" w:rsidRPr="00E571BE" w:rsidRDefault="009A1D9D" w:rsidP="00E571BE">
      <w:pPr>
        <w:jc w:val="both"/>
        <w:rPr>
          <w:rFonts w:ascii="Arial" w:hAnsi="Arial" w:cs="Arial"/>
          <w:bCs/>
        </w:rPr>
      </w:pPr>
    </w:p>
    <w:p w14:paraId="0692B82A" w14:textId="32D4492E" w:rsidR="00944613" w:rsidRPr="009A1D9D" w:rsidRDefault="00944613" w:rsidP="00944613">
      <w:pPr>
        <w:pStyle w:val="Tables"/>
        <w:rPr>
          <w:rFonts w:ascii="Arial" w:hAnsi="Arial" w:cs="Arial"/>
          <w:sz w:val="20"/>
          <w:szCs w:val="20"/>
        </w:rPr>
      </w:pPr>
      <w:bookmarkStart w:id="6" w:name="_Toc215420307"/>
      <w:r w:rsidRPr="009A1D9D">
        <w:rPr>
          <w:rFonts w:ascii="Arial" w:hAnsi="Arial" w:cs="Arial"/>
          <w:sz w:val="20"/>
          <w:szCs w:val="20"/>
        </w:rPr>
        <w:t>Table .6   Calculated Lower Heating Values (LHV) and Molecular Weights of Lean Gas Streams</w:t>
      </w:r>
      <w:bookmarkEnd w:id="6"/>
    </w:p>
    <w:tbl>
      <w:tblPr>
        <w:tblW w:w="5920" w:type="dxa"/>
        <w:tblLook w:val="04A0" w:firstRow="1" w:lastRow="0" w:firstColumn="1" w:lastColumn="0" w:noHBand="0" w:noVBand="1"/>
      </w:tblPr>
      <w:tblGrid>
        <w:gridCol w:w="1100"/>
        <w:gridCol w:w="1418"/>
        <w:gridCol w:w="2268"/>
        <w:gridCol w:w="1134"/>
      </w:tblGrid>
      <w:tr w:rsidR="00944613" w:rsidRPr="00855BAA" w14:paraId="72E4CCC5" w14:textId="77777777" w:rsidTr="009A1D9D">
        <w:trPr>
          <w:trHeight w:val="189"/>
        </w:trPr>
        <w:tc>
          <w:tcPr>
            <w:tcW w:w="1100" w:type="dxa"/>
            <w:tcBorders>
              <w:top w:val="nil"/>
              <w:left w:val="nil"/>
              <w:bottom w:val="single" w:sz="4" w:space="0" w:color="auto"/>
              <w:right w:val="single" w:sz="4" w:space="0" w:color="auto"/>
            </w:tcBorders>
            <w:vAlign w:val="center"/>
            <w:hideMark/>
          </w:tcPr>
          <w:p w14:paraId="45AFDEFA"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1418" w:type="dxa"/>
            <w:tcBorders>
              <w:top w:val="nil"/>
              <w:left w:val="nil"/>
              <w:bottom w:val="single" w:sz="4" w:space="0" w:color="auto"/>
              <w:right w:val="nil"/>
            </w:tcBorders>
            <w:vAlign w:val="center"/>
            <w:hideMark/>
          </w:tcPr>
          <w:p w14:paraId="0709EDBF"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LHV (MJ/</w:t>
            </w:r>
            <w:proofErr w:type="spellStart"/>
            <w:r w:rsidRPr="00855BAA">
              <w:rPr>
                <w:rFonts w:ascii="Arial" w:hAnsi="Arial" w:cs="Arial"/>
                <w:b/>
                <w:color w:val="000000"/>
              </w:rPr>
              <w:t>kmol</w:t>
            </w:r>
            <w:proofErr w:type="spellEnd"/>
            <w:r w:rsidRPr="00855BAA">
              <w:rPr>
                <w:rFonts w:ascii="Arial" w:hAnsi="Arial" w:cs="Arial"/>
                <w:b/>
                <w:color w:val="000000"/>
              </w:rPr>
              <w:t>)</w:t>
            </w:r>
          </w:p>
        </w:tc>
        <w:tc>
          <w:tcPr>
            <w:tcW w:w="2268" w:type="dxa"/>
            <w:tcBorders>
              <w:top w:val="nil"/>
              <w:left w:val="nil"/>
              <w:bottom w:val="single" w:sz="4" w:space="0" w:color="auto"/>
              <w:right w:val="nil"/>
            </w:tcBorders>
            <w:vAlign w:val="center"/>
            <w:hideMark/>
          </w:tcPr>
          <w:p w14:paraId="22F27275" w14:textId="77777777" w:rsidR="00944613" w:rsidRPr="00855BAA" w:rsidRDefault="00944613" w:rsidP="00BB6153">
            <w:pPr>
              <w:jc w:val="center"/>
              <w:rPr>
                <w:rFonts w:ascii="Arial" w:hAnsi="Arial" w:cs="Arial"/>
                <w:b/>
                <w:color w:val="000000"/>
              </w:rPr>
            </w:pPr>
            <w:r w:rsidRPr="00855BAA">
              <w:rPr>
                <w:rFonts w:ascii="Arial" w:hAnsi="Arial" w:cs="Arial"/>
                <w:b/>
                <w:color w:val="000000"/>
              </w:rPr>
              <w:t>Molecular Weight (g/mol)</w:t>
            </w:r>
          </w:p>
        </w:tc>
        <w:tc>
          <w:tcPr>
            <w:tcW w:w="1134" w:type="dxa"/>
            <w:tcBorders>
              <w:top w:val="nil"/>
              <w:left w:val="nil"/>
              <w:bottom w:val="single" w:sz="4" w:space="0" w:color="auto"/>
              <w:right w:val="nil"/>
            </w:tcBorders>
            <w:vAlign w:val="center"/>
            <w:hideMark/>
          </w:tcPr>
          <w:p w14:paraId="4A1DC393" w14:textId="77777777" w:rsidR="00944613" w:rsidRPr="00855BAA" w:rsidRDefault="00944613" w:rsidP="00BB6153">
            <w:pPr>
              <w:jc w:val="center"/>
              <w:rPr>
                <w:rFonts w:ascii="Arial" w:hAnsi="Arial" w:cs="Arial"/>
                <w:b/>
                <w:color w:val="000000"/>
              </w:rPr>
            </w:pPr>
            <w:r w:rsidRPr="00855BAA">
              <w:rPr>
                <w:rFonts w:ascii="Arial" w:hAnsi="Arial" w:cs="Arial"/>
                <w:b/>
                <w:color w:val="000000"/>
              </w:rPr>
              <w:t>LHV (MJ/kg)</w:t>
            </w:r>
          </w:p>
        </w:tc>
      </w:tr>
      <w:tr w:rsidR="00944613" w:rsidRPr="00855BAA" w14:paraId="27FFAAC5" w14:textId="77777777" w:rsidTr="0014496B">
        <w:trPr>
          <w:trHeight w:val="427"/>
        </w:trPr>
        <w:tc>
          <w:tcPr>
            <w:tcW w:w="1100" w:type="dxa"/>
            <w:tcBorders>
              <w:top w:val="nil"/>
              <w:left w:val="nil"/>
              <w:bottom w:val="nil"/>
              <w:right w:val="single" w:sz="4" w:space="0" w:color="auto"/>
            </w:tcBorders>
            <w:vAlign w:val="center"/>
            <w:hideMark/>
          </w:tcPr>
          <w:p w14:paraId="4E9090C2"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c>
          <w:tcPr>
            <w:tcW w:w="1418" w:type="dxa"/>
            <w:tcBorders>
              <w:top w:val="nil"/>
              <w:left w:val="nil"/>
              <w:bottom w:val="nil"/>
              <w:right w:val="nil"/>
            </w:tcBorders>
            <w:vAlign w:val="center"/>
            <w:hideMark/>
          </w:tcPr>
          <w:p w14:paraId="1B0E5199" w14:textId="77777777" w:rsidR="00944613" w:rsidRPr="00855BAA" w:rsidRDefault="00944613" w:rsidP="00BB6153">
            <w:pPr>
              <w:jc w:val="center"/>
              <w:rPr>
                <w:rFonts w:ascii="Arial" w:hAnsi="Arial" w:cs="Arial"/>
                <w:color w:val="000000"/>
              </w:rPr>
            </w:pPr>
            <w:r w:rsidRPr="00855BAA">
              <w:rPr>
                <w:rFonts w:ascii="Arial" w:hAnsi="Arial" w:cs="Arial"/>
                <w:color w:val="000000"/>
              </w:rPr>
              <w:t>781.85</w:t>
            </w:r>
          </w:p>
        </w:tc>
        <w:tc>
          <w:tcPr>
            <w:tcW w:w="2268" w:type="dxa"/>
            <w:tcBorders>
              <w:top w:val="nil"/>
              <w:left w:val="nil"/>
              <w:bottom w:val="nil"/>
              <w:right w:val="nil"/>
            </w:tcBorders>
            <w:vAlign w:val="center"/>
            <w:hideMark/>
          </w:tcPr>
          <w:p w14:paraId="0F5D1C5F" w14:textId="77777777" w:rsidR="00944613" w:rsidRPr="00855BAA" w:rsidRDefault="00944613" w:rsidP="00BB6153">
            <w:pPr>
              <w:jc w:val="center"/>
              <w:rPr>
                <w:rFonts w:ascii="Arial" w:hAnsi="Arial" w:cs="Arial"/>
                <w:color w:val="000000"/>
              </w:rPr>
            </w:pPr>
            <w:r w:rsidRPr="00855BAA">
              <w:rPr>
                <w:rFonts w:ascii="Arial" w:hAnsi="Arial" w:cs="Arial"/>
                <w:color w:val="000000"/>
              </w:rPr>
              <w:t>16.89</w:t>
            </w:r>
          </w:p>
        </w:tc>
        <w:tc>
          <w:tcPr>
            <w:tcW w:w="1134" w:type="dxa"/>
            <w:tcBorders>
              <w:top w:val="nil"/>
              <w:left w:val="nil"/>
              <w:bottom w:val="nil"/>
              <w:right w:val="nil"/>
            </w:tcBorders>
            <w:vAlign w:val="center"/>
            <w:hideMark/>
          </w:tcPr>
          <w:p w14:paraId="02162E6D" w14:textId="77777777" w:rsidR="00944613" w:rsidRPr="00855BAA" w:rsidRDefault="00944613" w:rsidP="00BB6153">
            <w:pPr>
              <w:jc w:val="center"/>
              <w:rPr>
                <w:rFonts w:ascii="Arial" w:hAnsi="Arial" w:cs="Arial"/>
                <w:color w:val="000000"/>
              </w:rPr>
            </w:pPr>
            <w:r w:rsidRPr="00855BAA">
              <w:rPr>
                <w:rFonts w:ascii="Arial" w:hAnsi="Arial" w:cs="Arial"/>
                <w:color w:val="000000"/>
              </w:rPr>
              <w:t>46.29</w:t>
            </w:r>
          </w:p>
        </w:tc>
      </w:tr>
      <w:tr w:rsidR="00944613" w:rsidRPr="00855BAA" w14:paraId="379F2833" w14:textId="77777777" w:rsidTr="0014496B">
        <w:trPr>
          <w:trHeight w:val="286"/>
        </w:trPr>
        <w:tc>
          <w:tcPr>
            <w:tcW w:w="1100" w:type="dxa"/>
            <w:tcBorders>
              <w:top w:val="nil"/>
              <w:left w:val="nil"/>
              <w:bottom w:val="nil"/>
              <w:right w:val="single" w:sz="4" w:space="0" w:color="auto"/>
            </w:tcBorders>
            <w:vAlign w:val="center"/>
            <w:hideMark/>
          </w:tcPr>
          <w:p w14:paraId="164710A0" w14:textId="77777777" w:rsidR="00944613" w:rsidRPr="00855BAA" w:rsidRDefault="00944613" w:rsidP="00BB6153">
            <w:pPr>
              <w:jc w:val="center"/>
              <w:rPr>
                <w:rFonts w:ascii="Arial" w:hAnsi="Arial" w:cs="Arial"/>
                <w:color w:val="000000"/>
              </w:rPr>
            </w:pPr>
            <w:r w:rsidRPr="00855BAA">
              <w:rPr>
                <w:rFonts w:ascii="Arial" w:hAnsi="Arial" w:cs="Arial"/>
                <w:color w:val="000000"/>
              </w:rPr>
              <w:lastRenderedPageBreak/>
              <w:t>1</w:t>
            </w:r>
          </w:p>
        </w:tc>
        <w:tc>
          <w:tcPr>
            <w:tcW w:w="1418" w:type="dxa"/>
            <w:tcBorders>
              <w:top w:val="nil"/>
              <w:left w:val="nil"/>
              <w:bottom w:val="nil"/>
              <w:right w:val="nil"/>
            </w:tcBorders>
            <w:vAlign w:val="center"/>
            <w:hideMark/>
          </w:tcPr>
          <w:p w14:paraId="3F55986D" w14:textId="77777777" w:rsidR="00944613" w:rsidRPr="00855BAA" w:rsidRDefault="00944613" w:rsidP="00BB6153">
            <w:pPr>
              <w:jc w:val="center"/>
              <w:rPr>
                <w:rFonts w:ascii="Arial" w:hAnsi="Arial" w:cs="Arial"/>
                <w:color w:val="000000"/>
              </w:rPr>
            </w:pPr>
            <w:r w:rsidRPr="00855BAA">
              <w:rPr>
                <w:rFonts w:ascii="Arial" w:hAnsi="Arial" w:cs="Arial"/>
                <w:color w:val="000000"/>
              </w:rPr>
              <w:t>790.98</w:t>
            </w:r>
          </w:p>
        </w:tc>
        <w:tc>
          <w:tcPr>
            <w:tcW w:w="2268" w:type="dxa"/>
            <w:tcBorders>
              <w:top w:val="nil"/>
              <w:left w:val="nil"/>
              <w:bottom w:val="nil"/>
              <w:right w:val="nil"/>
            </w:tcBorders>
            <w:vAlign w:val="center"/>
            <w:hideMark/>
          </w:tcPr>
          <w:p w14:paraId="51C56051" w14:textId="77777777" w:rsidR="00944613" w:rsidRPr="00855BAA" w:rsidRDefault="00944613" w:rsidP="00BB6153">
            <w:pPr>
              <w:jc w:val="center"/>
              <w:rPr>
                <w:rFonts w:ascii="Arial" w:hAnsi="Arial" w:cs="Arial"/>
                <w:color w:val="000000"/>
              </w:rPr>
            </w:pPr>
            <w:r w:rsidRPr="00855BAA">
              <w:rPr>
                <w:rFonts w:ascii="Arial" w:hAnsi="Arial" w:cs="Arial"/>
                <w:color w:val="000000"/>
              </w:rPr>
              <w:t>16.94</w:t>
            </w:r>
          </w:p>
        </w:tc>
        <w:tc>
          <w:tcPr>
            <w:tcW w:w="1134" w:type="dxa"/>
            <w:tcBorders>
              <w:top w:val="nil"/>
              <w:left w:val="nil"/>
              <w:bottom w:val="nil"/>
              <w:right w:val="nil"/>
            </w:tcBorders>
            <w:vAlign w:val="center"/>
            <w:hideMark/>
          </w:tcPr>
          <w:p w14:paraId="1C0CF1A6" w14:textId="77777777" w:rsidR="00944613" w:rsidRPr="00855BAA" w:rsidRDefault="00944613" w:rsidP="00BB6153">
            <w:pPr>
              <w:jc w:val="center"/>
              <w:rPr>
                <w:rFonts w:ascii="Arial" w:hAnsi="Arial" w:cs="Arial"/>
                <w:color w:val="000000"/>
              </w:rPr>
            </w:pPr>
            <w:r w:rsidRPr="00855BAA">
              <w:rPr>
                <w:rFonts w:ascii="Arial" w:hAnsi="Arial" w:cs="Arial"/>
                <w:color w:val="000000"/>
              </w:rPr>
              <w:t>46.69</w:t>
            </w:r>
          </w:p>
        </w:tc>
      </w:tr>
      <w:tr w:rsidR="00944613" w:rsidRPr="00855BAA" w14:paraId="473EEDC5" w14:textId="77777777" w:rsidTr="0014496B">
        <w:trPr>
          <w:trHeight w:val="419"/>
        </w:trPr>
        <w:tc>
          <w:tcPr>
            <w:tcW w:w="1100" w:type="dxa"/>
            <w:tcBorders>
              <w:top w:val="nil"/>
              <w:left w:val="nil"/>
              <w:bottom w:val="nil"/>
              <w:right w:val="single" w:sz="4" w:space="0" w:color="auto"/>
            </w:tcBorders>
            <w:vAlign w:val="center"/>
            <w:hideMark/>
          </w:tcPr>
          <w:p w14:paraId="6FD5FD86"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1418" w:type="dxa"/>
            <w:tcBorders>
              <w:top w:val="nil"/>
              <w:left w:val="nil"/>
              <w:bottom w:val="nil"/>
              <w:right w:val="nil"/>
            </w:tcBorders>
            <w:vAlign w:val="center"/>
            <w:hideMark/>
          </w:tcPr>
          <w:p w14:paraId="7F6BE514" w14:textId="77777777" w:rsidR="00944613" w:rsidRPr="00855BAA" w:rsidRDefault="00944613" w:rsidP="00BB6153">
            <w:pPr>
              <w:jc w:val="center"/>
              <w:rPr>
                <w:rFonts w:ascii="Arial" w:hAnsi="Arial" w:cs="Arial"/>
                <w:color w:val="000000"/>
              </w:rPr>
            </w:pPr>
            <w:r w:rsidRPr="00855BAA">
              <w:rPr>
                <w:rFonts w:ascii="Arial" w:hAnsi="Arial" w:cs="Arial"/>
                <w:color w:val="000000"/>
              </w:rPr>
              <w:t>778.72</w:t>
            </w:r>
          </w:p>
        </w:tc>
        <w:tc>
          <w:tcPr>
            <w:tcW w:w="2268" w:type="dxa"/>
            <w:tcBorders>
              <w:top w:val="nil"/>
              <w:left w:val="nil"/>
              <w:bottom w:val="nil"/>
              <w:right w:val="nil"/>
            </w:tcBorders>
            <w:vAlign w:val="center"/>
            <w:hideMark/>
          </w:tcPr>
          <w:p w14:paraId="69402394" w14:textId="77777777" w:rsidR="00944613" w:rsidRPr="00855BAA" w:rsidRDefault="00944613" w:rsidP="00BB6153">
            <w:pPr>
              <w:jc w:val="center"/>
              <w:rPr>
                <w:rFonts w:ascii="Arial" w:hAnsi="Arial" w:cs="Arial"/>
                <w:color w:val="000000"/>
              </w:rPr>
            </w:pPr>
            <w:r w:rsidRPr="00855BAA">
              <w:rPr>
                <w:rFonts w:ascii="Arial" w:hAnsi="Arial" w:cs="Arial"/>
                <w:color w:val="000000"/>
              </w:rPr>
              <w:t>16.81</w:t>
            </w:r>
          </w:p>
        </w:tc>
        <w:tc>
          <w:tcPr>
            <w:tcW w:w="1134" w:type="dxa"/>
            <w:tcBorders>
              <w:top w:val="nil"/>
              <w:left w:val="nil"/>
              <w:bottom w:val="nil"/>
              <w:right w:val="nil"/>
            </w:tcBorders>
            <w:vAlign w:val="center"/>
            <w:hideMark/>
          </w:tcPr>
          <w:p w14:paraId="5CA1D395" w14:textId="77777777" w:rsidR="00944613" w:rsidRPr="00855BAA" w:rsidRDefault="00944613" w:rsidP="00BB6153">
            <w:pPr>
              <w:jc w:val="center"/>
              <w:rPr>
                <w:rFonts w:ascii="Arial" w:hAnsi="Arial" w:cs="Arial"/>
                <w:color w:val="000000"/>
              </w:rPr>
            </w:pPr>
            <w:r w:rsidRPr="00855BAA">
              <w:rPr>
                <w:rFonts w:ascii="Arial" w:hAnsi="Arial" w:cs="Arial"/>
                <w:color w:val="000000"/>
              </w:rPr>
              <w:t>46.33</w:t>
            </w:r>
          </w:p>
        </w:tc>
      </w:tr>
      <w:tr w:rsidR="00944613" w:rsidRPr="00855BAA" w14:paraId="4BB8A080" w14:textId="77777777" w:rsidTr="0014496B">
        <w:trPr>
          <w:trHeight w:val="283"/>
        </w:trPr>
        <w:tc>
          <w:tcPr>
            <w:tcW w:w="1100" w:type="dxa"/>
            <w:tcBorders>
              <w:top w:val="nil"/>
              <w:left w:val="nil"/>
              <w:bottom w:val="nil"/>
              <w:right w:val="single" w:sz="4" w:space="0" w:color="auto"/>
            </w:tcBorders>
            <w:vAlign w:val="center"/>
            <w:hideMark/>
          </w:tcPr>
          <w:p w14:paraId="543474F5"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1418" w:type="dxa"/>
            <w:tcBorders>
              <w:top w:val="nil"/>
              <w:left w:val="nil"/>
              <w:bottom w:val="nil"/>
              <w:right w:val="nil"/>
            </w:tcBorders>
            <w:vAlign w:val="center"/>
            <w:hideMark/>
          </w:tcPr>
          <w:p w14:paraId="7B77C566" w14:textId="77777777" w:rsidR="00944613" w:rsidRPr="00855BAA" w:rsidRDefault="00944613" w:rsidP="00BB6153">
            <w:pPr>
              <w:jc w:val="center"/>
              <w:rPr>
                <w:rFonts w:ascii="Arial" w:hAnsi="Arial" w:cs="Arial"/>
                <w:color w:val="000000"/>
              </w:rPr>
            </w:pPr>
            <w:r w:rsidRPr="00855BAA">
              <w:rPr>
                <w:rFonts w:ascii="Arial" w:hAnsi="Arial" w:cs="Arial"/>
                <w:color w:val="000000"/>
              </w:rPr>
              <w:t>803.15</w:t>
            </w:r>
          </w:p>
        </w:tc>
        <w:tc>
          <w:tcPr>
            <w:tcW w:w="2268" w:type="dxa"/>
            <w:tcBorders>
              <w:top w:val="nil"/>
              <w:left w:val="nil"/>
              <w:bottom w:val="nil"/>
              <w:right w:val="nil"/>
            </w:tcBorders>
            <w:vAlign w:val="center"/>
            <w:hideMark/>
          </w:tcPr>
          <w:p w14:paraId="3CDCD78F" w14:textId="77777777" w:rsidR="00944613" w:rsidRPr="00855BAA" w:rsidRDefault="00944613" w:rsidP="00BB6153">
            <w:pPr>
              <w:jc w:val="center"/>
              <w:rPr>
                <w:rFonts w:ascii="Arial" w:hAnsi="Arial" w:cs="Arial"/>
                <w:color w:val="000000"/>
              </w:rPr>
            </w:pPr>
            <w:r w:rsidRPr="00855BAA">
              <w:rPr>
                <w:rFonts w:ascii="Arial" w:hAnsi="Arial" w:cs="Arial"/>
                <w:color w:val="000000"/>
              </w:rPr>
              <w:t>16.76</w:t>
            </w:r>
          </w:p>
        </w:tc>
        <w:tc>
          <w:tcPr>
            <w:tcW w:w="1134" w:type="dxa"/>
            <w:tcBorders>
              <w:top w:val="nil"/>
              <w:left w:val="nil"/>
              <w:bottom w:val="nil"/>
              <w:right w:val="nil"/>
            </w:tcBorders>
            <w:vAlign w:val="center"/>
            <w:hideMark/>
          </w:tcPr>
          <w:p w14:paraId="7F466C60" w14:textId="77777777" w:rsidR="00944613" w:rsidRPr="00855BAA" w:rsidRDefault="00944613" w:rsidP="00BB6153">
            <w:pPr>
              <w:jc w:val="center"/>
              <w:rPr>
                <w:rFonts w:ascii="Arial" w:hAnsi="Arial" w:cs="Arial"/>
                <w:color w:val="000000"/>
              </w:rPr>
            </w:pPr>
            <w:r w:rsidRPr="00855BAA">
              <w:rPr>
                <w:rFonts w:ascii="Arial" w:hAnsi="Arial" w:cs="Arial"/>
                <w:color w:val="000000"/>
              </w:rPr>
              <w:t>47.92</w:t>
            </w:r>
          </w:p>
        </w:tc>
      </w:tr>
    </w:tbl>
    <w:p w14:paraId="04F231A2" w14:textId="77777777" w:rsidR="00944613" w:rsidRPr="00855BAA" w:rsidRDefault="00944613" w:rsidP="00944613">
      <w:pPr>
        <w:rPr>
          <w:rFonts w:ascii="Arial" w:hAnsi="Arial" w:cs="Arial"/>
        </w:rPr>
      </w:pPr>
    </w:p>
    <w:p w14:paraId="5A66D33D"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3.4 Afam VI Empirical Gas-to-Power Regression</w:t>
      </w:r>
    </w:p>
    <w:p w14:paraId="35C2BEA0" w14:textId="6893D020" w:rsidR="00944613" w:rsidRPr="00855BAA" w:rsidRDefault="00944613" w:rsidP="0014496B">
      <w:pPr>
        <w:jc w:val="both"/>
        <w:rPr>
          <w:rFonts w:ascii="Arial" w:hAnsi="Arial" w:cs="Arial"/>
        </w:rPr>
      </w:pPr>
      <w:r w:rsidRPr="00855BAA">
        <w:rPr>
          <w:rFonts w:ascii="Arial" w:hAnsi="Arial" w:cs="Arial"/>
        </w:rPr>
        <w:t xml:space="preserve">Operational data from the Afam VI combined-cycle gas turbine (CCGT) plant were </w:t>
      </w:r>
      <w:proofErr w:type="spellStart"/>
      <w:r w:rsidRPr="00855BAA">
        <w:rPr>
          <w:rFonts w:ascii="Arial" w:hAnsi="Arial" w:cs="Arial"/>
        </w:rPr>
        <w:t>analysed</w:t>
      </w:r>
      <w:proofErr w:type="spellEnd"/>
      <w:r w:rsidRPr="00855BAA">
        <w:rPr>
          <w:rFonts w:ascii="Arial" w:hAnsi="Arial" w:cs="Arial"/>
        </w:rPr>
        <w:t>, which established an empirical relationship between daily gas input and delivered electrical output. Equation (3.1) gives the regression obtained from regression graph (Figure 4) is:</w:t>
      </w:r>
    </w:p>
    <w:p w14:paraId="0B17D672" w14:textId="77777777" w:rsidR="00944613" w:rsidRPr="00855BAA" w:rsidRDefault="00944613" w:rsidP="00944613">
      <w:pPr>
        <w:rPr>
          <w:rFonts w:ascii="Arial" w:hAnsi="Arial" w:cs="Arial"/>
        </w:rPr>
      </w:pPr>
      <m:oMathPara>
        <m:oMath>
          <m:r>
            <w:rPr>
              <w:rFonts w:ascii="Cambria Math" w:hAnsi="Cambria Math"/>
            </w:rPr>
            <m:t>P=4.689G+7.2                      Equation (3.1)</m:t>
          </m:r>
        </m:oMath>
      </m:oMathPara>
    </w:p>
    <w:p w14:paraId="71C690A8" w14:textId="77777777" w:rsidR="0014496B" w:rsidRDefault="00944613" w:rsidP="0014496B">
      <w:pPr>
        <w:jc w:val="both"/>
        <w:rPr>
          <w:rFonts w:ascii="Arial" w:hAnsi="Arial" w:cs="Arial"/>
        </w:rPr>
      </w:pPr>
      <w:r w:rsidRPr="00855BAA">
        <w:rPr>
          <w:rFonts w:ascii="Arial" w:hAnsi="Arial" w:cs="Arial"/>
        </w:rPr>
        <w:t>where</w:t>
      </w:r>
      <w:r w:rsidRPr="00855BAA">
        <w:rPr>
          <w:rFonts w:ascii="Arial" w:hAnsi="Arial" w:cs="Arial"/>
        </w:rPr>
        <w:br/>
      </w:r>
      <m:oMath>
        <m:r>
          <w:rPr>
            <w:rFonts w:ascii="Cambria Math" w:hAnsi="Cambria Math"/>
          </w:rPr>
          <m:t>P</m:t>
        </m:r>
      </m:oMath>
      <w:r w:rsidRPr="00855BAA">
        <w:rPr>
          <w:rFonts w:ascii="Arial" w:hAnsi="Arial" w:cs="Arial"/>
        </w:rPr>
        <w:t>= electrical power output (MW)</w:t>
      </w:r>
    </w:p>
    <w:p w14:paraId="2C8A907B" w14:textId="13BFFF0B" w:rsidR="00944613" w:rsidRPr="00855BAA" w:rsidRDefault="00944613" w:rsidP="0014496B">
      <w:pPr>
        <w:jc w:val="both"/>
        <w:rPr>
          <w:rFonts w:ascii="Arial" w:hAnsi="Arial" w:cs="Arial"/>
        </w:rPr>
      </w:pPr>
      <m:oMath>
        <m:r>
          <w:rPr>
            <w:rFonts w:ascii="Cambria Math" w:hAnsi="Cambria Math"/>
          </w:rPr>
          <m:t>G</m:t>
        </m:r>
      </m:oMath>
      <w:r w:rsidRPr="00855BAA">
        <w:rPr>
          <w:rFonts w:ascii="Arial" w:hAnsi="Arial" w:cs="Arial"/>
        </w:rPr>
        <w:t>= gas input (MMSCF/day)</w:t>
      </w:r>
    </w:p>
    <w:p w14:paraId="5AD599F2" w14:textId="77777777" w:rsidR="00944613" w:rsidRPr="00855BAA" w:rsidRDefault="00944613" w:rsidP="0014496B">
      <w:pPr>
        <w:jc w:val="both"/>
        <w:rPr>
          <w:rFonts w:ascii="Arial" w:hAnsi="Arial" w:cs="Arial"/>
        </w:rPr>
      </w:pPr>
      <w:r w:rsidRPr="00855BAA">
        <w:rPr>
          <w:rFonts w:ascii="Arial" w:hAnsi="Arial" w:cs="Arial"/>
        </w:rPr>
        <w:t>This model exhibits a high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=0.903</m:t>
        </m:r>
      </m:oMath>
      <w:r w:rsidRPr="00855BAA">
        <w:rPr>
          <w:rFonts w:ascii="Arial" w:hAnsi="Arial" w:cs="Arial"/>
        </w:rPr>
        <w:t>), indicating strong explanatory power. And confirms its suitability for realistic power estimation in Nigeria.</w:t>
      </w:r>
    </w:p>
    <w:p w14:paraId="4F7FBBE5" w14:textId="77777777" w:rsidR="00944613" w:rsidRPr="00855BAA" w:rsidRDefault="00944613" w:rsidP="00944613">
      <w:pPr>
        <w:keepNext/>
        <w:spacing w:line="276" w:lineRule="auto"/>
        <w:rPr>
          <w:rFonts w:ascii="Arial" w:hAnsi="Arial" w:cs="Arial"/>
        </w:rPr>
      </w:pPr>
      <w:r w:rsidRPr="00855BAA">
        <w:rPr>
          <w:rFonts w:ascii="Arial" w:hAnsi="Arial" w:cs="Arial"/>
          <w:noProof/>
        </w:rPr>
        <w:drawing>
          <wp:inline distT="0" distB="0" distL="0" distR="0" wp14:anchorId="6001B99C" wp14:editId="3D3A7C53">
            <wp:extent cx="5486400" cy="3368040"/>
            <wp:effectExtent l="0" t="0" r="0" b="3810"/>
            <wp:docPr id="5506484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17"/>
                    <a:stretch>
                      <a:fillRect/>
                    </a:stretch>
                  </pic:blipFill>
                  <pic:spPr bwMode="auto">
                    <a:xfrm>
                      <a:off x="0" y="0"/>
                      <a:ext cx="5486400" cy="3368040"/>
                    </a:xfrm>
                    <a:prstGeom prst="rect">
                      <a:avLst/>
                    </a:prstGeom>
                    <a:noFill/>
                    <a:ln>
                      <a:noFill/>
                    </a:ln>
                    <a:extLst>
                      <a:ext uri="{53640926-AAD7-44D8-BBD7-CCE9431645EC}">
                        <a14:shadowObscured xmlns:a14="http://schemas.microsoft.com/office/drawing/2010/main"/>
                      </a:ext>
                    </a:extLst>
                  </pic:spPr>
                </pic:pic>
              </a:graphicData>
            </a:graphic>
          </wp:inline>
        </w:drawing>
      </w:r>
    </w:p>
    <w:p w14:paraId="72581801" w14:textId="6C7848D3" w:rsidR="00944613" w:rsidRPr="00115525" w:rsidRDefault="00944613" w:rsidP="00944613">
      <w:pPr>
        <w:pStyle w:val="Tables"/>
        <w:rPr>
          <w:rFonts w:ascii="Arial" w:hAnsi="Arial" w:cs="Arial"/>
          <w:sz w:val="20"/>
          <w:szCs w:val="20"/>
        </w:rPr>
      </w:pPr>
      <w:bookmarkStart w:id="7" w:name="_Toc215420289"/>
      <w:r w:rsidRPr="00115525">
        <w:rPr>
          <w:rFonts w:ascii="Arial" w:hAnsi="Arial" w:cs="Arial"/>
          <w:sz w:val="20"/>
          <w:szCs w:val="20"/>
        </w:rPr>
        <w:t xml:space="preserve">Figure 4   Afam VI: Total Power vs. Daily Gas Feed   </w:t>
      </w:r>
      <w:proofErr w:type="gramStart"/>
      <w:r w:rsidRPr="00115525">
        <w:rPr>
          <w:rFonts w:ascii="Arial" w:hAnsi="Arial" w:cs="Arial"/>
          <w:sz w:val="20"/>
          <w:szCs w:val="20"/>
        </w:rPr>
        <w:t xml:space="preserve">   (</w:t>
      </w:r>
      <w:proofErr w:type="gramEnd"/>
      <w:r w:rsidRPr="00115525">
        <w:rPr>
          <w:rFonts w:ascii="Arial" w:hAnsi="Arial" w:cs="Arial"/>
          <w:sz w:val="20"/>
          <w:szCs w:val="20"/>
        </w:rPr>
        <w:t>derived: Python code script)</w:t>
      </w:r>
      <w:bookmarkEnd w:id="7"/>
    </w:p>
    <w:p w14:paraId="389DDA12"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3.5 Conversion of Simulated Lean Gas to Regression Input</w:t>
      </w:r>
    </w:p>
    <w:p w14:paraId="1AC3BA2F" w14:textId="311AC9C5" w:rsidR="00944613" w:rsidRPr="00855BAA" w:rsidRDefault="00944613" w:rsidP="00115525">
      <w:pPr>
        <w:jc w:val="both"/>
        <w:rPr>
          <w:rFonts w:ascii="Arial" w:hAnsi="Arial" w:cs="Arial"/>
        </w:rPr>
      </w:pPr>
      <w:r w:rsidRPr="00855BAA">
        <w:rPr>
          <w:rFonts w:ascii="Arial" w:hAnsi="Arial" w:cs="Arial"/>
        </w:rPr>
        <w:t xml:space="preserve">Lean-gas flowrates from </w:t>
      </w:r>
      <w:proofErr w:type="spellStart"/>
      <w:r w:rsidRPr="00855BAA">
        <w:rPr>
          <w:rFonts w:ascii="Arial" w:hAnsi="Arial" w:cs="Arial"/>
        </w:rPr>
        <w:t>UniSim</w:t>
      </w:r>
      <w:proofErr w:type="spellEnd"/>
      <w:r w:rsidRPr="00855BAA">
        <w:rPr>
          <w:rFonts w:ascii="Arial" w:hAnsi="Arial" w:cs="Arial"/>
        </w:rPr>
        <w:t xml:space="preserve"> (</w:t>
      </w:r>
      <w:proofErr w:type="spellStart"/>
      <w:r w:rsidRPr="00855BAA">
        <w:rPr>
          <w:rFonts w:ascii="Arial" w:hAnsi="Arial" w:cs="Arial"/>
        </w:rPr>
        <w:t>kmol</w:t>
      </w:r>
      <w:proofErr w:type="spellEnd"/>
      <w:r w:rsidRPr="00855BAA">
        <w:rPr>
          <w:rFonts w:ascii="Arial" w:hAnsi="Arial" w:cs="Arial"/>
        </w:rPr>
        <w:t xml:space="preserve">/h) were converted to daily volumetric flowrates (MMSCF/day) to match the regression input basis. </w:t>
      </w:r>
      <w:r w:rsidR="00263546" w:rsidRPr="00263546">
        <w:rPr>
          <w:rFonts w:ascii="Arial" w:hAnsi="Arial" w:cs="Arial"/>
        </w:rPr>
        <w:t>At standard temperature and pressure (0 °C, 1 atm), the molar volume of an ideal gas is 22.414 m³/</w:t>
      </w:r>
      <w:proofErr w:type="spellStart"/>
      <w:r w:rsidR="00263546" w:rsidRPr="00263546">
        <w:rPr>
          <w:rFonts w:ascii="Arial" w:hAnsi="Arial" w:cs="Arial"/>
        </w:rPr>
        <w:t>kmol</w:t>
      </w:r>
      <w:proofErr w:type="spellEnd"/>
      <w:r w:rsidR="00263546" w:rsidRPr="00263546">
        <w:rPr>
          <w:rFonts w:ascii="Arial" w:hAnsi="Arial" w:cs="Arial"/>
        </w:rPr>
        <w:t>, as obtained from the ideal gas law using thermodynamic constants</w:t>
      </w:r>
      <w:r w:rsidR="0030284C">
        <w:rPr>
          <w:rFonts w:ascii="Arial" w:hAnsi="Arial" w:cs="Arial"/>
        </w:rPr>
        <w:t xml:space="preserve"> (NIST, 2023</w:t>
      </w:r>
      <w:r w:rsidR="00E0061C">
        <w:rPr>
          <w:rFonts w:ascii="Arial" w:hAnsi="Arial" w:cs="Arial"/>
        </w:rPr>
        <w:t>)</w:t>
      </w:r>
      <w:r w:rsidR="00263546" w:rsidRPr="00263546">
        <w:rPr>
          <w:rFonts w:ascii="Arial" w:hAnsi="Arial" w:cs="Arial"/>
        </w:rPr>
        <w:t>.</w:t>
      </w:r>
      <w:r w:rsidR="00E0061C">
        <w:rPr>
          <w:rFonts w:ascii="Arial" w:hAnsi="Arial" w:cs="Arial"/>
        </w:rPr>
        <w:t xml:space="preserve"> </w:t>
      </w:r>
      <w:r w:rsidR="00185ADA">
        <w:rPr>
          <w:rFonts w:ascii="Arial" w:hAnsi="Arial" w:cs="Arial"/>
        </w:rPr>
        <w:t>Hence, u</w:t>
      </w:r>
      <w:r w:rsidRPr="00855BAA">
        <w:rPr>
          <w:rFonts w:ascii="Arial" w:hAnsi="Arial" w:cs="Arial"/>
        </w:rPr>
        <w:t>sing standard gas conditions:</w:t>
      </w:r>
    </w:p>
    <w:p w14:paraId="61CA6827"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1 </w:t>
      </w:r>
      <w:proofErr w:type="spellStart"/>
      <w:r w:rsidRPr="00855BAA">
        <w:rPr>
          <w:rFonts w:ascii="Arial" w:hAnsi="Arial" w:cs="Arial"/>
        </w:rPr>
        <w:t>kmol</w:t>
      </w:r>
      <w:proofErr w:type="spellEnd"/>
      <w:r w:rsidRPr="00855BAA">
        <w:rPr>
          <w:rFonts w:ascii="Arial" w:hAnsi="Arial" w:cs="Arial"/>
        </w:rPr>
        <w:t xml:space="preserve"> ≈ 22.414 m³</w:t>
      </w:r>
    </w:p>
    <w:p w14:paraId="2D0A7A29"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1 m³ ≈ 35.3147 </w:t>
      </w:r>
      <w:proofErr w:type="spellStart"/>
      <w:r w:rsidRPr="00855BAA">
        <w:rPr>
          <w:rFonts w:ascii="Arial" w:hAnsi="Arial" w:cs="Arial"/>
        </w:rPr>
        <w:t>scf</w:t>
      </w:r>
      <w:proofErr w:type="spellEnd"/>
    </w:p>
    <w:p w14:paraId="05FD3025" w14:textId="77777777" w:rsidR="00944613" w:rsidRPr="00855BAA" w:rsidRDefault="00944613" w:rsidP="005C2ADD">
      <w:pPr>
        <w:numPr>
          <w:ilvl w:val="0"/>
          <w:numId w:val="35"/>
        </w:numPr>
        <w:spacing w:after="160" w:line="278" w:lineRule="auto"/>
        <w:jc w:val="both"/>
        <w:rPr>
          <w:rFonts w:ascii="Arial" w:hAnsi="Arial" w:cs="Arial"/>
        </w:rPr>
      </w:pPr>
      <w:r w:rsidRPr="00855BAA">
        <w:rPr>
          <w:rFonts w:ascii="Arial" w:hAnsi="Arial" w:cs="Arial"/>
        </w:rPr>
        <w:t xml:space="preserve">therefore, 1 </w:t>
      </w:r>
      <w:proofErr w:type="spellStart"/>
      <w:r w:rsidRPr="00855BAA">
        <w:rPr>
          <w:rFonts w:ascii="Arial" w:hAnsi="Arial" w:cs="Arial"/>
        </w:rPr>
        <w:t>kmol</w:t>
      </w:r>
      <w:proofErr w:type="spellEnd"/>
      <w:r w:rsidRPr="00855BAA">
        <w:rPr>
          <w:rFonts w:ascii="Arial" w:hAnsi="Arial" w:cs="Arial"/>
        </w:rPr>
        <w:t xml:space="preserve"> ≈ 791 </w:t>
      </w:r>
      <w:proofErr w:type="spellStart"/>
      <w:r w:rsidRPr="00855BAA">
        <w:rPr>
          <w:rFonts w:ascii="Arial" w:hAnsi="Arial" w:cs="Arial"/>
        </w:rPr>
        <w:t>scf</w:t>
      </w:r>
      <w:proofErr w:type="spellEnd"/>
    </w:p>
    <w:p w14:paraId="5D2CA639" w14:textId="77777777" w:rsidR="00944613" w:rsidRPr="00855BAA" w:rsidRDefault="00944613" w:rsidP="005C2ADD">
      <w:pPr>
        <w:jc w:val="both"/>
        <w:rPr>
          <w:rFonts w:ascii="Arial" w:hAnsi="Arial" w:cs="Arial"/>
        </w:rPr>
      </w:pPr>
      <w:r w:rsidRPr="00855BAA">
        <w:rPr>
          <w:rFonts w:ascii="Arial" w:hAnsi="Arial" w:cs="Arial"/>
        </w:rPr>
        <w:t>Equation 3.2 gives the conversion applied:</w:t>
      </w:r>
    </w:p>
    <w:p w14:paraId="37C99A71" w14:textId="528EB757" w:rsidR="005C2ADD" w:rsidRPr="003C4054" w:rsidRDefault="00944613" w:rsidP="00944613">
      <w:pPr>
        <w:rPr>
          <w:rFonts w:ascii="Arial" w:hAnsi="Arial" w:cs="Arial"/>
        </w:rPr>
      </w:pPr>
      <m:oMathPara>
        <m:oMath>
          <m:r>
            <w:rPr>
              <w:rFonts w:ascii="Cambria Math" w:hAnsi="Cambria Math"/>
            </w:rPr>
            <m:t>G=</m:t>
          </m:r>
          <m:f>
            <m:fPr>
              <m:ctrlPr>
                <w:rPr>
                  <w:rFonts w:ascii="Cambria Math" w:hAnsi="Cambria Math"/>
                </w:rPr>
              </m:ctrlPr>
            </m:fPr>
            <m:num>
              <m:d>
                <m:dPr>
                  <m:sep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n</m:t>
                          </m:r>
                        </m:e>
                      </m:acc>
                    </m:e>
                    <m:sub>
                      <m:r>
                        <m:rPr>
                          <m:nor/>
                        </m:rPr>
                        <w:rPr>
                          <w:rFonts w:ascii="Arial" w:hAnsi="Arial" w:cs="Arial"/>
                        </w:rPr>
                        <m:t>lean</m:t>
                      </m:r>
                    </m:sub>
                  </m:sSub>
                </m:e>
                <m:e>
                  <m:r>
                    <w:rPr>
                      <w:rFonts w:ascii="Cambria Math" w:hAnsi="Cambria Math"/>
                    </w:rPr>
                    <m:t>24</m:t>
                  </m:r>
                </m:e>
                <m:e>
                  <m:r>
                    <w:rPr>
                      <w:rFonts w:ascii="Cambria Math" w:hAnsi="Cambria Math"/>
                    </w:rPr>
                    <m:t>791</m:t>
                  </m:r>
                </m:e>
              </m:d>
            </m:num>
            <m:den>
              <m:sSup>
                <m:sSupPr>
                  <m:ctrlPr>
                    <w:rPr>
                      <w:rFonts w:ascii="Cambria Math" w:hAnsi="Cambria Math"/>
                    </w:rPr>
                  </m:ctrlPr>
                </m:sSupPr>
                <m:e>
                  <m:r>
                    <w:rPr>
                      <w:rFonts w:ascii="Cambria Math" w:hAnsi="Cambria Math"/>
                    </w:rPr>
                    <m:t>10</m:t>
                  </m:r>
                </m:e>
                <m:sup>
                  <m:r>
                    <w:rPr>
                      <w:rFonts w:ascii="Cambria Math" w:hAnsi="Cambria Math"/>
                    </w:rPr>
                    <m:t>6</m:t>
                  </m:r>
                </m:sup>
              </m:sSup>
            </m:den>
          </m:f>
          <m:r>
            <w:rPr>
              <w:rFonts w:ascii="Cambria Math" w:hAnsi="Cambria Math"/>
            </w:rPr>
            <m:t xml:space="preserve">                       (3.2)</m:t>
          </m:r>
          <m:r>
            <m:rPr>
              <m:sty m:val="p"/>
            </m:rPr>
            <w:rPr>
              <w:rFonts w:ascii="Cambria Math" w:hAnsi="Cambria Math" w:cs="Arial"/>
            </w:rPr>
            <w:br/>
          </m:r>
        </m:oMath>
      </m:oMathPara>
      <w:r w:rsidRPr="00855BAA">
        <w:rPr>
          <w:rFonts w:ascii="Arial" w:hAnsi="Arial" w:cs="Arial"/>
        </w:rPr>
        <w:t>Where G = Lean gas flowrates in MMSCF/day</w:t>
      </w:r>
    </w:p>
    <w:p w14:paraId="1B7A6712" w14:textId="77777777" w:rsidR="00944613" w:rsidRPr="003C4054" w:rsidRDefault="00DE6A65" w:rsidP="00944613">
      <w:pPr>
        <w:rPr>
          <w:rFonts w:ascii="Arial" w:hAnsi="Arial" w:cs="Arial"/>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n</m:t>
                  </m:r>
                </m:e>
              </m:acc>
            </m:e>
            <m:sub>
              <m:r>
                <m:rPr>
                  <m:nor/>
                </m:rPr>
                <w:rPr>
                  <w:rFonts w:ascii="Arial" w:hAnsi="Arial" w:cs="Arial"/>
                </w:rPr>
                <m:t>lean</m:t>
              </m:r>
            </m:sub>
          </m:sSub>
          <m:r>
            <w:rPr>
              <w:rFonts w:ascii="Cambria Math" w:hAnsi="Cambria Math"/>
            </w:rPr>
            <m:t>=</m:t>
          </m:r>
          <m:r>
            <w:rPr>
              <w:rFonts w:ascii="Cambria Math" w:hAnsi="Cambria Math"/>
            </w:rPr>
            <m:t>Lean</m:t>
          </m:r>
          <m:r>
            <w:rPr>
              <w:rFonts w:ascii="Cambria Math" w:hAnsi="Cambria Math"/>
            </w:rPr>
            <m:t xml:space="preserve"> </m:t>
          </m:r>
          <m:r>
            <w:rPr>
              <w:rFonts w:ascii="Cambria Math" w:hAnsi="Cambria Math"/>
            </w:rPr>
            <m:t>gas</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kmol</m:t>
          </m:r>
          <m:r>
            <w:rPr>
              <w:rFonts w:ascii="Cambria Math" w:hAnsi="Cambria Math"/>
            </w:rPr>
            <m:t>/h</m:t>
          </m:r>
        </m:oMath>
      </m:oMathPara>
    </w:p>
    <w:p w14:paraId="41D0E6AB" w14:textId="4B385DE6" w:rsidR="00944613" w:rsidRDefault="00944613" w:rsidP="00944613">
      <w:pPr>
        <w:rPr>
          <w:rFonts w:ascii="Arial" w:hAnsi="Arial" w:cs="Arial"/>
        </w:rPr>
      </w:pPr>
      <w:r w:rsidRPr="00855BAA">
        <w:rPr>
          <w:rFonts w:ascii="Arial" w:hAnsi="Arial" w:cs="Arial"/>
        </w:rPr>
        <w:t>Applying this to the simulation outputs yields Table</w:t>
      </w:r>
      <w:r w:rsidR="00A72B5B">
        <w:rPr>
          <w:rFonts w:ascii="Arial" w:hAnsi="Arial" w:cs="Arial"/>
        </w:rPr>
        <w:t xml:space="preserve"> (</w:t>
      </w:r>
      <w:r w:rsidRPr="00855BAA">
        <w:rPr>
          <w:rFonts w:ascii="Arial" w:hAnsi="Arial" w:cs="Arial"/>
        </w:rPr>
        <w:t>7</w:t>
      </w:r>
      <w:r w:rsidR="00A72B5B">
        <w:rPr>
          <w:rFonts w:ascii="Arial" w:hAnsi="Arial" w:cs="Arial"/>
        </w:rPr>
        <w:t>)</w:t>
      </w:r>
      <w:r w:rsidRPr="00855BAA">
        <w:rPr>
          <w:rFonts w:ascii="Arial" w:hAnsi="Arial" w:cs="Arial"/>
        </w:rPr>
        <w:t>:</w:t>
      </w:r>
    </w:p>
    <w:p w14:paraId="46813C1B" w14:textId="77777777" w:rsidR="003C4054" w:rsidRPr="00855BAA" w:rsidRDefault="003C4054" w:rsidP="00944613">
      <w:pPr>
        <w:rPr>
          <w:rFonts w:ascii="Arial" w:hAnsi="Arial" w:cs="Arial"/>
        </w:rPr>
      </w:pPr>
    </w:p>
    <w:p w14:paraId="062E12C1" w14:textId="49B63EBE" w:rsidR="00944613" w:rsidRPr="003C4054" w:rsidRDefault="00944613" w:rsidP="003C4054">
      <w:pPr>
        <w:pStyle w:val="Tables"/>
        <w:spacing w:after="0"/>
        <w:rPr>
          <w:rFonts w:ascii="Arial" w:hAnsi="Arial" w:cs="Arial"/>
          <w:sz w:val="20"/>
          <w:szCs w:val="20"/>
        </w:rPr>
      </w:pPr>
      <w:r w:rsidRPr="003C4054">
        <w:rPr>
          <w:rFonts w:ascii="Arial" w:hAnsi="Arial" w:cs="Arial"/>
          <w:sz w:val="20"/>
          <w:szCs w:val="20"/>
        </w:rPr>
        <w:t>Table.7   Clustered lean gas flow rate (</w:t>
      </w:r>
      <w:proofErr w:type="spellStart"/>
      <w:r w:rsidRPr="003C4054">
        <w:rPr>
          <w:rFonts w:ascii="Arial" w:hAnsi="Arial" w:cs="Arial"/>
          <w:sz w:val="20"/>
          <w:szCs w:val="20"/>
        </w:rPr>
        <w:t>mmscfd</w:t>
      </w:r>
      <w:proofErr w:type="spellEnd"/>
      <w:r w:rsidRPr="003C4054">
        <w:rPr>
          <w:rFonts w:ascii="Arial" w:hAnsi="Arial" w:cs="Arial"/>
          <w:sz w:val="20"/>
          <w:szCs w:val="20"/>
        </w:rPr>
        <w:t>)</w:t>
      </w:r>
    </w:p>
    <w:tbl>
      <w:tblPr>
        <w:tblW w:w="4260" w:type="dxa"/>
        <w:tblLook w:val="04A0" w:firstRow="1" w:lastRow="0" w:firstColumn="1" w:lastColumn="0" w:noHBand="0" w:noVBand="1"/>
      </w:tblPr>
      <w:tblGrid>
        <w:gridCol w:w="1000"/>
        <w:gridCol w:w="1360"/>
        <w:gridCol w:w="1900"/>
      </w:tblGrid>
      <w:tr w:rsidR="00944613" w:rsidRPr="00855BAA" w14:paraId="7555EDAB" w14:textId="77777777" w:rsidTr="003C4054">
        <w:trPr>
          <w:trHeight w:val="197"/>
        </w:trPr>
        <w:tc>
          <w:tcPr>
            <w:tcW w:w="1000" w:type="dxa"/>
            <w:tcBorders>
              <w:top w:val="nil"/>
              <w:left w:val="nil"/>
              <w:bottom w:val="single" w:sz="4" w:space="0" w:color="auto"/>
              <w:right w:val="single" w:sz="4" w:space="0" w:color="auto"/>
            </w:tcBorders>
            <w:vAlign w:val="center"/>
            <w:hideMark/>
          </w:tcPr>
          <w:p w14:paraId="3092276B"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1360" w:type="dxa"/>
            <w:tcBorders>
              <w:top w:val="nil"/>
              <w:left w:val="nil"/>
              <w:bottom w:val="single" w:sz="4" w:space="0" w:color="auto"/>
              <w:right w:val="nil"/>
            </w:tcBorders>
            <w:vAlign w:val="center"/>
            <w:hideMark/>
          </w:tcPr>
          <w:p w14:paraId="71FEFB46" w14:textId="77777777" w:rsidR="00944613" w:rsidRPr="00855BAA" w:rsidRDefault="00944613" w:rsidP="00BB6153">
            <w:pPr>
              <w:jc w:val="center"/>
              <w:rPr>
                <w:rFonts w:ascii="Arial" w:hAnsi="Arial" w:cs="Arial"/>
                <w:b/>
                <w:color w:val="000000"/>
              </w:rPr>
            </w:pPr>
            <w:r w:rsidRPr="00855BAA">
              <w:rPr>
                <w:rFonts w:ascii="Arial" w:hAnsi="Arial" w:cs="Arial"/>
                <w:b/>
                <w:color w:val="000000"/>
              </w:rPr>
              <w:t xml:space="preserve">Lean gas </w:t>
            </w:r>
            <w:r w:rsidRPr="00855BAA">
              <w:rPr>
                <w:rFonts w:ascii="Arial" w:hAnsi="Arial" w:cs="Arial"/>
                <w:b/>
                <w:color w:val="000000"/>
              </w:rPr>
              <w:lastRenderedPageBreak/>
              <w:t>(</w:t>
            </w:r>
            <w:proofErr w:type="spellStart"/>
            <w:r w:rsidRPr="00855BAA">
              <w:rPr>
                <w:rFonts w:ascii="Arial" w:hAnsi="Arial" w:cs="Arial"/>
                <w:b/>
                <w:color w:val="000000"/>
              </w:rPr>
              <w:t>kmol</w:t>
            </w:r>
            <w:proofErr w:type="spellEnd"/>
            <w:r w:rsidRPr="00855BAA">
              <w:rPr>
                <w:rFonts w:ascii="Arial" w:hAnsi="Arial" w:cs="Arial"/>
                <w:b/>
                <w:color w:val="000000"/>
              </w:rPr>
              <w:t>/h)</w:t>
            </w:r>
          </w:p>
        </w:tc>
        <w:tc>
          <w:tcPr>
            <w:tcW w:w="1900" w:type="dxa"/>
            <w:tcBorders>
              <w:top w:val="nil"/>
              <w:left w:val="nil"/>
              <w:bottom w:val="single" w:sz="4" w:space="0" w:color="auto"/>
              <w:right w:val="nil"/>
            </w:tcBorders>
            <w:vAlign w:val="center"/>
            <w:hideMark/>
          </w:tcPr>
          <w:p w14:paraId="5DFAB09A" w14:textId="77777777" w:rsidR="00944613" w:rsidRPr="00855BAA" w:rsidRDefault="00944613" w:rsidP="00BB6153">
            <w:pPr>
              <w:jc w:val="center"/>
              <w:rPr>
                <w:rFonts w:ascii="Arial" w:hAnsi="Arial" w:cs="Arial"/>
                <w:b/>
                <w:color w:val="000000"/>
              </w:rPr>
            </w:pPr>
            <w:r w:rsidRPr="00855BAA">
              <w:rPr>
                <w:rFonts w:ascii="Arial" w:hAnsi="Arial" w:cs="Arial"/>
                <w:b/>
                <w:color w:val="000000"/>
              </w:rPr>
              <w:lastRenderedPageBreak/>
              <w:t xml:space="preserve">Lean gas </w:t>
            </w:r>
            <w:r w:rsidRPr="00855BAA">
              <w:rPr>
                <w:rFonts w:ascii="Arial" w:hAnsi="Arial" w:cs="Arial"/>
                <w:b/>
                <w:color w:val="000000"/>
              </w:rPr>
              <w:lastRenderedPageBreak/>
              <w:t>(MMSCF/day)</w:t>
            </w:r>
          </w:p>
        </w:tc>
      </w:tr>
      <w:tr w:rsidR="00944613" w:rsidRPr="00855BAA" w14:paraId="470C4CAD" w14:textId="77777777" w:rsidTr="00BB6153">
        <w:trPr>
          <w:trHeight w:val="312"/>
        </w:trPr>
        <w:tc>
          <w:tcPr>
            <w:tcW w:w="1000" w:type="dxa"/>
            <w:tcBorders>
              <w:top w:val="nil"/>
              <w:left w:val="nil"/>
              <w:bottom w:val="nil"/>
              <w:right w:val="single" w:sz="4" w:space="0" w:color="auto"/>
            </w:tcBorders>
            <w:vAlign w:val="center"/>
            <w:hideMark/>
          </w:tcPr>
          <w:p w14:paraId="7C8B9E45" w14:textId="77777777" w:rsidR="00944613" w:rsidRPr="00855BAA" w:rsidRDefault="00944613" w:rsidP="00BB6153">
            <w:pPr>
              <w:jc w:val="center"/>
              <w:rPr>
                <w:rFonts w:ascii="Arial" w:hAnsi="Arial" w:cs="Arial"/>
                <w:color w:val="000000"/>
              </w:rPr>
            </w:pPr>
            <w:r w:rsidRPr="00855BAA">
              <w:rPr>
                <w:rFonts w:ascii="Arial" w:hAnsi="Arial" w:cs="Arial"/>
                <w:color w:val="000000"/>
              </w:rPr>
              <w:lastRenderedPageBreak/>
              <w:t>0</w:t>
            </w:r>
          </w:p>
        </w:tc>
        <w:tc>
          <w:tcPr>
            <w:tcW w:w="1360" w:type="dxa"/>
            <w:tcBorders>
              <w:top w:val="nil"/>
              <w:left w:val="nil"/>
              <w:bottom w:val="nil"/>
              <w:right w:val="nil"/>
            </w:tcBorders>
            <w:vAlign w:val="center"/>
            <w:hideMark/>
          </w:tcPr>
          <w:p w14:paraId="1343C5AA" w14:textId="77777777" w:rsidR="00944613" w:rsidRPr="00855BAA" w:rsidRDefault="00944613" w:rsidP="00BB6153">
            <w:pPr>
              <w:jc w:val="right"/>
              <w:rPr>
                <w:rFonts w:ascii="Arial" w:hAnsi="Arial" w:cs="Arial"/>
                <w:color w:val="000000"/>
              </w:rPr>
            </w:pPr>
            <w:r w:rsidRPr="00855BAA">
              <w:rPr>
                <w:rFonts w:ascii="Arial" w:hAnsi="Arial" w:cs="Arial"/>
                <w:color w:val="000000"/>
              </w:rPr>
              <w:t>2,707.00</w:t>
            </w:r>
          </w:p>
        </w:tc>
        <w:tc>
          <w:tcPr>
            <w:tcW w:w="1900" w:type="dxa"/>
            <w:tcBorders>
              <w:top w:val="nil"/>
              <w:left w:val="nil"/>
              <w:bottom w:val="nil"/>
              <w:right w:val="nil"/>
            </w:tcBorders>
            <w:vAlign w:val="center"/>
            <w:hideMark/>
          </w:tcPr>
          <w:p w14:paraId="2A02C355" w14:textId="77777777" w:rsidR="00944613" w:rsidRPr="00855BAA" w:rsidRDefault="00944613" w:rsidP="00BB6153">
            <w:pPr>
              <w:jc w:val="right"/>
              <w:rPr>
                <w:rFonts w:ascii="Arial" w:hAnsi="Arial" w:cs="Arial"/>
                <w:color w:val="000000"/>
              </w:rPr>
            </w:pPr>
            <w:r w:rsidRPr="00855BAA">
              <w:rPr>
                <w:rFonts w:ascii="Arial" w:hAnsi="Arial" w:cs="Arial"/>
                <w:color w:val="000000"/>
              </w:rPr>
              <w:t>51.38</w:t>
            </w:r>
          </w:p>
        </w:tc>
      </w:tr>
      <w:tr w:rsidR="00944613" w:rsidRPr="00855BAA" w14:paraId="098BE831" w14:textId="77777777" w:rsidTr="00BB6153">
        <w:trPr>
          <w:trHeight w:val="312"/>
        </w:trPr>
        <w:tc>
          <w:tcPr>
            <w:tcW w:w="1000" w:type="dxa"/>
            <w:tcBorders>
              <w:top w:val="nil"/>
              <w:left w:val="nil"/>
              <w:bottom w:val="nil"/>
              <w:right w:val="single" w:sz="4" w:space="0" w:color="auto"/>
            </w:tcBorders>
            <w:vAlign w:val="center"/>
            <w:hideMark/>
          </w:tcPr>
          <w:p w14:paraId="3DE6568C" w14:textId="77777777" w:rsidR="00944613" w:rsidRPr="00855BAA" w:rsidRDefault="00944613" w:rsidP="00BB6153">
            <w:pPr>
              <w:jc w:val="center"/>
              <w:rPr>
                <w:rFonts w:ascii="Arial" w:hAnsi="Arial" w:cs="Arial"/>
                <w:color w:val="000000"/>
              </w:rPr>
            </w:pPr>
            <w:r w:rsidRPr="00855BAA">
              <w:rPr>
                <w:rFonts w:ascii="Arial" w:hAnsi="Arial" w:cs="Arial"/>
                <w:color w:val="000000"/>
              </w:rPr>
              <w:t>1</w:t>
            </w:r>
          </w:p>
        </w:tc>
        <w:tc>
          <w:tcPr>
            <w:tcW w:w="1360" w:type="dxa"/>
            <w:tcBorders>
              <w:top w:val="nil"/>
              <w:left w:val="nil"/>
              <w:bottom w:val="nil"/>
              <w:right w:val="nil"/>
            </w:tcBorders>
            <w:vAlign w:val="center"/>
            <w:hideMark/>
          </w:tcPr>
          <w:p w14:paraId="4893208F" w14:textId="77777777" w:rsidR="00944613" w:rsidRPr="00855BAA" w:rsidRDefault="00944613" w:rsidP="00BB6153">
            <w:pPr>
              <w:jc w:val="right"/>
              <w:rPr>
                <w:rFonts w:ascii="Arial" w:hAnsi="Arial" w:cs="Arial"/>
                <w:color w:val="000000"/>
              </w:rPr>
            </w:pPr>
            <w:r w:rsidRPr="00855BAA">
              <w:rPr>
                <w:rFonts w:ascii="Arial" w:hAnsi="Arial" w:cs="Arial"/>
                <w:color w:val="000000"/>
              </w:rPr>
              <w:t>1,053.00</w:t>
            </w:r>
          </w:p>
        </w:tc>
        <w:tc>
          <w:tcPr>
            <w:tcW w:w="1900" w:type="dxa"/>
            <w:tcBorders>
              <w:top w:val="nil"/>
              <w:left w:val="nil"/>
              <w:bottom w:val="nil"/>
              <w:right w:val="nil"/>
            </w:tcBorders>
            <w:vAlign w:val="center"/>
            <w:hideMark/>
          </w:tcPr>
          <w:p w14:paraId="4F54F6C6" w14:textId="77777777" w:rsidR="00944613" w:rsidRPr="00855BAA" w:rsidRDefault="00944613" w:rsidP="00BB6153">
            <w:pPr>
              <w:jc w:val="right"/>
              <w:rPr>
                <w:rFonts w:ascii="Arial" w:hAnsi="Arial" w:cs="Arial"/>
                <w:color w:val="000000"/>
              </w:rPr>
            </w:pPr>
            <w:r w:rsidRPr="00855BAA">
              <w:rPr>
                <w:rFonts w:ascii="Arial" w:hAnsi="Arial" w:cs="Arial"/>
                <w:color w:val="000000"/>
              </w:rPr>
              <w:t>19.98</w:t>
            </w:r>
          </w:p>
        </w:tc>
      </w:tr>
      <w:tr w:rsidR="00944613" w:rsidRPr="00855BAA" w14:paraId="0E5F284E" w14:textId="77777777" w:rsidTr="00BB6153">
        <w:trPr>
          <w:trHeight w:val="312"/>
        </w:trPr>
        <w:tc>
          <w:tcPr>
            <w:tcW w:w="1000" w:type="dxa"/>
            <w:tcBorders>
              <w:top w:val="nil"/>
              <w:left w:val="nil"/>
              <w:bottom w:val="nil"/>
              <w:right w:val="single" w:sz="4" w:space="0" w:color="auto"/>
            </w:tcBorders>
            <w:vAlign w:val="center"/>
            <w:hideMark/>
          </w:tcPr>
          <w:p w14:paraId="5757669B"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1360" w:type="dxa"/>
            <w:tcBorders>
              <w:top w:val="nil"/>
              <w:left w:val="nil"/>
              <w:bottom w:val="nil"/>
              <w:right w:val="nil"/>
            </w:tcBorders>
            <w:vAlign w:val="center"/>
            <w:hideMark/>
          </w:tcPr>
          <w:p w14:paraId="4F083B19" w14:textId="77777777" w:rsidR="00944613" w:rsidRPr="00855BAA" w:rsidRDefault="00944613" w:rsidP="00BB6153">
            <w:pPr>
              <w:jc w:val="right"/>
              <w:rPr>
                <w:rFonts w:ascii="Arial" w:hAnsi="Arial" w:cs="Arial"/>
                <w:color w:val="000000"/>
              </w:rPr>
            </w:pPr>
            <w:r w:rsidRPr="00855BAA">
              <w:rPr>
                <w:rFonts w:ascii="Arial" w:hAnsi="Arial" w:cs="Arial"/>
                <w:color w:val="000000"/>
              </w:rPr>
              <w:t>637.1</w:t>
            </w:r>
          </w:p>
        </w:tc>
        <w:tc>
          <w:tcPr>
            <w:tcW w:w="1900" w:type="dxa"/>
            <w:tcBorders>
              <w:top w:val="nil"/>
              <w:left w:val="nil"/>
              <w:bottom w:val="nil"/>
              <w:right w:val="nil"/>
            </w:tcBorders>
            <w:vAlign w:val="center"/>
            <w:hideMark/>
          </w:tcPr>
          <w:p w14:paraId="09D0126A" w14:textId="77777777" w:rsidR="00944613" w:rsidRPr="00855BAA" w:rsidRDefault="00944613" w:rsidP="00BB6153">
            <w:pPr>
              <w:jc w:val="right"/>
              <w:rPr>
                <w:rFonts w:ascii="Arial" w:hAnsi="Arial" w:cs="Arial"/>
                <w:color w:val="000000"/>
              </w:rPr>
            </w:pPr>
            <w:r w:rsidRPr="00855BAA">
              <w:rPr>
                <w:rFonts w:ascii="Arial" w:hAnsi="Arial" w:cs="Arial"/>
                <w:color w:val="000000"/>
              </w:rPr>
              <w:t>12.11</w:t>
            </w:r>
          </w:p>
        </w:tc>
      </w:tr>
      <w:tr w:rsidR="00944613" w:rsidRPr="00855BAA" w14:paraId="1F193178" w14:textId="77777777" w:rsidTr="00BB6153">
        <w:trPr>
          <w:trHeight w:val="312"/>
        </w:trPr>
        <w:tc>
          <w:tcPr>
            <w:tcW w:w="1000" w:type="dxa"/>
            <w:tcBorders>
              <w:top w:val="nil"/>
              <w:left w:val="nil"/>
              <w:bottom w:val="nil"/>
              <w:right w:val="single" w:sz="4" w:space="0" w:color="auto"/>
            </w:tcBorders>
            <w:vAlign w:val="center"/>
            <w:hideMark/>
          </w:tcPr>
          <w:p w14:paraId="7399E9DC"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1360" w:type="dxa"/>
            <w:tcBorders>
              <w:top w:val="nil"/>
              <w:left w:val="nil"/>
              <w:bottom w:val="nil"/>
              <w:right w:val="nil"/>
            </w:tcBorders>
            <w:vAlign w:val="center"/>
            <w:hideMark/>
          </w:tcPr>
          <w:p w14:paraId="72AD9F98" w14:textId="77777777" w:rsidR="00944613" w:rsidRPr="00855BAA" w:rsidRDefault="00944613" w:rsidP="00BB6153">
            <w:pPr>
              <w:jc w:val="right"/>
              <w:rPr>
                <w:rFonts w:ascii="Arial" w:hAnsi="Arial" w:cs="Arial"/>
                <w:color w:val="000000"/>
              </w:rPr>
            </w:pPr>
            <w:r w:rsidRPr="00855BAA">
              <w:rPr>
                <w:rFonts w:ascii="Arial" w:hAnsi="Arial" w:cs="Arial"/>
                <w:color w:val="000000"/>
              </w:rPr>
              <w:t>1,772.00</w:t>
            </w:r>
          </w:p>
        </w:tc>
        <w:tc>
          <w:tcPr>
            <w:tcW w:w="1900" w:type="dxa"/>
            <w:tcBorders>
              <w:top w:val="nil"/>
              <w:left w:val="nil"/>
              <w:bottom w:val="nil"/>
              <w:right w:val="nil"/>
            </w:tcBorders>
            <w:vAlign w:val="center"/>
            <w:hideMark/>
          </w:tcPr>
          <w:p w14:paraId="09D08208" w14:textId="77777777" w:rsidR="00944613" w:rsidRPr="00855BAA" w:rsidRDefault="00944613" w:rsidP="00BB6153">
            <w:pPr>
              <w:jc w:val="right"/>
              <w:rPr>
                <w:rFonts w:ascii="Arial" w:hAnsi="Arial" w:cs="Arial"/>
                <w:color w:val="000000"/>
              </w:rPr>
            </w:pPr>
            <w:r w:rsidRPr="00855BAA">
              <w:rPr>
                <w:rFonts w:ascii="Arial" w:hAnsi="Arial" w:cs="Arial"/>
                <w:color w:val="000000"/>
              </w:rPr>
              <w:t>33.63</w:t>
            </w:r>
          </w:p>
        </w:tc>
      </w:tr>
    </w:tbl>
    <w:p w14:paraId="248B83CA" w14:textId="77777777" w:rsidR="00944613" w:rsidRPr="00855BAA" w:rsidRDefault="00944613" w:rsidP="00944613">
      <w:pPr>
        <w:rPr>
          <w:rFonts w:ascii="Arial" w:hAnsi="Arial" w:cs="Arial"/>
        </w:rPr>
      </w:pPr>
    </w:p>
    <w:p w14:paraId="174BA2E5" w14:textId="77777777" w:rsidR="00944613" w:rsidRPr="00944613" w:rsidRDefault="00944613" w:rsidP="00944613">
      <w:pPr>
        <w:rPr>
          <w:rFonts w:ascii="Arial" w:hAnsi="Arial" w:cs="Arial"/>
          <w:b/>
          <w:bCs/>
          <w:sz w:val="22"/>
          <w:szCs w:val="22"/>
        </w:rPr>
      </w:pPr>
      <w:r w:rsidRPr="00944613">
        <w:rPr>
          <w:rFonts w:ascii="Arial" w:hAnsi="Arial" w:cs="Arial"/>
          <w:b/>
          <w:bCs/>
          <w:sz w:val="22"/>
          <w:szCs w:val="22"/>
        </w:rPr>
        <w:t>3.6 Estimated Power Generation from Flare-Gas Clusters</w:t>
      </w:r>
    </w:p>
    <w:p w14:paraId="4BB4DBBF" w14:textId="18714705" w:rsidR="00944613" w:rsidRDefault="00944613" w:rsidP="003C4054">
      <w:pPr>
        <w:jc w:val="both"/>
        <w:rPr>
          <w:rFonts w:ascii="Arial" w:hAnsi="Arial" w:cs="Arial"/>
        </w:rPr>
      </w:pPr>
      <w:r w:rsidRPr="00855BAA">
        <w:rPr>
          <w:rFonts w:ascii="Arial" w:hAnsi="Arial" w:cs="Arial"/>
        </w:rPr>
        <w:t xml:space="preserve">The converted lean-gas flowrates were substituted directly into the Afam VI regression model. Table </w:t>
      </w:r>
      <w:r w:rsidR="0073459A">
        <w:rPr>
          <w:rFonts w:ascii="Arial" w:hAnsi="Arial" w:cs="Arial"/>
        </w:rPr>
        <w:t>(</w:t>
      </w:r>
      <w:r w:rsidRPr="00855BAA">
        <w:rPr>
          <w:rFonts w:ascii="Arial" w:hAnsi="Arial" w:cs="Arial"/>
        </w:rPr>
        <w:t>8</w:t>
      </w:r>
      <w:r w:rsidR="0073459A">
        <w:rPr>
          <w:rFonts w:ascii="Arial" w:hAnsi="Arial" w:cs="Arial"/>
        </w:rPr>
        <w:t>)</w:t>
      </w:r>
      <w:r w:rsidRPr="00855BAA">
        <w:rPr>
          <w:rFonts w:ascii="Arial" w:hAnsi="Arial" w:cs="Arial"/>
        </w:rPr>
        <w:t xml:space="preserve"> gives the resulting cluster-level power estimates</w:t>
      </w:r>
      <w:r w:rsidR="00D20360">
        <w:rPr>
          <w:rFonts w:ascii="Arial" w:hAnsi="Arial" w:cs="Arial"/>
        </w:rPr>
        <w:t>.</w:t>
      </w:r>
      <w:r w:rsidR="00E7408C">
        <w:rPr>
          <w:rFonts w:ascii="Arial" w:hAnsi="Arial" w:cs="Arial"/>
        </w:rPr>
        <w:t xml:space="preserve"> </w:t>
      </w:r>
      <w:r w:rsidR="00E7408C" w:rsidRPr="00E7408C">
        <w:rPr>
          <w:rFonts w:ascii="Arial" w:hAnsi="Arial" w:cs="Arial"/>
        </w:rPr>
        <w:t>In this study, the reported power values represent average power output (effective capacity) under continuous operation, rather than instantaneous or peak power.</w:t>
      </w:r>
    </w:p>
    <w:p w14:paraId="6C8DAF40" w14:textId="77777777" w:rsidR="00BD7ED2" w:rsidRPr="00855BAA" w:rsidRDefault="00BD7ED2" w:rsidP="003C4054">
      <w:pPr>
        <w:jc w:val="both"/>
        <w:rPr>
          <w:rFonts w:ascii="Arial" w:hAnsi="Arial" w:cs="Arial"/>
        </w:rPr>
      </w:pPr>
    </w:p>
    <w:p w14:paraId="745EFCD5" w14:textId="00D919CE" w:rsidR="00944613" w:rsidRPr="00855BAA" w:rsidRDefault="00944613" w:rsidP="00944613">
      <w:pPr>
        <w:rPr>
          <w:rFonts w:ascii="Arial" w:hAnsi="Arial" w:cs="Arial"/>
        </w:rPr>
      </w:pPr>
      <w:r w:rsidRPr="00855BAA">
        <w:rPr>
          <w:rFonts w:ascii="Arial" w:hAnsi="Arial" w:cs="Arial"/>
          <w:i/>
          <w:iCs/>
        </w:rPr>
        <w:t xml:space="preserve">Table 8: </w:t>
      </w:r>
      <w:r w:rsidR="00BC600D" w:rsidRPr="00BC600D">
        <w:rPr>
          <w:rFonts w:ascii="Arial" w:hAnsi="Arial" w:cs="Arial"/>
          <w:i/>
          <w:iCs/>
        </w:rPr>
        <w:t>Estimated cluster-level gas input, power generation capacity, and daily energy output</w:t>
      </w:r>
    </w:p>
    <w:tbl>
      <w:tblPr>
        <w:tblW w:w="7820" w:type="dxa"/>
        <w:tblLook w:val="04A0" w:firstRow="1" w:lastRow="0" w:firstColumn="1" w:lastColumn="0" w:noHBand="0" w:noVBand="1"/>
      </w:tblPr>
      <w:tblGrid>
        <w:gridCol w:w="1120"/>
        <w:gridCol w:w="2180"/>
        <w:gridCol w:w="1860"/>
        <w:gridCol w:w="2660"/>
      </w:tblGrid>
      <w:tr w:rsidR="00944613" w:rsidRPr="00855BAA" w14:paraId="2CF47B38" w14:textId="77777777" w:rsidTr="00D20360">
        <w:trPr>
          <w:trHeight w:val="390"/>
        </w:trPr>
        <w:tc>
          <w:tcPr>
            <w:tcW w:w="1120" w:type="dxa"/>
            <w:tcBorders>
              <w:top w:val="nil"/>
              <w:left w:val="nil"/>
              <w:bottom w:val="single" w:sz="4" w:space="0" w:color="auto"/>
              <w:right w:val="single" w:sz="4" w:space="0" w:color="auto"/>
            </w:tcBorders>
            <w:vAlign w:val="center"/>
            <w:hideMark/>
          </w:tcPr>
          <w:p w14:paraId="7B167E65" w14:textId="77777777" w:rsidR="00944613" w:rsidRPr="00855BAA" w:rsidRDefault="00944613" w:rsidP="00BB6153">
            <w:pPr>
              <w:jc w:val="center"/>
              <w:rPr>
                <w:rFonts w:ascii="Arial" w:hAnsi="Arial" w:cs="Arial"/>
                <w:b/>
                <w:color w:val="000000"/>
              </w:rPr>
            </w:pPr>
            <w:r w:rsidRPr="00855BAA">
              <w:rPr>
                <w:rFonts w:ascii="Arial" w:hAnsi="Arial" w:cs="Arial"/>
                <w:b/>
                <w:color w:val="000000"/>
              </w:rPr>
              <w:t>Cluster</w:t>
            </w:r>
          </w:p>
        </w:tc>
        <w:tc>
          <w:tcPr>
            <w:tcW w:w="2180" w:type="dxa"/>
            <w:tcBorders>
              <w:top w:val="nil"/>
              <w:left w:val="nil"/>
              <w:bottom w:val="single" w:sz="4" w:space="0" w:color="auto"/>
              <w:right w:val="nil"/>
            </w:tcBorders>
            <w:vAlign w:val="center"/>
            <w:hideMark/>
          </w:tcPr>
          <w:p w14:paraId="28FBF52F" w14:textId="77777777" w:rsidR="00944613" w:rsidRPr="00855BAA" w:rsidRDefault="00944613" w:rsidP="00BB6153">
            <w:pPr>
              <w:jc w:val="center"/>
              <w:rPr>
                <w:rFonts w:ascii="Arial" w:hAnsi="Arial" w:cs="Arial"/>
                <w:b/>
                <w:color w:val="000000"/>
              </w:rPr>
            </w:pPr>
            <w:r w:rsidRPr="00855BAA">
              <w:rPr>
                <w:rFonts w:ascii="Arial" w:hAnsi="Arial" w:cs="Arial"/>
                <w:b/>
                <w:color w:val="000000"/>
              </w:rPr>
              <w:t>Gas input (MMSCF/day)</w:t>
            </w:r>
          </w:p>
        </w:tc>
        <w:tc>
          <w:tcPr>
            <w:tcW w:w="1860" w:type="dxa"/>
            <w:tcBorders>
              <w:top w:val="nil"/>
              <w:left w:val="nil"/>
              <w:bottom w:val="single" w:sz="4" w:space="0" w:color="auto"/>
              <w:right w:val="nil"/>
            </w:tcBorders>
            <w:vAlign w:val="center"/>
            <w:hideMark/>
          </w:tcPr>
          <w:p w14:paraId="64F9D5BA" w14:textId="77777777" w:rsidR="00944613" w:rsidRPr="00855BAA" w:rsidRDefault="00944613" w:rsidP="00BB6153">
            <w:pPr>
              <w:jc w:val="center"/>
              <w:rPr>
                <w:rFonts w:ascii="Arial" w:hAnsi="Arial" w:cs="Arial"/>
                <w:b/>
                <w:color w:val="000000"/>
              </w:rPr>
            </w:pPr>
            <w:r w:rsidRPr="00855BAA">
              <w:rPr>
                <w:rFonts w:ascii="Arial" w:hAnsi="Arial" w:cs="Arial"/>
                <w:b/>
                <w:color w:val="000000"/>
              </w:rPr>
              <w:t>Power (MW)</w:t>
            </w:r>
          </w:p>
        </w:tc>
        <w:tc>
          <w:tcPr>
            <w:tcW w:w="2660" w:type="dxa"/>
            <w:tcBorders>
              <w:top w:val="nil"/>
              <w:left w:val="nil"/>
              <w:bottom w:val="single" w:sz="4" w:space="0" w:color="auto"/>
              <w:right w:val="nil"/>
            </w:tcBorders>
            <w:vAlign w:val="center"/>
            <w:hideMark/>
          </w:tcPr>
          <w:p w14:paraId="5F892F9D" w14:textId="77777777" w:rsidR="00944613" w:rsidRPr="00855BAA" w:rsidRDefault="00944613" w:rsidP="00BB6153">
            <w:pPr>
              <w:jc w:val="center"/>
              <w:rPr>
                <w:rFonts w:ascii="Arial" w:hAnsi="Arial" w:cs="Arial"/>
                <w:b/>
                <w:color w:val="000000"/>
              </w:rPr>
            </w:pPr>
            <w:r w:rsidRPr="00855BAA">
              <w:rPr>
                <w:rFonts w:ascii="Arial" w:hAnsi="Arial" w:cs="Arial"/>
                <w:b/>
                <w:color w:val="000000"/>
              </w:rPr>
              <w:t>Energy (MWh/day)</w:t>
            </w:r>
          </w:p>
        </w:tc>
      </w:tr>
      <w:tr w:rsidR="00944613" w:rsidRPr="00855BAA" w14:paraId="5A295849" w14:textId="77777777" w:rsidTr="00BB6153">
        <w:trPr>
          <w:trHeight w:val="312"/>
        </w:trPr>
        <w:tc>
          <w:tcPr>
            <w:tcW w:w="1120" w:type="dxa"/>
            <w:tcBorders>
              <w:top w:val="nil"/>
              <w:left w:val="nil"/>
              <w:bottom w:val="nil"/>
              <w:right w:val="single" w:sz="4" w:space="0" w:color="auto"/>
            </w:tcBorders>
            <w:vAlign w:val="center"/>
            <w:hideMark/>
          </w:tcPr>
          <w:p w14:paraId="3A27DD60" w14:textId="77777777" w:rsidR="00944613" w:rsidRPr="00855BAA" w:rsidRDefault="00944613" w:rsidP="00BB6153">
            <w:pPr>
              <w:jc w:val="center"/>
              <w:rPr>
                <w:rFonts w:ascii="Arial" w:hAnsi="Arial" w:cs="Arial"/>
                <w:color w:val="000000"/>
              </w:rPr>
            </w:pPr>
            <w:r w:rsidRPr="00855BAA">
              <w:rPr>
                <w:rFonts w:ascii="Arial" w:hAnsi="Arial" w:cs="Arial"/>
                <w:color w:val="000000"/>
              </w:rPr>
              <w:t>0</w:t>
            </w:r>
          </w:p>
        </w:tc>
        <w:tc>
          <w:tcPr>
            <w:tcW w:w="2180" w:type="dxa"/>
            <w:tcBorders>
              <w:top w:val="nil"/>
              <w:left w:val="nil"/>
              <w:bottom w:val="nil"/>
              <w:right w:val="nil"/>
            </w:tcBorders>
            <w:vAlign w:val="center"/>
            <w:hideMark/>
          </w:tcPr>
          <w:p w14:paraId="26647109" w14:textId="77777777" w:rsidR="00944613" w:rsidRPr="00855BAA" w:rsidRDefault="00944613" w:rsidP="00BB6153">
            <w:pPr>
              <w:jc w:val="right"/>
              <w:rPr>
                <w:rFonts w:ascii="Arial" w:hAnsi="Arial" w:cs="Arial"/>
                <w:color w:val="000000"/>
              </w:rPr>
            </w:pPr>
            <w:r w:rsidRPr="00855BAA">
              <w:rPr>
                <w:rFonts w:ascii="Arial" w:hAnsi="Arial" w:cs="Arial"/>
                <w:color w:val="000000"/>
              </w:rPr>
              <w:t>51.38</w:t>
            </w:r>
          </w:p>
        </w:tc>
        <w:tc>
          <w:tcPr>
            <w:tcW w:w="1860" w:type="dxa"/>
            <w:tcBorders>
              <w:top w:val="nil"/>
              <w:left w:val="nil"/>
              <w:bottom w:val="nil"/>
              <w:right w:val="nil"/>
            </w:tcBorders>
            <w:vAlign w:val="center"/>
            <w:hideMark/>
          </w:tcPr>
          <w:p w14:paraId="765132D8" w14:textId="77777777" w:rsidR="00944613" w:rsidRPr="00855BAA" w:rsidRDefault="00944613" w:rsidP="00BB6153">
            <w:pPr>
              <w:jc w:val="right"/>
              <w:rPr>
                <w:rFonts w:ascii="Arial" w:hAnsi="Arial" w:cs="Arial"/>
                <w:color w:val="000000"/>
              </w:rPr>
            </w:pPr>
            <w:r w:rsidRPr="00855BAA">
              <w:rPr>
                <w:rFonts w:ascii="Arial" w:hAnsi="Arial" w:cs="Arial"/>
                <w:color w:val="000000"/>
              </w:rPr>
              <w:t>248.2</w:t>
            </w:r>
          </w:p>
        </w:tc>
        <w:tc>
          <w:tcPr>
            <w:tcW w:w="2660" w:type="dxa"/>
            <w:tcBorders>
              <w:top w:val="nil"/>
              <w:left w:val="nil"/>
              <w:bottom w:val="nil"/>
              <w:right w:val="nil"/>
            </w:tcBorders>
            <w:vAlign w:val="center"/>
            <w:hideMark/>
          </w:tcPr>
          <w:p w14:paraId="24187ABD" w14:textId="77777777" w:rsidR="00944613" w:rsidRPr="00855BAA" w:rsidRDefault="00944613" w:rsidP="00BB6153">
            <w:pPr>
              <w:jc w:val="right"/>
              <w:rPr>
                <w:rFonts w:ascii="Arial" w:hAnsi="Arial" w:cs="Arial"/>
                <w:color w:val="000000"/>
              </w:rPr>
            </w:pPr>
            <w:r w:rsidRPr="00855BAA">
              <w:rPr>
                <w:rFonts w:ascii="Arial" w:hAnsi="Arial" w:cs="Arial"/>
                <w:color w:val="000000"/>
              </w:rPr>
              <w:t>5,957</w:t>
            </w:r>
          </w:p>
        </w:tc>
      </w:tr>
      <w:tr w:rsidR="00944613" w:rsidRPr="00855BAA" w14:paraId="7C3C10FA" w14:textId="77777777" w:rsidTr="00BB6153">
        <w:trPr>
          <w:trHeight w:val="312"/>
        </w:trPr>
        <w:tc>
          <w:tcPr>
            <w:tcW w:w="1120" w:type="dxa"/>
            <w:tcBorders>
              <w:top w:val="nil"/>
              <w:left w:val="nil"/>
              <w:bottom w:val="nil"/>
              <w:right w:val="single" w:sz="4" w:space="0" w:color="auto"/>
            </w:tcBorders>
            <w:vAlign w:val="center"/>
            <w:hideMark/>
          </w:tcPr>
          <w:p w14:paraId="7F2CC820" w14:textId="77777777" w:rsidR="00944613" w:rsidRPr="00855BAA" w:rsidRDefault="00944613" w:rsidP="00BB6153">
            <w:pPr>
              <w:jc w:val="center"/>
              <w:rPr>
                <w:rFonts w:ascii="Arial" w:hAnsi="Arial" w:cs="Arial"/>
                <w:color w:val="000000"/>
              </w:rPr>
            </w:pPr>
            <w:r w:rsidRPr="00855BAA">
              <w:rPr>
                <w:rFonts w:ascii="Arial" w:hAnsi="Arial" w:cs="Arial"/>
                <w:color w:val="000000"/>
              </w:rPr>
              <w:t>1</w:t>
            </w:r>
          </w:p>
        </w:tc>
        <w:tc>
          <w:tcPr>
            <w:tcW w:w="2180" w:type="dxa"/>
            <w:tcBorders>
              <w:top w:val="nil"/>
              <w:left w:val="nil"/>
              <w:bottom w:val="nil"/>
              <w:right w:val="nil"/>
            </w:tcBorders>
            <w:vAlign w:val="center"/>
            <w:hideMark/>
          </w:tcPr>
          <w:p w14:paraId="74066B22" w14:textId="77777777" w:rsidR="00944613" w:rsidRPr="00855BAA" w:rsidRDefault="00944613" w:rsidP="00BB6153">
            <w:pPr>
              <w:jc w:val="right"/>
              <w:rPr>
                <w:rFonts w:ascii="Arial" w:hAnsi="Arial" w:cs="Arial"/>
                <w:color w:val="000000"/>
              </w:rPr>
            </w:pPr>
            <w:r w:rsidRPr="00855BAA">
              <w:rPr>
                <w:rFonts w:ascii="Arial" w:hAnsi="Arial" w:cs="Arial"/>
                <w:color w:val="000000"/>
              </w:rPr>
              <w:t>19.98</w:t>
            </w:r>
          </w:p>
        </w:tc>
        <w:tc>
          <w:tcPr>
            <w:tcW w:w="1860" w:type="dxa"/>
            <w:tcBorders>
              <w:top w:val="nil"/>
              <w:left w:val="nil"/>
              <w:bottom w:val="nil"/>
              <w:right w:val="nil"/>
            </w:tcBorders>
            <w:vAlign w:val="center"/>
            <w:hideMark/>
          </w:tcPr>
          <w:p w14:paraId="3548ECC4" w14:textId="77777777" w:rsidR="00944613" w:rsidRPr="00855BAA" w:rsidRDefault="00944613" w:rsidP="00BB6153">
            <w:pPr>
              <w:jc w:val="right"/>
              <w:rPr>
                <w:rFonts w:ascii="Arial" w:hAnsi="Arial" w:cs="Arial"/>
                <w:color w:val="000000"/>
              </w:rPr>
            </w:pPr>
            <w:r w:rsidRPr="00855BAA">
              <w:rPr>
                <w:rFonts w:ascii="Arial" w:hAnsi="Arial" w:cs="Arial"/>
                <w:color w:val="000000"/>
              </w:rPr>
              <w:t>101</w:t>
            </w:r>
          </w:p>
        </w:tc>
        <w:tc>
          <w:tcPr>
            <w:tcW w:w="2660" w:type="dxa"/>
            <w:tcBorders>
              <w:top w:val="nil"/>
              <w:left w:val="nil"/>
              <w:bottom w:val="nil"/>
              <w:right w:val="nil"/>
            </w:tcBorders>
            <w:vAlign w:val="center"/>
            <w:hideMark/>
          </w:tcPr>
          <w:p w14:paraId="49AFE6F5" w14:textId="77777777" w:rsidR="00944613" w:rsidRPr="00855BAA" w:rsidRDefault="00944613" w:rsidP="00BB6153">
            <w:pPr>
              <w:jc w:val="right"/>
              <w:rPr>
                <w:rFonts w:ascii="Arial" w:hAnsi="Arial" w:cs="Arial"/>
                <w:color w:val="000000"/>
              </w:rPr>
            </w:pPr>
            <w:r w:rsidRPr="00855BAA">
              <w:rPr>
                <w:rFonts w:ascii="Arial" w:hAnsi="Arial" w:cs="Arial"/>
                <w:color w:val="000000"/>
              </w:rPr>
              <w:t>2,424</w:t>
            </w:r>
          </w:p>
        </w:tc>
      </w:tr>
      <w:tr w:rsidR="00944613" w:rsidRPr="00855BAA" w14:paraId="07E1197D" w14:textId="77777777" w:rsidTr="00BB6153">
        <w:trPr>
          <w:trHeight w:val="312"/>
        </w:trPr>
        <w:tc>
          <w:tcPr>
            <w:tcW w:w="1120" w:type="dxa"/>
            <w:tcBorders>
              <w:top w:val="nil"/>
              <w:left w:val="nil"/>
              <w:bottom w:val="nil"/>
              <w:right w:val="single" w:sz="4" w:space="0" w:color="auto"/>
            </w:tcBorders>
            <w:vAlign w:val="center"/>
            <w:hideMark/>
          </w:tcPr>
          <w:p w14:paraId="27644E11" w14:textId="77777777" w:rsidR="00944613" w:rsidRPr="00855BAA" w:rsidRDefault="00944613" w:rsidP="00BB6153">
            <w:pPr>
              <w:jc w:val="center"/>
              <w:rPr>
                <w:rFonts w:ascii="Arial" w:hAnsi="Arial" w:cs="Arial"/>
                <w:color w:val="000000"/>
              </w:rPr>
            </w:pPr>
            <w:r w:rsidRPr="00855BAA">
              <w:rPr>
                <w:rFonts w:ascii="Arial" w:hAnsi="Arial" w:cs="Arial"/>
                <w:color w:val="000000"/>
              </w:rPr>
              <w:t>2</w:t>
            </w:r>
          </w:p>
        </w:tc>
        <w:tc>
          <w:tcPr>
            <w:tcW w:w="2180" w:type="dxa"/>
            <w:tcBorders>
              <w:top w:val="nil"/>
              <w:left w:val="nil"/>
              <w:bottom w:val="nil"/>
              <w:right w:val="nil"/>
            </w:tcBorders>
            <w:vAlign w:val="center"/>
            <w:hideMark/>
          </w:tcPr>
          <w:p w14:paraId="4E13B6C5" w14:textId="77777777" w:rsidR="00944613" w:rsidRPr="00855BAA" w:rsidRDefault="00944613" w:rsidP="00BB6153">
            <w:pPr>
              <w:jc w:val="right"/>
              <w:rPr>
                <w:rFonts w:ascii="Arial" w:hAnsi="Arial" w:cs="Arial"/>
                <w:color w:val="000000"/>
              </w:rPr>
            </w:pPr>
            <w:r w:rsidRPr="00855BAA">
              <w:rPr>
                <w:rFonts w:ascii="Arial" w:hAnsi="Arial" w:cs="Arial"/>
                <w:color w:val="000000"/>
              </w:rPr>
              <w:t>12.11</w:t>
            </w:r>
          </w:p>
        </w:tc>
        <w:tc>
          <w:tcPr>
            <w:tcW w:w="1860" w:type="dxa"/>
            <w:tcBorders>
              <w:top w:val="nil"/>
              <w:left w:val="nil"/>
              <w:bottom w:val="nil"/>
              <w:right w:val="nil"/>
            </w:tcBorders>
            <w:vAlign w:val="center"/>
            <w:hideMark/>
          </w:tcPr>
          <w:p w14:paraId="6557802D" w14:textId="77777777" w:rsidR="00944613" w:rsidRPr="00855BAA" w:rsidRDefault="00944613" w:rsidP="00BB6153">
            <w:pPr>
              <w:jc w:val="right"/>
              <w:rPr>
                <w:rFonts w:ascii="Arial" w:hAnsi="Arial" w:cs="Arial"/>
                <w:color w:val="000000"/>
              </w:rPr>
            </w:pPr>
            <w:r w:rsidRPr="00855BAA">
              <w:rPr>
                <w:rFonts w:ascii="Arial" w:hAnsi="Arial" w:cs="Arial"/>
                <w:color w:val="000000"/>
              </w:rPr>
              <w:t>64</w:t>
            </w:r>
          </w:p>
        </w:tc>
        <w:tc>
          <w:tcPr>
            <w:tcW w:w="2660" w:type="dxa"/>
            <w:tcBorders>
              <w:top w:val="nil"/>
              <w:left w:val="nil"/>
              <w:bottom w:val="nil"/>
              <w:right w:val="nil"/>
            </w:tcBorders>
            <w:vAlign w:val="center"/>
            <w:hideMark/>
          </w:tcPr>
          <w:p w14:paraId="68DD2BAA" w14:textId="77777777" w:rsidR="00944613" w:rsidRPr="00855BAA" w:rsidRDefault="00944613" w:rsidP="00BB6153">
            <w:pPr>
              <w:jc w:val="right"/>
              <w:rPr>
                <w:rFonts w:ascii="Arial" w:hAnsi="Arial" w:cs="Arial"/>
                <w:color w:val="000000"/>
              </w:rPr>
            </w:pPr>
            <w:r w:rsidRPr="00855BAA">
              <w:rPr>
                <w:rFonts w:ascii="Arial" w:hAnsi="Arial" w:cs="Arial"/>
                <w:color w:val="000000"/>
              </w:rPr>
              <w:t>1,536</w:t>
            </w:r>
          </w:p>
        </w:tc>
      </w:tr>
      <w:tr w:rsidR="00944613" w:rsidRPr="00855BAA" w14:paraId="5F148D17" w14:textId="77777777" w:rsidTr="00BB6153">
        <w:trPr>
          <w:trHeight w:val="312"/>
        </w:trPr>
        <w:tc>
          <w:tcPr>
            <w:tcW w:w="1120" w:type="dxa"/>
            <w:tcBorders>
              <w:top w:val="nil"/>
              <w:left w:val="nil"/>
              <w:bottom w:val="nil"/>
              <w:right w:val="single" w:sz="4" w:space="0" w:color="auto"/>
            </w:tcBorders>
            <w:vAlign w:val="center"/>
            <w:hideMark/>
          </w:tcPr>
          <w:p w14:paraId="619B8622" w14:textId="77777777" w:rsidR="00944613" w:rsidRPr="00855BAA" w:rsidRDefault="00944613" w:rsidP="00BB6153">
            <w:pPr>
              <w:jc w:val="center"/>
              <w:rPr>
                <w:rFonts w:ascii="Arial" w:hAnsi="Arial" w:cs="Arial"/>
                <w:color w:val="000000"/>
              </w:rPr>
            </w:pPr>
            <w:r w:rsidRPr="00855BAA">
              <w:rPr>
                <w:rFonts w:ascii="Arial" w:hAnsi="Arial" w:cs="Arial"/>
                <w:color w:val="000000"/>
              </w:rPr>
              <w:t>3</w:t>
            </w:r>
          </w:p>
        </w:tc>
        <w:tc>
          <w:tcPr>
            <w:tcW w:w="2180" w:type="dxa"/>
            <w:tcBorders>
              <w:top w:val="nil"/>
              <w:left w:val="nil"/>
              <w:bottom w:val="nil"/>
              <w:right w:val="nil"/>
            </w:tcBorders>
            <w:vAlign w:val="center"/>
            <w:hideMark/>
          </w:tcPr>
          <w:p w14:paraId="2675A942" w14:textId="77777777" w:rsidR="00944613" w:rsidRPr="00855BAA" w:rsidRDefault="00944613" w:rsidP="00BB6153">
            <w:pPr>
              <w:jc w:val="right"/>
              <w:rPr>
                <w:rFonts w:ascii="Arial" w:hAnsi="Arial" w:cs="Arial"/>
                <w:color w:val="000000"/>
              </w:rPr>
            </w:pPr>
            <w:r w:rsidRPr="00855BAA">
              <w:rPr>
                <w:rFonts w:ascii="Arial" w:hAnsi="Arial" w:cs="Arial"/>
                <w:color w:val="000000"/>
              </w:rPr>
              <w:t>33.63</w:t>
            </w:r>
          </w:p>
        </w:tc>
        <w:tc>
          <w:tcPr>
            <w:tcW w:w="1860" w:type="dxa"/>
            <w:tcBorders>
              <w:top w:val="nil"/>
              <w:left w:val="nil"/>
              <w:bottom w:val="nil"/>
              <w:right w:val="nil"/>
            </w:tcBorders>
            <w:vAlign w:val="center"/>
            <w:hideMark/>
          </w:tcPr>
          <w:p w14:paraId="0AEB19D4" w14:textId="77777777" w:rsidR="00944613" w:rsidRPr="00855BAA" w:rsidRDefault="00944613" w:rsidP="00BB6153">
            <w:pPr>
              <w:jc w:val="right"/>
              <w:rPr>
                <w:rFonts w:ascii="Arial" w:hAnsi="Arial" w:cs="Arial"/>
                <w:color w:val="000000"/>
              </w:rPr>
            </w:pPr>
            <w:r w:rsidRPr="00855BAA">
              <w:rPr>
                <w:rFonts w:ascii="Arial" w:hAnsi="Arial" w:cs="Arial"/>
                <w:color w:val="000000"/>
              </w:rPr>
              <w:t>164.8</w:t>
            </w:r>
          </w:p>
        </w:tc>
        <w:tc>
          <w:tcPr>
            <w:tcW w:w="2660" w:type="dxa"/>
            <w:tcBorders>
              <w:top w:val="nil"/>
              <w:left w:val="nil"/>
              <w:bottom w:val="nil"/>
              <w:right w:val="nil"/>
            </w:tcBorders>
            <w:vAlign w:val="center"/>
            <w:hideMark/>
          </w:tcPr>
          <w:p w14:paraId="784A8D1D" w14:textId="77777777" w:rsidR="00944613" w:rsidRPr="00855BAA" w:rsidRDefault="00944613" w:rsidP="00BB6153">
            <w:pPr>
              <w:jc w:val="right"/>
              <w:rPr>
                <w:rFonts w:ascii="Arial" w:hAnsi="Arial" w:cs="Arial"/>
                <w:color w:val="000000"/>
              </w:rPr>
            </w:pPr>
            <w:r w:rsidRPr="00855BAA">
              <w:rPr>
                <w:rFonts w:ascii="Arial" w:hAnsi="Arial" w:cs="Arial"/>
                <w:color w:val="000000"/>
              </w:rPr>
              <w:t>3,955</w:t>
            </w:r>
          </w:p>
        </w:tc>
      </w:tr>
    </w:tbl>
    <w:p w14:paraId="3275996D" w14:textId="77777777" w:rsidR="00944613" w:rsidRPr="00855BAA" w:rsidRDefault="00944613" w:rsidP="00944613">
      <w:pPr>
        <w:rPr>
          <w:rFonts w:ascii="Arial" w:hAnsi="Arial" w:cs="Arial"/>
        </w:rPr>
      </w:pPr>
    </w:p>
    <w:p w14:paraId="648BBDEA" w14:textId="77777777" w:rsidR="00944613" w:rsidRPr="00855BAA" w:rsidRDefault="00944613" w:rsidP="00944613">
      <w:pPr>
        <w:rPr>
          <w:rFonts w:ascii="Arial" w:hAnsi="Arial" w:cs="Arial"/>
        </w:rPr>
      </w:pPr>
      <w:r w:rsidRPr="00855BAA">
        <w:rPr>
          <w:rFonts w:ascii="Arial" w:hAnsi="Arial" w:cs="Arial"/>
        </w:rPr>
        <w:t>Total estimated power: ≈ 578 MW</w:t>
      </w:r>
      <w:r w:rsidRPr="00855BAA">
        <w:rPr>
          <w:rFonts w:ascii="Arial" w:hAnsi="Arial" w:cs="Arial"/>
        </w:rPr>
        <w:br/>
        <w:t>Total daily energy: ≈ 13,872 MWh/day</w:t>
      </w:r>
    </w:p>
    <w:p w14:paraId="6FFE22BC" w14:textId="77777777" w:rsidR="00790ADA" w:rsidRPr="00FB3A86" w:rsidRDefault="00790ADA" w:rsidP="00441B6F">
      <w:pPr>
        <w:pStyle w:val="Body"/>
        <w:spacing w:after="0"/>
        <w:rPr>
          <w:rFonts w:ascii="Arial" w:hAnsi="Arial" w:cs="Arial"/>
        </w:rPr>
      </w:pPr>
    </w:p>
    <w:p w14:paraId="03877186" w14:textId="69D095AD" w:rsidR="00B01FCD" w:rsidRDefault="00000F8F" w:rsidP="00441B6F">
      <w:pPr>
        <w:pStyle w:val="ConcHead"/>
        <w:spacing w:after="0"/>
        <w:jc w:val="both"/>
        <w:rPr>
          <w:rFonts w:ascii="Arial" w:hAnsi="Arial" w:cs="Arial"/>
        </w:rPr>
      </w:pPr>
      <w:r>
        <w:rPr>
          <w:rFonts w:ascii="Arial" w:hAnsi="Arial" w:cs="Arial"/>
        </w:rPr>
        <w:t xml:space="preserve">4. </w:t>
      </w:r>
      <w:r w:rsidR="00AF68D3">
        <w:rPr>
          <w:rFonts w:ascii="Arial" w:hAnsi="Arial" w:cs="Arial"/>
        </w:rPr>
        <w:t>DISCUSSION</w:t>
      </w:r>
    </w:p>
    <w:p w14:paraId="36345C94" w14:textId="77777777" w:rsidR="00C606AC" w:rsidRPr="006F3BE8" w:rsidRDefault="00C606AC" w:rsidP="00C606AC">
      <w:pPr>
        <w:jc w:val="both"/>
        <w:rPr>
          <w:rFonts w:ascii="Arial" w:hAnsi="Arial" w:cs="Arial"/>
          <w:b/>
          <w:bCs/>
          <w:sz w:val="22"/>
          <w:szCs w:val="22"/>
        </w:rPr>
      </w:pPr>
      <w:r w:rsidRPr="006F3BE8">
        <w:rPr>
          <w:rFonts w:ascii="Arial" w:hAnsi="Arial" w:cs="Arial"/>
          <w:b/>
          <w:bCs/>
          <w:sz w:val="22"/>
          <w:szCs w:val="22"/>
        </w:rPr>
        <w:t>4.1 Implications of Cluster-Based Gas-to-Power for Energy Security</w:t>
      </w:r>
    </w:p>
    <w:p w14:paraId="11D07089" w14:textId="6F436C4F" w:rsidR="00C606AC" w:rsidRPr="003C39C7" w:rsidRDefault="001E0EDE" w:rsidP="00C606AC">
      <w:pPr>
        <w:jc w:val="both"/>
        <w:rPr>
          <w:rFonts w:ascii="Arial" w:hAnsi="Arial" w:cs="Arial"/>
        </w:rPr>
      </w:pPr>
      <w:r w:rsidRPr="001E0EDE">
        <w:rPr>
          <w:rFonts w:ascii="Arial" w:hAnsi="Arial" w:cs="Arial"/>
        </w:rPr>
        <w:t>The results demonstrate that</w:t>
      </w:r>
      <w:r w:rsidR="00EC20B8">
        <w:rPr>
          <w:rFonts w:ascii="Arial" w:hAnsi="Arial" w:cs="Arial"/>
        </w:rPr>
        <w:t xml:space="preserve"> </w:t>
      </w:r>
      <w:r w:rsidR="00C606AC" w:rsidRPr="003C39C7">
        <w:rPr>
          <w:rFonts w:ascii="Arial" w:hAnsi="Arial" w:cs="Arial"/>
        </w:rPr>
        <w:t>optimally aggregated flare-gas clusters in the Niger Delta can realistically support approximately 578 MW of power capacity using empirically observed plant performance. This level of generation is considered significant because within the Nigerian power system, incremental additions of 100–200 MW have been shown to improve grid stability, and reserve margin in gas-dominated electricity systems (</w:t>
      </w:r>
      <w:proofErr w:type="spellStart"/>
      <w:r w:rsidR="00C606AC" w:rsidRPr="003C39C7">
        <w:rPr>
          <w:rFonts w:ascii="Arial" w:hAnsi="Arial" w:cs="Arial"/>
        </w:rPr>
        <w:t>Aigbe</w:t>
      </w:r>
      <w:proofErr w:type="spellEnd"/>
      <w:r w:rsidR="00C606AC" w:rsidRPr="003C39C7">
        <w:rPr>
          <w:rFonts w:ascii="Arial" w:hAnsi="Arial" w:cs="Arial"/>
        </w:rPr>
        <w:t xml:space="preserve"> et al., 2023; Wang et al., 2023).</w:t>
      </w:r>
    </w:p>
    <w:p w14:paraId="0479F849" w14:textId="77777777" w:rsidR="00C606AC" w:rsidRPr="003C39C7" w:rsidRDefault="00C606AC" w:rsidP="00C606AC">
      <w:pPr>
        <w:jc w:val="both"/>
        <w:rPr>
          <w:rFonts w:ascii="Arial" w:hAnsi="Arial" w:cs="Arial"/>
        </w:rPr>
      </w:pPr>
      <w:r w:rsidRPr="003C39C7">
        <w:rPr>
          <w:rFonts w:ascii="Arial" w:hAnsi="Arial" w:cs="Arial"/>
        </w:rPr>
        <w:t xml:space="preserve">A key insight from the analysis is the uneven contribution of clusters to total power potential. More than 70% of the estimated capacity is supplied by Clusters 0 and 3, reflecting the effectiveness of cluster-based aggregation in concentrating dispersed flare volumes into economically meaningful supply streams. Studies have demonstrated that spatial aggregation and hub-based gas-gathering strategies significantly improve infrastructure utilization and energy recovery from small, distributed gas sources (Ikotun et al., 2023; </w:t>
      </w:r>
      <w:proofErr w:type="spellStart"/>
      <w:r w:rsidRPr="003C39C7">
        <w:rPr>
          <w:rFonts w:ascii="Arial" w:hAnsi="Arial" w:cs="Arial"/>
        </w:rPr>
        <w:t>Fagbami</w:t>
      </w:r>
      <w:proofErr w:type="spellEnd"/>
      <w:r w:rsidRPr="003C39C7">
        <w:rPr>
          <w:rFonts w:ascii="Arial" w:hAnsi="Arial" w:cs="Arial"/>
        </w:rPr>
        <w:t xml:space="preserve"> et al., 2024). This confirms that spatial optimization, when combined with realistic gas conditioning and empirical power modelling, provides a credible pathway for translating flare-gas recovery into energy-security outcomes.</w:t>
      </w:r>
    </w:p>
    <w:p w14:paraId="5636CB0E" w14:textId="3B845DA2" w:rsidR="00C606AC" w:rsidRPr="003C39C7" w:rsidRDefault="00C606AC" w:rsidP="00C606AC">
      <w:pPr>
        <w:jc w:val="both"/>
        <w:rPr>
          <w:rFonts w:ascii="Arial" w:hAnsi="Arial" w:cs="Arial"/>
        </w:rPr>
      </w:pPr>
      <w:r w:rsidRPr="003C39C7">
        <w:rPr>
          <w:rFonts w:ascii="Arial" w:hAnsi="Arial" w:cs="Arial"/>
        </w:rPr>
        <w:t xml:space="preserve">Unlike purely theoretical gas-to-power assessments, the present study incorporates real operational behavior through the Afam VI empirical model. </w:t>
      </w:r>
      <w:r w:rsidR="00A522E9" w:rsidRPr="00A522E9">
        <w:rPr>
          <w:rFonts w:ascii="Arial" w:hAnsi="Arial" w:cs="Arial"/>
        </w:rPr>
        <w:t>Thus, it accounts for part-load effects and site-specific inefficiencies.</w:t>
      </w:r>
      <w:r w:rsidR="004E4802">
        <w:rPr>
          <w:rFonts w:ascii="Arial" w:hAnsi="Arial" w:cs="Arial"/>
        </w:rPr>
        <w:t xml:space="preserve"> </w:t>
      </w:r>
      <w:r w:rsidRPr="003C39C7">
        <w:rPr>
          <w:rFonts w:ascii="Arial" w:hAnsi="Arial" w:cs="Arial"/>
        </w:rPr>
        <w:t>Therefore, the estimated capacity reflects achievable power output rather than idealized conversion efficiency. Empirical modelling approaches improve the reliability of power-generation projections, particularly in developing-countries characterized by operational constraints (Molière, 2023; Wang et al., 2023). This enhances the usefulness of the results for infrastructure planning and energy-policy evaluation.</w:t>
      </w:r>
    </w:p>
    <w:p w14:paraId="0F18BD51" w14:textId="77777777" w:rsidR="00C606AC" w:rsidRPr="006F3BE8" w:rsidRDefault="00C606AC" w:rsidP="00C606AC">
      <w:pPr>
        <w:jc w:val="both"/>
        <w:rPr>
          <w:rFonts w:ascii="Arial" w:hAnsi="Arial" w:cs="Arial"/>
          <w:b/>
          <w:bCs/>
          <w:sz w:val="22"/>
          <w:szCs w:val="22"/>
        </w:rPr>
      </w:pPr>
      <w:r w:rsidRPr="006F3BE8">
        <w:rPr>
          <w:rFonts w:ascii="Arial" w:hAnsi="Arial" w:cs="Arial"/>
          <w:b/>
          <w:bCs/>
          <w:sz w:val="22"/>
          <w:szCs w:val="22"/>
        </w:rPr>
        <w:t>4.2 Energy Potential and Equivalent Population Coverage</w:t>
      </w:r>
    </w:p>
    <w:p w14:paraId="43238F1D" w14:textId="77777777" w:rsidR="00C606AC" w:rsidRPr="003C39C7" w:rsidRDefault="00C606AC" w:rsidP="00C606AC">
      <w:pPr>
        <w:jc w:val="both"/>
        <w:rPr>
          <w:rFonts w:ascii="Arial" w:hAnsi="Arial" w:cs="Arial"/>
        </w:rPr>
      </w:pPr>
      <w:r w:rsidRPr="003C39C7">
        <w:rPr>
          <w:rFonts w:ascii="Arial" w:hAnsi="Arial" w:cs="Arial"/>
        </w:rPr>
        <w:t>The combined power-generation potential of the four clusters was evaluated by converting the estimated cluster-level power outputs into annual electrical energy. The total recoverable electrical energy from the clustered flare-gas streams is approximately 13,872 MWh/day. Under continuous operation, the energy will correspond to about 5.06 TWh/year.</w:t>
      </w:r>
    </w:p>
    <w:p w14:paraId="46361856" w14:textId="7C813A5E" w:rsidR="00C606AC" w:rsidRPr="003C39C7" w:rsidRDefault="00C606AC" w:rsidP="00C606AC">
      <w:pPr>
        <w:jc w:val="both"/>
        <w:rPr>
          <w:rFonts w:ascii="Arial" w:hAnsi="Arial" w:cs="Arial"/>
        </w:rPr>
      </w:pPr>
      <w:r w:rsidRPr="003C39C7">
        <w:rPr>
          <w:rFonts w:ascii="Arial" w:hAnsi="Arial" w:cs="Arial"/>
        </w:rPr>
        <w:t xml:space="preserve">The estimated energy output was benchmarked against Nigeria’s average per-capita electricity consumption. As shown in Figure </w:t>
      </w:r>
      <w:r w:rsidR="009E24B4">
        <w:rPr>
          <w:rFonts w:ascii="Arial" w:hAnsi="Arial" w:cs="Arial"/>
        </w:rPr>
        <w:t>(</w:t>
      </w:r>
      <w:r w:rsidR="002444D7">
        <w:rPr>
          <w:rFonts w:ascii="Arial" w:hAnsi="Arial" w:cs="Arial"/>
        </w:rPr>
        <w:t>5</w:t>
      </w:r>
      <w:r w:rsidR="009E24B4">
        <w:rPr>
          <w:rFonts w:ascii="Arial" w:hAnsi="Arial" w:cs="Arial"/>
        </w:rPr>
        <w:t>)</w:t>
      </w:r>
      <w:r w:rsidRPr="003C39C7">
        <w:rPr>
          <w:rFonts w:ascii="Arial" w:hAnsi="Arial" w:cs="Arial"/>
        </w:rPr>
        <w:t>, Nigeria’s per-capita electricity consumption has remained below 200 kWh/person/year over the period 2000–2022. The average value being 152.17 kWh/person/year (Statista, 2023). Using this benchmark, the annual recoverable energy (equation 4.1) from the aggregated flare-gas clusters could supply the electricity needs of approximately 33 million people.</w:t>
      </w:r>
    </w:p>
    <w:p w14:paraId="24507C0D" w14:textId="77777777" w:rsidR="00C606AC" w:rsidRPr="003C39C7" w:rsidRDefault="00DE6A65" w:rsidP="00C606AC">
      <w:pPr>
        <w:jc w:val="both"/>
        <w:rPr>
          <w:rFonts w:ascii="Arial" w:eastAsiaTheme="majorEastAsia" w:hAnsi="Arial" w:cs="Arial"/>
          <w:noProof/>
        </w:rPr>
      </w:pPr>
      <m:oMathPara>
        <m:oMath>
          <m:f>
            <m:fPr>
              <m:ctrlPr>
                <w:rPr>
                  <w:rFonts w:ascii="Cambria Math" w:hAnsi="Cambria Math"/>
                </w:rPr>
              </m:ctrlPr>
            </m:fPr>
            <m:num>
              <m:r>
                <w:rPr>
                  <w:rFonts w:ascii="Cambria Math" w:hAnsi="Cambria Math"/>
                </w:rPr>
                <m:t>5.06×</m:t>
              </m:r>
              <m:sSup>
                <m:sSupPr>
                  <m:ctrlPr>
                    <w:rPr>
                      <w:rFonts w:ascii="Cambria Math" w:hAnsi="Cambria Math"/>
                    </w:rPr>
                  </m:ctrlPr>
                </m:sSupPr>
                <m:e>
                  <m:r>
                    <w:rPr>
                      <w:rFonts w:ascii="Cambria Math" w:hAnsi="Cambria Math"/>
                    </w:rPr>
                    <m:t>10</m:t>
                  </m:r>
                </m:e>
                <m:sup>
                  <m:r>
                    <w:rPr>
                      <w:rFonts w:ascii="Cambria Math" w:hAnsi="Cambria Math"/>
                    </w:rPr>
                    <m:t>9</m:t>
                  </m:r>
                </m:sup>
              </m:sSup>
              <m:r>
                <m:rPr>
                  <m:nor/>
                </m:rPr>
                <w:rPr>
                  <w:rFonts w:ascii="Arial" w:hAnsi="Arial" w:cs="Arial"/>
                </w:rPr>
                <m:t xml:space="preserve"> kWh/year</m:t>
              </m:r>
            </m:num>
            <m:den>
              <m:r>
                <w:rPr>
                  <w:rFonts w:ascii="Cambria Math" w:hAnsi="Cambria Math"/>
                </w:rPr>
                <m:t>152.17</m:t>
              </m:r>
              <m:r>
                <m:rPr>
                  <m:nor/>
                </m:rPr>
                <w:rPr>
                  <w:rFonts w:ascii="Arial" w:hAnsi="Arial" w:cs="Arial"/>
                </w:rPr>
                <m:t xml:space="preserve"> kWh/person/year</m:t>
              </m:r>
            </m:den>
          </m:f>
          <m:r>
            <w:rPr>
              <w:rFonts w:ascii="Cambria Math" w:hAnsi="Cambria Math"/>
            </w:rPr>
            <m:t>≈33.3</m:t>
          </m:r>
          <m:r>
            <m:rPr>
              <m:nor/>
            </m:rPr>
            <w:rPr>
              <w:rFonts w:ascii="Arial" w:hAnsi="Arial" w:cs="Arial"/>
            </w:rPr>
            <m:t xml:space="preserve"> million people  </m:t>
          </m:r>
          <m:r>
            <m:rPr>
              <m:nor/>
            </m:rPr>
            <w:rPr>
              <w:rFonts w:ascii="Arial" w:hAnsi="Arial" w:cs="Arial"/>
            </w:rPr>
            <m:t xml:space="preserve">                (4.1)</m:t>
          </m:r>
          <m:r>
            <m:rPr>
              <m:sty m:val="p"/>
            </m:rPr>
            <w:rPr>
              <w:rFonts w:ascii="Cambria Math" w:hAnsi="Cambria Math" w:cs="Arial"/>
            </w:rPr>
            <w:br/>
          </m:r>
        </m:oMath>
      </m:oMathPara>
      <w:r w:rsidR="00C606AC" w:rsidRPr="003C39C7">
        <w:rPr>
          <w:rFonts w:ascii="Arial" w:eastAsiaTheme="majorEastAsia" w:hAnsi="Arial" w:cs="Arial"/>
          <w:noProof/>
          <w:szCs w:val="32"/>
        </w:rPr>
        <w:drawing>
          <wp:inline distT="0" distB="0" distL="0" distR="0" wp14:anchorId="16400FDF" wp14:editId="32AD9529">
            <wp:extent cx="5731487" cy="4037965"/>
            <wp:effectExtent l="0" t="0" r="3175" b="635"/>
            <wp:docPr id="727443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926"/>
                    <a:stretch>
                      <a:fillRect/>
                    </a:stretch>
                  </pic:blipFill>
                  <pic:spPr bwMode="auto">
                    <a:xfrm>
                      <a:off x="0" y="0"/>
                      <a:ext cx="5731510" cy="4037981"/>
                    </a:xfrm>
                    <a:prstGeom prst="rect">
                      <a:avLst/>
                    </a:prstGeom>
                    <a:noFill/>
                    <a:ln>
                      <a:noFill/>
                    </a:ln>
                    <a:extLst>
                      <a:ext uri="{53640926-AAD7-44D8-BBD7-CCE9431645EC}">
                        <a14:shadowObscured xmlns:a14="http://schemas.microsoft.com/office/drawing/2010/main"/>
                      </a:ext>
                    </a:extLst>
                  </pic:spPr>
                </pic:pic>
              </a:graphicData>
            </a:graphic>
          </wp:inline>
        </w:drawing>
      </w:r>
    </w:p>
    <w:p w14:paraId="3EB3CC46" w14:textId="16DA644F" w:rsidR="00C606AC" w:rsidRPr="00200A0B" w:rsidRDefault="00C606AC" w:rsidP="00C606AC">
      <w:pPr>
        <w:jc w:val="both"/>
        <w:rPr>
          <w:rFonts w:ascii="Arial" w:hAnsi="Arial" w:cs="Arial"/>
          <w:i/>
          <w:iCs/>
        </w:rPr>
      </w:pPr>
      <w:r w:rsidRPr="00200A0B">
        <w:rPr>
          <w:rFonts w:ascii="Arial" w:eastAsiaTheme="majorEastAsia" w:hAnsi="Arial" w:cs="Arial"/>
          <w:i/>
          <w:iCs/>
          <w:noProof/>
        </w:rPr>
        <w:t xml:space="preserve">Figure </w:t>
      </w:r>
      <w:r w:rsidR="009F1524">
        <w:rPr>
          <w:rFonts w:ascii="Arial" w:eastAsiaTheme="majorEastAsia" w:hAnsi="Arial" w:cs="Arial"/>
          <w:i/>
          <w:iCs/>
          <w:noProof/>
        </w:rPr>
        <w:t>5</w:t>
      </w:r>
      <w:r w:rsidRPr="00200A0B">
        <w:rPr>
          <w:rFonts w:ascii="Arial" w:eastAsiaTheme="majorEastAsia" w:hAnsi="Arial" w:cs="Arial"/>
          <w:i/>
          <w:iCs/>
          <w:noProof/>
        </w:rPr>
        <w:t xml:space="preserve">: </w:t>
      </w:r>
      <w:r w:rsidRPr="00200A0B">
        <w:rPr>
          <w:rFonts w:ascii="Arial" w:hAnsi="Arial" w:cs="Arial"/>
          <w:i/>
          <w:iCs/>
        </w:rPr>
        <w:t>Nigeria’s electricity Demand per capita (2000–2022) (Source: Statista, 2023).</w:t>
      </w:r>
    </w:p>
    <w:p w14:paraId="1904FAAA" w14:textId="77777777" w:rsidR="00200A0B" w:rsidRPr="003C39C7" w:rsidRDefault="00200A0B" w:rsidP="00C606AC">
      <w:pPr>
        <w:jc w:val="both"/>
        <w:rPr>
          <w:rFonts w:ascii="Arial" w:eastAsiaTheme="majorEastAsia" w:hAnsi="Arial" w:cs="Arial"/>
          <w:noProof/>
        </w:rPr>
      </w:pPr>
    </w:p>
    <w:p w14:paraId="12B07332" w14:textId="77777777" w:rsidR="00C606AC" w:rsidRPr="003C39C7" w:rsidRDefault="00C606AC" w:rsidP="00C606AC">
      <w:pPr>
        <w:jc w:val="both"/>
        <w:rPr>
          <w:rFonts w:ascii="Arial" w:hAnsi="Arial" w:cs="Arial"/>
        </w:rPr>
      </w:pPr>
      <w:r w:rsidRPr="003C39C7">
        <w:rPr>
          <w:rFonts w:ascii="Arial" w:hAnsi="Arial" w:cs="Arial"/>
        </w:rPr>
        <w:t>This equivalent population coverage represents approximately 15% of Nigeria’s estimated population, based on current national demographic data. While this energy alone cannot resolve Nigeria’s power deficit, it can meaningfully reduce supply gaps, particularly when deployed as distributed or regionally embedded generation close to flare sites.</w:t>
      </w:r>
    </w:p>
    <w:p w14:paraId="7E1AD274" w14:textId="77777777" w:rsidR="00790ADA" w:rsidRPr="00FB3A86" w:rsidRDefault="00790ADA" w:rsidP="00441B6F">
      <w:pPr>
        <w:pStyle w:val="ConcHead"/>
        <w:spacing w:after="0"/>
        <w:jc w:val="both"/>
        <w:rPr>
          <w:rFonts w:ascii="Arial" w:hAnsi="Arial" w:cs="Arial"/>
        </w:rPr>
      </w:pPr>
    </w:p>
    <w:p w14:paraId="6297E765" w14:textId="2A899523" w:rsidR="00AF68D3" w:rsidRDefault="00200A0B" w:rsidP="00AF68D3">
      <w:pPr>
        <w:pStyle w:val="ConcHead"/>
        <w:spacing w:after="0"/>
        <w:jc w:val="both"/>
        <w:rPr>
          <w:rFonts w:ascii="Arial" w:hAnsi="Arial" w:cs="Arial"/>
        </w:rPr>
      </w:pPr>
      <w:r>
        <w:rPr>
          <w:rFonts w:ascii="Arial" w:hAnsi="Arial" w:cs="Arial"/>
        </w:rPr>
        <w:t>5</w:t>
      </w:r>
      <w:r w:rsidR="00AF68D3">
        <w:rPr>
          <w:rFonts w:ascii="Arial" w:hAnsi="Arial" w:cs="Arial"/>
        </w:rPr>
        <w:t xml:space="preserve">. </w:t>
      </w:r>
      <w:r w:rsidR="00AF68D3" w:rsidRPr="00FB3A86">
        <w:rPr>
          <w:rFonts w:ascii="Arial" w:hAnsi="Arial" w:cs="Arial"/>
        </w:rPr>
        <w:t>Conclusion</w:t>
      </w:r>
    </w:p>
    <w:p w14:paraId="657ECF66" w14:textId="77777777" w:rsidR="00E67416" w:rsidRPr="00E67416" w:rsidRDefault="00E67416" w:rsidP="00E67416">
      <w:pPr>
        <w:jc w:val="both"/>
        <w:rPr>
          <w:rFonts w:ascii="Arial" w:hAnsi="Arial" w:cs="Arial"/>
        </w:rPr>
      </w:pPr>
      <w:r w:rsidRPr="00E67416">
        <w:rPr>
          <w:rFonts w:ascii="Arial" w:hAnsi="Arial" w:cs="Arial"/>
        </w:rPr>
        <w:t>This study quantified the power-generation potential of aggregated flare gas in the Niger Delta. It combined geospatial clustering, gas-conditioning process simulation, and empirical gas-to-power modelling. The analysis built on a previously optimized clustering framework for twenty-four onshore flare sites and extended it to address gas quality and achievable power output.</w:t>
      </w:r>
    </w:p>
    <w:p w14:paraId="4CE76A93" w14:textId="531DD619" w:rsidR="00E67416" w:rsidRPr="00E67416" w:rsidRDefault="00E67416" w:rsidP="00E67416">
      <w:pPr>
        <w:jc w:val="both"/>
        <w:rPr>
          <w:rFonts w:ascii="Arial" w:hAnsi="Arial" w:cs="Arial"/>
        </w:rPr>
      </w:pPr>
      <w:r w:rsidRPr="00E67416">
        <w:rPr>
          <w:rFonts w:ascii="Arial" w:hAnsi="Arial" w:cs="Arial"/>
        </w:rPr>
        <w:t xml:space="preserve">The flare gas from all four clusters </w:t>
      </w:r>
      <w:r w:rsidR="00EB2DA0">
        <w:rPr>
          <w:rFonts w:ascii="Arial" w:hAnsi="Arial" w:cs="Arial"/>
        </w:rPr>
        <w:t>was</w:t>
      </w:r>
      <w:r w:rsidRPr="00E67416">
        <w:rPr>
          <w:rFonts w:ascii="Arial" w:hAnsi="Arial" w:cs="Arial"/>
        </w:rPr>
        <w:t xml:space="preserve"> simulated into methane-rich lean gas. The narrow range of lean-gas molecular weights and lower heating values across clusters demonstrated that fuel quality variability was minimal after conditioning, thereby justifying the application of a unified empirical gas-to-power relationship.</w:t>
      </w:r>
    </w:p>
    <w:p w14:paraId="64F0602B" w14:textId="77777777" w:rsidR="00E67416" w:rsidRPr="00E67416" w:rsidRDefault="00E67416" w:rsidP="00E67416">
      <w:pPr>
        <w:jc w:val="both"/>
        <w:rPr>
          <w:rFonts w:ascii="Arial" w:hAnsi="Arial" w:cs="Arial"/>
        </w:rPr>
      </w:pPr>
      <w:r w:rsidRPr="00E67416">
        <w:rPr>
          <w:rFonts w:ascii="Arial" w:hAnsi="Arial" w:cs="Arial"/>
        </w:rPr>
        <w:t>Using operational data from the Afam VI combined-cycle gas-turbine plant, the empirical model estimated a total recoverable capacity of about 578 MW. This corresponds to approximately 13,872 MWh per day, or 5.06 TWh per year. The majority of the recoverable power potential is concentrated within two clusters, which shows the effectiveness of cluster-based aggregation in converting spatially dispersed flare volumes into economically meaningful power supply.</w:t>
      </w:r>
    </w:p>
    <w:p w14:paraId="74A6387F" w14:textId="77777777" w:rsidR="00E67416" w:rsidRPr="00E67416" w:rsidRDefault="00E67416" w:rsidP="00E67416">
      <w:pPr>
        <w:jc w:val="both"/>
        <w:rPr>
          <w:rFonts w:ascii="Arial" w:hAnsi="Arial" w:cs="Arial"/>
        </w:rPr>
      </w:pPr>
      <w:r w:rsidRPr="00E67416">
        <w:rPr>
          <w:rFonts w:ascii="Arial" w:hAnsi="Arial" w:cs="Arial"/>
        </w:rPr>
        <w:t>When benchmarked against Nigeria’s per-capita electricity consumption, the recovered energy could supply electricity to about 33 million people. This represents roughly 15% of the national population. While this contribution alone cannot eliminate Nigeria’s power deficit, it can meaningfully reduce supply gaps.</w:t>
      </w:r>
    </w:p>
    <w:p w14:paraId="27D2490A" w14:textId="77777777" w:rsidR="00E67416" w:rsidRPr="00E67416" w:rsidRDefault="00E67416" w:rsidP="00E67416">
      <w:pPr>
        <w:jc w:val="both"/>
        <w:rPr>
          <w:rFonts w:ascii="Arial" w:hAnsi="Arial" w:cs="Arial"/>
        </w:rPr>
      </w:pPr>
      <w:r w:rsidRPr="00E67416">
        <w:rPr>
          <w:rFonts w:ascii="Arial" w:hAnsi="Arial" w:cs="Arial"/>
        </w:rPr>
        <w:t>Overall, the results show that cluster-based flare-gas utilization is technically feasible and policy relevant. The framework therefore provides practical guidance for translating flare-reduction efforts into reliable electricity supply.</w:t>
      </w:r>
    </w:p>
    <w:p w14:paraId="4948C37F" w14:textId="77777777" w:rsidR="00E67416" w:rsidRDefault="00E67416" w:rsidP="00E67416">
      <w:pPr>
        <w:jc w:val="both"/>
        <w:rPr>
          <w:rFonts w:ascii="Arial" w:hAnsi="Arial" w:cs="Arial"/>
        </w:rPr>
      </w:pPr>
      <w:r w:rsidRPr="00E67416">
        <w:rPr>
          <w:rFonts w:ascii="Arial" w:hAnsi="Arial" w:cs="Arial"/>
        </w:rPr>
        <w:t>Future work can extend this approach by including transmission constraints and economic optimization. These additions would further support investment planning and phased implementation across the Niger Delta.</w:t>
      </w:r>
    </w:p>
    <w:p w14:paraId="3EECE2C3" w14:textId="58814333" w:rsidR="00E63151" w:rsidRDefault="00E63151" w:rsidP="00E67416">
      <w:pPr>
        <w:jc w:val="both"/>
        <w:rPr>
          <w:rFonts w:ascii="Arial" w:hAnsi="Arial" w:cs="Arial"/>
        </w:rPr>
      </w:pPr>
      <w:r w:rsidRPr="00E63151">
        <w:rPr>
          <w:rFonts w:ascii="Arial" w:hAnsi="Arial" w:cs="Arial"/>
        </w:rPr>
        <w:t xml:space="preserve">A key limitation of this study is that it focuses on technical potential rather than economic feasibility. </w:t>
      </w:r>
      <w:r w:rsidR="00087F57">
        <w:rPr>
          <w:rFonts w:ascii="Arial" w:hAnsi="Arial" w:cs="Arial"/>
        </w:rPr>
        <w:t>T</w:t>
      </w:r>
      <w:r w:rsidRPr="00E63151">
        <w:rPr>
          <w:rFonts w:ascii="Arial" w:hAnsi="Arial" w:cs="Arial"/>
        </w:rPr>
        <w:t>he results demonstrate that clustered flare gas can support significant and realistically achievable power generation</w:t>
      </w:r>
      <w:r w:rsidR="00087F57">
        <w:rPr>
          <w:rFonts w:ascii="Arial" w:hAnsi="Arial" w:cs="Arial"/>
        </w:rPr>
        <w:t>.</w:t>
      </w:r>
      <w:r w:rsidR="002F208D">
        <w:rPr>
          <w:rFonts w:ascii="Arial" w:hAnsi="Arial" w:cs="Arial"/>
        </w:rPr>
        <w:t xml:space="preserve"> However,</w:t>
      </w:r>
      <w:r w:rsidRPr="00E63151">
        <w:rPr>
          <w:rFonts w:ascii="Arial" w:hAnsi="Arial" w:cs="Arial"/>
        </w:rPr>
        <w:t xml:space="preserve"> the analysis does not evaluate capital costs, operating costs, tariff structures, or project-level financial viability. Consequently, the findings should be interpreted as a technical benchmark </w:t>
      </w:r>
      <w:r w:rsidR="002F208D">
        <w:rPr>
          <w:rFonts w:ascii="Arial" w:hAnsi="Arial" w:cs="Arial"/>
        </w:rPr>
        <w:t>and not a</w:t>
      </w:r>
      <w:r w:rsidR="00A07C5B">
        <w:rPr>
          <w:rFonts w:ascii="Arial" w:hAnsi="Arial" w:cs="Arial"/>
        </w:rPr>
        <w:t>n</w:t>
      </w:r>
      <w:r w:rsidRPr="00E63151">
        <w:rPr>
          <w:rFonts w:ascii="Arial" w:hAnsi="Arial" w:cs="Arial"/>
        </w:rPr>
        <w:t xml:space="preserve"> investment case.</w:t>
      </w:r>
    </w:p>
    <w:p w14:paraId="6ABD3829" w14:textId="77777777" w:rsidR="00087FDD" w:rsidRPr="00E67416" w:rsidRDefault="00087FDD" w:rsidP="00E67416">
      <w:pPr>
        <w:jc w:val="both"/>
        <w:rPr>
          <w:rFonts w:ascii="Arial" w:hAnsi="Arial" w:cs="Arial"/>
        </w:rPr>
      </w:pPr>
    </w:p>
    <w:p w14:paraId="4F18AC1C" w14:textId="77777777" w:rsidR="00087FDD" w:rsidRPr="00087FDD" w:rsidRDefault="00087FDD" w:rsidP="00087FDD">
      <w:pPr>
        <w:jc w:val="both"/>
        <w:rPr>
          <w:rFonts w:ascii="Arial" w:hAnsi="Arial" w:cs="Arial"/>
          <w:b/>
          <w:bCs/>
          <w:color w:val="000000" w:themeColor="text1"/>
          <w:sz w:val="22"/>
          <w:szCs w:val="22"/>
        </w:rPr>
      </w:pPr>
      <w:r w:rsidRPr="00087FDD">
        <w:rPr>
          <w:rFonts w:ascii="Arial" w:hAnsi="Arial" w:cs="Arial"/>
          <w:b/>
          <w:bCs/>
          <w:color w:val="000000" w:themeColor="text1"/>
          <w:sz w:val="22"/>
          <w:szCs w:val="22"/>
        </w:rPr>
        <w:t>DATA AVAILABILITY STATEMENT</w:t>
      </w:r>
    </w:p>
    <w:p w14:paraId="008F8744" w14:textId="77777777" w:rsidR="00087FDD" w:rsidRPr="00855BAA" w:rsidRDefault="00087FDD" w:rsidP="00087FDD">
      <w:pPr>
        <w:jc w:val="both"/>
        <w:rPr>
          <w:rFonts w:ascii="Arial" w:hAnsi="Arial" w:cs="Arial"/>
          <w:b/>
          <w:bCs/>
          <w:color w:val="000000" w:themeColor="text1"/>
        </w:rPr>
      </w:pPr>
    </w:p>
    <w:p w14:paraId="1D44EE0F" w14:textId="77777777" w:rsidR="00087FDD" w:rsidRPr="00855BAA" w:rsidRDefault="00087FDD" w:rsidP="00087FDD">
      <w:pPr>
        <w:jc w:val="both"/>
        <w:rPr>
          <w:rFonts w:ascii="Arial" w:hAnsi="Arial" w:cs="Arial"/>
          <w:color w:val="000000" w:themeColor="text1"/>
        </w:rPr>
      </w:pPr>
      <w:r w:rsidRPr="00855BAA">
        <w:rPr>
          <w:rFonts w:ascii="Arial" w:hAnsi="Arial" w:cs="Arial"/>
          <w:color w:val="000000" w:themeColor="text1"/>
        </w:rPr>
        <w:lastRenderedPageBreak/>
        <w:t>The data used in this study include flare-gas composition data and power-plant operational records obtained through technical and operational access arrangements. Due to confidentiality and data-use restrictions, these datasets are not publicly available. Aggregated and processed data supporting the findings of this study are included within the article. Additional information may be made available from the corresponding author upon reasonable request</w:t>
      </w:r>
      <w:r>
        <w:rPr>
          <w:rFonts w:ascii="Arial" w:hAnsi="Arial" w:cs="Arial"/>
          <w:color w:val="000000" w:themeColor="text1"/>
        </w:rPr>
        <w:t>.</w:t>
      </w:r>
    </w:p>
    <w:p w14:paraId="1BA77943" w14:textId="77777777" w:rsidR="00AF68D3" w:rsidRDefault="00AF68D3" w:rsidP="00441B6F">
      <w:pPr>
        <w:pStyle w:val="Body"/>
        <w:spacing w:after="0"/>
        <w:rPr>
          <w:rFonts w:ascii="Arial" w:hAnsi="Arial" w:cs="Arial"/>
        </w:rPr>
      </w:pPr>
    </w:p>
    <w:p w14:paraId="69BCD996" w14:textId="77777777" w:rsidR="00087FDD" w:rsidRPr="00FB3A86" w:rsidRDefault="00087FDD" w:rsidP="00441B6F">
      <w:pPr>
        <w:pStyle w:val="Body"/>
        <w:spacing w:after="0"/>
        <w:rPr>
          <w:rFonts w:ascii="Arial" w:hAnsi="Arial" w:cs="Arial"/>
        </w:rPr>
      </w:pPr>
    </w:p>
    <w:p w14:paraId="05931E30" w14:textId="77777777" w:rsidR="006F7842" w:rsidRPr="006F7842" w:rsidRDefault="006F7842" w:rsidP="006F7842">
      <w:pPr>
        <w:jc w:val="both"/>
        <w:rPr>
          <w:rFonts w:ascii="Arial" w:hAnsi="Arial" w:cs="Arial"/>
        </w:rPr>
      </w:pPr>
      <w:r w:rsidRPr="006F7842">
        <w:rPr>
          <w:rFonts w:ascii="Arial" w:hAnsi="Arial" w:cs="Arial"/>
        </w:rPr>
        <w:t>COMPETING INTERESTS DISCLAIMER:</w:t>
      </w:r>
    </w:p>
    <w:p w14:paraId="6BB43808" w14:textId="77F9DC25" w:rsidR="006F7842" w:rsidRDefault="006F7842" w:rsidP="006F7842">
      <w:pPr>
        <w:jc w:val="both"/>
        <w:rPr>
          <w:rFonts w:ascii="Arial" w:hAnsi="Arial" w:cs="Arial"/>
        </w:rPr>
      </w:pPr>
      <w:r w:rsidRPr="006F7842">
        <w:rPr>
          <w:rFonts w:ascii="Arial" w:hAnsi="Arial" w:cs="Arial"/>
        </w:rPr>
        <w:t>Authors have declared that they have no known competing financial interests OR non-financial interests OR personal relationships that could have appeared to influence the work reported in this paper.</w:t>
      </w:r>
    </w:p>
    <w:p w14:paraId="5223E01D" w14:textId="77777777" w:rsidR="00A73AE7" w:rsidRDefault="00A73AE7" w:rsidP="006F7842">
      <w:pPr>
        <w:jc w:val="both"/>
        <w:rPr>
          <w:rFonts w:ascii="Arial" w:hAnsi="Arial" w:cs="Arial"/>
        </w:rPr>
      </w:pPr>
    </w:p>
    <w:p w14:paraId="48095680" w14:textId="77777777" w:rsidR="006A3D82" w:rsidRPr="00CA3906" w:rsidRDefault="006A3D82" w:rsidP="006A3D82">
      <w:pPr>
        <w:rPr>
          <w:b/>
          <w:highlight w:val="yellow"/>
        </w:rPr>
      </w:pPr>
      <w:r w:rsidRPr="00CA3906">
        <w:rPr>
          <w:b/>
          <w:highlight w:val="yellow"/>
        </w:rPr>
        <w:t>Disclaimer (Artificial intelligence)</w:t>
      </w:r>
    </w:p>
    <w:p w14:paraId="15BF65AB" w14:textId="1A6BFEF6" w:rsidR="004465F4" w:rsidRDefault="004465F4" w:rsidP="004465F4">
      <w:pPr>
        <w:jc w:val="both"/>
      </w:pPr>
      <w:r>
        <w:t>The author(s) declare that generative artificial intelligence tools were used during the revision stage of this manuscript solely for language refinement and sentence restructuring. ChatGPT (OpenAI GPT-5.</w:t>
      </w:r>
      <w:r w:rsidR="00440028">
        <w:t>2</w:t>
      </w:r>
      <w:r>
        <w:t>) was used to assist with rephrasing reviewer-recommended sections. All ideas, data, analyses, results, interpretations, and conceptual development presented in this manuscript are entirely the original work of the authors.</w:t>
      </w:r>
    </w:p>
    <w:p w14:paraId="6AABFF20" w14:textId="77777777" w:rsidR="004465F4" w:rsidRDefault="004465F4" w:rsidP="004465F4">
      <w:pPr>
        <w:jc w:val="both"/>
      </w:pPr>
    </w:p>
    <w:p w14:paraId="63675CB1" w14:textId="77777777" w:rsidR="004465F4" w:rsidRPr="00E23FFD" w:rsidRDefault="004465F4" w:rsidP="004465F4">
      <w:pPr>
        <w:jc w:val="both"/>
        <w:rPr>
          <w:i/>
          <w:iCs/>
        </w:rPr>
      </w:pPr>
      <w:r w:rsidRPr="00E23FFD">
        <w:rPr>
          <w:i/>
          <w:iCs/>
        </w:rPr>
        <w:t>Details of AI Usage</w:t>
      </w:r>
    </w:p>
    <w:p w14:paraId="5478FBC9" w14:textId="77777777" w:rsidR="004465F4" w:rsidRDefault="004465F4" w:rsidP="004465F4">
      <w:pPr>
        <w:jc w:val="both"/>
      </w:pPr>
      <w:r>
        <w:t>Rephrasing and clarity improvement in the abstract and introduction.</w:t>
      </w:r>
    </w:p>
    <w:p w14:paraId="386BA5BE" w14:textId="45D17E7B" w:rsidR="006F7842" w:rsidRPr="00855BAA" w:rsidRDefault="004465F4" w:rsidP="004465F4">
      <w:pPr>
        <w:jc w:val="both"/>
        <w:rPr>
          <w:rFonts w:ascii="Arial" w:hAnsi="Arial" w:cs="Arial"/>
        </w:rPr>
      </w:pPr>
      <w:r>
        <w:t>Language refinement and sentence restructuring following reviewer comments.</w:t>
      </w:r>
    </w:p>
    <w:p w14:paraId="52D697DC" w14:textId="77777777" w:rsidR="00860000" w:rsidRDefault="00860000" w:rsidP="00441B6F">
      <w:pPr>
        <w:pStyle w:val="ReferHead"/>
        <w:spacing w:after="0"/>
        <w:jc w:val="both"/>
        <w:rPr>
          <w:rFonts w:ascii="Arial" w:hAnsi="Arial" w:cs="Arial"/>
        </w:rPr>
      </w:pPr>
    </w:p>
    <w:p w14:paraId="0D8CAFC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93F8156" w14:textId="77777777" w:rsidR="00790ADA" w:rsidRPr="00FB3A86" w:rsidRDefault="00790ADA" w:rsidP="00441B6F">
      <w:pPr>
        <w:pStyle w:val="ReferHead"/>
        <w:spacing w:after="0"/>
        <w:jc w:val="both"/>
        <w:rPr>
          <w:rFonts w:ascii="Arial" w:hAnsi="Arial" w:cs="Arial"/>
        </w:rPr>
      </w:pPr>
    </w:p>
    <w:p w14:paraId="38609BDA" w14:textId="093A6809"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THISDAY Live. (2025, April 12). NUPRC: Nigeria’s oil reserves hit 37.28 billion barrels, gas 210.54 TCF in 2025. </w:t>
      </w:r>
      <w:hyperlink r:id="rId19" w:history="1">
        <w:r w:rsidR="00151871" w:rsidRPr="00151871">
          <w:rPr>
            <w:rStyle w:val="Hyperlink"/>
            <w:rFonts w:ascii="Arial" w:hAnsi="Arial" w:cs="Arial"/>
            <w:sz w:val="22"/>
            <w:szCs w:val="22"/>
          </w:rPr>
          <w:t>https://www.thisdaylive.com/2025/04/12/nuprc-nigerias-oil-reserves-hit-37-28-billion-barrels-gas-210-54-tcf-in-2025/</w:t>
        </w:r>
      </w:hyperlink>
    </w:p>
    <w:p w14:paraId="6D47DBAD" w14:textId="42BB27B8"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Olujobi</w:t>
      </w:r>
      <w:proofErr w:type="spellEnd"/>
      <w:r w:rsidRPr="00151871">
        <w:rPr>
          <w:rFonts w:ascii="Arial" w:hAnsi="Arial" w:cs="Arial"/>
          <w:sz w:val="22"/>
          <w:szCs w:val="22"/>
        </w:rPr>
        <w:t xml:space="preserve">, O. J., &amp; Ape, N. T. (2025). Reforming legal frameworks for combating gas flaring in Nigeria: A comparative legal analysis and sustainable solutions. Resources Policy, 109, 105721. </w:t>
      </w:r>
      <w:hyperlink r:id="rId20" w:history="1">
        <w:r w:rsidR="00151871" w:rsidRPr="00897436">
          <w:rPr>
            <w:rStyle w:val="Hyperlink"/>
            <w:rFonts w:ascii="Arial" w:hAnsi="Arial" w:cs="Arial"/>
            <w:sz w:val="22"/>
            <w:szCs w:val="22"/>
          </w:rPr>
          <w:t>https://doi.org/10.1016/j.resourpol.2025.105721</w:t>
        </w:r>
      </w:hyperlink>
    </w:p>
    <w:p w14:paraId="78C361BF" w14:textId="3AF1A6A8"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Okoro, E. E., Adeleye, B. N., Okoye, L. U., &amp; Maxwell, O. (2021). Gas flaring, ineffective utilization of energy resource and associated economic impact in Nigeria: Evidence from ARDL and Bayer-Hanck cointegration techniques. Energy Policy, 153, 112260. </w:t>
      </w:r>
      <w:hyperlink r:id="rId21" w:history="1">
        <w:r w:rsidR="00151871" w:rsidRPr="00897436">
          <w:rPr>
            <w:rStyle w:val="Hyperlink"/>
            <w:rFonts w:ascii="Arial" w:hAnsi="Arial" w:cs="Arial"/>
            <w:sz w:val="22"/>
            <w:szCs w:val="22"/>
          </w:rPr>
          <w:t>https://doi.org/10.1016/j.enpol.2021.112260</w:t>
        </w:r>
      </w:hyperlink>
    </w:p>
    <w:p w14:paraId="7A89DDC9" w14:textId="218BEF99"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Awulu</w:t>
      </w:r>
      <w:proofErr w:type="spellEnd"/>
      <w:r w:rsidRPr="00151871">
        <w:rPr>
          <w:rFonts w:ascii="Arial" w:hAnsi="Arial" w:cs="Arial"/>
          <w:sz w:val="22"/>
          <w:szCs w:val="22"/>
        </w:rPr>
        <w:t xml:space="preserve">, E. (2021). Gas flaring in Nigeria: A crisis for the environment. Academia Letters, Article 3799, 1–6. </w:t>
      </w:r>
      <w:hyperlink r:id="rId22" w:history="1">
        <w:r w:rsidR="00151871" w:rsidRPr="00897436">
          <w:rPr>
            <w:rStyle w:val="Hyperlink"/>
            <w:rFonts w:ascii="Arial" w:hAnsi="Arial" w:cs="Arial"/>
            <w:sz w:val="22"/>
            <w:szCs w:val="22"/>
          </w:rPr>
          <w:t>https://doi.org/10.20935/AL3799</w:t>
        </w:r>
      </w:hyperlink>
    </w:p>
    <w:p w14:paraId="160E5C89" w14:textId="1854F98B"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World Bank. (2024). Global gas flaring tracker report 2024. World Bank Global Gas Flaring Reduction Partnership. </w:t>
      </w:r>
      <w:hyperlink r:id="rId23" w:history="1">
        <w:r w:rsidR="00151871" w:rsidRPr="00897436">
          <w:rPr>
            <w:rStyle w:val="Hyperlink"/>
            <w:rFonts w:ascii="Arial" w:hAnsi="Arial" w:cs="Arial"/>
            <w:sz w:val="22"/>
            <w:szCs w:val="22"/>
          </w:rPr>
          <w:t>https://www.worldbank.org/en/programs/gasflaringreduction</w:t>
        </w:r>
      </w:hyperlink>
    </w:p>
    <w:p w14:paraId="4000B8A1" w14:textId="0580F226" w:rsidR="008A2EDF" w:rsidRPr="00151871" w:rsidRDefault="008A2EDF" w:rsidP="00151871">
      <w:pPr>
        <w:pStyle w:val="ListParagraph"/>
        <w:numPr>
          <w:ilvl w:val="0"/>
          <w:numId w:val="36"/>
        </w:numPr>
        <w:rPr>
          <w:rFonts w:ascii="Arial" w:hAnsi="Arial" w:cs="Arial"/>
          <w:sz w:val="22"/>
          <w:szCs w:val="22"/>
        </w:rPr>
      </w:pPr>
      <w:proofErr w:type="spellStart"/>
      <w:r w:rsidRPr="00151871">
        <w:rPr>
          <w:rFonts w:ascii="Arial" w:hAnsi="Arial" w:cs="Arial"/>
          <w:sz w:val="22"/>
          <w:szCs w:val="22"/>
        </w:rPr>
        <w:t>Aigbe</w:t>
      </w:r>
      <w:proofErr w:type="spellEnd"/>
      <w:r w:rsidRPr="00151871">
        <w:rPr>
          <w:rFonts w:ascii="Arial" w:hAnsi="Arial" w:cs="Arial"/>
          <w:sz w:val="22"/>
          <w:szCs w:val="22"/>
        </w:rPr>
        <w:t xml:space="preserve">, G. O., Stringer, L. C., &amp; Cotton, M. (2023). Gas flaring in Nigeria: A multi-level governance and policy coherence analysis. Anthropocene Science, 2, 1–14. </w:t>
      </w:r>
      <w:hyperlink r:id="rId24" w:history="1">
        <w:r w:rsidR="00151871" w:rsidRPr="00897436">
          <w:rPr>
            <w:rStyle w:val="Hyperlink"/>
            <w:rFonts w:ascii="Arial" w:hAnsi="Arial" w:cs="Arial"/>
            <w:sz w:val="22"/>
            <w:szCs w:val="22"/>
          </w:rPr>
          <w:t>https://doi.org/10.1007/s44177-023-00045-5</w:t>
        </w:r>
      </w:hyperlink>
    </w:p>
    <w:p w14:paraId="76B7CF8D" w14:textId="6F82F7B7" w:rsidR="008A2EDF" w:rsidRPr="00151871" w:rsidRDefault="008A2EDF" w:rsidP="00151871">
      <w:pPr>
        <w:pStyle w:val="ListParagraph"/>
        <w:numPr>
          <w:ilvl w:val="0"/>
          <w:numId w:val="36"/>
        </w:numPr>
        <w:rPr>
          <w:rFonts w:ascii="Arial" w:hAnsi="Arial" w:cs="Arial"/>
          <w:sz w:val="22"/>
          <w:szCs w:val="22"/>
        </w:rPr>
      </w:pPr>
      <w:r w:rsidRPr="00151871">
        <w:rPr>
          <w:rFonts w:ascii="Arial" w:hAnsi="Arial" w:cs="Arial"/>
          <w:sz w:val="22"/>
          <w:szCs w:val="22"/>
        </w:rPr>
        <w:t xml:space="preserve">Musa, I., &amp; Ibrahim, S. (2025). Assessing the effect of gas flaring on economic sustainability in Nigeria’s oil and gas sector. International Journal of Spectrum Research in Social and Management Sciences, 1(4), 123–147. </w:t>
      </w:r>
      <w:hyperlink r:id="rId25" w:history="1">
        <w:r w:rsidR="00151871" w:rsidRPr="00897436">
          <w:rPr>
            <w:rStyle w:val="Hyperlink"/>
            <w:rFonts w:ascii="Arial" w:hAnsi="Arial" w:cs="Arial"/>
            <w:sz w:val="22"/>
            <w:szCs w:val="22"/>
          </w:rPr>
          <w:t>https://doi.org/10.5281/zenodo.17686587</w:t>
        </w:r>
      </w:hyperlink>
    </w:p>
    <w:p w14:paraId="04A256FA" w14:textId="1AAAB509" w:rsidR="008A2EDF" w:rsidRPr="00DC195C"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Wang, Y., Yang, Y., &amp; Xu, Q. (2023). Integrated planning of natural gas and electricity distribution systems for enhancing resilience. International Journal of Electrical Power &amp; Energy Systems, 151, 109103. </w:t>
      </w:r>
      <w:hyperlink r:id="rId26" w:history="1">
        <w:r w:rsidR="00D30B29" w:rsidRPr="00897436">
          <w:rPr>
            <w:rStyle w:val="Hyperlink"/>
            <w:rFonts w:ascii="Arial" w:hAnsi="Arial" w:cs="Arial"/>
            <w:sz w:val="22"/>
            <w:szCs w:val="22"/>
          </w:rPr>
          <w:t>https://doi.org/10.1016/j.ijepes.2023.109103</w:t>
        </w:r>
      </w:hyperlink>
    </w:p>
    <w:p w14:paraId="3C9C3D33" w14:textId="66EC27D5" w:rsidR="00DC195C" w:rsidRDefault="00986CAA" w:rsidP="00D30B29">
      <w:pPr>
        <w:pStyle w:val="ListParagraph"/>
        <w:numPr>
          <w:ilvl w:val="0"/>
          <w:numId w:val="36"/>
        </w:numPr>
        <w:rPr>
          <w:rFonts w:ascii="Arial" w:hAnsi="Arial" w:cs="Arial"/>
          <w:sz w:val="22"/>
          <w:szCs w:val="22"/>
        </w:rPr>
      </w:pPr>
      <w:r w:rsidRPr="00986CAA">
        <w:rPr>
          <w:rFonts w:ascii="Arial" w:hAnsi="Arial" w:cs="Arial"/>
          <w:sz w:val="22"/>
          <w:szCs w:val="22"/>
        </w:rPr>
        <w:t xml:space="preserve">Tso, W. W., Demirhan, C. D., </w:t>
      </w:r>
      <w:proofErr w:type="spellStart"/>
      <w:r w:rsidRPr="00986CAA">
        <w:rPr>
          <w:rFonts w:ascii="Arial" w:hAnsi="Arial" w:cs="Arial"/>
          <w:sz w:val="22"/>
          <w:szCs w:val="22"/>
        </w:rPr>
        <w:t>Floudas</w:t>
      </w:r>
      <w:proofErr w:type="spellEnd"/>
      <w:r w:rsidRPr="00986CAA">
        <w:rPr>
          <w:rFonts w:ascii="Arial" w:hAnsi="Arial" w:cs="Arial"/>
          <w:sz w:val="22"/>
          <w:szCs w:val="22"/>
        </w:rPr>
        <w:t xml:space="preserve">, C. A., &amp; </w:t>
      </w:r>
      <w:proofErr w:type="spellStart"/>
      <w:r w:rsidRPr="00986CAA">
        <w:rPr>
          <w:rFonts w:ascii="Arial" w:hAnsi="Arial" w:cs="Arial"/>
          <w:sz w:val="22"/>
          <w:szCs w:val="22"/>
        </w:rPr>
        <w:t>Pistikopoulos</w:t>
      </w:r>
      <w:proofErr w:type="spellEnd"/>
      <w:r w:rsidRPr="00986CAA">
        <w:rPr>
          <w:rFonts w:ascii="Arial" w:hAnsi="Arial" w:cs="Arial"/>
          <w:sz w:val="22"/>
          <w:szCs w:val="22"/>
        </w:rPr>
        <w:t>, E. N. (2020). Multi-scale energy systems engineering for optimal natural gas utilization. Catalysis Today, 356, 18–26.</w:t>
      </w:r>
      <w:r w:rsidR="00161F46">
        <w:rPr>
          <w:rFonts w:ascii="Arial" w:hAnsi="Arial" w:cs="Arial"/>
          <w:sz w:val="22"/>
          <w:szCs w:val="22"/>
        </w:rPr>
        <w:t xml:space="preserve"> </w:t>
      </w:r>
      <w:hyperlink r:id="rId27" w:history="1">
        <w:r w:rsidR="00161F46" w:rsidRPr="00897436">
          <w:rPr>
            <w:rStyle w:val="Hyperlink"/>
            <w:rFonts w:ascii="Arial" w:hAnsi="Arial" w:cs="Arial"/>
            <w:sz w:val="22"/>
            <w:szCs w:val="22"/>
          </w:rPr>
          <w:t>https://doi.org/10.1016/j.cattod.2019.09.009</w:t>
        </w:r>
      </w:hyperlink>
    </w:p>
    <w:p w14:paraId="62EF66F2" w14:textId="3591AE1E"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Jain, A. K. (2010</w:t>
      </w:r>
      <w:proofErr w:type="gramStart"/>
      <w:r w:rsidRPr="00D30B29">
        <w:rPr>
          <w:rFonts w:ascii="Arial" w:hAnsi="Arial" w:cs="Arial"/>
          <w:sz w:val="22"/>
          <w:szCs w:val="22"/>
        </w:rPr>
        <w:t>).Data</w:t>
      </w:r>
      <w:proofErr w:type="gramEnd"/>
      <w:r w:rsidRPr="00D30B29">
        <w:rPr>
          <w:rFonts w:ascii="Arial" w:hAnsi="Arial" w:cs="Arial"/>
          <w:sz w:val="22"/>
          <w:szCs w:val="22"/>
        </w:rPr>
        <w:t xml:space="preserve"> clustering: 50 years beyond K-means. Pattern Recognition Letters, 31(8), 651–666. </w:t>
      </w:r>
      <w:hyperlink r:id="rId28" w:history="1">
        <w:r w:rsidR="00D30B29" w:rsidRPr="00897436">
          <w:rPr>
            <w:rStyle w:val="Hyperlink"/>
            <w:rFonts w:ascii="Arial" w:hAnsi="Arial" w:cs="Arial"/>
            <w:sz w:val="22"/>
            <w:szCs w:val="22"/>
          </w:rPr>
          <w:t>https://doi.org/10.1016/j.patrec.2009.09.011</w:t>
        </w:r>
      </w:hyperlink>
    </w:p>
    <w:p w14:paraId="154D3F9D" w14:textId="3D585DDB"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Ikotun, A. M., Ezugwu, A. E., </w:t>
      </w:r>
      <w:proofErr w:type="spellStart"/>
      <w:r w:rsidRPr="00D30B29">
        <w:rPr>
          <w:rFonts w:ascii="Arial" w:hAnsi="Arial" w:cs="Arial"/>
          <w:sz w:val="22"/>
          <w:szCs w:val="22"/>
        </w:rPr>
        <w:t>Abualigah</w:t>
      </w:r>
      <w:proofErr w:type="spellEnd"/>
      <w:r w:rsidRPr="00D30B29">
        <w:rPr>
          <w:rFonts w:ascii="Arial" w:hAnsi="Arial" w:cs="Arial"/>
          <w:sz w:val="22"/>
          <w:szCs w:val="22"/>
        </w:rPr>
        <w:t xml:space="preserve">, L., </w:t>
      </w:r>
      <w:proofErr w:type="spellStart"/>
      <w:r w:rsidRPr="00D30B29">
        <w:rPr>
          <w:rFonts w:ascii="Arial" w:hAnsi="Arial" w:cs="Arial"/>
          <w:sz w:val="22"/>
          <w:szCs w:val="22"/>
        </w:rPr>
        <w:t>Abuhaija</w:t>
      </w:r>
      <w:proofErr w:type="spellEnd"/>
      <w:r w:rsidRPr="00D30B29">
        <w:rPr>
          <w:rFonts w:ascii="Arial" w:hAnsi="Arial" w:cs="Arial"/>
          <w:sz w:val="22"/>
          <w:szCs w:val="22"/>
        </w:rPr>
        <w:t xml:space="preserve">, B., &amp; Heming, J. (2023). K-means clustering algorithms: A comprehensive review, variants analysis, and advances in the era of big data. Information Sciences, 622, 178–210. </w:t>
      </w:r>
      <w:hyperlink r:id="rId29" w:history="1">
        <w:r w:rsidR="00D30B29" w:rsidRPr="00897436">
          <w:rPr>
            <w:rStyle w:val="Hyperlink"/>
            <w:rFonts w:ascii="Arial" w:hAnsi="Arial" w:cs="Arial"/>
            <w:sz w:val="22"/>
            <w:szCs w:val="22"/>
          </w:rPr>
          <w:t>https://doi.org/10.1016/j.ins.2022.11.139</w:t>
        </w:r>
      </w:hyperlink>
    </w:p>
    <w:p w14:paraId="4F8E1A83" w14:textId="48918450"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Nwankwo, A. C., </w:t>
      </w:r>
      <w:proofErr w:type="spellStart"/>
      <w:r w:rsidRPr="00D30B29">
        <w:rPr>
          <w:rFonts w:ascii="Arial" w:hAnsi="Arial" w:cs="Arial"/>
          <w:sz w:val="22"/>
          <w:szCs w:val="22"/>
        </w:rPr>
        <w:t>Omijeh</w:t>
      </w:r>
      <w:proofErr w:type="spellEnd"/>
      <w:r w:rsidRPr="00D30B29">
        <w:rPr>
          <w:rFonts w:ascii="Arial" w:hAnsi="Arial" w:cs="Arial"/>
          <w:sz w:val="22"/>
          <w:szCs w:val="22"/>
        </w:rPr>
        <w:t xml:space="preserve">, B. O., &amp; </w:t>
      </w:r>
      <w:proofErr w:type="spellStart"/>
      <w:r w:rsidRPr="00D30B29">
        <w:rPr>
          <w:rFonts w:ascii="Arial" w:hAnsi="Arial" w:cs="Arial"/>
          <w:sz w:val="22"/>
          <w:szCs w:val="22"/>
        </w:rPr>
        <w:t>Ehikhamenle</w:t>
      </w:r>
      <w:proofErr w:type="spellEnd"/>
      <w:r w:rsidRPr="00D30B29">
        <w:rPr>
          <w:rFonts w:ascii="Arial" w:hAnsi="Arial" w:cs="Arial"/>
          <w:sz w:val="22"/>
          <w:szCs w:val="22"/>
        </w:rPr>
        <w:t xml:space="preserve">, M. (2025). Cluster-based geospatial optimization of gas flaring sites in the Niger Delta for enhanced gas recovery. Journal of Engineering Research and Reports, 27(12), 441–454. </w:t>
      </w:r>
      <w:hyperlink r:id="rId30" w:history="1">
        <w:r w:rsidR="00D30B29" w:rsidRPr="00897436">
          <w:rPr>
            <w:rStyle w:val="Hyperlink"/>
            <w:rFonts w:ascii="Arial" w:hAnsi="Arial" w:cs="Arial"/>
            <w:sz w:val="22"/>
            <w:szCs w:val="22"/>
          </w:rPr>
          <w:t>https://doi.org/10.9734/jerr/2025/v27i121751</w:t>
        </w:r>
      </w:hyperlink>
    </w:p>
    <w:p w14:paraId="199C0170" w14:textId="2D5AAC7D"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lastRenderedPageBreak/>
        <w:t xml:space="preserve">Molière, M. (2023). The fuel flexibility of gas turbines: A review and retrospective outlook. Energies, 16(9), 3962. </w:t>
      </w:r>
      <w:hyperlink r:id="rId31" w:history="1">
        <w:r w:rsidR="00D30B29" w:rsidRPr="00897436">
          <w:rPr>
            <w:rStyle w:val="Hyperlink"/>
            <w:rFonts w:ascii="Arial" w:hAnsi="Arial" w:cs="Arial"/>
            <w:sz w:val="22"/>
            <w:szCs w:val="22"/>
          </w:rPr>
          <w:t>https://doi.org/10.3390/en16093962</w:t>
        </w:r>
      </w:hyperlink>
    </w:p>
    <w:p w14:paraId="10EFE41B" w14:textId="1B1B1C07"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Liu, G., Zhang, X., Chen, Y., &amp; Li, H. (2022). Technical, Economical, and Environmental Performance Assessment of an Improved </w:t>
      </w:r>
      <w:proofErr w:type="spellStart"/>
      <w:r w:rsidRPr="00D30B29">
        <w:rPr>
          <w:rFonts w:ascii="Arial" w:hAnsi="Arial" w:cs="Arial"/>
          <w:sz w:val="22"/>
          <w:szCs w:val="22"/>
        </w:rPr>
        <w:t>Triethylene</w:t>
      </w:r>
      <w:proofErr w:type="spellEnd"/>
      <w:r w:rsidRPr="00D30B29">
        <w:rPr>
          <w:rFonts w:ascii="Arial" w:hAnsi="Arial" w:cs="Arial"/>
          <w:sz w:val="22"/>
          <w:szCs w:val="22"/>
        </w:rPr>
        <w:t xml:space="preserve"> Glycol Dehydration Process for Shale Gas. ACS Omega, 7(9), 8163–8174. </w:t>
      </w:r>
      <w:hyperlink r:id="rId32" w:history="1">
        <w:r w:rsidR="00D30B29" w:rsidRPr="00897436">
          <w:rPr>
            <w:rStyle w:val="Hyperlink"/>
            <w:rFonts w:ascii="Arial" w:hAnsi="Arial" w:cs="Arial"/>
            <w:sz w:val="22"/>
            <w:szCs w:val="22"/>
          </w:rPr>
          <w:t>https://doi.org/10.1021/acsomega.1c05236</w:t>
        </w:r>
      </w:hyperlink>
    </w:p>
    <w:p w14:paraId="5E0E9F0C" w14:textId="6F9F913A" w:rsidR="008A2EDF" w:rsidRPr="00D30B29"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Islam, M., Al-Sobhi, S. A., </w:t>
      </w:r>
      <w:proofErr w:type="spellStart"/>
      <w:r w:rsidRPr="00D30B29">
        <w:rPr>
          <w:rFonts w:ascii="Arial" w:hAnsi="Arial" w:cs="Arial"/>
          <w:sz w:val="22"/>
          <w:szCs w:val="22"/>
        </w:rPr>
        <w:t>Naquash</w:t>
      </w:r>
      <w:proofErr w:type="spellEnd"/>
      <w:r w:rsidRPr="00D30B29">
        <w:rPr>
          <w:rFonts w:ascii="Arial" w:hAnsi="Arial" w:cs="Arial"/>
          <w:sz w:val="22"/>
          <w:szCs w:val="22"/>
        </w:rPr>
        <w:t xml:space="preserve">, A., </w:t>
      </w:r>
      <w:proofErr w:type="spellStart"/>
      <w:r w:rsidRPr="00D30B29">
        <w:rPr>
          <w:rFonts w:ascii="Arial" w:hAnsi="Arial" w:cs="Arial"/>
          <w:sz w:val="22"/>
          <w:szCs w:val="22"/>
        </w:rPr>
        <w:t>Qyyum</w:t>
      </w:r>
      <w:proofErr w:type="spellEnd"/>
      <w:r w:rsidRPr="00D30B29">
        <w:rPr>
          <w:rFonts w:ascii="Arial" w:hAnsi="Arial" w:cs="Arial"/>
          <w:sz w:val="22"/>
          <w:szCs w:val="22"/>
        </w:rPr>
        <w:t xml:space="preserve">, M. A., &amp; Lee, M. (2024). Optimal process selection for natural gas liquids recovery… Energy, 289, 129757. </w:t>
      </w:r>
      <w:hyperlink r:id="rId33" w:history="1">
        <w:r w:rsidR="00D30B29" w:rsidRPr="00897436">
          <w:rPr>
            <w:rStyle w:val="Hyperlink"/>
            <w:rFonts w:ascii="Arial" w:hAnsi="Arial" w:cs="Arial"/>
            <w:sz w:val="22"/>
            <w:szCs w:val="22"/>
          </w:rPr>
          <w:t>https://doi.org/10.1016/j.energy.2023.129757</w:t>
        </w:r>
      </w:hyperlink>
    </w:p>
    <w:p w14:paraId="71F874E2" w14:textId="2B686034" w:rsidR="008A2EDF" w:rsidRPr="00B63176" w:rsidRDefault="008A2EDF" w:rsidP="00D30B29">
      <w:pPr>
        <w:pStyle w:val="ListParagraph"/>
        <w:numPr>
          <w:ilvl w:val="0"/>
          <w:numId w:val="36"/>
        </w:numPr>
        <w:rPr>
          <w:rFonts w:ascii="Arial" w:hAnsi="Arial" w:cs="Arial"/>
          <w:sz w:val="22"/>
          <w:szCs w:val="22"/>
        </w:rPr>
      </w:pPr>
      <w:r w:rsidRPr="00D30B29">
        <w:rPr>
          <w:rFonts w:ascii="Arial" w:hAnsi="Arial" w:cs="Arial"/>
          <w:sz w:val="22"/>
          <w:szCs w:val="22"/>
        </w:rPr>
        <w:t xml:space="preserve">Kazemi, A. (2025). Natural gas liquids (NGL) recovery: A framework for environmental, technical and economic assessments and optimizations. Chemical Engineering Science, 316, 121928. </w:t>
      </w:r>
      <w:hyperlink r:id="rId34" w:history="1">
        <w:r w:rsidR="00D30B29" w:rsidRPr="00897436">
          <w:rPr>
            <w:rStyle w:val="Hyperlink"/>
            <w:rFonts w:ascii="Arial" w:hAnsi="Arial" w:cs="Arial"/>
            <w:sz w:val="22"/>
            <w:szCs w:val="22"/>
          </w:rPr>
          <w:t>https://doi.org/10.1016/j.ces.2025.121928</w:t>
        </w:r>
      </w:hyperlink>
    </w:p>
    <w:p w14:paraId="79A385BC" w14:textId="3C066109" w:rsidR="00B63176" w:rsidRDefault="00B63176" w:rsidP="00D30B29">
      <w:pPr>
        <w:pStyle w:val="ListParagraph"/>
        <w:numPr>
          <w:ilvl w:val="0"/>
          <w:numId w:val="36"/>
        </w:numPr>
        <w:rPr>
          <w:rFonts w:ascii="Arial" w:hAnsi="Arial" w:cs="Arial"/>
          <w:sz w:val="22"/>
          <w:szCs w:val="22"/>
        </w:rPr>
      </w:pPr>
      <w:proofErr w:type="spellStart"/>
      <w:r w:rsidRPr="00B63176">
        <w:rPr>
          <w:rFonts w:ascii="Arial" w:hAnsi="Arial" w:cs="Arial"/>
          <w:sz w:val="22"/>
          <w:szCs w:val="22"/>
        </w:rPr>
        <w:t>Naeim</w:t>
      </w:r>
      <w:proofErr w:type="spellEnd"/>
      <w:r w:rsidRPr="00B63176">
        <w:rPr>
          <w:rFonts w:ascii="Arial" w:hAnsi="Arial" w:cs="Arial"/>
          <w:sz w:val="22"/>
          <w:szCs w:val="22"/>
        </w:rPr>
        <w:t>, K. A., Hegazi, A. A., Awad, M. M., &amp; El-Emam, S. H. (2022). Thermodynamic analysis of gas turbine performance using the enthalpy–entropy approach. Case Studies in Thermal Engineering, 34, 102036.</w:t>
      </w:r>
      <w:r w:rsidR="00100CB8">
        <w:rPr>
          <w:rFonts w:ascii="Arial" w:hAnsi="Arial" w:cs="Arial"/>
          <w:sz w:val="22"/>
          <w:szCs w:val="22"/>
        </w:rPr>
        <w:t xml:space="preserve"> </w:t>
      </w:r>
      <w:hyperlink r:id="rId35" w:history="1">
        <w:r w:rsidR="001E6CB6" w:rsidRPr="00897436">
          <w:rPr>
            <w:rStyle w:val="Hyperlink"/>
            <w:rFonts w:ascii="Arial" w:hAnsi="Arial" w:cs="Arial"/>
            <w:sz w:val="22"/>
            <w:szCs w:val="22"/>
          </w:rPr>
          <w:t>https://doi.org/10.1016/j.csite.2022.102036</w:t>
        </w:r>
      </w:hyperlink>
    </w:p>
    <w:p w14:paraId="704B2104" w14:textId="59C01F03" w:rsidR="001E6CB6" w:rsidRDefault="005A2006" w:rsidP="00D30B29">
      <w:pPr>
        <w:pStyle w:val="ListParagraph"/>
        <w:numPr>
          <w:ilvl w:val="0"/>
          <w:numId w:val="36"/>
        </w:numPr>
        <w:rPr>
          <w:rFonts w:ascii="Arial" w:hAnsi="Arial" w:cs="Arial"/>
          <w:sz w:val="22"/>
          <w:szCs w:val="22"/>
        </w:rPr>
      </w:pPr>
      <w:r w:rsidRPr="005A2006">
        <w:rPr>
          <w:rFonts w:ascii="Arial" w:hAnsi="Arial" w:cs="Arial"/>
          <w:sz w:val="22"/>
          <w:szCs w:val="22"/>
        </w:rPr>
        <w:t>Kim, S. R., Jeong, J. H., &amp; Kim, T. S. (2025). Investigation of operational strategies of natural gas-hydrogen-ammonia co-fired gas turbine combined cycle in simultaneous consideration of performance and CO</w:t>
      </w:r>
      <w:r w:rsidRPr="005A2006">
        <w:rPr>
          <w:rFonts w:ascii="Cambria Math" w:hAnsi="Cambria Math" w:cs="Cambria Math"/>
          <w:sz w:val="22"/>
          <w:szCs w:val="22"/>
        </w:rPr>
        <w:t>₂</w:t>
      </w:r>
      <w:r w:rsidRPr="005A2006">
        <w:rPr>
          <w:rFonts w:ascii="Arial" w:hAnsi="Arial" w:cs="Arial"/>
          <w:sz w:val="22"/>
          <w:szCs w:val="22"/>
        </w:rPr>
        <w:t xml:space="preserve"> emission. Case Studies in Thermal Engineering, 73, 106584.</w:t>
      </w:r>
      <w:r w:rsidR="000E656A">
        <w:rPr>
          <w:rFonts w:ascii="Arial" w:hAnsi="Arial" w:cs="Arial"/>
          <w:sz w:val="22"/>
          <w:szCs w:val="22"/>
        </w:rPr>
        <w:t xml:space="preserve"> </w:t>
      </w:r>
      <w:hyperlink r:id="rId36" w:history="1">
        <w:r w:rsidR="000E656A" w:rsidRPr="00897436">
          <w:rPr>
            <w:rStyle w:val="Hyperlink"/>
            <w:rFonts w:ascii="Arial" w:hAnsi="Arial" w:cs="Arial"/>
            <w:sz w:val="22"/>
            <w:szCs w:val="22"/>
          </w:rPr>
          <w:t>https://doi.org/10.1016/j.csite.2025.106584</w:t>
        </w:r>
      </w:hyperlink>
    </w:p>
    <w:p w14:paraId="63A90706" w14:textId="612F70E4"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Clarke Energy. (n.d.). Heating value. In Clarke Energy US. Retrieved June 28, 2025, from </w:t>
      </w:r>
      <w:hyperlink r:id="rId37" w:history="1">
        <w:r w:rsidR="00D92D49" w:rsidRPr="00D92D49">
          <w:rPr>
            <w:rStyle w:val="Hyperlink"/>
            <w:rFonts w:ascii="Arial" w:hAnsi="Arial" w:cs="Arial"/>
            <w:sz w:val="22"/>
            <w:szCs w:val="22"/>
          </w:rPr>
          <w:t>https://www.clarke-energy.com/us/heating-value/</w:t>
        </w:r>
      </w:hyperlink>
    </w:p>
    <w:p w14:paraId="667F5402" w14:textId="3B0EC1C1" w:rsidR="008A2EDF" w:rsidRPr="00D92D49" w:rsidRDefault="008A2EDF" w:rsidP="00D92D49">
      <w:pPr>
        <w:pStyle w:val="ListParagraph"/>
        <w:numPr>
          <w:ilvl w:val="0"/>
          <w:numId w:val="36"/>
        </w:numPr>
        <w:rPr>
          <w:rFonts w:ascii="Arial" w:hAnsi="Arial" w:cs="Arial"/>
          <w:sz w:val="22"/>
          <w:szCs w:val="22"/>
        </w:rPr>
      </w:pPr>
      <w:proofErr w:type="spellStart"/>
      <w:r w:rsidRPr="00D92D49">
        <w:rPr>
          <w:rFonts w:ascii="Arial" w:hAnsi="Arial" w:cs="Arial"/>
          <w:sz w:val="22"/>
          <w:szCs w:val="22"/>
        </w:rPr>
        <w:t>Emekwuru</w:t>
      </w:r>
      <w:proofErr w:type="spellEnd"/>
      <w:r w:rsidRPr="00D92D49">
        <w:rPr>
          <w:rFonts w:ascii="Arial" w:hAnsi="Arial" w:cs="Arial"/>
          <w:sz w:val="22"/>
          <w:szCs w:val="22"/>
        </w:rPr>
        <w:t xml:space="preserve">, N. (2024). Characterization of the dominant stages at which gas flaring is introduced in the Niger Delta: Impacts and policy options to ameliorate them. Environments, 11(7), 158.  </w:t>
      </w:r>
      <w:hyperlink r:id="rId38" w:history="1">
        <w:r w:rsidR="00D92D49" w:rsidRPr="00897436">
          <w:rPr>
            <w:rStyle w:val="Hyperlink"/>
            <w:rFonts w:ascii="Arial" w:hAnsi="Arial" w:cs="Arial"/>
            <w:sz w:val="22"/>
            <w:szCs w:val="22"/>
          </w:rPr>
          <w:t>https://doi.org/10.3390/environments11070158</w:t>
        </w:r>
      </w:hyperlink>
    </w:p>
    <w:p w14:paraId="3DC6C0F8" w14:textId="6C7491D6" w:rsidR="008A2EDF" w:rsidRPr="00D92D49" w:rsidRDefault="008A2EDF" w:rsidP="00D92D49">
      <w:pPr>
        <w:pStyle w:val="ListParagraph"/>
        <w:numPr>
          <w:ilvl w:val="0"/>
          <w:numId w:val="36"/>
        </w:numPr>
        <w:rPr>
          <w:rFonts w:ascii="Arial" w:hAnsi="Arial" w:cs="Arial"/>
          <w:sz w:val="22"/>
          <w:szCs w:val="22"/>
        </w:rPr>
      </w:pPr>
      <w:proofErr w:type="spellStart"/>
      <w:r w:rsidRPr="00D92D49">
        <w:rPr>
          <w:rFonts w:ascii="Arial" w:hAnsi="Arial" w:cs="Arial"/>
          <w:sz w:val="22"/>
          <w:szCs w:val="22"/>
        </w:rPr>
        <w:t>Olujobi</w:t>
      </w:r>
      <w:proofErr w:type="spellEnd"/>
      <w:r w:rsidRPr="00D92D49">
        <w:rPr>
          <w:rFonts w:ascii="Arial" w:hAnsi="Arial" w:cs="Arial"/>
          <w:sz w:val="22"/>
          <w:szCs w:val="22"/>
        </w:rPr>
        <w:t xml:space="preserve">, O. J., </w:t>
      </w:r>
      <w:proofErr w:type="spellStart"/>
      <w:r w:rsidRPr="00D92D49">
        <w:rPr>
          <w:rFonts w:ascii="Arial" w:hAnsi="Arial" w:cs="Arial"/>
          <w:sz w:val="22"/>
          <w:szCs w:val="22"/>
        </w:rPr>
        <w:t>Yebisi</w:t>
      </w:r>
      <w:proofErr w:type="spellEnd"/>
      <w:r w:rsidRPr="00D92D49">
        <w:rPr>
          <w:rFonts w:ascii="Arial" w:hAnsi="Arial" w:cs="Arial"/>
          <w:sz w:val="22"/>
          <w:szCs w:val="22"/>
        </w:rPr>
        <w:t xml:space="preserve">, T. E., Patrick, O. P., &amp; </w:t>
      </w:r>
      <w:proofErr w:type="spellStart"/>
      <w:r w:rsidRPr="00D92D49">
        <w:rPr>
          <w:rFonts w:ascii="Arial" w:hAnsi="Arial" w:cs="Arial"/>
          <w:sz w:val="22"/>
          <w:szCs w:val="22"/>
        </w:rPr>
        <w:t>Ariremako</w:t>
      </w:r>
      <w:proofErr w:type="spellEnd"/>
      <w:r w:rsidRPr="00D92D49">
        <w:rPr>
          <w:rFonts w:ascii="Arial" w:hAnsi="Arial" w:cs="Arial"/>
          <w:sz w:val="22"/>
          <w:szCs w:val="22"/>
        </w:rPr>
        <w:t xml:space="preserve">, A. I. (2022). The legal framework for combating gas flaring in Nigeria’s oil and gas industry: Can it promote sustainable energy security? Sustainability, 14(13), 7626. </w:t>
      </w:r>
      <w:hyperlink r:id="rId39" w:history="1">
        <w:r w:rsidR="00D92D49" w:rsidRPr="00897436">
          <w:rPr>
            <w:rStyle w:val="Hyperlink"/>
            <w:rFonts w:ascii="Arial" w:hAnsi="Arial" w:cs="Arial"/>
            <w:sz w:val="22"/>
            <w:szCs w:val="22"/>
          </w:rPr>
          <w:t>https://doi.org/10.3390/su14137626</w:t>
        </w:r>
      </w:hyperlink>
    </w:p>
    <w:p w14:paraId="0CE5C7AF" w14:textId="137546E2"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Fan, Y., </w:t>
      </w:r>
      <w:proofErr w:type="spellStart"/>
      <w:r w:rsidRPr="00D92D49">
        <w:rPr>
          <w:rFonts w:ascii="Arial" w:hAnsi="Arial" w:cs="Arial"/>
          <w:sz w:val="22"/>
          <w:szCs w:val="22"/>
        </w:rPr>
        <w:t>Masnadi</w:t>
      </w:r>
      <w:proofErr w:type="spellEnd"/>
      <w:r w:rsidRPr="00D92D49">
        <w:rPr>
          <w:rFonts w:ascii="Arial" w:hAnsi="Arial" w:cs="Arial"/>
          <w:sz w:val="22"/>
          <w:szCs w:val="22"/>
        </w:rPr>
        <w:t xml:space="preserve">, M. S., Jing, L., Ren, B., &amp; Brandt, A. R. (2025). The Pyxis Project: A geospatial data system for emission estimation monitoring in the oil and gas industry. Energy and AI, 22, 100601. </w:t>
      </w:r>
      <w:hyperlink r:id="rId40" w:history="1">
        <w:r w:rsidR="00D92D49" w:rsidRPr="00897436">
          <w:rPr>
            <w:rStyle w:val="Hyperlink"/>
            <w:rFonts w:ascii="Arial" w:hAnsi="Arial" w:cs="Arial"/>
            <w:sz w:val="22"/>
            <w:szCs w:val="22"/>
          </w:rPr>
          <w:t>https://doi.org/10.1016/j.egyai.2025.100601</w:t>
        </w:r>
      </w:hyperlink>
    </w:p>
    <w:p w14:paraId="662A3307" w14:textId="6B2D3A13"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Wu, Y., Cui, Z. Y., Lin, H., Wang, Y. F., &amp; Feng, X. (2022). An optimization method for shale gas gathering system—Consideration of reliability enhancement under earthquake-related uncertainties. Petroleum Science, 19(5), 2431–2447. </w:t>
      </w:r>
      <w:hyperlink r:id="rId41" w:history="1">
        <w:r w:rsidR="00D92D49" w:rsidRPr="00897436">
          <w:rPr>
            <w:rStyle w:val="Hyperlink"/>
            <w:rFonts w:ascii="Arial" w:hAnsi="Arial" w:cs="Arial"/>
            <w:sz w:val="22"/>
            <w:szCs w:val="22"/>
          </w:rPr>
          <w:t>https://doi.org/10.1016/j.petsci.2021.12.029</w:t>
        </w:r>
      </w:hyperlink>
    </w:p>
    <w:p w14:paraId="7BF4850E" w14:textId="058351DB"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Fagbami, D., </w:t>
      </w:r>
      <w:proofErr w:type="spellStart"/>
      <w:r w:rsidRPr="00D92D49">
        <w:rPr>
          <w:rFonts w:ascii="Arial" w:hAnsi="Arial" w:cs="Arial"/>
          <w:sz w:val="22"/>
          <w:szCs w:val="22"/>
        </w:rPr>
        <w:t>Ekpeti</w:t>
      </w:r>
      <w:proofErr w:type="spellEnd"/>
      <w:r w:rsidRPr="00D92D49">
        <w:rPr>
          <w:rFonts w:ascii="Arial" w:hAnsi="Arial" w:cs="Arial"/>
          <w:sz w:val="22"/>
          <w:szCs w:val="22"/>
        </w:rPr>
        <w:t xml:space="preserve">, E., Bamidele, A., Odeh, A., </w:t>
      </w:r>
      <w:proofErr w:type="spellStart"/>
      <w:r w:rsidRPr="00D92D49">
        <w:rPr>
          <w:rFonts w:ascii="Arial" w:hAnsi="Arial" w:cs="Arial"/>
          <w:sz w:val="22"/>
          <w:szCs w:val="22"/>
        </w:rPr>
        <w:t>Odogbo</w:t>
      </w:r>
      <w:proofErr w:type="spellEnd"/>
      <w:r w:rsidRPr="00D92D49">
        <w:rPr>
          <w:rFonts w:ascii="Arial" w:hAnsi="Arial" w:cs="Arial"/>
          <w:sz w:val="22"/>
          <w:szCs w:val="22"/>
        </w:rPr>
        <w:t xml:space="preserve">, A., &amp; Jimmy, D. (2024). Cluster gathering of associated and non-associated natural gas: The KGG case study (Paper No. SPE-221681-MS). </w:t>
      </w:r>
      <w:hyperlink r:id="rId42" w:history="1">
        <w:r w:rsidR="00D92D49" w:rsidRPr="00897436">
          <w:rPr>
            <w:rStyle w:val="Hyperlink"/>
            <w:rFonts w:ascii="Arial" w:hAnsi="Arial" w:cs="Arial"/>
            <w:sz w:val="22"/>
            <w:szCs w:val="22"/>
          </w:rPr>
          <w:t>https://doi.org/10.2118/221681-MS</w:t>
        </w:r>
      </w:hyperlink>
    </w:p>
    <w:p w14:paraId="6EA17167" w14:textId="22816A32"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Chong, D. J. S., Foo, D. C. Y., &amp; Putra, Z. A. (2023). A reduced order model for </w:t>
      </w:r>
      <w:proofErr w:type="spellStart"/>
      <w:r w:rsidRPr="00D92D49">
        <w:rPr>
          <w:rFonts w:ascii="Arial" w:hAnsi="Arial" w:cs="Arial"/>
          <w:sz w:val="22"/>
          <w:szCs w:val="22"/>
        </w:rPr>
        <w:t>triethylene</w:t>
      </w:r>
      <w:proofErr w:type="spellEnd"/>
      <w:r w:rsidRPr="00D92D49">
        <w:rPr>
          <w:rFonts w:ascii="Arial" w:hAnsi="Arial" w:cs="Arial"/>
          <w:sz w:val="22"/>
          <w:szCs w:val="22"/>
        </w:rPr>
        <w:t xml:space="preserve"> glycol natural gas dehydration system. South African Journal of Chemical Engineering, 44, 51–67. </w:t>
      </w:r>
      <w:hyperlink r:id="rId43" w:history="1">
        <w:r w:rsidR="00D92D49" w:rsidRPr="00897436">
          <w:rPr>
            <w:rStyle w:val="Hyperlink"/>
            <w:rFonts w:ascii="Arial" w:hAnsi="Arial" w:cs="Arial"/>
            <w:sz w:val="22"/>
            <w:szCs w:val="22"/>
          </w:rPr>
          <w:t>https://doi.org/10.1016/j.sajce.2023.01.001</w:t>
        </w:r>
      </w:hyperlink>
    </w:p>
    <w:p w14:paraId="42887E6B" w14:textId="30B9A2D8"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Welch, M. (2013). Gas Turbine Fuel and Fuel Quality Requirements for Use in Industrial Gas Turbines. </w:t>
      </w:r>
      <w:hyperlink r:id="rId44" w:history="1">
        <w:r w:rsidR="00D92D49" w:rsidRPr="00897436">
          <w:rPr>
            <w:rStyle w:val="Hyperlink"/>
            <w:rFonts w:ascii="Arial" w:hAnsi="Arial" w:cs="Arial"/>
            <w:sz w:val="22"/>
            <w:szCs w:val="22"/>
          </w:rPr>
          <w:t>https://files01.core.ac.uk/download/pdf/186719088.pdf</w:t>
        </w:r>
      </w:hyperlink>
    </w:p>
    <w:p w14:paraId="0966AE69" w14:textId="4F392A5F" w:rsidR="008A2EDF" w:rsidRPr="007A4403"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Kuczyński, S., </w:t>
      </w:r>
      <w:proofErr w:type="spellStart"/>
      <w:r w:rsidRPr="00D92D49">
        <w:rPr>
          <w:rFonts w:ascii="Arial" w:hAnsi="Arial" w:cs="Arial"/>
          <w:sz w:val="22"/>
          <w:szCs w:val="22"/>
        </w:rPr>
        <w:t>Łaciak</w:t>
      </w:r>
      <w:proofErr w:type="spellEnd"/>
      <w:r w:rsidRPr="00D92D49">
        <w:rPr>
          <w:rFonts w:ascii="Arial" w:hAnsi="Arial" w:cs="Arial"/>
          <w:sz w:val="22"/>
          <w:szCs w:val="22"/>
        </w:rPr>
        <w:t xml:space="preserve">, M., </w:t>
      </w:r>
      <w:proofErr w:type="spellStart"/>
      <w:r w:rsidRPr="00D92D49">
        <w:rPr>
          <w:rFonts w:ascii="Arial" w:hAnsi="Arial" w:cs="Arial"/>
          <w:sz w:val="22"/>
          <w:szCs w:val="22"/>
        </w:rPr>
        <w:t>Szurlej</w:t>
      </w:r>
      <w:proofErr w:type="spellEnd"/>
      <w:r w:rsidRPr="00D92D49">
        <w:rPr>
          <w:rFonts w:ascii="Arial" w:hAnsi="Arial" w:cs="Arial"/>
          <w:sz w:val="22"/>
          <w:szCs w:val="22"/>
        </w:rPr>
        <w:t xml:space="preserve">, A., &amp; Włodek, T. (2020). Impact of Liquefied Natural Gas Composition Changes on Methane Number and Wobbe Index. Energies, 13(19), 5060. </w:t>
      </w:r>
      <w:hyperlink r:id="rId45" w:history="1">
        <w:r w:rsidR="00D92D49" w:rsidRPr="00897436">
          <w:rPr>
            <w:rStyle w:val="Hyperlink"/>
            <w:rFonts w:ascii="Arial" w:hAnsi="Arial" w:cs="Arial"/>
            <w:sz w:val="22"/>
            <w:szCs w:val="22"/>
          </w:rPr>
          <w:t>https://doi.org/10.3390/en13195060</w:t>
        </w:r>
      </w:hyperlink>
    </w:p>
    <w:p w14:paraId="2C1A3981" w14:textId="55DD8482" w:rsidR="007A4403" w:rsidRDefault="007A4403" w:rsidP="00D92D49">
      <w:pPr>
        <w:pStyle w:val="ListParagraph"/>
        <w:numPr>
          <w:ilvl w:val="0"/>
          <w:numId w:val="36"/>
        </w:numPr>
        <w:rPr>
          <w:rFonts w:ascii="Arial" w:hAnsi="Arial" w:cs="Arial"/>
          <w:sz w:val="22"/>
          <w:szCs w:val="22"/>
        </w:rPr>
      </w:pPr>
      <w:r w:rsidRPr="007A4403">
        <w:rPr>
          <w:rFonts w:ascii="Arial" w:hAnsi="Arial" w:cs="Arial"/>
          <w:sz w:val="22"/>
          <w:szCs w:val="22"/>
        </w:rPr>
        <w:t xml:space="preserve">National Institute of Standards and Technology (NIST). (2023). Fundamental constants and thermodynamic definitions. NIST Chemistry </w:t>
      </w:r>
      <w:proofErr w:type="spellStart"/>
      <w:r w:rsidRPr="007A4403">
        <w:rPr>
          <w:rFonts w:ascii="Arial" w:hAnsi="Arial" w:cs="Arial"/>
          <w:sz w:val="22"/>
          <w:szCs w:val="22"/>
        </w:rPr>
        <w:t>WebBook</w:t>
      </w:r>
      <w:proofErr w:type="spellEnd"/>
      <w:r w:rsidRPr="007A4403">
        <w:rPr>
          <w:rFonts w:ascii="Arial" w:hAnsi="Arial" w:cs="Arial"/>
          <w:sz w:val="22"/>
          <w:szCs w:val="22"/>
        </w:rPr>
        <w:t>.</w:t>
      </w:r>
      <w:r w:rsidR="00056C0B">
        <w:rPr>
          <w:rFonts w:ascii="Arial" w:hAnsi="Arial" w:cs="Arial"/>
          <w:sz w:val="22"/>
          <w:szCs w:val="22"/>
        </w:rPr>
        <w:t xml:space="preserve"> </w:t>
      </w:r>
      <w:hyperlink r:id="rId46" w:history="1">
        <w:r w:rsidR="003508BA" w:rsidRPr="00897436">
          <w:rPr>
            <w:rStyle w:val="Hyperlink"/>
            <w:rFonts w:ascii="Arial" w:hAnsi="Arial" w:cs="Arial"/>
            <w:sz w:val="22"/>
            <w:szCs w:val="22"/>
          </w:rPr>
          <w:t>https://doi.org/10.18434/T4D303</w:t>
        </w:r>
      </w:hyperlink>
    </w:p>
    <w:p w14:paraId="433D95F6" w14:textId="7EC7A93B" w:rsidR="008A2EDF" w:rsidRPr="00D92D49" w:rsidRDefault="008A2EDF" w:rsidP="00D92D49">
      <w:pPr>
        <w:pStyle w:val="ListParagraph"/>
        <w:numPr>
          <w:ilvl w:val="0"/>
          <w:numId w:val="36"/>
        </w:numPr>
        <w:rPr>
          <w:rFonts w:ascii="Arial" w:hAnsi="Arial" w:cs="Arial"/>
          <w:sz w:val="22"/>
          <w:szCs w:val="22"/>
        </w:rPr>
      </w:pPr>
      <w:r w:rsidRPr="00D92D49">
        <w:rPr>
          <w:rFonts w:ascii="Arial" w:hAnsi="Arial" w:cs="Arial"/>
          <w:sz w:val="22"/>
          <w:szCs w:val="22"/>
        </w:rPr>
        <w:t xml:space="preserve">Statista. (2023). Per capita electricity consumption in Nigeria from 2000 to 2022. </w:t>
      </w:r>
      <w:hyperlink r:id="rId47" w:history="1">
        <w:r w:rsidR="00D92D49" w:rsidRPr="00D92D49">
          <w:rPr>
            <w:rStyle w:val="Hyperlink"/>
            <w:rFonts w:ascii="Arial" w:hAnsi="Arial" w:cs="Arial"/>
            <w:sz w:val="22"/>
            <w:szCs w:val="22"/>
          </w:rPr>
          <w:t>https://www.statista.com/statistics/1306967/per-capita-electricity-demand-in-nigeria/</w:t>
        </w:r>
      </w:hyperlink>
    </w:p>
    <w:p w14:paraId="31C48BCD" w14:textId="77777777" w:rsidR="00B01FCD" w:rsidRPr="00FB3A86" w:rsidRDefault="00B01FCD" w:rsidP="00441B6F">
      <w:pPr>
        <w:pStyle w:val="Appendix"/>
        <w:spacing w:after="0"/>
        <w:jc w:val="both"/>
        <w:rPr>
          <w:rFonts w:ascii="Arial" w:hAnsi="Arial" w:cs="Arial"/>
          <w:b w:val="0"/>
        </w:rPr>
      </w:pPr>
    </w:p>
    <w:sectPr w:rsidR="00B01FCD" w:rsidRPr="00FB3A86" w:rsidSect="005E06F7">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16D09" w14:textId="77777777" w:rsidR="00DE6A65" w:rsidRDefault="00DE6A65" w:rsidP="00C37E61">
      <w:r>
        <w:separator/>
      </w:r>
    </w:p>
  </w:endnote>
  <w:endnote w:type="continuationSeparator" w:id="0">
    <w:p w14:paraId="5C4E2D59" w14:textId="77777777" w:rsidR="00DE6A65" w:rsidRDefault="00DE6A6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B37D" w14:textId="77777777" w:rsidR="005E06F7" w:rsidRDefault="005E0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88EA" w14:textId="77777777" w:rsidR="005E06F7" w:rsidRDefault="005E0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EC87" w14:textId="5123D8D4" w:rsidR="00754C9A" w:rsidRPr="00FF4AFB" w:rsidRDefault="00754C9A" w:rsidP="00FF4A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C59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400D6" w14:textId="77777777" w:rsidR="00DE6A65" w:rsidRDefault="00DE6A65" w:rsidP="00C37E61">
      <w:r>
        <w:separator/>
      </w:r>
    </w:p>
  </w:footnote>
  <w:footnote w:type="continuationSeparator" w:id="0">
    <w:p w14:paraId="7BE48924" w14:textId="77777777" w:rsidR="00DE6A65" w:rsidRDefault="00DE6A6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CE5B" w14:textId="7A085D48" w:rsidR="005E06F7" w:rsidRDefault="00DE6A65">
    <w:pPr>
      <w:pStyle w:val="Header"/>
    </w:pPr>
    <w:r>
      <w:rPr>
        <w:noProof/>
      </w:rPr>
      <w:pict w14:anchorId="00208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7F21" w14:textId="4CCF7BEA" w:rsidR="005E06F7" w:rsidRDefault="00DE6A65">
    <w:pPr>
      <w:pStyle w:val="Header"/>
    </w:pPr>
    <w:r>
      <w:rPr>
        <w:noProof/>
      </w:rPr>
      <w:pict w14:anchorId="4D5B9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E6F8" w14:textId="4905602E" w:rsidR="00296529" w:rsidRPr="00296529" w:rsidRDefault="00DE6A65" w:rsidP="00296529">
    <w:pPr>
      <w:ind w:left="2160"/>
      <w:jc w:val="center"/>
      <w:rPr>
        <w:rFonts w:ascii="Times New Roman" w:eastAsia="Calibri" w:hAnsi="Times New Roman"/>
        <w:i/>
        <w:sz w:val="18"/>
        <w:szCs w:val="22"/>
      </w:rPr>
    </w:pPr>
    <w:r>
      <w:rPr>
        <w:noProof/>
      </w:rPr>
      <w:pict w14:anchorId="14457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0D602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2FA55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E7ED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80C6A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50FEC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4C096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3004" w14:textId="3BEB0F6B" w:rsidR="005E06F7" w:rsidRDefault="00DE6A65">
    <w:pPr>
      <w:pStyle w:val="Header"/>
    </w:pPr>
    <w:r>
      <w:rPr>
        <w:noProof/>
      </w:rPr>
      <w:pict w14:anchorId="0E6E6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CD48" w14:textId="703754DA" w:rsidR="005E06F7" w:rsidRDefault="00DE6A65">
    <w:pPr>
      <w:pStyle w:val="Header"/>
    </w:pPr>
    <w:r>
      <w:rPr>
        <w:noProof/>
      </w:rPr>
      <w:pict w14:anchorId="65BF1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7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418B" w14:textId="36FECC3E" w:rsidR="005E06F7" w:rsidRDefault="00DE6A65">
    <w:pPr>
      <w:pStyle w:val="Header"/>
    </w:pPr>
    <w:r>
      <w:rPr>
        <w:noProof/>
      </w:rPr>
      <w:pict w14:anchorId="710DB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99026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D6CA7"/>
    <w:multiLevelType w:val="multilevel"/>
    <w:tmpl w:val="18CE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FC349A"/>
    <w:multiLevelType w:val="multilevel"/>
    <w:tmpl w:val="53D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C1738D"/>
    <w:multiLevelType w:val="hybridMultilevel"/>
    <w:tmpl w:val="41665174"/>
    <w:lvl w:ilvl="0" w:tplc="EEB4F728">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71846C7"/>
    <w:multiLevelType w:val="multilevel"/>
    <w:tmpl w:val="1E2A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65F2E"/>
    <w:multiLevelType w:val="multilevel"/>
    <w:tmpl w:val="62E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92A3C"/>
    <w:multiLevelType w:val="multilevel"/>
    <w:tmpl w:val="D2E6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8"/>
  </w:num>
  <w:num w:numId="15">
    <w:abstractNumId w:val="26"/>
  </w:num>
  <w:num w:numId="16">
    <w:abstractNumId w:val="5"/>
  </w:num>
  <w:num w:numId="17">
    <w:abstractNumId w:val="27"/>
  </w:num>
  <w:num w:numId="18">
    <w:abstractNumId w:val="16"/>
  </w:num>
  <w:num w:numId="19">
    <w:abstractNumId w:val="34"/>
  </w:num>
  <w:num w:numId="20">
    <w:abstractNumId w:val="12"/>
  </w:num>
  <w:num w:numId="21">
    <w:abstractNumId w:val="9"/>
  </w:num>
  <w:num w:numId="22">
    <w:abstractNumId w:val="15"/>
  </w:num>
  <w:num w:numId="23">
    <w:abstractNumId w:val="24"/>
  </w:num>
  <w:num w:numId="24">
    <w:abstractNumId w:val="31"/>
  </w:num>
  <w:num w:numId="25">
    <w:abstractNumId w:val="4"/>
  </w:num>
  <w:num w:numId="26">
    <w:abstractNumId w:val="21"/>
  </w:num>
  <w:num w:numId="27">
    <w:abstractNumId w:val="25"/>
  </w:num>
  <w:num w:numId="28">
    <w:abstractNumId w:val="32"/>
  </w:num>
  <w:num w:numId="29">
    <w:abstractNumId w:val="29"/>
  </w:num>
  <w:num w:numId="30">
    <w:abstractNumId w:val="10"/>
  </w:num>
  <w:num w:numId="31">
    <w:abstractNumId w:val="18"/>
  </w:num>
  <w:num w:numId="32">
    <w:abstractNumId w:val="19"/>
  </w:num>
  <w:num w:numId="33">
    <w:abstractNumId w:val="33"/>
  </w:num>
  <w:num w:numId="34">
    <w:abstractNumId w:val="11"/>
  </w:num>
  <w:num w:numId="35">
    <w:abstractNumId w:val="1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a0MDYyMzExNjEyNDdS0lEKTi0uzszPAykwrAUArOferywAAAA="/>
  </w:docVars>
  <w:rsids>
    <w:rsidRoot w:val="00AA6219"/>
    <w:rsid w:val="00000F8F"/>
    <w:rsid w:val="00001C0C"/>
    <w:rsid w:val="000055EB"/>
    <w:rsid w:val="00030174"/>
    <w:rsid w:val="000369CE"/>
    <w:rsid w:val="0004579C"/>
    <w:rsid w:val="00053951"/>
    <w:rsid w:val="00056C0B"/>
    <w:rsid w:val="00062539"/>
    <w:rsid w:val="00081D0B"/>
    <w:rsid w:val="00086646"/>
    <w:rsid w:val="00087F57"/>
    <w:rsid w:val="00087FDD"/>
    <w:rsid w:val="000A4419"/>
    <w:rsid w:val="000A47FA"/>
    <w:rsid w:val="000A65D3"/>
    <w:rsid w:val="000B1E33"/>
    <w:rsid w:val="000D689F"/>
    <w:rsid w:val="000E656A"/>
    <w:rsid w:val="000E7324"/>
    <w:rsid w:val="000E7B7B"/>
    <w:rsid w:val="000E7D62"/>
    <w:rsid w:val="00100CB8"/>
    <w:rsid w:val="00103357"/>
    <w:rsid w:val="00103412"/>
    <w:rsid w:val="00115525"/>
    <w:rsid w:val="00123C9F"/>
    <w:rsid w:val="00126190"/>
    <w:rsid w:val="00130F17"/>
    <w:rsid w:val="001320BF"/>
    <w:rsid w:val="0014496B"/>
    <w:rsid w:val="00151871"/>
    <w:rsid w:val="00161F46"/>
    <w:rsid w:val="00163BC4"/>
    <w:rsid w:val="00185ADA"/>
    <w:rsid w:val="00191062"/>
    <w:rsid w:val="00192B72"/>
    <w:rsid w:val="001A29D8"/>
    <w:rsid w:val="001A5CAA"/>
    <w:rsid w:val="001A5FF5"/>
    <w:rsid w:val="001B0427"/>
    <w:rsid w:val="001D3A51"/>
    <w:rsid w:val="001E0EDE"/>
    <w:rsid w:val="001E10D2"/>
    <w:rsid w:val="001E25B4"/>
    <w:rsid w:val="001E44FE"/>
    <w:rsid w:val="001E6CB6"/>
    <w:rsid w:val="001F67ED"/>
    <w:rsid w:val="00200595"/>
    <w:rsid w:val="00200A0B"/>
    <w:rsid w:val="00200B42"/>
    <w:rsid w:val="00204835"/>
    <w:rsid w:val="00212690"/>
    <w:rsid w:val="00217FF4"/>
    <w:rsid w:val="00231920"/>
    <w:rsid w:val="0023195C"/>
    <w:rsid w:val="0024282C"/>
    <w:rsid w:val="002444D7"/>
    <w:rsid w:val="002460DC"/>
    <w:rsid w:val="00250985"/>
    <w:rsid w:val="002556F6"/>
    <w:rsid w:val="00256627"/>
    <w:rsid w:val="00262B30"/>
    <w:rsid w:val="00263546"/>
    <w:rsid w:val="00264B97"/>
    <w:rsid w:val="00272958"/>
    <w:rsid w:val="0028031C"/>
    <w:rsid w:val="00283105"/>
    <w:rsid w:val="00284C4C"/>
    <w:rsid w:val="0028793D"/>
    <w:rsid w:val="00287E68"/>
    <w:rsid w:val="00296529"/>
    <w:rsid w:val="002A5CB7"/>
    <w:rsid w:val="002B27FB"/>
    <w:rsid w:val="002B685A"/>
    <w:rsid w:val="002C33BF"/>
    <w:rsid w:val="002C57D2"/>
    <w:rsid w:val="002E0D56"/>
    <w:rsid w:val="002E3384"/>
    <w:rsid w:val="002E5C6E"/>
    <w:rsid w:val="002F208D"/>
    <w:rsid w:val="0030284C"/>
    <w:rsid w:val="00315186"/>
    <w:rsid w:val="00326B59"/>
    <w:rsid w:val="0033343E"/>
    <w:rsid w:val="003408EF"/>
    <w:rsid w:val="003508BA"/>
    <w:rsid w:val="003512C2"/>
    <w:rsid w:val="003621A8"/>
    <w:rsid w:val="00371FB6"/>
    <w:rsid w:val="003763C1"/>
    <w:rsid w:val="00376BBE"/>
    <w:rsid w:val="0039224F"/>
    <w:rsid w:val="003A43A4"/>
    <w:rsid w:val="003A7E18"/>
    <w:rsid w:val="003C1118"/>
    <w:rsid w:val="003C3873"/>
    <w:rsid w:val="003C4054"/>
    <w:rsid w:val="003C4C86"/>
    <w:rsid w:val="003C6258"/>
    <w:rsid w:val="003E2904"/>
    <w:rsid w:val="00401927"/>
    <w:rsid w:val="0041027F"/>
    <w:rsid w:val="00412475"/>
    <w:rsid w:val="00414A28"/>
    <w:rsid w:val="00423789"/>
    <w:rsid w:val="00440028"/>
    <w:rsid w:val="00440F43"/>
    <w:rsid w:val="00441B6F"/>
    <w:rsid w:val="00446221"/>
    <w:rsid w:val="004465F4"/>
    <w:rsid w:val="00450E62"/>
    <w:rsid w:val="0045392D"/>
    <w:rsid w:val="004539DB"/>
    <w:rsid w:val="00471A80"/>
    <w:rsid w:val="00497CAC"/>
    <w:rsid w:val="004D305E"/>
    <w:rsid w:val="004D4277"/>
    <w:rsid w:val="004E4802"/>
    <w:rsid w:val="004E7419"/>
    <w:rsid w:val="00502516"/>
    <w:rsid w:val="00505F06"/>
    <w:rsid w:val="00506828"/>
    <w:rsid w:val="00512E96"/>
    <w:rsid w:val="0053056E"/>
    <w:rsid w:val="00554FDA"/>
    <w:rsid w:val="00574826"/>
    <w:rsid w:val="005A2006"/>
    <w:rsid w:val="005A21FA"/>
    <w:rsid w:val="005C2ADD"/>
    <w:rsid w:val="005C784C"/>
    <w:rsid w:val="005D0519"/>
    <w:rsid w:val="005D17F6"/>
    <w:rsid w:val="005E06F7"/>
    <w:rsid w:val="005E5539"/>
    <w:rsid w:val="00602BF5"/>
    <w:rsid w:val="00617FDD"/>
    <w:rsid w:val="00621B90"/>
    <w:rsid w:val="00633614"/>
    <w:rsid w:val="00633F68"/>
    <w:rsid w:val="0063471C"/>
    <w:rsid w:val="00636EB2"/>
    <w:rsid w:val="006375B8"/>
    <w:rsid w:val="0064156E"/>
    <w:rsid w:val="00645407"/>
    <w:rsid w:val="00645DFD"/>
    <w:rsid w:val="00654008"/>
    <w:rsid w:val="0066510A"/>
    <w:rsid w:val="006654C6"/>
    <w:rsid w:val="00673F9F"/>
    <w:rsid w:val="006743A7"/>
    <w:rsid w:val="00686953"/>
    <w:rsid w:val="00687DEA"/>
    <w:rsid w:val="00687E67"/>
    <w:rsid w:val="00695299"/>
    <w:rsid w:val="0069632E"/>
    <w:rsid w:val="006967F7"/>
    <w:rsid w:val="006A250C"/>
    <w:rsid w:val="006A3D82"/>
    <w:rsid w:val="006B21D3"/>
    <w:rsid w:val="006B57D0"/>
    <w:rsid w:val="006C4EC0"/>
    <w:rsid w:val="006C780E"/>
    <w:rsid w:val="006D30FF"/>
    <w:rsid w:val="006D6940"/>
    <w:rsid w:val="006E716E"/>
    <w:rsid w:val="006F11EC"/>
    <w:rsid w:val="006F20F4"/>
    <w:rsid w:val="006F3BE8"/>
    <w:rsid w:val="006F7842"/>
    <w:rsid w:val="0070082C"/>
    <w:rsid w:val="00704876"/>
    <w:rsid w:val="0073459A"/>
    <w:rsid w:val="007369E6"/>
    <w:rsid w:val="00746E59"/>
    <w:rsid w:val="00754C9A"/>
    <w:rsid w:val="0075599A"/>
    <w:rsid w:val="0076050C"/>
    <w:rsid w:val="00761D52"/>
    <w:rsid w:val="007712F0"/>
    <w:rsid w:val="00771BC7"/>
    <w:rsid w:val="0077749E"/>
    <w:rsid w:val="00790ADA"/>
    <w:rsid w:val="007950AC"/>
    <w:rsid w:val="007A4403"/>
    <w:rsid w:val="007C274D"/>
    <w:rsid w:val="007D05F8"/>
    <w:rsid w:val="007D2288"/>
    <w:rsid w:val="007E088F"/>
    <w:rsid w:val="007F383B"/>
    <w:rsid w:val="007F7B32"/>
    <w:rsid w:val="00804BC2"/>
    <w:rsid w:val="00805651"/>
    <w:rsid w:val="0081431A"/>
    <w:rsid w:val="00815A98"/>
    <w:rsid w:val="0083216F"/>
    <w:rsid w:val="008372D6"/>
    <w:rsid w:val="00860000"/>
    <w:rsid w:val="00863BD3"/>
    <w:rsid w:val="008641ED"/>
    <w:rsid w:val="00866D66"/>
    <w:rsid w:val="008671C6"/>
    <w:rsid w:val="008714A0"/>
    <w:rsid w:val="00875803"/>
    <w:rsid w:val="008A2EDF"/>
    <w:rsid w:val="008B459E"/>
    <w:rsid w:val="008E13AE"/>
    <w:rsid w:val="008E1506"/>
    <w:rsid w:val="008E710C"/>
    <w:rsid w:val="008F69D6"/>
    <w:rsid w:val="00902823"/>
    <w:rsid w:val="009070A7"/>
    <w:rsid w:val="00915CA6"/>
    <w:rsid w:val="00922072"/>
    <w:rsid w:val="009243D7"/>
    <w:rsid w:val="00927834"/>
    <w:rsid w:val="009312C7"/>
    <w:rsid w:val="00936A83"/>
    <w:rsid w:val="00944613"/>
    <w:rsid w:val="009500A6"/>
    <w:rsid w:val="009520E8"/>
    <w:rsid w:val="00957C18"/>
    <w:rsid w:val="009659BA"/>
    <w:rsid w:val="00977DB1"/>
    <w:rsid w:val="00983040"/>
    <w:rsid w:val="00986CAA"/>
    <w:rsid w:val="009A1D9D"/>
    <w:rsid w:val="009B1112"/>
    <w:rsid w:val="009B3FB9"/>
    <w:rsid w:val="009C2465"/>
    <w:rsid w:val="009D35A0"/>
    <w:rsid w:val="009D7EB7"/>
    <w:rsid w:val="009E048A"/>
    <w:rsid w:val="009E08E9"/>
    <w:rsid w:val="009E24B4"/>
    <w:rsid w:val="009E3DB9"/>
    <w:rsid w:val="009E6E35"/>
    <w:rsid w:val="009F0EDA"/>
    <w:rsid w:val="009F1524"/>
    <w:rsid w:val="00A03B96"/>
    <w:rsid w:val="00A05B19"/>
    <w:rsid w:val="00A07C5B"/>
    <w:rsid w:val="00A1134E"/>
    <w:rsid w:val="00A24E7E"/>
    <w:rsid w:val="00A258C3"/>
    <w:rsid w:val="00A347C0"/>
    <w:rsid w:val="00A429DB"/>
    <w:rsid w:val="00A51431"/>
    <w:rsid w:val="00A522E9"/>
    <w:rsid w:val="00A539AD"/>
    <w:rsid w:val="00A72B5B"/>
    <w:rsid w:val="00A73AE7"/>
    <w:rsid w:val="00A83F0A"/>
    <w:rsid w:val="00A94063"/>
    <w:rsid w:val="00AA6219"/>
    <w:rsid w:val="00AA74E0"/>
    <w:rsid w:val="00AB5EEE"/>
    <w:rsid w:val="00AB703F"/>
    <w:rsid w:val="00AC5FC4"/>
    <w:rsid w:val="00AC6BB8"/>
    <w:rsid w:val="00AC7619"/>
    <w:rsid w:val="00AD3D6E"/>
    <w:rsid w:val="00AE008F"/>
    <w:rsid w:val="00AE27B3"/>
    <w:rsid w:val="00AF3653"/>
    <w:rsid w:val="00AF68D3"/>
    <w:rsid w:val="00B01FCD"/>
    <w:rsid w:val="00B14EE7"/>
    <w:rsid w:val="00B1776C"/>
    <w:rsid w:val="00B367A4"/>
    <w:rsid w:val="00B52583"/>
    <w:rsid w:val="00B52896"/>
    <w:rsid w:val="00B6000C"/>
    <w:rsid w:val="00B63176"/>
    <w:rsid w:val="00B700F8"/>
    <w:rsid w:val="00B87651"/>
    <w:rsid w:val="00B95236"/>
    <w:rsid w:val="00B96BD9"/>
    <w:rsid w:val="00BA1B01"/>
    <w:rsid w:val="00BA2641"/>
    <w:rsid w:val="00BB37AA"/>
    <w:rsid w:val="00BC53A0"/>
    <w:rsid w:val="00BC600D"/>
    <w:rsid w:val="00BD68B8"/>
    <w:rsid w:val="00BD7ED2"/>
    <w:rsid w:val="00BE62AD"/>
    <w:rsid w:val="00BF121F"/>
    <w:rsid w:val="00BF1F80"/>
    <w:rsid w:val="00BF4318"/>
    <w:rsid w:val="00C11447"/>
    <w:rsid w:val="00C166EF"/>
    <w:rsid w:val="00C17EB0"/>
    <w:rsid w:val="00C2748D"/>
    <w:rsid w:val="00C27F5F"/>
    <w:rsid w:val="00C30A0F"/>
    <w:rsid w:val="00C37E61"/>
    <w:rsid w:val="00C60577"/>
    <w:rsid w:val="00C606AC"/>
    <w:rsid w:val="00C70F1B"/>
    <w:rsid w:val="00C71A47"/>
    <w:rsid w:val="00C7464C"/>
    <w:rsid w:val="00C85588"/>
    <w:rsid w:val="00CB54C1"/>
    <w:rsid w:val="00CD6755"/>
    <w:rsid w:val="00CD6856"/>
    <w:rsid w:val="00CE0089"/>
    <w:rsid w:val="00CE793C"/>
    <w:rsid w:val="00CF193C"/>
    <w:rsid w:val="00CF462B"/>
    <w:rsid w:val="00D11AE3"/>
    <w:rsid w:val="00D164E3"/>
    <w:rsid w:val="00D173F1"/>
    <w:rsid w:val="00D17670"/>
    <w:rsid w:val="00D20360"/>
    <w:rsid w:val="00D26D79"/>
    <w:rsid w:val="00D30B29"/>
    <w:rsid w:val="00D74CB0"/>
    <w:rsid w:val="00D7550C"/>
    <w:rsid w:val="00D8295D"/>
    <w:rsid w:val="00D9083E"/>
    <w:rsid w:val="00D92D49"/>
    <w:rsid w:val="00DC195C"/>
    <w:rsid w:val="00DC2A65"/>
    <w:rsid w:val="00DC6003"/>
    <w:rsid w:val="00DE15F0"/>
    <w:rsid w:val="00DE5663"/>
    <w:rsid w:val="00DE6A65"/>
    <w:rsid w:val="00DE78AA"/>
    <w:rsid w:val="00E0061C"/>
    <w:rsid w:val="00E053D0"/>
    <w:rsid w:val="00E146DA"/>
    <w:rsid w:val="00E15994"/>
    <w:rsid w:val="00E23FFD"/>
    <w:rsid w:val="00E3114E"/>
    <w:rsid w:val="00E31A70"/>
    <w:rsid w:val="00E35B02"/>
    <w:rsid w:val="00E571BE"/>
    <w:rsid w:val="00E63151"/>
    <w:rsid w:val="00E64FD8"/>
    <w:rsid w:val="00E66496"/>
    <w:rsid w:val="00E66B35"/>
    <w:rsid w:val="00E66E10"/>
    <w:rsid w:val="00E67416"/>
    <w:rsid w:val="00E7408C"/>
    <w:rsid w:val="00E769F6"/>
    <w:rsid w:val="00E8407C"/>
    <w:rsid w:val="00E84F3C"/>
    <w:rsid w:val="00EA012C"/>
    <w:rsid w:val="00EB2DA0"/>
    <w:rsid w:val="00EB7AD3"/>
    <w:rsid w:val="00EC20B8"/>
    <w:rsid w:val="00EC6A55"/>
    <w:rsid w:val="00EC78A4"/>
    <w:rsid w:val="00ED0288"/>
    <w:rsid w:val="00ED34AB"/>
    <w:rsid w:val="00EE52CB"/>
    <w:rsid w:val="00EF3940"/>
    <w:rsid w:val="00EF581D"/>
    <w:rsid w:val="00EF7FD8"/>
    <w:rsid w:val="00F02799"/>
    <w:rsid w:val="00F03993"/>
    <w:rsid w:val="00F06F59"/>
    <w:rsid w:val="00F17988"/>
    <w:rsid w:val="00F27FC7"/>
    <w:rsid w:val="00F469F0"/>
    <w:rsid w:val="00F53273"/>
    <w:rsid w:val="00F61F63"/>
    <w:rsid w:val="00F755E4"/>
    <w:rsid w:val="00F77D02"/>
    <w:rsid w:val="00FA35BC"/>
    <w:rsid w:val="00FB3A86"/>
    <w:rsid w:val="00FD36C8"/>
    <w:rsid w:val="00FD5E70"/>
    <w:rsid w:val="00FF4AFB"/>
    <w:rsid w:val="00FF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039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F03993"/>
    <w:rPr>
      <w:rFonts w:asciiTheme="majorHAnsi" w:eastAsiaTheme="majorEastAsia" w:hAnsiTheme="majorHAnsi" w:cstheme="majorBidi"/>
      <w:color w:val="243F60" w:themeColor="accent1" w:themeShade="7F"/>
      <w:sz w:val="24"/>
      <w:szCs w:val="24"/>
    </w:rPr>
  </w:style>
  <w:style w:type="paragraph" w:customStyle="1" w:styleId="Tables">
    <w:name w:val="Tables"/>
    <w:basedOn w:val="Caption"/>
    <w:link w:val="TablesChar"/>
    <w:qFormat/>
    <w:rsid w:val="00944613"/>
    <w:pPr>
      <w:keepNext/>
      <w:jc w:val="both"/>
    </w:pPr>
    <w:rPr>
      <w:rFonts w:ascii="Times New Roman" w:eastAsiaTheme="minorHAnsi" w:hAnsi="Times New Roman" w:cstheme="minorBidi"/>
      <w:color w:val="000000" w:themeColor="text1"/>
      <w:kern w:val="2"/>
      <w:sz w:val="24"/>
    </w:rPr>
  </w:style>
  <w:style w:type="character" w:customStyle="1" w:styleId="TablesChar">
    <w:name w:val="Tables Char"/>
    <w:basedOn w:val="DefaultParagraphFont"/>
    <w:link w:val="Tables"/>
    <w:rsid w:val="00944613"/>
    <w:rPr>
      <w:rFonts w:eastAsiaTheme="minorHAnsi" w:cstheme="minorBidi"/>
      <w:i/>
      <w:iCs/>
      <w:color w:val="000000" w:themeColor="text1"/>
      <w:kern w:val="2"/>
      <w:sz w:val="24"/>
      <w:szCs w:val="18"/>
    </w:rPr>
  </w:style>
  <w:style w:type="paragraph" w:styleId="Caption">
    <w:name w:val="caption"/>
    <w:basedOn w:val="Normal"/>
    <w:next w:val="Normal"/>
    <w:semiHidden/>
    <w:unhideWhenUsed/>
    <w:qFormat/>
    <w:rsid w:val="00944613"/>
    <w:pPr>
      <w:spacing w:after="200"/>
    </w:pPr>
    <w:rPr>
      <w:i/>
      <w:iCs/>
      <w:color w:val="1F497D" w:themeColor="text2"/>
      <w:sz w:val="18"/>
      <w:szCs w:val="18"/>
    </w:rPr>
  </w:style>
  <w:style w:type="paragraph" w:styleId="ListParagraph">
    <w:name w:val="List Paragraph"/>
    <w:basedOn w:val="Normal"/>
    <w:uiPriority w:val="34"/>
    <w:qFormat/>
    <w:rsid w:val="00151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ijepes.2023.109103" TargetMode="External"/><Relationship Id="rId39" Type="http://schemas.openxmlformats.org/officeDocument/2006/relationships/hyperlink" Target="https://doi.org/10.3390/su14137626" TargetMode="External"/><Relationship Id="rId21" Type="http://schemas.openxmlformats.org/officeDocument/2006/relationships/hyperlink" Target="https://doi.org/10.1016/j.enpol.2021.112260" TargetMode="External"/><Relationship Id="rId34" Type="http://schemas.openxmlformats.org/officeDocument/2006/relationships/hyperlink" Target="https://doi.org/10.1016/j.ces.2025.121928" TargetMode="External"/><Relationship Id="rId42" Type="http://schemas.openxmlformats.org/officeDocument/2006/relationships/hyperlink" Target="https://doi.org/10.2118/221681-MS" TargetMode="External"/><Relationship Id="rId47" Type="http://schemas.openxmlformats.org/officeDocument/2006/relationships/hyperlink" Target="https://www.statista.com/statistics/1306967/per-capita-electricity-demand-in-nigeria/"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16/j.ins.2022.11.139" TargetMode="External"/><Relationship Id="rId11" Type="http://schemas.openxmlformats.org/officeDocument/2006/relationships/footer" Target="footer2.xml"/><Relationship Id="rId24" Type="http://schemas.openxmlformats.org/officeDocument/2006/relationships/hyperlink" Target="https://doi.org/10.1007/s44177-023-00045-5" TargetMode="External"/><Relationship Id="rId32" Type="http://schemas.openxmlformats.org/officeDocument/2006/relationships/hyperlink" Target="https://doi.org/10.1021/acsomega.1c05236" TargetMode="External"/><Relationship Id="rId37" Type="http://schemas.openxmlformats.org/officeDocument/2006/relationships/hyperlink" Target="https://www.clarke-energy.com/us/heating-value/" TargetMode="External"/><Relationship Id="rId40" Type="http://schemas.openxmlformats.org/officeDocument/2006/relationships/hyperlink" Target="https://doi.org/10.1016/j.egyai.2025.100601" TargetMode="External"/><Relationship Id="rId45" Type="http://schemas.openxmlformats.org/officeDocument/2006/relationships/hyperlink" Target="https://doi.org/10.3390/en1319506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thisdaylive.com/2025/04/12/nuprc-nigerias-oil-reserves-hit-37-28-billion-barrels-gas-210-54-tcf-in-2025/" TargetMode="External"/><Relationship Id="rId31" Type="http://schemas.openxmlformats.org/officeDocument/2006/relationships/hyperlink" Target="https://doi.org/10.3390/en16093962" TargetMode="External"/><Relationship Id="rId44" Type="http://schemas.openxmlformats.org/officeDocument/2006/relationships/hyperlink" Target="https://files01.core.ac.uk/download/pdf/186719088.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0935/AL3799" TargetMode="External"/><Relationship Id="rId27" Type="http://schemas.openxmlformats.org/officeDocument/2006/relationships/hyperlink" Target="https://doi.org/10.1016/j.cattod.2019.09.009" TargetMode="External"/><Relationship Id="rId30" Type="http://schemas.openxmlformats.org/officeDocument/2006/relationships/hyperlink" Target="https://doi.org/10.9734/jerr/2025/v27i121751" TargetMode="External"/><Relationship Id="rId35" Type="http://schemas.openxmlformats.org/officeDocument/2006/relationships/hyperlink" Target="https://doi.org/10.1016/j.csite.2022.102036" TargetMode="External"/><Relationship Id="rId43" Type="http://schemas.openxmlformats.org/officeDocument/2006/relationships/hyperlink" Target="https://doi.org/10.1016/j.sajce.2023.01.001"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5281/zenodo.17686587" TargetMode="External"/><Relationship Id="rId33" Type="http://schemas.openxmlformats.org/officeDocument/2006/relationships/hyperlink" Target="https://doi.org/10.1016/j.energy.2023.129757" TargetMode="External"/><Relationship Id="rId38" Type="http://schemas.openxmlformats.org/officeDocument/2006/relationships/hyperlink" Target="https://doi.org/10.3390/environments11070158" TargetMode="External"/><Relationship Id="rId46" Type="http://schemas.openxmlformats.org/officeDocument/2006/relationships/hyperlink" Target="https://doi.org/10.18434/T4D303" TargetMode="External"/><Relationship Id="rId20" Type="http://schemas.openxmlformats.org/officeDocument/2006/relationships/hyperlink" Target="https://doi.org/10.1016/j.resourpol.2025.105721" TargetMode="External"/><Relationship Id="rId41" Type="http://schemas.openxmlformats.org/officeDocument/2006/relationships/hyperlink" Target="https://doi.org/10.1016/j.petsci.2021.12.0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worldbank.org/en/programs/gasflaringreduction" TargetMode="External"/><Relationship Id="rId28" Type="http://schemas.openxmlformats.org/officeDocument/2006/relationships/hyperlink" Target="https://doi.org/10.1016/j.patrec.2009.09.011" TargetMode="External"/><Relationship Id="rId36" Type="http://schemas.openxmlformats.org/officeDocument/2006/relationships/hyperlink" Target="https://doi.org/10.1016/j.csite.2025.106584"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0E4F0-FAEE-4E8B-A825-C422B428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260</TotalTime>
  <Pages>14</Pages>
  <Words>6817</Words>
  <Characters>38859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45585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176</cp:revision>
  <cp:lastPrinted>1999-07-06T11:00:00Z</cp:lastPrinted>
  <dcterms:created xsi:type="dcterms:W3CDTF">2014-10-25T14:34:00Z</dcterms:created>
  <dcterms:modified xsi:type="dcterms:W3CDTF">2026-01-27T10:28:00Z</dcterms:modified>
</cp:coreProperties>
</file>