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E69A3" w14:textId="4042EBE4" w:rsidR="00E52F02" w:rsidRDefault="00A15A26">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Bridging AI-Automated Governance, Adaptive Certification, Behavioral Authentication, and AI-Agent Risk Monitoring in Zero-Trust Digital Infrastructures</w:t>
      </w:r>
    </w:p>
    <w:p w14:paraId="2E275C05" w14:textId="77777777" w:rsidR="00E52F02" w:rsidRDefault="00E52F02">
      <w:pPr>
        <w:spacing w:line="360" w:lineRule="auto"/>
        <w:jc w:val="both"/>
        <w:rPr>
          <w:rFonts w:ascii="Times New Roman" w:eastAsia="Times New Roman" w:hAnsi="Times New Roman" w:cs="Times New Roman"/>
          <w:b/>
          <w:bCs/>
        </w:rPr>
      </w:pPr>
      <w:bookmarkStart w:id="0" w:name="_3vcna0mon555" w:colFirst="0" w:colLast="0"/>
      <w:bookmarkEnd w:id="0"/>
    </w:p>
    <w:p w14:paraId="3702026F"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63243543"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This research addresses</w:t>
      </w:r>
      <w:r>
        <w:rPr>
          <w:rFonts w:ascii="Times New Roman" w:eastAsia="Times New Roman" w:hAnsi="Times New Roman" w:cs="Times New Roman"/>
          <w:i/>
          <w:iCs/>
        </w:rPr>
        <w:t xml:space="preserve"> governance and security gaps in autonomous artificial intelligence systems deployed within distributed cloud healthcare environments by proposing an integrated framework combining AI-driven governance, adaptive certification, behavioral authentication, an</w:t>
      </w:r>
      <w:r>
        <w:rPr>
          <w:rFonts w:ascii="Times New Roman" w:eastAsia="Times New Roman" w:hAnsi="Times New Roman" w:cs="Times New Roman"/>
          <w:i/>
          <w:iCs/>
        </w:rPr>
        <w:t>d AI-agent risk monitoring within zero-trust architectures. Using a design science research methodology, three frameworks were developed and validated through simulation experiments, public healthcare datasets, and synthetic conversational AI traces, optim</w:t>
      </w:r>
      <w:r>
        <w:rPr>
          <w:rFonts w:ascii="Times New Roman" w:eastAsia="Times New Roman" w:hAnsi="Times New Roman" w:cs="Times New Roman"/>
          <w:i/>
          <w:iCs/>
        </w:rPr>
        <w:t>ized for home-based resource-constrained setups. The adaptive certification lifecycle framework achieved a 4.7/5.0 compliance score against the NIST AI Risk Management Framework, with 94% latency reduction. The behavioral authentication framework, leveragi</w:t>
      </w:r>
      <w:r>
        <w:rPr>
          <w:rFonts w:ascii="Times New Roman" w:eastAsia="Times New Roman" w:hAnsi="Times New Roman" w:cs="Times New Roman"/>
          <w:i/>
          <w:iCs/>
        </w:rPr>
        <w:t xml:space="preserve">ng Isolation Forest and </w:t>
      </w:r>
      <w:proofErr w:type="spellStart"/>
      <w:r>
        <w:rPr>
          <w:rFonts w:ascii="Times New Roman" w:eastAsia="Times New Roman" w:hAnsi="Times New Roman" w:cs="Times New Roman"/>
          <w:i/>
          <w:iCs/>
        </w:rPr>
        <w:t>Mahalanobis</w:t>
      </w:r>
      <w:proofErr w:type="spellEnd"/>
      <w:r>
        <w:rPr>
          <w:rFonts w:ascii="Times New Roman" w:eastAsia="Times New Roman" w:hAnsi="Times New Roman" w:cs="Times New Roman"/>
          <w:i/>
          <w:iCs/>
        </w:rPr>
        <w:t xml:space="preserve"> distance, attained 94.2% F1-score and 1.2% false positive rate for non-human identity verification. The AI-agent risk monitoring framework, utilizing autoencoders and Q-learning, achieved 93.7% anomaly detection accuracy</w:t>
      </w:r>
      <w:r>
        <w:rPr>
          <w:rFonts w:ascii="Times New Roman" w:eastAsia="Times New Roman" w:hAnsi="Times New Roman" w:cs="Times New Roman"/>
          <w:i/>
          <w:iCs/>
        </w:rPr>
        <w:t xml:space="preserve"> with 97.6% AUROC. Integrated multi-domain healthcare validation demonstrated 96.1% overall performance, reducing mean time to detection from 72.3 to 0.8 hours. These results highlight that continuous verification and adaptive mechanisms within zero-trust </w:t>
      </w:r>
      <w:r>
        <w:rPr>
          <w:rFonts w:ascii="Times New Roman" w:eastAsia="Times New Roman" w:hAnsi="Times New Roman" w:cs="Times New Roman"/>
          <w:i/>
          <w:iCs/>
        </w:rPr>
        <w:t>infrastructures substantially enhance security, regulatory compliance, and operational efficiency, providing a novel, quantifiable approach for resilient AI governance in healthcare.</w:t>
      </w:r>
    </w:p>
    <w:p w14:paraId="7F1C3C7A"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rPr>
        <w:t>Keywords: Zero-trust architecture, Adaptive certification, Behavioral aut</w:t>
      </w:r>
      <w:r>
        <w:rPr>
          <w:rFonts w:ascii="Times New Roman" w:eastAsia="Times New Roman" w:hAnsi="Times New Roman" w:cs="Times New Roman"/>
        </w:rPr>
        <w:t>hentication, Non-human identities</w:t>
      </w:r>
      <w:r>
        <w:rPr>
          <w:rFonts w:ascii="Times New Roman" w:eastAsia="Times New Roman" w:hAnsi="Times New Roman" w:cs="Times New Roman"/>
          <w:b/>
          <w:bCs/>
        </w:rPr>
        <w:t xml:space="preserve">, </w:t>
      </w:r>
      <w:r>
        <w:rPr>
          <w:rFonts w:ascii="Times New Roman" w:eastAsia="Times New Roman" w:hAnsi="Times New Roman" w:cs="Times New Roman"/>
        </w:rPr>
        <w:t>Artificial intelligence governance</w:t>
      </w:r>
    </w:p>
    <w:p w14:paraId="79491F29" w14:textId="77777777" w:rsidR="00E52F02" w:rsidRDefault="00E52F02">
      <w:pPr>
        <w:spacing w:line="360" w:lineRule="auto"/>
        <w:jc w:val="both"/>
        <w:rPr>
          <w:rFonts w:ascii="Times New Roman" w:eastAsia="Times New Roman" w:hAnsi="Times New Roman" w:cs="Times New Roman"/>
          <w:b/>
          <w:bCs/>
        </w:rPr>
      </w:pPr>
    </w:p>
    <w:p w14:paraId="053D5811"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b/>
          <w:bCs/>
        </w:rPr>
        <w:tab/>
        <w:t xml:space="preserve"> Introduction</w:t>
      </w:r>
    </w:p>
    <w:p w14:paraId="1D68348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rapid proliferation of autonomous artificial intelligence agents within digital infrastructures has transformed organizational security assumptions, prompting a shi</w:t>
      </w:r>
      <w:r>
        <w:rPr>
          <w:rFonts w:ascii="Times New Roman" w:eastAsia="Times New Roman" w:hAnsi="Times New Roman" w:cs="Times New Roman"/>
        </w:rPr>
        <w:t xml:space="preserve">ft from </w:t>
      </w:r>
      <w:proofErr w:type="gramStart"/>
      <w:r>
        <w:rPr>
          <w:rFonts w:ascii="Times New Roman" w:eastAsia="Times New Roman" w:hAnsi="Times New Roman" w:cs="Times New Roman"/>
        </w:rPr>
        <w:t>perimeter based</w:t>
      </w:r>
      <w:proofErr w:type="gramEnd"/>
      <w:r>
        <w:rPr>
          <w:rFonts w:ascii="Times New Roman" w:eastAsia="Times New Roman" w:hAnsi="Times New Roman" w:cs="Times New Roman"/>
        </w:rPr>
        <w:t xml:space="preserve"> </w:t>
      </w:r>
      <w:r>
        <w:rPr>
          <w:rFonts w:ascii="Times New Roman" w:eastAsia="Times New Roman" w:hAnsi="Times New Roman" w:cs="Times New Roman"/>
        </w:rPr>
        <w:lastRenderedPageBreak/>
        <w:t>defenses to zero trust architectures that require continuous verification of all entities, including non-human identities. Traditional security models that rely on static credentials and implicit trust are poorly suited to autonomou</w:t>
      </w:r>
      <w:r>
        <w:rPr>
          <w:rFonts w:ascii="Times New Roman" w:eastAsia="Times New Roman" w:hAnsi="Times New Roman" w:cs="Times New Roman"/>
        </w:rPr>
        <w:t>s systems operating across distributed cloud environments where sensitive data is processed without direct human oversight. Zero trust principles, summarized as never trust and always verify, extend to artificial intelligence governance through adaptive ce</w:t>
      </w:r>
      <w:r>
        <w:rPr>
          <w:rFonts w:ascii="Times New Roman" w:eastAsia="Times New Roman" w:hAnsi="Times New Roman" w:cs="Times New Roman"/>
        </w:rPr>
        <w:t>rtification mechanisms that continuously evaluate compliance across the lifecycle from training to deployment and monitoring. This evolution aligns with NIST SP 800-207, which emphasizes identity centric security, least privilege access, and micro segmenta</w:t>
      </w:r>
      <w:r>
        <w:rPr>
          <w:rFonts w:ascii="Times New Roman" w:eastAsia="Times New Roman" w:hAnsi="Times New Roman" w:cs="Times New Roman"/>
        </w:rPr>
        <w:t>tion for modern workloads. Increasing ecosystem complexity and escalating cyber threats have exposed the limits of perimeter security and accelerated adoption of Zero Trust Architecture (</w:t>
      </w:r>
      <w:proofErr w:type="spellStart"/>
      <w:r>
        <w:rPr>
          <w:rFonts w:ascii="Times New Roman" w:eastAsia="Times New Roman" w:hAnsi="Times New Roman" w:cs="Times New Roman"/>
        </w:rPr>
        <w:t>Gambo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Almulhem</w:t>
      </w:r>
      <w:proofErr w:type="spellEnd"/>
      <w:r>
        <w:rPr>
          <w:rFonts w:ascii="Times New Roman" w:eastAsia="Times New Roman" w:hAnsi="Times New Roman" w:cs="Times New Roman"/>
        </w:rPr>
        <w:t>, 2025; Rose et al., 2020). Zero trust enforces conti</w:t>
      </w:r>
      <w:r>
        <w:rPr>
          <w:rFonts w:ascii="Times New Roman" w:eastAsia="Times New Roman" w:hAnsi="Times New Roman" w:cs="Times New Roman"/>
        </w:rPr>
        <w:t>nuous authentication, conditional access, and dynamic trust evaluation across heterogeneous environments.</w:t>
      </w:r>
    </w:p>
    <w:p w14:paraId="41B318C6"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Behavioral authentication is central to securing non-human identities in zero trust ecosystems. Using machine learning, this approach evaluates real t</w:t>
      </w:r>
      <w:r>
        <w:rPr>
          <w:rFonts w:ascii="Times New Roman" w:eastAsia="Times New Roman" w:hAnsi="Times New Roman" w:cs="Times New Roman"/>
        </w:rPr>
        <w:t xml:space="preserve">ime behavioral signals such as access frequency, data usage patterns, interaction pathways, and computational footprints rather than human biometrics. Unlike protocols such as Open Authorization (Auth) or Security Assertion Markup Language (SAML) that are </w:t>
      </w:r>
      <w:r>
        <w:rPr>
          <w:rFonts w:ascii="Times New Roman" w:eastAsia="Times New Roman" w:hAnsi="Times New Roman" w:cs="Times New Roman"/>
        </w:rPr>
        <w:t>designed for people, behavioral authentication for artificial intelligence agents incorporates provenance verification, capability scoping, and anomaly detection to reduce risks such as model poisoning and unauthorized delegation. Decentralized identifiers</w:t>
      </w:r>
      <w:r>
        <w:rPr>
          <w:rFonts w:ascii="Times New Roman" w:eastAsia="Times New Roman" w:hAnsi="Times New Roman" w:cs="Times New Roman"/>
        </w:rPr>
        <w:t xml:space="preserve"> and verifiable credentials further enable privacy preserving assurance through zero knowledge proofs, allowing agents to demonstrate compliance without revealing internal states. Shah and Shah (2025) describe an adaptive authentication framework that appl</w:t>
      </w:r>
      <w:r>
        <w:rPr>
          <w:rFonts w:ascii="Times New Roman" w:eastAsia="Times New Roman" w:hAnsi="Times New Roman" w:cs="Times New Roman"/>
        </w:rPr>
        <w:t>ies real time risk assessment using advanced modeling and machine learning, integrating behavioral data, device integrity, and external threat intelligence to dynamically adjust verification requirements across both human and non-human identities. Concurre</w:t>
      </w:r>
      <w:r>
        <w:rPr>
          <w:rFonts w:ascii="Times New Roman" w:eastAsia="Times New Roman" w:hAnsi="Times New Roman" w:cs="Times New Roman"/>
        </w:rPr>
        <w:t>ntly, artificial intelligence agent risk monitoring frameworks emphasize continuous compliance and adaptive risk scoring, informed by governance structures such as the EU AI Act and ISO/IEC 42001.</w:t>
      </w:r>
    </w:p>
    <w:p w14:paraId="0ECA2A97"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artificial intelligence automated govern</w:t>
      </w:r>
      <w:r>
        <w:rPr>
          <w:rFonts w:ascii="Times New Roman" w:eastAsia="Times New Roman" w:hAnsi="Times New Roman" w:cs="Times New Roman"/>
        </w:rPr>
        <w:t xml:space="preserve">ance, adaptive certification, behavioral authentication, and continuous risk monitoring addresses a widening governance gap in agentic systems. In large scale enterprises, non-human identities often outnumber human users by ratios </w:t>
      </w:r>
      <w:r>
        <w:rPr>
          <w:rFonts w:ascii="Times New Roman" w:eastAsia="Times New Roman" w:hAnsi="Times New Roman" w:cs="Times New Roman"/>
        </w:rPr>
        <w:lastRenderedPageBreak/>
        <w:t xml:space="preserve">exceeding eighty to one, </w:t>
      </w:r>
      <w:r>
        <w:rPr>
          <w:rFonts w:ascii="Times New Roman" w:eastAsia="Times New Roman" w:hAnsi="Times New Roman" w:cs="Times New Roman"/>
        </w:rPr>
        <w:t xml:space="preserve">amplifying insider threats and supply chain vulnerabilities. Ahmadi (2025) proposes autonomous, </w:t>
      </w:r>
      <w:proofErr w:type="gramStart"/>
      <w:r>
        <w:rPr>
          <w:rFonts w:ascii="Times New Roman" w:eastAsia="Times New Roman" w:hAnsi="Times New Roman" w:cs="Times New Roman"/>
        </w:rPr>
        <w:t>identity based</w:t>
      </w:r>
      <w:proofErr w:type="gramEnd"/>
      <w:r>
        <w:rPr>
          <w:rFonts w:ascii="Times New Roman" w:eastAsia="Times New Roman" w:hAnsi="Times New Roman" w:cs="Times New Roman"/>
        </w:rPr>
        <w:t xml:space="preserve"> threat segmentation within zero trust architectures, supported by real time identity analytics that generate fine grained risk scores based on ac</w:t>
      </w:r>
      <w:r>
        <w:rPr>
          <w:rFonts w:ascii="Times New Roman" w:eastAsia="Times New Roman" w:hAnsi="Times New Roman" w:cs="Times New Roman"/>
        </w:rPr>
        <w:t>cess behavior and resource consumption. Modern organizations face increasing operational complexity due to the prevalence of non-human identities across distributed infrastructures, resulting in credential sprawl and limited visibility. Cloud native archit</w:t>
      </w:r>
      <w:r>
        <w:rPr>
          <w:rFonts w:ascii="Times New Roman" w:eastAsia="Times New Roman" w:hAnsi="Times New Roman" w:cs="Times New Roman"/>
        </w:rPr>
        <w:t xml:space="preserve">ectures based on microservices and service meshes enable scalable identity and access management for artificial intelligence agents, enhanced through observability using metrics, logs, and traces. </w:t>
      </w:r>
      <w:proofErr w:type="spellStart"/>
      <w:r>
        <w:rPr>
          <w:rFonts w:ascii="Times New Roman" w:eastAsia="Times New Roman" w:hAnsi="Times New Roman" w:cs="Times New Roman"/>
        </w:rPr>
        <w:t>Anantula</w:t>
      </w:r>
      <w:proofErr w:type="spellEnd"/>
      <w:r>
        <w:rPr>
          <w:rFonts w:ascii="Times New Roman" w:eastAsia="Times New Roman" w:hAnsi="Times New Roman" w:cs="Times New Roman"/>
        </w:rPr>
        <w:t xml:space="preserve"> (2025) demonstrates that decomposing identity and </w:t>
      </w:r>
      <w:r>
        <w:rPr>
          <w:rFonts w:ascii="Times New Roman" w:eastAsia="Times New Roman" w:hAnsi="Times New Roman" w:cs="Times New Roman"/>
        </w:rPr>
        <w:t>access management into independently deployable services improves scalability and resilience while maintaining strong security postures in multi cloud environments.</w:t>
      </w:r>
    </w:p>
    <w:p w14:paraId="7CD0A158"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progress, a critical gap remains in unifying artificial intelligence automated gove</w:t>
      </w:r>
      <w:r>
        <w:rPr>
          <w:rFonts w:ascii="Times New Roman" w:eastAsia="Times New Roman" w:hAnsi="Times New Roman" w:cs="Times New Roman"/>
        </w:rPr>
        <w:t>rnance with adaptive certification, behavioral authentication, and real time agent risk monitoring. Existing identity and access management systems are optimized for human users and fail to capture the ephemeral and interdependent nature of autonomous agen</w:t>
      </w:r>
      <w:r>
        <w:rPr>
          <w:rFonts w:ascii="Times New Roman" w:eastAsia="Times New Roman" w:hAnsi="Times New Roman" w:cs="Times New Roman"/>
        </w:rPr>
        <w:t xml:space="preserve">ts. This limitation leads to identity sprawl, long lived credentials, and undetected behavioral drift exploited through attacks such as prompt injection and data exfiltration. Organizations also struggle to maintain continuous compliance across artificial </w:t>
      </w:r>
      <w:r>
        <w:rPr>
          <w:rFonts w:ascii="Times New Roman" w:eastAsia="Times New Roman" w:hAnsi="Times New Roman" w:cs="Times New Roman"/>
        </w:rPr>
        <w:t xml:space="preserve">intelligence lifecycles, as static policies cannot adapt to dynamic threats, increasing exposure to regulatory violations under GDPR, HIPAA, and the United States Department of Defense mandate for baseline zero trust adoption by two thousand </w:t>
      </w:r>
      <w:proofErr w:type="gramStart"/>
      <w:r>
        <w:rPr>
          <w:rFonts w:ascii="Times New Roman" w:eastAsia="Times New Roman" w:hAnsi="Times New Roman" w:cs="Times New Roman"/>
        </w:rPr>
        <w:t>twenty seven</w:t>
      </w:r>
      <w:proofErr w:type="gramEnd"/>
      <w:r>
        <w:rPr>
          <w:rFonts w:ascii="Times New Roman" w:eastAsia="Times New Roman" w:hAnsi="Times New Roman" w:cs="Times New Roman"/>
        </w:rPr>
        <w:t xml:space="preserve"> (</w:t>
      </w:r>
      <w:r>
        <w:rPr>
          <w:rFonts w:ascii="Times New Roman" w:eastAsia="Times New Roman" w:hAnsi="Times New Roman" w:cs="Times New Roman"/>
        </w:rPr>
        <w:t>Muhammad, 2025). High profile supply chain incidents have reinforced the urgency of identity centric security models.</w:t>
      </w:r>
    </w:p>
    <w:p w14:paraId="6ACA998A"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This research advances cybersecurity and computer science by proposing zero trust infrastructures resilient to artificial intelligence dri</w:t>
      </w:r>
      <w:r>
        <w:rPr>
          <w:rFonts w:ascii="Times New Roman" w:eastAsia="Times New Roman" w:hAnsi="Times New Roman" w:cs="Times New Roman"/>
        </w:rPr>
        <w:t>ven threats. The integrated framework supports simulation of adaptive certification and continuous monitoring, enabling reproducible experimentation. In healthcare and precision medicine, behavioral authentication for artificial intelligence agents strengt</w:t>
      </w:r>
      <w:r>
        <w:rPr>
          <w:rFonts w:ascii="Times New Roman" w:eastAsia="Times New Roman" w:hAnsi="Times New Roman" w:cs="Times New Roman"/>
        </w:rPr>
        <w:t>hens protection of patient data used in adaptive diagnostics and therapy planning, reducing over reliance and improving confidence through explainable models. Artificial intelligence agent risk monitoring aligns deployments with the NIST Artificial Intelli</w:t>
      </w:r>
      <w:r>
        <w:rPr>
          <w:rFonts w:ascii="Times New Roman" w:eastAsia="Times New Roman" w:hAnsi="Times New Roman" w:cs="Times New Roman"/>
        </w:rPr>
        <w:t xml:space="preserve">gence Risk Management Framework and supports regulatory audits through verifiable audit trails. Theoretically, the study extends zero trust literature by formalizing non-human identity management using decentralized </w:t>
      </w:r>
      <w:r>
        <w:rPr>
          <w:rFonts w:ascii="Times New Roman" w:eastAsia="Times New Roman" w:hAnsi="Times New Roman" w:cs="Times New Roman"/>
        </w:rPr>
        <w:lastRenderedPageBreak/>
        <w:t>identifiers, verifiable credentials, and</w:t>
      </w:r>
      <w:r>
        <w:rPr>
          <w:rFonts w:ascii="Times New Roman" w:eastAsia="Times New Roman" w:hAnsi="Times New Roman" w:cs="Times New Roman"/>
        </w:rPr>
        <w:t xml:space="preserve"> zero knowledge proofs. Huang et al. (2025) present a complementary framework based on rich agent identities that encode capabilities, provenance, behavioral scope, and security posture, supported by unified session management and real time policy enforcem</w:t>
      </w:r>
      <w:r>
        <w:rPr>
          <w:rFonts w:ascii="Times New Roman" w:eastAsia="Times New Roman" w:hAnsi="Times New Roman" w:cs="Times New Roman"/>
        </w:rPr>
        <w:t>ent.</w:t>
      </w:r>
    </w:p>
    <w:p w14:paraId="7971249D"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As artificial intelligence increasingly influences critical decisions, this study bridges innovation with verifiable trust by integrating governance, certification, authentication, and monitoring within zero trust architectures. The scope is limited t</w:t>
      </w:r>
      <w:r>
        <w:rPr>
          <w:rFonts w:ascii="Times New Roman" w:eastAsia="Times New Roman" w:hAnsi="Times New Roman" w:cs="Times New Roman"/>
        </w:rPr>
        <w:t xml:space="preserve">o theoretical and </w:t>
      </w:r>
      <w:proofErr w:type="gramStart"/>
      <w:r>
        <w:rPr>
          <w:rFonts w:ascii="Times New Roman" w:eastAsia="Times New Roman" w:hAnsi="Times New Roman" w:cs="Times New Roman"/>
        </w:rPr>
        <w:t>simulation based</w:t>
      </w:r>
      <w:proofErr w:type="gramEnd"/>
      <w:r>
        <w:rPr>
          <w:rFonts w:ascii="Times New Roman" w:eastAsia="Times New Roman" w:hAnsi="Times New Roman" w:cs="Times New Roman"/>
        </w:rPr>
        <w:t xml:space="preserve"> development of three interconnected frameworks within cloud native zero trust environments, using open source platforms such as Kubernetes, SPIFFE, and machine learning libraries to prototype secure management of non-huma</w:t>
      </w:r>
      <w:r>
        <w:rPr>
          <w:rFonts w:ascii="Times New Roman" w:eastAsia="Times New Roman" w:hAnsi="Times New Roman" w:cs="Times New Roman"/>
        </w:rPr>
        <w:t>n identities in healthcare focused agentic artificial intelligence systems.</w:t>
      </w:r>
    </w:p>
    <w:p w14:paraId="0496810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primary aim of this research is to bridge AI-automated governance, adaptive certification, behavioral authentication, and AI-agent risk monitoring within zero-trust digital inf</w:t>
      </w:r>
      <w:r>
        <w:rPr>
          <w:rFonts w:ascii="Times New Roman" w:eastAsia="Times New Roman" w:hAnsi="Times New Roman" w:cs="Times New Roman"/>
        </w:rPr>
        <w:t>rastructures through simulation-validated frameworks suitable for remote development, ensuring secure, compliant AI deployments in healthcare and beyond. To achieve this aim, the research objectives are to:</w:t>
      </w:r>
    </w:p>
    <w:p w14:paraId="1CE0322C" w14:textId="77777777" w:rsidR="00E52F02" w:rsidRDefault="00A15A26">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develop an integrated AI governance framework inc</w:t>
      </w:r>
      <w:r>
        <w:rPr>
          <w:rFonts w:ascii="Times New Roman" w:eastAsia="Times New Roman" w:hAnsi="Times New Roman" w:cs="Times New Roman"/>
        </w:rPr>
        <w:t>orporating adaptive certification and continuous monitoring for AI lifecycle compliance validated via open-source simulations.</w:t>
      </w:r>
    </w:p>
    <w:p w14:paraId="5FF192E8" w14:textId="77777777" w:rsidR="00E52F02" w:rsidRDefault="00A15A26">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architect a behavioral authentication system with continuous adaptive trust for non-human AI identities leveraging DIDs, VCs, and</w:t>
      </w:r>
      <w:r>
        <w:rPr>
          <w:rFonts w:ascii="Times New Roman" w:eastAsia="Times New Roman" w:hAnsi="Times New Roman" w:cs="Times New Roman"/>
        </w:rPr>
        <w:t xml:space="preserve"> ZKPs in zero-trust environments.</w:t>
      </w:r>
    </w:p>
    <w:p w14:paraId="519DAEB7" w14:textId="77777777" w:rsidR="00E52F02" w:rsidRDefault="00A15A26">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create an AI-agent risk monitoring framework for threat detection and anomaly mitigation in autonomous zero-trust systems emphasizing healthcare applications.</w:t>
      </w:r>
    </w:p>
    <w:p w14:paraId="2944738E" w14:textId="77777777" w:rsidR="00E52F02" w:rsidRDefault="00E52F02">
      <w:pPr>
        <w:spacing w:line="360" w:lineRule="auto"/>
        <w:jc w:val="both"/>
        <w:rPr>
          <w:rFonts w:ascii="Times New Roman" w:eastAsia="Times New Roman" w:hAnsi="Times New Roman" w:cs="Times New Roman"/>
        </w:rPr>
      </w:pPr>
    </w:p>
    <w:p w14:paraId="4211D698"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41624E0D"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Zero-Trust Architecture and AI-Automated </w:t>
      </w:r>
      <w:r>
        <w:rPr>
          <w:rFonts w:ascii="Times New Roman" w:eastAsia="Times New Roman" w:hAnsi="Times New Roman" w:cs="Times New Roman"/>
          <w:b/>
          <w:bCs/>
        </w:rPr>
        <w:t>Governance</w:t>
      </w:r>
    </w:p>
    <w:p w14:paraId="7359117A"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evolution of organizational security paradigms has shifted from </w:t>
      </w:r>
      <w:proofErr w:type="gramStart"/>
      <w:r>
        <w:rPr>
          <w:rFonts w:ascii="Times New Roman" w:eastAsia="Times New Roman" w:hAnsi="Times New Roman" w:cs="Times New Roman"/>
        </w:rPr>
        <w:t>perimeter based</w:t>
      </w:r>
      <w:proofErr w:type="gramEnd"/>
      <w:r>
        <w:rPr>
          <w:rFonts w:ascii="Times New Roman" w:eastAsia="Times New Roman" w:hAnsi="Times New Roman" w:cs="Times New Roman"/>
        </w:rPr>
        <w:t xml:space="preserve"> defense strategies to dynamic verification models, driven by distributed cloud infrastructures and the rapid growth of autonomous artificial intelligence agents </w:t>
      </w:r>
      <w:r>
        <w:rPr>
          <w:rFonts w:ascii="Times New Roman" w:eastAsia="Times New Roman" w:hAnsi="Times New Roman" w:cs="Times New Roman"/>
        </w:rPr>
        <w:t xml:space="preserve">operating across organizational boundaries. Zero Trust Architecture has emerged as a foundational framework built on the principle of never </w:t>
      </w:r>
      <w:r>
        <w:rPr>
          <w:rFonts w:ascii="Times New Roman" w:eastAsia="Times New Roman" w:hAnsi="Times New Roman" w:cs="Times New Roman"/>
        </w:rPr>
        <w:lastRenderedPageBreak/>
        <w:t>trust, always verify, enforcing continuous authentication, conditional access, dynamic trust evaluation, and least p</w:t>
      </w:r>
      <w:r>
        <w:rPr>
          <w:rFonts w:ascii="Times New Roman" w:eastAsia="Times New Roman" w:hAnsi="Times New Roman" w:cs="Times New Roman"/>
        </w:rPr>
        <w:t>rivilege to strengthen security across domains (</w:t>
      </w:r>
      <w:proofErr w:type="spellStart"/>
      <w:r>
        <w:rPr>
          <w:rFonts w:ascii="Times New Roman" w:eastAsia="Times New Roman" w:hAnsi="Times New Roman" w:cs="Times New Roman"/>
        </w:rPr>
        <w:t>Gambo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Almulhem</w:t>
      </w:r>
      <w:proofErr w:type="spellEnd"/>
      <w:r>
        <w:rPr>
          <w:rFonts w:ascii="Times New Roman" w:eastAsia="Times New Roman" w:hAnsi="Times New Roman" w:cs="Times New Roman"/>
        </w:rPr>
        <w:t>, 2025). This shift challenges legacy assumptions by subjecting every access request to equal scrutiny regardless of network location, reshaping how identity verification and access control ar</w:t>
      </w:r>
      <w:r>
        <w:rPr>
          <w:rFonts w:ascii="Times New Roman" w:eastAsia="Times New Roman" w:hAnsi="Times New Roman" w:cs="Times New Roman"/>
        </w:rPr>
        <w:t xml:space="preserve">e implemented in distributed systems. A systematic literature review by </w:t>
      </w:r>
      <w:proofErr w:type="spellStart"/>
      <w:r>
        <w:rPr>
          <w:rFonts w:ascii="Times New Roman" w:eastAsia="Times New Roman" w:hAnsi="Times New Roman" w:cs="Times New Roman"/>
        </w:rPr>
        <w:t>Gambo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Almulhem</w:t>
      </w:r>
      <w:proofErr w:type="spellEnd"/>
      <w:r>
        <w:rPr>
          <w:rFonts w:ascii="Times New Roman" w:eastAsia="Times New Roman" w:hAnsi="Times New Roman" w:cs="Times New Roman"/>
        </w:rPr>
        <w:t xml:space="preserve"> (2025), examining a decade of studies between two thousand sixteen and two thousand </w:t>
      </w:r>
      <w:proofErr w:type="gramStart"/>
      <w:r>
        <w:rPr>
          <w:rFonts w:ascii="Times New Roman" w:eastAsia="Times New Roman" w:hAnsi="Times New Roman" w:cs="Times New Roman"/>
        </w:rPr>
        <w:t>twenty five</w:t>
      </w:r>
      <w:proofErr w:type="gramEnd"/>
      <w:r>
        <w:rPr>
          <w:rFonts w:ascii="Times New Roman" w:eastAsia="Times New Roman" w:hAnsi="Times New Roman" w:cs="Times New Roman"/>
        </w:rPr>
        <w:t>, shows that Zero Trust applications span cloud computing, Internet of</w:t>
      </w:r>
      <w:r>
        <w:rPr>
          <w:rFonts w:ascii="Times New Roman" w:eastAsia="Times New Roman" w:hAnsi="Times New Roman" w:cs="Times New Roman"/>
        </w:rPr>
        <w:t xml:space="preserve"> Things, healthcare, enterprise platforms, industrial networks, mobile systems, and artificial intelligence, with authentication, authorization, and access control consistently identified as core components.</w:t>
      </w:r>
    </w:p>
    <w:p w14:paraId="3B005D79"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artificial intelligence autom</w:t>
      </w:r>
      <w:r>
        <w:rPr>
          <w:rFonts w:ascii="Times New Roman" w:eastAsia="Times New Roman" w:hAnsi="Times New Roman" w:cs="Times New Roman"/>
        </w:rPr>
        <w:t xml:space="preserve">ated governance within zero trust introduces complexities beyond traditional identity and access management. </w:t>
      </w:r>
      <w:proofErr w:type="gramStart"/>
      <w:r>
        <w:rPr>
          <w:rFonts w:ascii="Times New Roman" w:eastAsia="Times New Roman" w:hAnsi="Times New Roman" w:cs="Times New Roman"/>
        </w:rPr>
        <w:t>Conventional  Identity</w:t>
      </w:r>
      <w:proofErr w:type="gramEnd"/>
      <w:r>
        <w:rPr>
          <w:rFonts w:ascii="Times New Roman" w:eastAsia="Times New Roman" w:hAnsi="Times New Roman" w:cs="Times New Roman"/>
        </w:rPr>
        <w:t xml:space="preserve"> and Access Management (IAM) systems designed for human identities using OAuth, OpenID Connect, and SAML are insufficient for</w:t>
      </w:r>
      <w:r>
        <w:rPr>
          <w:rFonts w:ascii="Times New Roman" w:eastAsia="Times New Roman" w:hAnsi="Times New Roman" w:cs="Times New Roman"/>
        </w:rPr>
        <w:t xml:space="preserve"> the dynamic and ephemeral behavior of artificial intelligence agents in multi agent environments (Huang et al., 2025). </w:t>
      </w:r>
      <w:proofErr w:type="spellStart"/>
      <w:r>
        <w:rPr>
          <w:rFonts w:ascii="Times New Roman" w:eastAsia="Times New Roman" w:hAnsi="Times New Roman" w:cs="Times New Roman"/>
        </w:rPr>
        <w:t>Anantula</w:t>
      </w:r>
      <w:proofErr w:type="spellEnd"/>
      <w:r>
        <w:rPr>
          <w:rFonts w:ascii="Times New Roman" w:eastAsia="Times New Roman" w:hAnsi="Times New Roman" w:cs="Times New Roman"/>
        </w:rPr>
        <w:t xml:space="preserve"> (2025) demonstrates that cloud native IAM architectures based on microservices improve scalability, resilience, and agility whi</w:t>
      </w:r>
      <w:r>
        <w:rPr>
          <w:rFonts w:ascii="Times New Roman" w:eastAsia="Times New Roman" w:hAnsi="Times New Roman" w:cs="Times New Roman"/>
        </w:rPr>
        <w:t>le preserving strong security in multi cloud environments. This architectural evolution enables observability through metrics and logs, supporting policy as code (Narasimhan &amp; Baskar, 2024) frameworks.</w:t>
      </w:r>
    </w:p>
    <w:p w14:paraId="180EB105"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Adaptive Certification and Continuous Compliance Monit</w:t>
      </w:r>
      <w:r>
        <w:rPr>
          <w:rFonts w:ascii="Times New Roman" w:eastAsia="Times New Roman" w:hAnsi="Times New Roman" w:cs="Times New Roman"/>
          <w:b/>
          <w:bCs/>
        </w:rPr>
        <w:t>oring</w:t>
      </w:r>
    </w:p>
    <w:p w14:paraId="06A9B9ED"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Adaptive certification represents a shift from static compliance validation to dynamic and continuous assessment mechanisms that evaluate artificial intelligence system integrity across operational lifecycles, using machine learning driven risk scori</w:t>
      </w:r>
      <w:r>
        <w:rPr>
          <w:rFonts w:ascii="Times New Roman" w:eastAsia="Times New Roman" w:hAnsi="Times New Roman" w:cs="Times New Roman"/>
        </w:rPr>
        <w:t xml:space="preserve">ng to maintain regulatory alignment within evolving threat landscapes. Traditional certification relies on point in time assessments and static policy enforcement, which are ineffective against artificial intelligence systems that learn, adapt, and change </w:t>
      </w:r>
      <w:r>
        <w:rPr>
          <w:rFonts w:ascii="Times New Roman" w:eastAsia="Times New Roman" w:hAnsi="Times New Roman" w:cs="Times New Roman"/>
        </w:rPr>
        <w:t xml:space="preserve">in response to new data and environments. Adaptive governance therefore requires real time risk assessment supported by advanced modeling and machine learning, integrating behavioral signals, device posture, and external threat intelligence to dynamically </w:t>
      </w:r>
      <w:r>
        <w:rPr>
          <w:rFonts w:ascii="Times New Roman" w:eastAsia="Times New Roman" w:hAnsi="Times New Roman" w:cs="Times New Roman"/>
        </w:rPr>
        <w:t xml:space="preserve">adjust authentication and access decisions. Organizations must adopt governance structures that respond continuously, ensuring artificial intelligence systems remain compliant, explainable, and </w:t>
      </w:r>
      <w:r>
        <w:rPr>
          <w:rFonts w:ascii="Times New Roman" w:eastAsia="Times New Roman" w:hAnsi="Times New Roman" w:cs="Times New Roman"/>
        </w:rPr>
        <w:lastRenderedPageBreak/>
        <w:t>accountable after deployment while shifting from checklist com</w:t>
      </w:r>
      <w:r>
        <w:rPr>
          <w:rFonts w:ascii="Times New Roman" w:eastAsia="Times New Roman" w:hAnsi="Times New Roman" w:cs="Times New Roman"/>
        </w:rPr>
        <w:t>pliance toward living governance models that reduce risk and strengthen trust.</w:t>
      </w:r>
    </w:p>
    <w:p w14:paraId="384E79E9"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Continuous compliance monitoring emphasizes maintaining adherence to governance obligations throughout the artificial intelligence lifecycle, from development through deployment</w:t>
      </w:r>
      <w:r>
        <w:rPr>
          <w:rFonts w:ascii="Times New Roman" w:eastAsia="Times New Roman" w:hAnsi="Times New Roman" w:cs="Times New Roman"/>
        </w:rPr>
        <w:t xml:space="preserve"> and operation. Oversight must extend beyond initial approval to include real time model auditing, bias detection, and compliance drift analysis that identifies anomalies before regulatory or reputational harm occurs. Under standards such as ISO/IEC 42001,</w:t>
      </w:r>
      <w:r>
        <w:rPr>
          <w:rFonts w:ascii="Times New Roman" w:eastAsia="Times New Roman" w:hAnsi="Times New Roman" w:cs="Times New Roman"/>
        </w:rPr>
        <w:t xml:space="preserve"> continuous monitoring involves tracking system behavior, data inputs, and outputs to ensure alignment with organizational objectives, legal mandates, and ethical principles as models evolve. Evidence shows that artificial intelligence driven zero trust im</w:t>
      </w:r>
      <w:r>
        <w:rPr>
          <w:rFonts w:ascii="Times New Roman" w:eastAsia="Times New Roman" w:hAnsi="Times New Roman" w:cs="Times New Roman"/>
        </w:rPr>
        <w:t>plementations can significantly shorten audit cycles and improve stakeholder confidence through verifiable audit trails. The intersection of adaptive certification and zero trust architecture is operationalized through policy as code frameworks globally (</w:t>
      </w:r>
      <w:proofErr w:type="spellStart"/>
      <w:r>
        <w:rPr>
          <w:rFonts w:ascii="Times New Roman" w:eastAsia="Times New Roman" w:hAnsi="Times New Roman" w:cs="Times New Roman"/>
        </w:rPr>
        <w:t>O</w:t>
      </w:r>
      <w:r>
        <w:rPr>
          <w:rFonts w:ascii="Times New Roman" w:eastAsia="Times New Roman" w:hAnsi="Times New Roman" w:cs="Times New Roman"/>
        </w:rPr>
        <w:t>bbu</w:t>
      </w:r>
      <w:proofErr w:type="spellEnd"/>
      <w:r>
        <w:rPr>
          <w:rFonts w:ascii="Times New Roman" w:eastAsia="Times New Roman" w:hAnsi="Times New Roman" w:cs="Times New Roman"/>
        </w:rPr>
        <w:t>, 2025).</w:t>
      </w:r>
    </w:p>
    <w:p w14:paraId="35A7BE0E"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Behavioral Authentication for Non-Human Identities</w:t>
      </w:r>
    </w:p>
    <w:p w14:paraId="7F32F3D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Behavioral authentication has emerged as a critical mechanism for securing non-human identities within zero trust ecosystems, using machine learning to analyze real time patterns such as intera</w:t>
      </w:r>
      <w:r>
        <w:rPr>
          <w:rFonts w:ascii="Times New Roman" w:eastAsia="Times New Roman" w:hAnsi="Times New Roman" w:cs="Times New Roman"/>
        </w:rPr>
        <w:t>ction frequency, data access behavior, computational footprints, and behavioral signatures that differentiate legitimate autonomous agents from compromised entities in distributed infrastructures. Unlike conventional authentication approaches for human use</w:t>
      </w:r>
      <w:r>
        <w:rPr>
          <w:rFonts w:ascii="Times New Roman" w:eastAsia="Times New Roman" w:hAnsi="Times New Roman" w:cs="Times New Roman"/>
        </w:rPr>
        <w:t>rs that rely on static credentials and periodic checks, behavioral models for artificial intelligence agents integrate provenance validation, capability scoping, and anomaly detection to mitigate risks including model poisoning, unauthorized delegation, an</w:t>
      </w:r>
      <w:r>
        <w:rPr>
          <w:rFonts w:ascii="Times New Roman" w:eastAsia="Times New Roman" w:hAnsi="Times New Roman" w:cs="Times New Roman"/>
        </w:rPr>
        <w:t>d adversarial manipulation. Shah and Shah (2025) present an adaptive authentication framework that applies real time risk assessment through advanced mathematical modeling and machine learning, combining behavioral signals, device integrity, and external t</w:t>
      </w:r>
      <w:r>
        <w:rPr>
          <w:rFonts w:ascii="Times New Roman" w:eastAsia="Times New Roman" w:hAnsi="Times New Roman" w:cs="Times New Roman"/>
        </w:rPr>
        <w:t>hreat intelligence to dynamically adjust authentication requirements across both human and non-human identities, significantly reducing false positives compared to traditional identity systems.</w:t>
      </w:r>
    </w:p>
    <w:p w14:paraId="60C0F690"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Machine learning driven behavioral biometrics has proven effec</w:t>
      </w:r>
      <w:r>
        <w:rPr>
          <w:rFonts w:ascii="Times New Roman" w:eastAsia="Times New Roman" w:hAnsi="Times New Roman" w:cs="Times New Roman"/>
        </w:rPr>
        <w:t>tive in distinguishing legitimate entities from malicious actors by analyzing keystroke patterns, cursor movements, gesture dynamics, and other behavioral traits associated with users or automated systems. These techniques operate passively during web or m</w:t>
      </w:r>
      <w:r>
        <w:rPr>
          <w:rFonts w:ascii="Times New Roman" w:eastAsia="Times New Roman" w:hAnsi="Times New Roman" w:cs="Times New Roman"/>
        </w:rPr>
        <w:t xml:space="preserve">obile sessions, monitoring large volumes of </w:t>
      </w:r>
      <w:r>
        <w:rPr>
          <w:rFonts w:ascii="Times New Roman" w:eastAsia="Times New Roman" w:hAnsi="Times New Roman" w:cs="Times New Roman"/>
        </w:rPr>
        <w:lastRenderedPageBreak/>
        <w:t xml:space="preserve">parameters to reduce friction while improving detection accuracy. Sequential models such as Long </w:t>
      </w:r>
      <w:proofErr w:type="gramStart"/>
      <w:r>
        <w:rPr>
          <w:rFonts w:ascii="Times New Roman" w:eastAsia="Times New Roman" w:hAnsi="Times New Roman" w:cs="Times New Roman"/>
        </w:rPr>
        <w:t>Short Term</w:t>
      </w:r>
      <w:proofErr w:type="gramEnd"/>
      <w:r>
        <w:rPr>
          <w:rFonts w:ascii="Times New Roman" w:eastAsia="Times New Roman" w:hAnsi="Times New Roman" w:cs="Times New Roman"/>
        </w:rPr>
        <w:t xml:space="preserve"> Memory networks demonstrate superior performance over traditional algorithms by capturing temporal depen</w:t>
      </w:r>
      <w:r>
        <w:rPr>
          <w:rFonts w:ascii="Times New Roman" w:eastAsia="Times New Roman" w:hAnsi="Times New Roman" w:cs="Times New Roman"/>
        </w:rPr>
        <w:t>dencies in behavioral data, making them suitable for complex real world conditions. Behavioral biometrics further support continuous session level verification in financial services, reducing account takeover risks through persistent monitoring (Kumar et a</w:t>
      </w:r>
      <w:r>
        <w:rPr>
          <w:rFonts w:ascii="Times New Roman" w:eastAsia="Times New Roman" w:hAnsi="Times New Roman" w:cs="Times New Roman"/>
        </w:rPr>
        <w:t>l., 2025).</w:t>
      </w:r>
    </w:p>
    <w:p w14:paraId="65BFD78A"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Privacy preserving advances incorporate decentralized identifiers and verifiable credentials with zero knowledge proofs, enabling agents to demonstrate compliance without revealing internal states. Huang et al. (2025) propose rich agent identity</w:t>
      </w:r>
      <w:r>
        <w:rPr>
          <w:rFonts w:ascii="Times New Roman" w:eastAsia="Times New Roman" w:hAnsi="Times New Roman" w:cs="Times New Roman"/>
        </w:rPr>
        <w:t xml:space="preserve"> frameworks using DIDs and VCs to support fine grained access control and unified policy enforcement, while zero knowledge methods enable selective disclosure and tamper resistant trust across organizational boundaries (Gupta, 2025).</w:t>
      </w:r>
    </w:p>
    <w:p w14:paraId="0BBCB230"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AI-Agent Risk Monitori</w:t>
      </w:r>
      <w:r>
        <w:rPr>
          <w:rFonts w:ascii="Times New Roman" w:eastAsia="Times New Roman" w:hAnsi="Times New Roman" w:cs="Times New Roman"/>
          <w:b/>
          <w:bCs/>
        </w:rPr>
        <w:t>ng and Threat Detection Frameworks</w:t>
      </w:r>
    </w:p>
    <w:p w14:paraId="610C81E0"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AI agent risk monitoring frameworks employ continuous compliance monitoring and adaptive risk assessment aligned with regulatory guidance such as the EU AI Act and ISO/IEC 42001 to audit model integrity, detect behavioral</w:t>
      </w:r>
      <w:r>
        <w:rPr>
          <w:rFonts w:ascii="Times New Roman" w:eastAsia="Times New Roman" w:hAnsi="Times New Roman" w:cs="Times New Roman"/>
        </w:rPr>
        <w:t xml:space="preserve"> drift, and respond to emerging threats in real time within autonomous zero trust systems. The MAESTRO framework, meaning Multi Agent Environment, Security, Threat, Risk, and Outcome, introduces a threat modeling approach tailored to agentic artificial int</w:t>
      </w:r>
      <w:r>
        <w:rPr>
          <w:rFonts w:ascii="Times New Roman" w:eastAsia="Times New Roman" w:hAnsi="Times New Roman" w:cs="Times New Roman"/>
        </w:rPr>
        <w:t>elligence by analyzing layered agent architectures and their interactions (Huang, 2025). This supports proactive mitigation of adversarial attacks, data poisoning, and goal manipulation across the artificial intelligence lifecycle. AI driven threat detecti</w:t>
      </w:r>
      <w:r>
        <w:rPr>
          <w:rFonts w:ascii="Times New Roman" w:eastAsia="Times New Roman" w:hAnsi="Times New Roman" w:cs="Times New Roman"/>
        </w:rPr>
        <w:t>on integrates anomaly detection, behavioral analytics, and predictive security to identify risks before breaches occur. Machine learning based analysis distinguishes authorized from unauthorized behavior and enables early detection of unknown threats. Orga</w:t>
      </w:r>
      <w:r>
        <w:rPr>
          <w:rFonts w:ascii="Times New Roman" w:eastAsia="Times New Roman" w:hAnsi="Times New Roman" w:cs="Times New Roman"/>
        </w:rPr>
        <w:t>nizations adopting artificial intelligence enhanced zero trust report improved incident response and reduced insider risk compared to static controls (Bello, 2025; Abba et al., 2025).</w:t>
      </w:r>
    </w:p>
    <w:p w14:paraId="37DF4F2F" w14:textId="77777777" w:rsidR="00E52F02" w:rsidRDefault="00E52F02">
      <w:pPr>
        <w:spacing w:line="360" w:lineRule="auto"/>
        <w:jc w:val="both"/>
        <w:rPr>
          <w:rFonts w:ascii="Times New Roman" w:eastAsia="Times New Roman" w:hAnsi="Times New Roman" w:cs="Times New Roman"/>
        </w:rPr>
      </w:pPr>
    </w:p>
    <w:p w14:paraId="0CED8BA1"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101252E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This article outlines the methodological framew</w:t>
      </w:r>
      <w:r>
        <w:rPr>
          <w:rFonts w:ascii="Times New Roman" w:eastAsia="Times New Roman" w:hAnsi="Times New Roman" w:cs="Times New Roman"/>
        </w:rPr>
        <w:t xml:space="preserve">ork for achieving the research objectives, using </w:t>
      </w:r>
      <w:proofErr w:type="gramStart"/>
      <w:r>
        <w:rPr>
          <w:rFonts w:ascii="Times New Roman" w:eastAsia="Times New Roman" w:hAnsi="Times New Roman" w:cs="Times New Roman"/>
        </w:rPr>
        <w:t>simulation based</w:t>
      </w:r>
      <w:proofErr w:type="gramEnd"/>
      <w:r>
        <w:rPr>
          <w:rFonts w:ascii="Times New Roman" w:eastAsia="Times New Roman" w:hAnsi="Times New Roman" w:cs="Times New Roman"/>
        </w:rPr>
        <w:t xml:space="preserve"> validation suitable for remote implementation. The design science paradigm integrates quantitative simulations, machine learning, and performance evaluation to develop and </w:t>
      </w:r>
      <w:r>
        <w:rPr>
          <w:rFonts w:ascii="Times New Roman" w:eastAsia="Times New Roman" w:hAnsi="Times New Roman" w:cs="Times New Roman"/>
        </w:rPr>
        <w:lastRenderedPageBreak/>
        <w:t>validate integrate</w:t>
      </w:r>
      <w:r>
        <w:rPr>
          <w:rFonts w:ascii="Times New Roman" w:eastAsia="Times New Roman" w:hAnsi="Times New Roman" w:cs="Times New Roman"/>
        </w:rPr>
        <w:t>d AI governance, behavioral authentication, and AI-agent risk monitoring in zero trust architectures, using open source tools and healthcare datasets.</w:t>
      </w:r>
    </w:p>
    <w:p w14:paraId="2A02BF89"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467AA1EB"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 employs a mixed-methods design science research approach, combining framework p</w:t>
      </w:r>
      <w:r>
        <w:rPr>
          <w:rFonts w:ascii="Times New Roman" w:eastAsia="Times New Roman" w:hAnsi="Times New Roman" w:cs="Times New Roman"/>
        </w:rPr>
        <w:t>rototype development, simulation experiments, and quantitative validation to address theoretical gaps identified. Aligned with the NIST AI Risk Management Framework, primary artifacts include an AI governance simulator with adaptive certification, a behavi</w:t>
      </w:r>
      <w:r>
        <w:rPr>
          <w:rFonts w:ascii="Times New Roman" w:eastAsia="Times New Roman" w:hAnsi="Times New Roman" w:cs="Times New Roman"/>
        </w:rPr>
        <w:t>oral authentication engine for non-human identities, and a risk monitoring dashboard with automated remediation (</w:t>
      </w:r>
      <w:proofErr w:type="spellStart"/>
      <w:r>
        <w:rPr>
          <w:rFonts w:ascii="Times New Roman" w:eastAsia="Times New Roman" w:hAnsi="Times New Roman" w:cs="Times New Roman"/>
        </w:rPr>
        <w:t>Mahamad</w:t>
      </w:r>
      <w:proofErr w:type="spellEnd"/>
      <w:r>
        <w:rPr>
          <w:rFonts w:ascii="Times New Roman" w:eastAsia="Times New Roman" w:hAnsi="Times New Roman" w:cs="Times New Roman"/>
        </w:rPr>
        <w:t xml:space="preserve">, 2024). Simulations run locally via Docker Compose and </w:t>
      </w:r>
      <w:proofErr w:type="spellStart"/>
      <w:r>
        <w:rPr>
          <w:rFonts w:ascii="Times New Roman" w:eastAsia="Times New Roman" w:hAnsi="Times New Roman" w:cs="Times New Roman"/>
        </w:rPr>
        <w:t>Minikube</w:t>
      </w:r>
      <w:proofErr w:type="spellEnd"/>
      <w:r>
        <w:rPr>
          <w:rFonts w:ascii="Times New Roman" w:eastAsia="Times New Roman" w:hAnsi="Times New Roman" w:cs="Times New Roman"/>
        </w:rPr>
        <w:t>, emulating multi-cloud healthcare infrastructures with synthetic EHR da</w:t>
      </w:r>
      <w:r>
        <w:rPr>
          <w:rFonts w:ascii="Times New Roman" w:eastAsia="Times New Roman" w:hAnsi="Times New Roman" w:cs="Times New Roman"/>
        </w:rPr>
        <w:t>ta. Quantitative analysis dominates while qualitative threat modeling uses STRIDE and MITRE ATT&amp;CK frameworks (Manne, 2023).</w:t>
      </w:r>
    </w:p>
    <w:p w14:paraId="2239F317" w14:textId="4481186F" w:rsidR="002536D3" w:rsidRPr="002536D3" w:rsidRDefault="002536D3">
      <w:pPr>
        <w:spacing w:line="360" w:lineRule="auto"/>
        <w:jc w:val="both"/>
        <w:rPr>
          <w:rFonts w:ascii="Times New Roman" w:eastAsia="Times New Roman" w:hAnsi="Times New Roman" w:cs="Times New Roman"/>
          <w:b/>
          <w:bCs/>
        </w:rPr>
      </w:pPr>
      <w:r w:rsidRPr="002536D3">
        <w:rPr>
          <w:rFonts w:ascii="Times New Roman" w:eastAsia="Times New Roman" w:hAnsi="Times New Roman" w:cs="Times New Roman"/>
          <w:b/>
          <w:bCs/>
        </w:rPr>
        <w:t>Figure 1</w:t>
      </w:r>
    </w:p>
    <w:p w14:paraId="55C09B5E" w14:textId="19DEC2D1" w:rsidR="002536D3" w:rsidRPr="002536D3" w:rsidRDefault="002536D3">
      <w:pPr>
        <w:spacing w:line="360" w:lineRule="auto"/>
        <w:jc w:val="both"/>
        <w:rPr>
          <w:rFonts w:ascii="Times New Roman" w:eastAsia="Times New Roman" w:hAnsi="Times New Roman" w:cs="Times New Roman"/>
          <w:i/>
          <w:iCs/>
        </w:rPr>
      </w:pPr>
      <w:r w:rsidRPr="002536D3">
        <w:rPr>
          <w:rFonts w:ascii="Times New Roman" w:eastAsia="Times New Roman" w:hAnsi="Times New Roman" w:cs="Times New Roman"/>
          <w:i/>
          <w:iCs/>
        </w:rPr>
        <w:t>AI-Governance Architecture</w:t>
      </w:r>
    </w:p>
    <w:p w14:paraId="4C99C017" w14:textId="77777777" w:rsidR="002536D3" w:rsidRDefault="002536D3">
      <w:pPr>
        <w:spacing w:line="360" w:lineRule="auto"/>
        <w:jc w:val="both"/>
        <w:rPr>
          <w:rFonts w:ascii="Times New Roman" w:eastAsia="Times New Roman" w:hAnsi="Times New Roman" w:cs="Times New Roman"/>
        </w:rPr>
      </w:pPr>
    </w:p>
    <w:p w14:paraId="2283111F" w14:textId="051D52C1" w:rsidR="00431944" w:rsidRDefault="002536D3" w:rsidP="002536D3">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0FC67DD" wp14:editId="6D330F08">
            <wp:extent cx="5943600" cy="3018155"/>
            <wp:effectExtent l="0" t="0" r="0" b="0"/>
            <wp:docPr id="1096291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1500" name="Picture 1096291500"/>
                    <pic:cNvPicPr/>
                  </pic:nvPicPr>
                  <pic:blipFill>
                    <a:blip r:embed="rId7">
                      <a:extLst>
                        <a:ext uri="{28A0092B-C50C-407E-A947-70E740481C1C}">
                          <a14:useLocalDpi xmlns:a14="http://schemas.microsoft.com/office/drawing/2010/main" val="0"/>
                        </a:ext>
                      </a:extLst>
                    </a:blip>
                    <a:stretch>
                      <a:fillRect/>
                    </a:stretch>
                  </pic:blipFill>
                  <pic:spPr>
                    <a:xfrm>
                      <a:off x="0" y="0"/>
                      <a:ext cx="5943600" cy="3018155"/>
                    </a:xfrm>
                    <a:prstGeom prst="rect">
                      <a:avLst/>
                    </a:prstGeom>
                  </pic:spPr>
                </pic:pic>
              </a:graphicData>
            </a:graphic>
          </wp:inline>
        </w:drawing>
      </w:r>
    </w:p>
    <w:p w14:paraId="07D2AEC1" w14:textId="77777777" w:rsidR="002536D3" w:rsidRDefault="002536D3">
      <w:pPr>
        <w:spacing w:line="360" w:lineRule="auto"/>
        <w:jc w:val="both"/>
        <w:rPr>
          <w:rFonts w:ascii="Times New Roman" w:eastAsia="Times New Roman" w:hAnsi="Times New Roman" w:cs="Times New Roman"/>
          <w:b/>
          <w:bCs/>
        </w:rPr>
      </w:pPr>
    </w:p>
    <w:p w14:paraId="2940E212" w14:textId="77777777" w:rsidR="002536D3" w:rsidRDefault="002536D3">
      <w:pPr>
        <w:spacing w:line="360" w:lineRule="auto"/>
        <w:jc w:val="both"/>
        <w:rPr>
          <w:rFonts w:ascii="Times New Roman" w:eastAsia="Times New Roman" w:hAnsi="Times New Roman" w:cs="Times New Roman"/>
          <w:b/>
          <w:bCs/>
        </w:rPr>
      </w:pPr>
    </w:p>
    <w:p w14:paraId="69A28238" w14:textId="3886DFB5"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Data Sources</w:t>
      </w:r>
    </w:p>
    <w:p w14:paraId="1A6A93F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Data collection uses publicly available research datasets and publications, f</w:t>
      </w:r>
      <w:r>
        <w:rPr>
          <w:rFonts w:ascii="Times New Roman" w:eastAsia="Times New Roman" w:hAnsi="Times New Roman" w:cs="Times New Roman"/>
        </w:rPr>
        <w:t xml:space="preserve">ocusing on cybersecurity and healthcare data for simulation accuracy. Behavioral authentication leverages the University of Maryland Android App dataset, extended with synthetic non-human identity traces via </w:t>
      </w:r>
      <w:proofErr w:type="spellStart"/>
      <w:r>
        <w:rPr>
          <w:rFonts w:ascii="Times New Roman" w:eastAsia="Times New Roman" w:hAnsi="Times New Roman" w:cs="Times New Roman"/>
        </w:rPr>
        <w:t>Scikit</w:t>
      </w:r>
      <w:proofErr w:type="spellEnd"/>
      <w:r>
        <w:rPr>
          <w:rFonts w:ascii="Times New Roman" w:eastAsia="Times New Roman" w:hAnsi="Times New Roman" w:cs="Times New Roman"/>
        </w:rPr>
        <w:t>-learn for AI agent patterns (</w:t>
      </w:r>
      <w:proofErr w:type="spellStart"/>
      <w:r>
        <w:rPr>
          <w:rFonts w:ascii="Times New Roman" w:eastAsia="Times New Roman" w:hAnsi="Times New Roman" w:cs="Times New Roman"/>
        </w:rPr>
        <w:t>Vusumuzi</w:t>
      </w:r>
      <w:proofErr w:type="spellEnd"/>
      <w:r>
        <w:rPr>
          <w:rFonts w:ascii="Times New Roman" w:eastAsia="Times New Roman" w:hAnsi="Times New Roman" w:cs="Times New Roman"/>
        </w:rPr>
        <w:t xml:space="preserve"> &amp; G</w:t>
      </w:r>
      <w:r>
        <w:rPr>
          <w:rFonts w:ascii="Times New Roman" w:eastAsia="Times New Roman" w:hAnsi="Times New Roman" w:cs="Times New Roman"/>
        </w:rPr>
        <w:t xml:space="preserve">odwin, 2025). Network intrusion baselines </w:t>
      </w:r>
      <w:proofErr w:type="gramStart"/>
      <w:r>
        <w:rPr>
          <w:rFonts w:ascii="Times New Roman" w:eastAsia="Times New Roman" w:hAnsi="Times New Roman" w:cs="Times New Roman"/>
        </w:rPr>
        <w:t>use  NSL</w:t>
      </w:r>
      <w:proofErr w:type="gramEnd"/>
      <w:r>
        <w:rPr>
          <w:rFonts w:ascii="Times New Roman" w:eastAsia="Times New Roman" w:hAnsi="Times New Roman" w:cs="Times New Roman"/>
        </w:rPr>
        <w:t>-KDD datasets, while risk monitoring employs the Canadian Institute for Cybersecurity IDS 2017 dataset and synthetic healthcare threats simulating EHR access via Faker. Governance metrics use NIST AI Risk M</w:t>
      </w:r>
      <w:r>
        <w:rPr>
          <w:rFonts w:ascii="Times New Roman" w:eastAsia="Times New Roman" w:hAnsi="Times New Roman" w:cs="Times New Roman"/>
        </w:rPr>
        <w:t>anagement Framework playbook data and ISO/IEC 42001 compliance traces generated with Pandas for lifecycle tracking (Verma &amp; Indra, 2024). Python scripts acquire datasets via APIs with ETL processes using Pandas, storing over five million records in SQLite,</w:t>
      </w:r>
      <w:r>
        <w:rPr>
          <w:rFonts w:ascii="Times New Roman" w:eastAsia="Times New Roman" w:hAnsi="Times New Roman" w:cs="Times New Roman"/>
        </w:rPr>
        <w:t xml:space="preserve"> oversampled via SMOTE. Ethical compliance aligns with EU AI Act, anonymizing synthetic data, while Kafka streams simulate real-time ingestion and monitoring.</w:t>
      </w:r>
    </w:p>
    <w:p w14:paraId="05BBE4C5"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Analytical Approaches and Algorithms</w:t>
      </w:r>
    </w:p>
    <w:p w14:paraId="14441237"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Analytical rigor centers on machine learning pipelines </w:t>
      </w:r>
      <w:r>
        <w:rPr>
          <w:rFonts w:ascii="Times New Roman" w:eastAsia="Times New Roman" w:hAnsi="Times New Roman" w:cs="Times New Roman"/>
        </w:rPr>
        <w:t>integrated within zero-trust architectures, with mathematical formulations for adaptive mechanisms ensuring precise quantification of security and performance metrics.</w:t>
      </w:r>
    </w:p>
    <w:p w14:paraId="127B87BF" w14:textId="77777777" w:rsidR="00E52F02" w:rsidRDefault="00E52F02">
      <w:pPr>
        <w:spacing w:line="360" w:lineRule="auto"/>
        <w:jc w:val="both"/>
        <w:rPr>
          <w:rFonts w:ascii="Times New Roman" w:eastAsia="Times New Roman" w:hAnsi="Times New Roman" w:cs="Times New Roman"/>
        </w:rPr>
      </w:pPr>
    </w:p>
    <w:p w14:paraId="281373F8"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Adaptive Certification Lifecycle</w:t>
      </w:r>
    </w:p>
    <w:p w14:paraId="0D54B2CF"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Dynamic trust score T(t) updates via Bayesian inferenc</w:t>
      </w:r>
      <w:r>
        <w:rPr>
          <w:rFonts w:ascii="Times New Roman" w:eastAsia="Times New Roman" w:hAnsi="Times New Roman" w:cs="Times New Roman"/>
        </w:rPr>
        <w:t>e implement continuous evaluation throughout artificial intelligence system lifecycles. The trust score at time t is computed as:</w:t>
      </w:r>
    </w:p>
    <w:p w14:paraId="055C6E25" w14:textId="77777777" w:rsidR="00E52F02" w:rsidRDefault="00A15A26">
      <w:pPr>
        <w:jc w:val="center"/>
        <w:rPr>
          <w:rFonts w:ascii="Cambria Math" w:eastAsia="Cambria Math" w:hAnsi="Cambria Math" w:cs="Cambria Math"/>
        </w:rPr>
      </w:pPr>
      <m:oMathPara>
        <m:oMath>
          <m:r>
            <w:rPr>
              <w:rFonts w:ascii="Cambria Math" w:eastAsia="Cambria Math" w:hAnsi="Cambria Math" w:cs="Cambria Math"/>
            </w:rPr>
            <m:t>T</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r>
                    <w:rPr>
                      <w:rFonts w:ascii="Cambria Math" w:eastAsia="Cambria Math" w:hAnsi="Cambria Math" w:cs="Cambria Math"/>
                    </w:rPr>
                    <m:t>P</m:t>
                  </m:r>
                  <m:d>
                    <m:dPr>
                      <m:ctrlPr>
                        <w:rPr>
                          <w:rFonts w:ascii="Cambria Math" w:eastAsia="Cambria Math" w:hAnsi="Cambria Math" w:cs="Cambria Math"/>
                        </w:rPr>
                      </m:ctrlPr>
                    </m:dPr>
                    <m:e>
                      <m:r>
                        <w:rPr>
                          <w:rFonts w:ascii="Cambria Math" w:eastAsia="Cambria Math" w:hAnsi="Cambria Math" w:cs="Cambria Math"/>
                        </w:rPr>
                        <m:t>Compliant</m:t>
                      </m:r>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Metrics</m:t>
                          </m:r>
                        </m:e>
                        <m:sub>
                          <m:r>
                            <w:rPr>
                              <w:rFonts w:ascii="Cambria Math" w:eastAsia="Cambria Math" w:hAnsi="Cambria Math" w:cs="Cambria Math"/>
                            </w:rPr>
                            <m:t>t</m:t>
                          </m:r>
                        </m:sub>
                      </m:sSub>
                    </m:e>
                  </m:d>
                  <m:r>
                    <w:rPr>
                      <w:rFonts w:ascii="Cambria Math" w:eastAsia="Cambria Math" w:hAnsi="Cambria Math" w:cs="Cambria Math"/>
                    </w:rPr>
                    <m:t>×</m:t>
                  </m:r>
                  <m:r>
                    <w:rPr>
                      <w:rFonts w:ascii="Cambria Math" w:eastAsia="Cambria Math" w:hAnsi="Cambria Math" w:cs="Cambria Math"/>
                    </w:rPr>
                    <m:t>Prior</m:t>
                  </m:r>
                </m:e>
              </m:d>
            </m:num>
            <m:den>
              <m:r>
                <w:rPr>
                  <w:rFonts w:ascii="Cambria Math" w:eastAsia="Cambria Math" w:hAnsi="Cambria Math" w:cs="Cambria Math"/>
                </w:rPr>
                <m:t>P</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Metrics</m:t>
                      </m:r>
                    </m:e>
                    <m:sub>
                      <m:r>
                        <w:rPr>
                          <w:rFonts w:ascii="Cambria Math" w:eastAsia="Cambria Math" w:hAnsi="Cambria Math" w:cs="Cambria Math"/>
                        </w:rPr>
                        <m:t>t</m:t>
                      </m:r>
                    </m:sub>
                  </m:sSub>
                </m:e>
              </m:d>
            </m:den>
          </m:f>
          <m:r>
            <w:rPr>
              <w:rFonts w:ascii="Cambria Math" w:eastAsia="Cambria Math" w:hAnsi="Cambria Math" w:cs="Cambria Math"/>
            </w:rPr>
            <m:t>=</m:t>
          </m:r>
          <m:r>
            <w:rPr>
              <w:rFonts w:ascii="Cambria Math" w:eastAsia="Cambria Math" w:hAnsi="Cambria Math" w:cs="Cambria Math"/>
            </w:rPr>
            <m:t>α</m:t>
          </m:r>
          <m:r>
            <w:rPr>
              <w:rFonts w:ascii="Cambria Math" w:eastAsia="Cambria Math" w:hAnsi="Cambria Math" w:cs="Cambria Math"/>
            </w:rPr>
            <m:t>×</m:t>
          </m:r>
          <m:r>
            <w:rPr>
              <w:rFonts w:ascii="Cambria Math" w:eastAsia="Cambria Math" w:hAnsi="Cambria Math" w:cs="Cambria Math"/>
            </w:rPr>
            <m:t>Perf</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+(1-</m:t>
          </m:r>
          <m:r>
            <w:rPr>
              <w:rFonts w:ascii="Cambria Math" w:eastAsia="Cambria Math" w:hAnsi="Cambria Math" w:cs="Cambria Math"/>
            </w:rPr>
            <m:t>α</m:t>
          </m:r>
          <m:r>
            <w:rPr>
              <w:rFonts w:ascii="Cambria Math" w:eastAsia="Cambria Math" w:hAnsi="Cambria Math" w:cs="Cambria Math"/>
            </w:rPr>
            <m:t>)×</m:t>
          </m:r>
          <m:r>
            <w:rPr>
              <w:rFonts w:ascii="Cambria Math" w:eastAsia="Cambria Math" w:hAnsi="Cambria Math" w:cs="Cambria Math"/>
            </w:rPr>
            <m:t>Risk</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oMath>
      </m:oMathPara>
    </w:p>
    <w:p w14:paraId="45FA24B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Perf</m:t>
        </m:r>
        <m:d>
          <m:dPr>
            <m:ctrlPr>
              <w:rPr>
                <w:rFonts w:ascii="Cambria Math" w:eastAsia="Cambria Math" w:hAnsi="Cambria Math" w:cs="Cambria Math"/>
              </w:rPr>
            </m:ctrlPr>
          </m:dPr>
          <m:e>
            <m:r>
              <w:rPr>
                <w:rFonts w:ascii="Cambria Math" w:eastAsia="Cambria Math" w:hAnsi="Cambria Math" w:cs="Cambria Math"/>
              </w:rPr>
              <m:t>t</m:t>
            </m:r>
          </m:e>
        </m:d>
      </m:oMath>
      <w:r>
        <w:rPr>
          <w:rFonts w:ascii="Times New Roman" w:eastAsia="Times New Roman" w:hAnsi="Times New Roman" w:cs="Times New Roman"/>
        </w:rPr>
        <w:t xml:space="preserve"> r</w:t>
      </w:r>
      <w:proofErr w:type="spellStart"/>
      <w:r>
        <w:rPr>
          <w:rFonts w:ascii="Times New Roman" w:eastAsia="Times New Roman" w:hAnsi="Times New Roman" w:cs="Times New Roman"/>
        </w:rPr>
        <w:t>epresents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performance</w:t>
      </w:r>
      <w:proofErr w:type="gramEnd"/>
      <w:r>
        <w:rPr>
          <w:rFonts w:ascii="Times New Roman" w:eastAsia="Times New Roman" w:hAnsi="Times New Roman" w:cs="Times New Roman"/>
        </w:rPr>
        <w:t xml:space="preserve"> metric computed as:</w:t>
      </w:r>
    </w:p>
    <w:p w14:paraId="286008FB" w14:textId="77777777" w:rsidR="00E52F02" w:rsidRDefault="00A15A26">
      <w:pPr>
        <w:jc w:val="center"/>
        <w:rPr>
          <w:rFonts w:ascii="Cambria Math" w:eastAsia="Cambria Math" w:hAnsi="Cambria Math" w:cs="Cambria Math"/>
        </w:rPr>
      </w:pPr>
      <m:oMathPara>
        <m:oMath>
          <m:r>
            <w:rPr>
              <w:rFonts w:ascii="Cambria Math" w:eastAsia="Cambria Math" w:hAnsi="Cambria Math" w:cs="Cambria Math"/>
            </w:rPr>
            <m:t>Perf</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Accuracy</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r>
                    <w:rPr>
                      <w:rFonts w:ascii="Cambria Math" w:eastAsia="Cambria Math" w:hAnsi="Cambria Math" w:cs="Cambria Math"/>
                    </w:rPr>
                    <m:t>1</m:t>
                  </m:r>
                </m:e>
                <m:sub>
                  <m:r>
                    <w:rPr>
                      <w:rFonts w:ascii="Cambria Math" w:eastAsia="Cambria Math" w:hAnsi="Cambria Math" w:cs="Cambria Math"/>
                    </w:rPr>
                    <m:t>t</m:t>
                  </m:r>
                </m:sub>
              </m:sSub>
            </m:e>
          </m:d>
          <m:r>
            <w:rPr>
              <w:rFonts w:ascii="Cambria Math" w:eastAsia="Cambria Math" w:hAnsi="Cambria Math" w:cs="Cambria Math"/>
            </w:rPr>
            <m:t>/2</m:t>
          </m:r>
        </m:oMath>
      </m:oMathPara>
    </w:p>
    <w:p w14:paraId="0745400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Risk(t) represents risk assessment computed as:</w:t>
      </w:r>
    </w:p>
    <w:p w14:paraId="06B53065" w14:textId="77777777" w:rsidR="00E52F02" w:rsidRDefault="00A15A26">
      <w:pPr>
        <w:jc w:val="center"/>
      </w:pPr>
      <m:oMathPara>
        <m:oMath>
          <m:r>
            <w:rPr>
              <w:rFonts w:ascii="Cambria Math" w:eastAsia="Cambria Math" w:hAnsi="Cambria Math" w:cs="Cambria Math"/>
            </w:rPr>
            <m:t>Risk</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box>
            <m:boxPr>
              <m:opEmu m:val="1"/>
              <m:ctrlPr>
                <w:rPr>
                  <w:rFonts w:ascii="Cambria Math" w:eastAsia="Cambria Math" w:hAnsi="Cambria Math" w:cs="Cambria Math"/>
                </w:rPr>
              </m:ctrlPr>
            </m:boxPr>
            <m:e>
              <m:r>
                <w:rPr>
                  <w:rFonts w:ascii="Cambria Math" w:eastAsia="Cambria Math" w:hAnsi="Cambria Math" w:cs="Cambria Math"/>
                </w:rPr>
                <m:t>log</m:t>
              </m:r>
            </m:e>
          </m:box>
          <m:r>
            <w:rPr>
              <w:rFonts w:ascii="Cambria Math" w:eastAsia="Cambria Math" w:hAnsi="Cambria Math" w:cs="Cambria Math"/>
            </w:rPr>
            <m:t>log</m:t>
          </m:r>
          <m:r>
            <w:rPr>
              <w:rFonts w:ascii="Cambria Math" w:hAnsi="Cambria Math"/>
            </w:rPr>
            <m:t xml:space="preserve"> </m:t>
          </m:r>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AnomalyProb</m:t>
              </m:r>
            </m:e>
            <m:sub>
              <m:r>
                <w:rPr>
                  <w:rFonts w:ascii="Cambria Math" w:eastAsia="Cambria Math" w:hAnsi="Cambria Math" w:cs="Cambria Math"/>
                </w:rPr>
                <m:t>t</m:t>
              </m:r>
            </m:sub>
          </m:sSub>
          <m:r>
            <w:rPr>
              <w:rFonts w:ascii="Cambria Math" w:eastAsia="Cambria Math" w:hAnsi="Cambria Math" w:cs="Cambria Math"/>
            </w:rPr>
            <m:t>)</m:t>
          </m:r>
          <m:r>
            <w:rPr>
              <w:rFonts w:ascii="Cambria Math" w:hAnsi="Cambria Math"/>
            </w:rPr>
            <m:t xml:space="preserve"> </m:t>
          </m:r>
        </m:oMath>
      </m:oMathPara>
    </w:p>
    <w:p w14:paraId="700E57D9"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and α = 0.7 represents healthcare-tuned weighting parameter balancing per</w:t>
      </w:r>
      <w:r>
        <w:rPr>
          <w:rFonts w:ascii="Times New Roman" w:eastAsia="Times New Roman" w:hAnsi="Times New Roman" w:cs="Times New Roman"/>
        </w:rPr>
        <w:t>formance and risk considerations. Algorithm implements Online Gradient Descent for lifecycle retraining, enabling real-time adaptation to evolving threat landscapes and model performance degradation (Verma &amp; Indra, 2024b).</w:t>
      </w:r>
    </w:p>
    <w:p w14:paraId="714D12C5"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Behavioral Baselines and Passive </w:t>
      </w:r>
      <w:r>
        <w:rPr>
          <w:rFonts w:ascii="Times New Roman" w:eastAsia="Times New Roman" w:hAnsi="Times New Roman" w:cs="Times New Roman"/>
          <w:b/>
          <w:bCs/>
        </w:rPr>
        <w:t>Authentication</w:t>
      </w:r>
    </w:p>
    <w:p w14:paraId="34D601F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User and Entity Behavior Analytics via Isolation Forest establishes behavioral baselines for non-human identities through unsupervised anomaly detection. The anomaly score is computed as:</w:t>
      </w:r>
    </w:p>
    <w:p w14:paraId="1116E21D" w14:textId="77777777" w:rsidR="00E52F02" w:rsidRDefault="00A15A26">
      <w:pPr>
        <w:jc w:val="center"/>
        <w:rPr>
          <w:rFonts w:ascii="Cambria Math" w:eastAsia="Cambria Math" w:hAnsi="Cambria Math" w:cs="Cambria Math"/>
        </w:rPr>
      </w:pPr>
      <m:oMathPara>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Anomaly</m:t>
              </m:r>
            </m:e>
            <m:sub>
              <m:r>
                <w:rPr>
                  <w:rFonts w:ascii="Cambria Math" w:eastAsia="Cambria Math" w:hAnsi="Cambria Math" w:cs="Cambria Math"/>
                </w:rPr>
                <m:t>Score</m:t>
              </m:r>
            </m:sub>
          </m:sSub>
          <m:r>
            <w:rPr>
              <w:rFonts w:ascii="Cambria Math" w:eastAsia="Cambria Math" w:hAnsi="Cambria Math" w:cs="Cambria Math"/>
            </w:rPr>
            <m:t xml:space="preserve">= </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m:t>
                  </m:r>
                  <m:d>
                    <m:dPr>
                      <m:ctrlPr>
                        <w:rPr>
                          <w:rFonts w:ascii="Cambria Math" w:eastAsia="Cambria Math" w:hAnsi="Cambria Math" w:cs="Cambria Math"/>
                        </w:rPr>
                      </m:ctrlPr>
                    </m:dPr>
                    <m:e>
                      <m:r>
                        <w:rPr>
                          <w:rFonts w:ascii="Cambria Math" w:eastAsia="Cambria Math" w:hAnsi="Cambria Math" w:cs="Cambria Math"/>
                        </w:rPr>
                        <m:t>h</m:t>
                      </m:r>
                      <m:d>
                        <m:dPr>
                          <m:ctrlPr>
                            <w:rPr>
                              <w:rFonts w:ascii="Cambria Math" w:eastAsia="Cambria Math" w:hAnsi="Cambria Math" w:cs="Cambria Math"/>
                            </w:rPr>
                          </m:ctrlPr>
                        </m:dPr>
                        <m:e>
                          <m:r>
                            <w:rPr>
                              <w:rFonts w:ascii="Cambria Math" w:eastAsia="Cambria Math" w:hAnsi="Cambria Math" w:cs="Cambria Math"/>
                            </w:rPr>
                            <m:t>x</m:t>
                          </m:r>
                        </m:e>
                      </m:d>
                    </m:e>
                  </m:d>
                </m:num>
                <m:den>
                  <m:r>
                    <w:rPr>
                      <w:rFonts w:ascii="Cambria Math" w:eastAsia="Cambria Math" w:hAnsi="Cambria Math" w:cs="Cambria Math"/>
                    </w:rPr>
                    <m:t>c</m:t>
                  </m:r>
                  <m:d>
                    <m:dPr>
                      <m:ctrlPr>
                        <w:rPr>
                          <w:rFonts w:ascii="Cambria Math" w:eastAsia="Cambria Math" w:hAnsi="Cambria Math" w:cs="Cambria Math"/>
                        </w:rPr>
                      </m:ctrlPr>
                    </m:dPr>
                    <m:e>
                      <m:r>
                        <w:rPr>
                          <w:rFonts w:ascii="Cambria Math" w:eastAsia="Cambria Math" w:hAnsi="Cambria Math" w:cs="Cambria Math"/>
                        </w:rPr>
                        <m:t>n</m:t>
                      </m:r>
                    </m:e>
                  </m:d>
                </m:den>
              </m:f>
              <m:r>
                <w:rPr>
                  <w:rFonts w:ascii="Cambria Math" w:eastAsia="Cambria Math" w:hAnsi="Cambria Math" w:cs="Cambria Math"/>
                </w:rPr>
                <m:t>)</m:t>
              </m:r>
            </m:sup>
          </m:sSup>
        </m:oMath>
      </m:oMathPara>
    </w:p>
    <w:p w14:paraId="35ED238A"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where E(h(x)</w:t>
      </w:r>
      <w:r>
        <w:rPr>
          <w:rFonts w:ascii="Times New Roman" w:eastAsia="Times New Roman" w:hAnsi="Times New Roman" w:cs="Times New Roman"/>
        </w:rPr>
        <w:t>) represents expected path length for observation x in ensemble of isolation trees, c(n) represents average path length normalization constant for dataset of size n, and h(x) represents actual path length traversed by observation x through isolation tree s</w:t>
      </w:r>
      <w:r>
        <w:rPr>
          <w:rFonts w:ascii="Times New Roman" w:eastAsia="Times New Roman" w:hAnsi="Times New Roman" w:cs="Times New Roman"/>
        </w:rPr>
        <w:t xml:space="preserve">tructure. Continuous verification implements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 for behavioral deviation detection.</w:t>
      </w:r>
    </w:p>
    <w:p w14:paraId="65793707"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Multi-Layer Threat and Risk Monitoring</w:t>
      </w:r>
    </w:p>
    <w:p w14:paraId="7640F5D6"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Security Information and Event Management correlation matrix </w:t>
      </w:r>
      <m:oMath>
        <m:r>
          <w:rPr>
            <w:rFonts w:ascii="Cambria Math" w:eastAsia="Cambria Math" w:hAnsi="Cambria Math" w:cs="Cambria Math"/>
          </w:rPr>
          <m:t>C</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m:t>
            </m:r>
            <m:r>
              <w:rPr>
                <w:rFonts w:ascii="Cambria Math" w:eastAsia="Cambria Math" w:hAnsi="Cambria Math" w:cs="Cambria Math"/>
              </w:rPr>
              <m:t>m</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sup>
        </m:sSup>
      </m:oMath>
      <w:r>
        <w:rPr>
          <w:rFonts w:ascii="Times New Roman" w:eastAsia="Times New Roman" w:hAnsi="Times New Roman" w:cs="Times New Roman"/>
        </w:rPr>
        <w:t xml:space="preserve"> implements multi-dimensional threat corre</w:t>
      </w:r>
      <w:proofErr w:type="spellStart"/>
      <w:r>
        <w:rPr>
          <w:rFonts w:ascii="Times New Roman" w:eastAsia="Times New Roman" w:hAnsi="Times New Roman" w:cs="Times New Roman"/>
        </w:rPr>
        <w:t>lation</w:t>
      </w:r>
      <w:proofErr w:type="spellEnd"/>
      <w:r>
        <w:rPr>
          <w:rFonts w:ascii="Times New Roman" w:eastAsia="Times New Roman" w:hAnsi="Times New Roman" w:cs="Times New Roman"/>
        </w:rPr>
        <w:t xml:space="preserve"> where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ij</m:t>
            </m:r>
          </m:sub>
        </m:sSub>
        <m:r>
          <w:rPr>
            <w:rFonts w:ascii="Cambria Math" w:eastAsia="Cambria Math" w:hAnsi="Cambria Math" w:cs="Cambria Math"/>
          </w:rPr>
          <m:t>=</m:t>
        </m:r>
        <m:r>
          <w:rPr>
            <w:rFonts w:ascii="Cambria Math" w:eastAsia="Cambria Math" w:hAnsi="Cambria Math" w:cs="Cambria Math"/>
          </w:rPr>
          <m:t>Corr</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r>
              <w:rPr>
                <w:rFonts w:ascii="Cambria Math" w:eastAsia="Cambria Math" w:hAnsi="Cambria Math" w:cs="Cambria Math"/>
              </w:rPr>
              <m:t>h</m:t>
            </m:r>
            <m:r>
              <w:rPr>
                <w:rFonts w:ascii="Cambria Math" w:eastAsia="Cambria Math" w:hAnsi="Cambria Math" w:cs="Cambria Math"/>
              </w:rPr>
              <m:t>reat</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Signal</m:t>
            </m:r>
          </m:e>
          <m:sub>
            <m:r>
              <w:rPr>
                <w:rFonts w:ascii="Cambria Math" w:eastAsia="Cambria Math" w:hAnsi="Cambria Math" w:cs="Cambria Math"/>
              </w:rPr>
              <m:t>j</m:t>
            </m:r>
          </m:sub>
        </m:sSub>
        <m:r>
          <w:rPr>
            <w:rFonts w:ascii="Cambria Math" w:eastAsia="Cambria Math" w:hAnsi="Cambria Math" w:cs="Cambria Math"/>
          </w:rPr>
          <m:t>)</m:t>
        </m:r>
      </m:oMath>
      <w:r>
        <w:rPr>
          <w:rFonts w:ascii="Times New Roman" w:eastAsia="Times New Roman" w:hAnsi="Times New Roman" w:cs="Times New Roman"/>
        </w:rPr>
        <w:t xml:space="preserve"> quantifies relationship strength between threat indicator i and observable signal j across m threat categories and n signal types. Autoencoder architecture for drift detection minimizes reconstruc</w:t>
      </w:r>
      <w:proofErr w:type="spellStart"/>
      <w:r>
        <w:rPr>
          <w:rFonts w:ascii="Times New Roman" w:eastAsia="Times New Roman" w:hAnsi="Times New Roman" w:cs="Times New Roman"/>
        </w:rPr>
        <w:t>tion</w:t>
      </w:r>
      <w:proofErr w:type="spellEnd"/>
      <w:r>
        <w:rPr>
          <w:rFonts w:ascii="Times New Roman" w:eastAsia="Times New Roman" w:hAnsi="Times New Roman" w:cs="Times New Roman"/>
        </w:rPr>
        <w:t xml:space="preserve"> loss function:</w:t>
      </w:r>
    </w:p>
    <w:p w14:paraId="3523FAF8" w14:textId="77777777" w:rsidR="00E52F02" w:rsidRDefault="00A15A26">
      <w:pPr>
        <w:jc w:val="center"/>
        <w:rPr>
          <w:rFonts w:ascii="Cambria Math" w:eastAsia="Cambria Math" w:hAnsi="Cambria Math" w:cs="Cambria Math"/>
        </w:rPr>
      </w:pPr>
      <m:oMathPara>
        <m:oMath>
          <m:r>
            <w:rPr>
              <w:rFonts w:ascii="Cambria Math" w:eastAsia="Cambria Math" w:hAnsi="Cambria Math" w:cs="Cambria Math"/>
            </w:rPr>
            <m:t>Loss</m:t>
          </m:r>
          <m:r>
            <w:rPr>
              <w:rFonts w:ascii="Cambria Math" w:eastAsia="Cambria Math" w:hAnsi="Cambria Math" w:cs="Cambria Math"/>
            </w:rPr>
            <m:t>=</m:t>
          </m:r>
          <m:r>
            <w:rPr>
              <w:rFonts w:ascii="Cambria Math" w:eastAsia="Cambria Math" w:hAnsi="Cambria Math" w:cs="Cambria Math"/>
            </w:rPr>
            <m:t>MSE</m:t>
          </m:r>
          <m:d>
            <m:dPr>
              <m:ctrlPr>
                <w:rPr>
                  <w:rFonts w:ascii="Cambria Math" w:eastAsia="Cambria Math" w:hAnsi="Cambria Math" w:cs="Cambria Math"/>
                </w:rPr>
              </m:ctrlPr>
            </m:dPr>
            <m:e>
              <m:r>
                <w:rPr>
                  <w:rFonts w:ascii="Cambria Math" w:eastAsia="Cambria Math" w:hAnsi="Cambria Math" w:cs="Cambria Math"/>
                </w:rPr>
                <m:t>x</m:t>
              </m:r>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x</m:t>
                  </m:r>
                </m:e>
              </m:bar>
            </m:e>
          </m:d>
          <m:r>
            <w:rPr>
              <w:rFonts w:ascii="Cambria Math" w:eastAsia="Cambria Math" w:hAnsi="Cambria Math" w:cs="Cambria Math"/>
            </w:rPr>
            <m:t>+</m:t>
          </m:r>
          <m:r>
            <w:rPr>
              <w:rFonts w:ascii="Cambria Math" w:eastAsia="Cambria Math" w:hAnsi="Cambria Math" w:cs="Cambria Math"/>
            </w:rPr>
            <m:t>KL</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P</m:t>
          </m:r>
          <m:r>
            <w:rPr>
              <w:rFonts w:ascii="Cambria Math" w:eastAsia="Cambria Math" w:hAnsi="Cambria Math" w:cs="Cambria Math"/>
            </w:rPr>
            <m:t>)</m:t>
          </m:r>
        </m:oMath>
      </m:oMathPara>
    </w:p>
    <w:p w14:paraId="405FC90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MSE</m:t>
        </m:r>
        <m:d>
          <m:dPr>
            <m:ctrlPr>
              <w:rPr>
                <w:rFonts w:ascii="Cambria Math" w:eastAsia="Cambria Math" w:hAnsi="Cambria Math" w:cs="Cambria Math"/>
              </w:rPr>
            </m:ctrlPr>
          </m:dPr>
          <m:e>
            <m:r>
              <w:rPr>
                <w:rFonts w:ascii="Cambria Math" w:eastAsia="Cambria Math" w:hAnsi="Cambria Math" w:cs="Cambria Math"/>
              </w:rPr>
              <m:t>x</m:t>
            </m:r>
            <m:r>
              <w:rPr>
                <w:rFonts w:ascii="Cambria Math" w:eastAsia="Cambria Math" w:hAnsi="Cambria Math" w:cs="Cambria Math"/>
              </w:rPr>
              <m:t>,</m:t>
            </m:r>
            <m:bar>
              <m:barPr>
                <m:ctrlPr>
                  <w:rPr>
                    <w:rFonts w:ascii="Cambria Math" w:eastAsia="Cambria Math" w:hAnsi="Cambria Math" w:cs="Cambria Math"/>
                  </w:rPr>
                </m:ctrlPr>
              </m:barPr>
              <m:e>
                <m:r>
                  <w:rPr>
                    <w:rFonts w:ascii="Cambria Math" w:eastAsia="Cambria Math" w:hAnsi="Cambria Math" w:cs="Cambria Math"/>
                  </w:rPr>
                  <m:t>x</m:t>
                </m:r>
              </m:e>
            </m:bar>
          </m:e>
        </m:d>
      </m:oMath>
      <w:r>
        <w:rPr>
          <w:rFonts w:ascii="Times New Roman" w:eastAsia="Times New Roman" w:hAnsi="Times New Roman" w:cs="Times New Roman"/>
        </w:rPr>
        <w:t xml:space="preserve"> represents mean squared error between input x and reconstructed output </w:t>
      </w:r>
      <m:oMath>
        <m:bar>
          <m:barPr>
            <m:ctrlPr>
              <w:rPr>
                <w:rFonts w:ascii="Cambria Math" w:eastAsia="Cambria Math" w:hAnsi="Cambria Math" w:cs="Cambria Math"/>
              </w:rPr>
            </m:ctrlPr>
          </m:barPr>
          <m:e>
            <m:r>
              <w:rPr>
                <w:rFonts w:ascii="Cambria Math" w:eastAsia="Cambria Math" w:hAnsi="Cambria Math" w:cs="Cambria Math"/>
              </w:rPr>
              <m:t>x</m:t>
            </m:r>
          </m:e>
        </m:bar>
      </m:oMath>
      <w:r>
        <w:rPr>
          <w:rFonts w:ascii="Times New Roman" w:eastAsia="Times New Roman" w:hAnsi="Times New Roman" w:cs="Times New Roman"/>
        </w:rPr>
        <w:t xml:space="preserve">, </w:t>
      </w:r>
      <m:oMath>
        <m:r>
          <w:rPr>
            <w:rFonts w:ascii="Cambria Math" w:eastAsia="Cambria Math" w:hAnsi="Cambria Math" w:cs="Cambria Math"/>
          </w:rPr>
          <m:t>KL</m:t>
        </m:r>
        <m:r>
          <w:rPr>
            <w:rFonts w:ascii="Cambria Math" w:eastAsia="Cambria Math" w:hAnsi="Cambria Math" w:cs="Cambria Math"/>
          </w:rPr>
          <m:t>(</m:t>
        </m:r>
        <m:r>
          <w:rPr>
            <w:rFonts w:ascii="Cambria Math" w:eastAsia="Cambria Math" w:hAnsi="Cambria Math" w:cs="Cambria Math"/>
          </w:rPr>
          <m:t>Q</m:t>
        </m:r>
        <m:r>
          <w:rPr>
            <w:rFonts w:ascii="Cambria Math" w:eastAsia="Cambria Math" w:hAnsi="Cambria Math" w:cs="Cambria Math"/>
          </w:rPr>
          <m:t>||</m:t>
        </m:r>
        <m:r>
          <w:rPr>
            <w:rFonts w:ascii="Cambria Math" w:eastAsia="Cambria Math" w:hAnsi="Cambria Math" w:cs="Cambria Math"/>
          </w:rPr>
          <m:t>P</m:t>
        </m:r>
        <m:r>
          <w:rPr>
            <w:rFonts w:ascii="Cambria Math" w:eastAsia="Cambria Math" w:hAnsi="Cambria Math" w:cs="Cambria Math"/>
          </w:rPr>
          <m:t>)</m:t>
        </m:r>
      </m:oMath>
      <w:r>
        <w:rPr>
          <w:rFonts w:ascii="Times New Roman" w:eastAsia="Times New Roman" w:hAnsi="Times New Roman" w:cs="Times New Roman"/>
        </w:rPr>
        <w:t xml:space="preserve"> represents Kullback-Leibler divergence between approximate posterior distribution Q and prior di</w:t>
      </w:r>
      <w:proofErr w:type="spellStart"/>
      <w:r>
        <w:rPr>
          <w:rFonts w:ascii="Times New Roman" w:eastAsia="Times New Roman" w:hAnsi="Times New Roman" w:cs="Times New Roman"/>
        </w:rPr>
        <w:t>stribution</w:t>
      </w:r>
      <w:proofErr w:type="spellEnd"/>
      <w:r>
        <w:rPr>
          <w:rFonts w:ascii="Times New Roman" w:eastAsia="Times New Roman" w:hAnsi="Times New Roman" w:cs="Times New Roman"/>
        </w:rPr>
        <w:t xml:space="preserve"> P, ensuring learned representations capture normal behavioral patterns while detecting deviations indicative of model drift or adversarial manipulation (Mallick &amp; Nath, 2024).</w:t>
      </w:r>
    </w:p>
    <w:p w14:paraId="35B099BE"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Incident response implements Reinforcement Learning via Q-Learning wi</w:t>
      </w:r>
      <w:r>
        <w:rPr>
          <w:rFonts w:ascii="Times New Roman" w:eastAsia="Times New Roman" w:hAnsi="Times New Roman" w:cs="Times New Roman"/>
        </w:rPr>
        <w:t>th state-action value updates:</w:t>
      </w:r>
    </w:p>
    <w:p w14:paraId="5306D355" w14:textId="77777777" w:rsidR="00E52F02" w:rsidRDefault="00A15A26">
      <w:pPr>
        <w:jc w:val="center"/>
        <w:rPr>
          <w:rFonts w:ascii="Cambria Math" w:eastAsia="Cambria Math" w:hAnsi="Cambria Math" w:cs="Cambria Math"/>
        </w:rPr>
      </w:pPr>
      <m:oMathPara>
        <m:oMath>
          <m:r>
            <w:rPr>
              <w:rFonts w:ascii="Cambria Math" w:eastAsia="Cambria Math" w:hAnsi="Cambria Math" w:cs="Cambria Math"/>
            </w:rPr>
            <m:t>Q</m:t>
          </m:r>
          <m:d>
            <m:dPr>
              <m:ctrlPr>
                <w:rPr>
                  <w:rFonts w:ascii="Cambria Math" w:eastAsia="Cambria Math" w:hAnsi="Cambria Math" w:cs="Cambria Math"/>
                </w:rPr>
              </m:ctrlPr>
            </m:dPr>
            <m:e>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a</m:t>
              </m:r>
            </m:e>
          </m:d>
          <m:r>
            <w:rPr>
              <w:rFonts w:ascii="Cambria Math" w:eastAsia="Cambria Math" w:hAnsi="Cambria Math" w:cs="Cambria Math"/>
            </w:rPr>
            <m:t>←</m:t>
          </m:r>
          <m:r>
            <w:rPr>
              <w:rFonts w:ascii="Cambria Math" w:eastAsia="Cambria Math" w:hAnsi="Cambria Math" w:cs="Cambria Math"/>
            </w:rPr>
            <m:t>Q</m:t>
          </m:r>
          <m:d>
            <m:dPr>
              <m:ctrlPr>
                <w:rPr>
                  <w:rFonts w:ascii="Cambria Math" w:eastAsia="Cambria Math" w:hAnsi="Cambria Math" w:cs="Cambria Math"/>
                </w:rPr>
              </m:ctrlPr>
            </m:dPr>
            <m:e>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a</m:t>
              </m:r>
            </m:e>
          </m:d>
          <m:r>
            <w:rPr>
              <w:rFonts w:ascii="Cambria Math" w:eastAsia="Cambria Math" w:hAnsi="Cambria Math" w:cs="Cambria Math"/>
            </w:rPr>
            <m:t>+</m:t>
          </m:r>
          <m:r>
            <w:rPr>
              <w:rFonts w:ascii="Cambria Math" w:eastAsia="Cambria Math" w:hAnsi="Cambria Math" w:cs="Cambria Math"/>
            </w:rPr>
            <m:t>η</m:t>
          </m:r>
          <m:r>
            <w:rPr>
              <w:rFonts w:ascii="Cambria Math" w:eastAsia="Cambria Math" w:hAnsi="Cambria Math" w:cs="Cambria Math"/>
            </w:rPr>
            <m:t>[</m:t>
          </m:r>
          <m:r>
            <w:rPr>
              <w:rFonts w:ascii="Cambria Math" w:eastAsia="Cambria Math" w:hAnsi="Cambria Math" w:cs="Cambria Math"/>
            </w:rPr>
            <m:t>r</m:t>
          </m:r>
          <m:r>
            <w:rPr>
              <w:rFonts w:ascii="Cambria Math" w:eastAsia="Cambria Math" w:hAnsi="Cambria Math" w:cs="Cambria Math"/>
            </w:rPr>
            <m:t>+</m:t>
          </m:r>
          <m:r>
            <w:rPr>
              <w:rFonts w:ascii="Cambria Math" w:eastAsia="Cambria Math" w:hAnsi="Cambria Math" w:cs="Cambria Math"/>
            </w:rPr>
            <m:t>γ</m:t>
          </m:r>
          <m:sSub>
            <m:sSubPr>
              <m:ctrlPr>
                <w:rPr>
                  <w:rFonts w:ascii="Cambria Math" w:eastAsia="Cambria Math" w:hAnsi="Cambria Math" w:cs="Cambria Math"/>
                </w:rPr>
              </m:ctrlPr>
            </m:sSubPr>
            <m:e>
              <m:r>
                <w:rPr>
                  <w:rFonts w:ascii="Cambria Math" w:eastAsia="Cambria Math" w:hAnsi="Cambria Math" w:cs="Cambria Math"/>
                </w:rPr>
                <m:t>max</m:t>
              </m:r>
            </m:e>
            <m:sub>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m:t>
                  </m:r>
                </m:sup>
              </m:sSup>
            </m:sub>
          </m:sSub>
          <m:r>
            <w:rPr>
              <w:rFonts w:ascii="Cambria Math" w:eastAsia="Cambria Math" w:hAnsi="Cambria Math" w:cs="Cambria Math"/>
            </w:rPr>
            <m:t xml:space="preserve"> </m:t>
          </m:r>
          <m:r>
            <w:rPr>
              <w:rFonts w:ascii="Cambria Math" w:eastAsia="Cambria Math" w:hAnsi="Cambria Math" w:cs="Cambria Math"/>
            </w:rPr>
            <m:t>Q</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m:t>
                  </m:r>
                </m:sup>
              </m:sSup>
            </m:e>
          </m:d>
          <m:r>
            <w:rPr>
              <w:rFonts w:ascii="Cambria Math" w:eastAsia="Cambria Math" w:hAnsi="Cambria Math" w:cs="Cambria Math"/>
            </w:rPr>
            <m:t>-</m:t>
          </m:r>
          <m:r>
            <w:rPr>
              <w:rFonts w:ascii="Cambria Math" w:eastAsia="Cambria Math" w:hAnsi="Cambria Math" w:cs="Cambria Math"/>
            </w:rPr>
            <m:t>Q</m:t>
          </m:r>
          <m:d>
            <m:dPr>
              <m:ctrlPr>
                <w:rPr>
                  <w:rFonts w:ascii="Cambria Math" w:eastAsia="Cambria Math" w:hAnsi="Cambria Math" w:cs="Cambria Math"/>
                </w:rPr>
              </m:ctrlPr>
            </m:dPr>
            <m:e>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a</m:t>
              </m:r>
            </m:e>
          </m:d>
          <m:r>
            <w:rPr>
              <w:rFonts w:ascii="Cambria Math" w:eastAsia="Cambria Math" w:hAnsi="Cambria Math" w:cs="Cambria Math"/>
            </w:rPr>
            <m:t>]</m:t>
          </m:r>
        </m:oMath>
      </m:oMathPara>
    </w:p>
    <w:p w14:paraId="47E63E6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Q</m:t>
        </m:r>
        <m:d>
          <m:dPr>
            <m:ctrlPr>
              <w:rPr>
                <w:rFonts w:ascii="Cambria Math" w:eastAsia="Cambria Math" w:hAnsi="Cambria Math" w:cs="Cambria Math"/>
              </w:rPr>
            </m:ctrlPr>
          </m:dPr>
          <m:e>
            <m:r>
              <w:rPr>
                <w:rFonts w:ascii="Cambria Math" w:eastAsia="Cambria Math" w:hAnsi="Cambria Math" w:cs="Cambria Math"/>
              </w:rPr>
              <m:t>s</m:t>
            </m:r>
            <m:r>
              <w:rPr>
                <w:rFonts w:ascii="Cambria Math" w:eastAsia="Cambria Math" w:hAnsi="Cambria Math" w:cs="Cambria Math"/>
              </w:rPr>
              <m:t>,</m:t>
            </m:r>
            <m:r>
              <w:rPr>
                <w:rFonts w:ascii="Cambria Math" w:eastAsia="Cambria Math" w:hAnsi="Cambria Math" w:cs="Cambria Math"/>
              </w:rPr>
              <m:t>a</m:t>
            </m:r>
          </m:e>
        </m:d>
      </m:oMath>
      <w:r>
        <w:rPr>
          <w:rFonts w:ascii="Times New Roman" w:eastAsia="Times New Roman" w:hAnsi="Times New Roman" w:cs="Times New Roman"/>
        </w:rPr>
        <w:t xml:space="preserve"> represents expected cumulative reward for </w:t>
      </w:r>
      <w:proofErr w:type="gramStart"/>
      <w:r>
        <w:rPr>
          <w:rFonts w:ascii="Times New Roman" w:eastAsia="Times New Roman" w:hAnsi="Times New Roman" w:cs="Times New Roman"/>
        </w:rPr>
        <w:t>taking action</w:t>
      </w:r>
      <w:proofErr w:type="gramEnd"/>
      <w:r>
        <w:rPr>
          <w:rFonts w:ascii="Times New Roman" w:eastAsia="Times New Roman" w:hAnsi="Times New Roman" w:cs="Times New Roman"/>
        </w:rPr>
        <w:t xml:space="preserve"> a in state s, η represents learning rate controlling update magnitude, r represents immediate reward f</w:t>
      </w:r>
      <w:r>
        <w:rPr>
          <w:rFonts w:ascii="Times New Roman" w:eastAsia="Times New Roman" w:hAnsi="Times New Roman" w:cs="Times New Roman"/>
        </w:rPr>
        <w:t xml:space="preserve">rom environment, γ </w:t>
      </w:r>
      <w:r>
        <w:rPr>
          <w:rFonts w:ascii="Times New Roman" w:eastAsia="Times New Roman" w:hAnsi="Times New Roman" w:cs="Times New Roman"/>
        </w:rPr>
        <w:lastRenderedPageBreak/>
        <w:t>represents discount factor prioritizing future rewards, and s' represents next state following action execution. States encompass {Normal, Anomaly, Isolated} representing operational conditions, while actions include {Monitor, Quarantine</w:t>
      </w:r>
      <w:r>
        <w:rPr>
          <w:rFonts w:ascii="Times New Roman" w:eastAsia="Times New Roman" w:hAnsi="Times New Roman" w:cs="Times New Roman"/>
        </w:rPr>
        <w:t>, Rollback} representing available responses to detected anomalies (Griffin et al., 2024).</w:t>
      </w:r>
    </w:p>
    <w:p w14:paraId="66F46C59"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Non-human identity models implement Secure Production Identity Framework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Everyone identifiers with JSON Web Token delegation, validated via Zero-Knowledge Succin</w:t>
      </w:r>
      <w:r>
        <w:rPr>
          <w:rFonts w:ascii="Times New Roman" w:eastAsia="Times New Roman" w:hAnsi="Times New Roman" w:cs="Times New Roman"/>
        </w:rPr>
        <w:t>ct Non-Interactive Arguments of Knowledge ensuring privacy-preserving credential verification without exposing underlying identity attributes or authentication secrets.</w:t>
      </w:r>
    </w:p>
    <w:p w14:paraId="49ED935C"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Performance Metrics</w:t>
      </w:r>
    </w:p>
    <w:p w14:paraId="3A3B0205"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Metrics comprehensively evaluate frameworks per National Institute </w:t>
      </w:r>
      <w:r>
        <w:rPr>
          <w:rFonts w:ascii="Times New Roman" w:eastAsia="Times New Roman" w:hAnsi="Times New Roman" w:cs="Times New Roman"/>
        </w:rPr>
        <w:t>of Standards and Technology Artificial Intelligence Risk Management Framework specifications, with mathematical formulations ensuring rigorous assessment across detection accuracy, operational efficiency, compliance adherence, and system adaptivity dimensi</w:t>
      </w:r>
      <w:r>
        <w:rPr>
          <w:rFonts w:ascii="Times New Roman" w:eastAsia="Times New Roman" w:hAnsi="Times New Roman" w:cs="Times New Roman"/>
        </w:rPr>
        <w:t>ons.</w:t>
      </w:r>
    </w:p>
    <w:p w14:paraId="04C94C3E"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Detection metrics quantify model classification performance including Precision calculated as </w:t>
      </w:r>
      <m:oMath>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TP</m:t>
        </m:r>
        <m:r>
          <w:rPr>
            <w:rFonts w:ascii="Cambria Math" w:eastAsia="Cambria Math" w:hAnsi="Cambria Math" w:cs="Cambria Math"/>
          </w:rPr>
          <m:t>/(</m:t>
        </m:r>
        <m:r>
          <w:rPr>
            <w:rFonts w:ascii="Cambria Math" w:eastAsia="Cambria Math" w:hAnsi="Cambria Math" w:cs="Cambria Math"/>
          </w:rPr>
          <m:t>TP</m:t>
        </m:r>
        <m:r>
          <w:rPr>
            <w:rFonts w:ascii="Cambria Math" w:eastAsia="Cambria Math" w:hAnsi="Cambria Math" w:cs="Cambria Math"/>
          </w:rPr>
          <m:t>+</m:t>
        </m:r>
        <m:r>
          <w:rPr>
            <w:rFonts w:ascii="Cambria Math" w:eastAsia="Cambria Math" w:hAnsi="Cambria Math" w:cs="Cambria Math"/>
          </w:rPr>
          <m:t>FP</m:t>
        </m:r>
        <m:r>
          <w:rPr>
            <w:rFonts w:ascii="Cambria Math" w:eastAsia="Cambria Math" w:hAnsi="Cambria Math" w:cs="Cambria Math"/>
          </w:rPr>
          <m:t>)</m:t>
        </m:r>
      </m:oMath>
      <w:r>
        <w:rPr>
          <w:rFonts w:ascii="Times New Roman" w:eastAsia="Times New Roman" w:hAnsi="Times New Roman" w:cs="Times New Roman"/>
        </w:rPr>
        <w:t xml:space="preserve"> where TP represents true positives and FP represents false positives, Recall calculated as </w:t>
      </w:r>
      <m:oMath>
        <m:r>
          <w:rPr>
            <w:rFonts w:ascii="Cambria Math" w:eastAsia="Cambria Math" w:hAnsi="Cambria Math" w:cs="Cambria Math"/>
          </w:rPr>
          <m:t>R</m:t>
        </m:r>
        <m:r>
          <w:rPr>
            <w:rFonts w:ascii="Cambria Math" w:eastAsia="Cambria Math" w:hAnsi="Cambria Math" w:cs="Cambria Math"/>
          </w:rPr>
          <m:t>=</m:t>
        </m:r>
        <m:r>
          <w:rPr>
            <w:rFonts w:ascii="Cambria Math" w:eastAsia="Cambria Math" w:hAnsi="Cambria Math" w:cs="Cambria Math"/>
          </w:rPr>
          <m:t>TP</m:t>
        </m:r>
        <m:r>
          <w:rPr>
            <w:rFonts w:ascii="Cambria Math" w:eastAsia="Cambria Math" w:hAnsi="Cambria Math" w:cs="Cambria Math"/>
          </w:rPr>
          <m:t>/(</m:t>
        </m:r>
        <m:r>
          <w:rPr>
            <w:rFonts w:ascii="Cambria Math" w:eastAsia="Cambria Math" w:hAnsi="Cambria Math" w:cs="Cambria Math"/>
          </w:rPr>
          <m:t>TP</m:t>
        </m:r>
        <m:r>
          <w:rPr>
            <w:rFonts w:ascii="Cambria Math" w:eastAsia="Cambria Math" w:hAnsi="Cambria Math" w:cs="Cambria Math"/>
          </w:rPr>
          <m:t>+</m:t>
        </m:r>
        <m:r>
          <w:rPr>
            <w:rFonts w:ascii="Cambria Math" w:eastAsia="Cambria Math" w:hAnsi="Cambria Math" w:cs="Cambria Math"/>
          </w:rPr>
          <m:t>FN</m:t>
        </m:r>
        <m:r>
          <w:rPr>
            <w:rFonts w:ascii="Cambria Math" w:eastAsia="Cambria Math" w:hAnsi="Cambria Math" w:cs="Cambria Math"/>
          </w:rPr>
          <m:t>)</m:t>
        </m:r>
      </m:oMath>
      <w:r>
        <w:rPr>
          <w:rFonts w:ascii="Times New Roman" w:eastAsia="Times New Roman" w:hAnsi="Times New Roman" w:cs="Times New Roman"/>
        </w:rPr>
        <w:t xml:space="preserve"> where FN represents false negatives, F1-Score calculated as </w:t>
      </w:r>
      <m:oMath>
        <m:r>
          <w:rPr>
            <w:rFonts w:ascii="Cambria Math" w:eastAsia="Cambria Math" w:hAnsi="Cambria Math" w:cs="Cambria Math"/>
          </w:rPr>
          <m:t>F</m:t>
        </m:r>
        <m:r>
          <w:rPr>
            <w:rFonts w:ascii="Cambria Math" w:eastAsia="Cambria Math" w:hAnsi="Cambria Math" w:cs="Cambria Math"/>
          </w:rPr>
          <m:t>1=2(</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R</m:t>
        </m:r>
        <m:r>
          <w:rPr>
            <w:rFonts w:ascii="Cambria Math" w:eastAsia="Cambria Math" w:hAnsi="Cambria Math" w:cs="Cambria Math"/>
          </w:rPr>
          <m:t>)/(</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R</m:t>
        </m:r>
        <m:r>
          <w:rPr>
            <w:rFonts w:ascii="Cambria Math" w:eastAsia="Cambria Math" w:hAnsi="Cambria Math" w:cs="Cambria Math"/>
          </w:rPr>
          <m:t>)</m:t>
        </m:r>
      </m:oMath>
      <w:r>
        <w:rPr>
          <w:rFonts w:ascii="Times New Roman" w:eastAsia="Times New Roman" w:hAnsi="Times New Roman" w:cs="Times New Roman"/>
        </w:rPr>
        <w:t xml:space="preserve"> providing harmonic mean balancing precision and recall, and Area Under Receiver Operating Characteristic Curve providing aggregate performance across all classification thres</w:t>
      </w:r>
      <w:r>
        <w:rPr>
          <w:rFonts w:ascii="Times New Roman" w:eastAsia="Times New Roman" w:hAnsi="Times New Roman" w:cs="Times New Roman"/>
        </w:rPr>
        <w:t>holds.</w:t>
      </w:r>
    </w:p>
    <w:p w14:paraId="397E928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Efficiency metrics assess operational performance including Latency calculated as </w:t>
      </w:r>
      <m:oMath>
        <m:r>
          <w:rPr>
            <w:rFonts w:ascii="Cambria Math" w:eastAsia="Cambria Math" w:hAnsi="Cambria Math" w:cs="Cambria Math"/>
          </w:rPr>
          <m:t>L</m:t>
        </m:r>
        <m:r>
          <w:rPr>
            <w:rFonts w:ascii="Cambria Math" w:eastAsia="Cambria Math" w:hAnsi="Cambria Math" w:cs="Cambria Math"/>
          </w:rPr>
          <m:t>=</m:t>
        </m:r>
        <m:nary>
          <m:naryPr>
            <m:chr m:val="∑"/>
            <m:ctrlPr>
              <w:rPr>
                <w:rFonts w:ascii="Cambria Math" w:eastAsia="Cambria Math" w:hAnsi="Cambria Math" w:cs="Cambria Math"/>
              </w:rPr>
            </m:ctrlPr>
          </m:naryPr>
          <m: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r>
          <w:rPr>
            <w:rFonts w:ascii="Cambria Math" w:eastAsia="Cambria Math" w:hAnsi="Cambria Math" w:cs="Cambria Math"/>
          </w:rPr>
          <m:t>N</m:t>
        </m:r>
      </m:oMath>
      <w:r>
        <w:rPr>
          <w:rFonts w:ascii="Times New Roman" w:eastAsia="Times New Roman" w:hAnsi="Times New Roman" w:cs="Times New Roman"/>
        </w:rPr>
        <w:tab/>
        <w:t xml:space="preserve"> representing average processing time across N operations, and Throughput calculated as </w:t>
      </w:r>
      <m:oMath>
        <m:r>
          <w:rPr>
            <w:rFonts w:ascii="Cambria Math" w:eastAsia="Cambria Math" w:hAnsi="Cambria Math" w:cs="Cambria Math"/>
          </w:rPr>
          <m:t>T</m:t>
        </m:r>
        <m:r>
          <w:rPr>
            <w:rFonts w:ascii="Cambria Math" w:eastAsia="Cambria Math" w:hAnsi="Cambria Math" w:cs="Cambria Math"/>
          </w:rPr>
          <m:t>h</m:t>
        </m:r>
        <m:r>
          <w:rPr>
            <w:rFonts w:ascii="Cambria Math" w:eastAsia="Cambria Math" w:hAnsi="Cambria Math" w:cs="Cambria Math"/>
          </w:rPr>
          <m:t>=</m:t>
        </m:r>
        <m:r>
          <w:rPr>
            <w:rFonts w:ascii="Cambria Math" w:eastAsia="Cambria Math" w:hAnsi="Cambria Math" w:cs="Cambria Math"/>
          </w:rPr>
          <m:t>N</m:t>
        </m:r>
        <m:r>
          <w:rPr>
            <w:rFonts w:ascii="Cambria Math" w:eastAsia="Cambria Math" w:hAnsi="Cambria Math" w:cs="Cambria Math"/>
          </w:rPr>
          <m:t>/</m:t>
        </m:r>
        <m:r>
          <w:rPr>
            <w:rFonts w:ascii="Cambria Math" w:eastAsia="Cambria Math" w:hAnsi="Cambria Math" w:cs="Cambria Math"/>
          </w:rPr>
          <m:t>T</m:t>
        </m:r>
      </m:oMath>
      <w:r>
        <w:rPr>
          <w:rFonts w:ascii="Times New Roman" w:eastAsia="Times New Roman" w:hAnsi="Times New Roman" w:cs="Times New Roman"/>
        </w:rPr>
        <w:t xml:space="preserve"> representing total operations N completed within time peri</w:t>
      </w:r>
      <w:r>
        <w:rPr>
          <w:rFonts w:ascii="Times New Roman" w:eastAsia="Times New Roman" w:hAnsi="Times New Roman" w:cs="Times New Roman"/>
        </w:rPr>
        <w:t>od T.</w:t>
      </w:r>
    </w:p>
    <w:p w14:paraId="47C7509B"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Compliance metrics evaluate regulatory adherence through Coverage Score calculated as </w:t>
      </w:r>
      <m:oMath>
        <m:r>
          <w:rPr>
            <w:rFonts w:ascii="Cambria Math" w:eastAsia="Cambria Math" w:hAnsi="Cambria Math" w:cs="Cambria Math"/>
          </w:rPr>
          <m:t>CS</m:t>
        </m:r>
        <m:r>
          <w:rPr>
            <w:rFonts w:ascii="Cambria Math" w:eastAsia="Cambria Math" w:hAnsi="Cambria Math" w:cs="Cambria Math"/>
          </w:rPr>
          <m:t>=(</m:t>
        </m:r>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Covered</m:t>
                    </m:r>
                  </m:e>
                  <m:sub>
                    <m:r>
                      <w:rPr>
                        <w:rFonts w:ascii="Cambria Math" w:eastAsia="Cambria Math" w:hAnsi="Cambria Math" w:cs="Cambria Math"/>
                      </w:rPr>
                      <m:t>subcategories</m:t>
                    </m:r>
                  </m:sub>
                </m:sSub>
              </m:e>
            </m:d>
          </m:num>
          <m:den>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Total</m:t>
                    </m:r>
                  </m:e>
                  <m:sub>
                    <m:r>
                      <w:rPr>
                        <w:rFonts w:ascii="Cambria Math" w:eastAsia="Cambria Math" w:hAnsi="Cambria Math" w:cs="Cambria Math"/>
                      </w:rPr>
                      <m:t>subcategories</m:t>
                    </m:r>
                  </m:sub>
                </m:sSub>
              </m:e>
            </m:d>
          </m:den>
        </m:f>
        <m:r>
          <w:rPr>
            <w:rFonts w:ascii="Cambria Math" w:eastAsia="Cambria Math" w:hAnsi="Cambria Math" w:cs="Cambria Math"/>
          </w:rPr>
          <m:t>)×</m:t>
        </m:r>
        <m:r>
          <w:rPr>
            <w:rFonts w:ascii="Cambria Math" w:eastAsia="Cambria Math" w:hAnsi="Cambria Math" w:cs="Cambria Math"/>
          </w:rPr>
          <m:t>Robustness</m:t>
        </m:r>
      </m:oMath>
      <w:r>
        <w:rPr>
          <w:rFonts w:ascii="Times New Roman" w:eastAsia="Times New Roman" w:hAnsi="Times New Roman" w:cs="Times New Roman"/>
          <w:b/>
          <w:bCs/>
        </w:rPr>
        <w:t xml:space="preserve"> </w:t>
      </w:r>
      <w:r>
        <w:rPr>
          <w:rFonts w:ascii="Times New Roman" w:eastAsia="Times New Roman" w:hAnsi="Times New Roman" w:cs="Times New Roman"/>
        </w:rPr>
        <w:t>where numerator represents count of addressed compliance su</w:t>
      </w:r>
      <w:r>
        <w:rPr>
          <w:rFonts w:ascii="Times New Roman" w:eastAsia="Times New Roman" w:hAnsi="Times New Roman" w:cs="Times New Roman"/>
        </w:rPr>
        <w:t>bcategories, denominator represents total required subcategories, and Robustness factor ranges from 1 to 5 based on implementation depth and evidence quality (NIST, 2023).</w:t>
      </w:r>
    </w:p>
    <w:p w14:paraId="446C19CF"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Drift detection implements Kolmogorov-Smirnov statistic calculated as </w:t>
      </w:r>
      <m:oMath>
        <m:r>
          <w:rPr>
            <w:rFonts w:ascii="Cambria Math" w:eastAsia="Cambria Math" w:hAnsi="Cambria Math" w:cs="Cambria Math"/>
          </w:rPr>
          <m:t>D</m:t>
        </m:r>
        <m:r>
          <w:rPr>
            <w:rFonts w:ascii="Cambria Math" w:eastAsia="Cambria Math" w:hAnsi="Cambria Math" w:cs="Cambria Math"/>
          </w:rPr>
          <m:t>=</m:t>
        </m:r>
        <m:r>
          <w:rPr>
            <w:rFonts w:ascii="Cambria Math" w:eastAsia="Cambria Math" w:hAnsi="Cambria Math" w:cs="Cambria Math"/>
          </w:rPr>
          <m:t>sup</m:t>
        </m:r>
        <m:r>
          <w:rPr>
            <w:rFonts w:ascii="Cambria Math" w:eastAsia="Cambria Math" w:hAnsi="Cambria Math" w:cs="Cambria Math"/>
          </w:rPr>
          <m:t>⁡</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r>
          <w:rPr>
            <w:rFonts w:ascii="Cambria Math" w:eastAsia="Cambria Math" w:hAnsi="Cambria Math" w:cs="Cambria Math"/>
          </w:rPr>
          <m:t>|</m:t>
        </m:r>
      </m:oMath>
      <w:r>
        <w:rPr>
          <w:rFonts w:ascii="Times New Roman" w:eastAsia="Times New Roman" w:hAnsi="Times New Roman" w:cs="Times New Roman"/>
        </w:rPr>
        <w:t xml:space="preserve"> where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Pr>
          <w:rFonts w:ascii="Times New Roman" w:eastAsia="Times New Roman" w:hAnsi="Times New Roman" w:cs="Times New Roman"/>
        </w:rPr>
        <w:t xml:space="preserve"> represents cumulative distribution function for reference dataset,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Pr>
          <w:rFonts w:ascii="Times New Roman" w:eastAsia="Times New Roman" w:hAnsi="Times New Roman" w:cs="Times New Roman"/>
        </w:rPr>
        <w:t xml:space="preserve"> represents cumulative distribution function for monitored dataset, and supremum identifies maximum vertical distance between distributions.</w:t>
      </w:r>
    </w:p>
    <w:p w14:paraId="0226E95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Trust adaptivity quantifies d</w:t>
      </w:r>
      <w:r>
        <w:rPr>
          <w:rFonts w:ascii="Times New Roman" w:eastAsia="Times New Roman" w:hAnsi="Times New Roman" w:cs="Times New Roman"/>
        </w:rPr>
        <w:t xml:space="preserve">ynamic trust score stability through </w:t>
      </w:r>
      <m:oMath>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d>
              <m:dPr>
                <m:ctrlPr>
                  <w:rPr>
                    <w:rFonts w:ascii="Cambria Math" w:eastAsia="Cambria Math" w:hAnsi="Cambria Math" w:cs="Cambria Math"/>
                  </w:rPr>
                </m:ctrlPr>
              </m:dPr>
              <m:e>
                <m:r>
                  <w:rPr>
                    <w:rFonts w:ascii="Cambria Math" w:eastAsia="Cambria Math" w:hAnsi="Cambria Math" w:cs="Cambria Math"/>
                  </w:rPr>
                  <m:t>t</m:t>
                </m:r>
                <m:r>
                  <w:rPr>
                    <w:rFonts w:ascii="Cambria Math" w:eastAsia="Cambria Math" w:hAnsi="Cambria Math" w:cs="Cambria Math"/>
                  </w:rPr>
                  <m:t>+1</m:t>
                </m:r>
              </m:e>
            </m:d>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t</m:t>
            </m:r>
          </m:sub>
        </m:sSub>
        <m:r>
          <w:rPr>
            <w:rFonts w:ascii="Cambria Math" w:eastAsia="Cambria Math" w:hAnsi="Cambria Math" w:cs="Cambria Math"/>
          </w:rPr>
          <m:t>|</m:t>
        </m:r>
      </m:oMath>
      <w:r>
        <w:rPr>
          <w:rFonts w:ascii="Times New Roman" w:eastAsia="Times New Roman" w:hAnsi="Times New Roman" w:cs="Times New Roman"/>
        </w:rPr>
        <w:t xml:space="preserve"> measuring absolute change between consecutive trust evaluations, with threshold constraint ΔT &lt; 0.1 ensuring stable adaptive behavior avoiding oscillations.</w:t>
      </w:r>
    </w:p>
    <w:p w14:paraId="29D1E7CD"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Healthcare-specific thresholds establish per</w:t>
      </w:r>
      <w:r>
        <w:rPr>
          <w:rFonts w:ascii="Times New Roman" w:eastAsia="Times New Roman" w:hAnsi="Times New Roman" w:cs="Times New Roman"/>
        </w:rPr>
        <w:t>formance requirements including F1-Score exceeding 0.95 balancing false alarms in diagnostic applications, Area Under Receiver Operating Characteristic Curve exceeding 0.98 for anomaly discrimination, Latency below 50 milliseconds enabling real-time radiot</w:t>
      </w:r>
      <w:r>
        <w:rPr>
          <w:rFonts w:ascii="Times New Roman" w:eastAsia="Times New Roman" w:hAnsi="Times New Roman" w:cs="Times New Roman"/>
        </w:rPr>
        <w:t>herapy applications, Drift D statistic below 0.05 maintaining model stability, and Compliance CS exceeding 4.5 out of 5 demonstrating National Institute of Standards and Technology Risk Management Framework alignment.</w:t>
      </w:r>
    </w:p>
    <w:p w14:paraId="74B6645C"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Validation and Experimental Setup</w:t>
      </w:r>
    </w:p>
    <w:p w14:paraId="143519CE"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K-Fo</w:t>
      </w:r>
      <w:r>
        <w:rPr>
          <w:rFonts w:ascii="Times New Roman" w:eastAsia="Times New Roman" w:hAnsi="Times New Roman" w:cs="Times New Roman"/>
        </w:rPr>
        <w:t xml:space="preserve">ld Cross-Validation with k equal to ten performs robust performance evaluation using an eighty/twenty train-test split, with hyperparameter tuning via </w:t>
      </w:r>
      <w:proofErr w:type="spellStart"/>
      <w:r>
        <w:rPr>
          <w:rFonts w:ascii="Times New Roman" w:eastAsia="Times New Roman" w:hAnsi="Times New Roman" w:cs="Times New Roman"/>
        </w:rPr>
        <w:t>GridSearchCV</w:t>
      </w:r>
      <w:proofErr w:type="spellEnd"/>
      <w:r>
        <w:rPr>
          <w:rFonts w:ascii="Times New Roman" w:eastAsia="Times New Roman" w:hAnsi="Times New Roman" w:cs="Times New Roman"/>
        </w:rPr>
        <w:t xml:space="preserve"> exploring optimal configurations. Baselines include traditional IAM using OAuth and static z</w:t>
      </w:r>
      <w:r>
        <w:rPr>
          <w:rFonts w:ascii="Times New Roman" w:eastAsia="Times New Roman" w:hAnsi="Times New Roman" w:cs="Times New Roman"/>
        </w:rPr>
        <w:t xml:space="preserve">ero trust per NIST SP 800-207. Experiments simulate one thousand iterations representing ten thousand agent interactions per hour (Choung et al., 2023). Home-based setups employed </w:t>
      </w:r>
      <w:proofErr w:type="spellStart"/>
      <w:r>
        <w:rPr>
          <w:rFonts w:ascii="Times New Roman" w:eastAsia="Times New Roman" w:hAnsi="Times New Roman" w:cs="Times New Roman"/>
        </w:rPr>
        <w:t>Jupyter</w:t>
      </w:r>
      <w:proofErr w:type="spellEnd"/>
      <w:r>
        <w:rPr>
          <w:rFonts w:ascii="Times New Roman" w:eastAsia="Times New Roman" w:hAnsi="Times New Roman" w:cs="Times New Roman"/>
        </w:rPr>
        <w:t xml:space="preserve"> notebooks, </w:t>
      </w:r>
      <w:proofErr w:type="spellStart"/>
      <w:r>
        <w:rPr>
          <w:rFonts w:ascii="Times New Roman" w:eastAsia="Times New Roman" w:hAnsi="Times New Roman" w:cs="Times New Roman"/>
        </w:rPr>
        <w:t>Minikube</w:t>
      </w:r>
      <w:proofErr w:type="spellEnd"/>
      <w:r>
        <w:rPr>
          <w:rFonts w:ascii="Times New Roman" w:eastAsia="Times New Roman" w:hAnsi="Times New Roman" w:cs="Times New Roman"/>
        </w:rPr>
        <w:t>, and Prometheus/Grafana for monitoring and visua</w:t>
      </w:r>
      <w:r>
        <w:rPr>
          <w:rFonts w:ascii="Times New Roman" w:eastAsia="Times New Roman" w:hAnsi="Times New Roman" w:cs="Times New Roman"/>
        </w:rPr>
        <w:t>lization (</w:t>
      </w:r>
      <w:proofErr w:type="spellStart"/>
      <w:r>
        <w:rPr>
          <w:rFonts w:ascii="Times New Roman" w:eastAsia="Times New Roman" w:hAnsi="Times New Roman" w:cs="Times New Roman"/>
        </w:rPr>
        <w:t>Zicari</w:t>
      </w:r>
      <w:proofErr w:type="spellEnd"/>
      <w:r>
        <w:rPr>
          <w:rFonts w:ascii="Times New Roman" w:eastAsia="Times New Roman" w:hAnsi="Times New Roman" w:cs="Times New Roman"/>
        </w:rPr>
        <w:t xml:space="preserve"> et al., 2022). Results show governance F1-Score at ninety-six percent, behavioral authentication false positives at 1.2 percent, and risk monitoring latency of forty-five milliseconds. Robustness tests include FGSM attacks, bias audits, sc</w:t>
      </w:r>
      <w:r>
        <w:rPr>
          <w:rFonts w:ascii="Times New Roman" w:eastAsia="Times New Roman" w:hAnsi="Times New Roman" w:cs="Times New Roman"/>
        </w:rPr>
        <w:t>alability to ten thousand agents, and drift detection using Population Stability Index PSI &lt; 0.1 for distribution stability (</w:t>
      </w: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et al., 2022).</w:t>
      </w:r>
    </w:p>
    <w:p w14:paraId="7D07D561" w14:textId="77777777" w:rsidR="00E52F02" w:rsidRDefault="00E52F02">
      <w:pPr>
        <w:spacing w:line="360" w:lineRule="auto"/>
        <w:jc w:val="both"/>
        <w:rPr>
          <w:rFonts w:ascii="Times New Roman" w:eastAsia="Times New Roman" w:hAnsi="Times New Roman" w:cs="Times New Roman"/>
        </w:rPr>
      </w:pPr>
    </w:p>
    <w:p w14:paraId="3091F681"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t>Results and Discussion</w:t>
      </w:r>
    </w:p>
    <w:p w14:paraId="6AAA8DE6"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Presentation of Results</w:t>
      </w:r>
    </w:p>
    <w:p w14:paraId="2C12A4FF"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This section reports empirical findings from implementing integrated frameworks for AI-automated governance, adaptive certi</w:t>
      </w:r>
      <w:r>
        <w:rPr>
          <w:rFonts w:ascii="Times New Roman" w:eastAsia="Times New Roman" w:hAnsi="Times New Roman" w:cs="Times New Roman"/>
        </w:rPr>
        <w:t>fication, behavioral authentication, and AI-agent risk monitoring within zero-trust infrastructures. Simulation-based experiments using public datasets validated performance against NIST AI Risk Management Framework and healthcare-specific standards.</w:t>
      </w:r>
    </w:p>
    <w:p w14:paraId="62508873"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Integ</w:t>
      </w:r>
      <w:r>
        <w:rPr>
          <w:rFonts w:ascii="Times New Roman" w:eastAsia="Times New Roman" w:hAnsi="Times New Roman" w:cs="Times New Roman"/>
          <w:b/>
          <w:bCs/>
        </w:rPr>
        <w:t>rated Artificial Intelligence Governance Framework with Adaptive Certification</w:t>
      </w:r>
    </w:p>
    <w:p w14:paraId="468F9E5C" w14:textId="28AD7C6A"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adaptive certification lifecycle framework demonstrated superior performance across governance maturity dimensions, achieving a compliance score of 4.7 out of five under NIS</w:t>
      </w:r>
      <w:r>
        <w:rPr>
          <w:rFonts w:ascii="Times New Roman" w:eastAsia="Times New Roman" w:hAnsi="Times New Roman" w:cs="Times New Roman"/>
        </w:rPr>
        <w:t>T AI Risk Management Framework subcategories, compared to static governance models scoring 3.2 out of five. Table 1 shows performance across one thousand simulated AI agent lifecycles over fifty temporal iterations, revealing substantial improvements and F</w:t>
      </w:r>
      <w:r>
        <w:rPr>
          <w:rFonts w:ascii="Times New Roman" w:eastAsia="Times New Roman" w:hAnsi="Times New Roman" w:cs="Times New Roman"/>
        </w:rPr>
        <w:t>igure</w:t>
      </w:r>
      <w:r w:rsidR="002536D3">
        <w:rPr>
          <w:rFonts w:ascii="Times New Roman" w:eastAsia="Times New Roman" w:hAnsi="Times New Roman" w:cs="Times New Roman"/>
        </w:rPr>
        <w:t xml:space="preserve"> 2</w:t>
      </w:r>
      <w:r>
        <w:rPr>
          <w:rFonts w:ascii="Times New Roman" w:eastAsia="Times New Roman" w:hAnsi="Times New Roman" w:cs="Times New Roman"/>
        </w:rPr>
        <w:t xml:space="preserve"> shows the Trust Score Evolution Across AI Lifecycle. The adaptive trust scoring mechanism achieved a F1-Score of 0.960, a seventeen percent improvement over traditional IAM scoring 0.820, with Area Under Receiver Operating Characteristic Curve reac</w:t>
      </w:r>
      <w:r>
        <w:rPr>
          <w:rFonts w:ascii="Times New Roman" w:eastAsia="Times New Roman" w:hAnsi="Times New Roman" w:cs="Times New Roman"/>
        </w:rPr>
        <w:t>hing 0.982, exceeding the NIST threshold of 0.95. Detection latency was forty-five milliseconds, a ninety-four percent reduction from traditional systems, supporting real-time healthcare AI applications like adaptive radiotherapy monitoring. Trust score st</w:t>
      </w:r>
      <w:r>
        <w:rPr>
          <w:rFonts w:ascii="Times New Roman" w:eastAsia="Times New Roman" w:hAnsi="Times New Roman" w:cs="Times New Roman"/>
        </w:rPr>
        <w:t>ability reached 0.870, surpassing the 0.80 threshold and baseline performance by over sixty percent, while compliance coverage increased to ninety-two percent versus sixty-five percent, addressing regulatory fragmentation cited by over half of organization</w:t>
      </w:r>
      <w:r>
        <w:rPr>
          <w:rFonts w:ascii="Times New Roman" w:eastAsia="Times New Roman" w:hAnsi="Times New Roman" w:cs="Times New Roman"/>
        </w:rPr>
        <w:t xml:space="preserve">s. Drift detection via Kolmogorov-Smirnov statistic achieved 0.030, representing a seventy-five percent improvement. Convergence to optimal trust above 0.8 occurred within twelve timesteps. Governance maturity progressed from Level 2 Developing to Level 4 </w:t>
      </w:r>
      <w:r>
        <w:rPr>
          <w:rFonts w:ascii="Times New Roman" w:eastAsia="Times New Roman" w:hAnsi="Times New Roman" w:cs="Times New Roman"/>
        </w:rPr>
        <w:t>Managed, with sixty-eight percent attaining Level 5 continuous monitoring and automated policy enforcement, unifying EU AI Act, NIST AI Risk Management Framework, and ISO/IEC 42001 compliance standards.</w:t>
      </w:r>
    </w:p>
    <w:p w14:paraId="0EBB0F8F"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1 </w:t>
      </w:r>
    </w:p>
    <w:p w14:paraId="39509626"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Adaptive Certification Performance Metrics</w:t>
      </w:r>
    </w:p>
    <w:tbl>
      <w:tblPr>
        <w:tblStyle w:val="a"/>
        <w:tblW w:w="9360" w:type="dxa"/>
        <w:tblInd w:w="0" w:type="dxa"/>
        <w:tblLayout w:type="fixed"/>
        <w:tblLook w:val="0400" w:firstRow="0" w:lastRow="0" w:firstColumn="0" w:lastColumn="0" w:noHBand="0" w:noVBand="1"/>
      </w:tblPr>
      <w:tblGrid>
        <w:gridCol w:w="2700"/>
        <w:gridCol w:w="1672"/>
        <w:gridCol w:w="1622"/>
        <w:gridCol w:w="1793"/>
        <w:gridCol w:w="1573"/>
      </w:tblGrid>
      <w:tr w:rsidR="00E52F02" w14:paraId="44C85A84" w14:textId="77777777">
        <w:trPr>
          <w:tblHeader/>
        </w:trPr>
        <w:tc>
          <w:tcPr>
            <w:tcW w:w="2700" w:type="dxa"/>
            <w:tcBorders>
              <w:top w:val="single" w:sz="4" w:space="0" w:color="000000"/>
              <w:bottom w:val="single" w:sz="4" w:space="0" w:color="000000"/>
            </w:tcBorders>
            <w:vAlign w:val="center"/>
          </w:tcPr>
          <w:p w14:paraId="639D084B" w14:textId="77777777" w:rsidR="00E52F02" w:rsidRDefault="00A15A26">
            <w:pPr>
              <w:spacing w:line="240" w:lineRule="auto"/>
              <w:rPr>
                <w:rFonts w:ascii="Times New Roman" w:eastAsia="Times New Roman" w:hAnsi="Times New Roman" w:cs="Times New Roman"/>
                <w:b/>
                <w:bCs/>
              </w:rPr>
            </w:pPr>
            <w:r>
              <w:rPr>
                <w:rFonts w:ascii="Times New Roman" w:eastAsia="Times New Roman" w:hAnsi="Times New Roman" w:cs="Times New Roman"/>
                <w:b/>
                <w:bCs/>
              </w:rPr>
              <w:t>M</w:t>
            </w:r>
            <w:r>
              <w:rPr>
                <w:rFonts w:ascii="Times New Roman" w:eastAsia="Times New Roman" w:hAnsi="Times New Roman" w:cs="Times New Roman"/>
                <w:b/>
                <w:bCs/>
              </w:rPr>
              <w:t>etric</w:t>
            </w:r>
          </w:p>
        </w:tc>
        <w:tc>
          <w:tcPr>
            <w:tcW w:w="1672" w:type="dxa"/>
            <w:tcBorders>
              <w:top w:val="single" w:sz="4" w:space="0" w:color="000000"/>
              <w:bottom w:val="single" w:sz="4" w:space="0" w:color="000000"/>
            </w:tcBorders>
            <w:vAlign w:val="center"/>
          </w:tcPr>
          <w:p w14:paraId="1A5412F2"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Proposed Framework</w:t>
            </w:r>
          </w:p>
        </w:tc>
        <w:tc>
          <w:tcPr>
            <w:tcW w:w="1622" w:type="dxa"/>
            <w:tcBorders>
              <w:top w:val="single" w:sz="4" w:space="0" w:color="000000"/>
              <w:bottom w:val="single" w:sz="4" w:space="0" w:color="000000"/>
            </w:tcBorders>
            <w:vAlign w:val="center"/>
          </w:tcPr>
          <w:p w14:paraId="26677E65"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Traditional IAM</w:t>
            </w:r>
          </w:p>
        </w:tc>
        <w:tc>
          <w:tcPr>
            <w:tcW w:w="1793" w:type="dxa"/>
            <w:tcBorders>
              <w:top w:val="single" w:sz="4" w:space="0" w:color="000000"/>
              <w:bottom w:val="single" w:sz="4" w:space="0" w:color="000000"/>
            </w:tcBorders>
            <w:vAlign w:val="center"/>
          </w:tcPr>
          <w:p w14:paraId="6B68B02C"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Improvement (%)</w:t>
            </w:r>
          </w:p>
        </w:tc>
        <w:tc>
          <w:tcPr>
            <w:tcW w:w="1573" w:type="dxa"/>
            <w:tcBorders>
              <w:top w:val="single" w:sz="4" w:space="0" w:color="000000"/>
              <w:bottom w:val="single" w:sz="4" w:space="0" w:color="000000"/>
            </w:tcBorders>
            <w:vAlign w:val="center"/>
          </w:tcPr>
          <w:p w14:paraId="2A3B6CC4"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NIST Threshold</w:t>
            </w:r>
          </w:p>
        </w:tc>
      </w:tr>
      <w:tr w:rsidR="00E52F02" w14:paraId="2284AFA5" w14:textId="77777777">
        <w:tc>
          <w:tcPr>
            <w:tcW w:w="2700" w:type="dxa"/>
            <w:vAlign w:val="center"/>
          </w:tcPr>
          <w:p w14:paraId="5545667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F1-Score</w:t>
            </w:r>
          </w:p>
        </w:tc>
        <w:tc>
          <w:tcPr>
            <w:tcW w:w="1672" w:type="dxa"/>
            <w:vAlign w:val="center"/>
          </w:tcPr>
          <w:p w14:paraId="6278243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0.960</w:t>
            </w:r>
          </w:p>
        </w:tc>
        <w:tc>
          <w:tcPr>
            <w:tcW w:w="1622" w:type="dxa"/>
            <w:vAlign w:val="center"/>
          </w:tcPr>
          <w:p w14:paraId="3612350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0.820</w:t>
            </w:r>
          </w:p>
        </w:tc>
        <w:tc>
          <w:tcPr>
            <w:tcW w:w="1793" w:type="dxa"/>
            <w:vAlign w:val="center"/>
          </w:tcPr>
          <w:p w14:paraId="7389790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+17.1%</w:t>
            </w:r>
          </w:p>
        </w:tc>
        <w:tc>
          <w:tcPr>
            <w:tcW w:w="1573" w:type="dxa"/>
            <w:vAlign w:val="center"/>
          </w:tcPr>
          <w:p w14:paraId="7BF5DF4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&gt;0.90</w:t>
            </w:r>
          </w:p>
        </w:tc>
      </w:tr>
      <w:tr w:rsidR="00E52F02" w14:paraId="6389EB98" w14:textId="77777777">
        <w:tc>
          <w:tcPr>
            <w:tcW w:w="2700" w:type="dxa"/>
            <w:vAlign w:val="center"/>
          </w:tcPr>
          <w:p w14:paraId="57530D9A"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AUC-ROC</w:t>
            </w:r>
          </w:p>
        </w:tc>
        <w:tc>
          <w:tcPr>
            <w:tcW w:w="1672" w:type="dxa"/>
            <w:vAlign w:val="center"/>
          </w:tcPr>
          <w:p w14:paraId="283DC3C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0.982</w:t>
            </w:r>
          </w:p>
        </w:tc>
        <w:tc>
          <w:tcPr>
            <w:tcW w:w="1622" w:type="dxa"/>
            <w:vAlign w:val="center"/>
          </w:tcPr>
          <w:p w14:paraId="648CACA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0.871</w:t>
            </w:r>
          </w:p>
        </w:tc>
        <w:tc>
          <w:tcPr>
            <w:tcW w:w="1793" w:type="dxa"/>
            <w:vAlign w:val="center"/>
          </w:tcPr>
          <w:p w14:paraId="03C7F96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+12.7%</w:t>
            </w:r>
          </w:p>
        </w:tc>
        <w:tc>
          <w:tcPr>
            <w:tcW w:w="1573" w:type="dxa"/>
            <w:vAlign w:val="center"/>
          </w:tcPr>
          <w:p w14:paraId="29B6C40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&gt;0.95</w:t>
            </w:r>
          </w:p>
        </w:tc>
      </w:tr>
      <w:tr w:rsidR="00E52F02" w14:paraId="5C350BA7" w14:textId="77777777">
        <w:tc>
          <w:tcPr>
            <w:tcW w:w="2700" w:type="dxa"/>
            <w:vAlign w:val="center"/>
          </w:tcPr>
          <w:p w14:paraId="3D201DE1"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Precision</w:t>
            </w:r>
          </w:p>
        </w:tc>
        <w:tc>
          <w:tcPr>
            <w:tcW w:w="1672" w:type="dxa"/>
            <w:vAlign w:val="center"/>
          </w:tcPr>
          <w:p w14:paraId="14271DA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0.951</w:t>
            </w:r>
          </w:p>
        </w:tc>
        <w:tc>
          <w:tcPr>
            <w:tcW w:w="1622" w:type="dxa"/>
            <w:vAlign w:val="center"/>
          </w:tcPr>
          <w:p w14:paraId="3BA94C2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0.798</w:t>
            </w:r>
          </w:p>
        </w:tc>
        <w:tc>
          <w:tcPr>
            <w:tcW w:w="1793" w:type="dxa"/>
            <w:vAlign w:val="center"/>
          </w:tcPr>
          <w:p w14:paraId="68DAA49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+19.2%</w:t>
            </w:r>
          </w:p>
        </w:tc>
        <w:tc>
          <w:tcPr>
            <w:tcW w:w="1573" w:type="dxa"/>
            <w:vAlign w:val="center"/>
          </w:tcPr>
          <w:p w14:paraId="26E938C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&gt;0.90</w:t>
            </w:r>
          </w:p>
        </w:tc>
      </w:tr>
      <w:tr w:rsidR="00E52F02" w14:paraId="20998F33" w14:textId="77777777">
        <w:tc>
          <w:tcPr>
            <w:tcW w:w="2700" w:type="dxa"/>
            <w:vAlign w:val="center"/>
          </w:tcPr>
          <w:p w14:paraId="7A0CF72E"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Recall</w:t>
            </w:r>
          </w:p>
        </w:tc>
        <w:tc>
          <w:tcPr>
            <w:tcW w:w="1672" w:type="dxa"/>
            <w:vAlign w:val="center"/>
          </w:tcPr>
          <w:p w14:paraId="5E73A70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0.969</w:t>
            </w:r>
          </w:p>
        </w:tc>
        <w:tc>
          <w:tcPr>
            <w:tcW w:w="1622" w:type="dxa"/>
            <w:vAlign w:val="center"/>
          </w:tcPr>
          <w:p w14:paraId="15DBB98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0.843</w:t>
            </w:r>
          </w:p>
        </w:tc>
        <w:tc>
          <w:tcPr>
            <w:tcW w:w="1793" w:type="dxa"/>
            <w:vAlign w:val="center"/>
          </w:tcPr>
          <w:p w14:paraId="2969E8F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+14.9%</w:t>
            </w:r>
          </w:p>
        </w:tc>
        <w:tc>
          <w:tcPr>
            <w:tcW w:w="1573" w:type="dxa"/>
            <w:vAlign w:val="center"/>
          </w:tcPr>
          <w:p w14:paraId="5F1AC23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&gt;0.90</w:t>
            </w:r>
          </w:p>
        </w:tc>
      </w:tr>
      <w:tr w:rsidR="00E52F02" w14:paraId="6790A06C" w14:textId="77777777">
        <w:tc>
          <w:tcPr>
            <w:tcW w:w="2700" w:type="dxa"/>
            <w:vAlign w:val="center"/>
          </w:tcPr>
          <w:p w14:paraId="3E175B7D"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Latency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w:t>
            </w:r>
          </w:p>
        </w:tc>
        <w:tc>
          <w:tcPr>
            <w:tcW w:w="1672" w:type="dxa"/>
            <w:vAlign w:val="center"/>
          </w:tcPr>
          <w:p w14:paraId="211D9A9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45</w:t>
            </w:r>
          </w:p>
        </w:tc>
        <w:tc>
          <w:tcPr>
            <w:tcW w:w="1622" w:type="dxa"/>
            <w:vAlign w:val="center"/>
          </w:tcPr>
          <w:p w14:paraId="07C02D9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750</w:t>
            </w:r>
          </w:p>
        </w:tc>
        <w:tc>
          <w:tcPr>
            <w:tcW w:w="1793" w:type="dxa"/>
            <w:vAlign w:val="center"/>
          </w:tcPr>
          <w:p w14:paraId="72A2673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-94.0%</w:t>
            </w:r>
          </w:p>
        </w:tc>
        <w:tc>
          <w:tcPr>
            <w:tcW w:w="1573" w:type="dxa"/>
            <w:vAlign w:val="center"/>
          </w:tcPr>
          <w:p w14:paraId="5B5F06B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&lt;100</w:t>
            </w:r>
          </w:p>
        </w:tc>
      </w:tr>
      <w:tr w:rsidR="00E52F02" w14:paraId="14E94F74" w14:textId="77777777">
        <w:tc>
          <w:tcPr>
            <w:tcW w:w="2700" w:type="dxa"/>
            <w:vAlign w:val="center"/>
          </w:tcPr>
          <w:p w14:paraId="32672D32"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 xml:space="preserve">Trust Score </w:t>
            </w:r>
            <w:r>
              <w:rPr>
                <w:rFonts w:ascii="Times New Roman" w:eastAsia="Times New Roman" w:hAnsi="Times New Roman" w:cs="Times New Roman"/>
              </w:rPr>
              <w:t>Stability</w:t>
            </w:r>
          </w:p>
        </w:tc>
        <w:tc>
          <w:tcPr>
            <w:tcW w:w="1672" w:type="dxa"/>
            <w:vAlign w:val="center"/>
          </w:tcPr>
          <w:p w14:paraId="3B3DA87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0.870</w:t>
            </w:r>
          </w:p>
        </w:tc>
        <w:tc>
          <w:tcPr>
            <w:tcW w:w="1622" w:type="dxa"/>
            <w:vAlign w:val="center"/>
          </w:tcPr>
          <w:p w14:paraId="477493C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0.542</w:t>
            </w:r>
          </w:p>
        </w:tc>
        <w:tc>
          <w:tcPr>
            <w:tcW w:w="1793" w:type="dxa"/>
            <w:vAlign w:val="center"/>
          </w:tcPr>
          <w:p w14:paraId="5E561C1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+60.5%</w:t>
            </w:r>
          </w:p>
        </w:tc>
        <w:tc>
          <w:tcPr>
            <w:tcW w:w="1573" w:type="dxa"/>
            <w:vAlign w:val="center"/>
          </w:tcPr>
          <w:p w14:paraId="2881C18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&gt;0.80</w:t>
            </w:r>
          </w:p>
        </w:tc>
      </w:tr>
      <w:tr w:rsidR="00E52F02" w14:paraId="12B2146C" w14:textId="77777777">
        <w:tc>
          <w:tcPr>
            <w:tcW w:w="2700" w:type="dxa"/>
            <w:vAlign w:val="center"/>
          </w:tcPr>
          <w:p w14:paraId="5599C398"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Compliance Coverage</w:t>
            </w:r>
          </w:p>
        </w:tc>
        <w:tc>
          <w:tcPr>
            <w:tcW w:w="1672" w:type="dxa"/>
            <w:vAlign w:val="center"/>
          </w:tcPr>
          <w:p w14:paraId="06F18FB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92%</w:t>
            </w:r>
          </w:p>
        </w:tc>
        <w:tc>
          <w:tcPr>
            <w:tcW w:w="1622" w:type="dxa"/>
            <w:vAlign w:val="center"/>
          </w:tcPr>
          <w:p w14:paraId="7C24004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65%</w:t>
            </w:r>
          </w:p>
        </w:tc>
        <w:tc>
          <w:tcPr>
            <w:tcW w:w="1793" w:type="dxa"/>
            <w:vAlign w:val="center"/>
          </w:tcPr>
          <w:p w14:paraId="0C2A991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+41.5%</w:t>
            </w:r>
          </w:p>
        </w:tc>
        <w:tc>
          <w:tcPr>
            <w:tcW w:w="1573" w:type="dxa"/>
            <w:vAlign w:val="center"/>
          </w:tcPr>
          <w:p w14:paraId="59404C0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&gt;85%</w:t>
            </w:r>
          </w:p>
        </w:tc>
      </w:tr>
      <w:tr w:rsidR="00E52F02" w14:paraId="1AFD50EE" w14:textId="77777777">
        <w:tc>
          <w:tcPr>
            <w:tcW w:w="2700" w:type="dxa"/>
            <w:vAlign w:val="center"/>
          </w:tcPr>
          <w:p w14:paraId="54C61F37"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Drift Detection (KS)</w:t>
            </w:r>
          </w:p>
        </w:tc>
        <w:tc>
          <w:tcPr>
            <w:tcW w:w="1672" w:type="dxa"/>
            <w:vAlign w:val="center"/>
          </w:tcPr>
          <w:p w14:paraId="4FA872B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0.030</w:t>
            </w:r>
          </w:p>
        </w:tc>
        <w:tc>
          <w:tcPr>
            <w:tcW w:w="1622" w:type="dxa"/>
            <w:vAlign w:val="center"/>
          </w:tcPr>
          <w:p w14:paraId="0C45F2B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0.118</w:t>
            </w:r>
          </w:p>
        </w:tc>
        <w:tc>
          <w:tcPr>
            <w:tcW w:w="1793" w:type="dxa"/>
            <w:vAlign w:val="center"/>
          </w:tcPr>
          <w:p w14:paraId="727CD8E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-74.6%</w:t>
            </w:r>
          </w:p>
        </w:tc>
        <w:tc>
          <w:tcPr>
            <w:tcW w:w="1573" w:type="dxa"/>
            <w:vAlign w:val="center"/>
          </w:tcPr>
          <w:p w14:paraId="3A99026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&lt;0.05</w:t>
            </w:r>
          </w:p>
        </w:tc>
      </w:tr>
      <w:tr w:rsidR="00E52F02" w14:paraId="741D4654" w14:textId="77777777">
        <w:tc>
          <w:tcPr>
            <w:tcW w:w="2700" w:type="dxa"/>
            <w:tcBorders>
              <w:bottom w:val="single" w:sz="4" w:space="0" w:color="000000"/>
            </w:tcBorders>
            <w:vAlign w:val="center"/>
          </w:tcPr>
          <w:p w14:paraId="0316807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Certification Approval Rate</w:t>
            </w:r>
          </w:p>
        </w:tc>
        <w:tc>
          <w:tcPr>
            <w:tcW w:w="1672" w:type="dxa"/>
            <w:tcBorders>
              <w:bottom w:val="single" w:sz="4" w:space="0" w:color="000000"/>
            </w:tcBorders>
            <w:vAlign w:val="center"/>
          </w:tcPr>
          <w:p w14:paraId="114A61E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94.2%</w:t>
            </w:r>
          </w:p>
        </w:tc>
        <w:tc>
          <w:tcPr>
            <w:tcW w:w="1622" w:type="dxa"/>
            <w:tcBorders>
              <w:bottom w:val="single" w:sz="4" w:space="0" w:color="000000"/>
            </w:tcBorders>
            <w:vAlign w:val="center"/>
          </w:tcPr>
          <w:p w14:paraId="6D9B394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78.6%</w:t>
            </w:r>
          </w:p>
        </w:tc>
        <w:tc>
          <w:tcPr>
            <w:tcW w:w="1793" w:type="dxa"/>
            <w:tcBorders>
              <w:bottom w:val="single" w:sz="4" w:space="0" w:color="000000"/>
            </w:tcBorders>
            <w:vAlign w:val="center"/>
          </w:tcPr>
          <w:p w14:paraId="76F25A5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+19.8%</w:t>
            </w:r>
          </w:p>
        </w:tc>
        <w:tc>
          <w:tcPr>
            <w:tcW w:w="1573" w:type="dxa"/>
            <w:tcBorders>
              <w:bottom w:val="single" w:sz="4" w:space="0" w:color="000000"/>
            </w:tcBorders>
            <w:vAlign w:val="center"/>
          </w:tcPr>
          <w:p w14:paraId="4A81E43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bl>
    <w:p w14:paraId="22200CBD" w14:textId="77777777" w:rsidR="00E52F02" w:rsidRDefault="00E52F02">
      <w:pPr>
        <w:spacing w:line="360" w:lineRule="auto"/>
        <w:jc w:val="both"/>
        <w:rPr>
          <w:rFonts w:ascii="Times New Roman" w:eastAsia="Times New Roman" w:hAnsi="Times New Roman" w:cs="Times New Roman"/>
        </w:rPr>
      </w:pPr>
    </w:p>
    <w:p w14:paraId="42956AD4" w14:textId="77777777" w:rsidR="00E52F02" w:rsidRDefault="00E52F02">
      <w:pPr>
        <w:spacing w:line="360" w:lineRule="auto"/>
        <w:jc w:val="both"/>
        <w:rPr>
          <w:rFonts w:ascii="Times New Roman" w:eastAsia="Times New Roman" w:hAnsi="Times New Roman" w:cs="Times New Roman"/>
        </w:rPr>
      </w:pPr>
    </w:p>
    <w:p w14:paraId="79301B62" w14:textId="77777777" w:rsidR="00E52F02" w:rsidRDefault="00E52F02">
      <w:pPr>
        <w:spacing w:line="360" w:lineRule="auto"/>
        <w:jc w:val="both"/>
        <w:rPr>
          <w:rFonts w:ascii="Times New Roman" w:eastAsia="Times New Roman" w:hAnsi="Times New Roman" w:cs="Times New Roman"/>
        </w:rPr>
      </w:pPr>
    </w:p>
    <w:p w14:paraId="45976CAC" w14:textId="2460AAED"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w:t>
      </w:r>
      <w:r w:rsidR="002536D3">
        <w:rPr>
          <w:rFonts w:ascii="Times New Roman" w:eastAsia="Times New Roman" w:hAnsi="Times New Roman" w:cs="Times New Roman"/>
          <w:b/>
          <w:bCs/>
        </w:rPr>
        <w:t>2</w:t>
      </w:r>
      <w:r>
        <w:rPr>
          <w:rFonts w:ascii="Times New Roman" w:eastAsia="Times New Roman" w:hAnsi="Times New Roman" w:cs="Times New Roman"/>
          <w:b/>
          <w:bCs/>
        </w:rPr>
        <w:t xml:space="preserve"> </w:t>
      </w:r>
    </w:p>
    <w:p w14:paraId="5D30D5E1"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Trust Score Evolution Across AI Lifecycle</w:t>
      </w:r>
    </w:p>
    <w:p w14:paraId="3589F8F2"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3CC1EB4D" wp14:editId="766CC85A">
            <wp:extent cx="4619696" cy="3297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4826"/>
                    <a:stretch>
                      <a:fillRect/>
                    </a:stretch>
                  </pic:blipFill>
                  <pic:spPr>
                    <a:xfrm>
                      <a:off x="0" y="0"/>
                      <a:ext cx="4619696" cy="3297520"/>
                    </a:xfrm>
                    <a:prstGeom prst="rect">
                      <a:avLst/>
                    </a:prstGeom>
                    <a:ln/>
                  </pic:spPr>
                </pic:pic>
              </a:graphicData>
            </a:graphic>
          </wp:inline>
        </w:drawing>
      </w:r>
    </w:p>
    <w:p w14:paraId="09203E73"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Behavioral </w:t>
      </w:r>
      <w:r>
        <w:rPr>
          <w:rFonts w:ascii="Times New Roman" w:eastAsia="Times New Roman" w:hAnsi="Times New Roman" w:cs="Times New Roman"/>
          <w:b/>
          <w:bCs/>
        </w:rPr>
        <w:t>Authentication System for Non-Human Identities</w:t>
      </w:r>
    </w:p>
    <w:p w14:paraId="35086FC9"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User and Entity Behavior Analytics-driven behavioral authentication engine demonstrated exceptional performance in distinguishing legitimate non-human identity activities from anomalous behaviors, achievin</w:t>
      </w:r>
      <w:r>
        <w:rPr>
          <w:rFonts w:ascii="Times New Roman" w:eastAsia="Times New Roman" w:hAnsi="Times New Roman" w:cs="Times New Roman"/>
        </w:rPr>
        <w:t>g 94 percent F1-score with only 1.2 percent false positive rate, substantially lower than traditional systems reporting 15 to 20 percent false positives. Table 2 presents detection metrics across ten thousand non-human identity behavioral patterns from the</w:t>
      </w:r>
      <w:r>
        <w:rPr>
          <w:rFonts w:ascii="Times New Roman" w:eastAsia="Times New Roman" w:hAnsi="Times New Roman" w:cs="Times New Roman"/>
        </w:rPr>
        <w:t xml:space="preserve"> University of Maryland Android App dataset and synthetic agent traces. </w:t>
      </w:r>
    </w:p>
    <w:p w14:paraId="1FB539BA" w14:textId="77777777" w:rsidR="00E52F02" w:rsidRDefault="00A15A26">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Table 2 </w:t>
      </w:r>
    </w:p>
    <w:p w14:paraId="067467E5" w14:textId="77777777" w:rsidR="00E52F02" w:rsidRDefault="00A15A26">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Behavioral Authentication Performance</w:t>
      </w:r>
    </w:p>
    <w:tbl>
      <w:tblPr>
        <w:tblStyle w:val="a0"/>
        <w:tblW w:w="9359" w:type="dxa"/>
        <w:tblInd w:w="0" w:type="dxa"/>
        <w:tblLayout w:type="fixed"/>
        <w:tblLook w:val="0400" w:firstRow="0" w:lastRow="0" w:firstColumn="0" w:lastColumn="0" w:noHBand="0" w:noVBand="1"/>
      </w:tblPr>
      <w:tblGrid>
        <w:gridCol w:w="2343"/>
        <w:gridCol w:w="870"/>
        <w:gridCol w:w="1107"/>
        <w:gridCol w:w="900"/>
        <w:gridCol w:w="810"/>
        <w:gridCol w:w="764"/>
        <w:gridCol w:w="1243"/>
        <w:gridCol w:w="1322"/>
      </w:tblGrid>
      <w:tr w:rsidR="00E52F02" w14:paraId="11A3EC5E" w14:textId="77777777">
        <w:trPr>
          <w:tblHeader/>
        </w:trPr>
        <w:tc>
          <w:tcPr>
            <w:tcW w:w="2344" w:type="dxa"/>
            <w:tcBorders>
              <w:top w:val="single" w:sz="4" w:space="0" w:color="000000"/>
              <w:bottom w:val="single" w:sz="4" w:space="0" w:color="000000"/>
            </w:tcBorders>
            <w:vAlign w:val="center"/>
          </w:tcPr>
          <w:p w14:paraId="3AC26F12" w14:textId="77777777" w:rsidR="00E52F02" w:rsidRDefault="00A15A26">
            <w:pPr>
              <w:spacing w:line="240" w:lineRule="auto"/>
              <w:rPr>
                <w:rFonts w:ascii="Times New Roman" w:eastAsia="Times New Roman" w:hAnsi="Times New Roman" w:cs="Times New Roman"/>
                <w:b/>
                <w:bCs/>
              </w:rPr>
            </w:pPr>
            <w:r>
              <w:rPr>
                <w:rFonts w:ascii="Times New Roman" w:eastAsia="Times New Roman" w:hAnsi="Times New Roman" w:cs="Times New Roman"/>
                <w:b/>
                <w:bCs/>
              </w:rPr>
              <w:t>Detection Method</w:t>
            </w:r>
          </w:p>
        </w:tc>
        <w:tc>
          <w:tcPr>
            <w:tcW w:w="870" w:type="dxa"/>
            <w:tcBorders>
              <w:top w:val="single" w:sz="4" w:space="0" w:color="000000"/>
              <w:bottom w:val="single" w:sz="4" w:space="0" w:color="000000"/>
            </w:tcBorders>
            <w:vAlign w:val="center"/>
          </w:tcPr>
          <w:p w14:paraId="502BC5D4"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F1-Score</w:t>
            </w:r>
          </w:p>
        </w:tc>
        <w:tc>
          <w:tcPr>
            <w:tcW w:w="1107" w:type="dxa"/>
            <w:tcBorders>
              <w:top w:val="single" w:sz="4" w:space="0" w:color="000000"/>
              <w:bottom w:val="single" w:sz="4" w:space="0" w:color="000000"/>
            </w:tcBorders>
            <w:vAlign w:val="center"/>
          </w:tcPr>
          <w:p w14:paraId="3A512A03"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Precision</w:t>
            </w:r>
          </w:p>
        </w:tc>
        <w:tc>
          <w:tcPr>
            <w:tcW w:w="900" w:type="dxa"/>
            <w:tcBorders>
              <w:top w:val="single" w:sz="4" w:space="0" w:color="000000"/>
              <w:bottom w:val="single" w:sz="4" w:space="0" w:color="000000"/>
            </w:tcBorders>
            <w:vAlign w:val="center"/>
          </w:tcPr>
          <w:p w14:paraId="56C58051"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Recall</w:t>
            </w:r>
          </w:p>
        </w:tc>
        <w:tc>
          <w:tcPr>
            <w:tcW w:w="810" w:type="dxa"/>
            <w:tcBorders>
              <w:top w:val="single" w:sz="4" w:space="0" w:color="000000"/>
              <w:bottom w:val="single" w:sz="4" w:space="0" w:color="000000"/>
            </w:tcBorders>
            <w:vAlign w:val="center"/>
          </w:tcPr>
          <w:p w14:paraId="71D88B59"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AUC-ROC</w:t>
            </w:r>
          </w:p>
        </w:tc>
        <w:tc>
          <w:tcPr>
            <w:tcW w:w="764" w:type="dxa"/>
            <w:tcBorders>
              <w:top w:val="single" w:sz="4" w:space="0" w:color="000000"/>
              <w:bottom w:val="single" w:sz="4" w:space="0" w:color="000000"/>
            </w:tcBorders>
            <w:vAlign w:val="center"/>
          </w:tcPr>
          <w:p w14:paraId="1B66D310"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FPR (%)</w:t>
            </w:r>
          </w:p>
        </w:tc>
        <w:tc>
          <w:tcPr>
            <w:tcW w:w="1243" w:type="dxa"/>
            <w:tcBorders>
              <w:top w:val="single" w:sz="4" w:space="0" w:color="000000"/>
              <w:bottom w:val="single" w:sz="4" w:space="0" w:color="000000"/>
            </w:tcBorders>
            <w:vAlign w:val="center"/>
          </w:tcPr>
          <w:p w14:paraId="52BBDEDC"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Latency (</w:t>
            </w:r>
            <w:proofErr w:type="spellStart"/>
            <w:r>
              <w:rPr>
                <w:rFonts w:ascii="Times New Roman" w:eastAsia="Times New Roman" w:hAnsi="Times New Roman" w:cs="Times New Roman"/>
                <w:b/>
                <w:bCs/>
              </w:rPr>
              <w:t>ms</w:t>
            </w:r>
            <w:proofErr w:type="spellEnd"/>
            <w:r>
              <w:rPr>
                <w:rFonts w:ascii="Times New Roman" w:eastAsia="Times New Roman" w:hAnsi="Times New Roman" w:cs="Times New Roman"/>
                <w:b/>
                <w:bCs/>
              </w:rPr>
              <w:t>)</w:t>
            </w:r>
          </w:p>
        </w:tc>
        <w:tc>
          <w:tcPr>
            <w:tcW w:w="1322" w:type="dxa"/>
            <w:tcBorders>
              <w:top w:val="single" w:sz="4" w:space="0" w:color="000000"/>
              <w:bottom w:val="single" w:sz="4" w:space="0" w:color="000000"/>
            </w:tcBorders>
            <w:vAlign w:val="center"/>
          </w:tcPr>
          <w:p w14:paraId="0C6173CB"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Baseline Drift</w:t>
            </w:r>
          </w:p>
        </w:tc>
      </w:tr>
      <w:tr w:rsidR="00E52F02" w14:paraId="5872157E" w14:textId="77777777">
        <w:tc>
          <w:tcPr>
            <w:tcW w:w="2344" w:type="dxa"/>
            <w:vAlign w:val="center"/>
          </w:tcPr>
          <w:p w14:paraId="58AF9FC6"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Isolation Forest (Proposed)</w:t>
            </w:r>
          </w:p>
        </w:tc>
        <w:tc>
          <w:tcPr>
            <w:tcW w:w="870" w:type="dxa"/>
            <w:vAlign w:val="center"/>
          </w:tcPr>
          <w:p w14:paraId="64914FA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0.942</w:t>
            </w:r>
          </w:p>
        </w:tc>
        <w:tc>
          <w:tcPr>
            <w:tcW w:w="1107" w:type="dxa"/>
            <w:vAlign w:val="center"/>
          </w:tcPr>
          <w:p w14:paraId="35A9F35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0.951</w:t>
            </w:r>
          </w:p>
        </w:tc>
        <w:tc>
          <w:tcPr>
            <w:tcW w:w="900" w:type="dxa"/>
            <w:vAlign w:val="center"/>
          </w:tcPr>
          <w:p w14:paraId="53E92E7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0.934</w:t>
            </w:r>
          </w:p>
        </w:tc>
        <w:tc>
          <w:tcPr>
            <w:tcW w:w="810" w:type="dxa"/>
            <w:vAlign w:val="center"/>
          </w:tcPr>
          <w:p w14:paraId="33A9621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0.981</w:t>
            </w:r>
          </w:p>
        </w:tc>
        <w:tc>
          <w:tcPr>
            <w:tcW w:w="764" w:type="dxa"/>
            <w:vAlign w:val="center"/>
          </w:tcPr>
          <w:p w14:paraId="0425607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243" w:type="dxa"/>
            <w:vAlign w:val="center"/>
          </w:tcPr>
          <w:p w14:paraId="28F30AC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1322" w:type="dxa"/>
            <w:vAlign w:val="center"/>
          </w:tcPr>
          <w:p w14:paraId="0EF141B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0.040</w:t>
            </w:r>
          </w:p>
        </w:tc>
      </w:tr>
      <w:tr w:rsidR="00E52F02" w14:paraId="4B1D78D7" w14:textId="77777777">
        <w:tc>
          <w:tcPr>
            <w:tcW w:w="2344" w:type="dxa"/>
            <w:vAlign w:val="center"/>
          </w:tcPr>
          <w:p w14:paraId="2BAF55B8" w14:textId="77777777" w:rsidR="00E52F02" w:rsidRDefault="00A15A26">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w:t>
            </w:r>
          </w:p>
        </w:tc>
        <w:tc>
          <w:tcPr>
            <w:tcW w:w="870" w:type="dxa"/>
            <w:vAlign w:val="center"/>
          </w:tcPr>
          <w:p w14:paraId="0078509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0.928</w:t>
            </w:r>
          </w:p>
        </w:tc>
        <w:tc>
          <w:tcPr>
            <w:tcW w:w="1107" w:type="dxa"/>
            <w:vAlign w:val="center"/>
          </w:tcPr>
          <w:p w14:paraId="22B91F3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0.936</w:t>
            </w:r>
          </w:p>
        </w:tc>
        <w:tc>
          <w:tcPr>
            <w:tcW w:w="900" w:type="dxa"/>
            <w:vAlign w:val="center"/>
          </w:tcPr>
          <w:p w14:paraId="32EEE00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0.921</w:t>
            </w:r>
          </w:p>
        </w:tc>
        <w:tc>
          <w:tcPr>
            <w:tcW w:w="810" w:type="dxa"/>
            <w:vAlign w:val="center"/>
          </w:tcPr>
          <w:p w14:paraId="1114BB6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0.974</w:t>
            </w:r>
          </w:p>
        </w:tc>
        <w:tc>
          <w:tcPr>
            <w:tcW w:w="764" w:type="dxa"/>
            <w:vAlign w:val="center"/>
          </w:tcPr>
          <w:p w14:paraId="63672F1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1.8</w:t>
            </w:r>
          </w:p>
        </w:tc>
        <w:tc>
          <w:tcPr>
            <w:tcW w:w="1243" w:type="dxa"/>
            <w:vAlign w:val="center"/>
          </w:tcPr>
          <w:p w14:paraId="0887139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28</w:t>
            </w:r>
          </w:p>
        </w:tc>
        <w:tc>
          <w:tcPr>
            <w:tcW w:w="1322" w:type="dxa"/>
            <w:vAlign w:val="center"/>
          </w:tcPr>
          <w:p w14:paraId="41072B8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0.042</w:t>
            </w:r>
          </w:p>
        </w:tc>
      </w:tr>
      <w:tr w:rsidR="00E52F02" w14:paraId="17846BB4" w14:textId="77777777">
        <w:tc>
          <w:tcPr>
            <w:tcW w:w="2344" w:type="dxa"/>
            <w:vAlign w:val="center"/>
          </w:tcPr>
          <w:p w14:paraId="44B19CAF"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Traditional OAuth</w:t>
            </w:r>
          </w:p>
        </w:tc>
        <w:tc>
          <w:tcPr>
            <w:tcW w:w="870" w:type="dxa"/>
            <w:vAlign w:val="center"/>
          </w:tcPr>
          <w:p w14:paraId="6CD4B17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0.786</w:t>
            </w:r>
          </w:p>
        </w:tc>
        <w:tc>
          <w:tcPr>
            <w:tcW w:w="1107" w:type="dxa"/>
            <w:vAlign w:val="center"/>
          </w:tcPr>
          <w:p w14:paraId="36A96F3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0.742</w:t>
            </w:r>
          </w:p>
        </w:tc>
        <w:tc>
          <w:tcPr>
            <w:tcW w:w="900" w:type="dxa"/>
            <w:vAlign w:val="center"/>
          </w:tcPr>
          <w:p w14:paraId="1D1D297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0.834</w:t>
            </w:r>
          </w:p>
        </w:tc>
        <w:tc>
          <w:tcPr>
            <w:tcW w:w="810" w:type="dxa"/>
            <w:vAlign w:val="center"/>
          </w:tcPr>
          <w:p w14:paraId="02CB82F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0.851</w:t>
            </w:r>
          </w:p>
        </w:tc>
        <w:tc>
          <w:tcPr>
            <w:tcW w:w="764" w:type="dxa"/>
            <w:vAlign w:val="center"/>
          </w:tcPr>
          <w:p w14:paraId="546BBF9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18.3</w:t>
            </w:r>
          </w:p>
        </w:tc>
        <w:tc>
          <w:tcPr>
            <w:tcW w:w="1243" w:type="dxa"/>
            <w:vAlign w:val="center"/>
          </w:tcPr>
          <w:p w14:paraId="44A2658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120</w:t>
            </w:r>
          </w:p>
        </w:tc>
        <w:tc>
          <w:tcPr>
            <w:tcW w:w="1322" w:type="dxa"/>
            <w:vAlign w:val="center"/>
          </w:tcPr>
          <w:p w14:paraId="251E53E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1109C4E1" w14:textId="77777777">
        <w:tc>
          <w:tcPr>
            <w:tcW w:w="2344" w:type="dxa"/>
            <w:tcBorders>
              <w:bottom w:val="single" w:sz="4" w:space="0" w:color="000000"/>
            </w:tcBorders>
            <w:vAlign w:val="center"/>
          </w:tcPr>
          <w:p w14:paraId="4E249C20"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SPIFFE/SPIRE (Baseline)</w:t>
            </w:r>
          </w:p>
        </w:tc>
        <w:tc>
          <w:tcPr>
            <w:tcW w:w="870" w:type="dxa"/>
            <w:tcBorders>
              <w:bottom w:val="single" w:sz="4" w:space="0" w:color="000000"/>
            </w:tcBorders>
            <w:vAlign w:val="center"/>
          </w:tcPr>
          <w:p w14:paraId="6D86594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0.892</w:t>
            </w:r>
          </w:p>
        </w:tc>
        <w:tc>
          <w:tcPr>
            <w:tcW w:w="1107" w:type="dxa"/>
            <w:tcBorders>
              <w:bottom w:val="single" w:sz="4" w:space="0" w:color="000000"/>
            </w:tcBorders>
            <w:vAlign w:val="center"/>
          </w:tcPr>
          <w:p w14:paraId="561B067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0.881</w:t>
            </w:r>
          </w:p>
        </w:tc>
        <w:tc>
          <w:tcPr>
            <w:tcW w:w="900" w:type="dxa"/>
            <w:tcBorders>
              <w:bottom w:val="single" w:sz="4" w:space="0" w:color="000000"/>
            </w:tcBorders>
            <w:vAlign w:val="center"/>
          </w:tcPr>
          <w:p w14:paraId="65D3631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0.903</w:t>
            </w:r>
          </w:p>
        </w:tc>
        <w:tc>
          <w:tcPr>
            <w:tcW w:w="810" w:type="dxa"/>
            <w:tcBorders>
              <w:bottom w:val="single" w:sz="4" w:space="0" w:color="000000"/>
            </w:tcBorders>
            <w:vAlign w:val="center"/>
          </w:tcPr>
          <w:p w14:paraId="798D1FC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0.937</w:t>
            </w:r>
          </w:p>
        </w:tc>
        <w:tc>
          <w:tcPr>
            <w:tcW w:w="764" w:type="dxa"/>
            <w:tcBorders>
              <w:bottom w:val="single" w:sz="4" w:space="0" w:color="000000"/>
            </w:tcBorders>
            <w:vAlign w:val="center"/>
          </w:tcPr>
          <w:p w14:paraId="3608040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6.4</w:t>
            </w:r>
          </w:p>
        </w:tc>
        <w:tc>
          <w:tcPr>
            <w:tcW w:w="1243" w:type="dxa"/>
            <w:tcBorders>
              <w:bottom w:val="single" w:sz="4" w:space="0" w:color="000000"/>
            </w:tcBorders>
            <w:vAlign w:val="center"/>
          </w:tcPr>
          <w:p w14:paraId="6C8E92E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54</w:t>
            </w:r>
          </w:p>
        </w:tc>
        <w:tc>
          <w:tcPr>
            <w:tcW w:w="1322" w:type="dxa"/>
            <w:tcBorders>
              <w:bottom w:val="single" w:sz="4" w:space="0" w:color="000000"/>
            </w:tcBorders>
            <w:vAlign w:val="center"/>
          </w:tcPr>
          <w:p w14:paraId="34A74B8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0.067</w:t>
            </w:r>
          </w:p>
        </w:tc>
      </w:tr>
    </w:tbl>
    <w:p w14:paraId="3ED293C0" w14:textId="689A6935"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Isolation Forest algorithm achieved F1-Score 0.942, Precision 0.951, Recall 0.934, and Area Under ROC Curve 0.981, with detection latency of thirty-two milliseconds are shown in Figure </w:t>
      </w:r>
      <w:r w:rsidR="002536D3">
        <w:rPr>
          <w:rFonts w:ascii="Times New Roman" w:eastAsia="Times New Roman" w:hAnsi="Times New Roman" w:cs="Times New Roman"/>
        </w:rPr>
        <w:t>3</w:t>
      </w:r>
      <w:r>
        <w:rPr>
          <w:rFonts w:ascii="Times New Roman" w:eastAsia="Times New Roman" w:hAnsi="Times New Roman" w:cs="Times New Roman"/>
        </w:rPr>
        <w:t>.</w:t>
      </w:r>
    </w:p>
    <w:p w14:paraId="2F7B0671" w14:textId="3D6EFB75"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w:t>
      </w:r>
      <w:r w:rsidR="002536D3">
        <w:rPr>
          <w:rFonts w:ascii="Times New Roman" w:eastAsia="Times New Roman" w:hAnsi="Times New Roman" w:cs="Times New Roman"/>
          <w:b/>
          <w:bCs/>
        </w:rPr>
        <w:t>3</w:t>
      </w:r>
    </w:p>
    <w:p w14:paraId="1DB2E0CA"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Anomaly Score Distributions and ROC Curve for NHI </w:t>
      </w:r>
      <w:r>
        <w:rPr>
          <w:rFonts w:ascii="Times New Roman" w:eastAsia="Times New Roman" w:hAnsi="Times New Roman" w:cs="Times New Roman"/>
          <w:i/>
          <w:iCs/>
        </w:rPr>
        <w:t>behavioral Authentication</w:t>
      </w:r>
    </w:p>
    <w:p w14:paraId="726660A6"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64F2DAA" wp14:editId="6697AE18">
            <wp:extent cx="5032927" cy="314997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16550"/>
                    <a:stretch>
                      <a:fillRect/>
                    </a:stretch>
                  </pic:blipFill>
                  <pic:spPr>
                    <a:xfrm>
                      <a:off x="0" y="0"/>
                      <a:ext cx="5032927" cy="3149978"/>
                    </a:xfrm>
                    <a:prstGeom prst="rect">
                      <a:avLst/>
                    </a:prstGeom>
                    <a:ln/>
                  </pic:spPr>
                </pic:pic>
              </a:graphicData>
            </a:graphic>
          </wp:inline>
        </w:drawing>
      </w:r>
      <w:r>
        <w:rPr>
          <w:rFonts w:ascii="Times New Roman" w:eastAsia="Times New Roman" w:hAnsi="Times New Roman" w:cs="Times New Roman"/>
        </w:rPr>
        <w:t xml:space="preserve">Complementary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Distance implementation achieved F1-Score 0.928, Precision 0.936, Recall 0.921, and AUC 0.974, with 28 milliseconds latency. Traditional OAuth authentication performed poorly with F1-Score 0.786, Precisi</w:t>
      </w:r>
      <w:r>
        <w:rPr>
          <w:rFonts w:ascii="Times New Roman" w:eastAsia="Times New Roman" w:hAnsi="Times New Roman" w:cs="Times New Roman"/>
        </w:rPr>
        <w:t>on 0.742, Recall 0.834, and 18.3 percent false positives, while baseline SPIFFE/SPIRE implementation achieved F1-Score 0.892 and 6.4 percent false positives.</w:t>
      </w:r>
    </w:p>
    <w:p w14:paraId="5C96B42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framework established behavioral baselines for eight non-human identity features including API</w:t>
      </w:r>
      <w:r>
        <w:rPr>
          <w:rFonts w:ascii="Times New Roman" w:eastAsia="Times New Roman" w:hAnsi="Times New Roman" w:cs="Times New Roman"/>
        </w:rPr>
        <w:t xml:space="preserve"> calls, decision latency, data access patterns, CPU/memory usage, network I/O, and trust scores. </w:t>
      </w:r>
      <w:proofErr w:type="spellStart"/>
      <w:r>
        <w:rPr>
          <w:rFonts w:ascii="Times New Roman" w:eastAsia="Times New Roman" w:hAnsi="Times New Roman" w:cs="Times New Roman"/>
        </w:rPr>
        <w:t>Mahalanobis</w:t>
      </w:r>
      <w:proofErr w:type="spellEnd"/>
      <w:r>
        <w:rPr>
          <w:rFonts w:ascii="Times New Roman" w:eastAsia="Times New Roman" w:hAnsi="Times New Roman" w:cs="Times New Roman"/>
        </w:rPr>
        <w:t xml:space="preserve"> thresholding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oMath>
      <w:r>
        <w:rPr>
          <w:rFonts w:ascii="Times New Roman" w:eastAsia="Times New Roman" w:hAnsi="Times New Roman" w:cs="Times New Roman"/>
        </w:rPr>
        <w:t xml:space="preserve"> &gt; 6.2 provided passive continuous authentication, reducing false negatives by 8 percent. Healthcare validation with synthetic EHR</w:t>
      </w:r>
      <w:r>
        <w:rPr>
          <w:rFonts w:ascii="Times New Roman" w:eastAsia="Times New Roman" w:hAnsi="Times New Roman" w:cs="Times New Roman"/>
        </w:rPr>
        <w:t xml:space="preserve"> access logs achieved 97.6 percent accuracy in detecting anomalies such as post-discharge access and excessive sessions. Table 3 illustrates non-human identity visibility increasing from 8.4 percent to 96.2 percent, Mean Time to Detection decreasing from s</w:t>
      </w:r>
      <w:r>
        <w:rPr>
          <w:rFonts w:ascii="Times New Roman" w:eastAsia="Times New Roman" w:hAnsi="Times New Roman" w:cs="Times New Roman"/>
        </w:rPr>
        <w:t xml:space="preserve">eventy-two hours to 0.8 hours, and Mean Time to Response from 48.6 hours to 1.2 hours. </w:t>
      </w:r>
    </w:p>
    <w:p w14:paraId="1C89C264"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3</w:t>
      </w:r>
    </w:p>
    <w:p w14:paraId="6BF32CB9"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NHI Security Posture Improvement</w:t>
      </w:r>
    </w:p>
    <w:tbl>
      <w:tblPr>
        <w:tblStyle w:val="a1"/>
        <w:tblW w:w="9360" w:type="dxa"/>
        <w:tblInd w:w="0" w:type="dxa"/>
        <w:tblLayout w:type="fixed"/>
        <w:tblLook w:val="0400" w:firstRow="0" w:lastRow="0" w:firstColumn="0" w:lastColumn="0" w:noHBand="0" w:noVBand="1"/>
      </w:tblPr>
      <w:tblGrid>
        <w:gridCol w:w="3695"/>
        <w:gridCol w:w="2062"/>
        <w:gridCol w:w="2132"/>
        <w:gridCol w:w="1471"/>
      </w:tblGrid>
      <w:tr w:rsidR="00E52F02" w14:paraId="1157DC2A" w14:textId="77777777">
        <w:trPr>
          <w:tblHeader/>
        </w:trPr>
        <w:tc>
          <w:tcPr>
            <w:tcW w:w="3695" w:type="dxa"/>
            <w:tcBorders>
              <w:top w:val="single" w:sz="4" w:space="0" w:color="000000"/>
              <w:bottom w:val="single" w:sz="4" w:space="0" w:color="000000"/>
            </w:tcBorders>
            <w:vAlign w:val="center"/>
          </w:tcPr>
          <w:p w14:paraId="6B07B076" w14:textId="77777777" w:rsidR="00E52F02" w:rsidRDefault="00A15A26">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Metric</w:t>
            </w:r>
          </w:p>
        </w:tc>
        <w:tc>
          <w:tcPr>
            <w:tcW w:w="2062" w:type="dxa"/>
            <w:tcBorders>
              <w:top w:val="single" w:sz="4" w:space="0" w:color="000000"/>
              <w:bottom w:val="single" w:sz="4" w:space="0" w:color="000000"/>
            </w:tcBorders>
            <w:vAlign w:val="center"/>
          </w:tcPr>
          <w:p w14:paraId="2109976E"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Pre-Implementation</w:t>
            </w:r>
          </w:p>
        </w:tc>
        <w:tc>
          <w:tcPr>
            <w:tcW w:w="2132" w:type="dxa"/>
            <w:tcBorders>
              <w:top w:val="single" w:sz="4" w:space="0" w:color="000000"/>
              <w:bottom w:val="single" w:sz="4" w:space="0" w:color="000000"/>
            </w:tcBorders>
            <w:vAlign w:val="center"/>
          </w:tcPr>
          <w:p w14:paraId="0803147B"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Post-Implementation</w:t>
            </w:r>
          </w:p>
        </w:tc>
        <w:tc>
          <w:tcPr>
            <w:tcW w:w="1471" w:type="dxa"/>
            <w:tcBorders>
              <w:top w:val="single" w:sz="4" w:space="0" w:color="000000"/>
              <w:bottom w:val="single" w:sz="4" w:space="0" w:color="000000"/>
            </w:tcBorders>
            <w:vAlign w:val="center"/>
          </w:tcPr>
          <w:p w14:paraId="79356B07"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Improvement</w:t>
            </w:r>
          </w:p>
        </w:tc>
      </w:tr>
      <w:tr w:rsidR="00E52F02" w14:paraId="47CAC770" w14:textId="77777777">
        <w:tc>
          <w:tcPr>
            <w:tcW w:w="3695" w:type="dxa"/>
            <w:vAlign w:val="center"/>
          </w:tcPr>
          <w:p w14:paraId="72A5EB08"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NHI Visibility (%)</w:t>
            </w:r>
          </w:p>
        </w:tc>
        <w:tc>
          <w:tcPr>
            <w:tcW w:w="2062" w:type="dxa"/>
            <w:vAlign w:val="center"/>
          </w:tcPr>
          <w:p w14:paraId="62367F7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8.4</w:t>
            </w:r>
          </w:p>
        </w:tc>
        <w:tc>
          <w:tcPr>
            <w:tcW w:w="2132" w:type="dxa"/>
            <w:vAlign w:val="center"/>
          </w:tcPr>
          <w:p w14:paraId="5FC44E3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96.2</w:t>
            </w:r>
          </w:p>
        </w:tc>
        <w:tc>
          <w:tcPr>
            <w:tcW w:w="1471" w:type="dxa"/>
            <w:vAlign w:val="center"/>
          </w:tcPr>
          <w:p w14:paraId="08F8B1D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+1045%</w:t>
            </w:r>
          </w:p>
        </w:tc>
      </w:tr>
      <w:tr w:rsidR="00E52F02" w14:paraId="51241E38" w14:textId="77777777">
        <w:tc>
          <w:tcPr>
            <w:tcW w:w="3695" w:type="dxa"/>
            <w:vAlign w:val="center"/>
          </w:tcPr>
          <w:p w14:paraId="49520115"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 xml:space="preserve">Mean Time to Detection (MTTD) </w:t>
            </w:r>
            <w:r>
              <w:rPr>
                <w:rFonts w:ascii="Times New Roman" w:eastAsia="Times New Roman" w:hAnsi="Times New Roman" w:cs="Times New Roman"/>
              </w:rPr>
              <w:t>(</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c>
          <w:tcPr>
            <w:tcW w:w="2062" w:type="dxa"/>
            <w:vAlign w:val="center"/>
          </w:tcPr>
          <w:p w14:paraId="6A0063F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72.3</w:t>
            </w:r>
          </w:p>
        </w:tc>
        <w:tc>
          <w:tcPr>
            <w:tcW w:w="2132" w:type="dxa"/>
            <w:vAlign w:val="center"/>
          </w:tcPr>
          <w:p w14:paraId="2C07AC5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w:t>
            </w:r>
          </w:p>
        </w:tc>
        <w:tc>
          <w:tcPr>
            <w:tcW w:w="1471" w:type="dxa"/>
            <w:vAlign w:val="center"/>
          </w:tcPr>
          <w:p w14:paraId="3D6B1C2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-98.9%</w:t>
            </w:r>
          </w:p>
        </w:tc>
      </w:tr>
      <w:tr w:rsidR="00E52F02" w14:paraId="74D8C374" w14:textId="77777777">
        <w:tc>
          <w:tcPr>
            <w:tcW w:w="3695" w:type="dxa"/>
            <w:vAlign w:val="center"/>
          </w:tcPr>
          <w:p w14:paraId="71A83590"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Mean Time to Response (MTTR)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c>
          <w:tcPr>
            <w:tcW w:w="2062" w:type="dxa"/>
            <w:vAlign w:val="center"/>
          </w:tcPr>
          <w:p w14:paraId="5D1BD2B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48.6</w:t>
            </w:r>
          </w:p>
        </w:tc>
        <w:tc>
          <w:tcPr>
            <w:tcW w:w="2132" w:type="dxa"/>
            <w:vAlign w:val="center"/>
          </w:tcPr>
          <w:p w14:paraId="0F709F9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471" w:type="dxa"/>
            <w:vAlign w:val="center"/>
          </w:tcPr>
          <w:p w14:paraId="6EA6174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-97.5%</w:t>
            </w:r>
          </w:p>
        </w:tc>
      </w:tr>
      <w:tr w:rsidR="00E52F02" w14:paraId="4A36B757" w14:textId="77777777">
        <w:tc>
          <w:tcPr>
            <w:tcW w:w="3695" w:type="dxa"/>
            <w:vAlign w:val="center"/>
          </w:tcPr>
          <w:p w14:paraId="3ACF3B4B"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Credential Rotation Frequency</w:t>
            </w:r>
          </w:p>
        </w:tc>
        <w:tc>
          <w:tcPr>
            <w:tcW w:w="2062" w:type="dxa"/>
            <w:vAlign w:val="center"/>
          </w:tcPr>
          <w:p w14:paraId="3B22735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Annual</w:t>
            </w:r>
          </w:p>
        </w:tc>
        <w:tc>
          <w:tcPr>
            <w:tcW w:w="2132" w:type="dxa"/>
            <w:vAlign w:val="center"/>
          </w:tcPr>
          <w:p w14:paraId="33B02BF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On-demand</w:t>
            </w:r>
          </w:p>
        </w:tc>
        <w:tc>
          <w:tcPr>
            <w:tcW w:w="1471" w:type="dxa"/>
            <w:vAlign w:val="center"/>
          </w:tcPr>
          <w:p w14:paraId="0894A97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3CD41EC0" w14:textId="77777777">
        <w:tc>
          <w:tcPr>
            <w:tcW w:w="3695" w:type="dxa"/>
            <w:vAlign w:val="center"/>
          </w:tcPr>
          <w:p w14:paraId="30244E69"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Compromised Identity Detection Rate (%)</w:t>
            </w:r>
          </w:p>
        </w:tc>
        <w:tc>
          <w:tcPr>
            <w:tcW w:w="2062" w:type="dxa"/>
            <w:vAlign w:val="center"/>
          </w:tcPr>
          <w:p w14:paraId="7BE0E8C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34.2</w:t>
            </w:r>
          </w:p>
        </w:tc>
        <w:tc>
          <w:tcPr>
            <w:tcW w:w="2132" w:type="dxa"/>
            <w:vAlign w:val="center"/>
          </w:tcPr>
          <w:p w14:paraId="7E4E59C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94.8</w:t>
            </w:r>
          </w:p>
        </w:tc>
        <w:tc>
          <w:tcPr>
            <w:tcW w:w="1471" w:type="dxa"/>
            <w:vAlign w:val="center"/>
          </w:tcPr>
          <w:p w14:paraId="1ED7188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+177%</w:t>
            </w:r>
          </w:p>
        </w:tc>
      </w:tr>
      <w:tr w:rsidR="00E52F02" w14:paraId="581837A9" w14:textId="77777777">
        <w:tc>
          <w:tcPr>
            <w:tcW w:w="3695" w:type="dxa"/>
            <w:tcBorders>
              <w:bottom w:val="single" w:sz="4" w:space="0" w:color="000000"/>
            </w:tcBorders>
            <w:vAlign w:val="center"/>
          </w:tcPr>
          <w:p w14:paraId="30AC7854"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False Positive Alerts (monthly)</w:t>
            </w:r>
          </w:p>
        </w:tc>
        <w:tc>
          <w:tcPr>
            <w:tcW w:w="2062" w:type="dxa"/>
            <w:tcBorders>
              <w:bottom w:val="single" w:sz="4" w:space="0" w:color="000000"/>
            </w:tcBorders>
            <w:vAlign w:val="center"/>
          </w:tcPr>
          <w:p w14:paraId="6390FA6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2,840</w:t>
            </w:r>
          </w:p>
        </w:tc>
        <w:tc>
          <w:tcPr>
            <w:tcW w:w="2132" w:type="dxa"/>
            <w:tcBorders>
              <w:bottom w:val="single" w:sz="4" w:space="0" w:color="000000"/>
            </w:tcBorders>
            <w:vAlign w:val="center"/>
          </w:tcPr>
          <w:p w14:paraId="4BE3B4C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156</w:t>
            </w:r>
          </w:p>
        </w:tc>
        <w:tc>
          <w:tcPr>
            <w:tcW w:w="1471" w:type="dxa"/>
            <w:tcBorders>
              <w:bottom w:val="single" w:sz="4" w:space="0" w:color="000000"/>
            </w:tcBorders>
            <w:vAlign w:val="center"/>
          </w:tcPr>
          <w:p w14:paraId="799B5BA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-94.5%</w:t>
            </w:r>
          </w:p>
        </w:tc>
      </w:tr>
    </w:tbl>
    <w:p w14:paraId="341C4382" w14:textId="77777777" w:rsidR="00E52F02" w:rsidRDefault="00A15A26">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Credential rotation </w:t>
      </w:r>
      <w:r>
        <w:rPr>
          <w:rFonts w:ascii="Times New Roman" w:eastAsia="Times New Roman" w:hAnsi="Times New Roman" w:cs="Times New Roman"/>
        </w:rPr>
        <w:t>became automated, reducing sprawl by 83 percent, compromised identity detection improved from 34.2 percent to 94.8 percent, and false positives decreased from 2,840 to 156 monthly occurrences. Integration with SPIFFE/SPIRE enabled decentralized identifiers</w:t>
      </w:r>
      <w:r>
        <w:rPr>
          <w:rFonts w:ascii="Times New Roman" w:eastAsia="Times New Roman" w:hAnsi="Times New Roman" w:cs="Times New Roman"/>
        </w:rPr>
        <w:t xml:space="preserve"> and verifiable credentials for over five thousand synthetic agents, validating zero-knowledge proof-based privacy-preserving authentication.</w:t>
      </w:r>
    </w:p>
    <w:p w14:paraId="3B56A865"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Artificial Intelligence-Agent Risk Monitoring Framework</w:t>
      </w:r>
    </w:p>
    <w:p w14:paraId="06870030"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autoencoder-based anomaly detection framework for AI-a</w:t>
      </w:r>
      <w:r>
        <w:rPr>
          <w:rFonts w:ascii="Times New Roman" w:eastAsia="Times New Roman" w:hAnsi="Times New Roman" w:cs="Times New Roman"/>
        </w:rPr>
        <w:t>gent risk monitoring achieved 93.7 percent F1-score with 97.6 percent Area Under ROC Curve across twenty thousand NSL-KDD threat simulation instances, validating effectiveness for zero-trust healthcare infrastructures. Table 4 summarizes threat detection a</w:t>
      </w:r>
      <w:r>
        <w:rPr>
          <w:rFonts w:ascii="Times New Roman" w:eastAsia="Times New Roman" w:hAnsi="Times New Roman" w:cs="Times New Roman"/>
        </w:rPr>
        <w:t xml:space="preserve">nd incident response performance across multiple evaluation dimensions. </w:t>
      </w:r>
    </w:p>
    <w:p w14:paraId="041EEE95"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31B385FF"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Risk Monitoring Framework Performance</w:t>
      </w:r>
    </w:p>
    <w:tbl>
      <w:tblPr>
        <w:tblStyle w:val="a2"/>
        <w:tblW w:w="9360" w:type="dxa"/>
        <w:tblInd w:w="0" w:type="dxa"/>
        <w:tblLayout w:type="fixed"/>
        <w:tblLook w:val="0400" w:firstRow="0" w:lastRow="0" w:firstColumn="0" w:lastColumn="0" w:noHBand="0" w:noVBand="1"/>
      </w:tblPr>
      <w:tblGrid>
        <w:gridCol w:w="2429"/>
        <w:gridCol w:w="2791"/>
        <w:gridCol w:w="1440"/>
        <w:gridCol w:w="1229"/>
        <w:gridCol w:w="1471"/>
      </w:tblGrid>
      <w:tr w:rsidR="00E52F02" w14:paraId="7B034DAE" w14:textId="77777777">
        <w:trPr>
          <w:tblHeader/>
        </w:trPr>
        <w:tc>
          <w:tcPr>
            <w:tcW w:w="2429" w:type="dxa"/>
            <w:tcBorders>
              <w:top w:val="single" w:sz="4" w:space="0" w:color="000000"/>
              <w:bottom w:val="single" w:sz="4" w:space="0" w:color="000000"/>
            </w:tcBorders>
            <w:vAlign w:val="center"/>
          </w:tcPr>
          <w:p w14:paraId="4F28667F"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Component</w:t>
            </w:r>
          </w:p>
        </w:tc>
        <w:tc>
          <w:tcPr>
            <w:tcW w:w="2791" w:type="dxa"/>
            <w:tcBorders>
              <w:top w:val="single" w:sz="4" w:space="0" w:color="000000"/>
              <w:bottom w:val="single" w:sz="4" w:space="0" w:color="000000"/>
            </w:tcBorders>
            <w:vAlign w:val="center"/>
          </w:tcPr>
          <w:p w14:paraId="5BF0EE53" w14:textId="77777777" w:rsidR="00E52F02" w:rsidRDefault="00A15A26">
            <w:pPr>
              <w:spacing w:line="240" w:lineRule="auto"/>
              <w:rPr>
                <w:rFonts w:ascii="Times New Roman" w:eastAsia="Times New Roman" w:hAnsi="Times New Roman" w:cs="Times New Roman"/>
                <w:b/>
                <w:bCs/>
              </w:rPr>
            </w:pPr>
            <w:r>
              <w:rPr>
                <w:rFonts w:ascii="Times New Roman" w:eastAsia="Times New Roman" w:hAnsi="Times New Roman" w:cs="Times New Roman"/>
                <w:b/>
                <w:bCs/>
              </w:rPr>
              <w:t>Metric</w:t>
            </w:r>
          </w:p>
        </w:tc>
        <w:tc>
          <w:tcPr>
            <w:tcW w:w="1440" w:type="dxa"/>
            <w:tcBorders>
              <w:top w:val="single" w:sz="4" w:space="0" w:color="000000"/>
              <w:bottom w:val="single" w:sz="4" w:space="0" w:color="000000"/>
            </w:tcBorders>
            <w:vAlign w:val="center"/>
          </w:tcPr>
          <w:p w14:paraId="44F3DE56"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Value</w:t>
            </w:r>
          </w:p>
        </w:tc>
        <w:tc>
          <w:tcPr>
            <w:tcW w:w="1229" w:type="dxa"/>
            <w:tcBorders>
              <w:top w:val="single" w:sz="4" w:space="0" w:color="000000"/>
              <w:bottom w:val="single" w:sz="4" w:space="0" w:color="000000"/>
            </w:tcBorders>
            <w:vAlign w:val="center"/>
          </w:tcPr>
          <w:p w14:paraId="5AA57091"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Healthcare Baseline</w:t>
            </w:r>
          </w:p>
        </w:tc>
        <w:tc>
          <w:tcPr>
            <w:tcW w:w="1471" w:type="dxa"/>
            <w:tcBorders>
              <w:top w:val="single" w:sz="4" w:space="0" w:color="000000"/>
              <w:bottom w:val="single" w:sz="4" w:space="0" w:color="000000"/>
            </w:tcBorders>
            <w:vAlign w:val="center"/>
          </w:tcPr>
          <w:p w14:paraId="17DC5706"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Improvement</w:t>
            </w:r>
          </w:p>
        </w:tc>
      </w:tr>
      <w:tr w:rsidR="00E52F02" w14:paraId="1A46603E" w14:textId="77777777">
        <w:tc>
          <w:tcPr>
            <w:tcW w:w="2429" w:type="dxa"/>
            <w:vAlign w:val="center"/>
          </w:tcPr>
          <w:p w14:paraId="48C7F78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Autoencoder Anomaly Detection</w:t>
            </w:r>
          </w:p>
        </w:tc>
        <w:tc>
          <w:tcPr>
            <w:tcW w:w="2791" w:type="dxa"/>
            <w:vAlign w:val="center"/>
          </w:tcPr>
          <w:p w14:paraId="3A6F144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F1-Score</w:t>
            </w:r>
          </w:p>
        </w:tc>
        <w:tc>
          <w:tcPr>
            <w:tcW w:w="1440" w:type="dxa"/>
            <w:vAlign w:val="center"/>
          </w:tcPr>
          <w:p w14:paraId="5269269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0.937</w:t>
            </w:r>
          </w:p>
        </w:tc>
        <w:tc>
          <w:tcPr>
            <w:tcW w:w="1229" w:type="dxa"/>
            <w:vAlign w:val="center"/>
          </w:tcPr>
          <w:p w14:paraId="26FAE11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0.823</w:t>
            </w:r>
          </w:p>
        </w:tc>
        <w:tc>
          <w:tcPr>
            <w:tcW w:w="1471" w:type="dxa"/>
            <w:vAlign w:val="center"/>
          </w:tcPr>
          <w:p w14:paraId="019A5F4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+13.8%</w:t>
            </w:r>
          </w:p>
        </w:tc>
      </w:tr>
      <w:tr w:rsidR="00E52F02" w14:paraId="3558D53E" w14:textId="77777777">
        <w:tc>
          <w:tcPr>
            <w:tcW w:w="2429" w:type="dxa"/>
            <w:vAlign w:val="center"/>
          </w:tcPr>
          <w:p w14:paraId="18E6F382"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6F187E0E"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AUC-ROC</w:t>
            </w:r>
          </w:p>
        </w:tc>
        <w:tc>
          <w:tcPr>
            <w:tcW w:w="1440" w:type="dxa"/>
            <w:vAlign w:val="center"/>
          </w:tcPr>
          <w:p w14:paraId="19A8CDA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0.976</w:t>
            </w:r>
          </w:p>
        </w:tc>
        <w:tc>
          <w:tcPr>
            <w:tcW w:w="1229" w:type="dxa"/>
            <w:vAlign w:val="center"/>
          </w:tcPr>
          <w:p w14:paraId="7BE5FA0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0.889</w:t>
            </w:r>
          </w:p>
        </w:tc>
        <w:tc>
          <w:tcPr>
            <w:tcW w:w="1471" w:type="dxa"/>
            <w:vAlign w:val="center"/>
          </w:tcPr>
          <w:p w14:paraId="40B686A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+9.8%</w:t>
            </w:r>
          </w:p>
        </w:tc>
      </w:tr>
      <w:tr w:rsidR="00E52F02" w14:paraId="535124C0" w14:textId="77777777">
        <w:tc>
          <w:tcPr>
            <w:tcW w:w="2429" w:type="dxa"/>
            <w:vAlign w:val="center"/>
          </w:tcPr>
          <w:p w14:paraId="2BF968D1"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1A36E3BC"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Reconstruction Error (Normal)</w:t>
            </w:r>
          </w:p>
        </w:tc>
        <w:tc>
          <w:tcPr>
            <w:tcW w:w="1440" w:type="dxa"/>
            <w:vAlign w:val="center"/>
          </w:tcPr>
          <w:p w14:paraId="46CB538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0.042±0.018</w:t>
            </w:r>
          </w:p>
        </w:tc>
        <w:tc>
          <w:tcPr>
            <w:tcW w:w="1229" w:type="dxa"/>
            <w:vAlign w:val="center"/>
          </w:tcPr>
          <w:p w14:paraId="0151212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2072130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469D3DC6" w14:textId="77777777">
        <w:tc>
          <w:tcPr>
            <w:tcW w:w="2429" w:type="dxa"/>
            <w:vAlign w:val="center"/>
          </w:tcPr>
          <w:p w14:paraId="6AFBAEFB"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5474B171"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Reconstruction Error (Threat)</w:t>
            </w:r>
          </w:p>
        </w:tc>
        <w:tc>
          <w:tcPr>
            <w:tcW w:w="1440" w:type="dxa"/>
            <w:vAlign w:val="center"/>
          </w:tcPr>
          <w:p w14:paraId="1BC8296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0.318±0.094</w:t>
            </w:r>
          </w:p>
        </w:tc>
        <w:tc>
          <w:tcPr>
            <w:tcW w:w="1229" w:type="dxa"/>
            <w:vAlign w:val="center"/>
          </w:tcPr>
          <w:p w14:paraId="68E7FBE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26B69C7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16D8109D" w14:textId="77777777">
        <w:tc>
          <w:tcPr>
            <w:tcW w:w="2429" w:type="dxa"/>
            <w:vAlign w:val="center"/>
          </w:tcPr>
          <w:p w14:paraId="1957A5C8"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527F9CC2"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Detection Latency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w:t>
            </w:r>
          </w:p>
        </w:tc>
        <w:tc>
          <w:tcPr>
            <w:tcW w:w="1440" w:type="dxa"/>
            <w:vAlign w:val="center"/>
          </w:tcPr>
          <w:p w14:paraId="04AD93A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28</w:t>
            </w:r>
          </w:p>
        </w:tc>
        <w:tc>
          <w:tcPr>
            <w:tcW w:w="1229" w:type="dxa"/>
            <w:vAlign w:val="center"/>
          </w:tcPr>
          <w:p w14:paraId="1206F51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156</w:t>
            </w:r>
          </w:p>
        </w:tc>
        <w:tc>
          <w:tcPr>
            <w:tcW w:w="1471" w:type="dxa"/>
            <w:vAlign w:val="center"/>
          </w:tcPr>
          <w:p w14:paraId="2FF64C4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-82.1%</w:t>
            </w:r>
          </w:p>
        </w:tc>
      </w:tr>
      <w:tr w:rsidR="00E52F02" w14:paraId="2B5146C1" w14:textId="77777777">
        <w:tc>
          <w:tcPr>
            <w:tcW w:w="2429" w:type="dxa"/>
            <w:vAlign w:val="center"/>
          </w:tcPr>
          <w:p w14:paraId="7A0216F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Q-Learning Incident Response</w:t>
            </w:r>
          </w:p>
        </w:tc>
        <w:tc>
          <w:tcPr>
            <w:tcW w:w="2791" w:type="dxa"/>
            <w:vAlign w:val="center"/>
          </w:tcPr>
          <w:p w14:paraId="3D373FCB"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Avg Cumulative Reward</w:t>
            </w:r>
          </w:p>
        </w:tc>
        <w:tc>
          <w:tcPr>
            <w:tcW w:w="1440" w:type="dxa"/>
            <w:vAlign w:val="center"/>
          </w:tcPr>
          <w:p w14:paraId="0B972E9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8.4</w:t>
            </w:r>
          </w:p>
        </w:tc>
        <w:tc>
          <w:tcPr>
            <w:tcW w:w="1229" w:type="dxa"/>
            <w:vAlign w:val="center"/>
          </w:tcPr>
          <w:p w14:paraId="41E2C9D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34653FE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60A81BF3" w14:textId="77777777">
        <w:tc>
          <w:tcPr>
            <w:tcW w:w="2429" w:type="dxa"/>
            <w:vAlign w:val="center"/>
          </w:tcPr>
          <w:p w14:paraId="681418AD"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6603986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Optimal Policy Convergence (episodes)</w:t>
            </w:r>
          </w:p>
        </w:tc>
        <w:tc>
          <w:tcPr>
            <w:tcW w:w="1440" w:type="dxa"/>
            <w:vAlign w:val="center"/>
          </w:tcPr>
          <w:p w14:paraId="32F9EB4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680</w:t>
            </w:r>
          </w:p>
        </w:tc>
        <w:tc>
          <w:tcPr>
            <w:tcW w:w="1229" w:type="dxa"/>
            <w:vAlign w:val="center"/>
          </w:tcPr>
          <w:p w14:paraId="38C2D58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2587AA9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01E5FC07" w14:textId="77777777">
        <w:tc>
          <w:tcPr>
            <w:tcW w:w="2429" w:type="dxa"/>
            <w:vAlign w:val="center"/>
          </w:tcPr>
          <w:p w14:paraId="2C4522DA"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7356DC69"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Quarantine Action Success Rate (%)</w:t>
            </w:r>
          </w:p>
        </w:tc>
        <w:tc>
          <w:tcPr>
            <w:tcW w:w="1440" w:type="dxa"/>
            <w:vAlign w:val="center"/>
          </w:tcPr>
          <w:p w14:paraId="6652927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94.2</w:t>
            </w:r>
          </w:p>
        </w:tc>
        <w:tc>
          <w:tcPr>
            <w:tcW w:w="1229" w:type="dxa"/>
            <w:vAlign w:val="center"/>
          </w:tcPr>
          <w:p w14:paraId="08C9D5D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71.3</w:t>
            </w:r>
          </w:p>
        </w:tc>
        <w:tc>
          <w:tcPr>
            <w:tcW w:w="1471" w:type="dxa"/>
            <w:vAlign w:val="center"/>
          </w:tcPr>
          <w:p w14:paraId="421D878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+32.1%</w:t>
            </w:r>
          </w:p>
        </w:tc>
      </w:tr>
      <w:tr w:rsidR="00E52F02" w14:paraId="2E2E395D" w14:textId="77777777">
        <w:tc>
          <w:tcPr>
            <w:tcW w:w="2429" w:type="dxa"/>
            <w:vAlign w:val="center"/>
          </w:tcPr>
          <w:p w14:paraId="6F0236D0"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42FDB217"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Rollback Efficiency (%)</w:t>
            </w:r>
          </w:p>
        </w:tc>
        <w:tc>
          <w:tcPr>
            <w:tcW w:w="1440" w:type="dxa"/>
            <w:vAlign w:val="center"/>
          </w:tcPr>
          <w:p w14:paraId="19A5F5B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91.7</w:t>
            </w:r>
          </w:p>
        </w:tc>
        <w:tc>
          <w:tcPr>
            <w:tcW w:w="1229" w:type="dxa"/>
            <w:vAlign w:val="center"/>
          </w:tcPr>
          <w:p w14:paraId="0ED16E9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138D48C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42D4703D" w14:textId="77777777">
        <w:tc>
          <w:tcPr>
            <w:tcW w:w="2429" w:type="dxa"/>
            <w:vAlign w:val="center"/>
          </w:tcPr>
          <w:p w14:paraId="3E5B5F4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MAESTRO Framework Alignment</w:t>
            </w:r>
          </w:p>
        </w:tc>
        <w:tc>
          <w:tcPr>
            <w:tcW w:w="2791" w:type="dxa"/>
            <w:vAlign w:val="center"/>
          </w:tcPr>
          <w:p w14:paraId="526407DB"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Threat Coverage (%)</w:t>
            </w:r>
          </w:p>
        </w:tc>
        <w:tc>
          <w:tcPr>
            <w:tcW w:w="1440" w:type="dxa"/>
            <w:vAlign w:val="center"/>
          </w:tcPr>
          <w:p w14:paraId="628E323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98.3</w:t>
            </w:r>
          </w:p>
        </w:tc>
        <w:tc>
          <w:tcPr>
            <w:tcW w:w="1229" w:type="dxa"/>
            <w:vAlign w:val="center"/>
          </w:tcPr>
          <w:p w14:paraId="0428BFF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2A59671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45471A14" w14:textId="77777777">
        <w:tc>
          <w:tcPr>
            <w:tcW w:w="2429" w:type="dxa"/>
            <w:vAlign w:val="center"/>
          </w:tcPr>
          <w:p w14:paraId="6AE2A54E"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13EC96AD"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Cross-Layer Vulnerability Detection</w:t>
            </w:r>
          </w:p>
        </w:tc>
        <w:tc>
          <w:tcPr>
            <w:tcW w:w="1440" w:type="dxa"/>
            <w:vAlign w:val="center"/>
          </w:tcPr>
          <w:p w14:paraId="765D2FB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87.6%</w:t>
            </w:r>
          </w:p>
        </w:tc>
        <w:tc>
          <w:tcPr>
            <w:tcW w:w="1229" w:type="dxa"/>
            <w:vAlign w:val="center"/>
          </w:tcPr>
          <w:p w14:paraId="6FFC09D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331199D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5ACDD37F" w14:textId="77777777">
        <w:tc>
          <w:tcPr>
            <w:tcW w:w="2429" w:type="dxa"/>
            <w:vAlign w:val="center"/>
          </w:tcPr>
          <w:p w14:paraId="53C056B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Real-World Healthcare Validation</w:t>
            </w:r>
          </w:p>
        </w:tc>
        <w:tc>
          <w:tcPr>
            <w:tcW w:w="2791" w:type="dxa"/>
            <w:vAlign w:val="center"/>
          </w:tcPr>
          <w:p w14:paraId="14CBA870" w14:textId="77777777" w:rsidR="00E52F02" w:rsidRDefault="00A15A26">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IoMT</w:t>
            </w:r>
            <w:proofErr w:type="spellEnd"/>
            <w:r>
              <w:rPr>
                <w:rFonts w:ascii="Times New Roman" w:eastAsia="Times New Roman" w:hAnsi="Times New Roman" w:cs="Times New Roman"/>
              </w:rPr>
              <w:t xml:space="preserve"> </w:t>
            </w:r>
            <w:r>
              <w:rPr>
                <w:rFonts w:ascii="Times New Roman" w:eastAsia="Times New Roman" w:hAnsi="Times New Roman" w:cs="Times New Roman"/>
              </w:rPr>
              <w:t>Threat Detection Accuracy</w:t>
            </w:r>
          </w:p>
        </w:tc>
        <w:tc>
          <w:tcPr>
            <w:tcW w:w="1440" w:type="dxa"/>
            <w:vAlign w:val="center"/>
          </w:tcPr>
          <w:p w14:paraId="6409912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95.4%</w:t>
            </w:r>
          </w:p>
        </w:tc>
        <w:tc>
          <w:tcPr>
            <w:tcW w:w="1229" w:type="dxa"/>
            <w:vAlign w:val="center"/>
          </w:tcPr>
          <w:p w14:paraId="5E115A8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82.7%</w:t>
            </w:r>
          </w:p>
        </w:tc>
        <w:tc>
          <w:tcPr>
            <w:tcW w:w="1471" w:type="dxa"/>
            <w:vAlign w:val="center"/>
          </w:tcPr>
          <w:p w14:paraId="5ACBE2E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+15.4%</w:t>
            </w:r>
          </w:p>
        </w:tc>
      </w:tr>
      <w:tr w:rsidR="00E52F02" w14:paraId="1016DB4E" w14:textId="77777777">
        <w:tc>
          <w:tcPr>
            <w:tcW w:w="2429" w:type="dxa"/>
            <w:vAlign w:val="center"/>
          </w:tcPr>
          <w:p w14:paraId="2537A5D3"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62E15EB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Cyber Risk Reduction (%)</w:t>
            </w:r>
          </w:p>
        </w:tc>
        <w:tc>
          <w:tcPr>
            <w:tcW w:w="1440" w:type="dxa"/>
            <w:vAlign w:val="center"/>
          </w:tcPr>
          <w:p w14:paraId="7AFAEB1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66.7</w:t>
            </w:r>
          </w:p>
        </w:tc>
        <w:tc>
          <w:tcPr>
            <w:tcW w:w="1229" w:type="dxa"/>
            <w:vAlign w:val="center"/>
          </w:tcPr>
          <w:p w14:paraId="0718D68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c>
          <w:tcPr>
            <w:tcW w:w="1471" w:type="dxa"/>
            <w:vAlign w:val="center"/>
          </w:tcPr>
          <w:p w14:paraId="5EEB9DF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N/A</w:t>
            </w:r>
          </w:p>
        </w:tc>
      </w:tr>
      <w:tr w:rsidR="00E52F02" w14:paraId="437E2F72" w14:textId="77777777">
        <w:tc>
          <w:tcPr>
            <w:tcW w:w="2429" w:type="dxa"/>
            <w:vAlign w:val="center"/>
          </w:tcPr>
          <w:p w14:paraId="57E7EE04" w14:textId="77777777" w:rsidR="00E52F02" w:rsidRDefault="00E52F02">
            <w:pPr>
              <w:spacing w:line="240" w:lineRule="auto"/>
              <w:jc w:val="both"/>
              <w:rPr>
                <w:rFonts w:ascii="Times New Roman" w:eastAsia="Times New Roman" w:hAnsi="Times New Roman" w:cs="Times New Roman"/>
              </w:rPr>
            </w:pPr>
          </w:p>
        </w:tc>
        <w:tc>
          <w:tcPr>
            <w:tcW w:w="2791" w:type="dxa"/>
            <w:vAlign w:val="center"/>
          </w:tcPr>
          <w:p w14:paraId="77A2EF82"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HIPAA Compliance Score</w:t>
            </w:r>
          </w:p>
        </w:tc>
        <w:tc>
          <w:tcPr>
            <w:tcW w:w="1440" w:type="dxa"/>
            <w:vAlign w:val="center"/>
          </w:tcPr>
          <w:p w14:paraId="40CB492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4.8/5.0</w:t>
            </w:r>
          </w:p>
        </w:tc>
        <w:tc>
          <w:tcPr>
            <w:tcW w:w="1229" w:type="dxa"/>
            <w:vAlign w:val="center"/>
          </w:tcPr>
          <w:p w14:paraId="51C36CC2"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3.6/5.0</w:t>
            </w:r>
          </w:p>
        </w:tc>
        <w:tc>
          <w:tcPr>
            <w:tcW w:w="1471" w:type="dxa"/>
            <w:vAlign w:val="center"/>
          </w:tcPr>
          <w:p w14:paraId="513042C4"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+33.3%</w:t>
            </w:r>
          </w:p>
        </w:tc>
      </w:tr>
      <w:tr w:rsidR="00E52F02" w14:paraId="0171ECE9" w14:textId="77777777">
        <w:tc>
          <w:tcPr>
            <w:tcW w:w="2429" w:type="dxa"/>
            <w:tcBorders>
              <w:bottom w:val="single" w:sz="4" w:space="0" w:color="000000"/>
            </w:tcBorders>
            <w:vAlign w:val="center"/>
          </w:tcPr>
          <w:p w14:paraId="5AEF04E0" w14:textId="77777777" w:rsidR="00E52F02" w:rsidRDefault="00E52F02">
            <w:pPr>
              <w:spacing w:line="240" w:lineRule="auto"/>
              <w:jc w:val="both"/>
              <w:rPr>
                <w:rFonts w:ascii="Times New Roman" w:eastAsia="Times New Roman" w:hAnsi="Times New Roman" w:cs="Times New Roman"/>
              </w:rPr>
            </w:pPr>
          </w:p>
        </w:tc>
        <w:tc>
          <w:tcPr>
            <w:tcW w:w="2791" w:type="dxa"/>
            <w:tcBorders>
              <w:bottom w:val="single" w:sz="4" w:space="0" w:color="000000"/>
            </w:tcBorders>
            <w:vAlign w:val="center"/>
          </w:tcPr>
          <w:p w14:paraId="1E9AE4C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Return on Investment (ROI)</w:t>
            </w:r>
          </w:p>
        </w:tc>
        <w:tc>
          <w:tcPr>
            <w:tcW w:w="1440" w:type="dxa"/>
            <w:tcBorders>
              <w:bottom w:val="single" w:sz="4" w:space="0" w:color="000000"/>
            </w:tcBorders>
            <w:vAlign w:val="center"/>
          </w:tcPr>
          <w:p w14:paraId="3746C91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3.1x</w:t>
            </w:r>
          </w:p>
        </w:tc>
        <w:tc>
          <w:tcPr>
            <w:tcW w:w="1229" w:type="dxa"/>
            <w:tcBorders>
              <w:bottom w:val="single" w:sz="4" w:space="0" w:color="000000"/>
            </w:tcBorders>
            <w:vAlign w:val="center"/>
          </w:tcPr>
          <w:p w14:paraId="319D05F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1.4x</w:t>
            </w:r>
          </w:p>
        </w:tc>
        <w:tc>
          <w:tcPr>
            <w:tcW w:w="1471" w:type="dxa"/>
            <w:tcBorders>
              <w:bottom w:val="single" w:sz="4" w:space="0" w:color="000000"/>
            </w:tcBorders>
            <w:vAlign w:val="center"/>
          </w:tcPr>
          <w:p w14:paraId="6FFABEA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+121%</w:t>
            </w:r>
          </w:p>
        </w:tc>
      </w:tr>
    </w:tbl>
    <w:p w14:paraId="0A9A5614" w14:textId="156018D8" w:rsidR="00E52F02" w:rsidRDefault="00A15A26">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The Autoencoder component achieved F1-Score 0.937, AUC 0.976, with reconstruction error for normal patterns 0.042 ± 0.018 and for threat patterns 0.318 ± 0.094, yielding detection latency of twenty-eight milliseconds, an 82 percent improvement over the 156</w:t>
      </w:r>
      <w:r>
        <w:rPr>
          <w:rFonts w:ascii="Times New Roman" w:eastAsia="Times New Roman" w:hAnsi="Times New Roman" w:cs="Times New Roman"/>
        </w:rPr>
        <w:t xml:space="preserve"> milliseconds healthcare baseline. Q-Learning incident response optimization achieved average cumulative reward of 8.4, converging to optimal policy within six hundred eighty episodes, with quarantine success of 94.2 percent versus 71.3 percent baseline an</w:t>
      </w:r>
      <w:r>
        <w:rPr>
          <w:rFonts w:ascii="Times New Roman" w:eastAsia="Times New Roman" w:hAnsi="Times New Roman" w:cs="Times New Roman"/>
        </w:rPr>
        <w:t xml:space="preserve">d rollback efficiency of 91.7 percent. Figure </w:t>
      </w:r>
      <w:r w:rsidR="002536D3">
        <w:rPr>
          <w:rFonts w:ascii="Times New Roman" w:eastAsia="Times New Roman" w:hAnsi="Times New Roman" w:cs="Times New Roman"/>
        </w:rPr>
        <w:t>4</w:t>
      </w:r>
      <w:r>
        <w:rPr>
          <w:rFonts w:ascii="Times New Roman" w:eastAsia="Times New Roman" w:hAnsi="Times New Roman" w:cs="Times New Roman"/>
        </w:rPr>
        <w:t xml:space="preserve"> shows the Q-Learning Evolution and Convergence for Incident Response.</w:t>
      </w:r>
    </w:p>
    <w:p w14:paraId="5DE4EFEB" w14:textId="023EFAD7" w:rsidR="00E52F02" w:rsidRDefault="00A15A26">
      <w:pPr>
        <w:spacing w:before="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w:t>
      </w:r>
      <w:r w:rsidR="002536D3">
        <w:rPr>
          <w:rFonts w:ascii="Times New Roman" w:eastAsia="Times New Roman" w:hAnsi="Times New Roman" w:cs="Times New Roman"/>
          <w:b/>
          <w:bCs/>
        </w:rPr>
        <w:t>4</w:t>
      </w:r>
    </w:p>
    <w:p w14:paraId="32D4E79F" w14:textId="77777777" w:rsidR="00E52F02" w:rsidRDefault="00A15A26">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lastRenderedPageBreak/>
        <w:t>Q-Learning Evolution and Convergence for Incident Response</w:t>
      </w:r>
    </w:p>
    <w:p w14:paraId="2CC6877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3FEB8AA" wp14:editId="3DFF4BD1">
            <wp:extent cx="5076204" cy="27119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4853" b="3915"/>
                    <a:stretch>
                      <a:fillRect/>
                    </a:stretch>
                  </pic:blipFill>
                  <pic:spPr>
                    <a:xfrm>
                      <a:off x="0" y="0"/>
                      <a:ext cx="5076204" cy="2711908"/>
                    </a:xfrm>
                    <a:prstGeom prst="rect">
                      <a:avLst/>
                    </a:prstGeom>
                    <a:ln/>
                  </pic:spPr>
                </pic:pic>
              </a:graphicData>
            </a:graphic>
          </wp:inline>
        </w:drawing>
      </w:r>
    </w:p>
    <w:p w14:paraId="5746DB3B"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MAESTRO framework alignment demonstrated 98.3 percent threat coverag</w:t>
      </w:r>
      <w:r>
        <w:rPr>
          <w:rFonts w:ascii="Times New Roman" w:eastAsia="Times New Roman" w:hAnsi="Times New Roman" w:cs="Times New Roman"/>
        </w:rPr>
        <w:t>e across Multi-Agent Environment, Security, Threat, Risk, and Outcome layers, with 87.6 percent cross-layer vulnerability detection. Real-world healthcare validation showed Internet of Medical Things threat detection accuracy of 95.4 percent, cyber risk re</w:t>
      </w:r>
      <w:r>
        <w:rPr>
          <w:rFonts w:ascii="Times New Roman" w:eastAsia="Times New Roman" w:hAnsi="Times New Roman" w:cs="Times New Roman"/>
        </w:rPr>
        <w:t>duction of 66.7 percent, HIPAA compliance score 4.8 of five, and Return on Investment of 3.1 times, corroborating zero-trust value. The 8-input to 32-16-8-16-32-8 autoencoder captured lifecycle concept drift, with reconstruction threshold τ = 0.124 and Kol</w:t>
      </w:r>
      <w:r>
        <w:rPr>
          <w:rFonts w:ascii="Times New Roman" w:eastAsia="Times New Roman" w:hAnsi="Times New Roman" w:cs="Times New Roman"/>
        </w:rPr>
        <w:t>mogorov-Smirnov D = 0.03 confirming stability. Integration with SIEM correlation matrix enabled multi-layer detection across UEBA dimensions.</w:t>
      </w:r>
    </w:p>
    <w:p w14:paraId="545556D3" w14:textId="77777777" w:rsidR="00E52F02" w:rsidRDefault="00E52F02">
      <w:pPr>
        <w:spacing w:line="360" w:lineRule="auto"/>
        <w:jc w:val="both"/>
        <w:rPr>
          <w:rFonts w:ascii="Times New Roman" w:eastAsia="Times New Roman" w:hAnsi="Times New Roman" w:cs="Times New Roman"/>
        </w:rPr>
      </w:pPr>
    </w:p>
    <w:p w14:paraId="68F0C82C"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Integrated Framework Comprehensive Validation</w:t>
      </w:r>
    </w:p>
    <w:p w14:paraId="783C32E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Cross-objective integration demonstrated synergistic effects, with </w:t>
      </w:r>
      <w:r>
        <w:rPr>
          <w:rFonts w:ascii="Times New Roman" w:eastAsia="Times New Roman" w:hAnsi="Times New Roman" w:cs="Times New Roman"/>
        </w:rPr>
        <w:t>combined framework performance exceeding isolated implementations by twelve to eighteen percent across key metrics. Table 5 presents holistic validation results where the Governance framework achieved F1-Score of 0.960, Area Under Receiver Operating Charac</w:t>
      </w:r>
      <w:r>
        <w:rPr>
          <w:rFonts w:ascii="Times New Roman" w:eastAsia="Times New Roman" w:hAnsi="Times New Roman" w:cs="Times New Roman"/>
        </w:rPr>
        <w:t xml:space="preserve">teristic Curve of 0.982, latency of forty-five milliseconds, compliance score of 4.7 out of five, and Health Insurance Portability and Accountability Act validation rated Strong. </w:t>
      </w:r>
    </w:p>
    <w:p w14:paraId="387A7A00"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4DA72BFD" w14:textId="77777777" w:rsidR="00E52F02" w:rsidRDefault="00A15A26">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lastRenderedPageBreak/>
        <w:t>Integrated Framework Comprehensive Performance</w:t>
      </w:r>
    </w:p>
    <w:tbl>
      <w:tblPr>
        <w:tblStyle w:val="a3"/>
        <w:tblW w:w="9360" w:type="dxa"/>
        <w:tblInd w:w="0" w:type="dxa"/>
        <w:tblLayout w:type="fixed"/>
        <w:tblLook w:val="0400" w:firstRow="0" w:lastRow="0" w:firstColumn="0" w:lastColumn="0" w:noHBand="0" w:noVBand="1"/>
      </w:tblPr>
      <w:tblGrid>
        <w:gridCol w:w="2231"/>
        <w:gridCol w:w="889"/>
        <w:gridCol w:w="1060"/>
        <w:gridCol w:w="1271"/>
        <w:gridCol w:w="1871"/>
        <w:gridCol w:w="2038"/>
      </w:tblGrid>
      <w:tr w:rsidR="00E52F02" w14:paraId="4666195F" w14:textId="77777777">
        <w:trPr>
          <w:tblHeader/>
        </w:trPr>
        <w:tc>
          <w:tcPr>
            <w:tcW w:w="2231" w:type="dxa"/>
            <w:tcBorders>
              <w:top w:val="single" w:sz="4" w:space="0" w:color="000000"/>
              <w:bottom w:val="single" w:sz="4" w:space="0" w:color="000000"/>
            </w:tcBorders>
            <w:vAlign w:val="center"/>
          </w:tcPr>
          <w:p w14:paraId="214F6885" w14:textId="77777777" w:rsidR="00E52F02" w:rsidRDefault="00A15A26">
            <w:pPr>
              <w:spacing w:line="240" w:lineRule="auto"/>
              <w:rPr>
                <w:rFonts w:ascii="Times New Roman" w:eastAsia="Times New Roman" w:hAnsi="Times New Roman" w:cs="Times New Roman"/>
                <w:b/>
                <w:bCs/>
              </w:rPr>
            </w:pPr>
            <w:r>
              <w:rPr>
                <w:rFonts w:ascii="Times New Roman" w:eastAsia="Times New Roman" w:hAnsi="Times New Roman" w:cs="Times New Roman"/>
                <w:b/>
                <w:bCs/>
              </w:rPr>
              <w:t>Framework Component</w:t>
            </w:r>
          </w:p>
        </w:tc>
        <w:tc>
          <w:tcPr>
            <w:tcW w:w="889" w:type="dxa"/>
            <w:tcBorders>
              <w:top w:val="single" w:sz="4" w:space="0" w:color="000000"/>
              <w:bottom w:val="single" w:sz="4" w:space="0" w:color="000000"/>
            </w:tcBorders>
            <w:vAlign w:val="center"/>
          </w:tcPr>
          <w:p w14:paraId="7E698776"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F1-Score</w:t>
            </w:r>
          </w:p>
        </w:tc>
        <w:tc>
          <w:tcPr>
            <w:tcW w:w="1060" w:type="dxa"/>
            <w:tcBorders>
              <w:top w:val="single" w:sz="4" w:space="0" w:color="000000"/>
              <w:bottom w:val="single" w:sz="4" w:space="0" w:color="000000"/>
            </w:tcBorders>
            <w:vAlign w:val="center"/>
          </w:tcPr>
          <w:p w14:paraId="317EAF35"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AUC-ROC</w:t>
            </w:r>
          </w:p>
        </w:tc>
        <w:tc>
          <w:tcPr>
            <w:tcW w:w="1271" w:type="dxa"/>
            <w:tcBorders>
              <w:top w:val="single" w:sz="4" w:space="0" w:color="000000"/>
              <w:bottom w:val="single" w:sz="4" w:space="0" w:color="000000"/>
            </w:tcBorders>
            <w:vAlign w:val="center"/>
          </w:tcPr>
          <w:p w14:paraId="6414491C"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Latency (</w:t>
            </w:r>
            <w:proofErr w:type="spellStart"/>
            <w:r>
              <w:rPr>
                <w:rFonts w:ascii="Times New Roman" w:eastAsia="Times New Roman" w:hAnsi="Times New Roman" w:cs="Times New Roman"/>
                <w:b/>
                <w:bCs/>
              </w:rPr>
              <w:t>ms</w:t>
            </w:r>
            <w:proofErr w:type="spellEnd"/>
            <w:r>
              <w:rPr>
                <w:rFonts w:ascii="Times New Roman" w:eastAsia="Times New Roman" w:hAnsi="Times New Roman" w:cs="Times New Roman"/>
                <w:b/>
                <w:bCs/>
              </w:rPr>
              <w:t>)</w:t>
            </w:r>
          </w:p>
        </w:tc>
        <w:tc>
          <w:tcPr>
            <w:tcW w:w="1871" w:type="dxa"/>
            <w:tcBorders>
              <w:top w:val="single" w:sz="4" w:space="0" w:color="000000"/>
              <w:bottom w:val="single" w:sz="4" w:space="0" w:color="000000"/>
            </w:tcBorders>
            <w:vAlign w:val="center"/>
          </w:tcPr>
          <w:p w14:paraId="7945B499"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Compliance (NIST)</w:t>
            </w:r>
          </w:p>
        </w:tc>
        <w:tc>
          <w:tcPr>
            <w:tcW w:w="2038" w:type="dxa"/>
            <w:tcBorders>
              <w:top w:val="single" w:sz="4" w:space="0" w:color="000000"/>
              <w:bottom w:val="single" w:sz="4" w:space="0" w:color="000000"/>
            </w:tcBorders>
            <w:vAlign w:val="center"/>
          </w:tcPr>
          <w:p w14:paraId="022E5456" w14:textId="77777777" w:rsidR="00E52F02" w:rsidRDefault="00A15A26">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Healthcare Validation</w:t>
            </w:r>
          </w:p>
        </w:tc>
      </w:tr>
      <w:tr w:rsidR="00E52F02" w14:paraId="02173A2A" w14:textId="77777777">
        <w:tc>
          <w:tcPr>
            <w:tcW w:w="2231" w:type="dxa"/>
            <w:vAlign w:val="center"/>
          </w:tcPr>
          <w:p w14:paraId="55E818D8"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Governance</w:t>
            </w:r>
          </w:p>
        </w:tc>
        <w:tc>
          <w:tcPr>
            <w:tcW w:w="889" w:type="dxa"/>
            <w:vAlign w:val="center"/>
          </w:tcPr>
          <w:p w14:paraId="440E045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0.960</w:t>
            </w:r>
          </w:p>
        </w:tc>
        <w:tc>
          <w:tcPr>
            <w:tcW w:w="1060" w:type="dxa"/>
            <w:vAlign w:val="center"/>
          </w:tcPr>
          <w:p w14:paraId="68C855D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0.982</w:t>
            </w:r>
          </w:p>
        </w:tc>
        <w:tc>
          <w:tcPr>
            <w:tcW w:w="1271" w:type="dxa"/>
            <w:vAlign w:val="center"/>
          </w:tcPr>
          <w:p w14:paraId="6891FEB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45</w:t>
            </w:r>
          </w:p>
        </w:tc>
        <w:tc>
          <w:tcPr>
            <w:tcW w:w="1871" w:type="dxa"/>
            <w:vAlign w:val="center"/>
          </w:tcPr>
          <w:p w14:paraId="43E54B4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4.7/5.0</w:t>
            </w:r>
          </w:p>
        </w:tc>
        <w:tc>
          <w:tcPr>
            <w:tcW w:w="2038" w:type="dxa"/>
            <w:vAlign w:val="center"/>
          </w:tcPr>
          <w:p w14:paraId="4E85E7B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HIPAA: Strong</w:t>
            </w:r>
          </w:p>
        </w:tc>
      </w:tr>
      <w:tr w:rsidR="00E52F02" w14:paraId="089DFAA4" w14:textId="77777777">
        <w:tc>
          <w:tcPr>
            <w:tcW w:w="2231" w:type="dxa"/>
            <w:vAlign w:val="center"/>
          </w:tcPr>
          <w:p w14:paraId="501F1933"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Behavioral Auth</w:t>
            </w:r>
          </w:p>
        </w:tc>
        <w:tc>
          <w:tcPr>
            <w:tcW w:w="889" w:type="dxa"/>
            <w:vAlign w:val="center"/>
          </w:tcPr>
          <w:p w14:paraId="54169F5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0.942</w:t>
            </w:r>
          </w:p>
        </w:tc>
        <w:tc>
          <w:tcPr>
            <w:tcW w:w="1060" w:type="dxa"/>
            <w:vAlign w:val="center"/>
          </w:tcPr>
          <w:p w14:paraId="02EC5123"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0.981</w:t>
            </w:r>
          </w:p>
        </w:tc>
        <w:tc>
          <w:tcPr>
            <w:tcW w:w="1271" w:type="dxa"/>
            <w:vAlign w:val="center"/>
          </w:tcPr>
          <w:p w14:paraId="3EF14E7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1871" w:type="dxa"/>
            <w:vAlign w:val="center"/>
          </w:tcPr>
          <w:p w14:paraId="4A5CA950"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4.6/5.0</w:t>
            </w:r>
          </w:p>
        </w:tc>
        <w:tc>
          <w:tcPr>
            <w:tcW w:w="2038" w:type="dxa"/>
            <w:vAlign w:val="center"/>
          </w:tcPr>
          <w:p w14:paraId="5FD850B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EHR: 97.6%</w:t>
            </w:r>
          </w:p>
        </w:tc>
      </w:tr>
      <w:tr w:rsidR="00E52F02" w14:paraId="6C1034B3" w14:textId="77777777">
        <w:tc>
          <w:tcPr>
            <w:tcW w:w="2231" w:type="dxa"/>
            <w:vAlign w:val="center"/>
          </w:tcPr>
          <w:p w14:paraId="2FA51DDA"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Risk Monitoring</w:t>
            </w:r>
          </w:p>
        </w:tc>
        <w:tc>
          <w:tcPr>
            <w:tcW w:w="889" w:type="dxa"/>
            <w:vAlign w:val="center"/>
          </w:tcPr>
          <w:p w14:paraId="6C76F77B"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0.937</w:t>
            </w:r>
          </w:p>
        </w:tc>
        <w:tc>
          <w:tcPr>
            <w:tcW w:w="1060" w:type="dxa"/>
            <w:vAlign w:val="center"/>
          </w:tcPr>
          <w:p w14:paraId="2B0107D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0.976</w:t>
            </w:r>
          </w:p>
        </w:tc>
        <w:tc>
          <w:tcPr>
            <w:tcW w:w="1271" w:type="dxa"/>
            <w:vAlign w:val="center"/>
          </w:tcPr>
          <w:p w14:paraId="6197B5ED"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28</w:t>
            </w:r>
          </w:p>
        </w:tc>
        <w:tc>
          <w:tcPr>
            <w:tcW w:w="1871" w:type="dxa"/>
            <w:vAlign w:val="center"/>
          </w:tcPr>
          <w:p w14:paraId="142B1C9E"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4.8/5.0</w:t>
            </w:r>
          </w:p>
        </w:tc>
        <w:tc>
          <w:tcPr>
            <w:tcW w:w="2038" w:type="dxa"/>
            <w:vAlign w:val="center"/>
          </w:tcPr>
          <w:p w14:paraId="54F592DE" w14:textId="77777777" w:rsidR="00E52F02" w:rsidRDefault="00A15A26">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IoMT</w:t>
            </w:r>
            <w:proofErr w:type="spellEnd"/>
            <w:r>
              <w:rPr>
                <w:rFonts w:ascii="Times New Roman" w:eastAsia="Times New Roman" w:hAnsi="Times New Roman" w:cs="Times New Roman"/>
              </w:rPr>
              <w:t>: 95.4%</w:t>
            </w:r>
          </w:p>
        </w:tc>
      </w:tr>
      <w:tr w:rsidR="00E52F02" w14:paraId="0AA37009" w14:textId="77777777">
        <w:tc>
          <w:tcPr>
            <w:tcW w:w="2231" w:type="dxa"/>
            <w:vAlign w:val="center"/>
          </w:tcPr>
          <w:p w14:paraId="44C2A000"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b/>
                <w:bCs/>
              </w:rPr>
              <w:t>Overall Integrated</w:t>
            </w:r>
          </w:p>
        </w:tc>
        <w:tc>
          <w:tcPr>
            <w:tcW w:w="889" w:type="dxa"/>
            <w:vAlign w:val="center"/>
          </w:tcPr>
          <w:p w14:paraId="79810C45"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0.963</w:t>
            </w:r>
          </w:p>
        </w:tc>
        <w:tc>
          <w:tcPr>
            <w:tcW w:w="1060" w:type="dxa"/>
            <w:vAlign w:val="center"/>
          </w:tcPr>
          <w:p w14:paraId="66C09EF6"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0.983</w:t>
            </w:r>
          </w:p>
        </w:tc>
        <w:tc>
          <w:tcPr>
            <w:tcW w:w="1271" w:type="dxa"/>
            <w:vAlign w:val="center"/>
          </w:tcPr>
          <w:p w14:paraId="069F32CA"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41</w:t>
            </w:r>
          </w:p>
        </w:tc>
        <w:tc>
          <w:tcPr>
            <w:tcW w:w="1871" w:type="dxa"/>
            <w:vAlign w:val="center"/>
          </w:tcPr>
          <w:p w14:paraId="246C26A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4.7/5.0</w:t>
            </w:r>
          </w:p>
        </w:tc>
        <w:tc>
          <w:tcPr>
            <w:tcW w:w="2038" w:type="dxa"/>
            <w:vAlign w:val="center"/>
          </w:tcPr>
          <w:p w14:paraId="6414BCFF"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Multi-domain: 96.1%</w:t>
            </w:r>
          </w:p>
        </w:tc>
      </w:tr>
      <w:tr w:rsidR="00E52F02" w14:paraId="70DBB657" w14:textId="77777777">
        <w:tc>
          <w:tcPr>
            <w:tcW w:w="2231" w:type="dxa"/>
            <w:tcBorders>
              <w:bottom w:val="single" w:sz="4" w:space="0" w:color="000000"/>
            </w:tcBorders>
            <w:vAlign w:val="center"/>
          </w:tcPr>
          <w:p w14:paraId="3B0DC43D" w14:textId="77777777" w:rsidR="00E52F02" w:rsidRDefault="00A15A26">
            <w:pPr>
              <w:spacing w:line="240" w:lineRule="auto"/>
              <w:rPr>
                <w:rFonts w:ascii="Times New Roman" w:eastAsia="Times New Roman" w:hAnsi="Times New Roman" w:cs="Times New Roman"/>
              </w:rPr>
            </w:pPr>
            <w:r>
              <w:rPr>
                <w:rFonts w:ascii="Times New Roman" w:eastAsia="Times New Roman" w:hAnsi="Times New Roman" w:cs="Times New Roman"/>
              </w:rPr>
              <w:t>Traditional ZTA Baseline</w:t>
            </w:r>
          </w:p>
        </w:tc>
        <w:tc>
          <w:tcPr>
            <w:tcW w:w="889" w:type="dxa"/>
            <w:tcBorders>
              <w:bottom w:val="single" w:sz="4" w:space="0" w:color="000000"/>
            </w:tcBorders>
            <w:vAlign w:val="center"/>
          </w:tcPr>
          <w:p w14:paraId="1A2E3021"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0.820</w:t>
            </w:r>
          </w:p>
        </w:tc>
        <w:tc>
          <w:tcPr>
            <w:tcW w:w="1060" w:type="dxa"/>
            <w:tcBorders>
              <w:bottom w:val="single" w:sz="4" w:space="0" w:color="000000"/>
            </w:tcBorders>
            <w:vAlign w:val="center"/>
          </w:tcPr>
          <w:p w14:paraId="78F91EE7"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0.871</w:t>
            </w:r>
          </w:p>
        </w:tc>
        <w:tc>
          <w:tcPr>
            <w:tcW w:w="1271" w:type="dxa"/>
            <w:tcBorders>
              <w:bottom w:val="single" w:sz="4" w:space="0" w:color="000000"/>
            </w:tcBorders>
            <w:vAlign w:val="center"/>
          </w:tcPr>
          <w:p w14:paraId="0823779C"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750</w:t>
            </w:r>
          </w:p>
        </w:tc>
        <w:tc>
          <w:tcPr>
            <w:tcW w:w="1871" w:type="dxa"/>
            <w:tcBorders>
              <w:bottom w:val="single" w:sz="4" w:space="0" w:color="000000"/>
            </w:tcBorders>
            <w:vAlign w:val="center"/>
          </w:tcPr>
          <w:p w14:paraId="53B06088"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3.2/5.0</w:t>
            </w:r>
          </w:p>
        </w:tc>
        <w:tc>
          <w:tcPr>
            <w:tcW w:w="2038" w:type="dxa"/>
            <w:tcBorders>
              <w:bottom w:val="single" w:sz="4" w:space="0" w:color="000000"/>
            </w:tcBorders>
            <w:vAlign w:val="center"/>
          </w:tcPr>
          <w:p w14:paraId="30741879" w14:textId="77777777" w:rsidR="00E52F02" w:rsidRDefault="00A15A26">
            <w:pPr>
              <w:spacing w:line="240" w:lineRule="auto"/>
              <w:jc w:val="both"/>
              <w:rPr>
                <w:rFonts w:ascii="Times New Roman" w:eastAsia="Times New Roman" w:hAnsi="Times New Roman" w:cs="Times New Roman"/>
              </w:rPr>
            </w:pPr>
            <w:r>
              <w:rPr>
                <w:rFonts w:ascii="Times New Roman" w:eastAsia="Times New Roman" w:hAnsi="Times New Roman" w:cs="Times New Roman"/>
              </w:rPr>
              <w:t>78.4%</w:t>
            </w:r>
          </w:p>
        </w:tc>
      </w:tr>
    </w:tbl>
    <w:p w14:paraId="37EF2663" w14:textId="02469F6A" w:rsidR="00E52F02" w:rsidRDefault="00A15A26">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Behavioral Authentication as seen in Figure </w:t>
      </w:r>
      <w:r w:rsidR="002536D3">
        <w:rPr>
          <w:rFonts w:ascii="Times New Roman" w:eastAsia="Times New Roman" w:hAnsi="Times New Roman" w:cs="Times New Roman"/>
        </w:rPr>
        <w:t>5</w:t>
      </w:r>
      <w:r>
        <w:rPr>
          <w:rFonts w:ascii="Times New Roman" w:eastAsia="Times New Roman" w:hAnsi="Times New Roman" w:cs="Times New Roman"/>
        </w:rPr>
        <w:t xml:space="preserve"> achieved F1-Score 0.942, AUC 0.981, latency thirty-two milliseconds, compliance 4.6 out of five, and Electronic Health Record validation accuracy 97.6 percent. </w:t>
      </w:r>
    </w:p>
    <w:p w14:paraId="6CA06453" w14:textId="50071AA4" w:rsidR="00E52F02" w:rsidRDefault="00A15A26">
      <w:pPr>
        <w:spacing w:before="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Figure </w:t>
      </w:r>
      <w:r w:rsidR="002536D3">
        <w:rPr>
          <w:rFonts w:ascii="Times New Roman" w:eastAsia="Times New Roman" w:hAnsi="Times New Roman" w:cs="Times New Roman"/>
          <w:b/>
          <w:bCs/>
        </w:rPr>
        <w:t>5</w:t>
      </w:r>
    </w:p>
    <w:p w14:paraId="6035C57A" w14:textId="77777777" w:rsidR="00E52F02" w:rsidRDefault="00A15A26">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i/>
          <w:iCs/>
        </w:rPr>
        <w:t>Behavioral Authentication ROC Curves Comparison</w:t>
      </w:r>
    </w:p>
    <w:p w14:paraId="09E5C6F2"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w:drawing>
          <wp:inline distT="0" distB="0" distL="0" distR="0" wp14:anchorId="060C66A6" wp14:editId="24CA99FD">
            <wp:extent cx="5049997" cy="340946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6903" b="3078"/>
                    <a:stretch>
                      <a:fillRect/>
                    </a:stretch>
                  </pic:blipFill>
                  <pic:spPr>
                    <a:xfrm>
                      <a:off x="0" y="0"/>
                      <a:ext cx="5049997" cy="3409467"/>
                    </a:xfrm>
                    <a:prstGeom prst="rect">
                      <a:avLst/>
                    </a:prstGeom>
                    <a:ln/>
                  </pic:spPr>
                </pic:pic>
              </a:graphicData>
            </a:graphic>
          </wp:inline>
        </w:drawing>
      </w:r>
    </w:p>
    <w:p w14:paraId="4F0DDB6C"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Risk Monitoring achieved F1-Score 0</w:t>
      </w:r>
      <w:r>
        <w:rPr>
          <w:rFonts w:ascii="Times New Roman" w:eastAsia="Times New Roman" w:hAnsi="Times New Roman" w:cs="Times New Roman"/>
        </w:rPr>
        <w:t>.937, AUC 0.976, latency twenty-eight milliseconds, compliance 4.8 out of five, and Internet of Medical Things accuracy 95.4 percent. Overall integrated framework achieved F1-Score 0.963, AUC 0.983, latency forty-one milliseconds, compliance 4.7 out of fiv</w:t>
      </w:r>
      <w:r>
        <w:rPr>
          <w:rFonts w:ascii="Times New Roman" w:eastAsia="Times New Roman" w:hAnsi="Times New Roman" w:cs="Times New Roman"/>
        </w:rPr>
        <w:t>e, and multi-domain healthcare validation 96.1 percent, substantially exceeding Traditional Zero-Trust Architecture baseline. Wilcoxon signed-rank test with p less than 0.001 and ten-fold cross-validation (σ_F1 = 0.008) confirmed significance and generaliz</w:t>
      </w:r>
      <w:r>
        <w:rPr>
          <w:rFonts w:ascii="Times New Roman" w:eastAsia="Times New Roman" w:hAnsi="Times New Roman" w:cs="Times New Roman"/>
        </w:rPr>
        <w:t>ability, with maturity model progression from Level 1 Initial to Level 5 Optimized across eighty-seven percent of simulated departments, demonstrating practical applicability.</w:t>
      </w:r>
    </w:p>
    <w:p w14:paraId="61A7B033"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14:paraId="791F78EE"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Adaptive Governance and Certification</w:t>
      </w:r>
    </w:p>
    <w:p w14:paraId="476F2B96"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adaptive certification fram</w:t>
      </w:r>
      <w:r>
        <w:rPr>
          <w:rFonts w:ascii="Times New Roman" w:eastAsia="Times New Roman" w:hAnsi="Times New Roman" w:cs="Times New Roman"/>
        </w:rPr>
        <w:t xml:space="preserve">ework demonstrated a seventeen percent F1-score improvement and ninety-four percent latency reduction, validating dynamic approaches over static compliance models, consistent with </w:t>
      </w:r>
      <w:proofErr w:type="spellStart"/>
      <w:r>
        <w:rPr>
          <w:rFonts w:ascii="Times New Roman" w:eastAsia="Times New Roman" w:hAnsi="Times New Roman" w:cs="Times New Roman"/>
        </w:rPr>
        <w:t>Bakirtzis</w:t>
      </w:r>
      <w:proofErr w:type="spellEnd"/>
      <w:r>
        <w:rPr>
          <w:rFonts w:ascii="Times New Roman" w:eastAsia="Times New Roman" w:hAnsi="Times New Roman" w:cs="Times New Roman"/>
        </w:rPr>
        <w:t xml:space="preserve"> et al. (2024) who argue that AI requires continuous regulatory ada</w:t>
      </w:r>
      <w:r>
        <w:rPr>
          <w:rFonts w:ascii="Times New Roman" w:eastAsia="Times New Roman" w:hAnsi="Times New Roman" w:cs="Times New Roman"/>
        </w:rPr>
        <w:t>ptation. Coverage of ninety-two percent under the NIST AI Risk Management Framework addresses regulatory fragmentation experienced by over half of organizations, operationalizing unified governance across the EU AI Act, ISO 42001, and sector-specific manda</w:t>
      </w:r>
      <w:r>
        <w:rPr>
          <w:rFonts w:ascii="Times New Roman" w:eastAsia="Times New Roman" w:hAnsi="Times New Roman" w:cs="Times New Roman"/>
        </w:rPr>
        <w:t>tes. Compliance scores increased from 3.2 to 4.7 out of five, reflecting effective real-time risk calibration, reducing bias events by forty-one percent while preserving autonomy benefits (Atencio, 2025). Governance maturity progressed from Level 2 Develop</w:t>
      </w:r>
      <w:r>
        <w:rPr>
          <w:rFonts w:ascii="Times New Roman" w:eastAsia="Times New Roman" w:hAnsi="Times New Roman" w:cs="Times New Roman"/>
        </w:rPr>
        <w:t>ing to Level 4 Managed, with eighty-seven percent achieving Level 5 Optimized characteristics, surpassing industry averages, facilitated by simulation-based training for home-based researchers. The twelve-timestep convergence to optimal trust scores indica</w:t>
      </w:r>
      <w:r>
        <w:rPr>
          <w:rFonts w:ascii="Times New Roman" w:eastAsia="Times New Roman" w:hAnsi="Times New Roman" w:cs="Times New Roman"/>
        </w:rPr>
        <w:t>tes computational overhead that edge computing may mitigate for latency-sensitive applications such as robotic surgery. Model drift mitigation via Kolmogorov-Smirnov statistic 0.03 operationalizes NIST manage functions through Population Stability Index mo</w:t>
      </w:r>
      <w:r>
        <w:rPr>
          <w:rFonts w:ascii="Times New Roman" w:eastAsia="Times New Roman" w:hAnsi="Times New Roman" w:cs="Times New Roman"/>
        </w:rPr>
        <w:t>nitoring, preventing unobserved vendor updates from compromising healthcare records. Automated documentation generation reduces administrative burden where over half of organizations report fatigue, suggesting future exploration of LLM-assisted certificate</w:t>
      </w:r>
      <w:r>
        <w:rPr>
          <w:rFonts w:ascii="Times New Roman" w:eastAsia="Times New Roman" w:hAnsi="Times New Roman" w:cs="Times New Roman"/>
        </w:rPr>
        <w:t xml:space="preserve"> lifecycle management (Reuel &amp; Arne, 2024).</w:t>
      </w:r>
    </w:p>
    <w:p w14:paraId="0EE7ED57"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Behavioral Authentication for Non-Human Identities</w:t>
      </w:r>
    </w:p>
    <w:p w14:paraId="7288DFE5"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Achieving a 1.2 percent false positive rate, a reduction of ninety-four percent from traditional methods, addresses alert fatigue, consistent with User and Entit</w:t>
      </w:r>
      <w:r>
        <w:rPr>
          <w:rFonts w:ascii="Times New Roman" w:eastAsia="Times New Roman" w:hAnsi="Times New Roman" w:cs="Times New Roman"/>
        </w:rPr>
        <w:t>y Behavior Analytics baselines. Isolation Forest anomaly distributions yielded 97.6 percent accuracy in detecting contextual EHR anomalies. Despite 156 monthly false alerts, API patterns and session trajectory analysis reduced triage time by seventy-one pe</w:t>
      </w:r>
      <w:r>
        <w:rPr>
          <w:rFonts w:ascii="Times New Roman" w:eastAsia="Times New Roman" w:hAnsi="Times New Roman" w:cs="Times New Roman"/>
        </w:rPr>
        <w:t>rcent. Non-human identity visibility increased from 8.4 percent to 96.2 percent, with Level 4 Managed organizations achieving over ninety-nine percent discovery and mean time to detection of 0.8 hours. Integration of Secure Production Identity Framework an</w:t>
      </w:r>
      <w:r>
        <w:rPr>
          <w:rFonts w:ascii="Times New Roman" w:eastAsia="Times New Roman" w:hAnsi="Times New Roman" w:cs="Times New Roman"/>
        </w:rPr>
        <w:t>d Secure Production Identity Runtime Engine for decentralized identifiers and verifiable credentials reduced credential sprawl by eighty-three percent, though zero-knowledge proof verification introduced 3.2-second latencies, suggesting hybrid approaches f</w:t>
      </w:r>
      <w:r>
        <w:rPr>
          <w:rFonts w:ascii="Times New Roman" w:eastAsia="Times New Roman" w:hAnsi="Times New Roman" w:cs="Times New Roman"/>
        </w:rPr>
        <w:t>or runtime performance (Seger et al., 2023).</w:t>
      </w:r>
    </w:p>
    <w:p w14:paraId="0802445D"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Risk Monitoring and Incident Response</w:t>
      </w:r>
    </w:p>
    <w:p w14:paraId="5A05541D"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The autoencoder achieved ninety-three percent F1-score with twenty-eight milliseconds latency, demonstrating real-time anomaly detection. Q-Learning automation reduced incid</w:t>
      </w:r>
      <w:r>
        <w:rPr>
          <w:rFonts w:ascii="Times New Roman" w:eastAsia="Times New Roman" w:hAnsi="Times New Roman" w:cs="Times New Roman"/>
        </w:rPr>
        <w:t xml:space="preserve">ents by eighty-seven percent, operationalizing MAESTRO framework requirements for AI-specific mitigation, including adversarial training and formal verification. Cyber risk decreased by two-thirds in healthcare simulations, with Internet of Medical Things </w:t>
      </w:r>
      <w:r>
        <w:rPr>
          <w:rFonts w:ascii="Times New Roman" w:eastAsia="Times New Roman" w:hAnsi="Times New Roman" w:cs="Times New Roman"/>
        </w:rPr>
        <w:t>detection at 95.4 percent, exceeding benchmarks (</w:t>
      </w:r>
      <w:proofErr w:type="spellStart"/>
      <w:r>
        <w:rPr>
          <w:rFonts w:ascii="Times New Roman" w:eastAsia="Times New Roman" w:hAnsi="Times New Roman" w:cs="Times New Roman"/>
        </w:rPr>
        <w:t>Bakirtzis</w:t>
      </w:r>
      <w:proofErr w:type="spellEnd"/>
      <w:r>
        <w:rPr>
          <w:rFonts w:ascii="Times New Roman" w:eastAsia="Times New Roman" w:hAnsi="Times New Roman" w:cs="Times New Roman"/>
        </w:rPr>
        <w:t xml:space="preserve"> et al., 2024). MAESTRO alignment achieved 98.3 percent threat coverage across autonomy, interaction, environment, system, and evaluation dimensions, with cross-layer detection at 87.6 percent, thou</w:t>
      </w:r>
      <w:r>
        <w:rPr>
          <w:rFonts w:ascii="Times New Roman" w:eastAsia="Times New Roman" w:hAnsi="Times New Roman" w:cs="Times New Roman"/>
        </w:rPr>
        <w:t xml:space="preserve">gh 12.4 percent gaps remain in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ROI of 3.1 times highlights financial viability, though real deployments require investments in micro segmentation, staff training, and observability platforms estimated at 2.4 million dollars annually for mid</w:t>
      </w:r>
      <w:r>
        <w:rPr>
          <w:rFonts w:ascii="Times New Roman" w:eastAsia="Times New Roman" w:hAnsi="Times New Roman" w:cs="Times New Roman"/>
        </w:rPr>
        <w:t>-sized healthcare systems (Lestari et al., 2025).</w:t>
      </w:r>
    </w:p>
    <w:p w14:paraId="1978BC7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Healthcare-Specific Implications</w:t>
      </w:r>
    </w:p>
    <w:p w14:paraId="47E22812"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Multi-domain healthcare validation at 96.1 percent demonstrates reliability, safety, and transparency, with HIPAA compliance at 4.8 out of five. Behavioral anomaly detection</w:t>
      </w:r>
      <w:r>
        <w:rPr>
          <w:rFonts w:ascii="Times New Roman" w:eastAsia="Times New Roman" w:hAnsi="Times New Roman" w:cs="Times New Roman"/>
        </w:rPr>
        <w:t xml:space="preserve"> prevented unauthorized access responsible for eighty-nine percent of breaches, and unsupervised methods generalized better to novel attacks than SVM baselines (Ribeiro et al., 2025). Alignment with CISA Zero Trust Maturity Model validates compliance with </w:t>
      </w:r>
      <w:r>
        <w:rPr>
          <w:rFonts w:ascii="Times New Roman" w:eastAsia="Times New Roman" w:hAnsi="Times New Roman" w:cs="Times New Roman"/>
        </w:rPr>
        <w:t xml:space="preserve">DoD 2027 mandates across 152 capability outcomes. Legacy system integration, cited by forty-three percent of organizations, can </w:t>
      </w:r>
      <w:r>
        <w:rPr>
          <w:rFonts w:ascii="Times New Roman" w:eastAsia="Times New Roman" w:hAnsi="Times New Roman" w:cs="Times New Roman"/>
        </w:rPr>
        <w:lastRenderedPageBreak/>
        <w:t>be addressed via phased cloud-native microservices with Kubernetes and service meshes, while containerized Docker Compose deploy</w:t>
      </w:r>
      <w:r>
        <w:rPr>
          <w:rFonts w:ascii="Times New Roman" w:eastAsia="Times New Roman" w:hAnsi="Times New Roman" w:cs="Times New Roman"/>
        </w:rPr>
        <w:t>ment enables incremental migration without disrupting clinical operations (Chen et al., 2025).</w:t>
      </w:r>
    </w:p>
    <w:p w14:paraId="4A281F64"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Limitations and Future Considerations</w:t>
      </w:r>
    </w:p>
    <w:p w14:paraId="00492BE7"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strong simulation results, ecological validity remains a concern as synthetic EHR patterns lack real-world clinical</w:t>
      </w:r>
      <w:r>
        <w:rPr>
          <w:rFonts w:ascii="Times New Roman" w:eastAsia="Times New Roman" w:hAnsi="Times New Roman" w:cs="Times New Roman"/>
        </w:rPr>
        <w:t xml:space="preserve"> workflow nuances such as emergency overrides and multi-disciplinary access (Kehinde, 2025). The five hundred thousand-instance </w:t>
      </w:r>
      <w:proofErr w:type="gramStart"/>
      <w:r>
        <w:rPr>
          <w:rFonts w:ascii="Times New Roman" w:eastAsia="Times New Roman" w:hAnsi="Times New Roman" w:cs="Times New Roman"/>
        </w:rPr>
        <w:t>dataset</w:t>
      </w:r>
      <w:proofErr w:type="gramEnd"/>
      <w:r>
        <w:rPr>
          <w:rFonts w:ascii="Times New Roman" w:eastAsia="Times New Roman" w:hAnsi="Times New Roman" w:cs="Times New Roman"/>
        </w:rPr>
        <w:t>, while statistically sufficient, cannot capture rare critical scenarios like pandemic surges requiring adaptive authenti</w:t>
      </w:r>
      <w:r>
        <w:rPr>
          <w:rFonts w:ascii="Times New Roman" w:eastAsia="Times New Roman" w:hAnsi="Times New Roman" w:cs="Times New Roman"/>
        </w:rPr>
        <w:t>cation policies. Future work should leverage anonymized production telemetry, though IRB approvals and de-identification introduce delays. Memory constraints limited ensemble methods to fifty-tree Isolation Forests versus production scales, potentially und</w:t>
      </w:r>
      <w:r>
        <w:rPr>
          <w:rFonts w:ascii="Times New Roman" w:eastAsia="Times New Roman" w:hAnsi="Times New Roman" w:cs="Times New Roman"/>
        </w:rPr>
        <w:t>erestimating performance. Serverless platforms such as AWS Lambda and Azure Functions offer elastic scaling, but cold-start latencies of three hundred to five hundred milliseconds conflict with under fifty milliseconds real-time thresholds. Hybrid architec</w:t>
      </w:r>
      <w:r>
        <w:rPr>
          <w:rFonts w:ascii="Times New Roman" w:eastAsia="Times New Roman" w:hAnsi="Times New Roman" w:cs="Times New Roman"/>
        </w:rPr>
        <w:t>tures combining local inference with cloud training merit exploration (</w:t>
      </w:r>
      <w:proofErr w:type="spellStart"/>
      <w:r>
        <w:rPr>
          <w:rFonts w:ascii="Times New Roman" w:eastAsia="Times New Roman" w:hAnsi="Times New Roman" w:cs="Times New Roman"/>
        </w:rPr>
        <w:t>Halkiopoulos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Gkintoni</w:t>
      </w:r>
      <w:proofErr w:type="spellEnd"/>
      <w:r>
        <w:rPr>
          <w:rFonts w:ascii="Times New Roman" w:eastAsia="Times New Roman" w:hAnsi="Times New Roman" w:cs="Times New Roman"/>
        </w:rPr>
        <w:t>, 2024). Theoretically, this study advances zero trust by operationalizing continuous verification for autonomous agents (NIST SP 800-207), adaptive certification</w:t>
      </w:r>
      <w:r>
        <w:rPr>
          <w:rFonts w:ascii="Times New Roman" w:eastAsia="Times New Roman" w:hAnsi="Times New Roman" w:cs="Times New Roman"/>
        </w:rPr>
        <w:t>, and behavioral authentication with decentralized identifiers and zero-knowledge proofs, bridging sociotechnical gaps in trust and auditability (</w:t>
      </w:r>
      <w:proofErr w:type="spellStart"/>
      <w:r>
        <w:rPr>
          <w:rFonts w:ascii="Times New Roman" w:eastAsia="Times New Roman" w:hAnsi="Times New Roman" w:cs="Times New Roman"/>
        </w:rPr>
        <w:t>Mukhtorov</w:t>
      </w:r>
      <w:proofErr w:type="spellEnd"/>
      <w:r>
        <w:rPr>
          <w:rFonts w:ascii="Times New Roman" w:eastAsia="Times New Roman" w:hAnsi="Times New Roman" w:cs="Times New Roman"/>
        </w:rPr>
        <w:t xml:space="preserve"> et al., 2025; Chen et al., 2025).</w:t>
      </w:r>
    </w:p>
    <w:p w14:paraId="1225F7F7" w14:textId="77777777" w:rsidR="00E52F02" w:rsidRDefault="00E52F02">
      <w:pPr>
        <w:spacing w:line="360" w:lineRule="auto"/>
        <w:jc w:val="both"/>
        <w:rPr>
          <w:rFonts w:ascii="Times New Roman" w:eastAsia="Times New Roman" w:hAnsi="Times New Roman" w:cs="Times New Roman"/>
        </w:rPr>
      </w:pPr>
    </w:p>
    <w:p w14:paraId="55A6774D"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5.</w:t>
      </w:r>
      <w:r>
        <w:rPr>
          <w:rFonts w:ascii="Times New Roman" w:eastAsia="Times New Roman" w:hAnsi="Times New Roman" w:cs="Times New Roman"/>
          <w:b/>
          <w:bCs/>
        </w:rPr>
        <w:tab/>
        <w:t>Conclusions and Recommendations</w:t>
      </w:r>
    </w:p>
    <w:p w14:paraId="6E3BB27F"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Conclusions</w:t>
      </w:r>
    </w:p>
    <w:p w14:paraId="033BA947"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w:t>
      </w:r>
      <w:r>
        <w:rPr>
          <w:rFonts w:ascii="Times New Roman" w:eastAsia="Times New Roman" w:hAnsi="Times New Roman" w:cs="Times New Roman"/>
        </w:rPr>
        <w:t>developed an integrated framework combining AI-automated governance, adaptive certification, behavioral authentication, and risk monitoring within zero-trust healthcare infrastructures. Experiments demonstrated adaptive certification achieving 4.7/5.0 NIST</w:t>
      </w:r>
      <w:r>
        <w:rPr>
          <w:rFonts w:ascii="Times New Roman" w:eastAsia="Times New Roman" w:hAnsi="Times New Roman" w:cs="Times New Roman"/>
        </w:rPr>
        <w:t xml:space="preserve"> compliance, behavioral authentication 94.2% F1-score with 1.2% false positives, and risk monitoring 93.7% anomaly detection accuracy. The unified framework delivered 96.1% multi-domain validation, reduced Mean Time to Detection from 72.3 to 0.8 hours, and</w:t>
      </w:r>
      <w:r>
        <w:rPr>
          <w:rFonts w:ascii="Times New Roman" w:eastAsia="Times New Roman" w:hAnsi="Times New Roman" w:cs="Times New Roman"/>
        </w:rPr>
        <w:t xml:space="preserve"> realized 3.1× ROI. These results highlight the effectiveness of continuous verification and adaptive mechanisms, </w:t>
      </w:r>
      <w:r>
        <w:rPr>
          <w:rFonts w:ascii="Times New Roman" w:eastAsia="Times New Roman" w:hAnsi="Times New Roman" w:cs="Times New Roman"/>
        </w:rPr>
        <w:lastRenderedPageBreak/>
        <w:t>providing actionable insights for policymakers, enhancing regulatory compliance, improving operational efficiency, and supporting strategic in</w:t>
      </w:r>
      <w:r>
        <w:rPr>
          <w:rFonts w:ascii="Times New Roman" w:eastAsia="Times New Roman" w:hAnsi="Times New Roman" w:cs="Times New Roman"/>
        </w:rPr>
        <w:t>vestment in resilient healthcare AI systems.</w:t>
      </w:r>
    </w:p>
    <w:p w14:paraId="22D9B514"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Recommendations</w:t>
      </w:r>
    </w:p>
    <w:p w14:paraId="15048129" w14:textId="0D528BD3"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research should develop healthcare-specific datasets capturing authentic clinical workflows and emergency scenarios to improve framework generalizability beyond synthetic simulations. Inte</w:t>
      </w:r>
      <w:r>
        <w:rPr>
          <w:rFonts w:ascii="Times New Roman" w:eastAsia="Times New Roman" w:hAnsi="Times New Roman" w:cs="Times New Roman"/>
        </w:rPr>
        <w:t>gration of explainable artificial intelligence into adaptive governance will enhance clinician trust through interpretable anomaly detection and incident response. Real-time deployment in radiotherapy units and Electronic Health Record systems is critical.</w:t>
      </w:r>
      <w:r>
        <w:rPr>
          <w:rFonts w:ascii="Times New Roman" w:eastAsia="Times New Roman" w:hAnsi="Times New Roman" w:cs="Times New Roman"/>
        </w:rPr>
        <w:t xml:space="preserve"> Collaborative partnerships among healthcare providers, cloud vendors, and regulators should establish standardized zero-trust maturity benchmarks. Exploration of quantum-resistant cryptography and federated learning will support multi-institutional AI gov</w:t>
      </w:r>
      <w:r>
        <w:rPr>
          <w:rFonts w:ascii="Times New Roman" w:eastAsia="Times New Roman" w:hAnsi="Times New Roman" w:cs="Times New Roman"/>
        </w:rPr>
        <w:t>ernance while preserving sensitive patient data.</w:t>
      </w:r>
    </w:p>
    <w:p w14:paraId="287DFF68" w14:textId="77777777" w:rsidR="00DD27EB" w:rsidRDefault="00DD27EB" w:rsidP="00DD27EB">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Ethical Considerations and Limitations</w:t>
      </w:r>
    </w:p>
    <w:p w14:paraId="04BBF541" w14:textId="77777777" w:rsidR="00DD27EB" w:rsidRDefault="00DD27EB" w:rsidP="00DD27E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Ethical compliance follows APA guidelines with HIPAA simulations using synthetic data to prevent real patient exposure. Reliability is ensured through deterministic seeds and Docker containerization. Limitations include simulation versus live differences, with cloud-native scope only. Bias mitigation uses </w:t>
      </w:r>
      <w:proofErr w:type="spellStart"/>
      <w:r>
        <w:rPr>
          <w:rFonts w:ascii="Times New Roman" w:eastAsia="Times New Roman" w:hAnsi="Times New Roman" w:cs="Times New Roman"/>
        </w:rPr>
        <w:t>Fairlearn</w:t>
      </w:r>
      <w:proofErr w:type="spellEnd"/>
      <w:r>
        <w:rPr>
          <w:rFonts w:ascii="Times New Roman" w:eastAsia="Times New Roman" w:hAnsi="Times New Roman" w:cs="Times New Roman"/>
        </w:rPr>
        <w:t>, maintaining disparate impact ratios above 0.8 across demographics (</w:t>
      </w:r>
      <w:proofErr w:type="spellStart"/>
      <w:r>
        <w:rPr>
          <w:rFonts w:ascii="Times New Roman" w:eastAsia="Times New Roman" w:hAnsi="Times New Roman" w:cs="Times New Roman"/>
        </w:rPr>
        <w:t>Avin</w:t>
      </w:r>
      <w:proofErr w:type="spellEnd"/>
      <w:r>
        <w:rPr>
          <w:rFonts w:ascii="Times New Roman" w:eastAsia="Times New Roman" w:hAnsi="Times New Roman" w:cs="Times New Roman"/>
        </w:rPr>
        <w:t xml:space="preserve"> et al., 2021).</w:t>
      </w:r>
    </w:p>
    <w:p w14:paraId="32CAC896" w14:textId="77777777" w:rsidR="00DD27EB" w:rsidRDefault="00DD27EB">
      <w:pPr>
        <w:spacing w:line="360" w:lineRule="auto"/>
        <w:jc w:val="both"/>
        <w:rPr>
          <w:rFonts w:ascii="Times New Roman" w:eastAsia="Times New Roman" w:hAnsi="Times New Roman" w:cs="Times New Roman"/>
        </w:rPr>
      </w:pPr>
      <w:bookmarkStart w:id="1" w:name="_GoBack"/>
      <w:bookmarkEnd w:id="1"/>
    </w:p>
    <w:p w14:paraId="68DBB18C" w14:textId="77777777" w:rsidR="00E52F02" w:rsidRDefault="00E52F02">
      <w:pPr>
        <w:spacing w:line="360" w:lineRule="auto"/>
        <w:jc w:val="both"/>
        <w:rPr>
          <w:rFonts w:ascii="Times New Roman" w:eastAsia="Times New Roman" w:hAnsi="Times New Roman" w:cs="Times New Roman"/>
        </w:rPr>
      </w:pPr>
    </w:p>
    <w:p w14:paraId="4F3735C7" w14:textId="77777777" w:rsidR="00E52F02" w:rsidRDefault="00E52F02">
      <w:pPr>
        <w:spacing w:line="360" w:lineRule="auto"/>
        <w:jc w:val="both"/>
        <w:rPr>
          <w:rFonts w:ascii="Times New Roman" w:eastAsia="Times New Roman" w:hAnsi="Times New Roman" w:cs="Times New Roman"/>
        </w:rPr>
      </w:pPr>
    </w:p>
    <w:p w14:paraId="1416FF0B" w14:textId="77777777" w:rsidR="00E52F02" w:rsidRDefault="00E52F02">
      <w:pPr>
        <w:spacing w:line="360" w:lineRule="auto"/>
        <w:jc w:val="both"/>
        <w:rPr>
          <w:rFonts w:ascii="Times New Roman" w:eastAsia="Times New Roman" w:hAnsi="Times New Roman" w:cs="Times New Roman"/>
        </w:rPr>
      </w:pPr>
    </w:p>
    <w:p w14:paraId="5143041D" w14:textId="77777777" w:rsidR="00E52F02" w:rsidRDefault="00E52F02">
      <w:pPr>
        <w:spacing w:line="360" w:lineRule="auto"/>
        <w:jc w:val="both"/>
        <w:rPr>
          <w:rFonts w:ascii="Times New Roman" w:eastAsia="Times New Roman" w:hAnsi="Times New Roman" w:cs="Times New Roman"/>
        </w:rPr>
      </w:pPr>
    </w:p>
    <w:p w14:paraId="1301B271"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Disclaimer (Artificial intelligence)</w:t>
      </w:r>
    </w:p>
    <w:p w14:paraId="43274DBA" w14:textId="77777777" w:rsidR="00E52F02" w:rsidRDefault="00E52F02">
      <w:pPr>
        <w:spacing w:line="360" w:lineRule="auto"/>
        <w:jc w:val="both"/>
        <w:rPr>
          <w:rFonts w:ascii="Times New Roman" w:eastAsia="Times New Roman" w:hAnsi="Times New Roman" w:cs="Times New Roman"/>
        </w:rPr>
      </w:pPr>
    </w:p>
    <w:p w14:paraId="55DDA6A5" w14:textId="77777777" w:rsidR="00E52F02" w:rsidRDefault="00A15A26">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w:t>
      </w:r>
      <w:proofErr w:type="spellStart"/>
      <w:r>
        <w:rPr>
          <w:rFonts w:ascii="Times New Roman" w:eastAsia="Times New Roman" w:hAnsi="Times New Roman" w:cs="Times New Roman"/>
        </w:rPr>
        <w:t>ChatGPT</w:t>
      </w:r>
      <w:proofErr w:type="spellEnd"/>
      <w:r>
        <w:rPr>
          <w:rFonts w:ascii="Times New Roman" w:eastAsia="Times New Roman" w:hAnsi="Times New Roman" w:cs="Times New Roman"/>
        </w:rPr>
        <w:t>, COPILOT, etc.) and text-to-image generators have been used during</w:t>
      </w:r>
      <w:r>
        <w:rPr>
          <w:rFonts w:ascii="Times New Roman" w:eastAsia="Times New Roman" w:hAnsi="Times New Roman" w:cs="Times New Roman"/>
        </w:rPr>
        <w:t xml:space="preserve"> the writing or editing of this manuscript.</w:t>
      </w:r>
    </w:p>
    <w:p w14:paraId="334EEC1F" w14:textId="77777777" w:rsidR="00E52F02" w:rsidRDefault="00E52F02">
      <w:pPr>
        <w:spacing w:line="360" w:lineRule="auto"/>
        <w:jc w:val="both"/>
        <w:rPr>
          <w:rFonts w:ascii="Times New Roman" w:eastAsia="Times New Roman" w:hAnsi="Times New Roman" w:cs="Times New Roman"/>
        </w:rPr>
      </w:pPr>
    </w:p>
    <w:p w14:paraId="75C5357A" w14:textId="77777777" w:rsidR="00E52F02" w:rsidRDefault="00A15A26">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29A18FD1"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Ahmadi, S. (2025). Autonomous Identity-Based Threat Segmentation in Zero Trust Architectures.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https://doi.org/10.48550/arxiv.2501.06281</w:t>
      </w:r>
    </w:p>
    <w:p w14:paraId="36172090"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Anantula</w:t>
      </w:r>
      <w:proofErr w:type="spellEnd"/>
      <w:r>
        <w:rPr>
          <w:rFonts w:ascii="Times New Roman" w:eastAsia="Times New Roman" w:hAnsi="Times New Roman" w:cs="Times New Roman"/>
        </w:rPr>
        <w:t>, S. V. (2025). Architecting</w:t>
      </w:r>
      <w:r>
        <w:rPr>
          <w:rFonts w:ascii="Times New Roman" w:eastAsia="Times New Roman" w:hAnsi="Times New Roman" w:cs="Times New Roman"/>
        </w:rPr>
        <w:t xml:space="preserve"> cloud-native IAM: A microservices-based approach to modern identity management. </w:t>
      </w:r>
      <w:r>
        <w:rPr>
          <w:rFonts w:ascii="Times New Roman" w:eastAsia="Times New Roman" w:hAnsi="Times New Roman" w:cs="Times New Roman"/>
          <w:i/>
          <w:iCs/>
        </w:rPr>
        <w:t>World Journal of Advanced Engineering Technology and Sciences</w:t>
      </w:r>
      <w:r>
        <w:rPr>
          <w:rFonts w:ascii="Times New Roman" w:eastAsia="Times New Roman" w:hAnsi="Times New Roman" w:cs="Times New Roman"/>
        </w:rPr>
        <w:t xml:space="preserve">, </w:t>
      </w:r>
      <w:r>
        <w:rPr>
          <w:rFonts w:ascii="Times New Roman" w:eastAsia="Times New Roman" w:hAnsi="Times New Roman" w:cs="Times New Roman"/>
          <w:i/>
          <w:iCs/>
        </w:rPr>
        <w:t>15</w:t>
      </w:r>
      <w:r>
        <w:rPr>
          <w:rFonts w:ascii="Times New Roman" w:eastAsia="Times New Roman" w:hAnsi="Times New Roman" w:cs="Times New Roman"/>
        </w:rPr>
        <w:t>(3), 268–274. https://doi.org/10.30574/wjaets.2025.15.3.0915</w:t>
      </w:r>
    </w:p>
    <w:p w14:paraId="304913C6"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Atencio, G. S. (2025). Beyond Binary: Adaptive Fr</w:t>
      </w:r>
      <w:r>
        <w:rPr>
          <w:rFonts w:ascii="Times New Roman" w:eastAsia="Times New Roman" w:hAnsi="Times New Roman" w:cs="Times New Roman"/>
        </w:rPr>
        <w:t xml:space="preserve">ameworks for Autonomous AI Governance. </w:t>
      </w:r>
      <w:r>
        <w:rPr>
          <w:rFonts w:ascii="Times New Roman" w:eastAsia="Times New Roman" w:hAnsi="Times New Roman" w:cs="Times New Roman"/>
          <w:i/>
          <w:iCs/>
        </w:rPr>
        <w:t>Artificial Intelligence and Applications</w:t>
      </w:r>
      <w:r>
        <w:rPr>
          <w:rFonts w:ascii="Times New Roman" w:eastAsia="Times New Roman" w:hAnsi="Times New Roman" w:cs="Times New Roman"/>
        </w:rPr>
        <w:t>. https://doi.org/10.47852/bonviewaia52026790</w:t>
      </w:r>
    </w:p>
    <w:p w14:paraId="7E885623"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Avin</w:t>
      </w:r>
      <w:proofErr w:type="spellEnd"/>
      <w:r>
        <w:rPr>
          <w:rFonts w:ascii="Times New Roman" w:eastAsia="Times New Roman" w:hAnsi="Times New Roman" w:cs="Times New Roman"/>
        </w:rPr>
        <w:t xml:space="preserve">, S., Belfield, H., Brundage, M., Krueger, G., Wang, J., Weller, A., </w:t>
      </w:r>
      <w:proofErr w:type="spellStart"/>
      <w:r>
        <w:rPr>
          <w:rFonts w:ascii="Times New Roman" w:eastAsia="Times New Roman" w:hAnsi="Times New Roman" w:cs="Times New Roman"/>
        </w:rPr>
        <w:t>Anderljung</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Krawczuk</w:t>
      </w:r>
      <w:proofErr w:type="spellEnd"/>
      <w:r>
        <w:rPr>
          <w:rFonts w:ascii="Times New Roman" w:eastAsia="Times New Roman" w:hAnsi="Times New Roman" w:cs="Times New Roman"/>
        </w:rPr>
        <w:t xml:space="preserve">, I., Krueger, D., </w:t>
      </w:r>
      <w:proofErr w:type="spellStart"/>
      <w:r>
        <w:rPr>
          <w:rFonts w:ascii="Times New Roman" w:eastAsia="Times New Roman" w:hAnsi="Times New Roman" w:cs="Times New Roman"/>
        </w:rPr>
        <w:t>Lebensold</w:t>
      </w:r>
      <w:proofErr w:type="spellEnd"/>
      <w:r>
        <w:rPr>
          <w:rFonts w:ascii="Times New Roman" w:eastAsia="Times New Roman" w:hAnsi="Times New Roman" w:cs="Times New Roman"/>
        </w:rPr>
        <w:t xml:space="preserve">, J., </w:t>
      </w:r>
      <w:r>
        <w:rPr>
          <w:rFonts w:ascii="Times New Roman" w:eastAsia="Times New Roman" w:hAnsi="Times New Roman" w:cs="Times New Roman"/>
        </w:rPr>
        <w:t xml:space="preserve">Maharaj, T., &amp; Zilberman, N. (2021). Filling gaps in trustworthy development of AI.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https://doi.org/10.48550/arxiv.2112.07773</w:t>
      </w:r>
    </w:p>
    <w:p w14:paraId="4F5D7A4B"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Bakirtzis</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Tubella</w:t>
      </w:r>
      <w:proofErr w:type="spellEnd"/>
      <w:r>
        <w:rPr>
          <w:rFonts w:ascii="Times New Roman" w:eastAsia="Times New Roman" w:hAnsi="Times New Roman" w:cs="Times New Roman"/>
        </w:rPr>
        <w:t xml:space="preserve">, A. A., </w:t>
      </w:r>
      <w:proofErr w:type="spellStart"/>
      <w:r>
        <w:rPr>
          <w:rFonts w:ascii="Times New Roman" w:eastAsia="Times New Roman" w:hAnsi="Times New Roman" w:cs="Times New Roman"/>
        </w:rPr>
        <w:t>Theodorou</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Danks</w:t>
      </w:r>
      <w:proofErr w:type="spellEnd"/>
      <w:r>
        <w:rPr>
          <w:rFonts w:ascii="Times New Roman" w:eastAsia="Times New Roman" w:hAnsi="Times New Roman" w:cs="Times New Roman"/>
        </w:rPr>
        <w:t xml:space="preserve">, D., &amp; </w:t>
      </w:r>
      <w:proofErr w:type="spellStart"/>
      <w:r>
        <w:rPr>
          <w:rFonts w:ascii="Times New Roman" w:eastAsia="Times New Roman" w:hAnsi="Times New Roman" w:cs="Times New Roman"/>
        </w:rPr>
        <w:t>Topcu</w:t>
      </w:r>
      <w:proofErr w:type="spellEnd"/>
      <w:r>
        <w:rPr>
          <w:rFonts w:ascii="Times New Roman" w:eastAsia="Times New Roman" w:hAnsi="Times New Roman" w:cs="Times New Roman"/>
        </w:rPr>
        <w:t>, U. (2024). Navigating the sociotechn</w:t>
      </w:r>
      <w:r>
        <w:rPr>
          <w:rFonts w:ascii="Times New Roman" w:eastAsia="Times New Roman" w:hAnsi="Times New Roman" w:cs="Times New Roman"/>
        </w:rPr>
        <w:t xml:space="preserve">ical labyrinth: Dynamic certification for responsible embodied AI.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https://doi.org/10.48550/arxiv.2409.00015</w:t>
      </w:r>
    </w:p>
    <w:p w14:paraId="50297992"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Bello, H. O. (2025). Integrating Behavioral Biometrics and Machine Learning to Combat Evolving Cybercrime Tactics in Fi</w:t>
      </w:r>
      <w:r>
        <w:rPr>
          <w:rFonts w:ascii="Times New Roman" w:eastAsia="Times New Roman" w:hAnsi="Times New Roman" w:cs="Times New Roman"/>
        </w:rPr>
        <w:t xml:space="preserve">nancial Systems. </w:t>
      </w:r>
      <w:r>
        <w:rPr>
          <w:rFonts w:ascii="Times New Roman" w:eastAsia="Times New Roman" w:hAnsi="Times New Roman" w:cs="Times New Roman"/>
          <w:i/>
          <w:iCs/>
        </w:rPr>
        <w:t>International Journal of Computer Applications Technology and Research</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(02), 121–133. https://doi.org/10.7753/ijcatr1402.1009</w:t>
      </w:r>
    </w:p>
    <w:p w14:paraId="6229A636"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Chen, Y.-J., </w:t>
      </w:r>
      <w:proofErr w:type="spellStart"/>
      <w:r>
        <w:rPr>
          <w:rFonts w:ascii="Times New Roman" w:eastAsia="Times New Roman" w:hAnsi="Times New Roman" w:cs="Times New Roman"/>
        </w:rPr>
        <w:t>Albarqawi</w:t>
      </w:r>
      <w:proofErr w:type="spellEnd"/>
      <w:r>
        <w:rPr>
          <w:rFonts w:ascii="Times New Roman" w:eastAsia="Times New Roman" w:hAnsi="Times New Roman" w:cs="Times New Roman"/>
        </w:rPr>
        <w:t xml:space="preserve">, A., &amp; Chen, C.-S. (2025). Enhancing Clinical Decision-Making: Integrating Multi-Agent </w:t>
      </w:r>
      <w:r>
        <w:rPr>
          <w:rFonts w:ascii="Times New Roman" w:eastAsia="Times New Roman" w:hAnsi="Times New Roman" w:cs="Times New Roman"/>
        </w:rPr>
        <w:t xml:space="preserve">Systems with Ethical AI Governance.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https://doi.org/10.48550/arxiv.2504.03699</w:t>
      </w:r>
    </w:p>
    <w:p w14:paraId="72DA4D17"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Choung, H., David, P., &amp; </w:t>
      </w:r>
      <w:proofErr w:type="spellStart"/>
      <w:r>
        <w:rPr>
          <w:rFonts w:ascii="Times New Roman" w:eastAsia="Times New Roman" w:hAnsi="Times New Roman" w:cs="Times New Roman"/>
        </w:rPr>
        <w:t>Seberger</w:t>
      </w:r>
      <w:proofErr w:type="spellEnd"/>
      <w:r>
        <w:rPr>
          <w:rFonts w:ascii="Times New Roman" w:eastAsia="Times New Roman" w:hAnsi="Times New Roman" w:cs="Times New Roman"/>
        </w:rPr>
        <w:t xml:space="preserve">, J. S. (2023). </w:t>
      </w:r>
      <w:r>
        <w:rPr>
          <w:rFonts w:ascii="Times New Roman" w:eastAsia="Times New Roman" w:hAnsi="Times New Roman" w:cs="Times New Roman"/>
          <w:i/>
          <w:iCs/>
        </w:rPr>
        <w:t>A Multilevel Framework for AI Governance</w:t>
      </w:r>
      <w:r>
        <w:rPr>
          <w:rFonts w:ascii="Times New Roman" w:eastAsia="Times New Roman" w:hAnsi="Times New Roman" w:cs="Times New Roman"/>
        </w:rPr>
        <w:t>. ArXiv.org. https://doi.org/10.48550/arXiv.2307.03198</w:t>
      </w:r>
    </w:p>
    <w:p w14:paraId="3BCC65A4"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Gambo</w:t>
      </w:r>
      <w:proofErr w:type="spellEnd"/>
      <w:r>
        <w:rPr>
          <w:rFonts w:ascii="Times New Roman" w:eastAsia="Times New Roman" w:hAnsi="Times New Roman" w:cs="Times New Roman"/>
        </w:rPr>
        <w:t>,</w:t>
      </w:r>
      <w:r>
        <w:rPr>
          <w:rFonts w:ascii="Times New Roman" w:eastAsia="Times New Roman" w:hAnsi="Times New Roman" w:cs="Times New Roman"/>
        </w:rPr>
        <w:t xml:space="preserve"> M. L., &amp; </w:t>
      </w:r>
      <w:proofErr w:type="spellStart"/>
      <w:r>
        <w:rPr>
          <w:rFonts w:ascii="Times New Roman" w:eastAsia="Times New Roman" w:hAnsi="Times New Roman" w:cs="Times New Roman"/>
        </w:rPr>
        <w:t>Almulhem</w:t>
      </w:r>
      <w:proofErr w:type="spellEnd"/>
      <w:r>
        <w:rPr>
          <w:rFonts w:ascii="Times New Roman" w:eastAsia="Times New Roman" w:hAnsi="Times New Roman" w:cs="Times New Roman"/>
        </w:rPr>
        <w:t xml:space="preserve">, A. (2025). </w:t>
      </w:r>
      <w:r>
        <w:rPr>
          <w:rFonts w:ascii="Times New Roman" w:eastAsia="Times New Roman" w:hAnsi="Times New Roman" w:cs="Times New Roman"/>
          <w:i/>
          <w:iCs/>
        </w:rPr>
        <w:t>Zero Trust Architecture: A Systematic Literature Review</w:t>
      </w:r>
      <w:r>
        <w:rPr>
          <w:rFonts w:ascii="Times New Roman" w:eastAsia="Times New Roman" w:hAnsi="Times New Roman" w:cs="Times New Roman"/>
        </w:rPr>
        <w:t>. https://doi.org/10.36227/techrxiv.173933211.18231232/v1</w:t>
      </w:r>
    </w:p>
    <w:p w14:paraId="2B6408D7"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Goktas</w:t>
      </w:r>
      <w:proofErr w:type="spellEnd"/>
      <w:r>
        <w:rPr>
          <w:rFonts w:ascii="Times New Roman" w:eastAsia="Times New Roman" w:hAnsi="Times New Roman" w:cs="Times New Roman"/>
        </w:rPr>
        <w:t xml:space="preserve">, P., &amp; </w:t>
      </w:r>
      <w:proofErr w:type="spellStart"/>
      <w:r>
        <w:rPr>
          <w:rFonts w:ascii="Times New Roman" w:eastAsia="Times New Roman" w:hAnsi="Times New Roman" w:cs="Times New Roman"/>
        </w:rPr>
        <w:t>Grzybowski</w:t>
      </w:r>
      <w:proofErr w:type="spellEnd"/>
      <w:r>
        <w:rPr>
          <w:rFonts w:ascii="Times New Roman" w:eastAsia="Times New Roman" w:hAnsi="Times New Roman" w:cs="Times New Roman"/>
        </w:rPr>
        <w:t xml:space="preserve">, A. (2025). Shaping the Future of Healthcare: Ethical Clinical Challenges and Pathways </w:t>
      </w:r>
      <w:r>
        <w:rPr>
          <w:rFonts w:ascii="Times New Roman" w:eastAsia="Times New Roman" w:hAnsi="Times New Roman" w:cs="Times New Roman"/>
        </w:rPr>
        <w:t xml:space="preserve">to Trustworthy AI. </w:t>
      </w:r>
      <w:r>
        <w:rPr>
          <w:rFonts w:ascii="Times New Roman" w:eastAsia="Times New Roman" w:hAnsi="Times New Roman" w:cs="Times New Roman"/>
          <w:i/>
          <w:iCs/>
        </w:rPr>
        <w:t>Journal of Clinical Medicine</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(5), 1605–1605. https://doi.org/10.3390/jcm14051605</w:t>
      </w:r>
    </w:p>
    <w:p w14:paraId="37B3E5CA"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Griffin, C., Thomson, L., </w:t>
      </w:r>
      <w:proofErr w:type="spellStart"/>
      <w:r>
        <w:rPr>
          <w:rFonts w:ascii="Times New Roman" w:eastAsia="Times New Roman" w:hAnsi="Times New Roman" w:cs="Times New Roman"/>
        </w:rPr>
        <w:t>Shlegeris</w:t>
      </w:r>
      <w:proofErr w:type="spellEnd"/>
      <w:r>
        <w:rPr>
          <w:rFonts w:ascii="Times New Roman" w:eastAsia="Times New Roman" w:hAnsi="Times New Roman" w:cs="Times New Roman"/>
        </w:rPr>
        <w:t xml:space="preserve">, B., &amp; Abate, A. (2024). Games for AI Control: Models of Safety Evaluations of AI Deployment Protocols.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w:t>
      </w:r>
      <w:r>
        <w:rPr>
          <w:rFonts w:ascii="Times New Roman" w:eastAsia="Times New Roman" w:hAnsi="Times New Roman" w:cs="Times New Roman"/>
          <w:i/>
          <w:iCs/>
        </w:rPr>
        <w:t>l University)</w:t>
      </w:r>
      <w:r>
        <w:rPr>
          <w:rFonts w:ascii="Times New Roman" w:eastAsia="Times New Roman" w:hAnsi="Times New Roman" w:cs="Times New Roman"/>
        </w:rPr>
        <w:t>. https://doi.org/10.48550/arxiv.2409.07985</w:t>
      </w:r>
    </w:p>
    <w:p w14:paraId="0B834D61"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Gupta, S. (2025). Zero-Knowledge Proofs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Privacy-Preserving Systems: A Survey Across Blockchain, Identity, And Beyond. </w:t>
      </w:r>
      <w:r>
        <w:rPr>
          <w:rFonts w:ascii="Times New Roman" w:eastAsia="Times New Roman" w:hAnsi="Times New Roman" w:cs="Times New Roman"/>
          <w:i/>
          <w:iCs/>
        </w:rPr>
        <w:t>Engineering and Technology Journal</w:t>
      </w:r>
      <w:r>
        <w:rPr>
          <w:rFonts w:ascii="Times New Roman" w:eastAsia="Times New Roman" w:hAnsi="Times New Roman" w:cs="Times New Roman"/>
        </w:rPr>
        <w:t xml:space="preserve">, </w:t>
      </w:r>
      <w:r>
        <w:rPr>
          <w:rFonts w:ascii="Times New Roman" w:eastAsia="Times New Roman" w:hAnsi="Times New Roman" w:cs="Times New Roman"/>
          <w:i/>
          <w:iCs/>
        </w:rPr>
        <w:t>10</w:t>
      </w:r>
      <w:r>
        <w:rPr>
          <w:rFonts w:ascii="Times New Roman" w:eastAsia="Times New Roman" w:hAnsi="Times New Roman" w:cs="Times New Roman"/>
        </w:rPr>
        <w:t>(07). https://doi.org/10.47191/etj/v10i</w:t>
      </w:r>
      <w:r>
        <w:rPr>
          <w:rFonts w:ascii="Times New Roman" w:eastAsia="Times New Roman" w:hAnsi="Times New Roman" w:cs="Times New Roman"/>
        </w:rPr>
        <w:t>07.23</w:t>
      </w:r>
    </w:p>
    <w:p w14:paraId="473C314B"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Halkiopoulos</w:t>
      </w:r>
      <w:proofErr w:type="spellEnd"/>
      <w:r>
        <w:rPr>
          <w:rFonts w:ascii="Times New Roman" w:eastAsia="Times New Roman" w:hAnsi="Times New Roman" w:cs="Times New Roman"/>
        </w:rPr>
        <w:t xml:space="preserve">, C., &amp; </w:t>
      </w:r>
      <w:proofErr w:type="spellStart"/>
      <w:r>
        <w:rPr>
          <w:rFonts w:ascii="Times New Roman" w:eastAsia="Times New Roman" w:hAnsi="Times New Roman" w:cs="Times New Roman"/>
        </w:rPr>
        <w:t>Gkintoni</w:t>
      </w:r>
      <w:proofErr w:type="spellEnd"/>
      <w:r>
        <w:rPr>
          <w:rFonts w:ascii="Times New Roman" w:eastAsia="Times New Roman" w:hAnsi="Times New Roman" w:cs="Times New Roman"/>
        </w:rPr>
        <w:t xml:space="preserve">, E. (2024). Leveraging AI in e-learning: Personalized learning and adaptive assessment through cognitive neuropsychology—A systematic analysis. </w:t>
      </w:r>
      <w:r>
        <w:rPr>
          <w:rFonts w:ascii="Times New Roman" w:eastAsia="Times New Roman" w:hAnsi="Times New Roman" w:cs="Times New Roman"/>
          <w:i/>
          <w:iCs/>
        </w:rPr>
        <w:t>Electronics</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(18), 3762. https://doi.org/10.3390/electronics13183762</w:t>
      </w:r>
    </w:p>
    <w:p w14:paraId="6B3BE6C8"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Huang, K. (2025). </w:t>
      </w:r>
      <w:r>
        <w:rPr>
          <w:rFonts w:ascii="Times New Roman" w:eastAsia="Times New Roman" w:hAnsi="Times New Roman" w:cs="Times New Roman"/>
          <w:i/>
          <w:iCs/>
        </w:rPr>
        <w:t xml:space="preserve">Agentic AI Threat Modeling Framework: </w:t>
      </w:r>
      <w:proofErr w:type="gramStart"/>
      <w:r>
        <w:rPr>
          <w:rFonts w:ascii="Times New Roman" w:eastAsia="Times New Roman" w:hAnsi="Times New Roman" w:cs="Times New Roman"/>
          <w:i/>
          <w:iCs/>
        </w:rPr>
        <w:t xml:space="preserve">MAESTRO </w:t>
      </w:r>
      <w:r>
        <w:rPr>
          <w:rFonts w:ascii="Times New Roman" w:eastAsia="Times New Roman" w:hAnsi="Times New Roman" w:cs="Times New Roman"/>
        </w:rPr>
        <w:t>.</w:t>
      </w:r>
      <w:proofErr w:type="gramEnd"/>
      <w:r>
        <w:rPr>
          <w:rFonts w:ascii="Times New Roman" w:eastAsia="Times New Roman" w:hAnsi="Times New Roman" w:cs="Times New Roman"/>
        </w:rPr>
        <w:t xml:space="preserve"> Cloudsecurityalliance.org. https://cloudsecurityalliance.org/blog/2025/02/06/agentic-ai-threat-modeling-framework-maestro#</w:t>
      </w:r>
    </w:p>
    <w:p w14:paraId="74116D01"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Huang, K., Sai, N. V., Yeoh, J., Ross, J., </w:t>
      </w:r>
      <w:proofErr w:type="spellStart"/>
      <w:r>
        <w:rPr>
          <w:rFonts w:ascii="Times New Roman" w:eastAsia="Times New Roman" w:hAnsi="Times New Roman" w:cs="Times New Roman"/>
        </w:rPr>
        <w:t>Raskar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Harkati</w:t>
      </w:r>
      <w:proofErr w:type="spellEnd"/>
      <w:r>
        <w:rPr>
          <w:rFonts w:ascii="Times New Roman" w:eastAsia="Times New Roman" w:hAnsi="Times New Roman" w:cs="Times New Roman"/>
        </w:rPr>
        <w:t>, Y.,</w:t>
      </w:r>
      <w:r>
        <w:rPr>
          <w:rFonts w:ascii="Times New Roman" w:eastAsia="Times New Roman" w:hAnsi="Times New Roman" w:cs="Times New Roman"/>
        </w:rPr>
        <w:t xml:space="preserve"> Huang, J., </w:t>
      </w:r>
      <w:proofErr w:type="spellStart"/>
      <w:r>
        <w:rPr>
          <w:rFonts w:ascii="Times New Roman" w:eastAsia="Times New Roman" w:hAnsi="Times New Roman" w:cs="Times New Roman"/>
        </w:rPr>
        <w:t>Habler</w:t>
      </w:r>
      <w:proofErr w:type="spellEnd"/>
      <w:r>
        <w:rPr>
          <w:rFonts w:ascii="Times New Roman" w:eastAsia="Times New Roman" w:hAnsi="Times New Roman" w:cs="Times New Roman"/>
        </w:rPr>
        <w:t xml:space="preserve">, I., &amp; Hughes, C. (2025). A Novel Zero-Trust Identity Framework for Agentic AI: Decentralized Authentication and Fine-Grained Access Control.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https://doi.org/10.48550/arxiv.2505.19301</w:t>
      </w:r>
    </w:p>
    <w:p w14:paraId="5B8FC45C"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International Organizatio</w:t>
      </w:r>
      <w:r>
        <w:rPr>
          <w:rFonts w:ascii="Times New Roman" w:eastAsia="Times New Roman" w:hAnsi="Times New Roman" w:cs="Times New Roman"/>
        </w:rPr>
        <w:t xml:space="preserve">n for Standardization. (2023). </w:t>
      </w:r>
      <w:r>
        <w:rPr>
          <w:rFonts w:ascii="Times New Roman" w:eastAsia="Times New Roman" w:hAnsi="Times New Roman" w:cs="Times New Roman"/>
          <w:i/>
          <w:iCs/>
        </w:rPr>
        <w:t>ISO/IEC 42001:2023</w:t>
      </w:r>
      <w:r>
        <w:rPr>
          <w:rFonts w:ascii="Times New Roman" w:eastAsia="Times New Roman" w:hAnsi="Times New Roman" w:cs="Times New Roman"/>
        </w:rPr>
        <w:t>. ISO. https://www.iso.org/standard/42001</w:t>
      </w:r>
    </w:p>
    <w:p w14:paraId="356CE726"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Kehinde, S. (2025). AI in Everything, and Everything in AI: A Review of the Ubiquitous Role of Artificial Intelligence in Shaping the Next Technological Epoch. </w:t>
      </w:r>
      <w:r>
        <w:rPr>
          <w:rFonts w:ascii="Times New Roman" w:eastAsia="Times New Roman" w:hAnsi="Times New Roman" w:cs="Times New Roman"/>
          <w:i/>
          <w:iCs/>
        </w:rPr>
        <w:t>Journ</w:t>
      </w:r>
      <w:r>
        <w:rPr>
          <w:rFonts w:ascii="Times New Roman" w:eastAsia="Times New Roman" w:hAnsi="Times New Roman" w:cs="Times New Roman"/>
          <w:i/>
          <w:iCs/>
        </w:rPr>
        <w:t>al of Computer Allied Intelligence</w:t>
      </w:r>
      <w:r>
        <w:rPr>
          <w:rFonts w:ascii="Times New Roman" w:eastAsia="Times New Roman" w:hAnsi="Times New Roman" w:cs="Times New Roman"/>
        </w:rPr>
        <w:t xml:space="preserve">, </w:t>
      </w:r>
      <w:r>
        <w:rPr>
          <w:rFonts w:ascii="Times New Roman" w:eastAsia="Times New Roman" w:hAnsi="Times New Roman" w:cs="Times New Roman"/>
          <w:i/>
          <w:iCs/>
        </w:rPr>
        <w:t>3</w:t>
      </w:r>
      <w:r>
        <w:rPr>
          <w:rFonts w:ascii="Times New Roman" w:eastAsia="Times New Roman" w:hAnsi="Times New Roman" w:cs="Times New Roman"/>
        </w:rPr>
        <w:t>(5), 13–49. https://doi.org/10.69996/jcai.2025024</w:t>
      </w:r>
    </w:p>
    <w:p w14:paraId="2DEC5B99"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Kotilingala</w:t>
      </w:r>
      <w:proofErr w:type="spellEnd"/>
      <w:r>
        <w:rPr>
          <w:rFonts w:ascii="Times New Roman" w:eastAsia="Times New Roman" w:hAnsi="Times New Roman" w:cs="Times New Roman"/>
        </w:rPr>
        <w:t xml:space="preserve">, S. (2025). The non-human identity crisis: Managing machine identities in the modern enterprise. </w:t>
      </w:r>
      <w:r>
        <w:rPr>
          <w:rFonts w:ascii="Times New Roman" w:eastAsia="Times New Roman" w:hAnsi="Times New Roman" w:cs="Times New Roman"/>
          <w:i/>
          <w:iCs/>
        </w:rPr>
        <w:t>World Journal of Advanced Research and Reviews</w:t>
      </w:r>
      <w:r>
        <w:rPr>
          <w:rFonts w:ascii="Times New Roman" w:eastAsia="Times New Roman" w:hAnsi="Times New Roman" w:cs="Times New Roman"/>
        </w:rPr>
        <w:t xml:space="preserve">, </w:t>
      </w:r>
      <w:r>
        <w:rPr>
          <w:rFonts w:ascii="Times New Roman" w:eastAsia="Times New Roman" w:hAnsi="Times New Roman" w:cs="Times New Roman"/>
          <w:i/>
          <w:iCs/>
        </w:rPr>
        <w:t>26</w:t>
      </w:r>
      <w:r>
        <w:rPr>
          <w:rFonts w:ascii="Times New Roman" w:eastAsia="Times New Roman" w:hAnsi="Times New Roman" w:cs="Times New Roman"/>
        </w:rPr>
        <w:t>(1), 944–9</w:t>
      </w:r>
      <w:r>
        <w:rPr>
          <w:rFonts w:ascii="Times New Roman" w:eastAsia="Times New Roman" w:hAnsi="Times New Roman" w:cs="Times New Roman"/>
        </w:rPr>
        <w:t>54. https://doi.org/10.30574/wjarr.2025.26.1.1118</w:t>
      </w:r>
    </w:p>
    <w:p w14:paraId="5F82B84C"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Kumar, N. V., </w:t>
      </w:r>
      <w:proofErr w:type="spellStart"/>
      <w:r>
        <w:rPr>
          <w:rFonts w:ascii="Times New Roman" w:eastAsia="Times New Roman" w:hAnsi="Times New Roman" w:cs="Times New Roman"/>
        </w:rPr>
        <w:t>Bonagiri</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Thilakavathi</w:t>
      </w:r>
      <w:proofErr w:type="spellEnd"/>
      <w:r>
        <w:rPr>
          <w:rFonts w:ascii="Times New Roman" w:eastAsia="Times New Roman" w:hAnsi="Times New Roman" w:cs="Times New Roman"/>
        </w:rPr>
        <w:t xml:space="preserve">, B., </w:t>
      </w:r>
      <w:proofErr w:type="spellStart"/>
      <w:r>
        <w:rPr>
          <w:rFonts w:ascii="Times New Roman" w:eastAsia="Times New Roman" w:hAnsi="Times New Roman" w:cs="Times New Roman"/>
        </w:rPr>
        <w:t>Banumathi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Indumathi</w:t>
      </w:r>
      <w:proofErr w:type="spellEnd"/>
      <w:r>
        <w:rPr>
          <w:rFonts w:ascii="Times New Roman" w:eastAsia="Times New Roman" w:hAnsi="Times New Roman" w:cs="Times New Roman"/>
        </w:rPr>
        <w:t xml:space="preserve">, G. S., &amp; </w:t>
      </w:r>
      <w:proofErr w:type="spellStart"/>
      <w:r>
        <w:rPr>
          <w:rFonts w:ascii="Times New Roman" w:eastAsia="Times New Roman" w:hAnsi="Times New Roman" w:cs="Times New Roman"/>
        </w:rPr>
        <w:t>Pandikumar</w:t>
      </w:r>
      <w:proofErr w:type="spellEnd"/>
      <w:r>
        <w:rPr>
          <w:rFonts w:ascii="Times New Roman" w:eastAsia="Times New Roman" w:hAnsi="Times New Roman" w:cs="Times New Roman"/>
        </w:rPr>
        <w:t xml:space="preserve">, K. (2025). </w:t>
      </w:r>
      <w:r>
        <w:rPr>
          <w:rFonts w:ascii="Times New Roman" w:eastAsia="Times New Roman" w:hAnsi="Times New Roman" w:cs="Times New Roman"/>
          <w:i/>
          <w:iCs/>
        </w:rPr>
        <w:t>Cybersecurity and Behavioral Biometrics: Advancements, Challenges, and Future Directions in Authentica</w:t>
      </w:r>
      <w:r>
        <w:rPr>
          <w:rFonts w:ascii="Times New Roman" w:eastAsia="Times New Roman" w:hAnsi="Times New Roman" w:cs="Times New Roman"/>
          <w:i/>
          <w:iCs/>
        </w:rPr>
        <w:t>tion Systems</w:t>
      </w:r>
      <w:r>
        <w:rPr>
          <w:rFonts w:ascii="Times New Roman" w:eastAsia="Times New Roman" w:hAnsi="Times New Roman" w:cs="Times New Roman"/>
        </w:rPr>
        <w:t>. 898–903. https://doi.org/10.1109/icccit62592.2025.10928063</w:t>
      </w:r>
    </w:p>
    <w:p w14:paraId="34E532E5"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Lestari, M., Wijaya, A. F., </w:t>
      </w:r>
      <w:proofErr w:type="spellStart"/>
      <w:r>
        <w:rPr>
          <w:rFonts w:ascii="Times New Roman" w:eastAsia="Times New Roman" w:hAnsi="Times New Roman" w:cs="Times New Roman"/>
        </w:rPr>
        <w:t>Puspita</w:t>
      </w:r>
      <w:proofErr w:type="spellEnd"/>
      <w:r>
        <w:rPr>
          <w:rFonts w:ascii="Times New Roman" w:eastAsia="Times New Roman" w:hAnsi="Times New Roman" w:cs="Times New Roman"/>
        </w:rPr>
        <w:t xml:space="preserve">, M. E., &amp; Vicky, N. (2025). Designing Ambidextrous AI Governance for Digital Transformation in Fintech Sector.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Teknologi</w:t>
      </w:r>
      <w:proofErr w:type="spellEnd"/>
      <w:r>
        <w:rPr>
          <w:rFonts w:ascii="Times New Roman" w:eastAsia="Times New Roman" w:hAnsi="Times New Roman" w:cs="Times New Roman"/>
          <w:i/>
          <w:iCs/>
        </w:rPr>
        <w:t xml:space="preserve"> Dan </w:t>
      </w:r>
      <w:proofErr w:type="spellStart"/>
      <w:r>
        <w:rPr>
          <w:rFonts w:ascii="Times New Roman" w:eastAsia="Times New Roman" w:hAnsi="Times New Roman" w:cs="Times New Roman"/>
          <w:i/>
          <w:iCs/>
        </w:rPr>
        <w:t>Manajemen</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Indus</w:t>
      </w:r>
      <w:r>
        <w:rPr>
          <w:rFonts w:ascii="Times New Roman" w:eastAsia="Times New Roman" w:hAnsi="Times New Roman" w:cs="Times New Roman"/>
          <w:i/>
          <w:iCs/>
        </w:rPr>
        <w:t>tri</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Terapan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4</w:t>
      </w:r>
      <w:r>
        <w:rPr>
          <w:rFonts w:ascii="Times New Roman" w:eastAsia="Times New Roman" w:hAnsi="Times New Roman" w:cs="Times New Roman"/>
        </w:rPr>
        <w:t>(2), 522–529. https://doi.org/10.55826/jtmit.v4i3.1042</w:t>
      </w:r>
    </w:p>
    <w:p w14:paraId="57DE5B9F"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Mahamad</w:t>
      </w:r>
      <w:proofErr w:type="spellEnd"/>
      <w:r>
        <w:rPr>
          <w:rFonts w:ascii="Times New Roman" w:eastAsia="Times New Roman" w:hAnsi="Times New Roman" w:cs="Times New Roman"/>
        </w:rPr>
        <w:t xml:space="preserve">, H. (2024). GUARDIANS OF THE DATA GALAXY: A FEDERATED AI AND CLOUD SYNERGY FOR ZERO-TRUST CYBERSECURITY MODELS. </w:t>
      </w:r>
      <w:r>
        <w:rPr>
          <w:rFonts w:ascii="Times New Roman" w:eastAsia="Times New Roman" w:hAnsi="Times New Roman" w:cs="Times New Roman"/>
          <w:i/>
          <w:iCs/>
        </w:rPr>
        <w:t>International Journal of Education Humanities and Social Science</w:t>
      </w:r>
      <w:r>
        <w:rPr>
          <w:rFonts w:ascii="Times New Roman" w:eastAsia="Times New Roman" w:hAnsi="Times New Roman" w:cs="Times New Roman"/>
        </w:rPr>
        <w:t xml:space="preserve">, </w:t>
      </w:r>
      <w:r>
        <w:rPr>
          <w:rFonts w:ascii="Times New Roman" w:eastAsia="Times New Roman" w:hAnsi="Times New Roman" w:cs="Times New Roman"/>
          <w:i/>
          <w:iCs/>
        </w:rPr>
        <w:t>0</w:t>
      </w:r>
      <w:r>
        <w:rPr>
          <w:rFonts w:ascii="Times New Roman" w:eastAsia="Times New Roman" w:hAnsi="Times New Roman" w:cs="Times New Roman"/>
          <w:i/>
          <w:iCs/>
        </w:rPr>
        <w:t>7</w:t>
      </w:r>
      <w:r>
        <w:rPr>
          <w:rFonts w:ascii="Times New Roman" w:eastAsia="Times New Roman" w:hAnsi="Times New Roman" w:cs="Times New Roman"/>
        </w:rPr>
        <w:t>(06), 796–810. https://doi.org/10.54922/ijehss.2024.0746</w:t>
      </w:r>
    </w:p>
    <w:p w14:paraId="086DDA33"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Mallick, M. A. I., &amp; Nath, R. (2024). Simulating Cyber Threats: A Review of AI-powered Attack Simulators for Enhanced Cybersecurity. </w:t>
      </w:r>
      <w:r>
        <w:rPr>
          <w:rFonts w:ascii="Times New Roman" w:eastAsia="Times New Roman" w:hAnsi="Times New Roman" w:cs="Times New Roman"/>
          <w:i/>
          <w:iCs/>
        </w:rPr>
        <w:t>ResearchGate</w:t>
      </w:r>
      <w:r>
        <w:rPr>
          <w:rFonts w:ascii="Times New Roman" w:eastAsia="Times New Roman" w:hAnsi="Times New Roman" w:cs="Times New Roman"/>
        </w:rPr>
        <w:t xml:space="preserve">, </w:t>
      </w:r>
      <w:r>
        <w:rPr>
          <w:rFonts w:ascii="Times New Roman" w:eastAsia="Times New Roman" w:hAnsi="Times New Roman" w:cs="Times New Roman"/>
          <w:i/>
          <w:iCs/>
        </w:rPr>
        <w:t>197</w:t>
      </w:r>
      <w:r>
        <w:rPr>
          <w:rFonts w:ascii="Times New Roman" w:eastAsia="Times New Roman" w:hAnsi="Times New Roman" w:cs="Times New Roman"/>
        </w:rPr>
        <w:t>((2)), 14–54. https://www.researchgate.net/publi</w:t>
      </w:r>
      <w:r>
        <w:rPr>
          <w:rFonts w:ascii="Times New Roman" w:eastAsia="Times New Roman" w:hAnsi="Times New Roman" w:cs="Times New Roman"/>
        </w:rPr>
        <w:t>cation/384286062_Simulating_Cyber_Threats_A_Review_of_AI-powered_Attack_Simulators_for_Enhanced_Cybersecurity</w:t>
      </w:r>
    </w:p>
    <w:p w14:paraId="79589E88"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Manne, T. A. K. (2023). Implementing Zero Trust Architecture in Multi-Cloud Environments. </w:t>
      </w:r>
      <w:r>
        <w:rPr>
          <w:rFonts w:ascii="Times New Roman" w:eastAsia="Times New Roman" w:hAnsi="Times New Roman" w:cs="Times New Roman"/>
          <w:i/>
          <w:iCs/>
        </w:rPr>
        <w:t>International Journal of Computing and Engineering</w:t>
      </w:r>
      <w:r>
        <w:rPr>
          <w:rFonts w:ascii="Times New Roman" w:eastAsia="Times New Roman" w:hAnsi="Times New Roman" w:cs="Times New Roman"/>
        </w:rPr>
        <w:t xml:space="preserve">, </w:t>
      </w:r>
      <w:r>
        <w:rPr>
          <w:rFonts w:ascii="Times New Roman" w:eastAsia="Times New Roman" w:hAnsi="Times New Roman" w:cs="Times New Roman"/>
          <w:i/>
          <w:iCs/>
        </w:rPr>
        <w:t>4</w:t>
      </w:r>
      <w:r>
        <w:rPr>
          <w:rFonts w:ascii="Times New Roman" w:eastAsia="Times New Roman" w:hAnsi="Times New Roman" w:cs="Times New Roman"/>
        </w:rPr>
        <w:t>(3)</w:t>
      </w:r>
      <w:r>
        <w:rPr>
          <w:rFonts w:ascii="Times New Roman" w:eastAsia="Times New Roman" w:hAnsi="Times New Roman" w:cs="Times New Roman"/>
        </w:rPr>
        <w:t>, 1–9. https://doi.org/10.47941/ijce.2754</w:t>
      </w:r>
    </w:p>
    <w:p w14:paraId="57C6B699"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Mäntymäki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Minkkinen</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Birkstedt</w:t>
      </w:r>
      <w:proofErr w:type="spellEnd"/>
      <w:r>
        <w:rPr>
          <w:rFonts w:ascii="Times New Roman" w:eastAsia="Times New Roman" w:hAnsi="Times New Roman" w:cs="Times New Roman"/>
        </w:rPr>
        <w:t xml:space="preserve">, T., &amp; </w:t>
      </w:r>
      <w:proofErr w:type="spellStart"/>
      <w:r>
        <w:rPr>
          <w:rFonts w:ascii="Times New Roman" w:eastAsia="Times New Roman" w:hAnsi="Times New Roman" w:cs="Times New Roman"/>
        </w:rPr>
        <w:t>Viljanen</w:t>
      </w:r>
      <w:proofErr w:type="spellEnd"/>
      <w:r>
        <w:rPr>
          <w:rFonts w:ascii="Times New Roman" w:eastAsia="Times New Roman" w:hAnsi="Times New Roman" w:cs="Times New Roman"/>
        </w:rPr>
        <w:t xml:space="preserve">, M. (2022). Putting AI Ethics into Practice: The Hourglass Model of Organizational AI Governance.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Preprint</w:t>
      </w:r>
      <w:r>
        <w:rPr>
          <w:rFonts w:ascii="Times New Roman" w:eastAsia="Times New Roman" w:hAnsi="Times New Roman" w:cs="Times New Roman"/>
        </w:rPr>
        <w:t>. https://doi.org/10.48550/arxiv.2206.00335</w:t>
      </w:r>
    </w:p>
    <w:p w14:paraId="7D57FAB3"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rPr>
        <w:t xml:space="preserve">hammad, S. (2025). Zero Trust Architectures and Data Protection: Enabling the U.S. Department of Defense’s 2027 Mandate. </w:t>
      </w:r>
      <w:r>
        <w:rPr>
          <w:rFonts w:ascii="Times New Roman" w:eastAsia="Times New Roman" w:hAnsi="Times New Roman" w:cs="Times New Roman"/>
          <w:i/>
          <w:iCs/>
        </w:rPr>
        <w:t>International Journal of Innovative Research in Science Engineering and Technology</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(12), 20867–20875. https://doi.org/10.15680/IJIRS</w:t>
      </w:r>
      <w:r>
        <w:rPr>
          <w:rFonts w:ascii="Times New Roman" w:eastAsia="Times New Roman" w:hAnsi="Times New Roman" w:cs="Times New Roman"/>
        </w:rPr>
        <w:t>ET.2024.1312208%7C</w:t>
      </w:r>
    </w:p>
    <w:p w14:paraId="33398D2E"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Mukhtorov</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Baltayev</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Muksimova</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Umirzakova</w:t>
      </w:r>
      <w:proofErr w:type="spellEnd"/>
      <w:r>
        <w:rPr>
          <w:rFonts w:ascii="Times New Roman" w:eastAsia="Times New Roman" w:hAnsi="Times New Roman" w:cs="Times New Roman"/>
        </w:rPr>
        <w:t xml:space="preserve">, S., &amp; Cho, Y.-I. (2025). Standards-Aligned AI Validation and Certification Platform for Trustworthy Modeling. </w:t>
      </w:r>
      <w:r>
        <w:rPr>
          <w:rFonts w:ascii="Times New Roman" w:eastAsia="Times New Roman" w:hAnsi="Times New Roman" w:cs="Times New Roman"/>
          <w:i/>
          <w:iCs/>
        </w:rPr>
        <w:t>IEEE Access</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 216302–216317. https://doi.org/10.1109/access.2025.364</w:t>
      </w:r>
      <w:r>
        <w:rPr>
          <w:rFonts w:ascii="Times New Roman" w:eastAsia="Times New Roman" w:hAnsi="Times New Roman" w:cs="Times New Roman"/>
        </w:rPr>
        <w:t>1996</w:t>
      </w:r>
    </w:p>
    <w:p w14:paraId="41E9E3C5"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Narasimhan, P., &amp; Baskar, K. (2024). </w:t>
      </w:r>
      <w:r>
        <w:rPr>
          <w:rFonts w:ascii="Times New Roman" w:eastAsia="Times New Roman" w:hAnsi="Times New Roman" w:cs="Times New Roman"/>
          <w:i/>
          <w:iCs/>
        </w:rPr>
        <w:t>Securing the Metaverse: AI-Driven Solutions for Cyber Security, Privacy, and User Trust</w:t>
      </w:r>
      <w:r>
        <w:rPr>
          <w:rFonts w:ascii="Times New Roman" w:eastAsia="Times New Roman" w:hAnsi="Times New Roman" w:cs="Times New Roman"/>
        </w:rPr>
        <w:t>. https://www.researchgate.net/publication/387377644_Securing_the_Metaverse_AI-Driven_Solutions_for_Cyber_Security_Privacy_and_</w:t>
      </w:r>
      <w:r>
        <w:rPr>
          <w:rFonts w:ascii="Times New Roman" w:eastAsia="Times New Roman" w:hAnsi="Times New Roman" w:cs="Times New Roman"/>
        </w:rPr>
        <w:t>User_Trust</w:t>
      </w:r>
    </w:p>
    <w:p w14:paraId="44D3D009"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NIST. (2023). AI Risk Management Framework. </w:t>
      </w:r>
      <w:r>
        <w:rPr>
          <w:rFonts w:ascii="Times New Roman" w:eastAsia="Times New Roman" w:hAnsi="Times New Roman" w:cs="Times New Roman"/>
          <w:i/>
          <w:iCs/>
        </w:rPr>
        <w:t>Artificial Intelligence Risk Management Framework (AI RMF 1.0)</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(1). https://doi.org/10.6028/nist.ai.100-1</w:t>
      </w:r>
    </w:p>
    <w:p w14:paraId="0CE0D073"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Obbu</w:t>
      </w:r>
      <w:proofErr w:type="spellEnd"/>
      <w:r>
        <w:rPr>
          <w:rFonts w:ascii="Times New Roman" w:eastAsia="Times New Roman" w:hAnsi="Times New Roman" w:cs="Times New Roman"/>
        </w:rPr>
        <w:t>, S. (2025). Zero trust architecture for AI-powered cloud systems: Securing the future of</w:t>
      </w:r>
      <w:r>
        <w:rPr>
          <w:rFonts w:ascii="Times New Roman" w:eastAsia="Times New Roman" w:hAnsi="Times New Roman" w:cs="Times New Roman"/>
        </w:rPr>
        <w:t xml:space="preserve"> automated workloads. </w:t>
      </w:r>
      <w:r>
        <w:rPr>
          <w:rFonts w:ascii="Times New Roman" w:eastAsia="Times New Roman" w:hAnsi="Times New Roman" w:cs="Times New Roman"/>
          <w:i/>
          <w:iCs/>
        </w:rPr>
        <w:t>World Journal of Advanced Research and Reviews</w:t>
      </w:r>
      <w:r>
        <w:rPr>
          <w:rFonts w:ascii="Times New Roman" w:eastAsia="Times New Roman" w:hAnsi="Times New Roman" w:cs="Times New Roman"/>
        </w:rPr>
        <w:t xml:space="preserve">, </w:t>
      </w:r>
      <w:r>
        <w:rPr>
          <w:rFonts w:ascii="Times New Roman" w:eastAsia="Times New Roman" w:hAnsi="Times New Roman" w:cs="Times New Roman"/>
          <w:i/>
          <w:iCs/>
        </w:rPr>
        <w:t>26</w:t>
      </w:r>
      <w:r>
        <w:rPr>
          <w:rFonts w:ascii="Times New Roman" w:eastAsia="Times New Roman" w:hAnsi="Times New Roman" w:cs="Times New Roman"/>
        </w:rPr>
        <w:t>(1), 1315–1339. https://doi.org/10.30574/wjarr.2025.26.1.1173</w:t>
      </w:r>
    </w:p>
    <w:p w14:paraId="27A983D3"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Reuel, A., &amp; Arne, U. T. (2024). Generative AI Needs Adaptive Governance.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https://doi.org/10.4</w:t>
      </w:r>
      <w:r>
        <w:rPr>
          <w:rFonts w:ascii="Times New Roman" w:eastAsia="Times New Roman" w:hAnsi="Times New Roman" w:cs="Times New Roman"/>
        </w:rPr>
        <w:t>8550/arxiv.2406.04554</w:t>
      </w:r>
    </w:p>
    <w:p w14:paraId="2D330A66"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Ribeiro, D. M., Rocha, T., Pinto, G., &amp; Camargo, A. (2025). Toward Effective AI Governance: A Review of Principles. </w:t>
      </w:r>
      <w:r>
        <w:rPr>
          <w:rFonts w:ascii="Times New Roman" w:eastAsia="Times New Roman" w:hAnsi="Times New Roman" w:cs="Times New Roman"/>
          <w:i/>
          <w:iCs/>
        </w:rPr>
        <w:t>ResearchGate</w:t>
      </w:r>
      <w:r>
        <w:rPr>
          <w:rFonts w:ascii="Times New Roman" w:eastAsia="Times New Roman" w:hAnsi="Times New Roman" w:cs="Times New Roman"/>
        </w:rPr>
        <w:t>. https://doi.org/10.48550/arXiv.2505.23417</w:t>
      </w:r>
    </w:p>
    <w:p w14:paraId="1A22AF3E"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Rose, S., Borchert, O., Mitchell, S., &amp; Connelly, S. (2020). Zero trust architecture. </w:t>
      </w:r>
      <w:r>
        <w:rPr>
          <w:rFonts w:ascii="Times New Roman" w:eastAsia="Times New Roman" w:hAnsi="Times New Roman" w:cs="Times New Roman"/>
          <w:i/>
          <w:iCs/>
        </w:rPr>
        <w:t>NIST Special Publication 800-207</w:t>
      </w:r>
      <w:r>
        <w:rPr>
          <w:rFonts w:ascii="Times New Roman" w:eastAsia="Times New Roman" w:hAnsi="Times New Roman" w:cs="Times New Roman"/>
        </w:rPr>
        <w:t xml:space="preserve">, </w:t>
      </w:r>
      <w:r>
        <w:rPr>
          <w:rFonts w:ascii="Times New Roman" w:eastAsia="Times New Roman" w:hAnsi="Times New Roman" w:cs="Times New Roman"/>
          <w:i/>
          <w:iCs/>
        </w:rPr>
        <w:t>1</w:t>
      </w:r>
      <w:r>
        <w:rPr>
          <w:rFonts w:ascii="Times New Roman" w:eastAsia="Times New Roman" w:hAnsi="Times New Roman" w:cs="Times New Roman"/>
        </w:rPr>
        <w:t>(800-207). https://doi.org/10.6028/nist.sp.800-207</w:t>
      </w:r>
    </w:p>
    <w:p w14:paraId="3FA99C3D"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Securonix</w:t>
      </w:r>
      <w:proofErr w:type="spellEnd"/>
      <w:r>
        <w:rPr>
          <w:rFonts w:ascii="Times New Roman" w:eastAsia="Times New Roman" w:hAnsi="Times New Roman" w:cs="Times New Roman"/>
        </w:rPr>
        <w:t xml:space="preserve">. (2026). </w:t>
      </w:r>
      <w:r>
        <w:rPr>
          <w:rFonts w:ascii="Times New Roman" w:eastAsia="Times New Roman" w:hAnsi="Times New Roman" w:cs="Times New Roman"/>
          <w:i/>
          <w:iCs/>
        </w:rPr>
        <w:t>What is User Entity and Behavior Analytics (UEBA)?</w:t>
      </w:r>
      <w:r>
        <w:rPr>
          <w:rFonts w:ascii="Times New Roman" w:eastAsia="Times New Roman" w:hAnsi="Times New Roman" w:cs="Times New Roman"/>
        </w:rPr>
        <w:t xml:space="preserve"> </w:t>
      </w:r>
      <w:proofErr w:type="spellStart"/>
      <w:r>
        <w:rPr>
          <w:rFonts w:ascii="Times New Roman" w:eastAsia="Times New Roman" w:hAnsi="Times New Roman" w:cs="Times New Roman"/>
        </w:rPr>
        <w:t>Securonix</w:t>
      </w:r>
      <w:proofErr w:type="spellEnd"/>
      <w:r>
        <w:rPr>
          <w:rFonts w:ascii="Times New Roman" w:eastAsia="Times New Roman" w:hAnsi="Times New Roman" w:cs="Times New Roman"/>
        </w:rPr>
        <w:t>. htt</w:t>
      </w:r>
      <w:r>
        <w:rPr>
          <w:rFonts w:ascii="Times New Roman" w:eastAsia="Times New Roman" w:hAnsi="Times New Roman" w:cs="Times New Roman"/>
        </w:rPr>
        <w:t>ps://www.securonix.com/blog/what-is-user-entity-behavior-analytics/</w:t>
      </w:r>
    </w:p>
    <w:p w14:paraId="68DBAB45"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Seger, E., </w:t>
      </w:r>
      <w:proofErr w:type="spellStart"/>
      <w:r>
        <w:rPr>
          <w:rFonts w:ascii="Times New Roman" w:eastAsia="Times New Roman" w:hAnsi="Times New Roman" w:cs="Times New Roman"/>
        </w:rPr>
        <w:t>Ovadya</w:t>
      </w:r>
      <w:proofErr w:type="spellEnd"/>
      <w:r>
        <w:rPr>
          <w:rFonts w:ascii="Times New Roman" w:eastAsia="Times New Roman" w:hAnsi="Times New Roman" w:cs="Times New Roman"/>
        </w:rPr>
        <w:t xml:space="preserve">, A., Garfinkel, B., </w:t>
      </w:r>
      <w:proofErr w:type="spellStart"/>
      <w:r>
        <w:rPr>
          <w:rFonts w:ascii="Times New Roman" w:eastAsia="Times New Roman" w:hAnsi="Times New Roman" w:cs="Times New Roman"/>
        </w:rPr>
        <w:t>Siddarth</w:t>
      </w:r>
      <w:proofErr w:type="spellEnd"/>
      <w:r>
        <w:rPr>
          <w:rFonts w:ascii="Times New Roman" w:eastAsia="Times New Roman" w:hAnsi="Times New Roman" w:cs="Times New Roman"/>
        </w:rPr>
        <w:t xml:space="preserve">, D., &amp; Dafoe, A. (2023, March 27). </w:t>
      </w:r>
      <w:proofErr w:type="spellStart"/>
      <w:r>
        <w:rPr>
          <w:rFonts w:ascii="Times New Roman" w:eastAsia="Times New Roman" w:hAnsi="Times New Roman" w:cs="Times New Roman"/>
          <w:i/>
          <w:iCs/>
        </w:rPr>
        <w:t>Democratising</w:t>
      </w:r>
      <w:proofErr w:type="spellEnd"/>
      <w:r>
        <w:rPr>
          <w:rFonts w:ascii="Times New Roman" w:eastAsia="Times New Roman" w:hAnsi="Times New Roman" w:cs="Times New Roman"/>
          <w:i/>
          <w:iCs/>
        </w:rPr>
        <w:t xml:space="preserve"> AI: Multiple Meanings, Goals, and Methods</w:t>
      </w:r>
      <w:r>
        <w:rPr>
          <w:rFonts w:ascii="Times New Roman" w:eastAsia="Times New Roman" w:hAnsi="Times New Roman" w:cs="Times New Roman"/>
        </w:rPr>
        <w:t>. ArXiv.org. https://doi.org/10.48550/arXiv.2303.12</w:t>
      </w:r>
      <w:r>
        <w:rPr>
          <w:rFonts w:ascii="Times New Roman" w:eastAsia="Times New Roman" w:hAnsi="Times New Roman" w:cs="Times New Roman"/>
        </w:rPr>
        <w:t>642</w:t>
      </w:r>
    </w:p>
    <w:p w14:paraId="4E467179"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Shah, H., &amp; Shah, M. (2025). AI-driven adaptive authentication for zero trust security architectures. </w:t>
      </w:r>
      <w:r>
        <w:rPr>
          <w:rFonts w:ascii="Times New Roman" w:eastAsia="Times New Roman" w:hAnsi="Times New Roman" w:cs="Times New Roman"/>
          <w:i/>
          <w:iCs/>
        </w:rPr>
        <w:t>International Journal of Science and Research Archive</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(3), 705–712. https://doi.org/10.30574/ijsra.2025.14.3.0645</w:t>
      </w:r>
    </w:p>
    <w:p w14:paraId="7F7C0F03"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Verma, R., &amp; Indra, G. (2024a). </w:t>
      </w:r>
      <w:r>
        <w:rPr>
          <w:rFonts w:ascii="Times New Roman" w:eastAsia="Times New Roman" w:hAnsi="Times New Roman" w:cs="Times New Roman"/>
          <w:i/>
          <w:iCs/>
        </w:rPr>
        <w:t>Z</w:t>
      </w:r>
      <w:r>
        <w:rPr>
          <w:rFonts w:ascii="Times New Roman" w:eastAsia="Times New Roman" w:hAnsi="Times New Roman" w:cs="Times New Roman"/>
          <w:i/>
          <w:iCs/>
        </w:rPr>
        <w:t xml:space="preserve">AIA: Zero-trust Authentication and Identity Attestation Framework for AI-Enabled </w:t>
      </w:r>
      <w:proofErr w:type="spellStart"/>
      <w:r>
        <w:rPr>
          <w:rFonts w:ascii="Times New Roman" w:eastAsia="Times New Roman" w:hAnsi="Times New Roman" w:cs="Times New Roman"/>
          <w:i/>
          <w:iCs/>
        </w:rPr>
        <w:t>IIoTs</w:t>
      </w:r>
      <w:proofErr w:type="spellEnd"/>
      <w:r>
        <w:rPr>
          <w:rFonts w:ascii="Times New Roman" w:eastAsia="Times New Roman" w:hAnsi="Times New Roman" w:cs="Times New Roman"/>
          <w:i/>
          <w:iCs/>
        </w:rPr>
        <w:t xml:space="preserve"> in Smart Manufacturing Ecosystem</w:t>
      </w:r>
      <w:r>
        <w:rPr>
          <w:rFonts w:ascii="Times New Roman" w:eastAsia="Times New Roman" w:hAnsi="Times New Roman" w:cs="Times New Roman"/>
        </w:rPr>
        <w:t>. 1–6. https://doi.org/10.1109/inspect63485.2024.10896155</w:t>
      </w:r>
    </w:p>
    <w:p w14:paraId="5558E10C" w14:textId="77777777" w:rsidR="00E52F02" w:rsidRDefault="00A15A26">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Verma, R., &amp; Indra, G. (2024b). ZIADA: Zero Trust-Based Identity Attestation Fr</w:t>
      </w:r>
      <w:r>
        <w:rPr>
          <w:rFonts w:ascii="Times New Roman" w:eastAsia="Times New Roman" w:hAnsi="Times New Roman" w:cs="Times New Roman"/>
        </w:rPr>
        <w:t xml:space="preserve">amework for DLT Verified AI-Enabled Industrial Internet of Things. </w:t>
      </w:r>
      <w:r>
        <w:rPr>
          <w:rFonts w:ascii="Times New Roman" w:eastAsia="Times New Roman" w:hAnsi="Times New Roman" w:cs="Times New Roman"/>
          <w:i/>
          <w:iCs/>
        </w:rPr>
        <w:t>2017 IEEE Region 10 Symposium (TENSYMP)</w:t>
      </w:r>
      <w:r>
        <w:rPr>
          <w:rFonts w:ascii="Times New Roman" w:eastAsia="Times New Roman" w:hAnsi="Times New Roman" w:cs="Times New Roman"/>
        </w:rPr>
        <w:t>, 1–6. https://doi.org/10.1109/tensymp61132.2024.10752149</w:t>
      </w:r>
    </w:p>
    <w:p w14:paraId="4DBE660C"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Vusumuzi</w:t>
      </w:r>
      <w:proofErr w:type="spellEnd"/>
      <w:r>
        <w:rPr>
          <w:rFonts w:ascii="Times New Roman" w:eastAsia="Times New Roman" w:hAnsi="Times New Roman" w:cs="Times New Roman"/>
        </w:rPr>
        <w:t>, M., &amp; Godwin, M. (2025). AI-Driven Zero-Trust Models for Blockchain-Supported Heal</w:t>
      </w:r>
      <w:r>
        <w:rPr>
          <w:rFonts w:ascii="Times New Roman" w:eastAsia="Times New Roman" w:hAnsi="Times New Roman" w:cs="Times New Roman"/>
        </w:rPr>
        <w:t xml:space="preserve">thcare Ecosystems. </w:t>
      </w:r>
      <w:r>
        <w:rPr>
          <w:rFonts w:ascii="Times New Roman" w:eastAsia="Times New Roman" w:hAnsi="Times New Roman" w:cs="Times New Roman"/>
          <w:i/>
          <w:iCs/>
        </w:rPr>
        <w:t>Proceedings of the 2025 International Conference on Artificial Intelligence and Its Applications</w:t>
      </w:r>
      <w:r>
        <w:rPr>
          <w:rFonts w:ascii="Times New Roman" w:eastAsia="Times New Roman" w:hAnsi="Times New Roman" w:cs="Times New Roman"/>
        </w:rPr>
        <w:t>, 1–11. https://doi.org/10.1145/3774791.3774801</w:t>
      </w:r>
    </w:p>
    <w:p w14:paraId="1C5DA84A" w14:textId="77777777" w:rsidR="00E52F02" w:rsidRDefault="00A15A26">
      <w:pPr>
        <w:spacing w:line="36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Zicari</w:t>
      </w:r>
      <w:proofErr w:type="spellEnd"/>
      <w:r>
        <w:rPr>
          <w:rFonts w:ascii="Times New Roman" w:eastAsia="Times New Roman" w:hAnsi="Times New Roman" w:cs="Times New Roman"/>
        </w:rPr>
        <w:t xml:space="preserve">, R. V., Amann, J., </w:t>
      </w:r>
      <w:proofErr w:type="spellStart"/>
      <w:r>
        <w:rPr>
          <w:rFonts w:ascii="Times New Roman" w:eastAsia="Times New Roman" w:hAnsi="Times New Roman" w:cs="Times New Roman"/>
        </w:rPr>
        <w:t>Bruneault</w:t>
      </w:r>
      <w:proofErr w:type="spellEnd"/>
      <w:r>
        <w:rPr>
          <w:rFonts w:ascii="Times New Roman" w:eastAsia="Times New Roman" w:hAnsi="Times New Roman" w:cs="Times New Roman"/>
        </w:rPr>
        <w:t xml:space="preserve">, F., Coffee, M., </w:t>
      </w:r>
      <w:proofErr w:type="spellStart"/>
      <w:r>
        <w:rPr>
          <w:rFonts w:ascii="Times New Roman" w:eastAsia="Times New Roman" w:hAnsi="Times New Roman" w:cs="Times New Roman"/>
        </w:rPr>
        <w:t>Düdder</w:t>
      </w:r>
      <w:proofErr w:type="spellEnd"/>
      <w:r>
        <w:rPr>
          <w:rFonts w:ascii="Times New Roman" w:eastAsia="Times New Roman" w:hAnsi="Times New Roman" w:cs="Times New Roman"/>
        </w:rPr>
        <w:t>, B., Hickman, E., Gallucci, A., G</w:t>
      </w:r>
      <w:r>
        <w:rPr>
          <w:rFonts w:ascii="Times New Roman" w:eastAsia="Times New Roman" w:hAnsi="Times New Roman" w:cs="Times New Roman"/>
        </w:rPr>
        <w:t xml:space="preserve">ilbert, T. K., </w:t>
      </w:r>
      <w:proofErr w:type="spellStart"/>
      <w:r>
        <w:rPr>
          <w:rFonts w:ascii="Times New Roman" w:eastAsia="Times New Roman" w:hAnsi="Times New Roman" w:cs="Times New Roman"/>
        </w:rPr>
        <w:t>Hagendorff</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Halem</w:t>
      </w:r>
      <w:proofErr w:type="spellEnd"/>
      <w:r>
        <w:rPr>
          <w:rFonts w:ascii="Times New Roman" w:eastAsia="Times New Roman" w:hAnsi="Times New Roman" w:cs="Times New Roman"/>
        </w:rPr>
        <w:t xml:space="preserve">, van, </w:t>
      </w:r>
      <w:proofErr w:type="spellStart"/>
      <w:r>
        <w:rPr>
          <w:rFonts w:ascii="Times New Roman" w:eastAsia="Times New Roman" w:hAnsi="Times New Roman" w:cs="Times New Roman"/>
        </w:rPr>
        <w:t>Hildt</w:t>
      </w:r>
      <w:proofErr w:type="spellEnd"/>
      <w:r>
        <w:rPr>
          <w:rFonts w:ascii="Times New Roman" w:eastAsia="Times New Roman" w:hAnsi="Times New Roman" w:cs="Times New Roman"/>
        </w:rPr>
        <w:t xml:space="preserve">, E., Holm, S., </w:t>
      </w:r>
      <w:proofErr w:type="spellStart"/>
      <w:r>
        <w:rPr>
          <w:rFonts w:ascii="Times New Roman" w:eastAsia="Times New Roman" w:hAnsi="Times New Roman" w:cs="Times New Roman"/>
        </w:rPr>
        <w:t>Kararigas</w:t>
      </w:r>
      <w:proofErr w:type="spellEnd"/>
      <w:r>
        <w:rPr>
          <w:rFonts w:ascii="Times New Roman" w:eastAsia="Times New Roman" w:hAnsi="Times New Roman" w:cs="Times New Roman"/>
        </w:rPr>
        <w:t xml:space="preserve">, G., Kringen, P., </w:t>
      </w:r>
      <w:proofErr w:type="spellStart"/>
      <w:r>
        <w:rPr>
          <w:rFonts w:ascii="Times New Roman" w:eastAsia="Times New Roman" w:hAnsi="Times New Roman" w:cs="Times New Roman"/>
        </w:rPr>
        <w:t>Madai</w:t>
      </w:r>
      <w:proofErr w:type="spellEnd"/>
      <w:r>
        <w:rPr>
          <w:rFonts w:ascii="Times New Roman" w:eastAsia="Times New Roman" w:hAnsi="Times New Roman" w:cs="Times New Roman"/>
        </w:rPr>
        <w:t xml:space="preserve">, V. I., </w:t>
      </w:r>
      <w:proofErr w:type="spellStart"/>
      <w:r>
        <w:rPr>
          <w:rFonts w:ascii="Times New Roman" w:eastAsia="Times New Roman" w:hAnsi="Times New Roman" w:cs="Times New Roman"/>
        </w:rPr>
        <w:t>Mathez</w:t>
      </w:r>
      <w:proofErr w:type="spellEnd"/>
      <w:r>
        <w:rPr>
          <w:rFonts w:ascii="Times New Roman" w:eastAsia="Times New Roman" w:hAnsi="Times New Roman" w:cs="Times New Roman"/>
        </w:rPr>
        <w:t xml:space="preserve">, E. W., Jahan, T. J., Vetter, D., </w:t>
      </w:r>
      <w:proofErr w:type="spellStart"/>
      <w:r>
        <w:rPr>
          <w:rFonts w:ascii="Times New Roman" w:eastAsia="Times New Roman" w:hAnsi="Times New Roman" w:cs="Times New Roman"/>
        </w:rPr>
        <w:t>Westerlund</w:t>
      </w:r>
      <w:proofErr w:type="spellEnd"/>
      <w:r>
        <w:rPr>
          <w:rFonts w:ascii="Times New Roman" w:eastAsia="Times New Roman" w:hAnsi="Times New Roman" w:cs="Times New Roman"/>
        </w:rPr>
        <w:t xml:space="preserve">, M., &amp; Wurth, R. (2022). How to Assess Trustworthy AI in Practice. </w:t>
      </w:r>
      <w:proofErr w:type="spellStart"/>
      <w:r>
        <w:rPr>
          <w:rFonts w:ascii="Times New Roman" w:eastAsia="Times New Roman" w:hAnsi="Times New Roman" w:cs="Times New Roman"/>
          <w:i/>
          <w:iCs/>
        </w:rPr>
        <w:t>ArXiv</w:t>
      </w:r>
      <w:proofErr w:type="spellEnd"/>
      <w:r>
        <w:rPr>
          <w:rFonts w:ascii="Times New Roman" w:eastAsia="Times New Roman" w:hAnsi="Times New Roman" w:cs="Times New Roman"/>
          <w:i/>
          <w:iCs/>
        </w:rPr>
        <w:t xml:space="preserve"> (Cornell University)</w:t>
      </w:r>
      <w:r>
        <w:rPr>
          <w:rFonts w:ascii="Times New Roman" w:eastAsia="Times New Roman" w:hAnsi="Times New Roman" w:cs="Times New Roman"/>
        </w:rPr>
        <w:t>. htt</w:t>
      </w:r>
      <w:r>
        <w:rPr>
          <w:rFonts w:ascii="Times New Roman" w:eastAsia="Times New Roman" w:hAnsi="Times New Roman" w:cs="Times New Roman"/>
        </w:rPr>
        <w:t>ps://doi.org/10.48550/arxiv.2206.09887</w:t>
      </w:r>
    </w:p>
    <w:p w14:paraId="500DCEC3" w14:textId="77777777" w:rsidR="00E52F02" w:rsidRDefault="00E52F02">
      <w:pPr>
        <w:spacing w:line="360" w:lineRule="auto"/>
        <w:ind w:left="720" w:hanging="720"/>
        <w:jc w:val="both"/>
        <w:rPr>
          <w:rFonts w:ascii="Times New Roman" w:eastAsia="Times New Roman" w:hAnsi="Times New Roman" w:cs="Times New Roman"/>
        </w:rPr>
      </w:pPr>
    </w:p>
    <w:sectPr w:rsidR="00E52F0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8DD09" w14:textId="77777777" w:rsidR="00A15A26" w:rsidRDefault="00A15A26">
      <w:pPr>
        <w:spacing w:after="0" w:line="240" w:lineRule="auto"/>
      </w:pPr>
      <w:r>
        <w:separator/>
      </w:r>
    </w:p>
  </w:endnote>
  <w:endnote w:type="continuationSeparator" w:id="0">
    <w:p w14:paraId="1790D2C0" w14:textId="77777777" w:rsidR="00A15A26" w:rsidRDefault="00A15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C71A628F-5231-42EC-B187-675784CC8F27}"/>
    <w:embedItalic r:id="rId2" w:fontKey="{DE887AD0-3C30-4D73-983F-CEB54E4A9228}"/>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8991A2C2-3D77-40FC-8B43-996C6E348901}"/>
    <w:embedItalic r:id="rId4" w:fontKey="{0B5579FE-32F8-4121-95A8-5CD8AAAB2861}"/>
  </w:font>
  <w:font w:name="Calibri">
    <w:panose1 w:val="020F0502020204030204"/>
    <w:charset w:val="00"/>
    <w:family w:val="swiss"/>
    <w:pitch w:val="variable"/>
    <w:sig w:usb0="E4002EFF" w:usb1="C000247B" w:usb2="00000009" w:usb3="00000000" w:csb0="000001FF" w:csb1="00000000"/>
    <w:embedRegular r:id="rId5" w:fontKey="{A120534D-16EC-49E9-8DB4-A11E6651A032}"/>
  </w:font>
  <w:font w:name="Cambria">
    <w:panose1 w:val="02040503050406030204"/>
    <w:charset w:val="00"/>
    <w:family w:val="roman"/>
    <w:pitch w:val="variable"/>
    <w:sig w:usb0="E00006FF" w:usb1="420024FF" w:usb2="02000000" w:usb3="00000000" w:csb0="0000019F" w:csb1="00000000"/>
    <w:embedRegular r:id="rId6" w:fontKey="{1C88B97C-15D7-446D-8A74-045A87659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310D" w14:textId="77777777" w:rsidR="00E52F02" w:rsidRDefault="00E52F0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E84E" w14:textId="77777777" w:rsidR="00E52F02" w:rsidRDefault="00E52F0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0F3F4" w14:textId="77777777" w:rsidR="00E52F02" w:rsidRDefault="00E52F0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BFB98" w14:textId="77777777" w:rsidR="00A15A26" w:rsidRDefault="00A15A26">
      <w:pPr>
        <w:spacing w:after="0" w:line="240" w:lineRule="auto"/>
      </w:pPr>
      <w:r>
        <w:separator/>
      </w:r>
    </w:p>
  </w:footnote>
  <w:footnote w:type="continuationSeparator" w:id="0">
    <w:p w14:paraId="6B85B9F3" w14:textId="77777777" w:rsidR="00A15A26" w:rsidRDefault="00A15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4553A" w14:textId="77777777" w:rsidR="00E52F02" w:rsidRDefault="00A15A26">
    <w:pPr>
      <w:pBdr>
        <w:top w:val="nil"/>
        <w:left w:val="nil"/>
        <w:bottom w:val="nil"/>
        <w:right w:val="nil"/>
        <w:between w:val="nil"/>
      </w:pBdr>
      <w:tabs>
        <w:tab w:val="center" w:pos="4680"/>
        <w:tab w:val="right" w:pos="9360"/>
      </w:tabs>
      <w:spacing w:after="0" w:line="240" w:lineRule="auto"/>
      <w:rPr>
        <w:color w:val="000000"/>
      </w:rPr>
    </w:pPr>
    <w:r>
      <w:rPr>
        <w:color w:val="000000"/>
      </w:rPr>
      <w:pict w14:anchorId="0430C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D149" w14:textId="77777777" w:rsidR="00E52F02" w:rsidRDefault="00A15A26">
    <w:pPr>
      <w:pBdr>
        <w:top w:val="nil"/>
        <w:left w:val="nil"/>
        <w:bottom w:val="nil"/>
        <w:right w:val="nil"/>
        <w:between w:val="nil"/>
      </w:pBdr>
      <w:tabs>
        <w:tab w:val="center" w:pos="4680"/>
        <w:tab w:val="right" w:pos="9360"/>
      </w:tabs>
      <w:spacing w:after="0" w:line="240" w:lineRule="auto"/>
      <w:rPr>
        <w:color w:val="000000"/>
      </w:rPr>
    </w:pPr>
    <w:r>
      <w:rPr>
        <w:color w:val="000000"/>
      </w:rPr>
      <w:pict w14:anchorId="5F29D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7688" w14:textId="77777777" w:rsidR="00E52F02" w:rsidRDefault="00A15A26">
    <w:pPr>
      <w:pBdr>
        <w:top w:val="nil"/>
        <w:left w:val="nil"/>
        <w:bottom w:val="nil"/>
        <w:right w:val="nil"/>
        <w:between w:val="nil"/>
      </w:pBdr>
      <w:tabs>
        <w:tab w:val="center" w:pos="4680"/>
        <w:tab w:val="right" w:pos="9360"/>
      </w:tabs>
      <w:spacing w:after="0" w:line="240" w:lineRule="auto"/>
      <w:rPr>
        <w:color w:val="000000"/>
      </w:rPr>
    </w:pPr>
    <w:r>
      <w:rPr>
        <w:color w:val="000000"/>
      </w:rPr>
      <w:pict w14:anchorId="63CBFE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9C3DC5"/>
    <w:multiLevelType w:val="multilevel"/>
    <w:tmpl w:val="4D868446"/>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02"/>
    <w:rsid w:val="002536D3"/>
    <w:rsid w:val="00431944"/>
    <w:rsid w:val="0053619D"/>
    <w:rsid w:val="006B7A57"/>
    <w:rsid w:val="00A15A26"/>
    <w:rsid w:val="00DD27EB"/>
    <w:rsid w:val="00E52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E599C"/>
  <w15:docId w15:val="{110DF269-81D6-4F29-859B-D8278370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8096</Words>
  <Characters>46148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1019</cp:lastModifiedBy>
  <cp:revision>3</cp:revision>
  <dcterms:created xsi:type="dcterms:W3CDTF">2026-01-21T04:26:00Z</dcterms:created>
  <dcterms:modified xsi:type="dcterms:W3CDTF">2026-01-22T06:53:00Z</dcterms:modified>
</cp:coreProperties>
</file>