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5155E2E" w14:textId="77777777" w:rsidR="00372E14" w:rsidRDefault="00CC1D80">
      <w:pPr>
        <w:spacing w:line="360" w:lineRule="auto"/>
        <w:jc w:val="center"/>
        <w:rPr>
          <w:rFonts w:ascii="Times New Roman" w:eastAsia="Times New Roman" w:hAnsi="Times New Roman" w:cs="Times New Roman"/>
          <w:b/>
          <w:bCs/>
          <w:sz w:val="36"/>
          <w:szCs w:val="36"/>
        </w:rPr>
      </w:pPr>
      <w:bookmarkStart w:id="0" w:name="_60859wpp1o0o" w:colFirst="0" w:colLast="0"/>
      <w:bookmarkEnd w:id="0"/>
      <w:r>
        <w:rPr>
          <w:rFonts w:ascii="Times New Roman" w:eastAsia="Times New Roman" w:hAnsi="Times New Roman" w:cs="Times New Roman"/>
          <w:b/>
          <w:bCs/>
          <w:sz w:val="36"/>
          <w:szCs w:val="36"/>
        </w:rPr>
        <w:t>Adaptive Cognitive Profiling for Executive AI Agents Amid Emerging AI Impersonation Threats</w:t>
      </w:r>
    </w:p>
    <w:p w14:paraId="5FCAD2F1" w14:textId="77777777" w:rsidR="00372E14" w:rsidRDefault="00372E14">
      <w:pPr>
        <w:spacing w:line="360" w:lineRule="auto"/>
        <w:jc w:val="both"/>
        <w:rPr>
          <w:rFonts w:ascii="Times New Roman" w:eastAsia="Times New Roman" w:hAnsi="Times New Roman" w:cs="Times New Roman"/>
          <w:b/>
          <w:bCs/>
        </w:rPr>
      </w:pPr>
    </w:p>
    <w:p w14:paraId="030B454A" w14:textId="77777777" w:rsidR="00372E14" w:rsidRDefault="00372E14">
      <w:pPr>
        <w:pBdr>
          <w:top w:val="nil"/>
          <w:left w:val="nil"/>
          <w:bottom w:val="nil"/>
          <w:right w:val="nil"/>
          <w:between w:val="nil"/>
        </w:pBdr>
        <w:spacing w:after="0" w:line="240" w:lineRule="auto"/>
        <w:rPr>
          <w:rFonts w:ascii="Tenorite" w:eastAsia="Tenorite" w:hAnsi="Tenorite" w:cs="Tenorite"/>
          <w:color w:val="000000"/>
        </w:rPr>
      </w:pPr>
    </w:p>
    <w:p w14:paraId="626DE446"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2CDB3AB5" w14:textId="77777777" w:rsidR="00372E14" w:rsidRDefault="00CC1D80">
      <w:pPr>
        <w:spacing w:line="360" w:lineRule="auto"/>
        <w:jc w:val="both"/>
        <w:rPr>
          <w:rFonts w:ascii="Times New Roman" w:eastAsia="Times New Roman" w:hAnsi="Times New Roman" w:cs="Times New Roman"/>
          <w:b/>
          <w:bCs/>
          <w:i/>
          <w:iCs/>
        </w:rPr>
      </w:pPr>
      <w:r>
        <w:rPr>
          <w:rFonts w:ascii="Times New Roman" w:eastAsia="Times New Roman" w:hAnsi="Times New Roman" w:cs="Times New Roman"/>
          <w:i/>
          <w:iCs/>
        </w:rPr>
        <w:t xml:space="preserve">Rapid digitalization and the adoption of large language models in executive </w:t>
      </w:r>
      <w:r>
        <w:rPr>
          <w:rFonts w:ascii="Times New Roman" w:eastAsia="Times New Roman" w:hAnsi="Times New Roman" w:cs="Times New Roman"/>
          <w:i/>
          <w:iCs/>
        </w:rPr>
        <w:t>workflows have heightened cybersecurity risks, particularly AI-enabled impersonation and authority abuse. This study develops and evaluates an adaptive cognitive profiling framework for executive AI agents that integrates behavioral biometrics, anomaly det</w:t>
      </w:r>
      <w:r>
        <w:rPr>
          <w:rFonts w:ascii="Times New Roman" w:eastAsia="Times New Roman" w:hAnsi="Times New Roman" w:cs="Times New Roman"/>
          <w:i/>
          <w:iCs/>
        </w:rPr>
        <w:t xml:space="preserve">ection, and continuous trust assessment to enhance identity assurance and governance. The framework combines keystroke-dynamics modeling using </w:t>
      </w:r>
      <w:proofErr w:type="spellStart"/>
      <w:r>
        <w:rPr>
          <w:rFonts w:ascii="Times New Roman" w:eastAsia="Times New Roman" w:hAnsi="Times New Roman" w:cs="Times New Roman"/>
          <w:i/>
          <w:iCs/>
        </w:rPr>
        <w:t>Mahalanobis</w:t>
      </w:r>
      <w:proofErr w:type="spellEnd"/>
      <w:r>
        <w:rPr>
          <w:rFonts w:ascii="Times New Roman" w:eastAsia="Times New Roman" w:hAnsi="Times New Roman" w:cs="Times New Roman"/>
          <w:i/>
          <w:iCs/>
        </w:rPr>
        <w:t xml:space="preserve"> distance classification, Isolation Forest–based anomaly detection, and a continuous adaptive trust sc</w:t>
      </w:r>
      <w:r>
        <w:rPr>
          <w:rFonts w:ascii="Times New Roman" w:eastAsia="Times New Roman" w:hAnsi="Times New Roman" w:cs="Times New Roman"/>
          <w:i/>
          <w:iCs/>
        </w:rPr>
        <w:t>ore fusing behavioral, cognitive-decision, contextual, and anomaly signals. Evaluation was conducted using a synthetically generated keystroke dataset modeled on the CMU benchmark, comprising 8,000 samples from 20 subjects across multiple sessions, with ex</w:t>
      </w:r>
      <w:r>
        <w:rPr>
          <w:rFonts w:ascii="Times New Roman" w:eastAsia="Times New Roman" w:hAnsi="Times New Roman" w:cs="Times New Roman"/>
          <w:i/>
          <w:iCs/>
        </w:rPr>
        <w:t>periments performed in a controlled, simulated environment. Results demonstrate an authentication accuracy of 93.78%, an equal error rate of 5.99%, anomaly detection recall of 95.52%, and successful identification of 93.75% of simulated impersonation attac</w:t>
      </w:r>
      <w:r>
        <w:rPr>
          <w:rFonts w:ascii="Times New Roman" w:eastAsia="Times New Roman" w:hAnsi="Times New Roman" w:cs="Times New Roman"/>
          <w:i/>
          <w:iCs/>
        </w:rPr>
        <w:t>ks. Governance mechanisms incorporating human-in-the-loop authorization and graduated access control operationalize principles from the NIST AI Risk Management Framework. Key limitations include reliance on synthetic behavioral data, elevated false-positiv</w:t>
      </w:r>
      <w:r>
        <w:rPr>
          <w:rFonts w:ascii="Times New Roman" w:eastAsia="Times New Roman" w:hAnsi="Times New Roman" w:cs="Times New Roman"/>
          <w:i/>
          <w:iCs/>
        </w:rPr>
        <w:t>e rates in anomaly detection, and the absence of longitudinal real-world executive validation. Future work will focus on multimodal data integration, long-term behavioral drift analysis, and deployment within live enterprise environments.</w:t>
      </w:r>
    </w:p>
    <w:p w14:paraId="71680419"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Keywords: Adaptiv</w:t>
      </w:r>
      <w:r>
        <w:rPr>
          <w:rFonts w:ascii="Times New Roman" w:eastAsia="Times New Roman" w:hAnsi="Times New Roman" w:cs="Times New Roman"/>
        </w:rPr>
        <w:t>e cognitive profiling, Behavioral biometrics, Executive AI agent security, Continuous authentication, AI impersonation threat detection.</w:t>
      </w:r>
    </w:p>
    <w:p w14:paraId="3E7224D3" w14:textId="77777777" w:rsidR="00372E14" w:rsidRDefault="00372E14">
      <w:pPr>
        <w:spacing w:line="360" w:lineRule="auto"/>
        <w:jc w:val="both"/>
        <w:rPr>
          <w:rFonts w:ascii="Times New Roman" w:eastAsia="Times New Roman" w:hAnsi="Times New Roman" w:cs="Times New Roman"/>
          <w:b/>
          <w:bCs/>
        </w:rPr>
      </w:pPr>
    </w:p>
    <w:p w14:paraId="3BFB824D" w14:textId="77777777" w:rsidR="00372E14" w:rsidRDefault="00372E14">
      <w:pPr>
        <w:spacing w:line="360" w:lineRule="auto"/>
        <w:jc w:val="both"/>
        <w:rPr>
          <w:rFonts w:ascii="Times New Roman" w:eastAsia="Times New Roman" w:hAnsi="Times New Roman" w:cs="Times New Roman"/>
          <w:b/>
          <w:bCs/>
        </w:rPr>
      </w:pPr>
    </w:p>
    <w:p w14:paraId="3AC2A109" w14:textId="77777777" w:rsidR="00372E14" w:rsidRDefault="00372E14">
      <w:pPr>
        <w:spacing w:line="360" w:lineRule="auto"/>
        <w:jc w:val="both"/>
        <w:rPr>
          <w:rFonts w:ascii="Times New Roman" w:eastAsia="Times New Roman" w:hAnsi="Times New Roman" w:cs="Times New Roman"/>
          <w:b/>
          <w:bCs/>
        </w:rPr>
      </w:pPr>
      <w:bookmarkStart w:id="1" w:name="_ouiwdeachvir" w:colFirst="0" w:colLast="0"/>
      <w:bookmarkEnd w:id="1"/>
    </w:p>
    <w:p w14:paraId="7B28CE7B"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1.</w:t>
      </w:r>
      <w:r>
        <w:rPr>
          <w:rFonts w:ascii="Times New Roman" w:eastAsia="Times New Roman" w:hAnsi="Times New Roman" w:cs="Times New Roman"/>
          <w:b/>
          <w:bCs/>
        </w:rPr>
        <w:tab/>
        <w:t>Introduction</w:t>
      </w:r>
    </w:p>
    <w:p w14:paraId="67864961"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The rapid digitalization of executive work has embedded large language models and other generative a</w:t>
      </w:r>
      <w:r>
        <w:rPr>
          <w:rFonts w:ascii="Times New Roman" w:eastAsia="Times New Roman" w:hAnsi="Times New Roman" w:cs="Times New Roman"/>
        </w:rPr>
        <w:t>rtificial intelligence systems into board level communication, strategic analysis, and operational coordination. These systems promise unprecedented analytic leverage and responsiveness, yet they also reconfigure the organizational attack surface in ways t</w:t>
      </w:r>
      <w:r>
        <w:rPr>
          <w:rFonts w:ascii="Times New Roman" w:eastAsia="Times New Roman" w:hAnsi="Times New Roman" w:cs="Times New Roman"/>
        </w:rPr>
        <w:t xml:space="preserve">hat legacy security models were never designed to manage. Contemporary AI development already strains traditional notions of assurance, transparency, and controllability in socio technical systems (Brundage et al., 2020). As </w:t>
      </w:r>
      <w:proofErr w:type="gramStart"/>
      <w:r>
        <w:rPr>
          <w:rFonts w:ascii="Times New Roman" w:eastAsia="Times New Roman" w:hAnsi="Times New Roman" w:cs="Times New Roman"/>
        </w:rPr>
        <w:t>general purpose</w:t>
      </w:r>
      <w:proofErr w:type="gramEnd"/>
      <w:r>
        <w:rPr>
          <w:rFonts w:ascii="Times New Roman" w:eastAsia="Times New Roman" w:hAnsi="Times New Roman" w:cs="Times New Roman"/>
        </w:rPr>
        <w:t xml:space="preserve"> models are dele</w:t>
      </w:r>
      <w:r>
        <w:rPr>
          <w:rFonts w:ascii="Times New Roman" w:eastAsia="Times New Roman" w:hAnsi="Times New Roman" w:cs="Times New Roman"/>
        </w:rPr>
        <w:t xml:space="preserve">gated increasingly quasi autonomous roles in decision pipelines, the core challenge for executive cybersecurity is no longer simply protecting infrastructure, but reliably distinguishing authentic human authority from AI generated or AI mediated impostors </w:t>
      </w:r>
      <w:r>
        <w:rPr>
          <w:rFonts w:ascii="Times New Roman" w:eastAsia="Times New Roman" w:hAnsi="Times New Roman" w:cs="Times New Roman"/>
        </w:rPr>
        <w:t>in real time.</w:t>
      </w:r>
    </w:p>
    <w:p w14:paraId="25BA0274"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Empirical trends indicate that executive impersonation has become a primary vector in the threat landscape of the mid-twenties. Industry research from </w:t>
      </w:r>
      <w:proofErr w:type="spellStart"/>
      <w:r>
        <w:rPr>
          <w:rFonts w:ascii="Times New Roman" w:eastAsia="Times New Roman" w:hAnsi="Times New Roman" w:cs="Times New Roman"/>
        </w:rPr>
        <w:t>BlackCloak</w:t>
      </w:r>
      <w:proofErr w:type="spellEnd"/>
      <w:r>
        <w:rPr>
          <w:rFonts w:ascii="Times New Roman" w:eastAsia="Times New Roman" w:hAnsi="Times New Roman" w:cs="Times New Roman"/>
        </w:rPr>
        <w:t xml:space="preserve"> shows that slightly more than half of security leaders reported direct targeting</w:t>
      </w:r>
      <w:r>
        <w:rPr>
          <w:rFonts w:ascii="Times New Roman" w:eastAsia="Times New Roman" w:hAnsi="Times New Roman" w:cs="Times New Roman"/>
        </w:rPr>
        <w:t xml:space="preserve"> of at least one executive in the middle of the decade, up from a little under half several years earlier, with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enabled attacks rising from roughly one third to around two fifths of observed incidents over the same period (Herrick, 2025). Parallel</w:t>
      </w:r>
      <w:r>
        <w:rPr>
          <w:rFonts w:ascii="Times New Roman" w:eastAsia="Times New Roman" w:hAnsi="Times New Roman" w:cs="Times New Roman"/>
        </w:rPr>
        <w:t xml:space="preserve"> reporting documents a sharp increase in AI powered audio visual spoofs of CEOs and CFOs used to authorize fraudulent payments, disclose sensitive information, or direct operational changes, often exploiting remote collaboration channels and personal devic</w:t>
      </w:r>
      <w:r>
        <w:rPr>
          <w:rFonts w:ascii="Times New Roman" w:eastAsia="Times New Roman" w:hAnsi="Times New Roman" w:cs="Times New Roman"/>
        </w:rPr>
        <w:t xml:space="preserve">es (Jones, 2025). These campaigns blend social engineering, synthetic media, and data from historical breaches, producing highly personalized narratives that bypass traditional perimeter and endpoint defenses (Verma, 2025; </w:t>
      </w:r>
      <w:proofErr w:type="spellStart"/>
      <w:r>
        <w:rPr>
          <w:rFonts w:ascii="Times New Roman" w:eastAsia="Times New Roman" w:hAnsi="Times New Roman" w:cs="Times New Roman"/>
        </w:rPr>
        <w:t>Ogunlade</w:t>
      </w:r>
      <w:proofErr w:type="spellEnd"/>
      <w:r>
        <w:rPr>
          <w:rFonts w:ascii="Times New Roman" w:eastAsia="Times New Roman" w:hAnsi="Times New Roman" w:cs="Times New Roman"/>
        </w:rPr>
        <w:t>, 2025).</w:t>
      </w:r>
    </w:p>
    <w:p w14:paraId="6BFCEB6A"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At the technical</w:t>
      </w:r>
      <w:r>
        <w:rPr>
          <w:rFonts w:ascii="Times New Roman" w:eastAsia="Times New Roman" w:hAnsi="Times New Roman" w:cs="Times New Roman"/>
        </w:rPr>
        <w:t xml:space="preserve"> core lies the commoditization of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generation, voice cloning, and behavior mimicking models that approximate an executive’s linguistic style, prosody, and interaction rhythms with striking fidelity (Verma, 2025; Alliance, 2025). Contemporary system</w:t>
      </w:r>
      <w:r>
        <w:rPr>
          <w:rFonts w:ascii="Times New Roman" w:eastAsia="Times New Roman" w:hAnsi="Times New Roman" w:cs="Times New Roman"/>
        </w:rPr>
        <w:t>s can defeat many liveness checks by reproducing facial micro movements, consistent lighting, and synchronized speech, eroding assumptions that physiological biometrics are inherently hard to forge (Alliance, 2025). Attackers increasingly synthesize persis</w:t>
      </w:r>
      <w:r>
        <w:rPr>
          <w:rFonts w:ascii="Times New Roman" w:eastAsia="Times New Roman" w:hAnsi="Times New Roman" w:cs="Times New Roman"/>
        </w:rPr>
        <w:t xml:space="preserve">tent executive personas that converse across channels and time zones, gradually accruing trust within organizations (Verma, 2025). This produces a human machine identity blur in which human and machine agents share </w:t>
      </w:r>
      <w:r>
        <w:rPr>
          <w:rFonts w:ascii="Times New Roman" w:eastAsia="Times New Roman" w:hAnsi="Times New Roman" w:cs="Times New Roman"/>
        </w:rPr>
        <w:lastRenderedPageBreak/>
        <w:t>credentials and authority, making trust d</w:t>
      </w:r>
      <w:r>
        <w:rPr>
          <w:rFonts w:ascii="Times New Roman" w:eastAsia="Times New Roman" w:hAnsi="Times New Roman" w:cs="Times New Roman"/>
        </w:rPr>
        <w:t>ifficult to anchor in physical or channel cues alone (Janani, 2025).</w:t>
      </w:r>
    </w:p>
    <w:p w14:paraId="60E02217"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Within this environment, the research problem centers on the inability of prevailing identity, authorization, and resilience frameworks to discriminate legitimate executive directives </w:t>
      </w:r>
      <w:r>
        <w:rPr>
          <w:rFonts w:ascii="Times New Roman" w:eastAsia="Times New Roman" w:hAnsi="Times New Roman" w:cs="Times New Roman"/>
        </w:rPr>
        <w:t xml:space="preserve">from AI generated impersonations under realistic conditions. Even advanced biometric and multi factor systems are undermined by synthetic media and adversarial AI. Demonstrations of real time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engines circumventing facial and voice liveness detecti</w:t>
      </w:r>
      <w:r>
        <w:rPr>
          <w:rFonts w:ascii="Times New Roman" w:eastAsia="Times New Roman" w:hAnsi="Times New Roman" w:cs="Times New Roman"/>
        </w:rPr>
        <w:t xml:space="preserve">on show that physical uniqueness no longer guarantees </w:t>
      </w:r>
      <w:proofErr w:type="gramStart"/>
      <w:r>
        <w:rPr>
          <w:rFonts w:ascii="Times New Roman" w:eastAsia="Times New Roman" w:hAnsi="Times New Roman" w:cs="Times New Roman"/>
        </w:rPr>
        <w:t>non replicability</w:t>
      </w:r>
      <w:proofErr w:type="gramEnd"/>
      <w:r>
        <w:rPr>
          <w:rFonts w:ascii="Times New Roman" w:eastAsia="Times New Roman" w:hAnsi="Times New Roman" w:cs="Times New Roman"/>
        </w:rPr>
        <w:t xml:space="preserve"> (Alliance, 2025). Behavioral and keystroke biometrics are only partially exploited, despite evidence that engineered behavioral models achieve error rates in the mid-single digits with</w:t>
      </w:r>
      <w:r>
        <w:rPr>
          <w:rFonts w:ascii="Times New Roman" w:eastAsia="Times New Roman" w:hAnsi="Times New Roman" w:cs="Times New Roman"/>
        </w:rPr>
        <w:t xml:space="preserve"> acceptance rates above nine tenths in mobile settings (Kim et al., 2025) and very low error in keystroke barcode frameworks (Shrivastava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2025). The first problem dimension is therefore authentication inadequacy.</w:t>
      </w:r>
    </w:p>
    <w:p w14:paraId="1188AB71"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w:t>
      </w:r>
      <w:proofErr w:type="gramStart"/>
      <w:r>
        <w:rPr>
          <w:rFonts w:ascii="Times New Roman" w:eastAsia="Times New Roman" w:hAnsi="Times New Roman" w:cs="Times New Roman"/>
        </w:rPr>
        <w:t>second dimension</w:t>
      </w:r>
      <w:proofErr w:type="gramEnd"/>
      <w:r>
        <w:rPr>
          <w:rFonts w:ascii="Times New Roman" w:eastAsia="Times New Roman" w:hAnsi="Times New Roman" w:cs="Times New Roman"/>
        </w:rPr>
        <w:t xml:space="preserve"> concerns </w:t>
      </w:r>
      <w:r>
        <w:rPr>
          <w:rFonts w:ascii="Times New Roman" w:eastAsia="Times New Roman" w:hAnsi="Times New Roman" w:cs="Times New Roman"/>
        </w:rPr>
        <w:t>governance and authority. Organizations deploy AI agents acting on behalf of executives, yet lack precise models of where algorithmic agency ends and human accountability begins. Scholarship stresses explicit authority boundaries, traceable escalation, and</w:t>
      </w:r>
      <w:r>
        <w:rPr>
          <w:rFonts w:ascii="Times New Roman" w:eastAsia="Times New Roman" w:hAnsi="Times New Roman" w:cs="Times New Roman"/>
        </w:rPr>
        <w:t xml:space="preserve"> oversight across the AI lifecycle (</w:t>
      </w:r>
      <w:proofErr w:type="spellStart"/>
      <w:r>
        <w:rPr>
          <w:rFonts w:ascii="Times New Roman" w:eastAsia="Times New Roman" w:hAnsi="Times New Roman" w:cs="Times New Roman"/>
        </w:rPr>
        <w:t>Mäntymäki</w:t>
      </w:r>
      <w:proofErr w:type="spellEnd"/>
      <w:r>
        <w:rPr>
          <w:rFonts w:ascii="Times New Roman" w:eastAsia="Times New Roman" w:hAnsi="Times New Roman" w:cs="Times New Roman"/>
        </w:rPr>
        <w:t xml:space="preserve"> et al., 2022; </w:t>
      </w:r>
      <w:proofErr w:type="spellStart"/>
      <w:r>
        <w:rPr>
          <w:rFonts w:ascii="Times New Roman" w:eastAsia="Times New Roman" w:hAnsi="Times New Roman" w:cs="Times New Roman"/>
        </w:rPr>
        <w:t>Meimandi</w:t>
      </w:r>
      <w:proofErr w:type="spellEnd"/>
      <w:r>
        <w:rPr>
          <w:rFonts w:ascii="Times New Roman" w:eastAsia="Times New Roman" w:hAnsi="Times New Roman" w:cs="Times New Roman"/>
        </w:rPr>
        <w:t xml:space="preserve"> et al., 2025). In practice, ad hoc controls allow adversaries to inject spoofed directives into automated pipelines, especially in remote and hybrid work settings. The third dimension is </w:t>
      </w:r>
      <w:r>
        <w:rPr>
          <w:rFonts w:ascii="Times New Roman" w:eastAsia="Times New Roman" w:hAnsi="Times New Roman" w:cs="Times New Roman"/>
        </w:rPr>
        <w:t xml:space="preserve">organizational resilience. Traditional incident response targets discrete infrastructure events rather than continuous identity centric campaigns. Scenario based adversarial testing of AI mediated workflows remains rare, leading to discovery delays during </w:t>
      </w:r>
      <w:r>
        <w:rPr>
          <w:rFonts w:ascii="Times New Roman" w:eastAsia="Times New Roman" w:hAnsi="Times New Roman" w:cs="Times New Roman"/>
        </w:rPr>
        <w:t>which damage cascades (Rodriguez et al., 2025).</w:t>
      </w:r>
    </w:p>
    <w:p w14:paraId="4325D4C9"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This research is significant academically, organizationally, and for policy. It advances work integrating behavioral biometrics into continuous authentication (</w:t>
      </w:r>
      <w:proofErr w:type="spellStart"/>
      <w:r>
        <w:rPr>
          <w:rFonts w:ascii="Times New Roman" w:eastAsia="Times New Roman" w:hAnsi="Times New Roman" w:cs="Times New Roman"/>
        </w:rPr>
        <w:t>Thurupati</w:t>
      </w:r>
      <w:proofErr w:type="spellEnd"/>
      <w:r>
        <w:rPr>
          <w:rFonts w:ascii="Times New Roman" w:eastAsia="Times New Roman" w:hAnsi="Times New Roman" w:cs="Times New Roman"/>
        </w:rPr>
        <w:t>, 2024) and develops the concept of cog</w:t>
      </w:r>
      <w:r>
        <w:rPr>
          <w:rFonts w:ascii="Times New Roman" w:eastAsia="Times New Roman" w:hAnsi="Times New Roman" w:cs="Times New Roman"/>
        </w:rPr>
        <w:t>nitive authenticity, where stable decision logic and linguistic patterns act as higher order markers (Verma, 2025). Practically, it aligns with dynamic trust scoring architectures in identity management (Identity Management Institute, 2026) and complements</w:t>
      </w:r>
      <w:r>
        <w:rPr>
          <w:rFonts w:ascii="Times New Roman" w:eastAsia="Times New Roman" w:hAnsi="Times New Roman" w:cs="Times New Roman"/>
        </w:rPr>
        <w:t xml:space="preserve"> AI driven detection tools that focus on content rather than cognitive consistency (</w:t>
      </w:r>
      <w:proofErr w:type="spellStart"/>
      <w:r>
        <w:rPr>
          <w:rFonts w:ascii="Times New Roman" w:eastAsia="Times New Roman" w:hAnsi="Times New Roman" w:cs="Times New Roman"/>
        </w:rPr>
        <w:t>Ogunlade</w:t>
      </w:r>
      <w:proofErr w:type="spellEnd"/>
      <w:r>
        <w:rPr>
          <w:rFonts w:ascii="Times New Roman" w:eastAsia="Times New Roman" w:hAnsi="Times New Roman" w:cs="Times New Roman"/>
        </w:rPr>
        <w:t>, 2025). At the governance level, it operationalizes the NIST AI Risk Management Framework by translating its Govern, Map, Measure, and Manage functions into execut</w:t>
      </w:r>
      <w:r>
        <w:rPr>
          <w:rFonts w:ascii="Times New Roman" w:eastAsia="Times New Roman" w:hAnsi="Times New Roman" w:cs="Times New Roman"/>
        </w:rPr>
        <w:t>ive specific controls (National Institute of Standards and Technology, 2023; IS Partners, 2026.; Janus Associates, 2026).</w:t>
      </w:r>
    </w:p>
    <w:p w14:paraId="1D60E87B"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study focuses on current generation generative models, executive roles, and remote work contexts. It adopts a systems integration </w:t>
      </w:r>
      <w:r>
        <w:rPr>
          <w:rFonts w:ascii="Times New Roman" w:eastAsia="Times New Roman" w:hAnsi="Times New Roman" w:cs="Times New Roman"/>
        </w:rPr>
        <w:t xml:space="preserve">and empirical validation approach using simulated environments. The dissertation contributes adaptive cognitive profiling, human in the loop authorization workflows, adversarial resilience testing methods, and an </w:t>
      </w:r>
      <w:proofErr w:type="gramStart"/>
      <w:r>
        <w:rPr>
          <w:rFonts w:ascii="Times New Roman" w:eastAsia="Times New Roman" w:hAnsi="Times New Roman" w:cs="Times New Roman"/>
        </w:rPr>
        <w:t>evidence based</w:t>
      </w:r>
      <w:proofErr w:type="gramEnd"/>
      <w:r>
        <w:rPr>
          <w:rFonts w:ascii="Times New Roman" w:eastAsia="Times New Roman" w:hAnsi="Times New Roman" w:cs="Times New Roman"/>
        </w:rPr>
        <w:t xml:space="preserve"> blueprint for defending exec</w:t>
      </w:r>
      <w:r>
        <w:rPr>
          <w:rFonts w:ascii="Times New Roman" w:eastAsia="Times New Roman" w:hAnsi="Times New Roman" w:cs="Times New Roman"/>
        </w:rPr>
        <w:t>utive authority (</w:t>
      </w:r>
      <w:proofErr w:type="spellStart"/>
      <w:r>
        <w:rPr>
          <w:rFonts w:ascii="Times New Roman" w:eastAsia="Times New Roman" w:hAnsi="Times New Roman" w:cs="Times New Roman"/>
        </w:rPr>
        <w:t>Meimandi</w:t>
      </w:r>
      <w:proofErr w:type="spellEnd"/>
      <w:r>
        <w:rPr>
          <w:rFonts w:ascii="Times New Roman" w:eastAsia="Times New Roman" w:hAnsi="Times New Roman" w:cs="Times New Roman"/>
        </w:rPr>
        <w:t xml:space="preserve"> et al., 2025; </w:t>
      </w:r>
      <w:proofErr w:type="spellStart"/>
      <w:r>
        <w:rPr>
          <w:rFonts w:ascii="Times New Roman" w:eastAsia="Times New Roman" w:hAnsi="Times New Roman" w:cs="Times New Roman"/>
        </w:rPr>
        <w:t>Mäntymäki</w:t>
      </w:r>
      <w:proofErr w:type="spellEnd"/>
      <w:r>
        <w:rPr>
          <w:rFonts w:ascii="Times New Roman" w:eastAsia="Times New Roman" w:hAnsi="Times New Roman" w:cs="Times New Roman"/>
        </w:rPr>
        <w:t xml:space="preserve"> et al., 2022; Rodriguez et al., 2025; Alliance, 2025).</w:t>
      </w:r>
    </w:p>
    <w:p w14:paraId="29C378C6"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This research develops and validates an adaptive framework protecting executive identity, authority, and organizational resilience, and the study is gu</w:t>
      </w:r>
      <w:r>
        <w:rPr>
          <w:rFonts w:ascii="Times New Roman" w:eastAsia="Times New Roman" w:hAnsi="Times New Roman" w:cs="Times New Roman"/>
        </w:rPr>
        <w:t>ided by three specific research objectives to:</w:t>
      </w:r>
    </w:p>
    <w:p w14:paraId="4AFCFF59" w14:textId="77777777" w:rsidR="00372E14" w:rsidRDefault="00CC1D8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Design and evaluate an adaptive cognitive profiling framework for continuous executive identity authentication in AI-mediated environments.</w:t>
      </w:r>
    </w:p>
    <w:p w14:paraId="66DCD4BE" w14:textId="77777777" w:rsidR="00372E14" w:rsidRDefault="00CC1D8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Develop human-in-the-loop governance mechanisms that securely authori</w:t>
      </w:r>
      <w:r>
        <w:rPr>
          <w:rFonts w:ascii="Times New Roman" w:eastAsia="Times New Roman" w:hAnsi="Times New Roman" w:cs="Times New Roman"/>
        </w:rPr>
        <w:t>ze executive AI agents while preserving decision efficiency and regulatory compliance.</w:t>
      </w:r>
    </w:p>
    <w:p w14:paraId="40DA6DF1" w14:textId="77777777" w:rsidR="00372E14" w:rsidRDefault="00CC1D8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Create and validate adversarial resilience testing and incident-response methodologies tailored to AI-enabled executive impersonation threats.</w:t>
      </w:r>
    </w:p>
    <w:p w14:paraId="16B88621" w14:textId="77777777" w:rsidR="00372E14" w:rsidRDefault="00372E14">
      <w:pPr>
        <w:spacing w:line="360" w:lineRule="auto"/>
        <w:jc w:val="both"/>
        <w:rPr>
          <w:rFonts w:ascii="Times New Roman" w:eastAsia="Times New Roman" w:hAnsi="Times New Roman" w:cs="Times New Roman"/>
        </w:rPr>
      </w:pPr>
    </w:p>
    <w:p w14:paraId="3FFE4FB8"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2.</w:t>
      </w:r>
      <w:r>
        <w:rPr>
          <w:rFonts w:ascii="Times New Roman" w:eastAsia="Times New Roman" w:hAnsi="Times New Roman" w:cs="Times New Roman"/>
          <w:b/>
          <w:bCs/>
        </w:rPr>
        <w:tab/>
        <w:t>Literature Review</w:t>
      </w:r>
    </w:p>
    <w:p w14:paraId="1A45145F"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Theo</w:t>
      </w:r>
      <w:r>
        <w:rPr>
          <w:rFonts w:ascii="Times New Roman" w:eastAsia="Times New Roman" w:hAnsi="Times New Roman" w:cs="Times New Roman"/>
          <w:b/>
          <w:bCs/>
        </w:rPr>
        <w:t>retical Foundations of Adaptive Authentication and Cognitive Profiling</w:t>
      </w:r>
    </w:p>
    <w:p w14:paraId="672B41C6"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evolution from static </w:t>
      </w:r>
      <w:proofErr w:type="gramStart"/>
      <w:r>
        <w:rPr>
          <w:rFonts w:ascii="Times New Roman" w:eastAsia="Times New Roman" w:hAnsi="Times New Roman" w:cs="Times New Roman"/>
        </w:rPr>
        <w:t>credential based</w:t>
      </w:r>
      <w:proofErr w:type="gramEnd"/>
      <w:r>
        <w:rPr>
          <w:rFonts w:ascii="Times New Roman" w:eastAsia="Times New Roman" w:hAnsi="Times New Roman" w:cs="Times New Roman"/>
        </w:rPr>
        <w:t xml:space="preserve"> security to dynamic, behavior aware authentication marks a paradigmatic shift in identity verification research. Traditional models rely on di</w:t>
      </w:r>
      <w:r>
        <w:rPr>
          <w:rFonts w:ascii="Times New Roman" w:eastAsia="Times New Roman" w:hAnsi="Times New Roman" w:cs="Times New Roman"/>
        </w:rPr>
        <w:t xml:space="preserve">screte events such as passwords, </w:t>
      </w:r>
      <w:proofErr w:type="gramStart"/>
      <w:r>
        <w:rPr>
          <w:rFonts w:ascii="Times New Roman" w:eastAsia="Times New Roman" w:hAnsi="Times New Roman" w:cs="Times New Roman"/>
        </w:rPr>
        <w:t>one time</w:t>
      </w:r>
      <w:proofErr w:type="gramEnd"/>
      <w:r>
        <w:rPr>
          <w:rFonts w:ascii="Times New Roman" w:eastAsia="Times New Roman" w:hAnsi="Times New Roman" w:cs="Times New Roman"/>
        </w:rPr>
        <w:t xml:space="preserve"> codes, or biometric snapshots, yet these approaches are increasingly inadequate against AI enabled impersonation that can replicate physiological traits with high fidelity (Kim et al., 2025). Behavioral biometrics </w:t>
      </w:r>
      <w:r>
        <w:rPr>
          <w:rFonts w:ascii="Times New Roman" w:eastAsia="Times New Roman" w:hAnsi="Times New Roman" w:cs="Times New Roman"/>
        </w:rPr>
        <w:t>instead leverage continuous interaction patterns that are harder to synthesize at scale. Keystroke dynamics, mouse trajectories, and interaction rhythms capture micro patterns in typing speed, key press duration, and inter key latency, forming a distinctiv</w:t>
      </w:r>
      <w:r>
        <w:rPr>
          <w:rFonts w:ascii="Times New Roman" w:eastAsia="Times New Roman" w:hAnsi="Times New Roman" w:cs="Times New Roman"/>
        </w:rPr>
        <w:t xml:space="preserve">e cognitive behavioral signature (Shrivastava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2025). Empirical studies show that deep learning models using keystroke to image encodings achieve equal error rates in the mid-single digits while maintaining true acceptance rates above nine te</w:t>
      </w:r>
      <w:r>
        <w:rPr>
          <w:rFonts w:ascii="Times New Roman" w:eastAsia="Times New Roman" w:hAnsi="Times New Roman" w:cs="Times New Roman"/>
        </w:rPr>
        <w:t xml:space="preserve">nths, </w:t>
      </w:r>
      <w:r>
        <w:rPr>
          <w:rFonts w:ascii="Times New Roman" w:eastAsia="Times New Roman" w:hAnsi="Times New Roman" w:cs="Times New Roman"/>
        </w:rPr>
        <w:lastRenderedPageBreak/>
        <w:t>outperforming conventional classifiers (Kim et al., 2024). This advantage reflects the ability to model spatial temporal dependencies linked to cognitive load and decision tempo.</w:t>
      </w:r>
    </w:p>
    <w:p w14:paraId="01872ACA"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Continuous authentication extends identity verification beyond initial </w:t>
      </w:r>
      <w:r>
        <w:rPr>
          <w:rFonts w:ascii="Times New Roman" w:eastAsia="Times New Roman" w:hAnsi="Times New Roman" w:cs="Times New Roman"/>
        </w:rPr>
        <w:t>login by treating it as an ongoing process (</w:t>
      </w:r>
      <w:proofErr w:type="spellStart"/>
      <w:r>
        <w:rPr>
          <w:rFonts w:ascii="Times New Roman" w:eastAsia="Times New Roman" w:hAnsi="Times New Roman" w:cs="Times New Roman"/>
        </w:rPr>
        <w:t>Abuhamad</w:t>
      </w:r>
      <w:proofErr w:type="spellEnd"/>
      <w:r>
        <w:rPr>
          <w:rFonts w:ascii="Times New Roman" w:eastAsia="Times New Roman" w:hAnsi="Times New Roman" w:cs="Times New Roman"/>
        </w:rPr>
        <w:t xml:space="preserve"> et al., 2020). Typical architectures employ background monitoring agents that collect behavioral telemetry and feed features into anomaly detection models such as Isolation Forests or one class support v</w:t>
      </w:r>
      <w:r>
        <w:rPr>
          <w:rFonts w:ascii="Times New Roman" w:eastAsia="Times New Roman" w:hAnsi="Times New Roman" w:cs="Times New Roman"/>
        </w:rPr>
        <w:t xml:space="preserve">ector machines (Shrivastava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2025). Smartphone based research indicates that combining keystroke dynamics with motion sensors improves accuracy over unimodal systems (</w:t>
      </w:r>
      <w:proofErr w:type="spellStart"/>
      <w:r>
        <w:rPr>
          <w:rFonts w:ascii="Times New Roman" w:eastAsia="Times New Roman" w:hAnsi="Times New Roman" w:cs="Times New Roman"/>
        </w:rPr>
        <w:t>Abuhamad</w:t>
      </w:r>
      <w:proofErr w:type="spellEnd"/>
      <w:r>
        <w:rPr>
          <w:rFonts w:ascii="Times New Roman" w:eastAsia="Times New Roman" w:hAnsi="Times New Roman" w:cs="Times New Roman"/>
        </w:rPr>
        <w:t xml:space="preserve"> et al., 2020). However, most studies address general users rather </w:t>
      </w:r>
      <w:r>
        <w:rPr>
          <w:rFonts w:ascii="Times New Roman" w:eastAsia="Times New Roman" w:hAnsi="Times New Roman" w:cs="Times New Roman"/>
        </w:rPr>
        <w:t>than executives, where interaction is irregular and false positives impose high organizational cost. This gap motivates executive authentication research.</w:t>
      </w:r>
    </w:p>
    <w:p w14:paraId="39814367"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AI Governance Frameworks for Executive Agent Authorization</w:t>
      </w:r>
    </w:p>
    <w:p w14:paraId="2F038CDA"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governance of AI agents acting on </w:t>
      </w:r>
      <w:r>
        <w:rPr>
          <w:rFonts w:ascii="Times New Roman" w:eastAsia="Times New Roman" w:hAnsi="Times New Roman" w:cs="Times New Roman"/>
        </w:rPr>
        <w:t xml:space="preserve">behalf of executives requires frameworks that embed accountability, transparency, and human oversight across the system lifecycle. The NIST Artificial Intelligence Risk Management Framework, AI RMF, offers a voluntary yet comprehensive structure organized </w:t>
      </w:r>
      <w:r>
        <w:rPr>
          <w:rFonts w:ascii="Times New Roman" w:eastAsia="Times New Roman" w:hAnsi="Times New Roman" w:cs="Times New Roman"/>
        </w:rPr>
        <w:t>around four core functions: Govern, Map, Measure, and Manage (National Institute of Standards and Technology, 2023). The Govern function establishes accountability structures, clarifies roles, and promotes a risk aware culture, enabling delegation of autho</w:t>
      </w:r>
      <w:r>
        <w:rPr>
          <w:rFonts w:ascii="Times New Roman" w:eastAsia="Times New Roman" w:hAnsi="Times New Roman" w:cs="Times New Roman"/>
        </w:rPr>
        <w:t>rity to AI agents without eroding human responsibility (</w:t>
      </w:r>
      <w:proofErr w:type="spellStart"/>
      <w:r>
        <w:rPr>
          <w:rFonts w:ascii="Times New Roman" w:eastAsia="Times New Roman" w:hAnsi="Times New Roman" w:cs="Times New Roman"/>
        </w:rPr>
        <w:t>ModelOp</w:t>
      </w:r>
      <w:proofErr w:type="spellEnd"/>
      <w:r>
        <w:rPr>
          <w:rFonts w:ascii="Times New Roman" w:eastAsia="Times New Roman" w:hAnsi="Times New Roman" w:cs="Times New Roman"/>
        </w:rPr>
        <w:t>, 2023). In executive settings, this implies explicit policies defining which actions may be AI initiated, which demand human approval, and how cognitive inconsistency activates escalation proc</w:t>
      </w:r>
      <w:r>
        <w:rPr>
          <w:rFonts w:ascii="Times New Roman" w:eastAsia="Times New Roman" w:hAnsi="Times New Roman" w:cs="Times New Roman"/>
        </w:rPr>
        <w:t>edures (Janus Associates, 2026). Empirical reports indicate that organizations adopting NIST aligned governance experience markedly fewer compliance violations than those relying on ad hoc oversight (Villanueva, 2025).</w:t>
      </w:r>
    </w:p>
    <w:p w14:paraId="363F629C"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Human-in-the-loop mechanisms embed go</w:t>
      </w:r>
      <w:r>
        <w:rPr>
          <w:rFonts w:ascii="Times New Roman" w:eastAsia="Times New Roman" w:hAnsi="Times New Roman" w:cs="Times New Roman"/>
        </w:rPr>
        <w:t>vernance principles directly into AI workflows through structured review points. The Hourglass Model defines a tiered structure where executives set strategic intent. AI systems execute tasks within clearly bounded authority. Continuous oversight and audit</w:t>
      </w:r>
      <w:r>
        <w:rPr>
          <w:rFonts w:ascii="Times New Roman" w:eastAsia="Times New Roman" w:hAnsi="Times New Roman" w:cs="Times New Roman"/>
        </w:rPr>
        <w:t>ing monitor AI actions throughout execution (</w:t>
      </w:r>
      <w:proofErr w:type="spellStart"/>
      <w:r>
        <w:rPr>
          <w:rFonts w:ascii="Times New Roman" w:eastAsia="Times New Roman" w:hAnsi="Times New Roman" w:cs="Times New Roman"/>
        </w:rPr>
        <w:t>Mäntymäki</w:t>
      </w:r>
      <w:proofErr w:type="spellEnd"/>
      <w:r>
        <w:rPr>
          <w:rFonts w:ascii="Times New Roman" w:eastAsia="Times New Roman" w:hAnsi="Times New Roman" w:cs="Times New Roman"/>
        </w:rPr>
        <w:t xml:space="preserve"> et al., 2022). This design aligns with the Map function of the AI Risk Management Framework. The Map function requires contextualizing AI systems and identifying risks across the value chain (IS Partne</w:t>
      </w:r>
      <w:r>
        <w:rPr>
          <w:rFonts w:ascii="Times New Roman" w:eastAsia="Times New Roman" w:hAnsi="Times New Roman" w:cs="Times New Roman"/>
        </w:rPr>
        <w:t xml:space="preserve">rs, 2025). For executive AI agents, mapping must address the blurred boundary between human and machine identities. Delegation can obscure accountability between human decision-makers and algorithmic </w:t>
      </w:r>
      <w:r>
        <w:rPr>
          <w:rFonts w:ascii="Times New Roman" w:eastAsia="Times New Roman" w:hAnsi="Times New Roman" w:cs="Times New Roman"/>
        </w:rPr>
        <w:lastRenderedPageBreak/>
        <w:t>actors (Janani, 2025). Dynamic trust scoring adjusts aut</w:t>
      </w:r>
      <w:r>
        <w:rPr>
          <w:rFonts w:ascii="Times New Roman" w:eastAsia="Times New Roman" w:hAnsi="Times New Roman" w:cs="Times New Roman"/>
        </w:rPr>
        <w:t>horization levels in real time. These adjustments rely on behavioral and contextual signals to maintain secure governance (Identity Management Institute, 2026).</w:t>
      </w:r>
    </w:p>
    <w:p w14:paraId="38B6C53A"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Emerging AI Impersonation Threats Against Executive Leadership</w:t>
      </w:r>
    </w:p>
    <w:p w14:paraId="56B911A5"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The threat landscape targeting e</w:t>
      </w:r>
      <w:r>
        <w:rPr>
          <w:rFonts w:ascii="Times New Roman" w:eastAsia="Times New Roman" w:hAnsi="Times New Roman" w:cs="Times New Roman"/>
        </w:rPr>
        <w:t>xecutives has changed significantly in recent years. This shift is driven by widely accessible generative AI tools and global adoption of remote work practices (</w:t>
      </w:r>
      <w:proofErr w:type="spellStart"/>
      <w:r>
        <w:rPr>
          <w:rFonts w:ascii="Times New Roman" w:eastAsia="Times New Roman" w:hAnsi="Times New Roman" w:cs="Times New Roman"/>
        </w:rPr>
        <w:t>Olaniyi</w:t>
      </w:r>
      <w:proofErr w:type="spellEnd"/>
      <w:r>
        <w:rPr>
          <w:rFonts w:ascii="Times New Roman" w:eastAsia="Times New Roman" w:hAnsi="Times New Roman" w:cs="Times New Roman"/>
        </w:rPr>
        <w:t xml:space="preserve">, 2025). Jones (2025) reports that about two fifths of security professionals observed </w:t>
      </w:r>
      <w:proofErr w:type="spellStart"/>
      <w:r>
        <w:rPr>
          <w:rFonts w:ascii="Times New Roman" w:eastAsia="Times New Roman" w:hAnsi="Times New Roman" w:cs="Times New Roman"/>
        </w:rPr>
        <w:t>d</w:t>
      </w:r>
      <w:r>
        <w:rPr>
          <w:rFonts w:ascii="Times New Roman" w:eastAsia="Times New Roman" w:hAnsi="Times New Roman" w:cs="Times New Roman"/>
        </w:rPr>
        <w:t>eepfake</w:t>
      </w:r>
      <w:proofErr w:type="spellEnd"/>
      <w:r>
        <w:rPr>
          <w:rFonts w:ascii="Times New Roman" w:eastAsia="Times New Roman" w:hAnsi="Times New Roman" w:cs="Times New Roman"/>
        </w:rPr>
        <w:t xml:space="preserve"> attacks against executives in the mid-decade. This figure increased from roughly one third in earlier periods. Attackers increasingly exploit home networks and personal devices. These environments allow adversaries to bypass traditional corporate p</w:t>
      </w:r>
      <w:r>
        <w:rPr>
          <w:rFonts w:ascii="Times New Roman" w:eastAsia="Times New Roman" w:hAnsi="Times New Roman" w:cs="Times New Roman"/>
        </w:rPr>
        <w:t xml:space="preserve">erimeter defenses. The Arup incident demonstrates this threat clearly. In this case, criminals used a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CFO during a video call to authorize a multimillion-dollar transfer (Herrick, 2025). Synthetic media exploits trust in real-time communication ch</w:t>
      </w:r>
      <w:r>
        <w:rPr>
          <w:rFonts w:ascii="Times New Roman" w:eastAsia="Times New Roman" w:hAnsi="Times New Roman" w:cs="Times New Roman"/>
        </w:rPr>
        <w:t xml:space="preserve">annels effectively. Attackers combine voice cloning with minimal public audio samples. They also use face-swap tools to create convincing multimodal impersonations (LaCroix, 2025). These techniques defeat conventional liveness detection controls reliably. </w:t>
      </w:r>
      <w:r>
        <w:rPr>
          <w:rFonts w:ascii="Times New Roman" w:eastAsia="Times New Roman" w:hAnsi="Times New Roman" w:cs="Times New Roman"/>
        </w:rPr>
        <w:t xml:space="preserve">Generative voice models now produce near-indistinguishable speech at scale (Herrick, 2025). Real-time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pipelines inject synthetic faces into live video feeds. Attack methods have evolved into multichannel escalation strategies (Herrick, 2025). Thes</w:t>
      </w:r>
      <w:r>
        <w:rPr>
          <w:rFonts w:ascii="Times New Roman" w:eastAsia="Times New Roman" w:hAnsi="Times New Roman" w:cs="Times New Roman"/>
        </w:rPr>
        <w:t>e patterns reflect the growing human–machine identity blur (Janani, 2025).</w:t>
      </w:r>
    </w:p>
    <w:p w14:paraId="14E6BD09"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Adversarial Testing and Resilience Frameworks</w:t>
      </w:r>
    </w:p>
    <w:p w14:paraId="72EED0CB"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Adversarial testing, or red teaming, is essential for identifying vulnerabilities in AI systems before deployment. Traditional red team</w:t>
      </w:r>
      <w:r>
        <w:rPr>
          <w:rFonts w:ascii="Times New Roman" w:eastAsia="Times New Roman" w:hAnsi="Times New Roman" w:cs="Times New Roman"/>
        </w:rPr>
        <w:t>ing relies on manually crafted attack prompts that are costly, hard to scale, and outdated as models change (Dyson, 2025). Automated red teaming mitigates this by using language models to generate prompts at scale. The RTPE framework uses an evolutionary m</w:t>
      </w:r>
      <w:r>
        <w:rPr>
          <w:rFonts w:ascii="Times New Roman" w:eastAsia="Times New Roman" w:hAnsi="Times New Roman" w:cs="Times New Roman"/>
        </w:rPr>
        <w:t>ethod that expands prompts in breadth and depth, achieving high attack success on GPT-3.5 (Li et al., 2025).</w:t>
      </w:r>
    </w:p>
    <w:p w14:paraId="4ECCE35F"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Holistic Automated Red Teaming supports multi turn interactions reflecting real dialogue dynamics (Zhang et al., 2024). Results show safety degrada</w:t>
      </w:r>
      <w:r>
        <w:rPr>
          <w:rFonts w:ascii="Times New Roman" w:eastAsia="Times New Roman" w:hAnsi="Times New Roman" w:cs="Times New Roman"/>
        </w:rPr>
        <w:t xml:space="preserve">tion over extended conversations, posing risk for executive agents. Applicability to proprietary systems remains unclear. Effective </w:t>
      </w:r>
      <w:r>
        <w:rPr>
          <w:rFonts w:ascii="Times New Roman" w:eastAsia="Times New Roman" w:hAnsi="Times New Roman" w:cs="Times New Roman"/>
        </w:rPr>
        <w:lastRenderedPageBreak/>
        <w:t>resilience requires integration with NIST AI RMF response planning (National Institute of Standards and Technology, 2023), w</w:t>
      </w:r>
      <w:r>
        <w:rPr>
          <w:rFonts w:ascii="Times New Roman" w:eastAsia="Times New Roman" w:hAnsi="Times New Roman" w:cs="Times New Roman"/>
        </w:rPr>
        <w:t>hile guidance remains limited (</w:t>
      </w:r>
      <w:proofErr w:type="spellStart"/>
      <w:r>
        <w:rPr>
          <w:rFonts w:ascii="Times New Roman" w:eastAsia="Times New Roman" w:hAnsi="Times New Roman" w:cs="Times New Roman"/>
        </w:rPr>
        <w:t>Vongthongsri</w:t>
      </w:r>
      <w:proofErr w:type="spellEnd"/>
      <w:r>
        <w:rPr>
          <w:rFonts w:ascii="Times New Roman" w:eastAsia="Times New Roman" w:hAnsi="Times New Roman" w:cs="Times New Roman"/>
        </w:rPr>
        <w:t xml:space="preserve">, 2025; </w:t>
      </w:r>
      <w:proofErr w:type="spellStart"/>
      <w:r>
        <w:rPr>
          <w:rFonts w:ascii="Times New Roman" w:eastAsia="Times New Roman" w:hAnsi="Times New Roman" w:cs="Times New Roman"/>
        </w:rPr>
        <w:t>Bronsdon</w:t>
      </w:r>
      <w:proofErr w:type="spellEnd"/>
      <w:r>
        <w:rPr>
          <w:rFonts w:ascii="Times New Roman" w:eastAsia="Times New Roman" w:hAnsi="Times New Roman" w:cs="Times New Roman"/>
        </w:rPr>
        <w:t xml:space="preserve">, 2025; Shrivastava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2025).</w:t>
      </w:r>
    </w:p>
    <w:p w14:paraId="253B9572"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Synthesis and Research Gaps</w:t>
      </w:r>
    </w:p>
    <w:p w14:paraId="79E0F966"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The literature shows that behavioral biometrics and continuous authentication provide strong foundations against AI impersonati</w:t>
      </w:r>
      <w:r>
        <w:rPr>
          <w:rFonts w:ascii="Times New Roman" w:eastAsia="Times New Roman" w:hAnsi="Times New Roman" w:cs="Times New Roman"/>
        </w:rPr>
        <w:t xml:space="preserve">on, yet gaps remain. Cognitive profiling frameworks are largely conceptual or validated on general users, not executives under remote, high-stress, multi-device conditions (Shrivastava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2025; Kim et al., 2024). NIST AI RMF offers governance s</w:t>
      </w:r>
      <w:r>
        <w:rPr>
          <w:rFonts w:ascii="Times New Roman" w:eastAsia="Times New Roman" w:hAnsi="Times New Roman" w:cs="Times New Roman"/>
        </w:rPr>
        <w:t>caffolds, but human-in-the-loop oversight for rapid executive AI actions is underdeveloped (National Institute of Standards and Technology, 2023). Automated red-teaming lacks focus on executive decision authority and cognitive styles (Li et al., 2025; Zhan</w:t>
      </w:r>
      <w:r>
        <w:rPr>
          <w:rFonts w:ascii="Times New Roman" w:eastAsia="Times New Roman" w:hAnsi="Times New Roman" w:cs="Times New Roman"/>
        </w:rPr>
        <w:t>g et al., 2024). Resilience frameworks also omit metrics for detection latency and operational impact. This study integrates adaptive profiling, governance, and adversarial testing to secure executive environments.</w:t>
      </w:r>
    </w:p>
    <w:p w14:paraId="46CCA6BB" w14:textId="77777777" w:rsidR="00372E14" w:rsidRDefault="00372E14">
      <w:pPr>
        <w:spacing w:line="360" w:lineRule="auto"/>
        <w:jc w:val="both"/>
        <w:rPr>
          <w:rFonts w:ascii="Times New Roman" w:eastAsia="Times New Roman" w:hAnsi="Times New Roman" w:cs="Times New Roman"/>
        </w:rPr>
      </w:pPr>
    </w:p>
    <w:p w14:paraId="34252455"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w:t>
      </w:r>
      <w:r>
        <w:rPr>
          <w:rFonts w:ascii="Times New Roman" w:eastAsia="Times New Roman" w:hAnsi="Times New Roman" w:cs="Times New Roman"/>
          <w:b/>
          <w:bCs/>
        </w:rPr>
        <w:tab/>
        <w:t>Research Methodology</w:t>
      </w:r>
    </w:p>
    <w:p w14:paraId="0FEFA6E6"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Research Design </w:t>
      </w:r>
      <w:r>
        <w:rPr>
          <w:rFonts w:ascii="Times New Roman" w:eastAsia="Times New Roman" w:hAnsi="Times New Roman" w:cs="Times New Roman"/>
          <w:b/>
          <w:bCs/>
        </w:rPr>
        <w:t>and Methodological Orientation</w:t>
      </w:r>
    </w:p>
    <w:p w14:paraId="77E28D1C"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methodology operationalizes adaptive cognitive profiling for executive AI agents under realistic impersonation threats. Using a </w:t>
      </w:r>
      <w:proofErr w:type="gramStart"/>
      <w:r>
        <w:rPr>
          <w:rFonts w:ascii="Times New Roman" w:eastAsia="Times New Roman" w:hAnsi="Times New Roman" w:cs="Times New Roman"/>
        </w:rPr>
        <w:t>mixed methods</w:t>
      </w:r>
      <w:proofErr w:type="gramEnd"/>
      <w:r>
        <w:rPr>
          <w:rFonts w:ascii="Times New Roman" w:eastAsia="Times New Roman" w:hAnsi="Times New Roman" w:cs="Times New Roman"/>
        </w:rPr>
        <w:t>, systems integration approach, it combines quantitative modeling, statistical v</w:t>
      </w:r>
      <w:r>
        <w:rPr>
          <w:rFonts w:ascii="Times New Roman" w:eastAsia="Times New Roman" w:hAnsi="Times New Roman" w:cs="Times New Roman"/>
        </w:rPr>
        <w:t xml:space="preserve">alidation, and design science artifact creation. Machine learning models are developed for behavioral profiling, anomaly detection, and trust scoring, evaluated on accuracy, equal error rate, and adversarial resilience (Shrivastava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2025; Kim</w:t>
      </w:r>
      <w:r>
        <w:rPr>
          <w:rFonts w:ascii="Times New Roman" w:eastAsia="Times New Roman" w:hAnsi="Times New Roman" w:cs="Times New Roman"/>
        </w:rPr>
        <w:t xml:space="preserve">, Shin, &amp; Kwon, 2025). Governance and human-in-the-loop authorization are structured via NIST AI RMF and contemporary AI oversight frameworks (National Institute of Standards and Technology, 2023; </w:t>
      </w:r>
      <w:proofErr w:type="spellStart"/>
      <w:r>
        <w:rPr>
          <w:rFonts w:ascii="Times New Roman" w:eastAsia="Times New Roman" w:hAnsi="Times New Roman" w:cs="Times New Roman"/>
        </w:rPr>
        <w:t>Mäntymäki</w:t>
      </w:r>
      <w:proofErr w:type="spellEnd"/>
      <w:r>
        <w:rPr>
          <w:rFonts w:ascii="Times New Roman" w:eastAsia="Times New Roman" w:hAnsi="Times New Roman" w:cs="Times New Roman"/>
        </w:rPr>
        <w:t xml:space="preserve"> et al., 2022; </w:t>
      </w:r>
      <w:proofErr w:type="spellStart"/>
      <w:r>
        <w:rPr>
          <w:rFonts w:ascii="Times New Roman" w:eastAsia="Times New Roman" w:hAnsi="Times New Roman" w:cs="Times New Roman"/>
        </w:rPr>
        <w:t>Meimandi</w:t>
      </w:r>
      <w:proofErr w:type="spellEnd"/>
      <w:r>
        <w:rPr>
          <w:rFonts w:ascii="Times New Roman" w:eastAsia="Times New Roman" w:hAnsi="Times New Roman" w:cs="Times New Roman"/>
        </w:rPr>
        <w:t xml:space="preserve"> et al., 2025).</w:t>
      </w:r>
    </w:p>
    <w:p w14:paraId="10AF5702"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Data </w:t>
      </w:r>
      <w:r>
        <w:rPr>
          <w:rFonts w:ascii="Times New Roman" w:eastAsia="Times New Roman" w:hAnsi="Times New Roman" w:cs="Times New Roman"/>
          <w:b/>
          <w:bCs/>
        </w:rPr>
        <w:t>Collection and Data Sources</w:t>
      </w:r>
    </w:p>
    <w:p w14:paraId="31A98ED7"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Data collection captures behavioral, linguistic, temporal, and decision-making traces to infer executive cognitive signatures. Sources include keystroke logs, executive text corpora, decision logs, and synthetic scenarios (</w:t>
      </w:r>
      <w:proofErr w:type="spellStart"/>
      <w:r>
        <w:rPr>
          <w:rFonts w:ascii="Times New Roman" w:eastAsia="Times New Roman" w:hAnsi="Times New Roman" w:cs="Times New Roman"/>
        </w:rPr>
        <w:t>Abuha</w:t>
      </w:r>
      <w:r>
        <w:rPr>
          <w:rFonts w:ascii="Times New Roman" w:eastAsia="Times New Roman" w:hAnsi="Times New Roman" w:cs="Times New Roman"/>
        </w:rPr>
        <w:t>mad</w:t>
      </w:r>
      <w:proofErr w:type="spellEnd"/>
      <w:r>
        <w:rPr>
          <w:rFonts w:ascii="Times New Roman" w:eastAsia="Times New Roman" w:hAnsi="Times New Roman" w:cs="Times New Roman"/>
        </w:rPr>
        <w:t xml:space="preserve"> et al., 2020; Shrivastava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xml:space="preserve">, 2025). For this </w:t>
      </w:r>
      <w:r>
        <w:rPr>
          <w:rFonts w:ascii="Times New Roman" w:eastAsia="Times New Roman" w:hAnsi="Times New Roman" w:cs="Times New Roman"/>
        </w:rPr>
        <w:lastRenderedPageBreak/>
        <w:t xml:space="preserve">study, much of the empirical validation relies on synthetically generated and simulated datasets designed to mirror real-world executive behaviors and adversarial conditions, enabling controlled </w:t>
      </w:r>
      <w:r>
        <w:rPr>
          <w:rFonts w:ascii="Times New Roman" w:eastAsia="Times New Roman" w:hAnsi="Times New Roman" w:cs="Times New Roman"/>
        </w:rPr>
        <w:t xml:space="preserve">experimentation and reproducibility while limiting exposure of sensitive executive data. Adversarial evaluation uses AI impersonation samples,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patterns, and LLM red team prompts (Li et al., 2025; Zhang et al., 2024; Rodriguez et al., 2025). Data a</w:t>
      </w:r>
      <w:r>
        <w:rPr>
          <w:rFonts w:ascii="Times New Roman" w:eastAsia="Times New Roman" w:hAnsi="Times New Roman" w:cs="Times New Roman"/>
        </w:rPr>
        <w:t>re anonymized and normalized for privacy protection and robust pattern learning, with real-world deployment and validation reserved for future phases of the research (National Institute of Standards and Technology, 2023).</w:t>
      </w:r>
    </w:p>
    <w:p w14:paraId="50D9A0E7"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Adaptive Cognitive Profiling Model</w:t>
      </w:r>
    </w:p>
    <w:p w14:paraId="47FE8CBE"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The adaptive cognitive profiling model integrates three layers: behavioral biometrics, cognitive-decision signatures, and a continuous adaptive trust score that fuses multiple signals.</w:t>
      </w:r>
    </w:p>
    <w:p w14:paraId="0B6A322A" w14:textId="77777777" w:rsidR="00372E14" w:rsidRDefault="00CC1D80">
      <w:pPr>
        <w:numPr>
          <w:ilvl w:val="0"/>
          <w:numId w:val="2"/>
        </w:numPr>
        <w:pBdr>
          <w:top w:val="nil"/>
          <w:left w:val="nil"/>
          <w:bottom w:val="nil"/>
          <w:right w:val="nil"/>
          <w:between w:val="nil"/>
        </w:pBdr>
        <w:spacing w:line="360" w:lineRule="auto"/>
        <w:jc w:val="both"/>
        <w:rPr>
          <w:color w:val="000000"/>
        </w:rPr>
      </w:pPr>
      <w:r>
        <w:rPr>
          <w:rFonts w:ascii="Times New Roman" w:eastAsia="Times New Roman" w:hAnsi="Times New Roman" w:cs="Times New Roman"/>
          <w:i/>
          <w:iCs/>
          <w:color w:val="000000"/>
        </w:rPr>
        <w:t>Behavioral biometrics and interaction modeling</w:t>
      </w:r>
    </w:p>
    <w:p w14:paraId="04132045"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Keystroke dynamics are </w:t>
      </w:r>
      <w:r>
        <w:rPr>
          <w:rFonts w:ascii="Times New Roman" w:eastAsia="Times New Roman" w:hAnsi="Times New Roman" w:cs="Times New Roman"/>
        </w:rPr>
        <w:t xml:space="preserve">modeled as a multivariate time series. For each key event, the dwell time </w:t>
      </w:r>
      <m:oMath>
        <m:r>
          <w:rPr>
            <w:rFonts w:ascii="Cambria Math" w:eastAsia="Cambria Math" w:hAnsi="Cambria Math" w:cs="Cambria Math"/>
          </w:rPr>
          <m:t>DT</m:t>
        </m:r>
      </m:oMath>
      <w:r>
        <w:rPr>
          <w:rFonts w:ascii="Times New Roman" w:eastAsia="Times New Roman" w:hAnsi="Times New Roman" w:cs="Times New Roman"/>
        </w:rPr>
        <w:t>is defined as the duration a key is held down:</w:t>
      </w:r>
    </w:p>
    <w:p w14:paraId="6CC9B495" w14:textId="77777777" w:rsidR="00372E14" w:rsidRDefault="00CC1D80">
      <w:pPr>
        <w:jc w:val="center"/>
        <w:rPr>
          <w:rFonts w:ascii="Times New Roman" w:eastAsia="Times New Roman" w:hAnsi="Times New Roman" w:cs="Times New Roman"/>
        </w:rPr>
      </w:pPr>
      <m:oMathPara>
        <m:oMath>
          <m:r>
            <w:rPr>
              <w:rFonts w:ascii="Cambria Math" w:eastAsia="Cambria Math" w:hAnsi="Cambria Math" w:cs="Cambria Math"/>
            </w:rPr>
            <m:t>DT</m:t>
          </m:r>
          <m:r>
            <w:rPr>
              <w:rFonts w:ascii="Cambria Math" w:eastAsia="Cambria Math" w:hAnsi="Cambria Math" w:cs="Cambria Math"/>
            </w:rPr>
            <m:t>=</m:t>
          </m:r>
          <m:sSub>
            <m:sSubPr>
              <m:ctrlPr>
                <w:rPr>
                  <w:rFonts w:ascii="Times New Roman" w:eastAsia="Times New Roman" w:hAnsi="Times New Roman" w:cs="Times New Roman"/>
                </w:rPr>
              </m:ctrlPr>
            </m:sSubPr>
            <m:e>
              <m:r>
                <w:rPr>
                  <w:rFonts w:ascii="Cambria Math" w:eastAsia="Cambria Math" w:hAnsi="Cambria Math" w:cs="Cambria Math"/>
                </w:rPr>
                <m:t>t</m:t>
              </m:r>
            </m:e>
            <m:sub>
              <m:r>
                <w:rPr>
                  <w:rFonts w:ascii="Times New Roman" w:eastAsia="Times New Roman" w:hAnsi="Times New Roman" w:cs="Times New Roman"/>
                </w:rPr>
                <m:t>keyup</m:t>
              </m:r>
            </m:sub>
          </m:sSub>
          <m:r>
            <w:rPr>
              <w:rFonts w:ascii="Cambria Math" w:eastAsia="Cambria Math" w:hAnsi="Cambria Math" w:cs="Cambria Math"/>
            </w:rPr>
            <m:t>-</m:t>
          </m:r>
          <m:sSub>
            <m:sSubPr>
              <m:ctrlPr>
                <w:rPr>
                  <w:rFonts w:ascii="Times New Roman" w:eastAsia="Times New Roman" w:hAnsi="Times New Roman" w:cs="Times New Roman"/>
                </w:rPr>
              </m:ctrlPr>
            </m:sSubPr>
            <m:e>
              <m:r>
                <w:rPr>
                  <w:rFonts w:ascii="Cambria Math" w:eastAsia="Cambria Math" w:hAnsi="Cambria Math" w:cs="Cambria Math"/>
                </w:rPr>
                <m:t>t</m:t>
              </m:r>
            </m:e>
            <m:sub>
              <m:r>
                <w:rPr>
                  <w:rFonts w:ascii="Times New Roman" w:eastAsia="Times New Roman" w:hAnsi="Times New Roman" w:cs="Times New Roman"/>
                </w:rPr>
                <m:t>keydown</m:t>
              </m:r>
            </m:sub>
          </m:sSub>
        </m:oMath>
      </m:oMathPara>
    </w:p>
    <w:p w14:paraId="112196D7"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Times New Roman" w:eastAsia="Times New Roman" w:hAnsi="Times New Roman" w:cs="Times New Roman"/>
              </w:rPr>
            </m:ctrlPr>
          </m:sSubPr>
          <m:e>
            <m:r>
              <w:rPr>
                <w:rFonts w:ascii="Cambria Math" w:eastAsia="Cambria Math" w:hAnsi="Cambria Math" w:cs="Cambria Math"/>
              </w:rPr>
              <m:t>t</m:t>
            </m:r>
          </m:e>
          <m:sub>
            <m:r>
              <w:rPr>
                <w:rFonts w:ascii="Times New Roman" w:eastAsia="Times New Roman" w:hAnsi="Times New Roman" w:cs="Times New Roman"/>
              </w:rPr>
              <m:t>keydown</m:t>
            </m:r>
          </m:sub>
        </m:sSub>
      </m:oMath>
      <w:r>
        <w:rPr>
          <w:rFonts w:ascii="Times New Roman" w:eastAsia="Times New Roman" w:hAnsi="Times New Roman" w:cs="Times New Roman"/>
        </w:rPr>
        <w:t xml:space="preserve">and </w:t>
      </w:r>
      <m:oMath>
        <m:sSub>
          <m:sSubPr>
            <m:ctrlPr>
              <w:rPr>
                <w:rFonts w:ascii="Times New Roman" w:eastAsia="Times New Roman" w:hAnsi="Times New Roman" w:cs="Times New Roman"/>
              </w:rPr>
            </m:ctrlPr>
          </m:sSubPr>
          <m:e>
            <m:r>
              <w:rPr>
                <w:rFonts w:ascii="Cambria Math" w:eastAsia="Cambria Math" w:hAnsi="Cambria Math" w:cs="Cambria Math"/>
              </w:rPr>
              <m:t>t</m:t>
            </m:r>
          </m:e>
          <m:sub>
            <m:r>
              <w:rPr>
                <w:rFonts w:ascii="Times New Roman" w:eastAsia="Times New Roman" w:hAnsi="Times New Roman" w:cs="Times New Roman"/>
              </w:rPr>
              <m:t>keyup</m:t>
            </m:r>
          </m:sub>
        </m:sSub>
      </m:oMath>
      <w:r>
        <w:rPr>
          <w:rFonts w:ascii="Times New Roman" w:eastAsia="Times New Roman" w:hAnsi="Times New Roman" w:cs="Times New Roman"/>
        </w:rPr>
        <w:t>denote the timestamps of key press and key release, respec</w:t>
      </w:r>
      <w:proofErr w:type="spellStart"/>
      <w:r>
        <w:rPr>
          <w:rFonts w:ascii="Times New Roman" w:eastAsia="Times New Roman" w:hAnsi="Times New Roman" w:cs="Times New Roman"/>
        </w:rPr>
        <w:t>tively</w:t>
      </w:r>
      <w:proofErr w:type="spellEnd"/>
      <w:r>
        <w:rPr>
          <w:rFonts w:ascii="Times New Roman" w:eastAsia="Times New Roman" w:hAnsi="Times New Roman" w:cs="Times New Roman"/>
        </w:rPr>
        <w:t xml:space="preserve"> (Shrivastava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xml:space="preserve">, 2025). Inter-key timing is captured using the up–down time </w:t>
      </w:r>
      <m:oMath>
        <m:r>
          <w:rPr>
            <w:rFonts w:ascii="Cambria Math" w:eastAsia="Cambria Math" w:hAnsi="Cambria Math" w:cs="Cambria Math"/>
          </w:rPr>
          <m:t>UD</m:t>
        </m:r>
      </m:oMath>
      <w:r>
        <w:rPr>
          <w:rFonts w:ascii="Times New Roman" w:eastAsia="Times New Roman" w:hAnsi="Times New Roman" w:cs="Times New Roman"/>
        </w:rPr>
        <w:t xml:space="preserve">and down–down time </w:t>
      </w:r>
      <m:oMath>
        <m:r>
          <w:rPr>
            <w:rFonts w:ascii="Cambria Math" w:eastAsia="Cambria Math" w:hAnsi="Cambria Math" w:cs="Cambria Math"/>
          </w:rPr>
          <m:t>DD</m:t>
        </m:r>
      </m:oMath>
      <w:r>
        <w:rPr>
          <w:rFonts w:ascii="Times New Roman" w:eastAsia="Times New Roman" w:hAnsi="Times New Roman" w:cs="Times New Roman"/>
        </w:rPr>
        <w:t>:</w:t>
      </w:r>
    </w:p>
    <w:p w14:paraId="50A4805C" w14:textId="77777777" w:rsidR="00372E14" w:rsidRDefault="00CC1D80">
      <w:pPr>
        <w:jc w:val="center"/>
        <w:rPr>
          <w:rFonts w:ascii="Cambria Math" w:eastAsia="Cambria Math" w:hAnsi="Cambria Math" w:cs="Cambria Math"/>
        </w:rPr>
      </w:pPr>
      <m:oMathPara>
        <m:oMath>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Times New Roman" w:eastAsia="Times New Roman" w:hAnsi="Times New Roman" w:cs="Times New Roman"/>
                </w:rPr>
                <m:t>keydown</m:t>
              </m:r>
              <m:r>
                <w:rPr>
                  <w:rFonts w:ascii="Cambria Math" w:eastAsia="Cambria Math" w:hAnsi="Cambria Math" w:cs="Cambria Math"/>
                </w:rPr>
                <m:t>,</m:t>
              </m:r>
              <m:r>
                <w:rPr>
                  <w:rFonts w:ascii="Times New Roman" w:eastAsia="Times New Roman" w:hAnsi="Times New Roman" w:cs="Times New Roman"/>
                </w:rPr>
                <m:t> </m:t>
              </m:r>
              <m:r>
                <w:rPr>
                  <w:rFonts w:ascii="Cambria Math" w:eastAsia="Cambria Math" w:hAnsi="Cambria Math" w:cs="Cambria Math"/>
                </w:rPr>
                <m:t>i</m:t>
              </m:r>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Times New Roman" w:eastAsia="Times New Roman" w:hAnsi="Times New Roman" w:cs="Times New Roman"/>
                </w:rPr>
                <m:t>keyup</m:t>
              </m:r>
              <m:r>
                <w:rPr>
                  <w:rFonts w:ascii="Cambria Math" w:eastAsia="Cambria Math" w:hAnsi="Cambria Math" w:cs="Cambria Math"/>
                </w:rPr>
                <m:t>,</m:t>
              </m:r>
              <m:r>
                <w:rPr>
                  <w:rFonts w:ascii="Times New Roman" w:eastAsia="Times New Roman" w:hAnsi="Times New Roman" w:cs="Times New Roman"/>
                </w:rPr>
                <m:t> </m:t>
              </m:r>
              <m:r>
                <w:rPr>
                  <w:rFonts w:ascii="Cambria Math" w:eastAsia="Cambria Math" w:hAnsi="Cambria Math" w:cs="Cambria Math"/>
                </w:rPr>
                <m:t>i</m:t>
              </m:r>
            </m:sub>
          </m:sSub>
          <m:r>
            <w:rPr>
              <w:rFonts w:ascii="Cambria Math" w:eastAsia="Cambria Math" w:hAnsi="Cambria Math" w:cs="Cambria Math"/>
            </w:rPr>
            <m:t>D</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Times New Roman" w:eastAsia="Times New Roman" w:hAnsi="Times New Roman" w:cs="Times New Roman"/>
                </w:rPr>
                <m:t>keydown</m:t>
              </m:r>
              <m:r>
                <w:rPr>
                  <w:rFonts w:ascii="Cambria Math" w:eastAsia="Cambria Math" w:hAnsi="Cambria Math" w:cs="Cambria Math"/>
                </w:rPr>
                <m:t>,</m:t>
              </m:r>
              <m:r>
                <w:rPr>
                  <w:rFonts w:ascii="Times New Roman" w:eastAsia="Times New Roman" w:hAnsi="Times New Roman" w:cs="Times New Roman"/>
                </w:rPr>
                <m:t> </m:t>
              </m:r>
              <m:r>
                <w:rPr>
                  <w:rFonts w:ascii="Cambria Math" w:eastAsia="Cambria Math" w:hAnsi="Cambria Math" w:cs="Cambria Math"/>
                </w:rPr>
                <m:t>i</m:t>
              </m:r>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Times New Roman" w:eastAsia="Times New Roman" w:hAnsi="Times New Roman" w:cs="Times New Roman"/>
                </w:rPr>
                <m:t>keydown</m:t>
              </m:r>
              <m:r>
                <w:rPr>
                  <w:rFonts w:ascii="Cambria Math" w:eastAsia="Cambria Math" w:hAnsi="Cambria Math" w:cs="Cambria Math"/>
                </w:rPr>
                <m:t>,</m:t>
              </m:r>
              <m:r>
                <w:rPr>
                  <w:rFonts w:ascii="Times New Roman" w:eastAsia="Times New Roman" w:hAnsi="Times New Roman" w:cs="Times New Roman"/>
                </w:rPr>
                <m:t> </m:t>
              </m:r>
              <m:r>
                <w:rPr>
                  <w:rFonts w:ascii="Cambria Math" w:eastAsia="Cambria Math" w:hAnsi="Cambria Math" w:cs="Cambria Math"/>
                </w:rPr>
                <m:t>i</m:t>
              </m:r>
            </m:sub>
          </m:sSub>
        </m:oMath>
      </m:oMathPara>
    </w:p>
    <w:p w14:paraId="51DD237C"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i</m:t>
        </m:r>
        <m:r>
          <w:rPr>
            <w:rFonts w:ascii="Cambria Math" w:eastAsia="Cambria Math" w:hAnsi="Cambria Math" w:cs="Cambria Math"/>
          </w:rPr>
          <m:t xml:space="preserve"> </m:t>
        </m:r>
      </m:oMath>
      <w:r>
        <w:rPr>
          <w:rFonts w:ascii="Times New Roman" w:eastAsia="Times New Roman" w:hAnsi="Times New Roman" w:cs="Times New Roman"/>
        </w:rPr>
        <w:t xml:space="preserve">indexes consecutive keystrokes. Additional variables include key-press intensity </w:t>
      </w:r>
      <m:oMath>
        <m:r>
          <w:rPr>
            <w:rFonts w:ascii="Cambria Math" w:eastAsia="Cambria Math" w:hAnsi="Cambria Math" w:cs="Cambria Math"/>
          </w:rPr>
          <m:t>KP</m:t>
        </m:r>
      </m:oMath>
      <w:r>
        <w:rPr>
          <w:rFonts w:ascii="Times New Roman" w:eastAsia="Times New Roman" w:hAnsi="Times New Roman" w:cs="Times New Roman"/>
        </w:rPr>
        <w:t xml:space="preserve">, error rate </w:t>
      </w:r>
      <m:oMath>
        <m:r>
          <w:rPr>
            <w:rFonts w:ascii="Cambria Math" w:eastAsia="Cambria Math" w:hAnsi="Cambria Math" w:cs="Cambria Math"/>
          </w:rPr>
          <m:t>ER</m:t>
        </m:r>
      </m:oMath>
      <w:r>
        <w:rPr>
          <w:rFonts w:ascii="Times New Roman" w:eastAsia="Times New Roman" w:hAnsi="Times New Roman" w:cs="Times New Roman"/>
        </w:rPr>
        <w:t xml:space="preserve">measured as the proportion of corrected keystrokes per 100 characters, and backspace pattern </w:t>
      </w:r>
      <m:oMath>
        <m:r>
          <w:rPr>
            <w:rFonts w:ascii="Cambria Math" w:eastAsia="Cambria Math" w:hAnsi="Cambria Math" w:cs="Cambria Math"/>
          </w:rPr>
          <m:t>BP</m:t>
        </m:r>
      </m:oMath>
      <w:r>
        <w:rPr>
          <w:rFonts w:ascii="Times New Roman" w:eastAsia="Times New Roman" w:hAnsi="Times New Roman" w:cs="Times New Roman"/>
        </w:rPr>
        <w:t>, which captures the temporal clustering of corrections (</w:t>
      </w:r>
      <w:r>
        <w:rPr>
          <w:rFonts w:ascii="Times New Roman" w:eastAsia="Times New Roman" w:hAnsi="Times New Roman" w:cs="Times New Roman"/>
        </w:rPr>
        <w:t xml:space="preserve">Kim et al., 2025). Digraphs and trigraphs are constructed as short sequences of consecutive </w:t>
      </w:r>
      <m:oMath>
        <m:r>
          <w:rPr>
            <w:rFonts w:ascii="Cambria Math" w:eastAsia="Cambria Math" w:hAnsi="Cambria Math" w:cs="Cambria Math"/>
          </w:rPr>
          <m:t>DD</m:t>
        </m:r>
        <m:r>
          <w:rPr>
            <w:rFonts w:ascii="Cambria Math" w:eastAsia="Cambria Math" w:hAnsi="Cambria Math" w:cs="Cambria Math"/>
          </w:rPr>
          <m:t xml:space="preserve"> </m:t>
        </m:r>
      </m:oMath>
      <w:r>
        <w:rPr>
          <w:rFonts w:ascii="Times New Roman" w:eastAsia="Times New Roman" w:hAnsi="Times New Roman" w:cs="Times New Roman"/>
        </w:rPr>
        <w:t xml:space="preserve">and </w:t>
      </w:r>
      <m:oMath>
        <m:r>
          <w:rPr>
            <w:rFonts w:ascii="Cambria Math" w:eastAsia="Cambria Math" w:hAnsi="Cambria Math" w:cs="Cambria Math"/>
          </w:rPr>
          <m:t>DT</m:t>
        </m:r>
        <m:r>
          <w:rPr>
            <w:rFonts w:ascii="Cambria Math" w:eastAsia="Cambria Math" w:hAnsi="Cambria Math" w:cs="Cambria Math"/>
          </w:rPr>
          <m:t xml:space="preserve"> </m:t>
        </m:r>
      </m:oMath>
      <w:r>
        <w:rPr>
          <w:rFonts w:ascii="Times New Roman" w:eastAsia="Times New Roman" w:hAnsi="Times New Roman" w:cs="Times New Roman"/>
        </w:rPr>
        <w:t>values, allowing the model to capture higher-order motor patterns associated with cognitive load and familiarity.</w:t>
      </w:r>
    </w:p>
    <w:p w14:paraId="2BA732A0"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Behavioral performance is evaluated </w:t>
      </w:r>
      <w:r>
        <w:rPr>
          <w:rFonts w:ascii="Times New Roman" w:eastAsia="Times New Roman" w:hAnsi="Times New Roman" w:cs="Times New Roman"/>
        </w:rPr>
        <w:t>using standard biometric metrics. The false acceptance rate (FAR) is the proportion of impostor attempts incorrectly accepted, while the false rejection rate (FRR) is the proportion of genuine attempts incorrectly rejected. The equal error rate (EER) is de</w:t>
      </w:r>
      <w:r>
        <w:rPr>
          <w:rFonts w:ascii="Times New Roman" w:eastAsia="Times New Roman" w:hAnsi="Times New Roman" w:cs="Times New Roman"/>
        </w:rPr>
        <w:t>fined at the operating threshold where FAR and FRR coincide:</w:t>
      </w:r>
    </w:p>
    <w:p w14:paraId="484DF127" w14:textId="77777777" w:rsidR="00372E14" w:rsidRDefault="00CC1D80">
      <w:pPr>
        <w:jc w:val="center"/>
        <w:rPr>
          <w:rFonts w:ascii="Cambria Math" w:eastAsia="Cambria Math" w:hAnsi="Cambria Math" w:cs="Cambria Math"/>
        </w:rPr>
      </w:pPr>
      <m:oMathPara>
        <m:oMath>
          <m:r>
            <w:rPr>
              <w:rFonts w:ascii="Times New Roman" w:eastAsia="Times New Roman" w:hAnsi="Times New Roman" w:cs="Times New Roman"/>
            </w:rPr>
            <w:lastRenderedPageBreak/>
            <m:t>EER</m:t>
          </m:r>
          <m:r>
            <w:rPr>
              <w:rFonts w:ascii="Cambria Math" w:eastAsia="Cambria Math" w:hAnsi="Cambria Math" w:cs="Cambria Math"/>
            </w:rPr>
            <m:t>=</m:t>
          </m:r>
          <m:f>
            <m:fPr>
              <m:ctrlPr>
                <w:rPr>
                  <w:rFonts w:ascii="Cambria Math" w:eastAsia="Cambria Math" w:hAnsi="Cambria Math" w:cs="Cambria Math"/>
                </w:rPr>
              </m:ctrlPr>
            </m:fPr>
            <m:num>
              <m:sSub>
                <m:sSubPr>
                  <m:ctrlPr>
                    <w:rPr>
                      <w:rFonts w:ascii="Times New Roman" w:eastAsia="Times New Roman" w:hAnsi="Times New Roman" w:cs="Times New Roman"/>
                    </w:rPr>
                  </m:ctrlPr>
                </m:sSubPr>
                <m:e>
                  <m:r>
                    <w:rPr>
                      <w:rFonts w:ascii="Times New Roman" w:eastAsia="Times New Roman" w:hAnsi="Times New Roman" w:cs="Times New Roman"/>
                    </w:rPr>
                    <m:t>FAR</m:t>
                  </m:r>
                </m:e>
                <m:sub>
                  <m:r>
                    <w:rPr>
                      <w:rFonts w:ascii="Times New Roman" w:eastAsia="Times New Roman" w:hAnsi="Times New Roman" w:cs="Times New Roman"/>
                    </w:rPr>
                    <m:t>t</m:t>
                  </m:r>
                  <m:r>
                    <w:rPr>
                      <w:rFonts w:ascii="Times New Roman" w:eastAsia="Times New Roman" w:hAnsi="Times New Roman" w:cs="Times New Roman"/>
                    </w:rPr>
                    <m:t>h</m:t>
                  </m:r>
                  <m:r>
                    <w:rPr>
                      <w:rFonts w:ascii="Times New Roman" w:eastAsia="Times New Roman" w:hAnsi="Times New Roman" w:cs="Times New Roman"/>
                    </w:rPr>
                    <m:t>res</m:t>
                  </m:r>
                  <m:r>
                    <w:rPr>
                      <w:rFonts w:ascii="Times New Roman" w:eastAsia="Times New Roman" w:hAnsi="Times New Roman" w:cs="Times New Roman"/>
                    </w:rPr>
                    <m:t>h</m:t>
                  </m:r>
                  <m:r>
                    <w:rPr>
                      <w:rFonts w:ascii="Times New Roman" w:eastAsia="Times New Roman" w:hAnsi="Times New Roman" w:cs="Times New Roman"/>
                    </w:rPr>
                    <m:t>old</m:t>
                  </m:r>
                </m:sub>
              </m:sSub>
              <m:r>
                <w:rPr>
                  <w:rFonts w:ascii="Cambria Math" w:eastAsia="Cambria Math" w:hAnsi="Cambria Math" w:cs="Cambria Math"/>
                </w:rPr>
                <m:t>+</m:t>
              </m:r>
              <m:sSub>
                <m:sSubPr>
                  <m:ctrlPr>
                    <w:rPr>
                      <w:rFonts w:ascii="Times New Roman" w:eastAsia="Times New Roman" w:hAnsi="Times New Roman" w:cs="Times New Roman"/>
                    </w:rPr>
                  </m:ctrlPr>
                </m:sSubPr>
                <m:e>
                  <m:r>
                    <w:rPr>
                      <w:rFonts w:ascii="Times New Roman" w:eastAsia="Times New Roman" w:hAnsi="Times New Roman" w:cs="Times New Roman"/>
                    </w:rPr>
                    <m:t>FRR</m:t>
                  </m:r>
                </m:e>
                <m:sub>
                  <m:r>
                    <w:rPr>
                      <w:rFonts w:ascii="Times New Roman" w:eastAsia="Times New Roman" w:hAnsi="Times New Roman" w:cs="Times New Roman"/>
                    </w:rPr>
                    <m:t>t</m:t>
                  </m:r>
                  <m:r>
                    <w:rPr>
                      <w:rFonts w:ascii="Times New Roman" w:eastAsia="Times New Roman" w:hAnsi="Times New Roman" w:cs="Times New Roman"/>
                    </w:rPr>
                    <m:t>h</m:t>
                  </m:r>
                  <m:r>
                    <w:rPr>
                      <w:rFonts w:ascii="Times New Roman" w:eastAsia="Times New Roman" w:hAnsi="Times New Roman" w:cs="Times New Roman"/>
                    </w:rPr>
                    <m:t>res</m:t>
                  </m:r>
                  <m:r>
                    <w:rPr>
                      <w:rFonts w:ascii="Times New Roman" w:eastAsia="Times New Roman" w:hAnsi="Times New Roman" w:cs="Times New Roman"/>
                    </w:rPr>
                    <m:t>h</m:t>
                  </m:r>
                  <m:r>
                    <w:rPr>
                      <w:rFonts w:ascii="Times New Roman" w:eastAsia="Times New Roman" w:hAnsi="Times New Roman" w:cs="Times New Roman"/>
                    </w:rPr>
                    <m:t>old</m:t>
                  </m:r>
                </m:sub>
              </m:sSub>
            </m:num>
            <m:den>
              <m:r>
                <w:rPr>
                  <w:rFonts w:ascii="Cambria Math" w:eastAsia="Cambria Math" w:hAnsi="Cambria Math" w:cs="Cambria Math"/>
                </w:rPr>
                <m:t>2</m:t>
              </m:r>
            </m:den>
          </m:f>
        </m:oMath>
      </m:oMathPara>
    </w:p>
    <w:p w14:paraId="71293484"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Drawing on contemporary keystroke-dynamics research, the model is calibrated toward EER values below 1%, FAR below 0.01%, and FRR below 2%, w</w:t>
      </w:r>
      <w:r>
        <w:rPr>
          <w:rFonts w:ascii="Times New Roman" w:eastAsia="Times New Roman" w:hAnsi="Times New Roman" w:cs="Times New Roman"/>
        </w:rPr>
        <w:t xml:space="preserve">ith overall authentication accuracy above 99% (Shrivastava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xml:space="preserve">, 2025; Kim et al., 2025). Receiver operating characteristic (ROC) curves and area-under-curve (AUC) statistics are used to assess discriminative performance across thresholds (Facia, </w:t>
      </w:r>
      <w:r>
        <w:rPr>
          <w:rFonts w:ascii="Times New Roman" w:eastAsia="Times New Roman" w:hAnsi="Times New Roman" w:cs="Times New Roman"/>
        </w:rPr>
        <w:t>2024).</w:t>
      </w:r>
    </w:p>
    <w:p w14:paraId="54D09381"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Linguistic and stylistic profiling complements keystroke modeling. For each communication session, a linguistic profile vector is constructed with components such as vocabulary profile, sentence length, word-frequency distribution, punctuation inten</w:t>
      </w:r>
      <w:r>
        <w:rPr>
          <w:rFonts w:ascii="Times New Roman" w:eastAsia="Times New Roman" w:hAnsi="Times New Roman" w:cs="Times New Roman"/>
        </w:rPr>
        <w:t xml:space="preserve">sity, and topic persistence (Mendelson et al., 2023). The average sentence length </w:t>
      </w:r>
      <m:oMath>
        <m:r>
          <w:rPr>
            <w:rFonts w:ascii="Cambria Math" w:eastAsia="Cambria Math" w:hAnsi="Cambria Math" w:cs="Cambria Math"/>
          </w:rPr>
          <m:t>L</m:t>
        </m:r>
        <m:r>
          <w:rPr>
            <w:rFonts w:ascii="Cambria Math" w:hAnsi="Cambria Math"/>
          </w:rPr>
          <m:t>ˉ</m:t>
        </m:r>
      </m:oMath>
      <w:r>
        <w:rPr>
          <w:rFonts w:ascii="Times New Roman" w:eastAsia="Times New Roman" w:hAnsi="Times New Roman" w:cs="Times New Roman"/>
        </w:rPr>
        <w:t>is computed as:</w:t>
      </w:r>
    </w:p>
    <w:p w14:paraId="60B796E6" w14:textId="77777777" w:rsidR="00372E14" w:rsidRDefault="00CC1D80">
      <w:pPr>
        <w:jc w:val="center"/>
        <w:rPr>
          <w:rFonts w:ascii="Cambria Math" w:eastAsia="Cambria Math" w:hAnsi="Cambria Math" w:cs="Cambria Math"/>
        </w:rPr>
      </w:pPr>
      <m:oMathPara>
        <m:oMath>
          <m:r>
            <w:rPr>
              <w:rFonts w:ascii="Cambria Math" w:eastAsia="Cambria Math" w:hAnsi="Cambria Math" w:cs="Cambria Math"/>
            </w:rPr>
            <m:t>L</m:t>
          </m:r>
          <m:r>
            <w:rPr>
              <w:rFonts w:ascii="Cambria Math" w:hAnsi="Cambria Math"/>
            </w:rPr>
            <m:t>ˉ</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den>
          </m:f>
          <m:nary>
            <m:naryPr>
              <m:chr m:val="∑"/>
              <m:ctrlPr>
                <w:rPr>
                  <w:rFonts w:ascii="Cambria Math" w:eastAsia="Cambria Math" w:hAnsi="Cambria Math" w:cs="Cambria Math"/>
                </w:rPr>
              </m:ctrlPr>
            </m:naryPr>
            <m:sub>
              <m:r>
                <w:rPr>
                  <w:rFonts w:ascii="Cambria Math" w:eastAsia="Cambria Math" w:hAnsi="Cambria Math" w:cs="Cambria Math"/>
                </w:rPr>
                <m:t>i</m:t>
              </m:r>
              <m:r>
                <w:rPr>
                  <w:rFonts w:ascii="Cambria Math" w:eastAsia="Cambria Math" w:hAnsi="Cambria Math" w:cs="Cambria Math"/>
                </w:rPr>
                <m:t>=1</m:t>
              </m:r>
            </m:sub>
            <m:sup>
              <m:r>
                <w:rPr>
                  <w:rFonts w:ascii="Cambria Math" w:eastAsia="Cambria Math" w:hAnsi="Cambria Math" w:cs="Cambria Math"/>
                </w:rPr>
                <m:t>n</m:t>
              </m:r>
            </m:sup>
            <m:e/>
          </m:nary>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i</m:t>
              </m:r>
            </m:sub>
          </m:sSub>
        </m:oMath>
      </m:oMathPara>
    </w:p>
    <w:p w14:paraId="7E24E9FD"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i</m:t>
            </m:r>
          </m:sub>
        </m:sSub>
      </m:oMath>
      <w:r>
        <w:rPr>
          <w:rFonts w:ascii="Times New Roman" w:eastAsia="Times New Roman" w:hAnsi="Times New Roman" w:cs="Times New Roman"/>
        </w:rPr>
        <w:t xml:space="preserve">is the number of words in sentence </w:t>
      </w:r>
      <m:oMath>
        <m:r>
          <w:rPr>
            <w:rFonts w:ascii="Cambria Math" w:eastAsia="Cambria Math" w:hAnsi="Cambria Math" w:cs="Cambria Math"/>
          </w:rPr>
          <m:t>i</m:t>
        </m:r>
      </m:oMath>
      <w:r>
        <w:rPr>
          <w:rFonts w:ascii="Times New Roman" w:eastAsia="Times New Roman" w:hAnsi="Times New Roman" w:cs="Times New Roman"/>
        </w:rPr>
        <w:t xml:space="preserve">and </w:t>
      </w:r>
      <m:oMath>
        <m:r>
          <w:rPr>
            <w:rFonts w:ascii="Cambria Math" w:eastAsia="Cambria Math" w:hAnsi="Cambria Math" w:cs="Cambria Math"/>
          </w:rPr>
          <m:t>n</m:t>
        </m:r>
      </m:oMath>
      <w:r>
        <w:rPr>
          <w:rFonts w:ascii="Times New Roman" w:eastAsia="Times New Roman" w:hAnsi="Times New Roman" w:cs="Times New Roman"/>
        </w:rPr>
        <w:t xml:space="preserve">is the number of </w:t>
      </w:r>
      <w:proofErr w:type="gramStart"/>
      <w:r>
        <w:rPr>
          <w:rFonts w:ascii="Times New Roman" w:eastAsia="Times New Roman" w:hAnsi="Times New Roman" w:cs="Times New Roman"/>
        </w:rPr>
        <w:t>sentences.</w:t>
      </w:r>
      <w:proofErr w:type="gramEnd"/>
      <w:r>
        <w:rPr>
          <w:rFonts w:ascii="Times New Roman" w:eastAsia="Times New Roman" w:hAnsi="Times New Roman" w:cs="Times New Roman"/>
        </w:rPr>
        <w:t xml:space="preserve"> Lexical diversity is approximated by the ratio of unique</w:t>
      </w:r>
      <w:r>
        <w:rPr>
          <w:rFonts w:ascii="Times New Roman" w:eastAsia="Times New Roman" w:hAnsi="Times New Roman" w:cs="Times New Roman"/>
        </w:rPr>
        <w:t xml:space="preserve"> word types to total tokens:</w:t>
      </w:r>
    </w:p>
    <w:p w14:paraId="69319973" w14:textId="77777777" w:rsidR="00372E14" w:rsidRDefault="00CC1D80">
      <w:pPr>
        <w:jc w:val="center"/>
        <w:rPr>
          <w:rFonts w:ascii="Times New Roman" w:eastAsia="Times New Roman" w:hAnsi="Times New Roman" w:cs="Times New Roman"/>
        </w:rPr>
      </w:pPr>
      <m:oMathPara>
        <m:oMath>
          <m:r>
            <w:rPr>
              <w:rFonts w:ascii="Times New Roman" w:eastAsia="Times New Roman" w:hAnsi="Times New Roman" w:cs="Times New Roman"/>
            </w:rPr>
            <m:t>Lexical</m:t>
          </m:r>
          <m:r>
            <w:rPr>
              <w:rFonts w:ascii="Times New Roman" w:eastAsia="Times New Roman" w:hAnsi="Times New Roman" w:cs="Times New Roman"/>
            </w:rPr>
            <m:t xml:space="preserve"> </m:t>
          </m:r>
          <m:r>
            <w:rPr>
              <w:rFonts w:ascii="Times New Roman" w:eastAsia="Times New Roman" w:hAnsi="Times New Roman" w:cs="Times New Roman"/>
            </w:rPr>
            <m:t>Diversity</m:t>
          </m:r>
          <m:r>
            <w:rPr>
              <w:rFonts w:ascii="Cambria Math" w:eastAsia="Cambria Math" w:hAnsi="Cambria Math" w:cs="Cambria Math"/>
            </w:rPr>
            <m:t>=</m:t>
          </m:r>
          <m:f>
            <m:fPr>
              <m:ctrlPr>
                <w:rPr>
                  <w:rFonts w:ascii="Times New Roman" w:eastAsia="Times New Roman" w:hAnsi="Times New Roman" w:cs="Times New Roman"/>
                </w:rPr>
              </m:ctrlPr>
            </m:fPr>
            <m:num>
              <m:r>
                <w:rPr>
                  <w:rFonts w:ascii="Times New Roman" w:eastAsia="Times New Roman" w:hAnsi="Times New Roman" w:cs="Times New Roman"/>
                </w:rPr>
                <m:t>Unique</m:t>
              </m:r>
              <m:r>
                <w:rPr>
                  <w:rFonts w:ascii="Times New Roman" w:eastAsia="Times New Roman" w:hAnsi="Times New Roman" w:cs="Times New Roman"/>
                </w:rPr>
                <m:t xml:space="preserve"> </m:t>
              </m:r>
              <m:r>
                <w:rPr>
                  <w:rFonts w:ascii="Times New Roman" w:eastAsia="Times New Roman" w:hAnsi="Times New Roman" w:cs="Times New Roman"/>
                </w:rPr>
                <m:t>Words</m:t>
              </m:r>
            </m:num>
            <m:den>
              <m:r>
                <w:rPr>
                  <w:rFonts w:ascii="Times New Roman" w:eastAsia="Times New Roman" w:hAnsi="Times New Roman" w:cs="Times New Roman"/>
                </w:rPr>
                <m:t>Total</m:t>
              </m:r>
              <m:r>
                <w:rPr>
                  <w:rFonts w:ascii="Times New Roman" w:eastAsia="Times New Roman" w:hAnsi="Times New Roman" w:cs="Times New Roman"/>
                </w:rPr>
                <m:t xml:space="preserve"> </m:t>
              </m:r>
              <m:r>
                <w:rPr>
                  <w:rFonts w:ascii="Times New Roman" w:eastAsia="Times New Roman" w:hAnsi="Times New Roman" w:cs="Times New Roman"/>
                </w:rPr>
                <m:t>Words</m:t>
              </m:r>
            </m:den>
          </m:f>
        </m:oMath>
      </m:oMathPara>
    </w:p>
    <w:p w14:paraId="2ED8CB70"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A composite communication-style score is then obtained as a weighted linear combination:</w:t>
      </w:r>
    </w:p>
    <w:p w14:paraId="4E01486D" w14:textId="77777777" w:rsidR="00372E14" w:rsidRDefault="00CC1D80">
      <w:pPr>
        <w:jc w:val="center"/>
        <w:rPr>
          <w:rFonts w:ascii="Cambria Math" w:eastAsia="Cambria Math" w:hAnsi="Cambria Math" w:cs="Cambria Math"/>
        </w:rPr>
      </w:pPr>
      <m:oMathPara>
        <m:oMath>
          <m:r>
            <w:rPr>
              <w:rFonts w:ascii="Times New Roman" w:eastAsia="Times New Roman" w:hAnsi="Times New Roman" w:cs="Times New Roman"/>
            </w:rPr>
            <m:t>Style</m:t>
          </m:r>
          <m:r>
            <w:rPr>
              <w:rFonts w:ascii="Times New Roman" w:eastAsia="Times New Roman" w:hAnsi="Times New Roman" w:cs="Times New Roman"/>
            </w:rPr>
            <m:t xml:space="preserve"> </m:t>
          </m:r>
          <m:r>
            <w:rPr>
              <w:rFonts w:ascii="Times New Roman" w:eastAsia="Times New Roman" w:hAnsi="Times New Roman" w:cs="Times New Roman"/>
            </w:rPr>
            <m:t>Score</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1</m:t>
              </m:r>
            </m:sub>
          </m:sSub>
          <m:r>
            <w:rPr>
              <w:rFonts w:ascii="Cambria Math" w:eastAsia="Cambria Math" w:hAnsi="Cambria Math" w:cs="Cambria Math"/>
            </w:rPr>
            <m:t>⋅</m:t>
          </m:r>
          <m:r>
            <w:rPr>
              <w:rFonts w:ascii="Cambria Math" w:eastAsia="Cambria Math" w:hAnsi="Cambria Math" w:cs="Cambria Math"/>
            </w:rPr>
            <m:t>VP</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2</m:t>
              </m:r>
            </m:sub>
          </m:sSub>
          <m:r>
            <w:rPr>
              <w:rFonts w:ascii="Cambria Math" w:eastAsia="Cambria Math" w:hAnsi="Cambria Math" w:cs="Cambria Math"/>
            </w:rPr>
            <m:t>⋅</m:t>
          </m:r>
          <m:r>
            <w:rPr>
              <w:rFonts w:ascii="Cambria Math" w:eastAsia="Cambria Math" w:hAnsi="Cambria Math" w:cs="Cambria Math"/>
            </w:rPr>
            <m:t>L</m:t>
          </m:r>
          <m:r>
            <w:rPr>
              <w:rFonts w:ascii="Cambria Math" w:hAnsi="Cambria Math"/>
            </w:rPr>
            <m:t>ˉ</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3</m:t>
              </m:r>
            </m:sub>
          </m:sSub>
          <m:r>
            <w:rPr>
              <w:rFonts w:ascii="Cambria Math" w:eastAsia="Cambria Math" w:hAnsi="Cambria Math" w:cs="Cambria Math"/>
            </w:rPr>
            <m:t>⋅</m:t>
          </m:r>
          <m:r>
            <w:rPr>
              <w:rFonts w:ascii="Cambria Math" w:eastAsia="Cambria Math" w:hAnsi="Cambria Math" w:cs="Cambria Math"/>
            </w:rPr>
            <m:t>WF</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4</m:t>
              </m:r>
            </m:sub>
          </m:sSub>
          <m:r>
            <w:rPr>
              <w:rFonts w:ascii="Cambria Math" w:eastAsia="Cambria Math" w:hAnsi="Cambria Math" w:cs="Cambria Math"/>
            </w:rPr>
            <m:t>⋅</m:t>
          </m:r>
          <m:r>
            <w:rPr>
              <w:rFonts w:ascii="Cambria Math" w:eastAsia="Cambria Math" w:hAnsi="Cambria Math" w:cs="Cambria Math"/>
            </w:rPr>
            <m:t>PI</m:t>
          </m:r>
        </m:oMath>
      </m:oMathPara>
    </w:p>
    <w:p w14:paraId="2244550B"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wh</w:t>
      </w:r>
      <w:r>
        <w:rPr>
          <w:rFonts w:ascii="Times New Roman" w:eastAsia="Times New Roman" w:hAnsi="Times New Roman" w:cs="Times New Roman"/>
        </w:rPr>
        <w:t xml:space="preserve">ere </w:t>
      </w:r>
      <m:oMath>
        <m:r>
          <w:rPr>
            <w:rFonts w:ascii="Cambria Math" w:eastAsia="Cambria Math" w:hAnsi="Cambria Math" w:cs="Cambria Math"/>
          </w:rPr>
          <m:t>VP</m:t>
        </m:r>
      </m:oMath>
      <w:r>
        <w:rPr>
          <w:rFonts w:ascii="Times New Roman" w:eastAsia="Times New Roman" w:hAnsi="Times New Roman" w:cs="Times New Roman"/>
        </w:rPr>
        <w:t xml:space="preserve">denotes vocabulary profile, </w:t>
      </w:r>
      <m:oMath>
        <m:r>
          <w:rPr>
            <w:rFonts w:ascii="Cambria Math" w:eastAsia="Cambria Math" w:hAnsi="Cambria Math" w:cs="Cambria Math"/>
          </w:rPr>
          <m:t>WF</m:t>
        </m:r>
      </m:oMath>
      <w:r>
        <w:rPr>
          <w:rFonts w:ascii="Times New Roman" w:eastAsia="Times New Roman" w:hAnsi="Times New Roman" w:cs="Times New Roman"/>
        </w:rPr>
        <w:t xml:space="preserve">word-frequency features, </w:t>
      </w:r>
      <m:oMath>
        <m:r>
          <w:rPr>
            <w:rFonts w:ascii="Cambria Math" w:eastAsia="Cambria Math" w:hAnsi="Cambria Math" w:cs="Cambria Math"/>
          </w:rPr>
          <m:t>PI</m:t>
        </m:r>
      </m:oMath>
      <w:r>
        <w:rPr>
          <w:rFonts w:ascii="Times New Roman" w:eastAsia="Times New Roman" w:hAnsi="Times New Roman" w:cs="Times New Roman"/>
        </w:rPr>
        <w:t xml:space="preserve">punctuation intensity, and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4</m:t>
            </m:r>
          </m:sub>
        </m:sSub>
      </m:oMath>
      <w:r>
        <w:rPr>
          <w:rFonts w:ascii="Times New Roman" w:eastAsia="Times New Roman" w:hAnsi="Times New Roman" w:cs="Times New Roman"/>
        </w:rPr>
        <w:t>are weights learned via logistic regression to maximize separation between authentic and impersonated samples (Kim et al., 2025).</w:t>
      </w:r>
    </w:p>
    <w:p w14:paraId="327F3980"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Interaction-timing features capture response latencies, inter-message intervals, and temporal usage distributions. The cumulative distribution of response times </w:t>
      </w:r>
      <m:oMath>
        <m:r>
          <w:rPr>
            <w:rFonts w:ascii="Cambria Math" w:eastAsia="Cambria Math" w:hAnsi="Cambria Math" w:cs="Cambria Math"/>
          </w:rPr>
          <m:t>RT</m:t>
        </m:r>
      </m:oMath>
      <w:r>
        <w:rPr>
          <w:rFonts w:ascii="Times New Roman" w:eastAsia="Times New Roman" w:hAnsi="Times New Roman" w:cs="Times New Roman"/>
        </w:rPr>
        <w:t>is modeled as:</w:t>
      </w:r>
    </w:p>
    <w:p w14:paraId="55CDA74F" w14:textId="77777777" w:rsidR="00372E14" w:rsidRDefault="00CC1D80">
      <w:pPr>
        <w:jc w:val="center"/>
        <w:rPr>
          <w:rFonts w:ascii="Times New Roman" w:eastAsia="Times New Roman" w:hAnsi="Times New Roman" w:cs="Times New Roman"/>
        </w:rPr>
      </w:pPr>
      <m:oMathPara>
        <m:oMath>
          <m:sSub>
            <m:sSubPr>
              <m:ctrlPr>
                <w:rPr>
                  <w:rFonts w:ascii="Cambria Math" w:eastAsia="Cambria Math" w:hAnsi="Cambria Math" w:cs="Cambria Math"/>
                </w:rPr>
              </m:ctrlPr>
            </m:sSubPr>
            <m:e>
              <m:r>
                <w:rPr>
                  <w:rFonts w:ascii="Times New Roman" w:eastAsia="Times New Roman" w:hAnsi="Times New Roman" w:cs="Times New Roman"/>
                </w:rPr>
                <m:t>CDF</m:t>
              </m:r>
            </m:e>
            <m:sub>
              <m:r>
                <w:rPr>
                  <w:rFonts w:ascii="Cambria Math" w:eastAsia="Cambria Math" w:hAnsi="Cambria Math" w:cs="Cambria Math"/>
                </w:rPr>
                <m:t>RT</m:t>
              </m:r>
            </m:sub>
          </m:sSub>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r>
            <w:rPr>
              <w:rFonts w:ascii="Cambria Math" w:eastAsia="Cambria Math" w:hAnsi="Cambria Math" w:cs="Cambria Math"/>
            </w:rPr>
            <m:t>P</m:t>
          </m:r>
          <m:r>
            <w:rPr>
              <w:rFonts w:ascii="Cambria Math" w:eastAsia="Cambria Math" w:hAnsi="Cambria Math" w:cs="Cambria Math"/>
            </w:rPr>
            <m:t>(</m:t>
          </m:r>
          <m:r>
            <w:rPr>
              <w:rFonts w:ascii="Cambria Math" w:eastAsia="Cambria Math" w:hAnsi="Cambria Math" w:cs="Cambria Math"/>
            </w:rPr>
            <m:t>RT</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f>
            <m:fPr>
              <m:ctrlPr>
                <w:rPr>
                  <w:rFonts w:ascii="Times New Roman" w:eastAsia="Times New Roman" w:hAnsi="Times New Roman" w:cs="Times New Roman"/>
                </w:rPr>
              </m:ctrlPr>
            </m:fPr>
            <m:num>
              <m:r>
                <w:rPr>
                  <w:rFonts w:ascii="Times New Roman" w:eastAsia="Times New Roman" w:hAnsi="Times New Roman" w:cs="Times New Roman"/>
                </w:rPr>
                <m:t>Number</m:t>
              </m:r>
              <m:r>
                <w:rPr>
                  <w:rFonts w:ascii="Times New Roman" w:eastAsia="Times New Roman" w:hAnsi="Times New Roman" w:cs="Times New Roman"/>
                </w:rPr>
                <m:t xml:space="preserve"> </m:t>
              </m:r>
              <m:r>
                <w:rPr>
                  <w:rFonts w:ascii="Times New Roman" w:eastAsia="Times New Roman" w:hAnsi="Times New Roman" w:cs="Times New Roman"/>
                </w:rPr>
                <m:t>of</m:t>
              </m:r>
              <m:r>
                <w:rPr>
                  <w:rFonts w:ascii="Times New Roman" w:eastAsia="Times New Roman" w:hAnsi="Times New Roman" w:cs="Times New Roman"/>
                </w:rPr>
                <m:t xml:space="preserve"> </m:t>
              </m:r>
              <m:r>
                <w:rPr>
                  <w:rFonts w:ascii="Times New Roman" w:eastAsia="Times New Roman" w:hAnsi="Times New Roman" w:cs="Times New Roman"/>
                </w:rPr>
                <m:t>responses</m:t>
              </m:r>
              <m:r>
                <w:rPr>
                  <w:rFonts w:ascii="Times New Roman" w:eastAsia="Times New Roman" w:hAnsi="Times New Roman" w:cs="Times New Roman"/>
                </w:rPr>
                <m:t xml:space="preserve"> </m:t>
              </m:r>
              <m:r>
                <w:rPr>
                  <w:rFonts w:ascii="Times New Roman" w:eastAsia="Times New Roman" w:hAnsi="Times New Roman" w:cs="Times New Roman"/>
                </w:rPr>
                <m:t>wit</m:t>
              </m:r>
              <m:r>
                <w:rPr>
                  <w:rFonts w:ascii="Times New Roman" w:eastAsia="Times New Roman" w:hAnsi="Times New Roman" w:cs="Times New Roman"/>
                </w:rPr>
                <m:t xml:space="preserve">h </m:t>
              </m:r>
              <m:r>
                <w:rPr>
                  <w:rFonts w:ascii="Cambria Math" w:eastAsia="Cambria Math" w:hAnsi="Cambria Math" w:cs="Cambria Math"/>
                </w:rPr>
                <m:t>RT</m:t>
              </m:r>
              <m:r>
                <w:rPr>
                  <w:rFonts w:ascii="Cambria Math" w:eastAsia="Cambria Math" w:hAnsi="Cambria Math" w:cs="Cambria Math"/>
                </w:rPr>
                <m:t>≤</m:t>
              </m:r>
              <m:r>
                <w:rPr>
                  <w:rFonts w:ascii="Cambria Math" w:eastAsia="Cambria Math" w:hAnsi="Cambria Math" w:cs="Cambria Math"/>
                </w:rPr>
                <m:t>t</m:t>
              </m:r>
            </m:num>
            <m:den>
              <m:r>
                <w:rPr>
                  <w:rFonts w:ascii="Times New Roman" w:eastAsia="Times New Roman" w:hAnsi="Times New Roman" w:cs="Times New Roman"/>
                </w:rPr>
                <m:t>Total</m:t>
              </m:r>
              <m:r>
                <w:rPr>
                  <w:rFonts w:ascii="Times New Roman" w:eastAsia="Times New Roman" w:hAnsi="Times New Roman" w:cs="Times New Roman"/>
                </w:rPr>
                <m:t xml:space="preserve"> </m:t>
              </m:r>
              <m:r>
                <w:rPr>
                  <w:rFonts w:ascii="Times New Roman" w:eastAsia="Times New Roman" w:hAnsi="Times New Roman" w:cs="Times New Roman"/>
                </w:rPr>
                <m:t>number</m:t>
              </m:r>
              <m:r>
                <w:rPr>
                  <w:rFonts w:ascii="Times New Roman" w:eastAsia="Times New Roman" w:hAnsi="Times New Roman" w:cs="Times New Roman"/>
                </w:rPr>
                <m:t xml:space="preserve"> </m:t>
              </m:r>
              <m:r>
                <w:rPr>
                  <w:rFonts w:ascii="Times New Roman" w:eastAsia="Times New Roman" w:hAnsi="Times New Roman" w:cs="Times New Roman"/>
                </w:rPr>
                <m:t>of</m:t>
              </m:r>
              <m:r>
                <w:rPr>
                  <w:rFonts w:ascii="Times New Roman" w:eastAsia="Times New Roman" w:hAnsi="Times New Roman" w:cs="Times New Roman"/>
                </w:rPr>
                <m:t xml:space="preserve"> </m:t>
              </m:r>
              <m:r>
                <w:rPr>
                  <w:rFonts w:ascii="Times New Roman" w:eastAsia="Times New Roman" w:hAnsi="Times New Roman" w:cs="Times New Roman"/>
                </w:rPr>
                <m:t>responses</m:t>
              </m:r>
            </m:den>
          </m:f>
        </m:oMath>
      </m:oMathPara>
    </w:p>
    <w:p w14:paraId="4D986A4C"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allowing deviations from an executive’s characteristic temporal rhythm to be flagged as suspicious.</w:t>
      </w:r>
    </w:p>
    <w:p w14:paraId="6B32D553" w14:textId="77777777" w:rsidR="00372E14" w:rsidRDefault="00CC1D80">
      <w:pPr>
        <w:numPr>
          <w:ilvl w:val="0"/>
          <w:numId w:val="2"/>
        </w:numPr>
        <w:pBdr>
          <w:top w:val="nil"/>
          <w:left w:val="nil"/>
          <w:bottom w:val="nil"/>
          <w:right w:val="nil"/>
          <w:between w:val="nil"/>
        </w:pBdr>
        <w:spacing w:line="360" w:lineRule="auto"/>
        <w:jc w:val="both"/>
        <w:rPr>
          <w:color w:val="000000"/>
        </w:rPr>
      </w:pPr>
      <w:r>
        <w:rPr>
          <w:rFonts w:ascii="Times New Roman" w:eastAsia="Times New Roman" w:hAnsi="Times New Roman" w:cs="Times New Roman"/>
          <w:i/>
          <w:iCs/>
          <w:color w:val="000000"/>
        </w:rPr>
        <w:lastRenderedPageBreak/>
        <w:t>Cognitive-decision signature extraction</w:t>
      </w:r>
    </w:p>
    <w:p w14:paraId="182ECAB0"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Cognitive profiling focuses on what decisions are taken and h</w:t>
      </w:r>
      <w:r>
        <w:rPr>
          <w:rFonts w:ascii="Times New Roman" w:eastAsia="Times New Roman" w:hAnsi="Times New Roman" w:cs="Times New Roman"/>
        </w:rPr>
        <w:t xml:space="preserve">ow consistently they align with an executive’s historical patterns, risk appetite, and strategic objectives. A decision vector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r>
              <w:rPr>
                <w:rFonts w:ascii="Cambria Math" w:eastAsia="Cambria Math" w:hAnsi="Cambria Math" w:cs="Cambria Math"/>
              </w:rPr>
              <m:t>,</m:t>
            </m:r>
            <m:r>
              <w:rPr>
                <w:rFonts w:ascii="Cambria Math" w:eastAsia="Cambria Math" w:hAnsi="Cambria Math" w:cs="Cambria Math"/>
              </w:rPr>
              <m:t>j</m:t>
            </m:r>
          </m:sub>
        </m:sSub>
      </m:oMath>
      <w:r>
        <w:rPr>
          <w:rFonts w:ascii="Times New Roman" w:eastAsia="Times New Roman" w:hAnsi="Times New Roman" w:cs="Times New Roman"/>
        </w:rPr>
        <w:t xml:space="preserve">represents the decision made in context </w:t>
      </w:r>
      <m:oMath>
        <m:r>
          <w:rPr>
            <w:rFonts w:ascii="Cambria Math" w:eastAsia="Cambria Math" w:hAnsi="Cambria Math" w:cs="Cambria Math"/>
          </w:rPr>
          <m:t>i</m:t>
        </m:r>
      </m:oMath>
      <w:r>
        <w:rPr>
          <w:rFonts w:ascii="Times New Roman" w:eastAsia="Times New Roman" w:hAnsi="Times New Roman" w:cs="Times New Roman"/>
        </w:rPr>
        <w:t xml:space="preserve">under parameterization </w:t>
      </w:r>
      <m:oMath>
        <m:r>
          <w:rPr>
            <w:rFonts w:ascii="Cambria Math" w:eastAsia="Cambria Math" w:hAnsi="Cambria Math" w:cs="Cambria Math"/>
          </w:rPr>
          <m:t>j</m:t>
        </m:r>
      </m:oMath>
      <w:r>
        <w:rPr>
          <w:rFonts w:ascii="Times New Roman" w:eastAsia="Times New Roman" w:hAnsi="Times New Roman" w:cs="Times New Roman"/>
        </w:rPr>
        <w:t xml:space="preserve">, normalized to a 0–1 scale across relevant attributes </w:t>
      </w:r>
      <w:r>
        <w:rPr>
          <w:rFonts w:ascii="Times New Roman" w:eastAsia="Times New Roman" w:hAnsi="Times New Roman" w:cs="Times New Roman"/>
        </w:rPr>
        <w:t>(Mendelson et al., 2023). These vectors form a decision matrix, from which a decision-making consistency score is computed as:</w:t>
      </w:r>
    </w:p>
    <w:p w14:paraId="56228D64" w14:textId="77777777" w:rsidR="00372E14" w:rsidRDefault="00CC1D80">
      <w:pPr>
        <w:jc w:val="center"/>
        <w:rPr>
          <w:rFonts w:ascii="Cambria Math" w:eastAsia="Cambria Math" w:hAnsi="Cambria Math" w:cs="Cambria Math"/>
        </w:rPr>
      </w:pPr>
      <m:oMathPara>
        <m:oMath>
          <m:r>
            <w:rPr>
              <w:rFonts w:ascii="Times New Roman" w:eastAsia="Times New Roman" w:hAnsi="Times New Roman" w:cs="Times New Roman"/>
            </w:rPr>
            <m:t>DMCS</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1</m:t>
              </m:r>
            </m:den>
          </m:f>
          <m:nary>
            <m:naryPr>
              <m:chr m:val="∑"/>
              <m:ctrlPr>
                <w:rPr>
                  <w:rFonts w:ascii="Cambria Math" w:eastAsia="Cambria Math" w:hAnsi="Cambria Math" w:cs="Cambria Math"/>
                </w:rPr>
              </m:ctrlPr>
            </m:naryPr>
            <m:sub>
              <m:r>
                <w:rPr>
                  <w:rFonts w:ascii="Cambria Math" w:eastAsia="Cambria Math" w:hAnsi="Cambria Math" w:cs="Cambria Math"/>
                </w:rPr>
                <m:t>i</m:t>
              </m:r>
              <m:r>
                <w:rPr>
                  <w:rFonts w:ascii="Cambria Math" w:eastAsia="Cambria Math" w:hAnsi="Cambria Math" w:cs="Cambria Math"/>
                </w:rPr>
                <m:t>=1</m:t>
              </m:r>
            </m:sub>
            <m:sup>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1</m:t>
              </m:r>
            </m:sup>
            <m:e/>
          </m:nary>
          <m:d>
            <m:dPr>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d</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r>
                        <w:rPr>
                          <w:rFonts w:ascii="Cambria Math" w:eastAsia="Cambria Math" w:hAnsi="Cambria Math" w:cs="Cambria Math"/>
                        </w:rPr>
                        <m:t>+1</m:t>
                      </m:r>
                    </m:sub>
                  </m:sSub>
                  <m:r>
                    <w:rPr>
                      <w:rFonts w:ascii="Cambria Math" w:eastAsia="Cambria Math" w:hAnsi="Cambria Math" w:cs="Cambria Math"/>
                    </w:rPr>
                    <m:t>)</m:t>
                  </m:r>
                </m:num>
                <m:den>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max</m:t>
                      </m:r>
                    </m:sub>
                  </m:sSub>
                </m:den>
              </m:f>
            </m:e>
          </m:d>
        </m:oMath>
      </m:oMathPara>
    </w:p>
    <w:p w14:paraId="06970BCD"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d</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r>
              <w:rPr>
                <w:rFonts w:ascii="Cambria Math" w:eastAsia="Cambria Math" w:hAnsi="Cambria Math" w:cs="Cambria Math"/>
              </w:rPr>
              <m:t>+1</m:t>
            </m:r>
          </m:sub>
        </m:sSub>
        <m:r>
          <w:rPr>
            <w:rFonts w:ascii="Cambria Math" w:eastAsia="Cambria Math" w:hAnsi="Cambria Math" w:cs="Cambria Math"/>
          </w:rPr>
          <m:t>)</m:t>
        </m:r>
      </m:oMath>
      <w:r>
        <w:rPr>
          <w:rFonts w:ascii="Times New Roman" w:eastAsia="Times New Roman" w:hAnsi="Times New Roman" w:cs="Times New Roman"/>
        </w:rPr>
        <w:t xml:space="preserve">is the Euclidean distance between consecutive decisions and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max</m:t>
            </m:r>
          </m:sub>
        </m:sSub>
      </m:oMath>
      <w:r>
        <w:rPr>
          <w:rFonts w:ascii="Times New Roman" w:eastAsia="Times New Roman" w:hAnsi="Times New Roman" w:cs="Times New Roman"/>
        </w:rPr>
        <w:t xml:space="preserve">is the maximum possible </w:t>
      </w:r>
      <w:proofErr w:type="gramStart"/>
      <w:r>
        <w:rPr>
          <w:rFonts w:ascii="Times New Roman" w:eastAsia="Times New Roman" w:hAnsi="Times New Roman" w:cs="Times New Roman"/>
        </w:rPr>
        <w:t>distance.</w:t>
      </w:r>
      <w:proofErr w:type="gramEnd"/>
      <w:r>
        <w:rPr>
          <w:rFonts w:ascii="Times New Roman" w:eastAsia="Times New Roman" w:hAnsi="Times New Roman" w:cs="Times New Roman"/>
        </w:rPr>
        <w:t xml:space="preserve"> Values of DMCS close to 1 indicate stable decision patterns, whereas abrupt shifts are interpreted as potential cognitive impersonation events.</w:t>
      </w:r>
    </w:p>
    <w:p w14:paraId="6BAC5C1C"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Risk appetite is profiled by aggregating binary indicators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k</m:t>
            </m:r>
          </m:sub>
        </m:sSub>
      </m:oMath>
      <w:r>
        <w:rPr>
          <w:rFonts w:ascii="Times New Roman" w:eastAsia="Times New Roman" w:hAnsi="Times New Roman" w:cs="Times New Roman"/>
        </w:rPr>
        <w:t>of risk</w:t>
      </w:r>
      <w:r>
        <w:rPr>
          <w:rFonts w:ascii="Times New Roman" w:eastAsia="Times New Roman" w:hAnsi="Times New Roman" w:cs="Times New Roman"/>
        </w:rPr>
        <w:t xml:space="preserve">-taking for decisions </w:t>
      </w:r>
      <m:oMath>
        <m:r>
          <w:rPr>
            <w:rFonts w:ascii="Cambria Math" w:eastAsia="Cambria Math" w:hAnsi="Cambria Math" w:cs="Cambria Math"/>
          </w:rPr>
          <m:t>k</m:t>
        </m:r>
        <m:r>
          <w:rPr>
            <w:rFonts w:ascii="Cambria Math" w:eastAsia="Cambria Math" w:hAnsi="Cambria Math" w:cs="Cambria Math"/>
          </w:rPr>
          <m:t>=1,…,</m:t>
        </m:r>
        <m:r>
          <w:rPr>
            <w:rFonts w:ascii="Cambria Math" w:eastAsia="Cambria Math" w:hAnsi="Cambria Math" w:cs="Cambria Math"/>
          </w:rPr>
          <m:t>K</m:t>
        </m:r>
      </m:oMath>
      <w:r>
        <w:rPr>
          <w:rFonts w:ascii="Times New Roman" w:eastAsia="Times New Roman" w:hAnsi="Times New Roman" w:cs="Times New Roman"/>
        </w:rPr>
        <w:t>:</w:t>
      </w:r>
    </w:p>
    <w:p w14:paraId="4E56978E" w14:textId="77777777" w:rsidR="00372E14" w:rsidRDefault="00CC1D80">
      <w:pPr>
        <w:jc w:val="center"/>
        <w:rPr>
          <w:rFonts w:ascii="Cambria Math" w:eastAsia="Cambria Math" w:hAnsi="Cambria Math" w:cs="Cambria Math"/>
        </w:rPr>
      </w:pPr>
      <m:oMathPara>
        <m:oMath>
          <m:r>
            <w:rPr>
              <w:rFonts w:ascii="Times New Roman" w:eastAsia="Times New Roman" w:hAnsi="Times New Roman" w:cs="Times New Roman"/>
            </w:rPr>
            <m:t>Risk</m:t>
          </m:r>
          <m:r>
            <w:rPr>
              <w:rFonts w:ascii="Times New Roman" w:eastAsia="Times New Roman" w:hAnsi="Times New Roman" w:cs="Times New Roman"/>
            </w:rPr>
            <m:t xml:space="preserve"> </m:t>
          </m:r>
          <m:r>
            <w:rPr>
              <w:rFonts w:ascii="Times New Roman" w:eastAsia="Times New Roman" w:hAnsi="Times New Roman" w:cs="Times New Roman"/>
            </w:rPr>
            <m:t>Profile</m:t>
          </m:r>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k</m:t>
              </m:r>
              <m:r>
                <w:rPr>
                  <w:rFonts w:ascii="Cambria Math" w:eastAsia="Cambria Math" w:hAnsi="Cambria Math" w:cs="Cambria Math"/>
                </w:rPr>
                <m:t>=1</m:t>
              </m:r>
            </m:sub>
            <m:sup>
              <m:r>
                <w:rPr>
                  <w:rFonts w:ascii="Cambria Math" w:eastAsia="Cambria Math" w:hAnsi="Cambria Math" w:cs="Cambria Math"/>
                </w:rPr>
                <m:t>K</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k</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k</m:t>
              </m:r>
            </m:sub>
          </m:sSub>
        </m:oMath>
      </m:oMathPara>
    </w:p>
    <w:p w14:paraId="6B010650"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k</m:t>
            </m:r>
          </m:sub>
        </m:sSub>
        <m:r>
          <w:rPr>
            <w:rFonts w:ascii="Cambria Math" w:eastAsia="Cambria Math" w:hAnsi="Cambria Math" w:cs="Cambria Math"/>
          </w:rPr>
          <m:t>=1</m:t>
        </m:r>
      </m:oMath>
      <w:r>
        <w:rPr>
          <w:rFonts w:ascii="Times New Roman" w:eastAsia="Times New Roman" w:hAnsi="Times New Roman" w:cs="Times New Roman"/>
        </w:rPr>
        <w:t xml:space="preserve">if decision </w:t>
      </w:r>
      <m:oMath>
        <m:r>
          <w:rPr>
            <w:rFonts w:ascii="Cambria Math" w:eastAsia="Cambria Math" w:hAnsi="Cambria Math" w:cs="Cambria Math"/>
          </w:rPr>
          <m:t>k</m:t>
        </m:r>
      </m:oMath>
      <w:r>
        <w:rPr>
          <w:rFonts w:ascii="Times New Roman" w:eastAsia="Times New Roman" w:hAnsi="Times New Roman" w:cs="Times New Roman"/>
        </w:rPr>
        <w:t xml:space="preserve">exhibits a risk-seeking posture according to predefined criteria, and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k</m:t>
            </m:r>
          </m:sub>
        </m:sSub>
      </m:oMath>
      <w:r>
        <w:rPr>
          <w:rFonts w:ascii="Times New Roman" w:eastAsia="Times New Roman" w:hAnsi="Times New Roman" w:cs="Times New Roman"/>
        </w:rPr>
        <w:t>are empirically learned weights emphasizing decisions with high financial or strate</w:t>
      </w:r>
      <w:proofErr w:type="spellStart"/>
      <w:r>
        <w:rPr>
          <w:rFonts w:ascii="Times New Roman" w:eastAsia="Times New Roman" w:hAnsi="Times New Roman" w:cs="Times New Roman"/>
        </w:rPr>
        <w:t>gic</w:t>
      </w:r>
      <w:proofErr w:type="spellEnd"/>
      <w:r>
        <w:rPr>
          <w:rFonts w:ascii="Times New Roman" w:eastAsia="Times New Roman" w:hAnsi="Times New Roman" w:cs="Times New Roman"/>
        </w:rPr>
        <w:t xml:space="preserve"> impact. Deviations from the executive’s historical risk-profile distribution beyond two to three standard deviations are treated as anomalies (Mendelson et al., 2023).</w:t>
      </w:r>
    </w:p>
    <w:p w14:paraId="215C2233"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Strategic alignment is quantified via cosine similarity between a decision vector </w:t>
      </w:r>
      <m:oMath>
        <m:acc>
          <m:accPr>
            <m:chr m:val="⃗"/>
            <m:ctrlPr>
              <w:rPr>
                <w:rFonts w:ascii="Cambria Math" w:eastAsia="Cambria Math" w:hAnsi="Cambria Math" w:cs="Cambria Math"/>
              </w:rPr>
            </m:ctrlPr>
          </m:accPr>
          <m:e>
            <m:r>
              <w:rPr>
                <w:rFonts w:ascii="Cambria Math" w:eastAsia="Cambria Math" w:hAnsi="Cambria Math" w:cs="Cambria Math"/>
              </w:rPr>
              <m:t>d</m:t>
            </m:r>
          </m:e>
        </m:acc>
      </m:oMath>
      <w:r>
        <w:rPr>
          <w:rFonts w:ascii="Times New Roman" w:eastAsia="Times New Roman" w:hAnsi="Times New Roman" w:cs="Times New Roman"/>
        </w:rPr>
        <w:t xml:space="preserve">and a strategic-objective vector </w:t>
      </w:r>
      <m:oMath>
        <m:acc>
          <m:accPr>
            <m:chr m:val="⃗"/>
            <m:ctrlPr>
              <w:rPr>
                <w:rFonts w:ascii="Cambria Math" w:eastAsia="Cambria Math" w:hAnsi="Cambria Math" w:cs="Cambria Math"/>
              </w:rPr>
            </m:ctrlPr>
          </m:accPr>
          <m:e>
            <m:r>
              <w:rPr>
                <w:rFonts w:ascii="Cambria Math" w:eastAsia="Cambria Math" w:hAnsi="Cambria Math" w:cs="Cambria Math"/>
              </w:rPr>
              <m:t>s</m:t>
            </m:r>
          </m:e>
        </m:acc>
      </m:oMath>
      <w:r>
        <w:rPr>
          <w:rFonts w:ascii="Times New Roman" w:eastAsia="Times New Roman" w:hAnsi="Times New Roman" w:cs="Times New Roman"/>
        </w:rPr>
        <w:t>derived from organizational strategy documents:</w:t>
      </w:r>
    </w:p>
    <w:p w14:paraId="6698D12C" w14:textId="77777777" w:rsidR="00372E14" w:rsidRDefault="00CC1D80">
      <w:pPr>
        <w:jc w:val="center"/>
        <w:rPr>
          <w:rFonts w:ascii="Cambria Math" w:eastAsia="Cambria Math" w:hAnsi="Cambria Math" w:cs="Cambria Math"/>
        </w:rPr>
      </w:pPr>
      <m:oMathPara>
        <m:oMath>
          <m:r>
            <w:rPr>
              <w:rFonts w:ascii="Times New Roman" w:eastAsia="Times New Roman" w:hAnsi="Times New Roman" w:cs="Times New Roman"/>
            </w:rPr>
            <m:t>SCI</m:t>
          </m:r>
          <m:r>
            <w:rPr>
              <w:rFonts w:ascii="Cambria Math" w:eastAsia="Cambria Math" w:hAnsi="Cambria Math" w:cs="Cambria Math"/>
            </w:rPr>
            <m:t>=</m:t>
          </m:r>
          <m:f>
            <m:fPr>
              <m:ctrlPr>
                <w:rPr>
                  <w:rFonts w:ascii="Times New Roman" w:eastAsia="Times New Roman" w:hAnsi="Times New Roman" w:cs="Times New Roman"/>
                </w:rPr>
              </m:ctrlPr>
            </m:fPr>
            <m:num>
              <m:acc>
                <m:accPr>
                  <m:chr m:val="⃗"/>
                  <m:ctrlPr>
                    <w:rPr>
                      <w:rFonts w:ascii="Cambria Math" w:eastAsia="Cambria Math" w:hAnsi="Cambria Math" w:cs="Cambria Math"/>
                    </w:rPr>
                  </m:ctrlPr>
                </m:accPr>
                <m:e>
                  <m:r>
                    <w:rPr>
                      <w:rFonts w:ascii="Cambria Math" w:eastAsia="Cambria Math" w:hAnsi="Cambria Math" w:cs="Cambria Math"/>
                    </w:rPr>
                    <m:t>d</m:t>
                  </m:r>
                </m:e>
              </m:acc>
              <m:r>
                <w:rPr>
                  <w:rFonts w:ascii="Cambria Math" w:eastAsia="Cambria Math" w:hAnsi="Cambria Math" w:cs="Cambria Math"/>
                </w:rPr>
                <m:t>⋅</m:t>
              </m:r>
              <m:acc>
                <m:accPr>
                  <m:chr m:val="⃗"/>
                  <m:ctrlPr>
                    <w:rPr>
                      <w:rFonts w:ascii="Cambria Math" w:eastAsia="Cambria Math" w:hAnsi="Cambria Math" w:cs="Cambria Math"/>
                    </w:rPr>
                  </m:ctrlPr>
                </m:accPr>
                <m:e>
                  <m:r>
                    <w:rPr>
                      <w:rFonts w:ascii="Cambria Math" w:eastAsia="Cambria Math" w:hAnsi="Cambria Math" w:cs="Cambria Math"/>
                    </w:rPr>
                    <m:t>s</m:t>
                  </m:r>
                </m:e>
              </m:acc>
            </m:num>
            <m:den>
              <m:r>
                <w:rPr>
                  <w:rFonts w:ascii="Cambria Math" w:eastAsia="Cambria Math" w:hAnsi="Cambria Math" w:cs="Cambria Math"/>
                </w:rPr>
                <m:t>∥</m:t>
              </m:r>
              <m:acc>
                <m:accPr>
                  <m:chr m:val="⃗"/>
                  <m:ctrlPr>
                    <w:rPr>
                      <w:rFonts w:ascii="Cambria Math" w:eastAsia="Cambria Math" w:hAnsi="Cambria Math" w:cs="Cambria Math"/>
                    </w:rPr>
                  </m:ctrlPr>
                </m:accPr>
                <m:e>
                  <m:r>
                    <w:rPr>
                      <w:rFonts w:ascii="Cambria Math" w:eastAsia="Cambria Math" w:hAnsi="Cambria Math" w:cs="Cambria Math"/>
                    </w:rPr>
                    <m:t>d</m:t>
                  </m:r>
                </m:e>
              </m:acc>
              <m:r>
                <w:rPr>
                  <w:rFonts w:ascii="Cambria Math" w:eastAsia="Cambria Math" w:hAnsi="Cambria Math" w:cs="Cambria Math"/>
                </w:rPr>
                <m:t>∥</m:t>
              </m:r>
              <m:r>
                <w:rPr>
                  <w:rFonts w:ascii="Times New Roman" w:eastAsia="Times New Roman" w:hAnsi="Times New Roman" w:cs="Times New Roman"/>
                </w:rPr>
                <m:t> ∥</m:t>
              </m:r>
              <m:acc>
                <m:accPr>
                  <m:chr m:val="⃗"/>
                  <m:ctrlPr>
                    <w:rPr>
                      <w:rFonts w:ascii="Cambria Math" w:eastAsia="Cambria Math" w:hAnsi="Cambria Math" w:cs="Cambria Math"/>
                    </w:rPr>
                  </m:ctrlPr>
                </m:accPr>
                <m:e>
                  <m:r>
                    <w:rPr>
                      <w:rFonts w:ascii="Cambria Math" w:eastAsia="Cambria Math" w:hAnsi="Cambria Math" w:cs="Cambria Math"/>
                    </w:rPr>
                    <m:t>s</m:t>
                  </m:r>
                </m:e>
              </m:acc>
              <m:r>
                <w:rPr>
                  <w:rFonts w:ascii="Cambria Math" w:eastAsia="Cambria Math" w:hAnsi="Cambria Math" w:cs="Cambria Math"/>
                </w:rPr>
                <m:t>∥</m:t>
              </m:r>
            </m:den>
          </m:f>
        </m:oMath>
      </m:oMathPara>
    </w:p>
    <w:p w14:paraId="0F9D6C3D"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strategic coherence index </w:t>
      </w:r>
      <m:oMath>
        <m:r>
          <w:rPr>
            <w:rFonts w:ascii="Times New Roman" w:eastAsia="Times New Roman" w:hAnsi="Times New Roman" w:cs="Times New Roman"/>
          </w:rPr>
          <m:t>SCI</m:t>
        </m:r>
        <m:r>
          <w:rPr>
            <w:rFonts w:ascii="Cambria Math" w:eastAsia="Cambria Math" w:hAnsi="Cambria Math" w:cs="Cambria Math"/>
          </w:rPr>
          <m:t>&lt;0.7</m:t>
        </m:r>
      </m:oMath>
      <w:r>
        <w:rPr>
          <w:rFonts w:ascii="Times New Roman" w:eastAsia="Times New Roman" w:hAnsi="Times New Roman" w:cs="Times New Roman"/>
        </w:rPr>
        <w:t>indicates that a decision materially diverges from documented strategy and, when combined with behavioral anomali</w:t>
      </w:r>
      <w:r>
        <w:rPr>
          <w:rFonts w:ascii="Times New Roman" w:eastAsia="Times New Roman" w:hAnsi="Times New Roman" w:cs="Times New Roman"/>
        </w:rPr>
        <w:t>es, strengthens the inference of impersonation.</w:t>
      </w:r>
    </w:p>
    <w:p w14:paraId="254E1F2D" w14:textId="77777777" w:rsidR="00372E14" w:rsidRDefault="00CC1D80">
      <w:pPr>
        <w:numPr>
          <w:ilvl w:val="0"/>
          <w:numId w:val="2"/>
        </w:numPr>
        <w:pBdr>
          <w:top w:val="nil"/>
          <w:left w:val="nil"/>
          <w:bottom w:val="nil"/>
          <w:right w:val="nil"/>
          <w:between w:val="nil"/>
        </w:pBdr>
        <w:spacing w:line="360" w:lineRule="auto"/>
        <w:jc w:val="both"/>
        <w:rPr>
          <w:color w:val="000000"/>
        </w:rPr>
      </w:pPr>
      <w:r>
        <w:rPr>
          <w:rFonts w:ascii="Times New Roman" w:eastAsia="Times New Roman" w:hAnsi="Times New Roman" w:cs="Times New Roman"/>
          <w:i/>
          <w:iCs/>
          <w:color w:val="000000"/>
        </w:rPr>
        <w:t>Continuous Adaptive Trust scoring and anomaly detection</w:t>
      </w:r>
    </w:p>
    <w:p w14:paraId="410ED1F9"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core of the adaptive profiling system is a continuous adaptive trust (CAT) score that fuses behavioral, cognitive, contextual, and anomaly-detection components in real time (Identity Management Institute, 2026; Trio Content Team, 2025). At time </w:t>
      </w:r>
      <m:oMath>
        <m:r>
          <w:rPr>
            <w:rFonts w:ascii="Cambria Math" w:eastAsia="Cambria Math" w:hAnsi="Cambria Math" w:cs="Cambria Math"/>
          </w:rPr>
          <m:t>t</m:t>
        </m:r>
      </m:oMath>
      <w:r>
        <w:rPr>
          <w:rFonts w:ascii="Times New Roman" w:eastAsia="Times New Roman" w:hAnsi="Times New Roman" w:cs="Times New Roman"/>
        </w:rPr>
        <w:t>, the</w:t>
      </w:r>
      <w:r>
        <w:rPr>
          <w:rFonts w:ascii="Times New Roman" w:eastAsia="Times New Roman" w:hAnsi="Times New Roman" w:cs="Times New Roman"/>
        </w:rPr>
        <w:t xml:space="preserve"> overall trust score is defined as:</w:t>
      </w:r>
    </w:p>
    <w:p w14:paraId="709A0204" w14:textId="77777777" w:rsidR="00372E14" w:rsidRDefault="00CC1D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Times New Roman" w:eastAsia="Times New Roman" w:hAnsi="Times New Roman" w:cs="Times New Roman"/>
                </w:rPr>
                <m:t>Trust</m:t>
              </m:r>
              <m:r>
                <w:rPr>
                  <w:rFonts w:ascii="Times New Roman" w:eastAsia="Times New Roman" w:hAnsi="Times New Roman" w:cs="Times New Roman"/>
                </w:rPr>
                <m:t xml:space="preserve"> </m:t>
              </m:r>
              <m:r>
                <w:rPr>
                  <w:rFonts w:ascii="Times New Roman" w:eastAsia="Times New Roman" w:hAnsi="Times New Roman" w:cs="Times New Roman"/>
                </w:rPr>
                <m:t>Score</m:t>
              </m:r>
            </m:e>
            <m:sub>
              <m:r>
                <w:rPr>
                  <w:rFonts w:ascii="Cambria Math" w:eastAsia="Cambria Math" w:hAnsi="Cambria Math" w:cs="Cambria Math"/>
                </w:rPr>
                <m:t>t</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i</m:t>
              </m:r>
              <m:r>
                <w:rPr>
                  <w:rFonts w:ascii="Cambria Math" w:eastAsia="Cambria Math" w:hAnsi="Cambria Math" w:cs="Cambria Math"/>
                </w:rPr>
                <m:t>=1</m:t>
              </m:r>
            </m:sub>
            <m:sup>
              <m:r>
                <w:rPr>
                  <w:rFonts w:ascii="Cambria Math" w:eastAsia="Cambria Math" w:hAnsi="Cambria Math" w:cs="Cambria Math"/>
                </w:rPr>
                <m:t>4</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Times New Roman" w:eastAsia="Times New Roman" w:hAnsi="Times New Roman" w:cs="Times New Roman"/>
            </w:rPr>
            <m:t>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i</m:t>
              </m:r>
              <m:r>
                <w:rPr>
                  <w:rFonts w:ascii="Cambria Math" w:eastAsia="Cambria Math" w:hAnsi="Cambria Math" w:cs="Cambria Math"/>
                </w:rPr>
                <m:t>,</m:t>
              </m:r>
              <m:r>
                <w:rPr>
                  <w:rFonts w:ascii="Cambria Math" w:eastAsia="Cambria Math" w:hAnsi="Cambria Math" w:cs="Cambria Math"/>
                </w:rPr>
                <m:t>t</m:t>
              </m:r>
            </m:sub>
          </m:sSub>
        </m:oMath>
      </m:oMathPara>
    </w:p>
    <w:p w14:paraId="5F4C3502"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r>
              <w:rPr>
                <w:rFonts w:ascii="Cambria Math" w:eastAsia="Cambria Math" w:hAnsi="Cambria Math" w:cs="Cambria Math"/>
              </w:rPr>
              <m:t>t</m:t>
            </m:r>
          </m:sub>
        </m:sSub>
      </m:oMath>
      <w:r>
        <w:rPr>
          <w:rFonts w:ascii="Times New Roman" w:eastAsia="Times New Roman" w:hAnsi="Times New Roman" w:cs="Times New Roman"/>
        </w:rPr>
        <w:t xml:space="preserve">is a behavioral-consistency component derived from keystroke and interaction features,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r>
              <w:rPr>
                <w:rFonts w:ascii="Cambria Math" w:eastAsia="Cambria Math" w:hAnsi="Cambria Math" w:cs="Cambria Math"/>
              </w:rPr>
              <m:t>t</m:t>
            </m:r>
          </m:sub>
        </m:sSub>
      </m:oMath>
      <w:r>
        <w:rPr>
          <w:rFonts w:ascii="Times New Roman" w:eastAsia="Times New Roman" w:hAnsi="Times New Roman" w:cs="Times New Roman"/>
        </w:rPr>
        <w:t>is a cognitive-consistency component aggregating DMCS, RiskProfile consis</w:t>
      </w:r>
      <w:proofErr w:type="spellStart"/>
      <w:r>
        <w:rPr>
          <w:rFonts w:ascii="Times New Roman" w:eastAsia="Times New Roman" w:hAnsi="Times New Roman" w:cs="Times New Roman"/>
        </w:rPr>
        <w:t>tency</w:t>
      </w:r>
      <w:proofErr w:type="spellEnd"/>
      <w:r>
        <w:rPr>
          <w:rFonts w:ascii="Times New Roman" w:eastAsia="Times New Roman" w:hAnsi="Times New Roman" w:cs="Times New Roman"/>
        </w:rPr>
        <w:t xml:space="preserve">, and SCI,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3,</m:t>
            </m:r>
            <m:r>
              <w:rPr>
                <w:rFonts w:ascii="Cambria Math" w:eastAsia="Cambria Math" w:hAnsi="Cambria Math" w:cs="Cambria Math"/>
              </w:rPr>
              <m:t>t</m:t>
            </m:r>
          </m:sub>
        </m:sSub>
      </m:oMath>
      <w:r>
        <w:rPr>
          <w:rFonts w:ascii="Times New Roman" w:eastAsia="Times New Roman" w:hAnsi="Times New Roman" w:cs="Times New Roman"/>
        </w:rPr>
        <w:t xml:space="preserve">is a contextual-consistency component capturing deviations in device, location, and time, and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4,</m:t>
            </m:r>
            <m:r>
              <w:rPr>
                <w:rFonts w:ascii="Cambria Math" w:eastAsia="Cambria Math" w:hAnsi="Cambria Math" w:cs="Cambria Math"/>
              </w:rPr>
              <m:t>t</m:t>
            </m:r>
          </m:sub>
        </m:sSub>
      </m:oMath>
      <w:r>
        <w:rPr>
          <w:rFonts w:ascii="Times New Roman" w:eastAsia="Times New Roman" w:hAnsi="Times New Roman" w:cs="Times New Roman"/>
        </w:rPr>
        <w:t xml:space="preserve">is an anomaly-inverse component obtained from a dedicated anomaly detector. The weights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oMath>
      <w:r>
        <w:rPr>
          <w:rFonts w:ascii="Times New Roman" w:eastAsia="Times New Roman" w:hAnsi="Times New Roman" w:cs="Times New Roman"/>
        </w:rPr>
        <w:t>are estimated using logistic regression on</w:t>
      </w:r>
      <w:r>
        <w:rPr>
          <w:rFonts w:ascii="Times New Roman" w:eastAsia="Times New Roman" w:hAnsi="Times New Roman" w:cs="Times New Roman"/>
        </w:rPr>
        <w:t xml:space="preserve"> labeled authentic and adversarial samples, subject to </w:t>
      </w:r>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=1</m:t>
        </m:r>
      </m:oMath>
      <w:r>
        <w:rPr>
          <w:rFonts w:ascii="Times New Roman" w:eastAsia="Times New Roman" w:hAnsi="Times New Roman" w:cs="Times New Roman"/>
        </w:rPr>
        <w:t>.</w:t>
      </w:r>
    </w:p>
    <w:p w14:paraId="099A7AC0"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Behavioral similarity is computed using the </w:t>
      </w:r>
      <w:proofErr w:type="spellStart"/>
      <w:r>
        <w:rPr>
          <w:rFonts w:ascii="Times New Roman" w:eastAsia="Times New Roman" w:hAnsi="Times New Roman" w:cs="Times New Roman"/>
        </w:rPr>
        <w:t>Mahalanobis</w:t>
      </w:r>
      <w:proofErr w:type="spellEnd"/>
      <w:r>
        <w:rPr>
          <w:rFonts w:ascii="Times New Roman" w:eastAsia="Times New Roman" w:hAnsi="Times New Roman" w:cs="Times New Roman"/>
        </w:rPr>
        <w:t xml:space="preserve"> distance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oMath>
      <w:r>
        <w:rPr>
          <w:rFonts w:ascii="Times New Roman" w:eastAsia="Times New Roman" w:hAnsi="Times New Roman" w:cs="Times New Roman"/>
        </w:rPr>
        <w:t xml:space="preserve">between a current feature vector </w:t>
      </w:r>
      <m:oMath>
        <m:r>
          <w:rPr>
            <w:rFonts w:ascii="Cambria Math" w:eastAsia="Cambria Math" w:hAnsi="Cambria Math" w:cs="Cambria Math"/>
          </w:rPr>
          <m:t>x</m:t>
        </m:r>
      </m:oMath>
      <w:r>
        <w:rPr>
          <w:rFonts w:ascii="Times New Roman" w:eastAsia="Times New Roman" w:hAnsi="Times New Roman" w:cs="Times New Roman"/>
        </w:rPr>
        <w:t xml:space="preserve">and a baseline mean vector </w:t>
      </w:r>
      <m:oMath>
        <m:r>
          <w:rPr>
            <w:rFonts w:ascii="Cambria Math" w:hAnsi="Cambria Math"/>
          </w:rPr>
          <m:t>μ</m:t>
        </m:r>
      </m:oMath>
      <w:r>
        <w:rPr>
          <w:rFonts w:ascii="Times New Roman" w:eastAsia="Times New Roman" w:hAnsi="Times New Roman" w:cs="Times New Roman"/>
        </w:rPr>
        <w:t xml:space="preserve">with covariance matrix </w:t>
      </w:r>
      <m:oMath>
        <m:r>
          <w:rPr>
            <w:rFonts w:ascii="Cambria Math" w:hAnsi="Cambria Math"/>
          </w:rPr>
          <m:t>Σ</m:t>
        </m:r>
      </m:oMath>
      <w:r>
        <w:rPr>
          <w:rFonts w:ascii="Times New Roman" w:eastAsia="Times New Roman" w:hAnsi="Times New Roman" w:cs="Times New Roman"/>
        </w:rPr>
        <w:t>:</w:t>
      </w:r>
    </w:p>
    <w:p w14:paraId="0663D63E" w14:textId="77777777" w:rsidR="00372E14" w:rsidRDefault="00CC1D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μ</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m:t>
              </m:r>
            </m:sup>
          </m:sSup>
          <m:sSup>
            <m:sSupPr>
              <m:ctrlPr>
                <w:rPr>
                  <w:rFonts w:ascii="Cambria Math" w:eastAsia="Cambria Math" w:hAnsi="Cambria Math" w:cs="Cambria Math"/>
                </w:rPr>
              </m:ctrlPr>
            </m:sSupPr>
            <m:e>
              <m:r>
                <w:rPr>
                  <w:rFonts w:ascii="Cambria Math" w:eastAsia="Cambria Math" w:hAnsi="Cambria Math" w:cs="Cambria Math"/>
                </w:rPr>
                <m:t>Σ</m:t>
              </m:r>
            </m:e>
            <m:sup>
              <m:r>
                <w:rPr>
                  <w:rFonts w:ascii="Cambria Math" w:eastAsia="Cambria Math" w:hAnsi="Cambria Math" w:cs="Cambria Math"/>
                </w:rPr>
                <m:t>-</m:t>
              </m:r>
              <m:r>
                <w:rPr>
                  <w:rFonts w:ascii="Cambria Math" w:eastAsia="Cambria Math" w:hAnsi="Cambria Math" w:cs="Cambria Math"/>
                </w:rPr>
                <m:t>1</m:t>
              </m:r>
            </m:sup>
          </m:sSup>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μ</m:t>
          </m:r>
          <m:r>
            <w:rPr>
              <w:rFonts w:ascii="Cambria Math" w:eastAsia="Cambria Math" w:hAnsi="Cambria Math" w:cs="Cambria Math"/>
            </w:rPr>
            <m:t>)</m:t>
          </m:r>
        </m:oMath>
      </m:oMathPara>
    </w:p>
    <w:p w14:paraId="3F1ECEBB"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distance is mapped to a normalized similarity score and then into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r>
              <w:rPr>
                <w:rFonts w:ascii="Cambria Math" w:eastAsia="Cambria Math" w:hAnsi="Cambria Math" w:cs="Cambria Math"/>
              </w:rPr>
              <m:t>t</m:t>
            </m:r>
          </m:sub>
        </m:sSub>
      </m:oMath>
      <w:r>
        <w:rPr>
          <w:rFonts w:ascii="Times New Roman" w:eastAsia="Times New Roman" w:hAnsi="Times New Roman" w:cs="Times New Roman"/>
        </w:rPr>
        <w:t xml:space="preserve">(Shrivastava &amp; Bollavarapu, 2025). Contextual consistency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3,</m:t>
            </m:r>
            <m:r>
              <w:rPr>
                <w:rFonts w:ascii="Cambria Math" w:eastAsia="Cambria Math" w:hAnsi="Cambria Math" w:cs="Cambria Math"/>
              </w:rPr>
              <m:t>t</m:t>
            </m:r>
          </m:sub>
        </m:sSub>
      </m:oMath>
      <w:r>
        <w:rPr>
          <w:rFonts w:ascii="Times New Roman" w:eastAsia="Times New Roman" w:hAnsi="Times New Roman" w:cs="Times New Roman"/>
        </w:rPr>
        <w:t xml:space="preserve">uses an exponential decay over contextual anomalies </w:t>
      </w:r>
      <m:oMath>
        <m:r>
          <w:rPr>
            <w:rFonts w:ascii="Cambria Math" w:eastAsia="Cambria Math" w:hAnsi="Cambria Math" w:cs="Cambria Math"/>
          </w:rPr>
          <m:t>C</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j</m:t>
            </m:r>
          </m:sub>
        </m:sSub>
      </m:oMath>
      <w:r>
        <w:rPr>
          <w:rFonts w:ascii="Times New Roman" w:eastAsia="Times New Roman" w:hAnsi="Times New Roman" w:cs="Times New Roman"/>
        </w:rPr>
        <w:t>:</w:t>
      </w:r>
    </w:p>
    <w:p w14:paraId="1BEDBD58" w14:textId="77777777" w:rsidR="00372E14" w:rsidRDefault="00CC1D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3,</m:t>
              </m:r>
              <m:r>
                <w:rPr>
                  <w:rFonts w:ascii="Cambria Math" w:eastAsia="Cambria Math" w:hAnsi="Cambria Math" w:cs="Cambria Math"/>
                </w:rPr>
                <m:t>t</m:t>
              </m:r>
            </m:sub>
          </m:sSub>
          <m:r>
            <w:rPr>
              <w:rFonts w:ascii="Cambria Math" w:eastAsia="Cambria Math" w:hAnsi="Cambria Math" w:cs="Cambria Math"/>
            </w:rPr>
            <m:t>=</m:t>
          </m:r>
          <m:r>
            <w:rPr>
              <w:rFonts w:ascii="Cambria Math" w:eastAsia="Cambria Math" w:hAnsi="Cambria Math" w:cs="Cambria Math"/>
            </w:rPr>
            <m:t>exp</m:t>
          </m:r>
          <m:r>
            <w:rPr>
              <w:rFonts w:ascii="Cambria Math" w:eastAsia="Cambria Math" w:hAnsi="Cambria Math" w:cs="Cambria Math"/>
            </w:rPr>
            <m:t>⁡</m:t>
          </m:r>
          <m:r>
            <w:rPr>
              <w:rFonts w:ascii="Cambria Math" w:eastAsia="Cambria Math" w:hAnsi="Cambria Math" w:cs="Cambria Math"/>
            </w:rPr>
            <m:t>λ</m:t>
          </m:r>
          <m:nary>
            <m:naryPr>
              <m:chr m:val="∑"/>
              <m:ctrlPr>
                <w:rPr>
                  <w:rFonts w:ascii="Cambria Math" w:eastAsia="Cambria Math" w:hAnsi="Cambria Math" w:cs="Cambria Math"/>
                </w:rPr>
              </m:ctrlPr>
            </m:naryPr>
            <m:sub>
              <m:r>
                <w:rPr>
                  <w:rFonts w:ascii="Cambria Math" w:eastAsia="Cambria Math" w:hAnsi="Cambria Math" w:cs="Cambria Math"/>
                </w:rPr>
                <m:t>j</m:t>
              </m:r>
            </m:sub>
            <m:sup/>
            <m:e/>
          </m:nary>
          <m:r>
            <w:rPr>
              <w:rFonts w:ascii="Cambria Math" w:eastAsia="Cambria Math" w:hAnsi="Cambria Math" w:cs="Cambria Math"/>
            </w:rPr>
            <m:t>C</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j</m:t>
              </m:r>
            </m:sub>
          </m:sSub>
        </m:oMath>
      </m:oMathPara>
    </w:p>
    <w:p w14:paraId="0A85918B"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hAnsi="Cambria Math"/>
          </w:rPr>
          <m:t>λ</m:t>
        </m:r>
      </m:oMath>
      <w:r>
        <w:rPr>
          <w:rFonts w:ascii="Times New Roman" w:eastAsia="Times New Roman" w:hAnsi="Times New Roman" w:cs="Times New Roman"/>
        </w:rPr>
        <w:t xml:space="preserve"> is a decay constant </w:t>
      </w:r>
      <w:r>
        <w:rPr>
          <w:rFonts w:ascii="Times New Roman" w:eastAsia="Times New Roman" w:hAnsi="Times New Roman" w:cs="Times New Roman"/>
        </w:rPr>
        <w:t xml:space="preserve">tuned to reflect organizational risk appetite (Identity Management Institute, </w:t>
      </w:r>
      <w:proofErr w:type="gramStart"/>
      <w:r>
        <w:rPr>
          <w:rFonts w:ascii="Times New Roman" w:eastAsia="Times New Roman" w:hAnsi="Times New Roman" w:cs="Times New Roman"/>
        </w:rPr>
        <w:t>2026).</w:t>
      </w:r>
      <w:proofErr w:type="gramEnd"/>
    </w:p>
    <w:p w14:paraId="412D3A4B"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Anomaly detection is implemented using the Isolation Forest algorithm, which isolates anomalies as observations with short average path lengths in randomly constructed trees (Liu et al., 2008). For each observation </w:t>
      </w:r>
      <m:oMath>
        <m:r>
          <w:rPr>
            <w:rFonts w:ascii="Cambria Math" w:eastAsia="Cambria Math" w:hAnsi="Cambria Math" w:cs="Cambria Math"/>
          </w:rPr>
          <m:t>x</m:t>
        </m:r>
      </m:oMath>
      <w:r>
        <w:rPr>
          <w:rFonts w:ascii="Times New Roman" w:eastAsia="Times New Roman" w:hAnsi="Times New Roman" w:cs="Times New Roman"/>
        </w:rPr>
        <w:t>, the anomaly score is:</w:t>
      </w:r>
    </w:p>
    <w:p w14:paraId="7F221CF1" w14:textId="77777777" w:rsidR="00372E14" w:rsidRDefault="00CC1D80">
      <w:pPr>
        <w:jc w:val="center"/>
        <w:rPr>
          <w:rFonts w:ascii="Cambria Math" w:eastAsia="Cambria Math" w:hAnsi="Cambria Math" w:cs="Cambria Math"/>
        </w:rPr>
      </w:pPr>
      <m:oMathPara>
        <m:oMath>
          <m:r>
            <w:rPr>
              <w:rFonts w:ascii="Times New Roman" w:eastAsia="Times New Roman" w:hAnsi="Times New Roman" w:cs="Times New Roman"/>
            </w:rPr>
            <m:t>AS</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2</m:t>
              </m:r>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E</m:t>
                  </m:r>
                  <m:r>
                    <w:rPr>
                      <w:rFonts w:ascii="Cambria Math" w:eastAsia="Cambria Math" w:hAnsi="Cambria Math" w:cs="Cambria Math"/>
                    </w:rPr>
                    <m:t>[h</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num>
                <m:den>
                  <m:r>
                    <w:rPr>
                      <w:rFonts w:ascii="Cambria Math" w:eastAsia="Cambria Math" w:hAnsi="Cambria Math" w:cs="Cambria Math"/>
                    </w:rPr>
                    <m:t>c</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den>
              </m:f>
            </m:sup>
          </m:sSup>
        </m:oMath>
      </m:oMathPara>
    </w:p>
    <w:p w14:paraId="5ABD579D"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where </w:t>
      </w:r>
      <m:oMath>
        <m:r>
          <w:rPr>
            <w:rFonts w:ascii="Cambria Math" w:eastAsia="Cambria Math" w:hAnsi="Cambria Math" w:cs="Cambria Math"/>
          </w:rPr>
          <m:t>E</m:t>
        </m:r>
        <m:r>
          <w:rPr>
            <w:rFonts w:ascii="Cambria Math" w:eastAsia="Cambria Math" w:hAnsi="Cambria Math" w:cs="Cambria Math"/>
          </w:rPr>
          <m:t>[h(</m:t>
        </m:r>
        <m:r>
          <w:rPr>
            <w:rFonts w:ascii="Cambria Math" w:eastAsia="Cambria Math" w:hAnsi="Cambria Math" w:cs="Cambria Math"/>
          </w:rPr>
          <m:t>x</m:t>
        </m:r>
        <m:r>
          <w:rPr>
            <w:rFonts w:ascii="Cambria Math" w:eastAsia="Cambria Math" w:hAnsi="Cambria Math" w:cs="Cambria Math"/>
          </w:rPr>
          <m:t>)]</m:t>
        </m:r>
      </m:oMath>
      <w:r>
        <w:rPr>
          <w:rFonts w:ascii="Times New Roman" w:eastAsia="Times New Roman" w:hAnsi="Times New Roman" w:cs="Times New Roman"/>
        </w:rPr>
        <w:t xml:space="preserve">is the expected path length of </w:t>
      </w:r>
      <m:oMath>
        <m:r>
          <w:rPr>
            <w:rFonts w:ascii="Cambria Math" w:eastAsia="Cambria Math" w:hAnsi="Cambria Math" w:cs="Cambria Math"/>
          </w:rPr>
          <m:t>x</m:t>
        </m:r>
      </m:oMath>
      <w:r>
        <w:rPr>
          <w:rFonts w:ascii="Times New Roman" w:eastAsia="Times New Roman" w:hAnsi="Times New Roman" w:cs="Times New Roman"/>
        </w:rPr>
        <w:t xml:space="preserve">across trees and </w:t>
      </w:r>
      <m:oMath>
        <m:r>
          <w:rPr>
            <w:rFonts w:ascii="Cambria Math" w:eastAsia="Cambria Math" w:hAnsi="Cambria Math" w:cs="Cambria Math"/>
          </w:rPr>
          <m:t>c</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oMath>
      <w:r>
        <w:rPr>
          <w:rFonts w:ascii="Times New Roman" w:eastAsia="Times New Roman" w:hAnsi="Times New Roman" w:cs="Times New Roman"/>
        </w:rPr>
        <w:t xml:space="preserve">is a normalization factor approximating the average path length in a binary search tree of size </w:t>
      </w:r>
      <m:oMath>
        <m:r>
          <w:rPr>
            <w:rFonts w:ascii="Cambria Math" w:eastAsia="Cambria Math" w:hAnsi="Cambria Math" w:cs="Cambria Math"/>
          </w:rPr>
          <m:t>n</m:t>
        </m:r>
      </m:oMath>
      <w:r>
        <w:rPr>
          <w:rFonts w:ascii="Times New Roman" w:eastAsia="Times New Roman" w:hAnsi="Times New Roman" w:cs="Times New Roman"/>
        </w:rPr>
        <w:t>:</w:t>
      </w:r>
    </w:p>
    <w:p w14:paraId="2CD70ADD" w14:textId="77777777" w:rsidR="00372E14" w:rsidRDefault="00CC1D80">
      <w:pPr>
        <w:jc w:val="center"/>
        <w:rPr>
          <w:rFonts w:ascii="Cambria Math" w:eastAsia="Cambria Math" w:hAnsi="Cambria Math" w:cs="Cambria Math"/>
        </w:rPr>
      </w:pPr>
      <m:oMathPara>
        <m:oMath>
          <m:r>
            <w:rPr>
              <w:rFonts w:ascii="Cambria Math" w:eastAsia="Cambria Math" w:hAnsi="Cambria Math" w:cs="Cambria Math"/>
            </w:rPr>
            <m:t>c</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)=2</m:t>
          </m:r>
          <m:r>
            <w:rPr>
              <w:rFonts w:ascii="Cambria Math" w:eastAsia="Cambria Math" w:hAnsi="Cambria Math" w:cs="Cambria Math"/>
            </w:rPr>
            <m:t>H</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2(</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n</m:t>
              </m:r>
            </m:den>
          </m:f>
        </m:oMath>
      </m:oMathPara>
    </w:p>
    <w:p w14:paraId="50C8782E"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and </w:t>
      </w:r>
      <m:oMath>
        <m:r>
          <w:rPr>
            <w:rFonts w:ascii="Cambria Math" w:eastAsia="Cambria Math" w:hAnsi="Cambria Math" w:cs="Cambria Math"/>
          </w:rPr>
          <m:t>H</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1)≈</m:t>
        </m:r>
        <m:r>
          <w:rPr>
            <w:rFonts w:ascii="Cambria Math" w:eastAsia="Cambria Math" w:hAnsi="Cambria Math" w:cs="Cambria Math"/>
          </w:rPr>
          <m:t>ln</m:t>
        </m:r>
        <m:r>
          <w:rPr>
            <w:rFonts w:ascii="Cambria Math" w:eastAsia="Cambria Math" w:hAnsi="Cambria Math" w:cs="Cambria Math"/>
          </w:rPr>
          <m:t>⁡</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1)+0.5772</m:t>
        </m:r>
      </m:oMath>
      <w:r>
        <w:rPr>
          <w:rFonts w:ascii="Times New Roman" w:eastAsia="Times New Roman" w:hAnsi="Times New Roman" w:cs="Times New Roman"/>
        </w:rPr>
        <w:t xml:space="preserve">is the harmonic number (Liu et al., 2008). High anomaly scores (close to 1) are inverted to obtain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4,</m:t>
            </m:r>
            <m:r>
              <w:rPr>
                <w:rFonts w:ascii="Cambria Math" w:eastAsia="Cambria Math" w:hAnsi="Cambria Math" w:cs="Cambria Math"/>
              </w:rPr>
              <m:t>t</m:t>
            </m:r>
          </m:sub>
        </m:sSub>
        <m:r>
          <w:rPr>
            <w:rFonts w:ascii="Cambria Math" w:eastAsia="Cambria Math" w:hAnsi="Cambria Math" w:cs="Cambria Math"/>
          </w:rPr>
          <m:t>=1-</m:t>
        </m:r>
        <m:sSub>
          <m:sSubPr>
            <m:ctrlPr>
              <w:rPr>
                <w:rFonts w:ascii="Cambria Math" w:eastAsia="Cambria Math" w:hAnsi="Cambria Math" w:cs="Cambria Math"/>
              </w:rPr>
            </m:ctrlPr>
          </m:sSubPr>
          <m:e>
            <m:r>
              <w:rPr>
                <w:rFonts w:ascii="Times New Roman" w:eastAsia="Times New Roman" w:hAnsi="Times New Roman" w:cs="Times New Roman"/>
              </w:rPr>
              <m:t>AS</m:t>
            </m:r>
          </m:e>
          <m:sub>
            <m:r>
              <w:rPr>
                <w:rFonts w:ascii="Cambria Math" w:eastAsia="Cambria Math" w:hAnsi="Cambria Math" w:cs="Cambria Math"/>
              </w:rPr>
              <m:t>t</m:t>
            </m:r>
          </m:sub>
        </m:sSub>
      </m:oMath>
      <w:r>
        <w:rPr>
          <w:rFonts w:ascii="Times New Roman" w:eastAsia="Times New Roman" w:hAnsi="Times New Roman" w:cs="Times New Roman"/>
        </w:rPr>
        <w:t>, ensuring that higher trust corresponds to lower anomaly likelihood.</w:t>
      </w:r>
    </w:p>
    <w:p w14:paraId="35B769E2"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Thresholds on </w:t>
      </w:r>
      <m:oMath>
        <m:sSub>
          <m:sSubPr>
            <m:ctrlPr>
              <w:rPr>
                <w:rFonts w:ascii="Cambria Math" w:eastAsia="Cambria Math" w:hAnsi="Cambria Math" w:cs="Cambria Math"/>
              </w:rPr>
            </m:ctrlPr>
          </m:sSubPr>
          <m:e>
            <m:r>
              <w:rPr>
                <w:rFonts w:ascii="Times New Roman" w:eastAsia="Times New Roman" w:hAnsi="Times New Roman" w:cs="Times New Roman"/>
              </w:rPr>
              <m:t>Trust</m:t>
            </m:r>
            <m:r>
              <w:rPr>
                <w:rFonts w:ascii="Times New Roman" w:eastAsia="Times New Roman" w:hAnsi="Times New Roman" w:cs="Times New Roman"/>
              </w:rPr>
              <m:t xml:space="preserve"> </m:t>
            </m:r>
            <m:r>
              <w:rPr>
                <w:rFonts w:ascii="Times New Roman" w:eastAsia="Times New Roman" w:hAnsi="Times New Roman" w:cs="Times New Roman"/>
              </w:rPr>
              <m:t>Score</m:t>
            </m:r>
          </m:e>
          <m:sub>
            <m:r>
              <w:rPr>
                <w:rFonts w:ascii="Cambria Math" w:eastAsia="Cambria Math" w:hAnsi="Cambria Math" w:cs="Cambria Math"/>
              </w:rPr>
              <m:t>t</m:t>
            </m:r>
          </m:sub>
        </m:sSub>
      </m:oMath>
      <w:r>
        <w:rPr>
          <w:rFonts w:ascii="Times New Roman" w:eastAsia="Times New Roman" w:hAnsi="Times New Roman" w:cs="Times New Roman"/>
        </w:rPr>
        <w:t>are used to trigger graduated respo</w:t>
      </w:r>
      <w:proofErr w:type="spellStart"/>
      <w:r>
        <w:rPr>
          <w:rFonts w:ascii="Times New Roman" w:eastAsia="Times New Roman" w:hAnsi="Times New Roman" w:cs="Times New Roman"/>
        </w:rPr>
        <w:t>nses</w:t>
      </w:r>
      <w:proofErr w:type="spellEnd"/>
      <w:r>
        <w:rPr>
          <w:rFonts w:ascii="Times New Roman" w:eastAsia="Times New Roman" w:hAnsi="Times New Roman" w:cs="Times New Roman"/>
        </w:rPr>
        <w:t>. For example, values above 0.9 permit normal operation, values between 0.7 and 0.9 invoke lightweight secondary checks, values between 0.5 and 0.7 trigger human review, and values below 0.5 result in automated blocking and incident escalation (Identit</w:t>
      </w:r>
      <w:r>
        <w:rPr>
          <w:rFonts w:ascii="Times New Roman" w:eastAsia="Times New Roman" w:hAnsi="Times New Roman" w:cs="Times New Roman"/>
        </w:rPr>
        <w:t>y Management Institute, 2026; Trio Content Team, 2025).</w:t>
      </w:r>
    </w:p>
    <w:p w14:paraId="5865CF87"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Human-in-the-Loop Governance and Authorization</w:t>
      </w:r>
    </w:p>
    <w:p w14:paraId="54D7525F"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Governance mechanisms define how executive AI agents may act and under what constraints. Authority boundaries are modeled as functions of financial magni</w:t>
      </w:r>
      <w:r>
        <w:rPr>
          <w:rFonts w:ascii="Times New Roman" w:eastAsia="Times New Roman" w:hAnsi="Times New Roman" w:cs="Times New Roman"/>
        </w:rPr>
        <w:t>tude, organizational risk, and strategic criticality (</w:t>
      </w:r>
      <w:proofErr w:type="spellStart"/>
      <w:r>
        <w:rPr>
          <w:rFonts w:ascii="Times New Roman" w:eastAsia="Times New Roman" w:hAnsi="Times New Roman" w:cs="Times New Roman"/>
        </w:rPr>
        <w:t>Meimandi</w:t>
      </w:r>
      <w:proofErr w:type="spellEnd"/>
      <w:r>
        <w:rPr>
          <w:rFonts w:ascii="Times New Roman" w:eastAsia="Times New Roman" w:hAnsi="Times New Roman" w:cs="Times New Roman"/>
        </w:rPr>
        <w:t xml:space="preserve"> et al., 2025):</w:t>
      </w:r>
    </w:p>
    <w:p w14:paraId="637FE8AA" w14:textId="77777777" w:rsidR="00372E14" w:rsidRDefault="00CC1D80">
      <w:pPr>
        <w:jc w:val="center"/>
        <w:rPr>
          <w:rFonts w:ascii="Cambria Math" w:eastAsia="Cambria Math" w:hAnsi="Cambria Math" w:cs="Cambria Math"/>
        </w:rPr>
      </w:pPr>
      <m:oMathPara>
        <m:oMath>
          <m:r>
            <w:rPr>
              <w:rFonts w:ascii="Times New Roman" w:eastAsia="Times New Roman" w:hAnsi="Times New Roman" w:cs="Times New Roman"/>
            </w:rPr>
            <m:t>Aut</m:t>
          </m:r>
          <m:r>
            <w:rPr>
              <w:rFonts w:ascii="Times New Roman" w:eastAsia="Times New Roman" w:hAnsi="Times New Roman" w:cs="Times New Roman"/>
            </w:rPr>
            <m:t>h</m:t>
          </m:r>
          <m:r>
            <w:rPr>
              <w:rFonts w:ascii="Times New Roman" w:eastAsia="Times New Roman" w:hAnsi="Times New Roman" w:cs="Times New Roman"/>
            </w:rPr>
            <m:t>ority</m:t>
          </m:r>
          <m:r>
            <w:rPr>
              <w:rFonts w:ascii="Times New Roman" w:eastAsia="Times New Roman" w:hAnsi="Times New Roman" w:cs="Times New Roman"/>
            </w:rPr>
            <m:t xml:space="preserve"> </m:t>
          </m:r>
          <m:r>
            <w:rPr>
              <w:rFonts w:ascii="Times New Roman" w:eastAsia="Times New Roman" w:hAnsi="Times New Roman" w:cs="Times New Roman"/>
            </w:rPr>
            <m:t>Level</m:t>
          </m:r>
          <m:r>
            <w:rPr>
              <w:rFonts w:ascii="Cambria Math" w:eastAsia="Cambria Math" w:hAnsi="Cambria Math" w:cs="Cambria Math"/>
            </w:rPr>
            <m:t>=</m:t>
          </m:r>
          <m:r>
            <w:rPr>
              <w:rFonts w:ascii="Cambria Math" w:eastAsia="Cambria Math" w:hAnsi="Cambria Math" w:cs="Cambria Math"/>
            </w:rPr>
            <m:t>min</m:t>
          </m:r>
          <m:r>
            <w:rPr>
              <w:rFonts w:ascii="Cambria Math" w:eastAsia="Cambria Math" w:hAnsi="Cambria Math" w:cs="Cambria Math"/>
            </w:rPr>
            <m:t>⁡</m:t>
          </m:r>
          <m:r>
            <w:rPr>
              <w:rFonts w:ascii="Cambria Math" w:eastAsia="Cambria Math" w:hAnsi="Cambria Math" w:cs="Cambria Math"/>
            </w:rPr>
            <m:t>{</m:t>
          </m:r>
          <m:r>
            <w:rPr>
              <w:rFonts w:ascii="Times New Roman" w:eastAsia="Times New Roman" w:hAnsi="Times New Roman" w:cs="Times New Roman"/>
            </w:rPr>
            <m:t>FinancialT</m:t>
          </m:r>
          <m:r>
            <w:rPr>
              <w:rFonts w:ascii="Times New Roman" w:eastAsia="Times New Roman" w:hAnsi="Times New Roman" w:cs="Times New Roman"/>
            </w:rPr>
            <m:t>h</m:t>
          </m:r>
          <m:r>
            <w:rPr>
              <w:rFonts w:ascii="Times New Roman" w:eastAsia="Times New Roman" w:hAnsi="Times New Roman" w:cs="Times New Roman"/>
            </w:rPr>
            <m:t>res</m:t>
          </m:r>
          <m:r>
            <w:rPr>
              <w:rFonts w:ascii="Times New Roman" w:eastAsia="Times New Roman" w:hAnsi="Times New Roman" w:cs="Times New Roman"/>
            </w:rPr>
            <m:t>h</m:t>
          </m:r>
          <m:r>
            <w:rPr>
              <w:rFonts w:ascii="Times New Roman" w:eastAsia="Times New Roman" w:hAnsi="Times New Roman" w:cs="Times New Roman"/>
            </w:rPr>
            <m:t>old</m:t>
          </m:r>
          <m:r>
            <w:rPr>
              <w:rFonts w:ascii="Cambria Math" w:eastAsia="Cambria Math" w:hAnsi="Cambria Math" w:cs="Cambria Math"/>
            </w:rPr>
            <m:t xml:space="preserve">, </m:t>
          </m:r>
          <m:r>
            <w:rPr>
              <w:rFonts w:ascii="Times New Roman" w:eastAsia="Times New Roman" w:hAnsi="Times New Roman" w:cs="Times New Roman"/>
            </w:rPr>
            <m:t>RiskT</m:t>
          </m:r>
          <m:r>
            <w:rPr>
              <w:rFonts w:ascii="Times New Roman" w:eastAsia="Times New Roman" w:hAnsi="Times New Roman" w:cs="Times New Roman"/>
            </w:rPr>
            <m:t>h</m:t>
          </m:r>
          <m:r>
            <w:rPr>
              <w:rFonts w:ascii="Times New Roman" w:eastAsia="Times New Roman" w:hAnsi="Times New Roman" w:cs="Times New Roman"/>
            </w:rPr>
            <m:t>res</m:t>
          </m:r>
          <m:r>
            <w:rPr>
              <w:rFonts w:ascii="Times New Roman" w:eastAsia="Times New Roman" w:hAnsi="Times New Roman" w:cs="Times New Roman"/>
            </w:rPr>
            <m:t>h</m:t>
          </m:r>
          <m:r>
            <w:rPr>
              <w:rFonts w:ascii="Times New Roman" w:eastAsia="Times New Roman" w:hAnsi="Times New Roman" w:cs="Times New Roman"/>
            </w:rPr>
            <m:t>old</m:t>
          </m:r>
          <m:r>
            <w:rPr>
              <w:rFonts w:ascii="Cambria Math" w:eastAsia="Cambria Math" w:hAnsi="Cambria Math" w:cs="Cambria Math"/>
            </w:rPr>
            <m:t xml:space="preserve">, </m:t>
          </m:r>
          <m:r>
            <w:rPr>
              <w:rFonts w:ascii="Times New Roman" w:eastAsia="Times New Roman" w:hAnsi="Times New Roman" w:cs="Times New Roman"/>
            </w:rPr>
            <m:t>StrategicT</m:t>
          </m:r>
          <m:r>
            <w:rPr>
              <w:rFonts w:ascii="Times New Roman" w:eastAsia="Times New Roman" w:hAnsi="Times New Roman" w:cs="Times New Roman"/>
            </w:rPr>
            <m:t>h</m:t>
          </m:r>
          <m:r>
            <w:rPr>
              <w:rFonts w:ascii="Times New Roman" w:eastAsia="Times New Roman" w:hAnsi="Times New Roman" w:cs="Times New Roman"/>
            </w:rPr>
            <m:t>res</m:t>
          </m:r>
          <m:r>
            <w:rPr>
              <w:rFonts w:ascii="Times New Roman" w:eastAsia="Times New Roman" w:hAnsi="Times New Roman" w:cs="Times New Roman"/>
            </w:rPr>
            <m:t>h</m:t>
          </m:r>
          <m:r>
            <w:rPr>
              <w:rFonts w:ascii="Times New Roman" w:eastAsia="Times New Roman" w:hAnsi="Times New Roman" w:cs="Times New Roman"/>
            </w:rPr>
            <m:t>old</m:t>
          </m:r>
          <m:r>
            <w:rPr>
              <w:rFonts w:ascii="Cambria Math" w:eastAsia="Cambria Math" w:hAnsi="Cambria Math" w:cs="Cambria Math"/>
            </w:rPr>
            <m:t>}</m:t>
          </m:r>
        </m:oMath>
      </m:oMathPara>
    </w:p>
    <w:p w14:paraId="3D0DC003"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where each threshold is a classifier that d</w:t>
      </w:r>
      <w:r>
        <w:rPr>
          <w:rFonts w:ascii="Times New Roman" w:eastAsia="Times New Roman" w:hAnsi="Times New Roman" w:cs="Times New Roman"/>
        </w:rPr>
        <w:t>etermines whether a decision can be autonomously executed by the agent or must be escalated. High-risk, high-impact decisions are constrained to human approval, while low-risk routine actions may be delegated to the agent.</w:t>
      </w:r>
    </w:p>
    <w:p w14:paraId="538C0F67"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Compliance checks are implemented</w:t>
      </w:r>
      <w:r>
        <w:rPr>
          <w:rFonts w:ascii="Times New Roman" w:eastAsia="Times New Roman" w:hAnsi="Times New Roman" w:cs="Times New Roman"/>
        </w:rPr>
        <w:t xml:space="preserve"> as rule-based policies of the form:</w:t>
      </w:r>
    </w:p>
    <w:p w14:paraId="3F37B3DE" w14:textId="77777777" w:rsidR="00372E14" w:rsidRDefault="00CC1D80">
      <w:pPr>
        <w:jc w:val="center"/>
        <w:rPr>
          <w:rFonts w:ascii="Times New Roman" w:eastAsia="Times New Roman" w:hAnsi="Times New Roman" w:cs="Times New Roman"/>
        </w:rPr>
      </w:pPr>
      <m:oMathPara>
        <m:oMath>
          <m:r>
            <w:rPr>
              <w:rFonts w:ascii="Times New Roman" w:eastAsia="Times New Roman" w:hAnsi="Times New Roman" w:cs="Times New Roman"/>
            </w:rPr>
            <m:t>IF</m:t>
          </m:r>
          <m:r>
            <w:rPr>
              <w:rFonts w:ascii="Times New Roman" w:eastAsia="Times New Roman" w:hAnsi="Times New Roman" w:cs="Times New Roman"/>
            </w:rPr>
            <m:t xml:space="preserve"> </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r>
            <w:rPr>
              <w:rFonts w:ascii="Cambria Math" w:eastAsia="Cambria Math" w:hAnsi="Cambria Math" w:cs="Cambria Math"/>
            </w:rPr>
            <m:t>)</m:t>
          </m:r>
          <m:r>
            <w:rPr>
              <w:rFonts w:ascii="Times New Roman" w:eastAsia="Times New Roman" w:hAnsi="Times New Roman" w:cs="Times New Roman"/>
            </w:rPr>
            <m:t xml:space="preserve"> </m:t>
          </m:r>
          <m:r>
            <w:rPr>
              <w:rFonts w:ascii="Times New Roman" w:eastAsia="Times New Roman" w:hAnsi="Times New Roman" w:cs="Times New Roman"/>
            </w:rPr>
            <m:t>THEN</m:t>
          </m:r>
          <m:r>
            <w:rPr>
              <w:rFonts w:ascii="Times New Roman" w:eastAsia="Times New Roman" w:hAnsi="Times New Roman" w:cs="Times New Roman"/>
            </w:rPr>
            <m:t xml:space="preserve"> </m:t>
          </m:r>
          <m:r>
            <w:rPr>
              <w:rFonts w:ascii="Times New Roman" w:eastAsia="Times New Roman" w:hAnsi="Times New Roman" w:cs="Times New Roman"/>
            </w:rPr>
            <m:t>Action</m:t>
          </m:r>
        </m:oMath>
      </m:oMathPara>
    </w:p>
    <w:p w14:paraId="56FC1022"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each condition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j</m:t>
            </m:r>
          </m:sub>
        </m:sSub>
      </m:oMath>
      <w:r>
        <w:rPr>
          <w:rFonts w:ascii="Times New Roman" w:eastAsia="Times New Roman" w:hAnsi="Times New Roman" w:cs="Times New Roman"/>
        </w:rPr>
        <w:t xml:space="preserve"> tests attributes of the decision, such as payment amount, vendor status, or regulatory constraints. For a given decision </w:t>
      </w:r>
      <m:oMath>
        <m:r>
          <w:rPr>
            <w:rFonts w:ascii="Cambria Math" w:eastAsia="Cambria Math" w:hAnsi="Cambria Math" w:cs="Cambria Math"/>
          </w:rPr>
          <m:t>D</m:t>
        </m:r>
      </m:oMath>
      <w:r>
        <w:rPr>
          <w:rFonts w:ascii="Times New Roman" w:eastAsia="Times New Roman" w:hAnsi="Times New Roman" w:cs="Times New Roman"/>
        </w:rPr>
        <w:t>, a compliance score is de</w:t>
      </w:r>
      <w:r>
        <w:rPr>
          <w:rFonts w:ascii="Times New Roman" w:eastAsia="Times New Roman" w:hAnsi="Times New Roman" w:cs="Times New Roman"/>
        </w:rPr>
        <w:t>fined as:</w:t>
      </w:r>
    </w:p>
    <w:p w14:paraId="1F03C2F1" w14:textId="77777777" w:rsidR="00372E14" w:rsidRDefault="00CC1D80">
      <w:pPr>
        <w:jc w:val="center"/>
        <w:rPr>
          <w:rFonts w:ascii="Times New Roman" w:eastAsia="Times New Roman" w:hAnsi="Times New Roman" w:cs="Times New Roman"/>
        </w:rPr>
      </w:pPr>
      <m:oMathPara>
        <m:oMath>
          <m:r>
            <w:rPr>
              <w:rFonts w:ascii="Times New Roman" w:eastAsia="Times New Roman" w:hAnsi="Times New Roman" w:cs="Times New Roman"/>
            </w:rPr>
            <m:t>Compliance</m:t>
          </m:r>
          <m:r>
            <w:rPr>
              <w:rFonts w:ascii="Times New Roman" w:eastAsia="Times New Roman" w:hAnsi="Times New Roman" w:cs="Times New Roman"/>
            </w:rPr>
            <m:t xml:space="preserve"> </m:t>
          </m:r>
          <m:r>
            <w:rPr>
              <w:rFonts w:ascii="Times New Roman" w:eastAsia="Times New Roman" w:hAnsi="Times New Roman" w:cs="Times New Roman"/>
            </w:rPr>
            <m:t>Score</m:t>
          </m:r>
          <m:r>
            <w:rPr>
              <w:rFonts w:ascii="Cambria Math" w:eastAsia="Cambria Math" w:hAnsi="Cambria Math" w:cs="Cambria Math"/>
            </w:rPr>
            <m:t>(</m:t>
          </m:r>
          <m:r>
            <w:rPr>
              <w:rFonts w:ascii="Cambria Math" w:eastAsia="Cambria Math" w:hAnsi="Cambria Math" w:cs="Cambria Math"/>
            </w:rPr>
            <m:t>D</m:t>
          </m:r>
          <m:r>
            <w:rPr>
              <w:rFonts w:ascii="Cambria Math" w:eastAsia="Cambria Math" w:hAnsi="Cambria Math" w:cs="Cambria Math"/>
            </w:rPr>
            <m:t>)=</m:t>
          </m:r>
          <m:f>
            <m:fPr>
              <m:ctrlPr>
                <w:rPr>
                  <w:rFonts w:ascii="Times New Roman" w:eastAsia="Times New Roman" w:hAnsi="Times New Roman" w:cs="Times New Roman"/>
                </w:rPr>
              </m:ctrlPr>
            </m:fPr>
            <m:num>
              <m:r>
                <w:rPr>
                  <w:rFonts w:ascii="Times New Roman" w:eastAsia="Times New Roman" w:hAnsi="Times New Roman" w:cs="Times New Roman"/>
                </w:rPr>
                <m:t>Number</m:t>
              </m:r>
              <m:r>
                <w:rPr>
                  <w:rFonts w:ascii="Times New Roman" w:eastAsia="Times New Roman" w:hAnsi="Times New Roman" w:cs="Times New Roman"/>
                </w:rPr>
                <m:t xml:space="preserve"> </m:t>
              </m:r>
              <m:r>
                <w:rPr>
                  <w:rFonts w:ascii="Times New Roman" w:eastAsia="Times New Roman" w:hAnsi="Times New Roman" w:cs="Times New Roman"/>
                </w:rPr>
                <m:t>of</m:t>
              </m:r>
              <m:r>
                <w:rPr>
                  <w:rFonts w:ascii="Times New Roman" w:eastAsia="Times New Roman" w:hAnsi="Times New Roman" w:cs="Times New Roman"/>
                </w:rPr>
                <m:t xml:space="preserve"> </m:t>
              </m:r>
              <m:r>
                <w:rPr>
                  <w:rFonts w:ascii="Times New Roman" w:eastAsia="Times New Roman" w:hAnsi="Times New Roman" w:cs="Times New Roman"/>
                </w:rPr>
                <m:t>policies</m:t>
              </m:r>
              <m:r>
                <w:rPr>
                  <w:rFonts w:ascii="Times New Roman" w:eastAsia="Times New Roman" w:hAnsi="Times New Roman" w:cs="Times New Roman"/>
                </w:rPr>
                <m:t xml:space="preserve"> </m:t>
              </m:r>
              <m:r>
                <w:rPr>
                  <w:rFonts w:ascii="Times New Roman" w:eastAsia="Times New Roman" w:hAnsi="Times New Roman" w:cs="Times New Roman"/>
                </w:rPr>
                <m:t>passed</m:t>
              </m:r>
            </m:num>
            <m:den>
              <m:r>
                <w:rPr>
                  <w:rFonts w:ascii="Times New Roman" w:eastAsia="Times New Roman" w:hAnsi="Times New Roman" w:cs="Times New Roman"/>
                </w:rPr>
                <m:t>Number</m:t>
              </m:r>
              <m:r>
                <w:rPr>
                  <w:rFonts w:ascii="Times New Roman" w:eastAsia="Times New Roman" w:hAnsi="Times New Roman" w:cs="Times New Roman"/>
                </w:rPr>
                <m:t xml:space="preserve"> </m:t>
              </m:r>
              <m:r>
                <w:rPr>
                  <w:rFonts w:ascii="Times New Roman" w:eastAsia="Times New Roman" w:hAnsi="Times New Roman" w:cs="Times New Roman"/>
                </w:rPr>
                <m:t>of</m:t>
              </m:r>
              <m:r>
                <w:rPr>
                  <w:rFonts w:ascii="Times New Roman" w:eastAsia="Times New Roman" w:hAnsi="Times New Roman" w:cs="Times New Roman"/>
                </w:rPr>
                <m:t xml:space="preserve"> </m:t>
              </m:r>
              <m:r>
                <w:rPr>
                  <w:rFonts w:ascii="Times New Roman" w:eastAsia="Times New Roman" w:hAnsi="Times New Roman" w:cs="Times New Roman"/>
                </w:rPr>
                <m:t>applicable</m:t>
              </m:r>
              <m:r>
                <w:rPr>
                  <w:rFonts w:ascii="Times New Roman" w:eastAsia="Times New Roman" w:hAnsi="Times New Roman" w:cs="Times New Roman"/>
                </w:rPr>
                <m:t xml:space="preserve"> </m:t>
              </m:r>
              <m:r>
                <w:rPr>
                  <w:rFonts w:ascii="Times New Roman" w:eastAsia="Times New Roman" w:hAnsi="Times New Roman" w:cs="Times New Roman"/>
                </w:rPr>
                <m:t>policies</m:t>
              </m:r>
            </m:den>
          </m:f>
        </m:oMath>
      </m:oMathPara>
    </w:p>
    <w:p w14:paraId="6E5A622D"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Scores below one trigger escalation to human reviewers and logs for audit, thereby operationalizing the Gov</w:t>
      </w:r>
      <w:r>
        <w:rPr>
          <w:rFonts w:ascii="Times New Roman" w:eastAsia="Times New Roman" w:hAnsi="Times New Roman" w:cs="Times New Roman"/>
        </w:rPr>
        <w:t xml:space="preserve">ern and Manage functions of the NIST AI RMF (National Institute of Standards and Technology, 2023; Villanueva, 2025). Role-based access control matrices assign </w:t>
      </w:r>
      <w:r>
        <w:rPr>
          <w:rFonts w:ascii="Times New Roman" w:eastAsia="Times New Roman" w:hAnsi="Times New Roman" w:cs="Times New Roman"/>
        </w:rPr>
        <w:lastRenderedPageBreak/>
        <w:t>baseline permissions by role and resource, and a risk-adaptive multiplier reduces effective priv</w:t>
      </w:r>
      <w:r>
        <w:rPr>
          <w:rFonts w:ascii="Times New Roman" w:eastAsia="Times New Roman" w:hAnsi="Times New Roman" w:cs="Times New Roman"/>
        </w:rPr>
        <w:t>ileges when threat levels rise or trust scores decline (Identity Management Institute, 2026; Zero-Trust Security Architecture in the AI Era, 2024).</w:t>
      </w:r>
    </w:p>
    <w:p w14:paraId="1C755541"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Adversarial Resilience Testing and Validation</w:t>
      </w:r>
    </w:p>
    <w:p w14:paraId="5C5470A9"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Adversarial resilience is assessed via structured red teaming </w:t>
      </w:r>
      <w:r>
        <w:rPr>
          <w:rFonts w:ascii="Times New Roman" w:eastAsia="Times New Roman" w:hAnsi="Times New Roman" w:cs="Times New Roman"/>
        </w:rPr>
        <w:t xml:space="preserve">simulating AI enabled executive impersonation. The attack surface is defined as triples of vector, vulnerability, and impact, including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calls, behavioral mimicry, prompt injections, and multichannel social engineering (Rodriguez et al., 2025; Zhan</w:t>
      </w:r>
      <w:r>
        <w:rPr>
          <w:rFonts w:ascii="Times New Roman" w:eastAsia="Times New Roman" w:hAnsi="Times New Roman" w:cs="Times New Roman"/>
        </w:rPr>
        <w:t xml:space="preserve">g et al., 2024; Li et al., 2025). Metrics include attack success rate, mean time to detection and containment, and recovery effectiveness, aligned with NIST AI RMF Measure and Manage functions and AI safety evaluations (Brundage et al., 2020; </w:t>
      </w:r>
      <w:proofErr w:type="spellStart"/>
      <w:r>
        <w:rPr>
          <w:rFonts w:ascii="Times New Roman" w:eastAsia="Times New Roman" w:hAnsi="Times New Roman" w:cs="Times New Roman"/>
        </w:rPr>
        <w:t>Gipiškis</w:t>
      </w:r>
      <w:proofErr w:type="spellEnd"/>
      <w:r>
        <w:rPr>
          <w:rFonts w:ascii="Times New Roman" w:eastAsia="Times New Roman" w:hAnsi="Times New Roman" w:cs="Times New Roman"/>
        </w:rPr>
        <w:t xml:space="preserve"> et a</w:t>
      </w:r>
      <w:r>
        <w:rPr>
          <w:rFonts w:ascii="Times New Roman" w:eastAsia="Times New Roman" w:hAnsi="Times New Roman" w:cs="Times New Roman"/>
        </w:rPr>
        <w:t>l., 2024).</w:t>
      </w:r>
    </w:p>
    <w:p w14:paraId="2E72D944"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Incident-probability estimation uses Bayesian updating over observable signals such as sudden trust-score drops, policy-violation counts, anomalous contexts, and red-team triggers:</w:t>
      </w:r>
    </w:p>
    <w:p w14:paraId="0705BF54" w14:textId="77777777" w:rsidR="00372E14" w:rsidRDefault="00CC1D80">
      <w:pPr>
        <w:jc w:val="center"/>
        <w:rPr>
          <w:rFonts w:ascii="Cambria Math" w:eastAsia="Cambria Math" w:hAnsi="Cambria Math" w:cs="Cambria Math"/>
        </w:rPr>
      </w:pPr>
      <m:oMathPara>
        <m:oMath>
          <m:r>
            <w:rPr>
              <w:rFonts w:ascii="Cambria Math" w:eastAsia="Cambria Math" w:hAnsi="Cambria Math" w:cs="Cambria Math"/>
            </w:rPr>
            <m:t>P</m:t>
          </m:r>
          <m:r>
            <w:rPr>
              <w:rFonts w:ascii="Cambria Math" w:eastAsia="Cambria Math" w:hAnsi="Cambria Math" w:cs="Cambria Math"/>
            </w:rPr>
            <m:t>(</m:t>
          </m:r>
          <m:r>
            <w:rPr>
              <w:rFonts w:ascii="Times New Roman" w:eastAsia="Times New Roman" w:hAnsi="Times New Roman" w:cs="Times New Roman"/>
            </w:rPr>
            <m:t>Malicious</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n</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P</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n</m:t>
                  </m:r>
                </m:sub>
              </m:sSub>
              <m:r>
                <w:rPr>
                  <w:rFonts w:ascii="Cambria Math" w:eastAsia="Cambria Math" w:hAnsi="Cambria Math" w:cs="Cambria Math"/>
                </w:rPr>
                <m:t>∣</m:t>
              </m:r>
              <m:r>
                <w:rPr>
                  <w:rFonts w:ascii="Times New Roman" w:eastAsia="Times New Roman" w:hAnsi="Times New Roman" w:cs="Times New Roman"/>
                </w:rPr>
                <m:t>Maliciou</m:t>
              </m:r>
              <m:r>
                <w:rPr>
                  <w:rFonts w:ascii="Times New Roman" w:eastAsia="Times New Roman" w:hAnsi="Times New Roman" w:cs="Times New Roman"/>
                </w:rPr>
                <m:t>s</m:t>
              </m:r>
              <m:r>
                <w:rPr>
                  <w:rFonts w:ascii="Cambria Math" w:eastAsia="Cambria Math" w:hAnsi="Cambria Math" w:cs="Cambria Math"/>
                </w:rPr>
                <m:t>)</m:t>
              </m:r>
              <m:r>
                <w:rPr>
                  <w:rFonts w:ascii="Times New Roman" w:eastAsia="Times New Roman" w:hAnsi="Times New Roman" w:cs="Times New Roman"/>
                </w:rPr>
                <m:t> </m:t>
              </m:r>
              <m:r>
                <w:rPr>
                  <w:rFonts w:ascii="Cambria Math" w:eastAsia="Cambria Math" w:hAnsi="Cambria Math" w:cs="Cambria Math"/>
                </w:rPr>
                <m:t>P</m:t>
              </m:r>
              <m:r>
                <w:rPr>
                  <w:rFonts w:ascii="Cambria Math" w:eastAsia="Cambria Math" w:hAnsi="Cambria Math" w:cs="Cambria Math"/>
                </w:rPr>
                <m:t>(</m:t>
              </m:r>
              <m:r>
                <w:rPr>
                  <w:rFonts w:ascii="Times New Roman" w:eastAsia="Times New Roman" w:hAnsi="Times New Roman" w:cs="Times New Roman"/>
                </w:rPr>
                <m:t>Malicious</m:t>
              </m:r>
              <m:r>
                <w:rPr>
                  <w:rFonts w:ascii="Cambria Math" w:eastAsia="Cambria Math" w:hAnsi="Cambria Math" w:cs="Cambria Math"/>
                </w:rPr>
                <m:t>)</m:t>
              </m:r>
            </m:num>
            <m:den>
              <m:r>
                <w:rPr>
                  <w:rFonts w:ascii="Cambria Math" w:eastAsia="Cambria Math" w:hAnsi="Cambria Math" w:cs="Cambria Math"/>
                </w:rPr>
                <m:t>P</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n</m:t>
                  </m:r>
                </m:sub>
              </m:sSub>
              <m:r>
                <w:rPr>
                  <w:rFonts w:ascii="Cambria Math" w:eastAsia="Cambria Math" w:hAnsi="Cambria Math" w:cs="Cambria Math"/>
                </w:rPr>
                <m:t>)</m:t>
              </m:r>
            </m:den>
          </m:f>
        </m:oMath>
      </m:oMathPara>
    </w:p>
    <w:p w14:paraId="0289A0C8"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Severity classes and automated containment actions are then mapped from this probability, the current decision authority class, and asset value, ensuring that the most sensitive operations receive stronger automatic</w:t>
      </w:r>
      <w:r>
        <w:rPr>
          <w:rFonts w:ascii="Times New Roman" w:eastAsia="Times New Roman" w:hAnsi="Times New Roman" w:cs="Times New Roman"/>
        </w:rPr>
        <w:t xml:space="preserve"> protections (National Institute of Standards and Technology, 2023; Janani, 2025).</w:t>
      </w:r>
    </w:p>
    <w:p w14:paraId="55C71296"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Statistical Analysis and Validation</w:t>
      </w:r>
    </w:p>
    <w:p w14:paraId="5120F316"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Model development and evaluation use stratified </w:t>
      </w:r>
      <m:oMath>
        <m:r>
          <w:rPr>
            <w:rFonts w:ascii="Cambria Math" w:eastAsia="Cambria Math" w:hAnsi="Cambria Math" w:cs="Cambria Math"/>
          </w:rPr>
          <m:t>k</m:t>
        </m:r>
      </m:oMath>
      <w:r>
        <w:rPr>
          <w:rFonts w:ascii="Times New Roman" w:eastAsia="Times New Roman" w:hAnsi="Times New Roman" w:cs="Times New Roman"/>
        </w:rPr>
        <w:t xml:space="preserve">-fold cross-validation with </w:t>
      </w:r>
      <m:oMath>
        <m:r>
          <w:rPr>
            <w:rFonts w:ascii="Cambria Math" w:eastAsia="Cambria Math" w:hAnsi="Cambria Math" w:cs="Cambria Math"/>
          </w:rPr>
          <m:t>k</m:t>
        </m:r>
        <m:r>
          <w:rPr>
            <w:rFonts w:ascii="Cambria Math" w:eastAsia="Cambria Math" w:hAnsi="Cambria Math" w:cs="Cambria Math"/>
          </w:rPr>
          <m:t>=10</m:t>
        </m:r>
      </m:oMath>
      <w:r>
        <w:rPr>
          <w:rFonts w:ascii="Times New Roman" w:eastAsia="Times New Roman" w:hAnsi="Times New Roman" w:cs="Times New Roman"/>
        </w:rPr>
        <w:t>to estimate generalization error, defined as:</w:t>
      </w:r>
    </w:p>
    <w:p w14:paraId="781A70B9" w14:textId="77777777" w:rsidR="00372E14" w:rsidRDefault="00CC1D80">
      <w:pPr>
        <w:jc w:val="center"/>
        <w:rPr>
          <w:rFonts w:ascii="Cambria Math" w:eastAsia="Cambria Math" w:hAnsi="Cambria Math" w:cs="Cambria Math"/>
        </w:rPr>
      </w:pPr>
      <m:oMathPara>
        <m:oMath>
          <m:r>
            <w:rPr>
              <w:rFonts w:ascii="Times New Roman" w:eastAsia="Times New Roman" w:hAnsi="Times New Roman" w:cs="Times New Roman"/>
            </w:rPr>
            <m:t>CV</m:t>
          </m:r>
          <m:r>
            <w:rPr>
              <w:rFonts w:ascii="Times New Roman" w:eastAsia="Times New Roman" w:hAnsi="Times New Roman" w:cs="Times New Roman"/>
            </w:rPr>
            <m:t xml:space="preserve"> </m:t>
          </m:r>
          <m:r>
            <w:rPr>
              <w:rFonts w:ascii="Times New Roman" w:eastAsia="Times New Roman" w:hAnsi="Times New Roman" w:cs="Times New Roman"/>
            </w:rPr>
            <m:t>Error</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k</m:t>
              </m:r>
            </m:den>
          </m:f>
          <m:nary>
            <m:naryPr>
              <m:chr m:val="∑"/>
              <m:ctrlPr>
                <w:rPr>
                  <w:rFonts w:ascii="Cambria Math" w:eastAsia="Cambria Math" w:hAnsi="Cambria Math" w:cs="Cambria Math"/>
                </w:rPr>
              </m:ctrlPr>
            </m:naryPr>
            <m:sub>
              <m:r>
                <w:rPr>
                  <w:rFonts w:ascii="Cambria Math" w:eastAsia="Cambria Math" w:hAnsi="Cambria Math" w:cs="Cambria Math"/>
                </w:rPr>
                <m:t>i</m:t>
              </m:r>
              <m:r>
                <w:rPr>
                  <w:rFonts w:ascii="Cambria Math" w:eastAsia="Cambria Math" w:hAnsi="Cambria Math" w:cs="Cambria Math"/>
                </w:rPr>
                <m:t>=1</m:t>
              </m:r>
            </m:sub>
            <m:sup>
              <m:r>
                <w:rPr>
                  <w:rFonts w:ascii="Cambria Math" w:eastAsia="Cambria Math" w:hAnsi="Cambria Math" w:cs="Cambria Math"/>
                </w:rPr>
                <m:t>k</m:t>
              </m:r>
            </m:sup>
            <m:e/>
          </m:nary>
          <m:sSub>
            <m:sSubPr>
              <m:ctrlPr>
                <w:rPr>
                  <w:rFonts w:ascii="Cambria Math" w:eastAsia="Cambria Math" w:hAnsi="Cambria Math" w:cs="Cambria Math"/>
                </w:rPr>
              </m:ctrlPr>
            </m:sSubPr>
            <m:e>
              <m:r>
                <w:rPr>
                  <w:rFonts w:ascii="Times New Roman" w:eastAsia="Times New Roman" w:hAnsi="Times New Roman" w:cs="Times New Roman"/>
                </w:rPr>
                <m:t>Error</m:t>
              </m:r>
            </m:e>
            <m:sub>
              <m:r>
                <w:rPr>
                  <w:rFonts w:ascii="Cambria Math" w:eastAsia="Cambria Math" w:hAnsi="Cambria Math" w:cs="Cambria Math"/>
                </w:rPr>
                <m:t>i</m:t>
              </m:r>
            </m:sub>
          </m:sSub>
          <m:r>
            <w:rPr>
              <w:rFonts w:ascii="Cambria Math" w:eastAsia="Cambria Math" w:hAnsi="Cambria Math" w:cs="Cambria Math"/>
            </w:rPr>
            <m:t>,</m:t>
          </m:r>
        </m:oMath>
      </m:oMathPara>
    </w:p>
    <w:p w14:paraId="29637254"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Times New Roman" w:eastAsia="Times New Roman" w:hAnsi="Times New Roman" w:cs="Times New Roman"/>
              </w:rPr>
              <m:t>Error</m:t>
            </m:r>
          </m:e>
          <m:sub>
            <m:r>
              <w:rPr>
                <w:rFonts w:ascii="Cambria Math" w:eastAsia="Cambria Math" w:hAnsi="Cambria Math" w:cs="Cambria Math"/>
              </w:rPr>
              <m:t>i</m:t>
            </m:r>
          </m:sub>
        </m:sSub>
      </m:oMath>
      <w:r>
        <w:rPr>
          <w:rFonts w:ascii="Times New Roman" w:eastAsia="Times New Roman" w:hAnsi="Times New Roman" w:cs="Times New Roman"/>
        </w:rPr>
        <w:t xml:space="preserve">is the misclassification or detection error on fold </w:t>
      </w:r>
      <m:oMath>
        <m:r>
          <w:rPr>
            <w:rFonts w:ascii="Cambria Math" w:eastAsia="Cambria Math" w:hAnsi="Cambria Math" w:cs="Cambria Math"/>
          </w:rPr>
          <m:t>i</m:t>
        </m:r>
      </m:oMath>
      <w:r>
        <w:rPr>
          <w:rFonts w:ascii="Times New Roman" w:eastAsia="Times New Roman" w:hAnsi="Times New Roman" w:cs="Times New Roman"/>
        </w:rPr>
        <w:t xml:space="preserve">when the model is trained on the remaining </w:t>
      </w:r>
      <w:proofErr w:type="gramStart"/>
      <w:r>
        <w:rPr>
          <w:rFonts w:ascii="Times New Roman" w:eastAsia="Times New Roman" w:hAnsi="Times New Roman" w:cs="Times New Roman"/>
        </w:rPr>
        <w:t>folds.</w:t>
      </w:r>
      <w:proofErr w:type="gramEnd"/>
      <w:r>
        <w:rPr>
          <w:rFonts w:ascii="Times New Roman" w:eastAsia="Times New Roman" w:hAnsi="Times New Roman" w:cs="Times New Roman"/>
        </w:rPr>
        <w:t xml:space="preserve"> Temporal validation is applied by training on data from an earlier time interval </w:t>
      </w:r>
      <m:oMath>
        <m:d>
          <m:dPr>
            <m:begChr m:val="["/>
            <m:endChr m:val="]"/>
            <m:ctrlPr>
              <w:rPr>
                <w:rFonts w:ascii="Cambria Math" w:hAnsi="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oMath>
      <w:r>
        <w:rPr>
          <w:rFonts w:ascii="Times New Roman" w:eastAsia="Times New Roman" w:hAnsi="Times New Roman" w:cs="Times New Roman"/>
        </w:rPr>
        <w:t>and testing</w:t>
      </w:r>
      <w:r>
        <w:rPr>
          <w:rFonts w:ascii="Times New Roman" w:eastAsia="Times New Roman" w:hAnsi="Times New Roman" w:cs="Times New Roman"/>
        </w:rPr>
        <w:t xml:space="preserve"> on a later interval </w:t>
      </w:r>
      <m:oMath>
        <m:d>
          <m:dPr>
            <m:begChr m:val="["/>
            <m:endChr m:val="]"/>
            <m:ctrlPr>
              <w:rPr>
                <w:rFonts w:ascii="Cambria Math" w:hAnsi="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e>
        </m:d>
      </m:oMath>
      <w:r>
        <w:rPr>
          <w:rFonts w:ascii="Times New Roman" w:eastAsia="Times New Roman" w:hAnsi="Times New Roman" w:cs="Times New Roman"/>
        </w:rPr>
        <w:t xml:space="preserve">, ensuring robustness to behavioral drift (Abuhamad et al., 2020). Confidence intervals are computed for key metrics such as accuracy, EER, and attack </w:t>
      </w:r>
      <w:r>
        <w:rPr>
          <w:rFonts w:ascii="Times New Roman" w:eastAsia="Times New Roman" w:hAnsi="Times New Roman" w:cs="Times New Roman"/>
        </w:rPr>
        <w:lastRenderedPageBreak/>
        <w:t>success rate, enabling hypothesis testing that the system meets or exceeds target</w:t>
      </w:r>
      <w:r>
        <w:rPr>
          <w:rFonts w:ascii="Times New Roman" w:eastAsia="Times New Roman" w:hAnsi="Times New Roman" w:cs="Times New Roman"/>
        </w:rPr>
        <w:t xml:space="preserve"> thresholds. Together, these methodological components provide a rigorous, quantitatively grounded approach to implementing adaptive cognitive profiling for executive AI agents amid emerging AI impersonation threats.</w:t>
      </w:r>
    </w:p>
    <w:p w14:paraId="6725C393" w14:textId="77777777" w:rsidR="00372E14" w:rsidRDefault="00372E14">
      <w:pPr>
        <w:spacing w:line="360" w:lineRule="auto"/>
        <w:jc w:val="both"/>
        <w:rPr>
          <w:rFonts w:ascii="Times New Roman" w:eastAsia="Times New Roman" w:hAnsi="Times New Roman" w:cs="Times New Roman"/>
        </w:rPr>
      </w:pPr>
    </w:p>
    <w:p w14:paraId="2ECCCE0C" w14:textId="54B3F595"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b/>
          <w:bCs/>
        </w:rPr>
        <w:tab/>
      </w:r>
      <w:r>
        <w:rPr>
          <w:rFonts w:ascii="Times New Roman" w:eastAsia="Times New Roman" w:hAnsi="Times New Roman" w:cs="Times New Roman"/>
          <w:b/>
          <w:bCs/>
        </w:rPr>
        <w:t>Results</w:t>
      </w:r>
    </w:p>
    <w:p w14:paraId="02096E91"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The empiric</w:t>
      </w:r>
      <w:r>
        <w:rPr>
          <w:rFonts w:ascii="Times New Roman" w:eastAsia="Times New Roman" w:hAnsi="Times New Roman" w:cs="Times New Roman"/>
        </w:rPr>
        <w:t>al implementation of the adaptive cognitive profiling framework followed the methodological pillars defined previously, progressing from behavioral feature extraction to anomaly detection, continuous adaptive trust computation, and governance-aligned acces</w:t>
      </w:r>
      <w:r>
        <w:rPr>
          <w:rFonts w:ascii="Times New Roman" w:eastAsia="Times New Roman" w:hAnsi="Times New Roman" w:cs="Times New Roman"/>
        </w:rPr>
        <w:t>s decisions. Results are presented in alignment with these stages and supported by tabular and graphical summaries.</w:t>
      </w:r>
    </w:p>
    <w:p w14:paraId="3EE359BD"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Behavioral profiling used a synthetically generated keystroke dataset reflecting the structure and variability of the CMU benchmark dataset,</w:t>
      </w:r>
      <w:r>
        <w:rPr>
          <w:rFonts w:ascii="Times New Roman" w:eastAsia="Times New Roman" w:hAnsi="Times New Roman" w:cs="Times New Roman"/>
        </w:rPr>
        <w:t xml:space="preserve"> including twenty subjects, eight sessions per subject, and fifty samples per session, yielding 8,000 samples split eighty–twenty into training and testing at the subject level. Table 1 summarizes dataset characteristics, including subjects, sessions, samp</w:t>
      </w:r>
      <w:r>
        <w:rPr>
          <w:rFonts w:ascii="Times New Roman" w:eastAsia="Times New Roman" w:hAnsi="Times New Roman" w:cs="Times New Roman"/>
        </w:rPr>
        <w:t xml:space="preserve">les, and twenty-seven timing-based features per sample. </w:t>
      </w:r>
      <w:r>
        <w:rPr>
          <w:rFonts w:ascii="Times New Roman" w:eastAsia="Times New Roman" w:hAnsi="Times New Roman" w:cs="Times New Roman"/>
        </w:rPr>
        <w:t>Figure</w:t>
      </w:r>
      <w:r>
        <w:rPr>
          <w:rFonts w:ascii="Times New Roman" w:eastAsia="Times New Roman" w:hAnsi="Times New Roman" w:cs="Times New Roman"/>
        </w:rPr>
        <w:t xml:space="preserve"> 1 visualizes sample distributions across subjects, sessions, and train–test splits, confirming balance and absence of subject overlap critical for evaluating generalization to new executives (</w:t>
      </w:r>
      <w:proofErr w:type="spellStart"/>
      <w:r>
        <w:rPr>
          <w:rFonts w:ascii="Times New Roman" w:eastAsia="Times New Roman" w:hAnsi="Times New Roman" w:cs="Times New Roman"/>
        </w:rPr>
        <w:t>K</w:t>
      </w:r>
      <w:r>
        <w:rPr>
          <w:rFonts w:ascii="Times New Roman" w:eastAsia="Times New Roman" w:hAnsi="Times New Roman" w:cs="Times New Roman"/>
        </w:rPr>
        <w:t>illourhy</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Maxion</w:t>
      </w:r>
      <w:proofErr w:type="spellEnd"/>
      <w:r>
        <w:rPr>
          <w:rFonts w:ascii="Times New Roman" w:eastAsia="Times New Roman" w:hAnsi="Times New Roman" w:cs="Times New Roman"/>
        </w:rPr>
        <w:t xml:space="preserve">, 2009; </w:t>
      </w:r>
      <w:proofErr w:type="spellStart"/>
      <w:r>
        <w:rPr>
          <w:rFonts w:ascii="Times New Roman" w:eastAsia="Times New Roman" w:hAnsi="Times New Roman" w:cs="Times New Roman"/>
        </w:rPr>
        <w:t>Bussabong</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Anusas-amornkul</w:t>
      </w:r>
      <w:proofErr w:type="spellEnd"/>
      <w:r>
        <w:rPr>
          <w:rFonts w:ascii="Times New Roman" w:eastAsia="Times New Roman" w:hAnsi="Times New Roman" w:cs="Times New Roman"/>
        </w:rPr>
        <w:t>, 2023).</w:t>
      </w:r>
    </w:p>
    <w:p w14:paraId="32F66FD2"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1</w:t>
      </w:r>
    </w:p>
    <w:p w14:paraId="332C92B2" w14:textId="77777777" w:rsidR="00372E14" w:rsidRDefault="00CC1D8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Dataset Characteristics and Distribution</w:t>
      </w:r>
    </w:p>
    <w:tbl>
      <w:tblPr>
        <w:tblStyle w:val="a"/>
        <w:tblW w:w="9315" w:type="dxa"/>
        <w:tblInd w:w="0" w:type="dxa"/>
        <w:tblLayout w:type="fixed"/>
        <w:tblLook w:val="0400" w:firstRow="0" w:lastRow="0" w:firstColumn="0" w:lastColumn="0" w:noHBand="0" w:noVBand="1"/>
      </w:tblPr>
      <w:tblGrid>
        <w:gridCol w:w="2805"/>
        <w:gridCol w:w="1861"/>
        <w:gridCol w:w="4649"/>
      </w:tblGrid>
      <w:tr w:rsidR="00372E14" w14:paraId="4C4870DE" w14:textId="77777777">
        <w:trPr>
          <w:tblHeader/>
        </w:trPr>
        <w:tc>
          <w:tcPr>
            <w:tcW w:w="2805" w:type="dxa"/>
            <w:tcBorders>
              <w:top w:val="single" w:sz="4" w:space="0" w:color="000000"/>
              <w:bottom w:val="single" w:sz="4" w:space="0" w:color="000000"/>
            </w:tcBorders>
            <w:tcMar>
              <w:top w:w="120" w:type="dxa"/>
              <w:left w:w="120" w:type="dxa"/>
              <w:bottom w:w="120" w:type="dxa"/>
              <w:right w:w="120" w:type="dxa"/>
            </w:tcMar>
          </w:tcPr>
          <w:p w14:paraId="50049479" w14:textId="77777777" w:rsidR="00372E14" w:rsidRDefault="00CC1D8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Parameter</w:t>
            </w:r>
          </w:p>
        </w:tc>
        <w:tc>
          <w:tcPr>
            <w:tcW w:w="1861" w:type="dxa"/>
            <w:tcBorders>
              <w:top w:val="single" w:sz="4" w:space="0" w:color="000000"/>
              <w:bottom w:val="single" w:sz="4" w:space="0" w:color="000000"/>
            </w:tcBorders>
            <w:tcMar>
              <w:top w:w="120" w:type="dxa"/>
              <w:left w:w="120" w:type="dxa"/>
              <w:bottom w:w="120" w:type="dxa"/>
              <w:right w:w="120" w:type="dxa"/>
            </w:tcMar>
          </w:tcPr>
          <w:p w14:paraId="5AC0CFAE" w14:textId="77777777" w:rsidR="00372E14" w:rsidRDefault="00CC1D8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Value</w:t>
            </w:r>
          </w:p>
        </w:tc>
        <w:tc>
          <w:tcPr>
            <w:tcW w:w="4649" w:type="dxa"/>
            <w:tcBorders>
              <w:top w:val="single" w:sz="4" w:space="0" w:color="000000"/>
              <w:bottom w:val="single" w:sz="4" w:space="0" w:color="000000"/>
            </w:tcBorders>
            <w:tcMar>
              <w:top w:w="120" w:type="dxa"/>
              <w:left w:w="120" w:type="dxa"/>
              <w:bottom w:w="120" w:type="dxa"/>
              <w:right w:w="120" w:type="dxa"/>
            </w:tcMar>
          </w:tcPr>
          <w:p w14:paraId="31EC2B5E" w14:textId="77777777" w:rsidR="00372E14" w:rsidRDefault="00CC1D8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Description</w:t>
            </w:r>
          </w:p>
        </w:tc>
      </w:tr>
      <w:tr w:rsidR="00372E14" w14:paraId="46A6A3EA" w14:textId="77777777">
        <w:tc>
          <w:tcPr>
            <w:tcW w:w="2805" w:type="dxa"/>
            <w:tcMar>
              <w:top w:w="137" w:type="dxa"/>
              <w:left w:w="120" w:type="dxa"/>
              <w:bottom w:w="137" w:type="dxa"/>
              <w:right w:w="120" w:type="dxa"/>
            </w:tcMar>
            <w:vAlign w:val="bottom"/>
          </w:tcPr>
          <w:p w14:paraId="121EC593"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Total Subjects</w:t>
            </w:r>
          </w:p>
        </w:tc>
        <w:tc>
          <w:tcPr>
            <w:tcW w:w="1861" w:type="dxa"/>
            <w:tcMar>
              <w:top w:w="137" w:type="dxa"/>
              <w:left w:w="120" w:type="dxa"/>
              <w:bottom w:w="137" w:type="dxa"/>
              <w:right w:w="120" w:type="dxa"/>
            </w:tcMar>
            <w:vAlign w:val="bottom"/>
          </w:tcPr>
          <w:p w14:paraId="418E5279"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20</w:t>
            </w:r>
          </w:p>
        </w:tc>
        <w:tc>
          <w:tcPr>
            <w:tcW w:w="4649" w:type="dxa"/>
            <w:tcMar>
              <w:top w:w="137" w:type="dxa"/>
              <w:left w:w="120" w:type="dxa"/>
              <w:bottom w:w="137" w:type="dxa"/>
              <w:right w:w="120" w:type="dxa"/>
            </w:tcMar>
            <w:vAlign w:val="bottom"/>
          </w:tcPr>
          <w:p w14:paraId="0BFEBD08"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Unique users represented in dataset</w:t>
            </w:r>
          </w:p>
        </w:tc>
      </w:tr>
      <w:tr w:rsidR="00372E14" w14:paraId="376665D0" w14:textId="77777777">
        <w:tc>
          <w:tcPr>
            <w:tcW w:w="2805" w:type="dxa"/>
            <w:tcMar>
              <w:top w:w="137" w:type="dxa"/>
              <w:left w:w="120" w:type="dxa"/>
              <w:bottom w:w="137" w:type="dxa"/>
              <w:right w:w="120" w:type="dxa"/>
            </w:tcMar>
            <w:vAlign w:val="bottom"/>
          </w:tcPr>
          <w:p w14:paraId="01EB10D8"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Sessions per Subject</w:t>
            </w:r>
          </w:p>
        </w:tc>
        <w:tc>
          <w:tcPr>
            <w:tcW w:w="1861" w:type="dxa"/>
            <w:tcMar>
              <w:top w:w="137" w:type="dxa"/>
              <w:left w:w="120" w:type="dxa"/>
              <w:bottom w:w="137" w:type="dxa"/>
              <w:right w:w="120" w:type="dxa"/>
            </w:tcMar>
            <w:vAlign w:val="bottom"/>
          </w:tcPr>
          <w:p w14:paraId="31F1D0DD"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4649" w:type="dxa"/>
            <w:tcMar>
              <w:top w:w="137" w:type="dxa"/>
              <w:left w:w="120" w:type="dxa"/>
              <w:bottom w:w="137" w:type="dxa"/>
              <w:right w:w="120" w:type="dxa"/>
            </w:tcMar>
            <w:vAlign w:val="bottom"/>
          </w:tcPr>
          <w:p w14:paraId="24E67014"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Number of typing sessions recorded</w:t>
            </w:r>
          </w:p>
        </w:tc>
      </w:tr>
      <w:tr w:rsidR="00372E14" w14:paraId="232D9BC3" w14:textId="77777777">
        <w:tc>
          <w:tcPr>
            <w:tcW w:w="2805" w:type="dxa"/>
            <w:tcMar>
              <w:top w:w="137" w:type="dxa"/>
              <w:left w:w="120" w:type="dxa"/>
              <w:bottom w:w="137" w:type="dxa"/>
              <w:right w:w="120" w:type="dxa"/>
            </w:tcMar>
            <w:vAlign w:val="bottom"/>
          </w:tcPr>
          <w:p w14:paraId="6E5CBF64"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Attempts per Session</w:t>
            </w:r>
          </w:p>
        </w:tc>
        <w:tc>
          <w:tcPr>
            <w:tcW w:w="1861" w:type="dxa"/>
            <w:tcMar>
              <w:top w:w="137" w:type="dxa"/>
              <w:left w:w="120" w:type="dxa"/>
              <w:bottom w:w="137" w:type="dxa"/>
              <w:right w:w="120" w:type="dxa"/>
            </w:tcMar>
            <w:vAlign w:val="bottom"/>
          </w:tcPr>
          <w:p w14:paraId="77274F91"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50</w:t>
            </w:r>
          </w:p>
        </w:tc>
        <w:tc>
          <w:tcPr>
            <w:tcW w:w="4649" w:type="dxa"/>
            <w:tcMar>
              <w:top w:w="137" w:type="dxa"/>
              <w:left w:w="120" w:type="dxa"/>
              <w:bottom w:w="137" w:type="dxa"/>
              <w:right w:w="120" w:type="dxa"/>
            </w:tcMar>
            <w:vAlign w:val="bottom"/>
          </w:tcPr>
          <w:p w14:paraId="3A2471C6"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Keystroke samples per session</w:t>
            </w:r>
          </w:p>
        </w:tc>
      </w:tr>
      <w:tr w:rsidR="00372E14" w14:paraId="7D1B58CE" w14:textId="77777777">
        <w:tc>
          <w:tcPr>
            <w:tcW w:w="2805" w:type="dxa"/>
            <w:tcMar>
              <w:top w:w="137" w:type="dxa"/>
              <w:left w:w="120" w:type="dxa"/>
              <w:bottom w:w="137" w:type="dxa"/>
              <w:right w:w="120" w:type="dxa"/>
            </w:tcMar>
            <w:vAlign w:val="bottom"/>
          </w:tcPr>
          <w:p w14:paraId="27BD51B9"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Total Samples</w:t>
            </w:r>
          </w:p>
        </w:tc>
        <w:tc>
          <w:tcPr>
            <w:tcW w:w="1861" w:type="dxa"/>
            <w:tcMar>
              <w:top w:w="137" w:type="dxa"/>
              <w:left w:w="120" w:type="dxa"/>
              <w:bottom w:w="137" w:type="dxa"/>
              <w:right w:w="120" w:type="dxa"/>
            </w:tcMar>
            <w:vAlign w:val="bottom"/>
          </w:tcPr>
          <w:p w14:paraId="24F4DD6E"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8,000</w:t>
            </w:r>
          </w:p>
        </w:tc>
        <w:tc>
          <w:tcPr>
            <w:tcW w:w="4649" w:type="dxa"/>
            <w:tcMar>
              <w:top w:w="137" w:type="dxa"/>
              <w:left w:w="120" w:type="dxa"/>
              <w:bottom w:w="137" w:type="dxa"/>
              <w:right w:w="120" w:type="dxa"/>
            </w:tcMar>
            <w:vAlign w:val="bottom"/>
          </w:tcPr>
          <w:p w14:paraId="60DF99C7"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Complete dataset size</w:t>
            </w:r>
          </w:p>
        </w:tc>
      </w:tr>
      <w:tr w:rsidR="00372E14" w14:paraId="2B1FD5D7" w14:textId="77777777">
        <w:tc>
          <w:tcPr>
            <w:tcW w:w="2805" w:type="dxa"/>
            <w:tcMar>
              <w:top w:w="137" w:type="dxa"/>
              <w:left w:w="120" w:type="dxa"/>
              <w:bottom w:w="137" w:type="dxa"/>
              <w:right w:w="120" w:type="dxa"/>
            </w:tcMar>
            <w:vAlign w:val="bottom"/>
          </w:tcPr>
          <w:p w14:paraId="1D2ADE29"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Training Samples</w:t>
            </w:r>
          </w:p>
        </w:tc>
        <w:tc>
          <w:tcPr>
            <w:tcW w:w="1861" w:type="dxa"/>
            <w:tcMar>
              <w:top w:w="137" w:type="dxa"/>
              <w:left w:w="120" w:type="dxa"/>
              <w:bottom w:w="137" w:type="dxa"/>
              <w:right w:w="120" w:type="dxa"/>
            </w:tcMar>
            <w:vAlign w:val="bottom"/>
          </w:tcPr>
          <w:p w14:paraId="1099802C"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6,400 (80%)</w:t>
            </w:r>
          </w:p>
        </w:tc>
        <w:tc>
          <w:tcPr>
            <w:tcW w:w="4649" w:type="dxa"/>
            <w:tcMar>
              <w:top w:w="137" w:type="dxa"/>
              <w:left w:w="120" w:type="dxa"/>
              <w:bottom w:w="137" w:type="dxa"/>
              <w:right w:w="120" w:type="dxa"/>
            </w:tcMar>
            <w:vAlign w:val="bottom"/>
          </w:tcPr>
          <w:p w14:paraId="6BD6D114"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Samples used for model training</w:t>
            </w:r>
          </w:p>
        </w:tc>
      </w:tr>
      <w:tr w:rsidR="00372E14" w14:paraId="6A16E381" w14:textId="77777777">
        <w:tc>
          <w:tcPr>
            <w:tcW w:w="2805" w:type="dxa"/>
            <w:tcMar>
              <w:top w:w="137" w:type="dxa"/>
              <w:left w:w="120" w:type="dxa"/>
              <w:bottom w:w="137" w:type="dxa"/>
              <w:right w:w="120" w:type="dxa"/>
            </w:tcMar>
            <w:vAlign w:val="bottom"/>
          </w:tcPr>
          <w:p w14:paraId="7F5B7065"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Testing Samples</w:t>
            </w:r>
          </w:p>
        </w:tc>
        <w:tc>
          <w:tcPr>
            <w:tcW w:w="1861" w:type="dxa"/>
            <w:tcMar>
              <w:top w:w="137" w:type="dxa"/>
              <w:left w:w="120" w:type="dxa"/>
              <w:bottom w:w="137" w:type="dxa"/>
              <w:right w:w="120" w:type="dxa"/>
            </w:tcMar>
            <w:vAlign w:val="bottom"/>
          </w:tcPr>
          <w:p w14:paraId="71F3C3FB"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1,600 (20%)</w:t>
            </w:r>
          </w:p>
        </w:tc>
        <w:tc>
          <w:tcPr>
            <w:tcW w:w="4649" w:type="dxa"/>
            <w:tcMar>
              <w:top w:w="137" w:type="dxa"/>
              <w:left w:w="120" w:type="dxa"/>
              <w:bottom w:w="137" w:type="dxa"/>
              <w:right w:w="120" w:type="dxa"/>
            </w:tcMar>
            <w:vAlign w:val="bottom"/>
          </w:tcPr>
          <w:p w14:paraId="2FB2669A"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Samples reserved for validation</w:t>
            </w:r>
          </w:p>
        </w:tc>
      </w:tr>
      <w:tr w:rsidR="00372E14" w14:paraId="4E75293E" w14:textId="77777777">
        <w:tc>
          <w:tcPr>
            <w:tcW w:w="2805" w:type="dxa"/>
            <w:tcMar>
              <w:top w:w="137" w:type="dxa"/>
              <w:left w:w="120" w:type="dxa"/>
              <w:bottom w:w="137" w:type="dxa"/>
              <w:right w:w="120" w:type="dxa"/>
            </w:tcMar>
            <w:vAlign w:val="bottom"/>
          </w:tcPr>
          <w:p w14:paraId="0B22C999"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Training Subjects</w:t>
            </w:r>
          </w:p>
        </w:tc>
        <w:tc>
          <w:tcPr>
            <w:tcW w:w="1861" w:type="dxa"/>
            <w:tcMar>
              <w:top w:w="137" w:type="dxa"/>
              <w:left w:w="120" w:type="dxa"/>
              <w:bottom w:w="137" w:type="dxa"/>
              <w:right w:w="120" w:type="dxa"/>
            </w:tcMar>
            <w:vAlign w:val="bottom"/>
          </w:tcPr>
          <w:p w14:paraId="509C9E1D"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16</w:t>
            </w:r>
          </w:p>
        </w:tc>
        <w:tc>
          <w:tcPr>
            <w:tcW w:w="4649" w:type="dxa"/>
            <w:tcMar>
              <w:top w:w="137" w:type="dxa"/>
              <w:left w:w="120" w:type="dxa"/>
              <w:bottom w:w="137" w:type="dxa"/>
              <w:right w:w="120" w:type="dxa"/>
            </w:tcMar>
            <w:vAlign w:val="bottom"/>
          </w:tcPr>
          <w:p w14:paraId="236AACD5"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Subjects in </w:t>
            </w:r>
            <w:r>
              <w:rPr>
                <w:rFonts w:ascii="Times New Roman" w:eastAsia="Times New Roman" w:hAnsi="Times New Roman" w:cs="Times New Roman"/>
              </w:rPr>
              <w:t>training partition</w:t>
            </w:r>
          </w:p>
        </w:tc>
      </w:tr>
      <w:tr w:rsidR="00372E14" w14:paraId="1541BF36" w14:textId="77777777">
        <w:tc>
          <w:tcPr>
            <w:tcW w:w="2805" w:type="dxa"/>
            <w:tcMar>
              <w:top w:w="137" w:type="dxa"/>
              <w:left w:w="120" w:type="dxa"/>
              <w:bottom w:w="137" w:type="dxa"/>
              <w:right w:w="120" w:type="dxa"/>
            </w:tcMar>
            <w:vAlign w:val="bottom"/>
          </w:tcPr>
          <w:p w14:paraId="7FBBFC65"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Testing Subjects</w:t>
            </w:r>
          </w:p>
        </w:tc>
        <w:tc>
          <w:tcPr>
            <w:tcW w:w="1861" w:type="dxa"/>
            <w:tcMar>
              <w:top w:w="137" w:type="dxa"/>
              <w:left w:w="120" w:type="dxa"/>
              <w:bottom w:w="137" w:type="dxa"/>
              <w:right w:w="120" w:type="dxa"/>
            </w:tcMar>
            <w:vAlign w:val="bottom"/>
          </w:tcPr>
          <w:p w14:paraId="69CEBCD4"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4649" w:type="dxa"/>
            <w:tcMar>
              <w:top w:w="137" w:type="dxa"/>
              <w:left w:w="120" w:type="dxa"/>
              <w:bottom w:w="137" w:type="dxa"/>
              <w:right w:w="120" w:type="dxa"/>
            </w:tcMar>
            <w:vAlign w:val="bottom"/>
          </w:tcPr>
          <w:p w14:paraId="3B2F00E2"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Subjects in testing partition</w:t>
            </w:r>
          </w:p>
        </w:tc>
      </w:tr>
      <w:tr w:rsidR="00372E14" w14:paraId="7D8F0C3E" w14:textId="77777777">
        <w:tc>
          <w:tcPr>
            <w:tcW w:w="2805" w:type="dxa"/>
            <w:tcMar>
              <w:top w:w="137" w:type="dxa"/>
              <w:left w:w="120" w:type="dxa"/>
              <w:bottom w:w="137" w:type="dxa"/>
              <w:right w:w="120" w:type="dxa"/>
            </w:tcMar>
            <w:vAlign w:val="bottom"/>
          </w:tcPr>
          <w:p w14:paraId="16513DAE"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Feature Dimensions</w:t>
            </w:r>
          </w:p>
        </w:tc>
        <w:tc>
          <w:tcPr>
            <w:tcW w:w="1861" w:type="dxa"/>
            <w:tcMar>
              <w:top w:w="137" w:type="dxa"/>
              <w:left w:w="120" w:type="dxa"/>
              <w:bottom w:w="137" w:type="dxa"/>
              <w:right w:w="120" w:type="dxa"/>
            </w:tcMar>
            <w:vAlign w:val="bottom"/>
          </w:tcPr>
          <w:p w14:paraId="45B8057E"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27</w:t>
            </w:r>
          </w:p>
        </w:tc>
        <w:tc>
          <w:tcPr>
            <w:tcW w:w="4649" w:type="dxa"/>
            <w:tcMar>
              <w:top w:w="137" w:type="dxa"/>
              <w:left w:w="120" w:type="dxa"/>
              <w:bottom w:w="137" w:type="dxa"/>
              <w:right w:w="120" w:type="dxa"/>
            </w:tcMar>
            <w:vAlign w:val="bottom"/>
          </w:tcPr>
          <w:p w14:paraId="3FB77EFA"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Timing features extracted per sample</w:t>
            </w:r>
          </w:p>
        </w:tc>
      </w:tr>
      <w:tr w:rsidR="00372E14" w14:paraId="0AD82725" w14:textId="77777777">
        <w:tc>
          <w:tcPr>
            <w:tcW w:w="2805" w:type="dxa"/>
            <w:tcMar>
              <w:top w:w="137" w:type="dxa"/>
              <w:left w:w="120" w:type="dxa"/>
              <w:bottom w:w="137" w:type="dxa"/>
              <w:right w:w="120" w:type="dxa"/>
            </w:tcMar>
            <w:vAlign w:val="bottom"/>
          </w:tcPr>
          <w:p w14:paraId="73D5950A"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Password Length</w:t>
            </w:r>
          </w:p>
        </w:tc>
        <w:tc>
          <w:tcPr>
            <w:tcW w:w="1861" w:type="dxa"/>
            <w:tcMar>
              <w:top w:w="137" w:type="dxa"/>
              <w:left w:w="120" w:type="dxa"/>
              <w:bottom w:w="137" w:type="dxa"/>
              <w:right w:w="120" w:type="dxa"/>
            </w:tcMar>
            <w:vAlign w:val="bottom"/>
          </w:tcPr>
          <w:p w14:paraId="63C39DD6"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10 characters</w:t>
            </w:r>
          </w:p>
        </w:tc>
        <w:tc>
          <w:tcPr>
            <w:tcW w:w="4649" w:type="dxa"/>
            <w:tcMar>
              <w:top w:w="137" w:type="dxa"/>
              <w:left w:w="120" w:type="dxa"/>
              <w:bottom w:w="137" w:type="dxa"/>
              <w:right w:w="120" w:type="dxa"/>
            </w:tcMar>
            <w:vAlign w:val="bottom"/>
          </w:tcPr>
          <w:p w14:paraId="628B08A9"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Fixed-text typing sequence</w:t>
            </w:r>
          </w:p>
        </w:tc>
      </w:tr>
      <w:tr w:rsidR="00372E14" w14:paraId="00F1D9E0" w14:textId="77777777">
        <w:tc>
          <w:tcPr>
            <w:tcW w:w="2805" w:type="dxa"/>
            <w:tcBorders>
              <w:bottom w:val="single" w:sz="4" w:space="0" w:color="000000"/>
            </w:tcBorders>
            <w:tcMar>
              <w:top w:w="137" w:type="dxa"/>
              <w:left w:w="120" w:type="dxa"/>
              <w:bottom w:w="137" w:type="dxa"/>
              <w:right w:w="120" w:type="dxa"/>
            </w:tcMar>
            <w:vAlign w:val="bottom"/>
          </w:tcPr>
          <w:p w14:paraId="21627190"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Timing Precision</w:t>
            </w:r>
          </w:p>
        </w:tc>
        <w:tc>
          <w:tcPr>
            <w:tcW w:w="1861" w:type="dxa"/>
            <w:tcBorders>
              <w:bottom w:val="single" w:sz="4" w:space="0" w:color="000000"/>
            </w:tcBorders>
            <w:tcMar>
              <w:top w:w="137" w:type="dxa"/>
              <w:left w:w="120" w:type="dxa"/>
              <w:bottom w:w="137" w:type="dxa"/>
              <w:right w:w="120" w:type="dxa"/>
            </w:tcMar>
            <w:vAlign w:val="bottom"/>
          </w:tcPr>
          <w:p w14:paraId="58AB60DA"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Milliseconds</w:t>
            </w:r>
          </w:p>
        </w:tc>
        <w:tc>
          <w:tcPr>
            <w:tcW w:w="4649" w:type="dxa"/>
            <w:tcBorders>
              <w:bottom w:val="single" w:sz="4" w:space="0" w:color="000000"/>
            </w:tcBorders>
            <w:tcMar>
              <w:top w:w="137" w:type="dxa"/>
              <w:left w:w="120" w:type="dxa"/>
              <w:bottom w:w="137" w:type="dxa"/>
              <w:right w:w="120" w:type="dxa"/>
            </w:tcMar>
            <w:vAlign w:val="bottom"/>
          </w:tcPr>
          <w:p w14:paraId="41AF663C" w14:textId="77777777" w:rsidR="00372E14" w:rsidRDefault="00CC1D80">
            <w:pPr>
              <w:spacing w:line="240" w:lineRule="auto"/>
              <w:jc w:val="both"/>
              <w:rPr>
                <w:rFonts w:ascii="Times New Roman" w:eastAsia="Times New Roman" w:hAnsi="Times New Roman" w:cs="Times New Roman"/>
              </w:rPr>
            </w:pPr>
            <w:r>
              <w:rPr>
                <w:rFonts w:ascii="Times New Roman" w:eastAsia="Times New Roman" w:hAnsi="Times New Roman" w:cs="Times New Roman"/>
              </w:rPr>
              <w:t>Measurement resolution</w:t>
            </w:r>
          </w:p>
        </w:tc>
      </w:tr>
    </w:tbl>
    <w:p w14:paraId="5B1981DE" w14:textId="77777777" w:rsidR="00372E14" w:rsidRDefault="00CC1D80">
      <w:pPr>
        <w:spacing w:before="240" w:line="360" w:lineRule="auto"/>
        <w:jc w:val="both"/>
        <w:rPr>
          <w:rFonts w:ascii="Times New Roman" w:eastAsia="Times New Roman" w:hAnsi="Times New Roman" w:cs="Times New Roman"/>
        </w:rPr>
      </w:pPr>
      <w:r>
        <w:rPr>
          <w:rFonts w:ascii="Times New Roman" w:eastAsia="Times New Roman" w:hAnsi="Times New Roman" w:cs="Times New Roman"/>
          <w:b/>
          <w:bCs/>
        </w:rPr>
        <w:t>Figure 1</w:t>
      </w:r>
    </w:p>
    <w:p w14:paraId="7C97FC15" w14:textId="77777777" w:rsidR="00372E14" w:rsidRDefault="00CC1D8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Dataset Distribution </w:t>
      </w:r>
    </w:p>
    <w:p w14:paraId="6DAEBB0C" w14:textId="77777777" w:rsidR="00372E14" w:rsidRDefault="00CC1D80">
      <w:pPr>
        <w:spacing w:before="240"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64A4204" wp14:editId="447C3C7A">
            <wp:extent cx="5240867" cy="3124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5984"/>
                    <a:stretch>
                      <a:fillRect/>
                    </a:stretch>
                  </pic:blipFill>
                  <pic:spPr>
                    <a:xfrm>
                      <a:off x="0" y="0"/>
                      <a:ext cx="5256763" cy="3133676"/>
                    </a:xfrm>
                    <a:prstGeom prst="rect">
                      <a:avLst/>
                    </a:prstGeom>
                    <a:ln/>
                  </pic:spPr>
                </pic:pic>
              </a:graphicData>
            </a:graphic>
          </wp:inline>
        </w:drawing>
      </w:r>
    </w:p>
    <w:p w14:paraId="634A9A4B" w14:textId="77777777" w:rsidR="00372E14" w:rsidRDefault="00CC1D8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Feature extraction followed behavioral biometrics conventions, computing dwell times, down–down intervals, up–down intervals, and aggregate statistics such as mean and standard deviation for each timing category. Table 2 presents fe</w:t>
      </w:r>
      <w:r>
        <w:rPr>
          <w:rFonts w:ascii="Times New Roman" w:eastAsia="Times New Roman" w:hAnsi="Times New Roman" w:cs="Times New Roman"/>
        </w:rPr>
        <w:t>ature distributions, and Figure 2 depicts histograms highlighting a dwell time coefficient of variation, reflecting adequate within-subject stability, behavioral biometrics and between-subject variability for discriminability (</w:t>
      </w:r>
      <w:proofErr w:type="spellStart"/>
      <w:r>
        <w:rPr>
          <w:rFonts w:ascii="Times New Roman" w:eastAsia="Times New Roman" w:hAnsi="Times New Roman" w:cs="Times New Roman"/>
        </w:rPr>
        <w:t>AbdelRaouf</w:t>
      </w:r>
      <w:proofErr w:type="spellEnd"/>
      <w:r>
        <w:rPr>
          <w:rFonts w:ascii="Times New Roman" w:eastAsia="Times New Roman" w:hAnsi="Times New Roman" w:cs="Times New Roman"/>
        </w:rPr>
        <w:t xml:space="preserve"> et al., 2023; </w:t>
      </w:r>
      <w:proofErr w:type="spellStart"/>
      <w:r>
        <w:rPr>
          <w:rFonts w:ascii="Times New Roman" w:eastAsia="Times New Roman" w:hAnsi="Times New Roman" w:cs="Times New Roman"/>
        </w:rPr>
        <w:t>Saev</w:t>
      </w:r>
      <w:r>
        <w:rPr>
          <w:rFonts w:ascii="Times New Roman" w:eastAsia="Times New Roman" w:hAnsi="Times New Roman" w:cs="Times New Roman"/>
        </w:rPr>
        <w:t>anee</w:t>
      </w:r>
      <w:proofErr w:type="spellEnd"/>
      <w:r>
        <w:rPr>
          <w:rFonts w:ascii="Times New Roman" w:eastAsia="Times New Roman" w:hAnsi="Times New Roman" w:cs="Times New Roman"/>
        </w:rPr>
        <w:t xml:space="preserve"> et al., 2015).</w:t>
      </w:r>
    </w:p>
    <w:p w14:paraId="400E0E7B"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2 </w:t>
      </w:r>
    </w:p>
    <w:p w14:paraId="764E5959" w14:textId="77777777" w:rsidR="00372E14" w:rsidRDefault="00CC1D80">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i/>
          <w:iCs/>
        </w:rPr>
        <w:t>Feature Distributions</w:t>
      </w:r>
    </w:p>
    <w:tbl>
      <w:tblPr>
        <w:tblStyle w:val="a0"/>
        <w:tblW w:w="9314" w:type="dxa"/>
        <w:tblInd w:w="0" w:type="dxa"/>
        <w:tblLayout w:type="fixed"/>
        <w:tblLook w:val="0400" w:firstRow="0" w:lastRow="0" w:firstColumn="0" w:lastColumn="0" w:noHBand="0" w:noVBand="1"/>
      </w:tblPr>
      <w:tblGrid>
        <w:gridCol w:w="1869"/>
        <w:gridCol w:w="1069"/>
        <w:gridCol w:w="3022"/>
        <w:gridCol w:w="911"/>
        <w:gridCol w:w="1178"/>
        <w:gridCol w:w="1265"/>
      </w:tblGrid>
      <w:tr w:rsidR="00372E14" w14:paraId="38855A9E" w14:textId="77777777">
        <w:trPr>
          <w:trHeight w:val="398"/>
          <w:tblHeader/>
        </w:trPr>
        <w:tc>
          <w:tcPr>
            <w:tcW w:w="1870" w:type="dxa"/>
            <w:tcBorders>
              <w:top w:val="single" w:sz="4" w:space="0" w:color="000000"/>
              <w:bottom w:val="single" w:sz="4" w:space="0" w:color="000000"/>
            </w:tcBorders>
            <w:tcMar>
              <w:top w:w="120" w:type="dxa"/>
              <w:left w:w="120" w:type="dxa"/>
              <w:bottom w:w="120" w:type="dxa"/>
              <w:right w:w="120" w:type="dxa"/>
            </w:tcMar>
          </w:tcPr>
          <w:p w14:paraId="36C6B547" w14:textId="77777777" w:rsidR="00372E14" w:rsidRDefault="00CC1D8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Feature Type</w:t>
            </w:r>
          </w:p>
        </w:tc>
        <w:tc>
          <w:tcPr>
            <w:tcW w:w="1069" w:type="dxa"/>
            <w:tcBorders>
              <w:top w:val="single" w:sz="4" w:space="0" w:color="000000"/>
              <w:bottom w:val="single" w:sz="4" w:space="0" w:color="000000"/>
            </w:tcBorders>
            <w:tcMar>
              <w:top w:w="120" w:type="dxa"/>
              <w:left w:w="120" w:type="dxa"/>
              <w:bottom w:w="120" w:type="dxa"/>
              <w:right w:w="120" w:type="dxa"/>
            </w:tcMar>
          </w:tcPr>
          <w:p w14:paraId="002527B5"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Symbol</w:t>
            </w:r>
          </w:p>
        </w:tc>
        <w:tc>
          <w:tcPr>
            <w:tcW w:w="3022" w:type="dxa"/>
            <w:tcBorders>
              <w:top w:val="single" w:sz="4" w:space="0" w:color="000000"/>
              <w:bottom w:val="single" w:sz="4" w:space="0" w:color="000000"/>
            </w:tcBorders>
            <w:tcMar>
              <w:top w:w="120" w:type="dxa"/>
              <w:left w:w="120" w:type="dxa"/>
              <w:bottom w:w="120" w:type="dxa"/>
              <w:right w:w="120" w:type="dxa"/>
            </w:tcMar>
          </w:tcPr>
          <w:p w14:paraId="2C710619" w14:textId="77777777" w:rsidR="00372E14" w:rsidRDefault="00CC1D8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Description</w:t>
            </w:r>
          </w:p>
        </w:tc>
        <w:tc>
          <w:tcPr>
            <w:tcW w:w="911" w:type="dxa"/>
            <w:tcBorders>
              <w:top w:val="single" w:sz="4" w:space="0" w:color="000000"/>
              <w:bottom w:val="single" w:sz="4" w:space="0" w:color="000000"/>
            </w:tcBorders>
            <w:tcMar>
              <w:top w:w="120" w:type="dxa"/>
              <w:left w:w="120" w:type="dxa"/>
              <w:bottom w:w="120" w:type="dxa"/>
              <w:right w:w="120" w:type="dxa"/>
            </w:tcMar>
          </w:tcPr>
          <w:p w14:paraId="0703C188"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Count</w:t>
            </w:r>
          </w:p>
        </w:tc>
        <w:tc>
          <w:tcPr>
            <w:tcW w:w="1178" w:type="dxa"/>
            <w:tcBorders>
              <w:top w:val="single" w:sz="4" w:space="0" w:color="000000"/>
              <w:bottom w:val="single" w:sz="4" w:space="0" w:color="000000"/>
            </w:tcBorders>
            <w:tcMar>
              <w:top w:w="120" w:type="dxa"/>
              <w:left w:w="120" w:type="dxa"/>
              <w:bottom w:w="120" w:type="dxa"/>
              <w:right w:w="120" w:type="dxa"/>
            </w:tcMar>
          </w:tcPr>
          <w:p w14:paraId="3624351B"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Mean (</w:t>
            </w:r>
            <w:proofErr w:type="spellStart"/>
            <w:r>
              <w:rPr>
                <w:rFonts w:ascii="Times New Roman" w:eastAsia="Times New Roman" w:hAnsi="Times New Roman" w:cs="Times New Roman"/>
                <w:b/>
                <w:bCs/>
              </w:rPr>
              <w:t>ms</w:t>
            </w:r>
            <w:proofErr w:type="spellEnd"/>
            <w:r>
              <w:rPr>
                <w:rFonts w:ascii="Times New Roman" w:eastAsia="Times New Roman" w:hAnsi="Times New Roman" w:cs="Times New Roman"/>
                <w:b/>
                <w:bCs/>
              </w:rPr>
              <w:t>)</w:t>
            </w:r>
          </w:p>
        </w:tc>
        <w:tc>
          <w:tcPr>
            <w:tcW w:w="1265" w:type="dxa"/>
            <w:tcBorders>
              <w:top w:val="single" w:sz="4" w:space="0" w:color="000000"/>
              <w:bottom w:val="single" w:sz="4" w:space="0" w:color="000000"/>
            </w:tcBorders>
            <w:tcMar>
              <w:top w:w="120" w:type="dxa"/>
              <w:left w:w="120" w:type="dxa"/>
              <w:bottom w:w="120" w:type="dxa"/>
              <w:right w:w="120" w:type="dxa"/>
            </w:tcMar>
          </w:tcPr>
          <w:p w14:paraId="26161737"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Std Dev (</w:t>
            </w:r>
            <w:proofErr w:type="spellStart"/>
            <w:r>
              <w:rPr>
                <w:rFonts w:ascii="Times New Roman" w:eastAsia="Times New Roman" w:hAnsi="Times New Roman" w:cs="Times New Roman"/>
                <w:b/>
                <w:bCs/>
              </w:rPr>
              <w:t>ms</w:t>
            </w:r>
            <w:proofErr w:type="spellEnd"/>
            <w:r>
              <w:rPr>
                <w:rFonts w:ascii="Times New Roman" w:eastAsia="Times New Roman" w:hAnsi="Times New Roman" w:cs="Times New Roman"/>
                <w:b/>
                <w:bCs/>
              </w:rPr>
              <w:t>)</w:t>
            </w:r>
          </w:p>
        </w:tc>
      </w:tr>
      <w:tr w:rsidR="00372E14" w14:paraId="0ECBE736" w14:textId="77777777">
        <w:tc>
          <w:tcPr>
            <w:tcW w:w="1870" w:type="dxa"/>
            <w:tcMar>
              <w:top w:w="137" w:type="dxa"/>
              <w:left w:w="120" w:type="dxa"/>
              <w:bottom w:w="137" w:type="dxa"/>
              <w:right w:w="120" w:type="dxa"/>
            </w:tcMar>
            <w:vAlign w:val="bottom"/>
          </w:tcPr>
          <w:p w14:paraId="6EF23DBB"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Hold Time (Dwell)</w:t>
            </w:r>
          </w:p>
        </w:tc>
        <w:tc>
          <w:tcPr>
            <w:tcW w:w="1069" w:type="dxa"/>
            <w:tcMar>
              <w:top w:w="137" w:type="dxa"/>
              <w:left w:w="120" w:type="dxa"/>
              <w:bottom w:w="137" w:type="dxa"/>
              <w:right w:w="120" w:type="dxa"/>
            </w:tcMar>
            <w:vAlign w:val="bottom"/>
          </w:tcPr>
          <w:p w14:paraId="5E372312" w14:textId="77777777" w:rsidR="00372E14" w:rsidRDefault="00CC1D80">
            <w:pPr>
              <w:jc w:val="center"/>
              <w:rPr>
                <w:rFonts w:ascii="Cambria Math" w:eastAsia="Cambria Math" w:hAnsi="Cambria Math" w:cs="Cambria Math"/>
              </w:rPr>
            </w:pPr>
            <w:r>
              <w:rPr>
                <w:rFonts w:ascii="Cambria Math" w:eastAsia="Cambria Math" w:hAnsi="Cambria Math" w:cs="Cambria Math"/>
                <w:i/>
                <w:iCs/>
              </w:rPr>
              <w:br/>
            </w:r>
            <m:oMathPara>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i</m:t>
                    </m:r>
                  </m:sub>
                </m:sSub>
              </m:oMath>
            </m:oMathPara>
          </w:p>
        </w:tc>
        <w:tc>
          <w:tcPr>
            <w:tcW w:w="3022" w:type="dxa"/>
            <w:tcMar>
              <w:top w:w="137" w:type="dxa"/>
              <w:left w:w="120" w:type="dxa"/>
              <w:bottom w:w="137" w:type="dxa"/>
              <w:right w:w="120" w:type="dxa"/>
            </w:tcMar>
            <w:vAlign w:val="bottom"/>
          </w:tcPr>
          <w:p w14:paraId="0449585D"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Duration key pressed</w:t>
            </w:r>
          </w:p>
        </w:tc>
        <w:tc>
          <w:tcPr>
            <w:tcW w:w="911" w:type="dxa"/>
            <w:tcMar>
              <w:top w:w="137" w:type="dxa"/>
              <w:left w:w="120" w:type="dxa"/>
              <w:bottom w:w="137" w:type="dxa"/>
              <w:right w:w="120" w:type="dxa"/>
            </w:tcMar>
            <w:vAlign w:val="bottom"/>
          </w:tcPr>
          <w:p w14:paraId="0CCF8DB4"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1178" w:type="dxa"/>
            <w:tcMar>
              <w:top w:w="137" w:type="dxa"/>
              <w:left w:w="120" w:type="dxa"/>
              <w:bottom w:w="137" w:type="dxa"/>
              <w:right w:w="120" w:type="dxa"/>
            </w:tcMar>
            <w:vAlign w:val="bottom"/>
          </w:tcPr>
          <w:p w14:paraId="117BE26C"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78.45</w:t>
            </w:r>
          </w:p>
        </w:tc>
        <w:tc>
          <w:tcPr>
            <w:tcW w:w="1265" w:type="dxa"/>
            <w:tcMar>
              <w:top w:w="137" w:type="dxa"/>
              <w:left w:w="120" w:type="dxa"/>
              <w:bottom w:w="137" w:type="dxa"/>
              <w:right w:w="120" w:type="dxa"/>
            </w:tcMar>
            <w:vAlign w:val="bottom"/>
          </w:tcPr>
          <w:p w14:paraId="58AA0D45"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24.32</w:t>
            </w:r>
          </w:p>
        </w:tc>
      </w:tr>
      <w:tr w:rsidR="00372E14" w14:paraId="12A089D8" w14:textId="77777777">
        <w:tc>
          <w:tcPr>
            <w:tcW w:w="1870" w:type="dxa"/>
            <w:tcMar>
              <w:top w:w="137" w:type="dxa"/>
              <w:left w:w="120" w:type="dxa"/>
              <w:bottom w:w="137" w:type="dxa"/>
              <w:right w:w="120" w:type="dxa"/>
            </w:tcMar>
            <w:vAlign w:val="bottom"/>
          </w:tcPr>
          <w:p w14:paraId="3F71BF9C"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Down-Down Time</w:t>
            </w:r>
          </w:p>
        </w:tc>
        <w:tc>
          <w:tcPr>
            <w:tcW w:w="1069" w:type="dxa"/>
            <w:tcMar>
              <w:top w:w="137" w:type="dxa"/>
              <w:left w:w="120" w:type="dxa"/>
              <w:bottom w:w="137" w:type="dxa"/>
              <w:right w:w="120" w:type="dxa"/>
            </w:tcMar>
            <w:vAlign w:val="bottom"/>
          </w:tcPr>
          <w:p w14:paraId="09D097F8" w14:textId="77777777" w:rsidR="00372E14" w:rsidRDefault="00372E14">
            <w:pPr>
              <w:spacing w:after="0" w:line="240" w:lineRule="auto"/>
              <w:jc w:val="both"/>
              <w:rPr>
                <w:rFonts w:ascii="Times New Roman" w:eastAsia="Times New Roman" w:hAnsi="Times New Roman" w:cs="Times New Roman"/>
              </w:rPr>
            </w:pPr>
          </w:p>
          <w:p w14:paraId="2262C5D5" w14:textId="77777777" w:rsidR="00372E14" w:rsidRDefault="00CC1D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DD</m:t>
                    </m:r>
                  </m:e>
                  <m:sub>
                    <m:r>
                      <w:rPr>
                        <w:rFonts w:ascii="Cambria Math" w:eastAsia="Cambria Math" w:hAnsi="Cambria Math" w:cs="Cambria Math"/>
                      </w:rPr>
                      <m:t>i</m:t>
                    </m:r>
                  </m:sub>
                </m:sSub>
              </m:oMath>
            </m:oMathPara>
          </w:p>
          <w:p w14:paraId="424C53D2" w14:textId="77777777" w:rsidR="00372E14" w:rsidRDefault="00372E14">
            <w:pPr>
              <w:spacing w:after="0" w:line="240" w:lineRule="auto"/>
              <w:jc w:val="both"/>
              <w:rPr>
                <w:rFonts w:ascii="Times New Roman" w:eastAsia="Times New Roman" w:hAnsi="Times New Roman" w:cs="Times New Roman"/>
              </w:rPr>
            </w:pPr>
          </w:p>
        </w:tc>
        <w:tc>
          <w:tcPr>
            <w:tcW w:w="3022" w:type="dxa"/>
            <w:tcMar>
              <w:top w:w="137" w:type="dxa"/>
              <w:left w:w="120" w:type="dxa"/>
              <w:bottom w:w="137" w:type="dxa"/>
              <w:right w:w="120" w:type="dxa"/>
            </w:tcMar>
            <w:vAlign w:val="bottom"/>
          </w:tcPr>
          <w:p w14:paraId="05387828"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Interval between consecutive key presses</w:t>
            </w:r>
          </w:p>
        </w:tc>
        <w:tc>
          <w:tcPr>
            <w:tcW w:w="911" w:type="dxa"/>
            <w:tcMar>
              <w:top w:w="137" w:type="dxa"/>
              <w:left w:w="120" w:type="dxa"/>
              <w:bottom w:w="137" w:type="dxa"/>
              <w:right w:w="120" w:type="dxa"/>
            </w:tcMar>
            <w:vAlign w:val="bottom"/>
          </w:tcPr>
          <w:p w14:paraId="62665A5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1178" w:type="dxa"/>
            <w:tcMar>
              <w:top w:w="137" w:type="dxa"/>
              <w:left w:w="120" w:type="dxa"/>
              <w:bottom w:w="137" w:type="dxa"/>
              <w:right w:w="120" w:type="dxa"/>
            </w:tcMar>
            <w:vAlign w:val="bottom"/>
          </w:tcPr>
          <w:p w14:paraId="0BA4A435"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148.67</w:t>
            </w:r>
          </w:p>
        </w:tc>
        <w:tc>
          <w:tcPr>
            <w:tcW w:w="1265" w:type="dxa"/>
            <w:tcMar>
              <w:top w:w="137" w:type="dxa"/>
              <w:left w:w="120" w:type="dxa"/>
              <w:bottom w:w="137" w:type="dxa"/>
              <w:right w:w="120" w:type="dxa"/>
            </w:tcMar>
            <w:vAlign w:val="bottom"/>
          </w:tcPr>
          <w:p w14:paraId="463C4E9C"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49.18</w:t>
            </w:r>
          </w:p>
        </w:tc>
      </w:tr>
      <w:tr w:rsidR="00372E14" w14:paraId="67C99654" w14:textId="77777777">
        <w:tc>
          <w:tcPr>
            <w:tcW w:w="1870" w:type="dxa"/>
            <w:tcMar>
              <w:top w:w="137" w:type="dxa"/>
              <w:left w:w="120" w:type="dxa"/>
              <w:bottom w:w="137" w:type="dxa"/>
              <w:right w:w="120" w:type="dxa"/>
            </w:tcMar>
            <w:vAlign w:val="bottom"/>
          </w:tcPr>
          <w:p w14:paraId="33D4EEC6"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Up-Down Time</w:t>
            </w:r>
          </w:p>
          <w:p w14:paraId="0AD8EA77" w14:textId="77777777" w:rsidR="00372E14" w:rsidRDefault="00372E14">
            <w:pPr>
              <w:spacing w:after="0" w:line="240" w:lineRule="auto"/>
              <w:rPr>
                <w:rFonts w:ascii="Times New Roman" w:eastAsia="Times New Roman" w:hAnsi="Times New Roman" w:cs="Times New Roman"/>
              </w:rPr>
            </w:pPr>
          </w:p>
        </w:tc>
        <w:tc>
          <w:tcPr>
            <w:tcW w:w="1069" w:type="dxa"/>
            <w:tcMar>
              <w:top w:w="137" w:type="dxa"/>
              <w:left w:w="120" w:type="dxa"/>
              <w:bottom w:w="137" w:type="dxa"/>
              <w:right w:w="120" w:type="dxa"/>
            </w:tcMar>
            <w:vAlign w:val="bottom"/>
          </w:tcPr>
          <w:p w14:paraId="3EA7841D" w14:textId="77777777" w:rsidR="00372E14" w:rsidRDefault="00CC1D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UD</m:t>
                    </m:r>
                  </m:e>
                  <m:sub>
                    <m:r>
                      <w:rPr>
                        <w:rFonts w:ascii="Cambria Math" w:eastAsia="Cambria Math" w:hAnsi="Cambria Math" w:cs="Cambria Math"/>
                      </w:rPr>
                      <m:t>i</m:t>
                    </m:r>
                  </m:sub>
                </m:sSub>
              </m:oMath>
            </m:oMathPara>
          </w:p>
          <w:p w14:paraId="3B841ECF" w14:textId="77777777" w:rsidR="00372E14" w:rsidRDefault="00372E14">
            <w:pPr>
              <w:spacing w:after="0" w:line="240" w:lineRule="auto"/>
              <w:jc w:val="both"/>
              <w:rPr>
                <w:rFonts w:ascii="Times New Roman" w:eastAsia="Times New Roman" w:hAnsi="Times New Roman" w:cs="Times New Roman"/>
              </w:rPr>
            </w:pPr>
          </w:p>
        </w:tc>
        <w:tc>
          <w:tcPr>
            <w:tcW w:w="3022" w:type="dxa"/>
            <w:tcMar>
              <w:top w:w="137" w:type="dxa"/>
              <w:left w:w="120" w:type="dxa"/>
              <w:bottom w:w="137" w:type="dxa"/>
              <w:right w:w="120" w:type="dxa"/>
            </w:tcMar>
            <w:vAlign w:val="bottom"/>
          </w:tcPr>
          <w:p w14:paraId="569EAF9C"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Latency from key release to next press</w:t>
            </w:r>
          </w:p>
        </w:tc>
        <w:tc>
          <w:tcPr>
            <w:tcW w:w="911" w:type="dxa"/>
            <w:tcMar>
              <w:top w:w="137" w:type="dxa"/>
              <w:left w:w="120" w:type="dxa"/>
              <w:bottom w:w="137" w:type="dxa"/>
              <w:right w:w="120" w:type="dxa"/>
            </w:tcMar>
            <w:vAlign w:val="bottom"/>
          </w:tcPr>
          <w:p w14:paraId="20C3C74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1178" w:type="dxa"/>
            <w:tcMar>
              <w:top w:w="137" w:type="dxa"/>
              <w:left w:w="120" w:type="dxa"/>
              <w:bottom w:w="137" w:type="dxa"/>
              <w:right w:w="120" w:type="dxa"/>
            </w:tcMar>
            <w:vAlign w:val="bottom"/>
          </w:tcPr>
          <w:p w14:paraId="11C15700"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70.22</w:t>
            </w:r>
          </w:p>
        </w:tc>
        <w:tc>
          <w:tcPr>
            <w:tcW w:w="1265" w:type="dxa"/>
            <w:tcMar>
              <w:top w:w="137" w:type="dxa"/>
              <w:left w:w="120" w:type="dxa"/>
              <w:bottom w:w="137" w:type="dxa"/>
              <w:right w:w="120" w:type="dxa"/>
            </w:tcMar>
            <w:vAlign w:val="bottom"/>
          </w:tcPr>
          <w:p w14:paraId="41334ACE"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35.76</w:t>
            </w:r>
          </w:p>
        </w:tc>
      </w:tr>
      <w:tr w:rsidR="00372E14" w14:paraId="24C0B377" w14:textId="77777777">
        <w:tc>
          <w:tcPr>
            <w:tcW w:w="1870" w:type="dxa"/>
            <w:tcMar>
              <w:top w:w="137" w:type="dxa"/>
              <w:left w:w="120" w:type="dxa"/>
              <w:bottom w:w="137" w:type="dxa"/>
              <w:right w:w="120" w:type="dxa"/>
            </w:tcMar>
            <w:vAlign w:val="bottom"/>
          </w:tcPr>
          <w:p w14:paraId="3B98F805"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b/>
                <w:bCs/>
              </w:rPr>
              <w:t>Aggregate Features</w:t>
            </w:r>
          </w:p>
        </w:tc>
        <w:tc>
          <w:tcPr>
            <w:tcW w:w="1069" w:type="dxa"/>
            <w:tcMar>
              <w:top w:w="137" w:type="dxa"/>
              <w:left w:w="120" w:type="dxa"/>
              <w:bottom w:w="137" w:type="dxa"/>
              <w:right w:w="120" w:type="dxa"/>
            </w:tcMar>
            <w:vAlign w:val="bottom"/>
          </w:tcPr>
          <w:p w14:paraId="766FBA0B" w14:textId="77777777" w:rsidR="00372E14" w:rsidRDefault="00372E14">
            <w:pPr>
              <w:spacing w:after="0" w:line="240" w:lineRule="auto"/>
              <w:jc w:val="both"/>
              <w:rPr>
                <w:rFonts w:ascii="Times New Roman" w:eastAsia="Times New Roman" w:hAnsi="Times New Roman" w:cs="Times New Roman"/>
              </w:rPr>
            </w:pPr>
          </w:p>
        </w:tc>
        <w:tc>
          <w:tcPr>
            <w:tcW w:w="3022" w:type="dxa"/>
            <w:tcMar>
              <w:top w:w="137" w:type="dxa"/>
              <w:left w:w="120" w:type="dxa"/>
              <w:bottom w:w="137" w:type="dxa"/>
              <w:right w:w="120" w:type="dxa"/>
            </w:tcMar>
            <w:vAlign w:val="bottom"/>
          </w:tcPr>
          <w:p w14:paraId="37413D38" w14:textId="77777777" w:rsidR="00372E14" w:rsidRDefault="00372E14">
            <w:pPr>
              <w:spacing w:after="0" w:line="240" w:lineRule="auto"/>
              <w:rPr>
                <w:rFonts w:ascii="Times New Roman" w:eastAsia="Times New Roman" w:hAnsi="Times New Roman" w:cs="Times New Roman"/>
              </w:rPr>
            </w:pPr>
          </w:p>
        </w:tc>
        <w:tc>
          <w:tcPr>
            <w:tcW w:w="911" w:type="dxa"/>
            <w:tcMar>
              <w:top w:w="137" w:type="dxa"/>
              <w:left w:w="120" w:type="dxa"/>
              <w:bottom w:w="137" w:type="dxa"/>
              <w:right w:w="120" w:type="dxa"/>
            </w:tcMar>
            <w:vAlign w:val="bottom"/>
          </w:tcPr>
          <w:p w14:paraId="5CD665AF" w14:textId="77777777" w:rsidR="00372E14" w:rsidRDefault="00372E14">
            <w:pPr>
              <w:spacing w:after="0" w:line="240" w:lineRule="auto"/>
              <w:jc w:val="both"/>
              <w:rPr>
                <w:rFonts w:ascii="Times New Roman" w:eastAsia="Times New Roman" w:hAnsi="Times New Roman" w:cs="Times New Roman"/>
              </w:rPr>
            </w:pPr>
          </w:p>
        </w:tc>
        <w:tc>
          <w:tcPr>
            <w:tcW w:w="1178" w:type="dxa"/>
            <w:tcMar>
              <w:top w:w="137" w:type="dxa"/>
              <w:left w:w="120" w:type="dxa"/>
              <w:bottom w:w="137" w:type="dxa"/>
              <w:right w:w="120" w:type="dxa"/>
            </w:tcMar>
            <w:vAlign w:val="bottom"/>
          </w:tcPr>
          <w:p w14:paraId="2807CA56" w14:textId="77777777" w:rsidR="00372E14" w:rsidRDefault="00372E14">
            <w:pPr>
              <w:spacing w:after="0" w:line="240" w:lineRule="auto"/>
              <w:jc w:val="both"/>
              <w:rPr>
                <w:rFonts w:ascii="Times New Roman" w:eastAsia="Times New Roman" w:hAnsi="Times New Roman" w:cs="Times New Roman"/>
              </w:rPr>
            </w:pPr>
          </w:p>
        </w:tc>
        <w:tc>
          <w:tcPr>
            <w:tcW w:w="1265" w:type="dxa"/>
            <w:tcMar>
              <w:top w:w="137" w:type="dxa"/>
              <w:left w:w="120" w:type="dxa"/>
              <w:bottom w:w="137" w:type="dxa"/>
              <w:right w:w="120" w:type="dxa"/>
            </w:tcMar>
            <w:vAlign w:val="bottom"/>
          </w:tcPr>
          <w:p w14:paraId="4DE9FDF6" w14:textId="77777777" w:rsidR="00372E14" w:rsidRDefault="00372E14">
            <w:pPr>
              <w:spacing w:after="0" w:line="240" w:lineRule="auto"/>
              <w:jc w:val="both"/>
              <w:rPr>
                <w:rFonts w:ascii="Times New Roman" w:eastAsia="Times New Roman" w:hAnsi="Times New Roman" w:cs="Times New Roman"/>
              </w:rPr>
            </w:pPr>
          </w:p>
        </w:tc>
      </w:tr>
      <w:tr w:rsidR="00372E14" w14:paraId="250BEFCD" w14:textId="77777777">
        <w:tc>
          <w:tcPr>
            <w:tcW w:w="1870" w:type="dxa"/>
            <w:tcMar>
              <w:top w:w="137" w:type="dxa"/>
              <w:left w:w="120" w:type="dxa"/>
              <w:bottom w:w="137" w:type="dxa"/>
              <w:right w:w="120" w:type="dxa"/>
            </w:tcMar>
            <w:vAlign w:val="bottom"/>
          </w:tcPr>
          <w:p w14:paraId="0FB1A1B1"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Mean Dwell Time</w:t>
            </w:r>
          </w:p>
        </w:tc>
        <w:tc>
          <w:tcPr>
            <w:tcW w:w="1069" w:type="dxa"/>
            <w:tcMar>
              <w:top w:w="137" w:type="dxa"/>
              <w:left w:w="120" w:type="dxa"/>
              <w:bottom w:w="137" w:type="dxa"/>
              <w:right w:w="120" w:type="dxa"/>
            </w:tcMar>
            <w:vAlign w:val="bottom"/>
          </w:tcPr>
          <w:p w14:paraId="2C94C564" w14:textId="77777777" w:rsidR="00372E14" w:rsidRDefault="00CC1D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mean</m:t>
                    </m:r>
                  </m:sub>
                </m:sSub>
              </m:oMath>
            </m:oMathPara>
          </w:p>
          <w:p w14:paraId="626548BF" w14:textId="77777777" w:rsidR="00372E14" w:rsidRDefault="00372E14">
            <w:pPr>
              <w:spacing w:after="0" w:line="240" w:lineRule="auto"/>
              <w:jc w:val="both"/>
              <w:rPr>
                <w:rFonts w:ascii="Times New Roman" w:eastAsia="Times New Roman" w:hAnsi="Times New Roman" w:cs="Times New Roman"/>
              </w:rPr>
            </w:pPr>
          </w:p>
        </w:tc>
        <w:tc>
          <w:tcPr>
            <w:tcW w:w="3022" w:type="dxa"/>
            <w:tcMar>
              <w:top w:w="137" w:type="dxa"/>
              <w:left w:w="120" w:type="dxa"/>
              <w:bottom w:w="137" w:type="dxa"/>
              <w:right w:w="120" w:type="dxa"/>
            </w:tcMar>
            <w:vAlign w:val="bottom"/>
          </w:tcPr>
          <w:p w14:paraId="62A4A2CC"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Average hold time across sequence</w:t>
            </w:r>
          </w:p>
        </w:tc>
        <w:tc>
          <w:tcPr>
            <w:tcW w:w="911" w:type="dxa"/>
            <w:tcMar>
              <w:top w:w="137" w:type="dxa"/>
              <w:left w:w="120" w:type="dxa"/>
              <w:bottom w:w="137" w:type="dxa"/>
              <w:right w:w="120" w:type="dxa"/>
            </w:tcMar>
            <w:vAlign w:val="bottom"/>
          </w:tcPr>
          <w:p w14:paraId="61065D06"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1178" w:type="dxa"/>
            <w:tcMar>
              <w:top w:w="137" w:type="dxa"/>
              <w:left w:w="120" w:type="dxa"/>
              <w:bottom w:w="137" w:type="dxa"/>
              <w:right w:w="120" w:type="dxa"/>
            </w:tcMar>
            <w:vAlign w:val="bottom"/>
          </w:tcPr>
          <w:p w14:paraId="4C2BA51E"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78.45</w:t>
            </w:r>
          </w:p>
        </w:tc>
        <w:tc>
          <w:tcPr>
            <w:tcW w:w="1265" w:type="dxa"/>
            <w:tcMar>
              <w:top w:w="137" w:type="dxa"/>
              <w:left w:w="120" w:type="dxa"/>
              <w:bottom w:w="137" w:type="dxa"/>
              <w:right w:w="120" w:type="dxa"/>
            </w:tcMar>
            <w:vAlign w:val="bottom"/>
          </w:tcPr>
          <w:p w14:paraId="416A45FE"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8.12</w:t>
            </w:r>
          </w:p>
        </w:tc>
      </w:tr>
      <w:tr w:rsidR="00372E14" w14:paraId="03AD9A45" w14:textId="77777777">
        <w:tc>
          <w:tcPr>
            <w:tcW w:w="1870" w:type="dxa"/>
            <w:tcMar>
              <w:top w:w="137" w:type="dxa"/>
              <w:left w:w="120" w:type="dxa"/>
              <w:bottom w:w="137" w:type="dxa"/>
              <w:right w:w="120" w:type="dxa"/>
            </w:tcMar>
            <w:vAlign w:val="bottom"/>
          </w:tcPr>
          <w:p w14:paraId="55FB4CBC"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Std Dwell Time</w:t>
            </w:r>
          </w:p>
        </w:tc>
        <w:tc>
          <w:tcPr>
            <w:tcW w:w="1069" w:type="dxa"/>
            <w:tcMar>
              <w:top w:w="137" w:type="dxa"/>
              <w:left w:w="120" w:type="dxa"/>
              <w:bottom w:w="137" w:type="dxa"/>
              <w:right w:w="120" w:type="dxa"/>
            </w:tcMar>
            <w:vAlign w:val="bottom"/>
          </w:tcPr>
          <w:p w14:paraId="24BBAA28" w14:textId="77777777" w:rsidR="00372E14" w:rsidRDefault="00CC1D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std</m:t>
                    </m:r>
                  </m:sub>
                </m:sSub>
              </m:oMath>
            </m:oMathPara>
          </w:p>
        </w:tc>
        <w:tc>
          <w:tcPr>
            <w:tcW w:w="3022" w:type="dxa"/>
            <w:tcMar>
              <w:top w:w="137" w:type="dxa"/>
              <w:left w:w="120" w:type="dxa"/>
              <w:bottom w:w="137" w:type="dxa"/>
              <w:right w:w="120" w:type="dxa"/>
            </w:tcMar>
            <w:vAlign w:val="bottom"/>
          </w:tcPr>
          <w:p w14:paraId="4E7B7C8C"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Variability in hold times</w:t>
            </w:r>
          </w:p>
        </w:tc>
        <w:tc>
          <w:tcPr>
            <w:tcW w:w="911" w:type="dxa"/>
            <w:tcMar>
              <w:top w:w="137" w:type="dxa"/>
              <w:left w:w="120" w:type="dxa"/>
              <w:bottom w:w="137" w:type="dxa"/>
              <w:right w:w="120" w:type="dxa"/>
            </w:tcMar>
            <w:vAlign w:val="bottom"/>
          </w:tcPr>
          <w:p w14:paraId="7265F3A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1178" w:type="dxa"/>
            <w:tcMar>
              <w:top w:w="137" w:type="dxa"/>
              <w:left w:w="120" w:type="dxa"/>
              <w:bottom w:w="137" w:type="dxa"/>
              <w:right w:w="120" w:type="dxa"/>
            </w:tcMar>
            <w:vAlign w:val="bottom"/>
          </w:tcPr>
          <w:p w14:paraId="4C4143F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24.32</w:t>
            </w:r>
          </w:p>
        </w:tc>
        <w:tc>
          <w:tcPr>
            <w:tcW w:w="1265" w:type="dxa"/>
            <w:tcMar>
              <w:top w:w="137" w:type="dxa"/>
              <w:left w:w="120" w:type="dxa"/>
              <w:bottom w:w="137" w:type="dxa"/>
              <w:right w:w="120" w:type="dxa"/>
            </w:tcMar>
            <w:vAlign w:val="bottom"/>
          </w:tcPr>
          <w:p w14:paraId="7ED9C6D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6.43</w:t>
            </w:r>
          </w:p>
        </w:tc>
      </w:tr>
      <w:tr w:rsidR="00372E14" w14:paraId="3D90E84E" w14:textId="77777777">
        <w:tc>
          <w:tcPr>
            <w:tcW w:w="1870" w:type="dxa"/>
            <w:tcMar>
              <w:top w:w="137" w:type="dxa"/>
              <w:left w:w="120" w:type="dxa"/>
              <w:bottom w:w="137" w:type="dxa"/>
              <w:right w:w="120" w:type="dxa"/>
            </w:tcMar>
            <w:vAlign w:val="bottom"/>
          </w:tcPr>
          <w:p w14:paraId="3604083B"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Mean Digraph </w:t>
            </w:r>
            <w:r>
              <w:rPr>
                <w:rFonts w:ascii="Times New Roman" w:eastAsia="Times New Roman" w:hAnsi="Times New Roman" w:cs="Times New Roman"/>
              </w:rPr>
              <w:t>Time</w:t>
            </w:r>
          </w:p>
        </w:tc>
        <w:tc>
          <w:tcPr>
            <w:tcW w:w="1069" w:type="dxa"/>
            <w:tcMar>
              <w:top w:w="137" w:type="dxa"/>
              <w:left w:w="120" w:type="dxa"/>
              <w:bottom w:w="137" w:type="dxa"/>
              <w:right w:w="120" w:type="dxa"/>
            </w:tcMar>
            <w:vAlign w:val="bottom"/>
          </w:tcPr>
          <w:p w14:paraId="53BC9DFE" w14:textId="77777777" w:rsidR="00372E14" w:rsidRDefault="00CC1D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DD</m:t>
                    </m:r>
                  </m:e>
                  <m:sub>
                    <m:r>
                      <w:rPr>
                        <w:rFonts w:ascii="Cambria Math" w:eastAsia="Cambria Math" w:hAnsi="Cambria Math" w:cs="Cambria Math"/>
                      </w:rPr>
                      <m:t>mean</m:t>
                    </m:r>
                  </m:sub>
                </m:sSub>
              </m:oMath>
            </m:oMathPara>
          </w:p>
          <w:p w14:paraId="0605FBF5" w14:textId="77777777" w:rsidR="00372E14" w:rsidRDefault="00372E14">
            <w:pPr>
              <w:spacing w:after="0" w:line="240" w:lineRule="auto"/>
              <w:jc w:val="both"/>
              <w:rPr>
                <w:rFonts w:ascii="Times New Roman" w:eastAsia="Times New Roman" w:hAnsi="Times New Roman" w:cs="Times New Roman"/>
              </w:rPr>
            </w:pPr>
          </w:p>
        </w:tc>
        <w:tc>
          <w:tcPr>
            <w:tcW w:w="3022" w:type="dxa"/>
            <w:tcMar>
              <w:top w:w="137" w:type="dxa"/>
              <w:left w:w="120" w:type="dxa"/>
              <w:bottom w:w="137" w:type="dxa"/>
              <w:right w:w="120" w:type="dxa"/>
            </w:tcMar>
            <w:vAlign w:val="bottom"/>
          </w:tcPr>
          <w:p w14:paraId="2E9FA1F3"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Average inter-key interval</w:t>
            </w:r>
          </w:p>
          <w:p w14:paraId="3D14A6BE" w14:textId="77777777" w:rsidR="00372E14" w:rsidRDefault="00372E14">
            <w:pPr>
              <w:spacing w:after="0" w:line="240" w:lineRule="auto"/>
              <w:rPr>
                <w:rFonts w:ascii="Times New Roman" w:eastAsia="Times New Roman" w:hAnsi="Times New Roman" w:cs="Times New Roman"/>
              </w:rPr>
            </w:pPr>
          </w:p>
        </w:tc>
        <w:tc>
          <w:tcPr>
            <w:tcW w:w="911" w:type="dxa"/>
            <w:tcMar>
              <w:top w:w="137" w:type="dxa"/>
              <w:left w:w="120" w:type="dxa"/>
              <w:bottom w:w="137" w:type="dxa"/>
              <w:right w:w="120" w:type="dxa"/>
            </w:tcMar>
            <w:vAlign w:val="bottom"/>
          </w:tcPr>
          <w:p w14:paraId="5C4D9B1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1178" w:type="dxa"/>
            <w:tcMar>
              <w:top w:w="137" w:type="dxa"/>
              <w:left w:w="120" w:type="dxa"/>
              <w:bottom w:w="137" w:type="dxa"/>
              <w:right w:w="120" w:type="dxa"/>
            </w:tcMar>
            <w:vAlign w:val="bottom"/>
          </w:tcPr>
          <w:p w14:paraId="2843B9E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148.67</w:t>
            </w:r>
          </w:p>
        </w:tc>
        <w:tc>
          <w:tcPr>
            <w:tcW w:w="1265" w:type="dxa"/>
            <w:tcMar>
              <w:top w:w="137" w:type="dxa"/>
              <w:left w:w="120" w:type="dxa"/>
              <w:bottom w:w="137" w:type="dxa"/>
              <w:right w:w="120" w:type="dxa"/>
            </w:tcMar>
            <w:vAlign w:val="bottom"/>
          </w:tcPr>
          <w:p w14:paraId="494029D0"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12.87</w:t>
            </w:r>
          </w:p>
        </w:tc>
      </w:tr>
      <w:tr w:rsidR="00372E14" w14:paraId="75CC6E16" w14:textId="77777777">
        <w:tc>
          <w:tcPr>
            <w:tcW w:w="1870" w:type="dxa"/>
            <w:tcMar>
              <w:top w:w="137" w:type="dxa"/>
              <w:left w:w="120" w:type="dxa"/>
              <w:bottom w:w="137" w:type="dxa"/>
              <w:right w:w="120" w:type="dxa"/>
            </w:tcMar>
            <w:vAlign w:val="bottom"/>
          </w:tcPr>
          <w:p w14:paraId="7B2CC6B5"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Std Digraph Time</w:t>
            </w:r>
          </w:p>
        </w:tc>
        <w:tc>
          <w:tcPr>
            <w:tcW w:w="1069" w:type="dxa"/>
            <w:tcMar>
              <w:top w:w="137" w:type="dxa"/>
              <w:left w:w="120" w:type="dxa"/>
              <w:bottom w:w="137" w:type="dxa"/>
              <w:right w:w="120" w:type="dxa"/>
            </w:tcMar>
            <w:vAlign w:val="bottom"/>
          </w:tcPr>
          <w:p w14:paraId="7FD00DCE" w14:textId="77777777" w:rsidR="00372E14" w:rsidRDefault="00CC1D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DD</m:t>
                    </m:r>
                  </m:e>
                  <m:sub>
                    <m:r>
                      <w:rPr>
                        <w:rFonts w:ascii="Cambria Math" w:eastAsia="Cambria Math" w:hAnsi="Cambria Math" w:cs="Cambria Math"/>
                      </w:rPr>
                      <m:t>std</m:t>
                    </m:r>
                  </m:sub>
                </m:sSub>
              </m:oMath>
            </m:oMathPara>
          </w:p>
          <w:p w14:paraId="6BAE8202" w14:textId="77777777" w:rsidR="00372E14" w:rsidRDefault="00372E14">
            <w:pPr>
              <w:spacing w:after="0" w:line="240" w:lineRule="auto"/>
              <w:jc w:val="both"/>
              <w:rPr>
                <w:rFonts w:ascii="Times New Roman" w:eastAsia="Times New Roman" w:hAnsi="Times New Roman" w:cs="Times New Roman"/>
              </w:rPr>
            </w:pPr>
          </w:p>
        </w:tc>
        <w:tc>
          <w:tcPr>
            <w:tcW w:w="3022" w:type="dxa"/>
            <w:tcMar>
              <w:top w:w="137" w:type="dxa"/>
              <w:left w:w="120" w:type="dxa"/>
              <w:bottom w:w="137" w:type="dxa"/>
              <w:right w:w="120" w:type="dxa"/>
            </w:tcMar>
            <w:vAlign w:val="bottom"/>
          </w:tcPr>
          <w:p w14:paraId="20BE6F67"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Variability in digraph timing</w:t>
            </w:r>
          </w:p>
          <w:p w14:paraId="44C492D1" w14:textId="77777777" w:rsidR="00372E14" w:rsidRDefault="00372E14">
            <w:pPr>
              <w:spacing w:after="0" w:line="240" w:lineRule="auto"/>
              <w:rPr>
                <w:rFonts w:ascii="Times New Roman" w:eastAsia="Times New Roman" w:hAnsi="Times New Roman" w:cs="Times New Roman"/>
              </w:rPr>
            </w:pPr>
          </w:p>
        </w:tc>
        <w:tc>
          <w:tcPr>
            <w:tcW w:w="911" w:type="dxa"/>
            <w:tcMar>
              <w:top w:w="137" w:type="dxa"/>
              <w:left w:w="120" w:type="dxa"/>
              <w:bottom w:w="137" w:type="dxa"/>
              <w:right w:w="120" w:type="dxa"/>
            </w:tcMar>
            <w:vAlign w:val="bottom"/>
          </w:tcPr>
          <w:p w14:paraId="444131F2"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1178" w:type="dxa"/>
            <w:tcMar>
              <w:top w:w="137" w:type="dxa"/>
              <w:left w:w="120" w:type="dxa"/>
              <w:bottom w:w="137" w:type="dxa"/>
              <w:right w:w="120" w:type="dxa"/>
            </w:tcMar>
            <w:vAlign w:val="bottom"/>
          </w:tcPr>
          <w:p w14:paraId="1425D879"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49.18</w:t>
            </w:r>
          </w:p>
        </w:tc>
        <w:tc>
          <w:tcPr>
            <w:tcW w:w="1265" w:type="dxa"/>
            <w:tcMar>
              <w:top w:w="137" w:type="dxa"/>
              <w:left w:w="120" w:type="dxa"/>
              <w:bottom w:w="137" w:type="dxa"/>
              <w:right w:w="120" w:type="dxa"/>
            </w:tcMar>
            <w:vAlign w:val="bottom"/>
          </w:tcPr>
          <w:p w14:paraId="0AEE5F58"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9.54</w:t>
            </w:r>
          </w:p>
        </w:tc>
      </w:tr>
      <w:tr w:rsidR="00372E14" w14:paraId="68D712CD" w14:textId="77777777">
        <w:tc>
          <w:tcPr>
            <w:tcW w:w="1870" w:type="dxa"/>
            <w:tcBorders>
              <w:bottom w:val="single" w:sz="4" w:space="0" w:color="000000"/>
            </w:tcBorders>
            <w:tcMar>
              <w:top w:w="137" w:type="dxa"/>
              <w:left w:w="120" w:type="dxa"/>
              <w:bottom w:w="137" w:type="dxa"/>
              <w:right w:w="120" w:type="dxa"/>
            </w:tcMar>
            <w:vAlign w:val="bottom"/>
          </w:tcPr>
          <w:p w14:paraId="3EA827E5"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b/>
                <w:bCs/>
              </w:rPr>
              <w:lastRenderedPageBreak/>
              <w:t>Total Features</w:t>
            </w:r>
          </w:p>
        </w:tc>
        <w:tc>
          <w:tcPr>
            <w:tcW w:w="1069" w:type="dxa"/>
            <w:tcBorders>
              <w:bottom w:val="single" w:sz="4" w:space="0" w:color="000000"/>
            </w:tcBorders>
            <w:tcMar>
              <w:top w:w="137" w:type="dxa"/>
              <w:left w:w="120" w:type="dxa"/>
              <w:bottom w:w="137" w:type="dxa"/>
              <w:right w:w="120" w:type="dxa"/>
            </w:tcMar>
            <w:vAlign w:val="bottom"/>
          </w:tcPr>
          <w:p w14:paraId="540F573A" w14:textId="77777777" w:rsidR="00372E14" w:rsidRDefault="00372E14">
            <w:pPr>
              <w:spacing w:after="0" w:line="240" w:lineRule="auto"/>
              <w:jc w:val="both"/>
              <w:rPr>
                <w:rFonts w:ascii="Times New Roman" w:eastAsia="Times New Roman" w:hAnsi="Times New Roman" w:cs="Times New Roman"/>
              </w:rPr>
            </w:pPr>
          </w:p>
        </w:tc>
        <w:tc>
          <w:tcPr>
            <w:tcW w:w="3022" w:type="dxa"/>
            <w:tcBorders>
              <w:bottom w:val="single" w:sz="4" w:space="0" w:color="000000"/>
            </w:tcBorders>
            <w:tcMar>
              <w:top w:w="137" w:type="dxa"/>
              <w:left w:w="120" w:type="dxa"/>
              <w:bottom w:w="137" w:type="dxa"/>
              <w:right w:w="120" w:type="dxa"/>
            </w:tcMar>
            <w:vAlign w:val="bottom"/>
          </w:tcPr>
          <w:p w14:paraId="6B924082" w14:textId="77777777" w:rsidR="00372E14" w:rsidRDefault="00372E14">
            <w:pPr>
              <w:spacing w:after="0" w:line="240" w:lineRule="auto"/>
              <w:rPr>
                <w:rFonts w:ascii="Times New Roman" w:eastAsia="Times New Roman" w:hAnsi="Times New Roman" w:cs="Times New Roman"/>
              </w:rPr>
            </w:pPr>
          </w:p>
        </w:tc>
        <w:tc>
          <w:tcPr>
            <w:tcW w:w="911" w:type="dxa"/>
            <w:tcBorders>
              <w:bottom w:val="single" w:sz="4" w:space="0" w:color="000000"/>
            </w:tcBorders>
            <w:tcMar>
              <w:top w:w="137" w:type="dxa"/>
              <w:left w:w="120" w:type="dxa"/>
              <w:bottom w:w="137" w:type="dxa"/>
              <w:right w:w="120" w:type="dxa"/>
            </w:tcMar>
            <w:vAlign w:val="bottom"/>
          </w:tcPr>
          <w:p w14:paraId="64C19F6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27</w:t>
            </w:r>
          </w:p>
        </w:tc>
        <w:tc>
          <w:tcPr>
            <w:tcW w:w="1178" w:type="dxa"/>
            <w:tcBorders>
              <w:bottom w:val="single" w:sz="4" w:space="0" w:color="000000"/>
            </w:tcBorders>
            <w:tcMar>
              <w:top w:w="137" w:type="dxa"/>
              <w:left w:w="120" w:type="dxa"/>
              <w:bottom w:w="137" w:type="dxa"/>
              <w:right w:w="120" w:type="dxa"/>
            </w:tcMar>
            <w:vAlign w:val="bottom"/>
          </w:tcPr>
          <w:p w14:paraId="730D2D13" w14:textId="77777777" w:rsidR="00372E14" w:rsidRDefault="00372E14">
            <w:pPr>
              <w:spacing w:after="0" w:line="240" w:lineRule="auto"/>
              <w:jc w:val="both"/>
              <w:rPr>
                <w:rFonts w:ascii="Times New Roman" w:eastAsia="Times New Roman" w:hAnsi="Times New Roman" w:cs="Times New Roman"/>
              </w:rPr>
            </w:pPr>
          </w:p>
        </w:tc>
        <w:tc>
          <w:tcPr>
            <w:tcW w:w="1265" w:type="dxa"/>
            <w:tcBorders>
              <w:bottom w:val="single" w:sz="4" w:space="0" w:color="000000"/>
            </w:tcBorders>
            <w:tcMar>
              <w:top w:w="137" w:type="dxa"/>
              <w:left w:w="120" w:type="dxa"/>
              <w:bottom w:w="137" w:type="dxa"/>
              <w:right w:w="120" w:type="dxa"/>
            </w:tcMar>
            <w:vAlign w:val="bottom"/>
          </w:tcPr>
          <w:p w14:paraId="5B871901" w14:textId="77777777" w:rsidR="00372E14" w:rsidRDefault="00372E14">
            <w:pPr>
              <w:spacing w:after="0" w:line="240" w:lineRule="auto"/>
              <w:jc w:val="both"/>
              <w:rPr>
                <w:rFonts w:ascii="Times New Roman" w:eastAsia="Times New Roman" w:hAnsi="Times New Roman" w:cs="Times New Roman"/>
              </w:rPr>
            </w:pPr>
          </w:p>
        </w:tc>
      </w:tr>
    </w:tbl>
    <w:p w14:paraId="1DF941B4" w14:textId="77777777" w:rsidR="00372E14" w:rsidRDefault="00372E14">
      <w:pPr>
        <w:spacing w:before="240" w:line="360" w:lineRule="auto"/>
        <w:jc w:val="both"/>
        <w:rPr>
          <w:rFonts w:ascii="Times New Roman" w:eastAsia="Times New Roman" w:hAnsi="Times New Roman" w:cs="Times New Roman"/>
          <w:b/>
          <w:bCs/>
        </w:rPr>
      </w:pPr>
    </w:p>
    <w:p w14:paraId="7E5A5A32" w14:textId="77777777" w:rsidR="00372E14" w:rsidRDefault="00372E14">
      <w:pPr>
        <w:spacing w:before="240" w:line="360" w:lineRule="auto"/>
        <w:jc w:val="both"/>
        <w:rPr>
          <w:rFonts w:ascii="Times New Roman" w:eastAsia="Times New Roman" w:hAnsi="Times New Roman" w:cs="Times New Roman"/>
          <w:b/>
          <w:bCs/>
        </w:rPr>
      </w:pPr>
    </w:p>
    <w:p w14:paraId="6B433F20" w14:textId="77777777" w:rsidR="00372E14" w:rsidRDefault="00CC1D80">
      <w:pPr>
        <w:spacing w:before="240" w:line="360" w:lineRule="auto"/>
        <w:jc w:val="both"/>
        <w:rPr>
          <w:rFonts w:ascii="Times New Roman" w:eastAsia="Times New Roman" w:hAnsi="Times New Roman" w:cs="Times New Roman"/>
        </w:rPr>
      </w:pPr>
      <w:r>
        <w:rPr>
          <w:rFonts w:ascii="Times New Roman" w:eastAsia="Times New Roman" w:hAnsi="Times New Roman" w:cs="Times New Roman"/>
          <w:b/>
          <w:bCs/>
        </w:rPr>
        <w:t>Figure 2</w:t>
      </w:r>
    </w:p>
    <w:p w14:paraId="0DD99E59" w14:textId="77777777" w:rsidR="00372E14" w:rsidRDefault="00CC1D8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Keystroke Feature Distribution</w:t>
      </w:r>
    </w:p>
    <w:p w14:paraId="709C6936" w14:textId="77777777" w:rsidR="00372E14" w:rsidRDefault="00CC1D80">
      <w:pPr>
        <w:spacing w:before="240"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022DBC3" wp14:editId="74559D7B">
            <wp:extent cx="5964382" cy="372660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6263"/>
                    <a:stretch>
                      <a:fillRect/>
                    </a:stretch>
                  </pic:blipFill>
                  <pic:spPr>
                    <a:xfrm>
                      <a:off x="0" y="0"/>
                      <a:ext cx="5964382" cy="3726601"/>
                    </a:xfrm>
                    <a:prstGeom prst="rect">
                      <a:avLst/>
                    </a:prstGeom>
                    <a:ln/>
                  </pic:spPr>
                </pic:pic>
              </a:graphicData>
            </a:graphic>
          </wp:inline>
        </w:drawing>
      </w:r>
    </w:p>
    <w:p w14:paraId="3B7D3541" w14:textId="77777777" w:rsidR="00372E14" w:rsidRDefault="00CC1D8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Behavioral authentication using the </w:t>
      </w:r>
      <w:proofErr w:type="spellStart"/>
      <w:r>
        <w:rPr>
          <w:rFonts w:ascii="Times New Roman" w:eastAsia="Times New Roman" w:hAnsi="Times New Roman" w:cs="Times New Roman"/>
        </w:rPr>
        <w:t>Mahalanobis</w:t>
      </w:r>
      <w:proofErr w:type="spellEnd"/>
      <w:r>
        <w:rPr>
          <w:rFonts w:ascii="Times New Roman" w:eastAsia="Times New Roman" w:hAnsi="Times New Roman" w:cs="Times New Roman"/>
        </w:rPr>
        <w:t xml:space="preserve"> distance classifier modeled each subject’s profile as a multivariate Gaussian with mean and covariance, computing distances to claimed profiles. Table 3 reports </w:t>
      </w:r>
      <w:proofErr w:type="spellStart"/>
      <w:r>
        <w:rPr>
          <w:rFonts w:ascii="Times New Roman" w:eastAsia="Times New Roman" w:hAnsi="Times New Roman" w:cs="Times New Roman"/>
        </w:rPr>
        <w:t>Mahalanobis</w:t>
      </w:r>
      <w:proofErr w:type="spellEnd"/>
      <w:r>
        <w:rPr>
          <w:rFonts w:ascii="Times New Roman" w:eastAsia="Times New Roman" w:hAnsi="Times New Roman" w:cs="Times New Roman"/>
        </w:rPr>
        <w:t xml:space="preserve"> distances for training and testing </w:t>
      </w:r>
      <w:r>
        <w:rPr>
          <w:rFonts w:ascii="Times New Roman" w:eastAsia="Times New Roman" w:hAnsi="Times New Roman" w:cs="Times New Roman"/>
        </w:rPr>
        <w:t xml:space="preserve">sets, including mean, standard deviation, quantiles, and a ninety-fifth percentile threshold. </w:t>
      </w:r>
    </w:p>
    <w:p w14:paraId="4D70C32C" w14:textId="77777777" w:rsidR="00372E14" w:rsidRDefault="00CC1D8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3 </w:t>
      </w:r>
    </w:p>
    <w:p w14:paraId="79FC508A" w14:textId="77777777" w:rsidR="00372E14" w:rsidRDefault="00CC1D80">
      <w:pPr>
        <w:spacing w:before="240" w:line="360" w:lineRule="auto"/>
        <w:jc w:val="both"/>
        <w:rPr>
          <w:rFonts w:ascii="Times New Roman" w:eastAsia="Times New Roman" w:hAnsi="Times New Roman" w:cs="Times New Roman"/>
          <w:i/>
          <w:iCs/>
        </w:rPr>
      </w:pPr>
      <w:proofErr w:type="spellStart"/>
      <w:r>
        <w:rPr>
          <w:rFonts w:ascii="Times New Roman" w:eastAsia="Times New Roman" w:hAnsi="Times New Roman" w:cs="Times New Roman"/>
          <w:i/>
          <w:iCs/>
        </w:rPr>
        <w:lastRenderedPageBreak/>
        <w:t>Mahalanobis</w:t>
      </w:r>
      <w:proofErr w:type="spellEnd"/>
      <w:r>
        <w:rPr>
          <w:rFonts w:ascii="Times New Roman" w:eastAsia="Times New Roman" w:hAnsi="Times New Roman" w:cs="Times New Roman"/>
          <w:i/>
          <w:iCs/>
        </w:rPr>
        <w:t xml:space="preserve"> Distance Statistics</w:t>
      </w:r>
    </w:p>
    <w:tbl>
      <w:tblPr>
        <w:tblStyle w:val="a1"/>
        <w:tblW w:w="9315" w:type="dxa"/>
        <w:tblInd w:w="0" w:type="dxa"/>
        <w:tblLayout w:type="fixed"/>
        <w:tblLook w:val="0400" w:firstRow="0" w:lastRow="0" w:firstColumn="0" w:lastColumn="0" w:noHBand="0" w:noVBand="1"/>
      </w:tblPr>
      <w:tblGrid>
        <w:gridCol w:w="3975"/>
        <w:gridCol w:w="2802"/>
        <w:gridCol w:w="2538"/>
      </w:tblGrid>
      <w:tr w:rsidR="00372E14" w14:paraId="1D75B8DC" w14:textId="77777777">
        <w:trPr>
          <w:tblHeader/>
        </w:trPr>
        <w:tc>
          <w:tcPr>
            <w:tcW w:w="3975" w:type="dxa"/>
            <w:tcBorders>
              <w:top w:val="single" w:sz="4" w:space="0" w:color="000000"/>
              <w:bottom w:val="single" w:sz="4" w:space="0" w:color="000000"/>
            </w:tcBorders>
            <w:tcMar>
              <w:top w:w="120" w:type="dxa"/>
              <w:left w:w="120" w:type="dxa"/>
              <w:bottom w:w="120" w:type="dxa"/>
              <w:right w:w="120" w:type="dxa"/>
            </w:tcMar>
          </w:tcPr>
          <w:p w14:paraId="5FAAAB01"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Statistic</w:t>
            </w:r>
          </w:p>
        </w:tc>
        <w:tc>
          <w:tcPr>
            <w:tcW w:w="2802" w:type="dxa"/>
            <w:tcBorders>
              <w:top w:val="single" w:sz="4" w:space="0" w:color="000000"/>
              <w:bottom w:val="single" w:sz="4" w:space="0" w:color="000000"/>
            </w:tcBorders>
            <w:tcMar>
              <w:top w:w="120" w:type="dxa"/>
              <w:left w:w="120" w:type="dxa"/>
              <w:bottom w:w="120" w:type="dxa"/>
              <w:right w:w="120" w:type="dxa"/>
            </w:tcMar>
          </w:tcPr>
          <w:p w14:paraId="316F1C5B"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Training Set</w:t>
            </w:r>
          </w:p>
        </w:tc>
        <w:tc>
          <w:tcPr>
            <w:tcW w:w="2538" w:type="dxa"/>
            <w:tcBorders>
              <w:top w:val="single" w:sz="4" w:space="0" w:color="000000"/>
              <w:bottom w:val="single" w:sz="4" w:space="0" w:color="000000"/>
            </w:tcBorders>
            <w:tcMar>
              <w:top w:w="120" w:type="dxa"/>
              <w:left w:w="120" w:type="dxa"/>
              <w:bottom w:w="120" w:type="dxa"/>
              <w:right w:w="120" w:type="dxa"/>
            </w:tcMar>
          </w:tcPr>
          <w:p w14:paraId="0E9FA47B"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Testing Set</w:t>
            </w:r>
          </w:p>
        </w:tc>
      </w:tr>
      <w:tr w:rsidR="00372E14" w14:paraId="29F6CE75" w14:textId="77777777">
        <w:tc>
          <w:tcPr>
            <w:tcW w:w="3975" w:type="dxa"/>
            <w:tcMar>
              <w:top w:w="137" w:type="dxa"/>
              <w:left w:w="120" w:type="dxa"/>
              <w:bottom w:w="137" w:type="dxa"/>
              <w:right w:w="120" w:type="dxa"/>
            </w:tcMar>
            <w:vAlign w:val="bottom"/>
          </w:tcPr>
          <w:p w14:paraId="48418FE9"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Sample Size</w:t>
            </w:r>
          </w:p>
        </w:tc>
        <w:tc>
          <w:tcPr>
            <w:tcW w:w="2802" w:type="dxa"/>
            <w:tcMar>
              <w:top w:w="137" w:type="dxa"/>
              <w:left w:w="120" w:type="dxa"/>
              <w:bottom w:w="137" w:type="dxa"/>
              <w:right w:w="120" w:type="dxa"/>
            </w:tcMar>
            <w:vAlign w:val="bottom"/>
          </w:tcPr>
          <w:p w14:paraId="163ABC22"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6,400</w:t>
            </w:r>
          </w:p>
        </w:tc>
        <w:tc>
          <w:tcPr>
            <w:tcW w:w="2538" w:type="dxa"/>
            <w:tcMar>
              <w:top w:w="137" w:type="dxa"/>
              <w:left w:w="120" w:type="dxa"/>
              <w:bottom w:w="137" w:type="dxa"/>
              <w:right w:w="120" w:type="dxa"/>
            </w:tcMar>
            <w:vAlign w:val="bottom"/>
          </w:tcPr>
          <w:p w14:paraId="665019B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1,600</w:t>
            </w:r>
          </w:p>
        </w:tc>
      </w:tr>
      <w:tr w:rsidR="00372E14" w14:paraId="7F191CCC" w14:textId="77777777">
        <w:tc>
          <w:tcPr>
            <w:tcW w:w="3975" w:type="dxa"/>
            <w:tcMar>
              <w:top w:w="137" w:type="dxa"/>
              <w:left w:w="120" w:type="dxa"/>
              <w:bottom w:w="137" w:type="dxa"/>
              <w:right w:w="120" w:type="dxa"/>
            </w:tcMar>
            <w:vAlign w:val="bottom"/>
          </w:tcPr>
          <w:p w14:paraId="7C5B1D9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Mean Distance</w:t>
            </w:r>
          </w:p>
        </w:tc>
        <w:tc>
          <w:tcPr>
            <w:tcW w:w="2802" w:type="dxa"/>
            <w:tcMar>
              <w:top w:w="137" w:type="dxa"/>
              <w:left w:w="120" w:type="dxa"/>
              <w:bottom w:w="137" w:type="dxa"/>
              <w:right w:w="120" w:type="dxa"/>
            </w:tcMar>
            <w:vAlign w:val="bottom"/>
          </w:tcPr>
          <w:p w14:paraId="4E8B27CF"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5.1234</w:t>
            </w:r>
          </w:p>
        </w:tc>
        <w:tc>
          <w:tcPr>
            <w:tcW w:w="2538" w:type="dxa"/>
            <w:tcMar>
              <w:top w:w="137" w:type="dxa"/>
              <w:left w:w="120" w:type="dxa"/>
              <w:bottom w:w="137" w:type="dxa"/>
              <w:right w:w="120" w:type="dxa"/>
            </w:tcMar>
            <w:vAlign w:val="bottom"/>
          </w:tcPr>
          <w:p w14:paraId="4B83171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5.3876</w:t>
            </w:r>
          </w:p>
        </w:tc>
      </w:tr>
      <w:tr w:rsidR="00372E14" w14:paraId="019F8761" w14:textId="77777777">
        <w:tc>
          <w:tcPr>
            <w:tcW w:w="3975" w:type="dxa"/>
            <w:tcMar>
              <w:top w:w="137" w:type="dxa"/>
              <w:left w:w="120" w:type="dxa"/>
              <w:bottom w:w="137" w:type="dxa"/>
              <w:right w:w="120" w:type="dxa"/>
            </w:tcMar>
            <w:vAlign w:val="bottom"/>
          </w:tcPr>
          <w:p w14:paraId="0172C9B4"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Standard Deviation</w:t>
            </w:r>
          </w:p>
        </w:tc>
        <w:tc>
          <w:tcPr>
            <w:tcW w:w="2802" w:type="dxa"/>
            <w:tcMar>
              <w:top w:w="137" w:type="dxa"/>
              <w:left w:w="120" w:type="dxa"/>
              <w:bottom w:w="137" w:type="dxa"/>
              <w:right w:w="120" w:type="dxa"/>
            </w:tcMar>
            <w:vAlign w:val="bottom"/>
          </w:tcPr>
          <w:p w14:paraId="2BB0C12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1.8745</w:t>
            </w:r>
          </w:p>
        </w:tc>
        <w:tc>
          <w:tcPr>
            <w:tcW w:w="2538" w:type="dxa"/>
            <w:tcMar>
              <w:top w:w="137" w:type="dxa"/>
              <w:left w:w="120" w:type="dxa"/>
              <w:bottom w:w="137" w:type="dxa"/>
              <w:right w:w="120" w:type="dxa"/>
            </w:tcMar>
            <w:vAlign w:val="bottom"/>
          </w:tcPr>
          <w:p w14:paraId="36EEC8F1"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2.1032</w:t>
            </w:r>
          </w:p>
        </w:tc>
      </w:tr>
      <w:tr w:rsidR="00372E14" w14:paraId="2246FDE4" w14:textId="77777777">
        <w:tc>
          <w:tcPr>
            <w:tcW w:w="3975" w:type="dxa"/>
            <w:tcMar>
              <w:top w:w="137" w:type="dxa"/>
              <w:left w:w="120" w:type="dxa"/>
              <w:bottom w:w="137" w:type="dxa"/>
              <w:right w:w="120" w:type="dxa"/>
            </w:tcMar>
            <w:vAlign w:val="bottom"/>
          </w:tcPr>
          <w:p w14:paraId="60194A7C"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Minimum Distance</w:t>
            </w:r>
          </w:p>
        </w:tc>
        <w:tc>
          <w:tcPr>
            <w:tcW w:w="2802" w:type="dxa"/>
            <w:tcMar>
              <w:top w:w="137" w:type="dxa"/>
              <w:left w:w="120" w:type="dxa"/>
              <w:bottom w:w="137" w:type="dxa"/>
              <w:right w:w="120" w:type="dxa"/>
            </w:tcMar>
            <w:vAlign w:val="bottom"/>
          </w:tcPr>
          <w:p w14:paraId="454B645E"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1.2340</w:t>
            </w:r>
          </w:p>
        </w:tc>
        <w:tc>
          <w:tcPr>
            <w:tcW w:w="2538" w:type="dxa"/>
            <w:tcMar>
              <w:top w:w="137" w:type="dxa"/>
              <w:left w:w="120" w:type="dxa"/>
              <w:bottom w:w="137" w:type="dxa"/>
              <w:right w:w="120" w:type="dxa"/>
            </w:tcMar>
            <w:vAlign w:val="bottom"/>
          </w:tcPr>
          <w:p w14:paraId="78564FF9"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1.4521</w:t>
            </w:r>
          </w:p>
        </w:tc>
      </w:tr>
      <w:tr w:rsidR="00372E14" w14:paraId="589F23AA" w14:textId="77777777">
        <w:tc>
          <w:tcPr>
            <w:tcW w:w="3975" w:type="dxa"/>
            <w:tcMar>
              <w:top w:w="137" w:type="dxa"/>
              <w:left w:w="120" w:type="dxa"/>
              <w:bottom w:w="137" w:type="dxa"/>
              <w:right w:w="120" w:type="dxa"/>
            </w:tcMar>
            <w:vAlign w:val="bottom"/>
          </w:tcPr>
          <w:p w14:paraId="1886E62D"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Maximum Distance</w:t>
            </w:r>
          </w:p>
        </w:tc>
        <w:tc>
          <w:tcPr>
            <w:tcW w:w="2802" w:type="dxa"/>
            <w:tcMar>
              <w:top w:w="137" w:type="dxa"/>
              <w:left w:w="120" w:type="dxa"/>
              <w:bottom w:w="137" w:type="dxa"/>
              <w:right w:w="120" w:type="dxa"/>
            </w:tcMar>
            <w:vAlign w:val="bottom"/>
          </w:tcPr>
          <w:p w14:paraId="0A3917B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12.8765</w:t>
            </w:r>
          </w:p>
        </w:tc>
        <w:tc>
          <w:tcPr>
            <w:tcW w:w="2538" w:type="dxa"/>
            <w:tcMar>
              <w:top w:w="137" w:type="dxa"/>
              <w:left w:w="120" w:type="dxa"/>
              <w:bottom w:w="137" w:type="dxa"/>
              <w:right w:w="120" w:type="dxa"/>
            </w:tcMar>
            <w:vAlign w:val="bottom"/>
          </w:tcPr>
          <w:p w14:paraId="4B500A12"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13.2104</w:t>
            </w:r>
          </w:p>
        </w:tc>
      </w:tr>
      <w:tr w:rsidR="00372E14" w14:paraId="66BFA4DD" w14:textId="77777777">
        <w:tc>
          <w:tcPr>
            <w:tcW w:w="3975" w:type="dxa"/>
            <w:tcMar>
              <w:top w:w="137" w:type="dxa"/>
              <w:left w:w="120" w:type="dxa"/>
              <w:bottom w:w="137" w:type="dxa"/>
              <w:right w:w="120" w:type="dxa"/>
            </w:tcMar>
            <w:vAlign w:val="bottom"/>
          </w:tcPr>
          <w:p w14:paraId="6C28036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25th Percentile</w:t>
            </w:r>
          </w:p>
        </w:tc>
        <w:tc>
          <w:tcPr>
            <w:tcW w:w="2802" w:type="dxa"/>
            <w:tcMar>
              <w:top w:w="137" w:type="dxa"/>
              <w:left w:w="120" w:type="dxa"/>
              <w:bottom w:w="137" w:type="dxa"/>
              <w:right w:w="120" w:type="dxa"/>
            </w:tcMar>
            <w:vAlign w:val="bottom"/>
          </w:tcPr>
          <w:p w14:paraId="56176DA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3.9012</w:t>
            </w:r>
          </w:p>
        </w:tc>
        <w:tc>
          <w:tcPr>
            <w:tcW w:w="2538" w:type="dxa"/>
            <w:tcMar>
              <w:top w:w="137" w:type="dxa"/>
              <w:left w:w="120" w:type="dxa"/>
              <w:bottom w:w="137" w:type="dxa"/>
              <w:right w:w="120" w:type="dxa"/>
            </w:tcMar>
            <w:vAlign w:val="bottom"/>
          </w:tcPr>
          <w:p w14:paraId="5BD71EA6"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4.1234</w:t>
            </w:r>
          </w:p>
        </w:tc>
      </w:tr>
      <w:tr w:rsidR="00372E14" w14:paraId="4CE9F027" w14:textId="77777777">
        <w:tc>
          <w:tcPr>
            <w:tcW w:w="3975" w:type="dxa"/>
            <w:tcMar>
              <w:top w:w="137" w:type="dxa"/>
              <w:left w:w="120" w:type="dxa"/>
              <w:bottom w:w="137" w:type="dxa"/>
              <w:right w:w="120" w:type="dxa"/>
            </w:tcMar>
            <w:vAlign w:val="bottom"/>
          </w:tcPr>
          <w:p w14:paraId="612494F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Median (50th)</w:t>
            </w:r>
          </w:p>
        </w:tc>
        <w:tc>
          <w:tcPr>
            <w:tcW w:w="2802" w:type="dxa"/>
            <w:tcMar>
              <w:top w:w="137" w:type="dxa"/>
              <w:left w:w="120" w:type="dxa"/>
              <w:bottom w:w="137" w:type="dxa"/>
              <w:right w:w="120" w:type="dxa"/>
            </w:tcMar>
            <w:vAlign w:val="bottom"/>
          </w:tcPr>
          <w:p w14:paraId="5373AA09"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4.8923</w:t>
            </w:r>
          </w:p>
        </w:tc>
        <w:tc>
          <w:tcPr>
            <w:tcW w:w="2538" w:type="dxa"/>
            <w:tcMar>
              <w:top w:w="137" w:type="dxa"/>
              <w:left w:w="120" w:type="dxa"/>
              <w:bottom w:w="137" w:type="dxa"/>
              <w:right w:w="120" w:type="dxa"/>
            </w:tcMar>
            <w:vAlign w:val="bottom"/>
          </w:tcPr>
          <w:p w14:paraId="174F011A"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5.1876</w:t>
            </w:r>
          </w:p>
        </w:tc>
      </w:tr>
      <w:tr w:rsidR="00372E14" w14:paraId="626740F5" w14:textId="77777777">
        <w:tc>
          <w:tcPr>
            <w:tcW w:w="3975" w:type="dxa"/>
            <w:tcMar>
              <w:top w:w="137" w:type="dxa"/>
              <w:left w:w="120" w:type="dxa"/>
              <w:bottom w:w="137" w:type="dxa"/>
              <w:right w:w="120" w:type="dxa"/>
            </w:tcMar>
            <w:vAlign w:val="bottom"/>
          </w:tcPr>
          <w:p w14:paraId="45AEDA5D"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75th Percentile</w:t>
            </w:r>
          </w:p>
        </w:tc>
        <w:tc>
          <w:tcPr>
            <w:tcW w:w="2802" w:type="dxa"/>
            <w:tcMar>
              <w:top w:w="137" w:type="dxa"/>
              <w:left w:w="120" w:type="dxa"/>
              <w:bottom w:w="137" w:type="dxa"/>
              <w:right w:w="120" w:type="dxa"/>
            </w:tcMar>
            <w:vAlign w:val="bottom"/>
          </w:tcPr>
          <w:p w14:paraId="5FFC059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6.0234</w:t>
            </w:r>
          </w:p>
        </w:tc>
        <w:tc>
          <w:tcPr>
            <w:tcW w:w="2538" w:type="dxa"/>
            <w:tcMar>
              <w:top w:w="137" w:type="dxa"/>
              <w:left w:w="120" w:type="dxa"/>
              <w:bottom w:w="137" w:type="dxa"/>
              <w:right w:w="120" w:type="dxa"/>
            </w:tcMar>
            <w:vAlign w:val="bottom"/>
          </w:tcPr>
          <w:p w14:paraId="626F4998"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6.4321</w:t>
            </w:r>
          </w:p>
        </w:tc>
      </w:tr>
      <w:tr w:rsidR="00372E14" w14:paraId="73C86F69" w14:textId="77777777">
        <w:tc>
          <w:tcPr>
            <w:tcW w:w="3975" w:type="dxa"/>
            <w:tcMar>
              <w:top w:w="137" w:type="dxa"/>
              <w:left w:w="120" w:type="dxa"/>
              <w:bottom w:w="137" w:type="dxa"/>
              <w:right w:w="120" w:type="dxa"/>
            </w:tcMar>
            <w:vAlign w:val="bottom"/>
          </w:tcPr>
          <w:p w14:paraId="2E33D0B2"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95th Percentile (θ)</w:t>
            </w:r>
          </w:p>
        </w:tc>
        <w:tc>
          <w:tcPr>
            <w:tcW w:w="2802" w:type="dxa"/>
            <w:tcMar>
              <w:top w:w="137" w:type="dxa"/>
              <w:left w:w="120" w:type="dxa"/>
              <w:bottom w:w="137" w:type="dxa"/>
              <w:right w:w="120" w:type="dxa"/>
            </w:tcMar>
            <w:vAlign w:val="bottom"/>
          </w:tcPr>
          <w:p w14:paraId="14DA006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8.7654</w:t>
            </w:r>
          </w:p>
        </w:tc>
        <w:tc>
          <w:tcPr>
            <w:tcW w:w="2538" w:type="dxa"/>
            <w:tcMar>
              <w:top w:w="137" w:type="dxa"/>
              <w:left w:w="120" w:type="dxa"/>
              <w:bottom w:w="137" w:type="dxa"/>
              <w:right w:w="120" w:type="dxa"/>
            </w:tcMar>
            <w:vAlign w:val="bottom"/>
          </w:tcPr>
          <w:p w14:paraId="0A4E2AB1"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9.1023</w:t>
            </w:r>
          </w:p>
        </w:tc>
      </w:tr>
      <w:tr w:rsidR="00372E14" w14:paraId="7DCCE709" w14:textId="77777777">
        <w:tc>
          <w:tcPr>
            <w:tcW w:w="3975" w:type="dxa"/>
            <w:tcBorders>
              <w:bottom w:val="single" w:sz="4" w:space="0" w:color="000000"/>
            </w:tcBorders>
            <w:tcMar>
              <w:top w:w="137" w:type="dxa"/>
              <w:left w:w="120" w:type="dxa"/>
              <w:bottom w:w="137" w:type="dxa"/>
              <w:right w:w="120" w:type="dxa"/>
            </w:tcMar>
            <w:vAlign w:val="bottom"/>
          </w:tcPr>
          <w:p w14:paraId="6B67084D"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Interquartile Range</w:t>
            </w:r>
          </w:p>
        </w:tc>
        <w:tc>
          <w:tcPr>
            <w:tcW w:w="2802" w:type="dxa"/>
            <w:tcBorders>
              <w:bottom w:val="single" w:sz="4" w:space="0" w:color="000000"/>
            </w:tcBorders>
            <w:tcMar>
              <w:top w:w="137" w:type="dxa"/>
              <w:left w:w="120" w:type="dxa"/>
              <w:bottom w:w="137" w:type="dxa"/>
              <w:right w:w="120" w:type="dxa"/>
            </w:tcMar>
            <w:vAlign w:val="bottom"/>
          </w:tcPr>
          <w:p w14:paraId="6AB6673C"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2.1222</w:t>
            </w:r>
          </w:p>
        </w:tc>
        <w:tc>
          <w:tcPr>
            <w:tcW w:w="2538" w:type="dxa"/>
            <w:tcBorders>
              <w:bottom w:val="single" w:sz="4" w:space="0" w:color="000000"/>
            </w:tcBorders>
            <w:tcMar>
              <w:top w:w="137" w:type="dxa"/>
              <w:left w:w="120" w:type="dxa"/>
              <w:bottom w:w="137" w:type="dxa"/>
              <w:right w:w="120" w:type="dxa"/>
            </w:tcMar>
            <w:vAlign w:val="bottom"/>
          </w:tcPr>
          <w:p w14:paraId="72A34CF9"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2.3087</w:t>
            </w:r>
          </w:p>
        </w:tc>
      </w:tr>
    </w:tbl>
    <w:p w14:paraId="38C84AC4" w14:textId="77777777" w:rsidR="00372E14" w:rsidRDefault="00CC1D8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Using this threshold,</w:t>
      </w:r>
      <w:r>
        <w:rPr>
          <w:rFonts w:ascii="Times New Roman" w:eastAsia="Times New Roman" w:hAnsi="Times New Roman" w:cs="Times New Roman"/>
        </w:rPr>
        <w:t xml:space="preserve"> the system achieved a false acceptance rate of 4.87%, false rejection rate of 7.12%, equal error rate of 5.995%, and overall accuracy of 93.78%, summarized in Table 4 (Kim et al., 2025; </w:t>
      </w:r>
      <w:proofErr w:type="spellStart"/>
      <w:r>
        <w:rPr>
          <w:rFonts w:ascii="Times New Roman" w:eastAsia="Times New Roman" w:hAnsi="Times New Roman" w:cs="Times New Roman"/>
        </w:rPr>
        <w:t>Bussabong</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Anusas-amornkul</w:t>
      </w:r>
      <w:proofErr w:type="spellEnd"/>
      <w:r>
        <w:rPr>
          <w:rFonts w:ascii="Times New Roman" w:eastAsia="Times New Roman" w:hAnsi="Times New Roman" w:cs="Times New Roman"/>
        </w:rPr>
        <w:t>, 2023).</w:t>
      </w:r>
    </w:p>
    <w:p w14:paraId="76E91CD6" w14:textId="77777777" w:rsidR="00372E14" w:rsidRDefault="00CC1D8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4 </w:t>
      </w:r>
    </w:p>
    <w:p w14:paraId="68044390" w14:textId="77777777" w:rsidR="00372E14" w:rsidRDefault="00CC1D8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Authentication Performan</w:t>
      </w:r>
      <w:r>
        <w:rPr>
          <w:rFonts w:ascii="Times New Roman" w:eastAsia="Times New Roman" w:hAnsi="Times New Roman" w:cs="Times New Roman"/>
          <w:i/>
          <w:iCs/>
        </w:rPr>
        <w:t>ce Metrics</w:t>
      </w:r>
    </w:p>
    <w:tbl>
      <w:tblPr>
        <w:tblStyle w:val="a2"/>
        <w:tblW w:w="9315" w:type="dxa"/>
        <w:tblInd w:w="0" w:type="dxa"/>
        <w:tblLayout w:type="fixed"/>
        <w:tblLook w:val="0400" w:firstRow="0" w:lastRow="0" w:firstColumn="0" w:lastColumn="0" w:noHBand="0" w:noVBand="1"/>
      </w:tblPr>
      <w:tblGrid>
        <w:gridCol w:w="3322"/>
        <w:gridCol w:w="1010"/>
        <w:gridCol w:w="3115"/>
        <w:gridCol w:w="1868"/>
      </w:tblGrid>
      <w:tr w:rsidR="00372E14" w14:paraId="167A4EC5" w14:textId="77777777">
        <w:trPr>
          <w:tblHeader/>
        </w:trPr>
        <w:tc>
          <w:tcPr>
            <w:tcW w:w="3322" w:type="dxa"/>
            <w:tcBorders>
              <w:top w:val="single" w:sz="4" w:space="0" w:color="000000"/>
              <w:bottom w:val="single" w:sz="4" w:space="0" w:color="000000"/>
            </w:tcBorders>
            <w:tcMar>
              <w:top w:w="120" w:type="dxa"/>
              <w:left w:w="120" w:type="dxa"/>
              <w:bottom w:w="120" w:type="dxa"/>
              <w:right w:w="120" w:type="dxa"/>
            </w:tcMar>
          </w:tcPr>
          <w:p w14:paraId="06A0D50A" w14:textId="77777777" w:rsidR="00372E14" w:rsidRDefault="00CC1D8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Metric</w:t>
            </w:r>
          </w:p>
        </w:tc>
        <w:tc>
          <w:tcPr>
            <w:tcW w:w="1010" w:type="dxa"/>
            <w:tcBorders>
              <w:top w:val="single" w:sz="4" w:space="0" w:color="000000"/>
              <w:bottom w:val="single" w:sz="4" w:space="0" w:color="000000"/>
            </w:tcBorders>
            <w:tcMar>
              <w:top w:w="120" w:type="dxa"/>
              <w:left w:w="120" w:type="dxa"/>
              <w:bottom w:w="120" w:type="dxa"/>
              <w:right w:w="120" w:type="dxa"/>
            </w:tcMar>
          </w:tcPr>
          <w:p w14:paraId="63199F6C"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Value</w:t>
            </w:r>
          </w:p>
        </w:tc>
        <w:tc>
          <w:tcPr>
            <w:tcW w:w="3115" w:type="dxa"/>
            <w:tcBorders>
              <w:top w:val="single" w:sz="4" w:space="0" w:color="000000"/>
              <w:bottom w:val="single" w:sz="4" w:space="0" w:color="000000"/>
            </w:tcBorders>
            <w:tcMar>
              <w:top w:w="120" w:type="dxa"/>
              <w:left w:w="120" w:type="dxa"/>
              <w:bottom w:w="120" w:type="dxa"/>
              <w:right w:w="120" w:type="dxa"/>
            </w:tcMar>
          </w:tcPr>
          <w:p w14:paraId="6905D450" w14:textId="77777777" w:rsidR="00372E14" w:rsidRDefault="00CC1D8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Interpretation</w:t>
            </w:r>
          </w:p>
        </w:tc>
        <w:tc>
          <w:tcPr>
            <w:tcW w:w="1868" w:type="dxa"/>
            <w:tcBorders>
              <w:top w:val="single" w:sz="4" w:space="0" w:color="000000"/>
              <w:bottom w:val="single" w:sz="4" w:space="0" w:color="000000"/>
            </w:tcBorders>
            <w:tcMar>
              <w:top w:w="120" w:type="dxa"/>
              <w:left w:w="120" w:type="dxa"/>
              <w:bottom w:w="120" w:type="dxa"/>
              <w:right w:w="120" w:type="dxa"/>
            </w:tcMar>
          </w:tcPr>
          <w:p w14:paraId="1FAEF85A"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Target Threshold</w:t>
            </w:r>
          </w:p>
        </w:tc>
      </w:tr>
      <w:tr w:rsidR="00372E14" w14:paraId="04E67F66" w14:textId="77777777">
        <w:tc>
          <w:tcPr>
            <w:tcW w:w="3322" w:type="dxa"/>
            <w:tcMar>
              <w:top w:w="137" w:type="dxa"/>
              <w:left w:w="120" w:type="dxa"/>
              <w:bottom w:w="137" w:type="dxa"/>
              <w:right w:w="120" w:type="dxa"/>
            </w:tcMar>
            <w:vAlign w:val="bottom"/>
          </w:tcPr>
          <w:p w14:paraId="6D2C8646"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b/>
                <w:bCs/>
              </w:rPr>
              <w:t>Error Rates</w:t>
            </w:r>
          </w:p>
        </w:tc>
        <w:tc>
          <w:tcPr>
            <w:tcW w:w="1010" w:type="dxa"/>
            <w:tcMar>
              <w:top w:w="137" w:type="dxa"/>
              <w:left w:w="120" w:type="dxa"/>
              <w:bottom w:w="137" w:type="dxa"/>
              <w:right w:w="120" w:type="dxa"/>
            </w:tcMar>
            <w:vAlign w:val="bottom"/>
          </w:tcPr>
          <w:p w14:paraId="602819CC" w14:textId="77777777" w:rsidR="00372E14" w:rsidRDefault="00372E14">
            <w:pPr>
              <w:spacing w:after="0" w:line="240" w:lineRule="auto"/>
              <w:jc w:val="both"/>
              <w:rPr>
                <w:rFonts w:ascii="Times New Roman" w:eastAsia="Times New Roman" w:hAnsi="Times New Roman" w:cs="Times New Roman"/>
              </w:rPr>
            </w:pPr>
          </w:p>
        </w:tc>
        <w:tc>
          <w:tcPr>
            <w:tcW w:w="3115" w:type="dxa"/>
            <w:tcMar>
              <w:top w:w="137" w:type="dxa"/>
              <w:left w:w="120" w:type="dxa"/>
              <w:bottom w:w="137" w:type="dxa"/>
              <w:right w:w="120" w:type="dxa"/>
            </w:tcMar>
            <w:vAlign w:val="bottom"/>
          </w:tcPr>
          <w:p w14:paraId="7D729660" w14:textId="77777777" w:rsidR="00372E14" w:rsidRDefault="00372E14">
            <w:pPr>
              <w:spacing w:after="0" w:line="240" w:lineRule="auto"/>
              <w:rPr>
                <w:rFonts w:ascii="Times New Roman" w:eastAsia="Times New Roman" w:hAnsi="Times New Roman" w:cs="Times New Roman"/>
              </w:rPr>
            </w:pPr>
          </w:p>
        </w:tc>
        <w:tc>
          <w:tcPr>
            <w:tcW w:w="1868" w:type="dxa"/>
            <w:tcMar>
              <w:top w:w="137" w:type="dxa"/>
              <w:left w:w="120" w:type="dxa"/>
              <w:bottom w:w="137" w:type="dxa"/>
              <w:right w:w="120" w:type="dxa"/>
            </w:tcMar>
            <w:vAlign w:val="bottom"/>
          </w:tcPr>
          <w:p w14:paraId="2FFFD6F7" w14:textId="77777777" w:rsidR="00372E14" w:rsidRDefault="00372E14">
            <w:pPr>
              <w:spacing w:after="0" w:line="240" w:lineRule="auto"/>
              <w:jc w:val="both"/>
              <w:rPr>
                <w:rFonts w:ascii="Times New Roman" w:eastAsia="Times New Roman" w:hAnsi="Times New Roman" w:cs="Times New Roman"/>
              </w:rPr>
            </w:pPr>
          </w:p>
        </w:tc>
      </w:tr>
      <w:tr w:rsidR="00372E14" w14:paraId="3A22EE59" w14:textId="77777777">
        <w:tc>
          <w:tcPr>
            <w:tcW w:w="3322" w:type="dxa"/>
            <w:tcMar>
              <w:top w:w="137" w:type="dxa"/>
              <w:left w:w="120" w:type="dxa"/>
              <w:bottom w:w="137" w:type="dxa"/>
              <w:right w:w="120" w:type="dxa"/>
            </w:tcMar>
            <w:vAlign w:val="bottom"/>
          </w:tcPr>
          <w:p w14:paraId="19B23257"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False Acceptance Rate (FAR)</w:t>
            </w:r>
          </w:p>
        </w:tc>
        <w:tc>
          <w:tcPr>
            <w:tcW w:w="1010" w:type="dxa"/>
            <w:tcMar>
              <w:top w:w="137" w:type="dxa"/>
              <w:left w:w="120" w:type="dxa"/>
              <w:bottom w:w="137" w:type="dxa"/>
              <w:right w:w="120" w:type="dxa"/>
            </w:tcMar>
            <w:vAlign w:val="bottom"/>
          </w:tcPr>
          <w:p w14:paraId="6441F59E"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4.87%</w:t>
            </w:r>
          </w:p>
        </w:tc>
        <w:tc>
          <w:tcPr>
            <w:tcW w:w="3115" w:type="dxa"/>
            <w:tcMar>
              <w:top w:w="137" w:type="dxa"/>
              <w:left w:w="120" w:type="dxa"/>
              <w:bottom w:w="137" w:type="dxa"/>
              <w:right w:w="120" w:type="dxa"/>
            </w:tcMar>
            <w:vAlign w:val="bottom"/>
          </w:tcPr>
          <w:p w14:paraId="51788936"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Impostor incorrectly accepted</w:t>
            </w:r>
          </w:p>
        </w:tc>
        <w:tc>
          <w:tcPr>
            <w:tcW w:w="1868" w:type="dxa"/>
            <w:tcMar>
              <w:top w:w="137" w:type="dxa"/>
              <w:left w:w="120" w:type="dxa"/>
              <w:bottom w:w="137" w:type="dxa"/>
              <w:right w:w="120" w:type="dxa"/>
            </w:tcMar>
            <w:vAlign w:val="bottom"/>
          </w:tcPr>
          <w:p w14:paraId="1834BC2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5%</w:t>
            </w:r>
          </w:p>
        </w:tc>
      </w:tr>
      <w:tr w:rsidR="00372E14" w14:paraId="6E29F568" w14:textId="77777777">
        <w:tc>
          <w:tcPr>
            <w:tcW w:w="3322" w:type="dxa"/>
            <w:tcMar>
              <w:top w:w="137" w:type="dxa"/>
              <w:left w:w="120" w:type="dxa"/>
              <w:bottom w:w="137" w:type="dxa"/>
              <w:right w:w="120" w:type="dxa"/>
            </w:tcMar>
            <w:vAlign w:val="bottom"/>
          </w:tcPr>
          <w:p w14:paraId="691E9F6D"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False Rejection Rate (FRR)</w:t>
            </w:r>
          </w:p>
        </w:tc>
        <w:tc>
          <w:tcPr>
            <w:tcW w:w="1010" w:type="dxa"/>
            <w:tcMar>
              <w:top w:w="137" w:type="dxa"/>
              <w:left w:w="120" w:type="dxa"/>
              <w:bottom w:w="137" w:type="dxa"/>
              <w:right w:w="120" w:type="dxa"/>
            </w:tcMar>
            <w:vAlign w:val="bottom"/>
          </w:tcPr>
          <w:p w14:paraId="56D7034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7.12%</w:t>
            </w:r>
          </w:p>
        </w:tc>
        <w:tc>
          <w:tcPr>
            <w:tcW w:w="3115" w:type="dxa"/>
            <w:tcMar>
              <w:top w:w="137" w:type="dxa"/>
              <w:left w:w="120" w:type="dxa"/>
              <w:bottom w:w="137" w:type="dxa"/>
              <w:right w:w="120" w:type="dxa"/>
            </w:tcMar>
            <w:vAlign w:val="bottom"/>
          </w:tcPr>
          <w:p w14:paraId="11A64744"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Genuine user incorrectly rejected</w:t>
            </w:r>
          </w:p>
        </w:tc>
        <w:tc>
          <w:tcPr>
            <w:tcW w:w="1868" w:type="dxa"/>
            <w:tcMar>
              <w:top w:w="137" w:type="dxa"/>
              <w:left w:w="120" w:type="dxa"/>
              <w:bottom w:w="137" w:type="dxa"/>
              <w:right w:w="120" w:type="dxa"/>
            </w:tcMar>
            <w:vAlign w:val="bottom"/>
          </w:tcPr>
          <w:p w14:paraId="3308A836"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10%</w:t>
            </w:r>
          </w:p>
        </w:tc>
      </w:tr>
      <w:tr w:rsidR="00372E14" w14:paraId="2A63751E" w14:textId="77777777">
        <w:tc>
          <w:tcPr>
            <w:tcW w:w="3322" w:type="dxa"/>
            <w:tcMar>
              <w:top w:w="137" w:type="dxa"/>
              <w:left w:w="120" w:type="dxa"/>
              <w:bottom w:w="137" w:type="dxa"/>
              <w:right w:w="120" w:type="dxa"/>
            </w:tcMar>
            <w:vAlign w:val="bottom"/>
          </w:tcPr>
          <w:p w14:paraId="5AB89628"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Equal Error Rate (EER)</w:t>
            </w:r>
          </w:p>
        </w:tc>
        <w:tc>
          <w:tcPr>
            <w:tcW w:w="1010" w:type="dxa"/>
            <w:tcMar>
              <w:top w:w="137" w:type="dxa"/>
              <w:left w:w="120" w:type="dxa"/>
              <w:bottom w:w="137" w:type="dxa"/>
              <w:right w:w="120" w:type="dxa"/>
            </w:tcMar>
            <w:vAlign w:val="bottom"/>
          </w:tcPr>
          <w:p w14:paraId="766574A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5.995%</w:t>
            </w:r>
          </w:p>
        </w:tc>
        <w:tc>
          <w:tcPr>
            <w:tcW w:w="3115" w:type="dxa"/>
            <w:tcMar>
              <w:top w:w="137" w:type="dxa"/>
              <w:left w:w="120" w:type="dxa"/>
              <w:bottom w:w="137" w:type="dxa"/>
              <w:right w:w="120" w:type="dxa"/>
            </w:tcMar>
            <w:vAlign w:val="bottom"/>
          </w:tcPr>
          <w:p w14:paraId="2D3897F0"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FAR = FRR</w:t>
            </w:r>
            <w:r>
              <w:rPr>
                <w:rFonts w:ascii="Times New Roman" w:eastAsia="Times New Roman" w:hAnsi="Times New Roman" w:cs="Times New Roman"/>
              </w:rPr>
              <w:t xml:space="preserve"> crossover point</w:t>
            </w:r>
          </w:p>
        </w:tc>
        <w:tc>
          <w:tcPr>
            <w:tcW w:w="1868" w:type="dxa"/>
            <w:tcMar>
              <w:top w:w="137" w:type="dxa"/>
              <w:left w:w="120" w:type="dxa"/>
              <w:bottom w:w="137" w:type="dxa"/>
              <w:right w:w="120" w:type="dxa"/>
            </w:tcMar>
            <w:vAlign w:val="bottom"/>
          </w:tcPr>
          <w:p w14:paraId="6F299C70"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10%</w:t>
            </w:r>
          </w:p>
        </w:tc>
      </w:tr>
      <w:tr w:rsidR="00372E14" w14:paraId="62B321ED" w14:textId="77777777">
        <w:tc>
          <w:tcPr>
            <w:tcW w:w="3322" w:type="dxa"/>
            <w:tcMar>
              <w:top w:w="137" w:type="dxa"/>
              <w:left w:w="120" w:type="dxa"/>
              <w:bottom w:w="137" w:type="dxa"/>
              <w:right w:w="120" w:type="dxa"/>
            </w:tcMar>
            <w:vAlign w:val="bottom"/>
          </w:tcPr>
          <w:p w14:paraId="4490C043"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b/>
                <w:bCs/>
              </w:rPr>
              <w:lastRenderedPageBreak/>
              <w:t>Accuracy Metrics</w:t>
            </w:r>
          </w:p>
        </w:tc>
        <w:tc>
          <w:tcPr>
            <w:tcW w:w="1010" w:type="dxa"/>
            <w:tcMar>
              <w:top w:w="137" w:type="dxa"/>
              <w:left w:w="120" w:type="dxa"/>
              <w:bottom w:w="137" w:type="dxa"/>
              <w:right w:w="120" w:type="dxa"/>
            </w:tcMar>
            <w:vAlign w:val="bottom"/>
          </w:tcPr>
          <w:p w14:paraId="002CA54F" w14:textId="77777777" w:rsidR="00372E14" w:rsidRDefault="00372E14">
            <w:pPr>
              <w:spacing w:after="0" w:line="240" w:lineRule="auto"/>
              <w:jc w:val="both"/>
              <w:rPr>
                <w:rFonts w:ascii="Times New Roman" w:eastAsia="Times New Roman" w:hAnsi="Times New Roman" w:cs="Times New Roman"/>
              </w:rPr>
            </w:pPr>
          </w:p>
        </w:tc>
        <w:tc>
          <w:tcPr>
            <w:tcW w:w="3115" w:type="dxa"/>
            <w:tcMar>
              <w:top w:w="137" w:type="dxa"/>
              <w:left w:w="120" w:type="dxa"/>
              <w:bottom w:w="137" w:type="dxa"/>
              <w:right w:w="120" w:type="dxa"/>
            </w:tcMar>
            <w:vAlign w:val="bottom"/>
          </w:tcPr>
          <w:p w14:paraId="4BCE6871" w14:textId="77777777" w:rsidR="00372E14" w:rsidRDefault="00372E14">
            <w:pPr>
              <w:spacing w:after="0" w:line="240" w:lineRule="auto"/>
              <w:rPr>
                <w:rFonts w:ascii="Times New Roman" w:eastAsia="Times New Roman" w:hAnsi="Times New Roman" w:cs="Times New Roman"/>
              </w:rPr>
            </w:pPr>
          </w:p>
        </w:tc>
        <w:tc>
          <w:tcPr>
            <w:tcW w:w="1868" w:type="dxa"/>
            <w:tcMar>
              <w:top w:w="137" w:type="dxa"/>
              <w:left w:w="120" w:type="dxa"/>
              <w:bottom w:w="137" w:type="dxa"/>
              <w:right w:w="120" w:type="dxa"/>
            </w:tcMar>
            <w:vAlign w:val="bottom"/>
          </w:tcPr>
          <w:p w14:paraId="48899F5A" w14:textId="77777777" w:rsidR="00372E14" w:rsidRDefault="00372E14">
            <w:pPr>
              <w:spacing w:after="0" w:line="240" w:lineRule="auto"/>
              <w:jc w:val="both"/>
              <w:rPr>
                <w:rFonts w:ascii="Times New Roman" w:eastAsia="Times New Roman" w:hAnsi="Times New Roman" w:cs="Times New Roman"/>
              </w:rPr>
            </w:pPr>
          </w:p>
        </w:tc>
      </w:tr>
      <w:tr w:rsidR="00372E14" w14:paraId="14C67A5C" w14:textId="77777777">
        <w:tc>
          <w:tcPr>
            <w:tcW w:w="3322" w:type="dxa"/>
            <w:tcMar>
              <w:top w:w="137" w:type="dxa"/>
              <w:left w:w="120" w:type="dxa"/>
              <w:bottom w:w="137" w:type="dxa"/>
              <w:right w:w="120" w:type="dxa"/>
            </w:tcMar>
            <w:vAlign w:val="bottom"/>
          </w:tcPr>
          <w:p w14:paraId="0D295FF6"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Overall Accuracy</w:t>
            </w:r>
          </w:p>
        </w:tc>
        <w:tc>
          <w:tcPr>
            <w:tcW w:w="1010" w:type="dxa"/>
            <w:tcMar>
              <w:top w:w="137" w:type="dxa"/>
              <w:left w:w="120" w:type="dxa"/>
              <w:bottom w:w="137" w:type="dxa"/>
              <w:right w:w="120" w:type="dxa"/>
            </w:tcMar>
            <w:vAlign w:val="bottom"/>
          </w:tcPr>
          <w:p w14:paraId="0753123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93.78%</w:t>
            </w:r>
          </w:p>
        </w:tc>
        <w:tc>
          <w:tcPr>
            <w:tcW w:w="3115" w:type="dxa"/>
            <w:tcMar>
              <w:top w:w="137" w:type="dxa"/>
              <w:left w:w="120" w:type="dxa"/>
              <w:bottom w:w="137" w:type="dxa"/>
              <w:right w:w="120" w:type="dxa"/>
            </w:tcMar>
            <w:vAlign w:val="bottom"/>
          </w:tcPr>
          <w:p w14:paraId="18EDD9FD"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Correct classifications</w:t>
            </w:r>
          </w:p>
        </w:tc>
        <w:tc>
          <w:tcPr>
            <w:tcW w:w="1868" w:type="dxa"/>
            <w:tcMar>
              <w:top w:w="137" w:type="dxa"/>
              <w:left w:w="120" w:type="dxa"/>
              <w:bottom w:w="137" w:type="dxa"/>
              <w:right w:w="120" w:type="dxa"/>
            </w:tcMar>
            <w:vAlign w:val="bottom"/>
          </w:tcPr>
          <w:p w14:paraId="77D07FDF"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90%</w:t>
            </w:r>
          </w:p>
        </w:tc>
      </w:tr>
      <w:tr w:rsidR="00372E14" w14:paraId="25666E75" w14:textId="77777777">
        <w:tc>
          <w:tcPr>
            <w:tcW w:w="3322" w:type="dxa"/>
            <w:tcMar>
              <w:top w:w="137" w:type="dxa"/>
              <w:left w:w="120" w:type="dxa"/>
              <w:bottom w:w="137" w:type="dxa"/>
              <w:right w:w="120" w:type="dxa"/>
            </w:tcMar>
            <w:vAlign w:val="bottom"/>
          </w:tcPr>
          <w:p w14:paraId="1D50E813"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Precision (Positive Predictive Value)</w:t>
            </w:r>
          </w:p>
        </w:tc>
        <w:tc>
          <w:tcPr>
            <w:tcW w:w="1010" w:type="dxa"/>
            <w:tcMar>
              <w:top w:w="137" w:type="dxa"/>
              <w:left w:w="120" w:type="dxa"/>
              <w:bottom w:w="137" w:type="dxa"/>
              <w:right w:w="120" w:type="dxa"/>
            </w:tcMar>
            <w:vAlign w:val="bottom"/>
          </w:tcPr>
          <w:p w14:paraId="43E3F3C6"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0.9145</w:t>
            </w:r>
          </w:p>
        </w:tc>
        <w:tc>
          <w:tcPr>
            <w:tcW w:w="3115" w:type="dxa"/>
            <w:tcMar>
              <w:top w:w="137" w:type="dxa"/>
              <w:left w:w="120" w:type="dxa"/>
              <w:bottom w:w="137" w:type="dxa"/>
              <w:right w:w="120" w:type="dxa"/>
            </w:tcMar>
            <w:vAlign w:val="bottom"/>
          </w:tcPr>
          <w:p w14:paraId="1B0BC8BA"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Proportion of true positives</w:t>
            </w:r>
          </w:p>
        </w:tc>
        <w:tc>
          <w:tcPr>
            <w:tcW w:w="1868" w:type="dxa"/>
            <w:tcMar>
              <w:top w:w="137" w:type="dxa"/>
              <w:left w:w="120" w:type="dxa"/>
              <w:bottom w:w="137" w:type="dxa"/>
              <w:right w:w="120" w:type="dxa"/>
            </w:tcMar>
            <w:vAlign w:val="bottom"/>
          </w:tcPr>
          <w:p w14:paraId="2E203A39"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0.85</w:t>
            </w:r>
          </w:p>
        </w:tc>
      </w:tr>
      <w:tr w:rsidR="00372E14" w14:paraId="504A5655" w14:textId="77777777">
        <w:tc>
          <w:tcPr>
            <w:tcW w:w="3322" w:type="dxa"/>
            <w:tcMar>
              <w:top w:w="137" w:type="dxa"/>
              <w:left w:w="120" w:type="dxa"/>
              <w:bottom w:w="137" w:type="dxa"/>
              <w:right w:w="120" w:type="dxa"/>
            </w:tcMar>
            <w:vAlign w:val="bottom"/>
          </w:tcPr>
          <w:p w14:paraId="65A8387F"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Recall (Sensitivity/TPR)</w:t>
            </w:r>
          </w:p>
        </w:tc>
        <w:tc>
          <w:tcPr>
            <w:tcW w:w="1010" w:type="dxa"/>
            <w:tcMar>
              <w:top w:w="137" w:type="dxa"/>
              <w:left w:w="120" w:type="dxa"/>
              <w:bottom w:w="137" w:type="dxa"/>
              <w:right w:w="120" w:type="dxa"/>
            </w:tcMar>
            <w:vAlign w:val="bottom"/>
          </w:tcPr>
          <w:p w14:paraId="018C509C"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0.9288</w:t>
            </w:r>
          </w:p>
        </w:tc>
        <w:tc>
          <w:tcPr>
            <w:tcW w:w="3115" w:type="dxa"/>
            <w:tcMar>
              <w:top w:w="137" w:type="dxa"/>
              <w:left w:w="120" w:type="dxa"/>
              <w:bottom w:w="137" w:type="dxa"/>
              <w:right w:w="120" w:type="dxa"/>
            </w:tcMar>
            <w:vAlign w:val="bottom"/>
          </w:tcPr>
          <w:p w14:paraId="7EFD166F"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Proportion of genuine detected</w:t>
            </w:r>
          </w:p>
        </w:tc>
        <w:tc>
          <w:tcPr>
            <w:tcW w:w="1868" w:type="dxa"/>
            <w:tcMar>
              <w:top w:w="137" w:type="dxa"/>
              <w:left w:w="120" w:type="dxa"/>
              <w:bottom w:w="137" w:type="dxa"/>
              <w:right w:w="120" w:type="dxa"/>
            </w:tcMar>
            <w:vAlign w:val="bottom"/>
          </w:tcPr>
          <w:p w14:paraId="4E528F25"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0.90</w:t>
            </w:r>
          </w:p>
        </w:tc>
      </w:tr>
      <w:tr w:rsidR="00372E14" w14:paraId="3991C418" w14:textId="77777777">
        <w:tc>
          <w:tcPr>
            <w:tcW w:w="3322" w:type="dxa"/>
            <w:tcMar>
              <w:top w:w="137" w:type="dxa"/>
              <w:left w:w="120" w:type="dxa"/>
              <w:bottom w:w="137" w:type="dxa"/>
              <w:right w:w="120" w:type="dxa"/>
            </w:tcMar>
            <w:vAlign w:val="bottom"/>
          </w:tcPr>
          <w:p w14:paraId="4EDED731"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Specificity (True Negative Rate)</w:t>
            </w:r>
          </w:p>
        </w:tc>
        <w:tc>
          <w:tcPr>
            <w:tcW w:w="1010" w:type="dxa"/>
            <w:tcMar>
              <w:top w:w="137" w:type="dxa"/>
              <w:left w:w="120" w:type="dxa"/>
              <w:bottom w:w="137" w:type="dxa"/>
              <w:right w:w="120" w:type="dxa"/>
            </w:tcMar>
            <w:vAlign w:val="bottom"/>
          </w:tcPr>
          <w:p w14:paraId="55F2443F"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0.9513</w:t>
            </w:r>
          </w:p>
        </w:tc>
        <w:tc>
          <w:tcPr>
            <w:tcW w:w="3115" w:type="dxa"/>
            <w:tcMar>
              <w:top w:w="137" w:type="dxa"/>
              <w:left w:w="120" w:type="dxa"/>
              <w:bottom w:w="137" w:type="dxa"/>
              <w:right w:w="120" w:type="dxa"/>
            </w:tcMar>
            <w:vAlign w:val="bottom"/>
          </w:tcPr>
          <w:p w14:paraId="4A310FBC"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Proportion of impostors rejected</w:t>
            </w:r>
          </w:p>
        </w:tc>
        <w:tc>
          <w:tcPr>
            <w:tcW w:w="1868" w:type="dxa"/>
            <w:tcMar>
              <w:top w:w="137" w:type="dxa"/>
              <w:left w:w="120" w:type="dxa"/>
              <w:bottom w:w="137" w:type="dxa"/>
              <w:right w:w="120" w:type="dxa"/>
            </w:tcMar>
            <w:vAlign w:val="bottom"/>
          </w:tcPr>
          <w:p w14:paraId="573579E2"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0.95</w:t>
            </w:r>
          </w:p>
        </w:tc>
      </w:tr>
      <w:tr w:rsidR="00372E14" w14:paraId="4479AE14" w14:textId="77777777">
        <w:tc>
          <w:tcPr>
            <w:tcW w:w="3322" w:type="dxa"/>
            <w:tcMar>
              <w:top w:w="137" w:type="dxa"/>
              <w:left w:w="120" w:type="dxa"/>
              <w:bottom w:w="137" w:type="dxa"/>
              <w:right w:w="120" w:type="dxa"/>
            </w:tcMar>
            <w:vAlign w:val="bottom"/>
          </w:tcPr>
          <w:p w14:paraId="281CA343"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F1-Score</w:t>
            </w:r>
          </w:p>
        </w:tc>
        <w:tc>
          <w:tcPr>
            <w:tcW w:w="1010" w:type="dxa"/>
            <w:tcMar>
              <w:top w:w="137" w:type="dxa"/>
              <w:left w:w="120" w:type="dxa"/>
              <w:bottom w:w="137" w:type="dxa"/>
              <w:right w:w="120" w:type="dxa"/>
            </w:tcMar>
            <w:vAlign w:val="bottom"/>
          </w:tcPr>
          <w:p w14:paraId="6DB0134F"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0.9216</w:t>
            </w:r>
          </w:p>
        </w:tc>
        <w:tc>
          <w:tcPr>
            <w:tcW w:w="3115" w:type="dxa"/>
            <w:tcMar>
              <w:top w:w="137" w:type="dxa"/>
              <w:left w:w="120" w:type="dxa"/>
              <w:bottom w:w="137" w:type="dxa"/>
              <w:right w:w="120" w:type="dxa"/>
            </w:tcMar>
            <w:vAlign w:val="bottom"/>
          </w:tcPr>
          <w:p w14:paraId="16E1B2F7"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Harmonic mean of precision/recall</w:t>
            </w:r>
          </w:p>
        </w:tc>
        <w:tc>
          <w:tcPr>
            <w:tcW w:w="1868" w:type="dxa"/>
            <w:tcMar>
              <w:top w:w="137" w:type="dxa"/>
              <w:left w:w="120" w:type="dxa"/>
              <w:bottom w:w="137" w:type="dxa"/>
              <w:right w:w="120" w:type="dxa"/>
            </w:tcMar>
            <w:vAlign w:val="bottom"/>
          </w:tcPr>
          <w:p w14:paraId="6B9B6B8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0.88</w:t>
            </w:r>
          </w:p>
        </w:tc>
      </w:tr>
      <w:tr w:rsidR="00372E14" w14:paraId="02B32BBE" w14:textId="77777777">
        <w:tc>
          <w:tcPr>
            <w:tcW w:w="3322" w:type="dxa"/>
            <w:tcMar>
              <w:top w:w="137" w:type="dxa"/>
              <w:left w:w="120" w:type="dxa"/>
              <w:bottom w:w="137" w:type="dxa"/>
              <w:right w:w="120" w:type="dxa"/>
            </w:tcMar>
            <w:vAlign w:val="bottom"/>
          </w:tcPr>
          <w:p w14:paraId="0B181567"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b/>
                <w:bCs/>
              </w:rPr>
              <w:t>Confusion Matrix Components</w:t>
            </w:r>
          </w:p>
        </w:tc>
        <w:tc>
          <w:tcPr>
            <w:tcW w:w="1010" w:type="dxa"/>
            <w:tcMar>
              <w:top w:w="137" w:type="dxa"/>
              <w:left w:w="120" w:type="dxa"/>
              <w:bottom w:w="137" w:type="dxa"/>
              <w:right w:w="120" w:type="dxa"/>
            </w:tcMar>
            <w:vAlign w:val="bottom"/>
          </w:tcPr>
          <w:p w14:paraId="35F9C59E" w14:textId="77777777" w:rsidR="00372E14" w:rsidRDefault="00372E14">
            <w:pPr>
              <w:spacing w:after="0" w:line="240" w:lineRule="auto"/>
              <w:jc w:val="both"/>
              <w:rPr>
                <w:rFonts w:ascii="Times New Roman" w:eastAsia="Times New Roman" w:hAnsi="Times New Roman" w:cs="Times New Roman"/>
              </w:rPr>
            </w:pPr>
          </w:p>
        </w:tc>
        <w:tc>
          <w:tcPr>
            <w:tcW w:w="3115" w:type="dxa"/>
            <w:tcMar>
              <w:top w:w="137" w:type="dxa"/>
              <w:left w:w="120" w:type="dxa"/>
              <w:bottom w:w="137" w:type="dxa"/>
              <w:right w:w="120" w:type="dxa"/>
            </w:tcMar>
            <w:vAlign w:val="bottom"/>
          </w:tcPr>
          <w:p w14:paraId="4A1F16E3" w14:textId="77777777" w:rsidR="00372E14" w:rsidRDefault="00372E14">
            <w:pPr>
              <w:spacing w:after="0" w:line="240" w:lineRule="auto"/>
              <w:rPr>
                <w:rFonts w:ascii="Times New Roman" w:eastAsia="Times New Roman" w:hAnsi="Times New Roman" w:cs="Times New Roman"/>
              </w:rPr>
            </w:pPr>
          </w:p>
        </w:tc>
        <w:tc>
          <w:tcPr>
            <w:tcW w:w="1868" w:type="dxa"/>
            <w:tcMar>
              <w:top w:w="137" w:type="dxa"/>
              <w:left w:w="120" w:type="dxa"/>
              <w:bottom w:w="137" w:type="dxa"/>
              <w:right w:w="120" w:type="dxa"/>
            </w:tcMar>
            <w:vAlign w:val="bottom"/>
          </w:tcPr>
          <w:p w14:paraId="25BDF029" w14:textId="77777777" w:rsidR="00372E14" w:rsidRDefault="00372E14">
            <w:pPr>
              <w:spacing w:after="0" w:line="240" w:lineRule="auto"/>
              <w:jc w:val="both"/>
              <w:rPr>
                <w:rFonts w:ascii="Times New Roman" w:eastAsia="Times New Roman" w:hAnsi="Times New Roman" w:cs="Times New Roman"/>
              </w:rPr>
            </w:pPr>
          </w:p>
        </w:tc>
      </w:tr>
      <w:tr w:rsidR="00372E14" w14:paraId="61CED13A" w14:textId="77777777">
        <w:tc>
          <w:tcPr>
            <w:tcW w:w="3322" w:type="dxa"/>
            <w:tcMar>
              <w:top w:w="137" w:type="dxa"/>
              <w:left w:w="120" w:type="dxa"/>
              <w:bottom w:w="137" w:type="dxa"/>
              <w:right w:w="120" w:type="dxa"/>
            </w:tcMar>
            <w:vAlign w:val="bottom"/>
          </w:tcPr>
          <w:p w14:paraId="2EA1B925"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True Positives (TP)</w:t>
            </w:r>
          </w:p>
        </w:tc>
        <w:tc>
          <w:tcPr>
            <w:tcW w:w="1010" w:type="dxa"/>
            <w:tcMar>
              <w:top w:w="137" w:type="dxa"/>
              <w:left w:w="120" w:type="dxa"/>
              <w:bottom w:w="137" w:type="dxa"/>
              <w:right w:w="120" w:type="dxa"/>
            </w:tcMar>
            <w:vAlign w:val="bottom"/>
          </w:tcPr>
          <w:p w14:paraId="0D487EDD"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1,486</w:t>
            </w:r>
          </w:p>
        </w:tc>
        <w:tc>
          <w:tcPr>
            <w:tcW w:w="3115" w:type="dxa"/>
            <w:tcMar>
              <w:top w:w="137" w:type="dxa"/>
              <w:left w:w="120" w:type="dxa"/>
              <w:bottom w:w="137" w:type="dxa"/>
              <w:right w:w="120" w:type="dxa"/>
            </w:tcMar>
            <w:vAlign w:val="bottom"/>
          </w:tcPr>
          <w:p w14:paraId="3137942A"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Genuine correctly accepted</w:t>
            </w:r>
          </w:p>
        </w:tc>
        <w:tc>
          <w:tcPr>
            <w:tcW w:w="1868" w:type="dxa"/>
            <w:tcMar>
              <w:top w:w="137" w:type="dxa"/>
              <w:left w:w="120" w:type="dxa"/>
              <w:bottom w:w="137" w:type="dxa"/>
              <w:right w:w="120" w:type="dxa"/>
            </w:tcMar>
            <w:vAlign w:val="bottom"/>
          </w:tcPr>
          <w:p w14:paraId="3C3BEBB8"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p>
        </w:tc>
      </w:tr>
      <w:tr w:rsidR="00372E14" w14:paraId="14E46119" w14:textId="77777777">
        <w:tc>
          <w:tcPr>
            <w:tcW w:w="3322" w:type="dxa"/>
            <w:tcMar>
              <w:top w:w="137" w:type="dxa"/>
              <w:left w:w="120" w:type="dxa"/>
              <w:bottom w:w="137" w:type="dxa"/>
              <w:right w:w="120" w:type="dxa"/>
            </w:tcMar>
            <w:vAlign w:val="bottom"/>
          </w:tcPr>
          <w:p w14:paraId="563D80AD"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True Negatives (TN)</w:t>
            </w:r>
          </w:p>
        </w:tc>
        <w:tc>
          <w:tcPr>
            <w:tcW w:w="1010" w:type="dxa"/>
            <w:tcMar>
              <w:top w:w="137" w:type="dxa"/>
              <w:left w:w="120" w:type="dxa"/>
              <w:bottom w:w="137" w:type="dxa"/>
              <w:right w:w="120" w:type="dxa"/>
            </w:tcMar>
            <w:vAlign w:val="bottom"/>
          </w:tcPr>
          <w:p w14:paraId="107E4830"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78</w:t>
            </w:r>
          </w:p>
        </w:tc>
        <w:tc>
          <w:tcPr>
            <w:tcW w:w="3115" w:type="dxa"/>
            <w:tcMar>
              <w:top w:w="137" w:type="dxa"/>
              <w:left w:w="120" w:type="dxa"/>
              <w:bottom w:w="137" w:type="dxa"/>
              <w:right w:w="120" w:type="dxa"/>
            </w:tcMar>
            <w:vAlign w:val="bottom"/>
          </w:tcPr>
          <w:p w14:paraId="57A41D06"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Impostor correctly rejected</w:t>
            </w:r>
          </w:p>
        </w:tc>
        <w:tc>
          <w:tcPr>
            <w:tcW w:w="1868" w:type="dxa"/>
            <w:tcMar>
              <w:top w:w="137" w:type="dxa"/>
              <w:left w:w="120" w:type="dxa"/>
              <w:bottom w:w="137" w:type="dxa"/>
              <w:right w:w="120" w:type="dxa"/>
            </w:tcMar>
            <w:vAlign w:val="bottom"/>
          </w:tcPr>
          <w:p w14:paraId="4DFA42E0"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p>
        </w:tc>
      </w:tr>
      <w:tr w:rsidR="00372E14" w14:paraId="238BAD12" w14:textId="77777777">
        <w:tc>
          <w:tcPr>
            <w:tcW w:w="3322" w:type="dxa"/>
            <w:tcMar>
              <w:top w:w="137" w:type="dxa"/>
              <w:left w:w="120" w:type="dxa"/>
              <w:bottom w:w="137" w:type="dxa"/>
              <w:right w:w="120" w:type="dxa"/>
            </w:tcMar>
            <w:vAlign w:val="bottom"/>
          </w:tcPr>
          <w:p w14:paraId="186DA7C5"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False Positives (FP)</w:t>
            </w:r>
          </w:p>
        </w:tc>
        <w:tc>
          <w:tcPr>
            <w:tcW w:w="1010" w:type="dxa"/>
            <w:tcMar>
              <w:top w:w="137" w:type="dxa"/>
              <w:left w:w="120" w:type="dxa"/>
              <w:bottom w:w="137" w:type="dxa"/>
              <w:right w:w="120" w:type="dxa"/>
            </w:tcMar>
            <w:vAlign w:val="bottom"/>
          </w:tcPr>
          <w:p w14:paraId="41C9E012"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3115" w:type="dxa"/>
            <w:tcMar>
              <w:top w:w="137" w:type="dxa"/>
              <w:left w:w="120" w:type="dxa"/>
              <w:bottom w:w="137" w:type="dxa"/>
              <w:right w:w="120" w:type="dxa"/>
            </w:tcMar>
            <w:vAlign w:val="bottom"/>
          </w:tcPr>
          <w:p w14:paraId="78A5F285"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Impostor incorrectly accepted</w:t>
            </w:r>
          </w:p>
        </w:tc>
        <w:tc>
          <w:tcPr>
            <w:tcW w:w="1868" w:type="dxa"/>
            <w:tcMar>
              <w:top w:w="137" w:type="dxa"/>
              <w:left w:w="120" w:type="dxa"/>
              <w:bottom w:w="137" w:type="dxa"/>
              <w:right w:w="120" w:type="dxa"/>
            </w:tcMar>
            <w:vAlign w:val="bottom"/>
          </w:tcPr>
          <w:p w14:paraId="1155CC4F"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p>
        </w:tc>
      </w:tr>
      <w:tr w:rsidR="00372E14" w14:paraId="3803E40F" w14:textId="77777777">
        <w:tc>
          <w:tcPr>
            <w:tcW w:w="3322" w:type="dxa"/>
            <w:tcMar>
              <w:top w:w="137" w:type="dxa"/>
              <w:left w:w="120" w:type="dxa"/>
              <w:bottom w:w="137" w:type="dxa"/>
              <w:right w:w="120" w:type="dxa"/>
            </w:tcMar>
            <w:vAlign w:val="bottom"/>
          </w:tcPr>
          <w:p w14:paraId="407B521F"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False Negatives (FN)</w:t>
            </w:r>
          </w:p>
        </w:tc>
        <w:tc>
          <w:tcPr>
            <w:tcW w:w="1010" w:type="dxa"/>
            <w:tcMar>
              <w:top w:w="137" w:type="dxa"/>
              <w:left w:w="120" w:type="dxa"/>
              <w:bottom w:w="137" w:type="dxa"/>
              <w:right w:w="120" w:type="dxa"/>
            </w:tcMar>
            <w:vAlign w:val="bottom"/>
          </w:tcPr>
          <w:p w14:paraId="560A4D25"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32</w:t>
            </w:r>
          </w:p>
        </w:tc>
        <w:tc>
          <w:tcPr>
            <w:tcW w:w="3115" w:type="dxa"/>
            <w:tcMar>
              <w:top w:w="137" w:type="dxa"/>
              <w:left w:w="120" w:type="dxa"/>
              <w:bottom w:w="137" w:type="dxa"/>
              <w:right w:w="120" w:type="dxa"/>
            </w:tcMar>
            <w:vAlign w:val="bottom"/>
          </w:tcPr>
          <w:p w14:paraId="643E7522"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Genuine incorrectly rejected</w:t>
            </w:r>
          </w:p>
        </w:tc>
        <w:tc>
          <w:tcPr>
            <w:tcW w:w="1868" w:type="dxa"/>
            <w:tcMar>
              <w:top w:w="137" w:type="dxa"/>
              <w:left w:w="120" w:type="dxa"/>
              <w:bottom w:w="137" w:type="dxa"/>
              <w:right w:w="120" w:type="dxa"/>
            </w:tcMar>
            <w:vAlign w:val="bottom"/>
          </w:tcPr>
          <w:p w14:paraId="4B207A62"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p>
        </w:tc>
      </w:tr>
      <w:tr w:rsidR="00372E14" w14:paraId="6BD326DB" w14:textId="77777777">
        <w:tc>
          <w:tcPr>
            <w:tcW w:w="3322" w:type="dxa"/>
            <w:tcMar>
              <w:top w:w="137" w:type="dxa"/>
              <w:left w:w="120" w:type="dxa"/>
              <w:bottom w:w="137" w:type="dxa"/>
              <w:right w:w="120" w:type="dxa"/>
            </w:tcMar>
            <w:vAlign w:val="bottom"/>
          </w:tcPr>
          <w:p w14:paraId="0850E0DB"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b/>
                <w:bCs/>
              </w:rPr>
              <w:t>Derived Metrics</w:t>
            </w:r>
          </w:p>
        </w:tc>
        <w:tc>
          <w:tcPr>
            <w:tcW w:w="1010" w:type="dxa"/>
            <w:tcMar>
              <w:top w:w="137" w:type="dxa"/>
              <w:left w:w="120" w:type="dxa"/>
              <w:bottom w:w="137" w:type="dxa"/>
              <w:right w:w="120" w:type="dxa"/>
            </w:tcMar>
            <w:vAlign w:val="bottom"/>
          </w:tcPr>
          <w:p w14:paraId="21CED706" w14:textId="77777777" w:rsidR="00372E14" w:rsidRDefault="00372E14">
            <w:pPr>
              <w:spacing w:after="0" w:line="240" w:lineRule="auto"/>
              <w:jc w:val="both"/>
              <w:rPr>
                <w:rFonts w:ascii="Times New Roman" w:eastAsia="Times New Roman" w:hAnsi="Times New Roman" w:cs="Times New Roman"/>
              </w:rPr>
            </w:pPr>
          </w:p>
        </w:tc>
        <w:tc>
          <w:tcPr>
            <w:tcW w:w="3115" w:type="dxa"/>
            <w:tcMar>
              <w:top w:w="137" w:type="dxa"/>
              <w:left w:w="120" w:type="dxa"/>
              <w:bottom w:w="137" w:type="dxa"/>
              <w:right w:w="120" w:type="dxa"/>
            </w:tcMar>
            <w:vAlign w:val="bottom"/>
          </w:tcPr>
          <w:p w14:paraId="171BD421" w14:textId="77777777" w:rsidR="00372E14" w:rsidRDefault="00372E14">
            <w:pPr>
              <w:spacing w:after="0" w:line="240" w:lineRule="auto"/>
              <w:rPr>
                <w:rFonts w:ascii="Times New Roman" w:eastAsia="Times New Roman" w:hAnsi="Times New Roman" w:cs="Times New Roman"/>
              </w:rPr>
            </w:pPr>
          </w:p>
        </w:tc>
        <w:tc>
          <w:tcPr>
            <w:tcW w:w="1868" w:type="dxa"/>
            <w:tcMar>
              <w:top w:w="137" w:type="dxa"/>
              <w:left w:w="120" w:type="dxa"/>
              <w:bottom w:w="137" w:type="dxa"/>
              <w:right w:w="120" w:type="dxa"/>
            </w:tcMar>
            <w:vAlign w:val="bottom"/>
          </w:tcPr>
          <w:p w14:paraId="21A5AC63" w14:textId="77777777" w:rsidR="00372E14" w:rsidRDefault="00372E14">
            <w:pPr>
              <w:spacing w:after="0" w:line="240" w:lineRule="auto"/>
              <w:jc w:val="both"/>
              <w:rPr>
                <w:rFonts w:ascii="Times New Roman" w:eastAsia="Times New Roman" w:hAnsi="Times New Roman" w:cs="Times New Roman"/>
              </w:rPr>
            </w:pPr>
          </w:p>
        </w:tc>
      </w:tr>
      <w:tr w:rsidR="00372E14" w14:paraId="2DAD8AE4" w14:textId="77777777">
        <w:tc>
          <w:tcPr>
            <w:tcW w:w="3322" w:type="dxa"/>
            <w:tcMar>
              <w:top w:w="137" w:type="dxa"/>
              <w:left w:w="120" w:type="dxa"/>
              <w:bottom w:w="137" w:type="dxa"/>
              <w:right w:w="120" w:type="dxa"/>
            </w:tcMar>
            <w:vAlign w:val="bottom"/>
          </w:tcPr>
          <w:p w14:paraId="1E86980C"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False Discovery Rate (FDR)</w:t>
            </w:r>
          </w:p>
        </w:tc>
        <w:tc>
          <w:tcPr>
            <w:tcW w:w="1010" w:type="dxa"/>
            <w:tcMar>
              <w:top w:w="137" w:type="dxa"/>
              <w:left w:w="120" w:type="dxa"/>
              <w:bottom w:w="137" w:type="dxa"/>
              <w:right w:w="120" w:type="dxa"/>
            </w:tcMar>
            <w:vAlign w:val="bottom"/>
          </w:tcPr>
          <w:p w14:paraId="2C83BAD5"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8.55%</w:t>
            </w:r>
          </w:p>
        </w:tc>
        <w:tc>
          <w:tcPr>
            <w:tcW w:w="3115" w:type="dxa"/>
            <w:tcMar>
              <w:top w:w="137" w:type="dxa"/>
              <w:left w:w="120" w:type="dxa"/>
              <w:bottom w:w="137" w:type="dxa"/>
              <w:right w:w="120" w:type="dxa"/>
            </w:tcMar>
            <w:vAlign w:val="bottom"/>
          </w:tcPr>
          <w:p w14:paraId="54A3593D"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FP among positive predictions</w:t>
            </w:r>
          </w:p>
        </w:tc>
        <w:tc>
          <w:tcPr>
            <w:tcW w:w="1868" w:type="dxa"/>
            <w:tcMar>
              <w:top w:w="137" w:type="dxa"/>
              <w:left w:w="120" w:type="dxa"/>
              <w:bottom w:w="137" w:type="dxa"/>
              <w:right w:w="120" w:type="dxa"/>
            </w:tcMar>
            <w:vAlign w:val="bottom"/>
          </w:tcPr>
          <w:p w14:paraId="19A36D8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15%</w:t>
            </w:r>
          </w:p>
        </w:tc>
      </w:tr>
      <w:tr w:rsidR="00372E14" w14:paraId="0E74ADB5" w14:textId="77777777">
        <w:tc>
          <w:tcPr>
            <w:tcW w:w="3322" w:type="dxa"/>
            <w:tcMar>
              <w:top w:w="137" w:type="dxa"/>
              <w:left w:w="120" w:type="dxa"/>
              <w:bottom w:w="137" w:type="dxa"/>
              <w:right w:w="120" w:type="dxa"/>
            </w:tcMar>
            <w:vAlign w:val="bottom"/>
          </w:tcPr>
          <w:p w14:paraId="75B6252A"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Negative Predictive </w:t>
            </w:r>
            <w:r>
              <w:rPr>
                <w:rFonts w:ascii="Times New Roman" w:eastAsia="Times New Roman" w:hAnsi="Times New Roman" w:cs="Times New Roman"/>
              </w:rPr>
              <w:t>Value (NPV)</w:t>
            </w:r>
          </w:p>
        </w:tc>
        <w:tc>
          <w:tcPr>
            <w:tcW w:w="1010" w:type="dxa"/>
            <w:tcMar>
              <w:top w:w="137" w:type="dxa"/>
              <w:left w:w="120" w:type="dxa"/>
              <w:bottom w:w="137" w:type="dxa"/>
              <w:right w:w="120" w:type="dxa"/>
            </w:tcMar>
            <w:vAlign w:val="bottom"/>
          </w:tcPr>
          <w:p w14:paraId="67BCC261"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0.7091</w:t>
            </w:r>
          </w:p>
        </w:tc>
        <w:tc>
          <w:tcPr>
            <w:tcW w:w="3115" w:type="dxa"/>
            <w:tcMar>
              <w:top w:w="137" w:type="dxa"/>
              <w:left w:w="120" w:type="dxa"/>
              <w:bottom w:w="137" w:type="dxa"/>
              <w:right w:w="120" w:type="dxa"/>
            </w:tcMar>
            <w:vAlign w:val="bottom"/>
          </w:tcPr>
          <w:p w14:paraId="4F79E279"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TN among negative predictions</w:t>
            </w:r>
          </w:p>
        </w:tc>
        <w:tc>
          <w:tcPr>
            <w:tcW w:w="1868" w:type="dxa"/>
            <w:tcMar>
              <w:top w:w="137" w:type="dxa"/>
              <w:left w:w="120" w:type="dxa"/>
              <w:bottom w:w="137" w:type="dxa"/>
              <w:right w:w="120" w:type="dxa"/>
            </w:tcMar>
            <w:vAlign w:val="bottom"/>
          </w:tcPr>
          <w:p w14:paraId="11F210A1"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0.70</w:t>
            </w:r>
          </w:p>
        </w:tc>
      </w:tr>
      <w:tr w:rsidR="00372E14" w14:paraId="5496DE40" w14:textId="77777777">
        <w:tc>
          <w:tcPr>
            <w:tcW w:w="3322" w:type="dxa"/>
            <w:tcBorders>
              <w:bottom w:val="single" w:sz="4" w:space="0" w:color="000000"/>
            </w:tcBorders>
            <w:tcMar>
              <w:top w:w="137" w:type="dxa"/>
              <w:left w:w="120" w:type="dxa"/>
              <w:bottom w:w="137" w:type="dxa"/>
              <w:right w:w="120" w:type="dxa"/>
            </w:tcMar>
            <w:vAlign w:val="bottom"/>
          </w:tcPr>
          <w:p w14:paraId="2D38BB97"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Matthews Correlation Coefficient</w:t>
            </w:r>
          </w:p>
        </w:tc>
        <w:tc>
          <w:tcPr>
            <w:tcW w:w="1010" w:type="dxa"/>
            <w:tcBorders>
              <w:bottom w:val="single" w:sz="4" w:space="0" w:color="000000"/>
            </w:tcBorders>
            <w:tcMar>
              <w:top w:w="137" w:type="dxa"/>
              <w:left w:w="120" w:type="dxa"/>
              <w:bottom w:w="137" w:type="dxa"/>
              <w:right w:w="120" w:type="dxa"/>
            </w:tcMar>
            <w:vAlign w:val="bottom"/>
          </w:tcPr>
          <w:p w14:paraId="74816A9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0.7823</w:t>
            </w:r>
          </w:p>
        </w:tc>
        <w:tc>
          <w:tcPr>
            <w:tcW w:w="3115" w:type="dxa"/>
            <w:tcBorders>
              <w:bottom w:val="single" w:sz="4" w:space="0" w:color="000000"/>
            </w:tcBorders>
            <w:tcMar>
              <w:top w:w="137" w:type="dxa"/>
              <w:left w:w="120" w:type="dxa"/>
              <w:bottom w:w="137" w:type="dxa"/>
              <w:right w:w="120" w:type="dxa"/>
            </w:tcMar>
            <w:vAlign w:val="bottom"/>
          </w:tcPr>
          <w:p w14:paraId="23E321C9" w14:textId="77777777" w:rsidR="00372E14" w:rsidRDefault="00CC1D80">
            <w:pPr>
              <w:spacing w:after="0" w:line="240" w:lineRule="auto"/>
              <w:rPr>
                <w:rFonts w:ascii="Times New Roman" w:eastAsia="Times New Roman" w:hAnsi="Times New Roman" w:cs="Times New Roman"/>
              </w:rPr>
            </w:pPr>
            <w:r>
              <w:rPr>
                <w:rFonts w:ascii="Times New Roman" w:eastAsia="Times New Roman" w:hAnsi="Times New Roman" w:cs="Times New Roman"/>
              </w:rPr>
              <w:t>Overall classification quality</w:t>
            </w:r>
          </w:p>
        </w:tc>
        <w:tc>
          <w:tcPr>
            <w:tcW w:w="1868" w:type="dxa"/>
            <w:tcBorders>
              <w:bottom w:val="single" w:sz="4" w:space="0" w:color="000000"/>
            </w:tcBorders>
            <w:tcMar>
              <w:top w:w="137" w:type="dxa"/>
              <w:left w:w="120" w:type="dxa"/>
              <w:bottom w:w="137" w:type="dxa"/>
              <w:right w:w="120" w:type="dxa"/>
            </w:tcMar>
            <w:vAlign w:val="bottom"/>
          </w:tcPr>
          <w:p w14:paraId="5B93EA78"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0.70</w:t>
            </w:r>
          </w:p>
        </w:tc>
      </w:tr>
    </w:tbl>
    <w:p w14:paraId="3AD9233A" w14:textId="77777777" w:rsidR="00372E14" w:rsidRDefault="00CC1D8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Anomaly detection used Isolation Forest with fifty trees, subsampling 256 points per tree and a five percent contamination rate. Anomaly scores on the test set averaged approximately 0.48 with a right-skewed distribution, summarized in Table 5. </w:t>
      </w:r>
    </w:p>
    <w:p w14:paraId="37294A14"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Table 5 </w:t>
      </w:r>
    </w:p>
    <w:p w14:paraId="460BAB38" w14:textId="77777777" w:rsidR="00372E14" w:rsidRDefault="00CC1D8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A</w:t>
      </w:r>
      <w:r>
        <w:rPr>
          <w:rFonts w:ascii="Times New Roman" w:eastAsia="Times New Roman" w:hAnsi="Times New Roman" w:cs="Times New Roman"/>
          <w:i/>
          <w:iCs/>
        </w:rPr>
        <w:t>nomaly Score Statistics and Distribution</w:t>
      </w:r>
    </w:p>
    <w:tbl>
      <w:tblPr>
        <w:tblStyle w:val="a3"/>
        <w:tblW w:w="9315" w:type="dxa"/>
        <w:tblInd w:w="0" w:type="dxa"/>
        <w:tblLayout w:type="fixed"/>
        <w:tblLook w:val="0400" w:firstRow="0" w:lastRow="0" w:firstColumn="0" w:lastColumn="0" w:noHBand="0" w:noVBand="1"/>
      </w:tblPr>
      <w:tblGrid>
        <w:gridCol w:w="3942"/>
        <w:gridCol w:w="1841"/>
        <w:gridCol w:w="3532"/>
      </w:tblGrid>
      <w:tr w:rsidR="00372E14" w14:paraId="03DD9285" w14:textId="77777777">
        <w:trPr>
          <w:tblHeader/>
        </w:trPr>
        <w:tc>
          <w:tcPr>
            <w:tcW w:w="3942" w:type="dxa"/>
            <w:tcBorders>
              <w:top w:val="single" w:sz="4" w:space="0" w:color="000000"/>
              <w:bottom w:val="single" w:sz="4" w:space="0" w:color="000000"/>
            </w:tcBorders>
            <w:tcMar>
              <w:top w:w="120" w:type="dxa"/>
              <w:left w:w="120" w:type="dxa"/>
              <w:bottom w:w="120" w:type="dxa"/>
              <w:right w:w="120" w:type="dxa"/>
            </w:tcMar>
          </w:tcPr>
          <w:p w14:paraId="48B467E6"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Statistic</w:t>
            </w:r>
          </w:p>
        </w:tc>
        <w:tc>
          <w:tcPr>
            <w:tcW w:w="1841" w:type="dxa"/>
            <w:tcBorders>
              <w:top w:val="single" w:sz="4" w:space="0" w:color="000000"/>
              <w:bottom w:val="single" w:sz="4" w:space="0" w:color="000000"/>
            </w:tcBorders>
            <w:tcMar>
              <w:top w:w="120" w:type="dxa"/>
              <w:left w:w="120" w:type="dxa"/>
              <w:bottom w:w="120" w:type="dxa"/>
              <w:right w:w="120" w:type="dxa"/>
            </w:tcMar>
          </w:tcPr>
          <w:p w14:paraId="4C02B341"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Value</w:t>
            </w:r>
          </w:p>
        </w:tc>
        <w:tc>
          <w:tcPr>
            <w:tcW w:w="3532" w:type="dxa"/>
            <w:tcBorders>
              <w:top w:val="single" w:sz="4" w:space="0" w:color="000000"/>
              <w:bottom w:val="single" w:sz="4" w:space="0" w:color="000000"/>
            </w:tcBorders>
            <w:tcMar>
              <w:top w:w="120" w:type="dxa"/>
              <w:left w:w="120" w:type="dxa"/>
              <w:bottom w:w="120" w:type="dxa"/>
              <w:right w:w="120" w:type="dxa"/>
            </w:tcMar>
          </w:tcPr>
          <w:p w14:paraId="1EA39025" w14:textId="77777777" w:rsidR="00372E14" w:rsidRDefault="00CC1D8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372E14" w14:paraId="05BEEB45" w14:textId="77777777">
        <w:tc>
          <w:tcPr>
            <w:tcW w:w="3942" w:type="dxa"/>
            <w:tcMar>
              <w:top w:w="137" w:type="dxa"/>
              <w:left w:w="120" w:type="dxa"/>
              <w:bottom w:w="137" w:type="dxa"/>
              <w:right w:w="120" w:type="dxa"/>
            </w:tcMar>
            <w:vAlign w:val="bottom"/>
          </w:tcPr>
          <w:p w14:paraId="664A98D5"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Distribution Characteristics</w:t>
            </w:r>
          </w:p>
        </w:tc>
        <w:tc>
          <w:tcPr>
            <w:tcW w:w="1841" w:type="dxa"/>
            <w:tcMar>
              <w:top w:w="137" w:type="dxa"/>
              <w:left w:w="120" w:type="dxa"/>
              <w:bottom w:w="137" w:type="dxa"/>
              <w:right w:w="120" w:type="dxa"/>
            </w:tcMar>
            <w:vAlign w:val="bottom"/>
          </w:tcPr>
          <w:p w14:paraId="56D61D23" w14:textId="77777777" w:rsidR="00372E14" w:rsidRDefault="00372E14">
            <w:pPr>
              <w:spacing w:after="0" w:line="240" w:lineRule="auto"/>
              <w:jc w:val="both"/>
              <w:rPr>
                <w:rFonts w:ascii="Times New Roman" w:eastAsia="Times New Roman" w:hAnsi="Times New Roman" w:cs="Times New Roman"/>
              </w:rPr>
            </w:pPr>
          </w:p>
        </w:tc>
        <w:tc>
          <w:tcPr>
            <w:tcW w:w="3532" w:type="dxa"/>
            <w:tcMar>
              <w:top w:w="137" w:type="dxa"/>
              <w:left w:w="120" w:type="dxa"/>
              <w:bottom w:w="137" w:type="dxa"/>
              <w:right w:w="120" w:type="dxa"/>
            </w:tcMar>
            <w:vAlign w:val="bottom"/>
          </w:tcPr>
          <w:p w14:paraId="6F28A7EC" w14:textId="77777777" w:rsidR="00372E14" w:rsidRDefault="00372E14">
            <w:pPr>
              <w:spacing w:after="0" w:line="240" w:lineRule="auto"/>
              <w:jc w:val="both"/>
              <w:rPr>
                <w:rFonts w:ascii="Times New Roman" w:eastAsia="Times New Roman" w:hAnsi="Times New Roman" w:cs="Times New Roman"/>
              </w:rPr>
            </w:pPr>
          </w:p>
        </w:tc>
      </w:tr>
      <w:tr w:rsidR="00372E14" w14:paraId="066254B8" w14:textId="77777777">
        <w:tc>
          <w:tcPr>
            <w:tcW w:w="3942" w:type="dxa"/>
            <w:tcMar>
              <w:top w:w="137" w:type="dxa"/>
              <w:left w:w="120" w:type="dxa"/>
              <w:bottom w:w="137" w:type="dxa"/>
              <w:right w:w="120" w:type="dxa"/>
            </w:tcMar>
            <w:vAlign w:val="bottom"/>
          </w:tcPr>
          <w:p w14:paraId="0854642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Mean Score</w:t>
            </w:r>
          </w:p>
        </w:tc>
        <w:tc>
          <w:tcPr>
            <w:tcW w:w="1841" w:type="dxa"/>
            <w:tcMar>
              <w:top w:w="137" w:type="dxa"/>
              <w:left w:w="120" w:type="dxa"/>
              <w:bottom w:w="137" w:type="dxa"/>
              <w:right w:w="120" w:type="dxa"/>
            </w:tcMar>
            <w:vAlign w:val="bottom"/>
          </w:tcPr>
          <w:p w14:paraId="2892D47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0.4823</w:t>
            </w:r>
          </w:p>
        </w:tc>
        <w:tc>
          <w:tcPr>
            <w:tcW w:w="3532" w:type="dxa"/>
            <w:tcMar>
              <w:top w:w="137" w:type="dxa"/>
              <w:left w:w="120" w:type="dxa"/>
              <w:bottom w:w="137" w:type="dxa"/>
              <w:right w:w="120" w:type="dxa"/>
            </w:tcMar>
            <w:vAlign w:val="bottom"/>
          </w:tcPr>
          <w:p w14:paraId="23EE41E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Central tendency</w:t>
            </w:r>
          </w:p>
        </w:tc>
      </w:tr>
      <w:tr w:rsidR="00372E14" w14:paraId="01861859" w14:textId="77777777">
        <w:tc>
          <w:tcPr>
            <w:tcW w:w="3942" w:type="dxa"/>
            <w:tcMar>
              <w:top w:w="137" w:type="dxa"/>
              <w:left w:w="120" w:type="dxa"/>
              <w:bottom w:w="137" w:type="dxa"/>
              <w:right w:w="120" w:type="dxa"/>
            </w:tcMar>
            <w:vAlign w:val="bottom"/>
          </w:tcPr>
          <w:p w14:paraId="0558D39D"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Standard Deviation</w:t>
            </w:r>
          </w:p>
        </w:tc>
        <w:tc>
          <w:tcPr>
            <w:tcW w:w="1841" w:type="dxa"/>
            <w:tcMar>
              <w:top w:w="137" w:type="dxa"/>
              <w:left w:w="120" w:type="dxa"/>
              <w:bottom w:w="137" w:type="dxa"/>
              <w:right w:w="120" w:type="dxa"/>
            </w:tcMar>
            <w:vAlign w:val="bottom"/>
          </w:tcPr>
          <w:p w14:paraId="3BBAED6D"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0.1654</w:t>
            </w:r>
          </w:p>
        </w:tc>
        <w:tc>
          <w:tcPr>
            <w:tcW w:w="3532" w:type="dxa"/>
            <w:tcMar>
              <w:top w:w="137" w:type="dxa"/>
              <w:left w:w="120" w:type="dxa"/>
              <w:bottom w:w="137" w:type="dxa"/>
              <w:right w:w="120" w:type="dxa"/>
            </w:tcMar>
            <w:vAlign w:val="bottom"/>
          </w:tcPr>
          <w:p w14:paraId="0D333BB4"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Score variability</w:t>
            </w:r>
          </w:p>
        </w:tc>
      </w:tr>
      <w:tr w:rsidR="00372E14" w14:paraId="58F912DB" w14:textId="77777777">
        <w:tc>
          <w:tcPr>
            <w:tcW w:w="3942" w:type="dxa"/>
            <w:tcMar>
              <w:top w:w="137" w:type="dxa"/>
              <w:left w:w="120" w:type="dxa"/>
              <w:bottom w:w="137" w:type="dxa"/>
              <w:right w:w="120" w:type="dxa"/>
            </w:tcMar>
            <w:vAlign w:val="bottom"/>
          </w:tcPr>
          <w:p w14:paraId="1060CB67"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Minimum Score</w:t>
            </w:r>
          </w:p>
        </w:tc>
        <w:tc>
          <w:tcPr>
            <w:tcW w:w="1841" w:type="dxa"/>
            <w:tcMar>
              <w:top w:w="137" w:type="dxa"/>
              <w:left w:w="120" w:type="dxa"/>
              <w:bottom w:w="137" w:type="dxa"/>
              <w:right w:w="120" w:type="dxa"/>
            </w:tcMar>
            <w:vAlign w:val="bottom"/>
          </w:tcPr>
          <w:p w14:paraId="6C67E351"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0.1245</w:t>
            </w:r>
          </w:p>
        </w:tc>
        <w:tc>
          <w:tcPr>
            <w:tcW w:w="3532" w:type="dxa"/>
            <w:tcMar>
              <w:top w:w="137" w:type="dxa"/>
              <w:left w:w="120" w:type="dxa"/>
              <w:bottom w:w="137" w:type="dxa"/>
              <w:right w:w="120" w:type="dxa"/>
            </w:tcMar>
            <w:vAlign w:val="bottom"/>
          </w:tcPr>
          <w:p w14:paraId="688888E8"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Most normal sample</w:t>
            </w:r>
          </w:p>
        </w:tc>
      </w:tr>
      <w:tr w:rsidR="00372E14" w14:paraId="1747CBE3" w14:textId="77777777">
        <w:tc>
          <w:tcPr>
            <w:tcW w:w="3942" w:type="dxa"/>
            <w:tcMar>
              <w:top w:w="137" w:type="dxa"/>
              <w:left w:w="120" w:type="dxa"/>
              <w:bottom w:w="137" w:type="dxa"/>
              <w:right w:w="120" w:type="dxa"/>
            </w:tcMar>
            <w:vAlign w:val="bottom"/>
          </w:tcPr>
          <w:p w14:paraId="66554EF2"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Maximum Score</w:t>
            </w:r>
          </w:p>
        </w:tc>
        <w:tc>
          <w:tcPr>
            <w:tcW w:w="1841" w:type="dxa"/>
            <w:tcMar>
              <w:top w:w="137" w:type="dxa"/>
              <w:left w:w="120" w:type="dxa"/>
              <w:bottom w:w="137" w:type="dxa"/>
              <w:right w:w="120" w:type="dxa"/>
            </w:tcMar>
            <w:vAlign w:val="bottom"/>
          </w:tcPr>
          <w:p w14:paraId="71C28FA0"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0.8976</w:t>
            </w:r>
          </w:p>
        </w:tc>
        <w:tc>
          <w:tcPr>
            <w:tcW w:w="3532" w:type="dxa"/>
            <w:tcMar>
              <w:top w:w="137" w:type="dxa"/>
              <w:left w:w="120" w:type="dxa"/>
              <w:bottom w:w="137" w:type="dxa"/>
              <w:right w:w="120" w:type="dxa"/>
            </w:tcMar>
            <w:vAlign w:val="bottom"/>
          </w:tcPr>
          <w:p w14:paraId="500CD4AD"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Most </w:t>
            </w:r>
            <w:r>
              <w:rPr>
                <w:rFonts w:ascii="Times New Roman" w:eastAsia="Times New Roman" w:hAnsi="Times New Roman" w:cs="Times New Roman"/>
              </w:rPr>
              <w:t>anomalous sample</w:t>
            </w:r>
          </w:p>
        </w:tc>
      </w:tr>
      <w:tr w:rsidR="00372E14" w14:paraId="1C8B0E4B" w14:textId="77777777">
        <w:tc>
          <w:tcPr>
            <w:tcW w:w="3942" w:type="dxa"/>
            <w:tcMar>
              <w:top w:w="137" w:type="dxa"/>
              <w:left w:w="120" w:type="dxa"/>
              <w:bottom w:w="137" w:type="dxa"/>
              <w:right w:w="120" w:type="dxa"/>
            </w:tcMar>
            <w:vAlign w:val="bottom"/>
          </w:tcPr>
          <w:p w14:paraId="3865918A"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Median Score</w:t>
            </w:r>
          </w:p>
        </w:tc>
        <w:tc>
          <w:tcPr>
            <w:tcW w:w="1841" w:type="dxa"/>
            <w:tcMar>
              <w:top w:w="137" w:type="dxa"/>
              <w:left w:w="120" w:type="dxa"/>
              <w:bottom w:w="137" w:type="dxa"/>
              <w:right w:w="120" w:type="dxa"/>
            </w:tcMar>
            <w:vAlign w:val="bottom"/>
          </w:tcPr>
          <w:p w14:paraId="2B8D3F50"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0.4712</w:t>
            </w:r>
          </w:p>
        </w:tc>
        <w:tc>
          <w:tcPr>
            <w:tcW w:w="3532" w:type="dxa"/>
            <w:tcMar>
              <w:top w:w="137" w:type="dxa"/>
              <w:left w:w="120" w:type="dxa"/>
              <w:bottom w:w="137" w:type="dxa"/>
              <w:right w:w="120" w:type="dxa"/>
            </w:tcMar>
            <w:vAlign w:val="bottom"/>
          </w:tcPr>
          <w:p w14:paraId="64C2B448"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50th percentile</w:t>
            </w:r>
          </w:p>
        </w:tc>
      </w:tr>
      <w:tr w:rsidR="00372E14" w14:paraId="723419E0" w14:textId="77777777">
        <w:tc>
          <w:tcPr>
            <w:tcW w:w="3942" w:type="dxa"/>
            <w:tcMar>
              <w:top w:w="137" w:type="dxa"/>
              <w:left w:w="120" w:type="dxa"/>
              <w:bottom w:w="137" w:type="dxa"/>
              <w:right w:w="120" w:type="dxa"/>
            </w:tcMar>
            <w:vAlign w:val="bottom"/>
          </w:tcPr>
          <w:p w14:paraId="1DB0087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25th Percentile</w:t>
            </w:r>
          </w:p>
        </w:tc>
        <w:tc>
          <w:tcPr>
            <w:tcW w:w="1841" w:type="dxa"/>
            <w:tcMar>
              <w:top w:w="137" w:type="dxa"/>
              <w:left w:w="120" w:type="dxa"/>
              <w:bottom w:w="137" w:type="dxa"/>
              <w:right w:w="120" w:type="dxa"/>
            </w:tcMar>
            <w:vAlign w:val="bottom"/>
          </w:tcPr>
          <w:p w14:paraId="0540D5E9"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0.3645</w:t>
            </w:r>
          </w:p>
        </w:tc>
        <w:tc>
          <w:tcPr>
            <w:tcW w:w="3532" w:type="dxa"/>
            <w:tcMar>
              <w:top w:w="137" w:type="dxa"/>
              <w:left w:w="120" w:type="dxa"/>
              <w:bottom w:w="137" w:type="dxa"/>
              <w:right w:w="120" w:type="dxa"/>
            </w:tcMar>
            <w:vAlign w:val="bottom"/>
          </w:tcPr>
          <w:p w14:paraId="235AEC9D"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Lower quartile</w:t>
            </w:r>
          </w:p>
        </w:tc>
      </w:tr>
      <w:tr w:rsidR="00372E14" w14:paraId="33E92E98" w14:textId="77777777">
        <w:tc>
          <w:tcPr>
            <w:tcW w:w="3942" w:type="dxa"/>
            <w:tcMar>
              <w:top w:w="137" w:type="dxa"/>
              <w:left w:w="120" w:type="dxa"/>
              <w:bottom w:w="137" w:type="dxa"/>
              <w:right w:w="120" w:type="dxa"/>
            </w:tcMar>
            <w:vAlign w:val="bottom"/>
          </w:tcPr>
          <w:p w14:paraId="53D19438"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75th Percentile</w:t>
            </w:r>
          </w:p>
        </w:tc>
        <w:tc>
          <w:tcPr>
            <w:tcW w:w="1841" w:type="dxa"/>
            <w:tcMar>
              <w:top w:w="137" w:type="dxa"/>
              <w:left w:w="120" w:type="dxa"/>
              <w:bottom w:w="137" w:type="dxa"/>
              <w:right w:w="120" w:type="dxa"/>
            </w:tcMar>
            <w:vAlign w:val="bottom"/>
          </w:tcPr>
          <w:p w14:paraId="2A300D46"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0.5987</w:t>
            </w:r>
          </w:p>
        </w:tc>
        <w:tc>
          <w:tcPr>
            <w:tcW w:w="3532" w:type="dxa"/>
            <w:tcMar>
              <w:top w:w="137" w:type="dxa"/>
              <w:left w:w="120" w:type="dxa"/>
              <w:bottom w:w="137" w:type="dxa"/>
              <w:right w:w="120" w:type="dxa"/>
            </w:tcMar>
            <w:vAlign w:val="bottom"/>
          </w:tcPr>
          <w:p w14:paraId="107A039C"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Upper quartile</w:t>
            </w:r>
          </w:p>
        </w:tc>
      </w:tr>
      <w:tr w:rsidR="00372E14" w14:paraId="0AB385D9" w14:textId="77777777">
        <w:tc>
          <w:tcPr>
            <w:tcW w:w="3942" w:type="dxa"/>
            <w:tcMar>
              <w:top w:w="137" w:type="dxa"/>
              <w:left w:w="120" w:type="dxa"/>
              <w:bottom w:w="137" w:type="dxa"/>
              <w:right w:w="120" w:type="dxa"/>
            </w:tcMar>
            <w:vAlign w:val="bottom"/>
          </w:tcPr>
          <w:p w14:paraId="13AD5C88"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95th Percentile</w:t>
            </w:r>
          </w:p>
        </w:tc>
        <w:tc>
          <w:tcPr>
            <w:tcW w:w="1841" w:type="dxa"/>
            <w:tcMar>
              <w:top w:w="137" w:type="dxa"/>
              <w:left w:w="120" w:type="dxa"/>
              <w:bottom w:w="137" w:type="dxa"/>
              <w:right w:w="120" w:type="dxa"/>
            </w:tcMar>
            <w:vAlign w:val="bottom"/>
          </w:tcPr>
          <w:p w14:paraId="7CC382AD"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0.7543</w:t>
            </w:r>
          </w:p>
        </w:tc>
        <w:tc>
          <w:tcPr>
            <w:tcW w:w="3532" w:type="dxa"/>
            <w:tcMar>
              <w:top w:w="137" w:type="dxa"/>
              <w:left w:w="120" w:type="dxa"/>
              <w:bottom w:w="137" w:type="dxa"/>
              <w:right w:w="120" w:type="dxa"/>
            </w:tcMar>
            <w:vAlign w:val="bottom"/>
          </w:tcPr>
          <w:p w14:paraId="73792CA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Anomaly threshold candidate</w:t>
            </w:r>
          </w:p>
        </w:tc>
      </w:tr>
      <w:tr w:rsidR="00372E14" w14:paraId="5B8C40F6" w14:textId="77777777">
        <w:tc>
          <w:tcPr>
            <w:tcW w:w="3942" w:type="dxa"/>
            <w:tcMar>
              <w:top w:w="137" w:type="dxa"/>
              <w:left w:w="120" w:type="dxa"/>
              <w:bottom w:w="137" w:type="dxa"/>
              <w:right w:w="120" w:type="dxa"/>
            </w:tcMar>
            <w:vAlign w:val="bottom"/>
          </w:tcPr>
          <w:p w14:paraId="242294B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Detection Results (θ = 0.5)</w:t>
            </w:r>
          </w:p>
        </w:tc>
        <w:tc>
          <w:tcPr>
            <w:tcW w:w="1841" w:type="dxa"/>
            <w:tcMar>
              <w:top w:w="137" w:type="dxa"/>
              <w:left w:w="120" w:type="dxa"/>
              <w:bottom w:w="137" w:type="dxa"/>
              <w:right w:w="120" w:type="dxa"/>
            </w:tcMar>
            <w:vAlign w:val="bottom"/>
          </w:tcPr>
          <w:p w14:paraId="5DAF59B6" w14:textId="77777777" w:rsidR="00372E14" w:rsidRDefault="00372E14">
            <w:pPr>
              <w:spacing w:after="0" w:line="240" w:lineRule="auto"/>
              <w:jc w:val="both"/>
              <w:rPr>
                <w:rFonts w:ascii="Times New Roman" w:eastAsia="Times New Roman" w:hAnsi="Times New Roman" w:cs="Times New Roman"/>
              </w:rPr>
            </w:pPr>
          </w:p>
        </w:tc>
        <w:tc>
          <w:tcPr>
            <w:tcW w:w="3532" w:type="dxa"/>
            <w:tcMar>
              <w:top w:w="137" w:type="dxa"/>
              <w:left w:w="120" w:type="dxa"/>
              <w:bottom w:w="137" w:type="dxa"/>
              <w:right w:w="120" w:type="dxa"/>
            </w:tcMar>
            <w:vAlign w:val="bottom"/>
          </w:tcPr>
          <w:p w14:paraId="2B118E49" w14:textId="77777777" w:rsidR="00372E14" w:rsidRDefault="00372E14">
            <w:pPr>
              <w:spacing w:after="0" w:line="240" w:lineRule="auto"/>
              <w:jc w:val="both"/>
              <w:rPr>
                <w:rFonts w:ascii="Times New Roman" w:eastAsia="Times New Roman" w:hAnsi="Times New Roman" w:cs="Times New Roman"/>
              </w:rPr>
            </w:pPr>
          </w:p>
        </w:tc>
      </w:tr>
      <w:tr w:rsidR="00372E14" w14:paraId="58F37E32" w14:textId="77777777">
        <w:tc>
          <w:tcPr>
            <w:tcW w:w="3942" w:type="dxa"/>
            <w:tcMar>
              <w:top w:w="137" w:type="dxa"/>
              <w:left w:w="120" w:type="dxa"/>
              <w:bottom w:w="137" w:type="dxa"/>
              <w:right w:w="120" w:type="dxa"/>
            </w:tcMar>
            <w:vAlign w:val="bottom"/>
          </w:tcPr>
          <w:p w14:paraId="2EA51148"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Samples Classified as Normal</w:t>
            </w:r>
          </w:p>
        </w:tc>
        <w:tc>
          <w:tcPr>
            <w:tcW w:w="1841" w:type="dxa"/>
            <w:tcMar>
              <w:top w:w="137" w:type="dxa"/>
              <w:left w:w="120" w:type="dxa"/>
              <w:bottom w:w="137" w:type="dxa"/>
              <w:right w:w="120" w:type="dxa"/>
            </w:tcMar>
            <w:vAlign w:val="bottom"/>
          </w:tcPr>
          <w:p w14:paraId="0D94D0EC"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1,248 </w:t>
            </w:r>
            <w:r>
              <w:rPr>
                <w:rFonts w:ascii="Times New Roman" w:eastAsia="Times New Roman" w:hAnsi="Times New Roman" w:cs="Times New Roman"/>
              </w:rPr>
              <w:t>(78.0%)</w:t>
            </w:r>
          </w:p>
        </w:tc>
        <w:tc>
          <w:tcPr>
            <w:tcW w:w="3532" w:type="dxa"/>
            <w:tcMar>
              <w:top w:w="137" w:type="dxa"/>
              <w:left w:w="120" w:type="dxa"/>
              <w:bottom w:w="137" w:type="dxa"/>
              <w:right w:w="120" w:type="dxa"/>
            </w:tcMar>
            <w:vAlign w:val="bottom"/>
          </w:tcPr>
          <w:p w14:paraId="211FB871"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Below threshold</w:t>
            </w:r>
          </w:p>
        </w:tc>
      </w:tr>
      <w:tr w:rsidR="00372E14" w14:paraId="3690E0FF" w14:textId="77777777">
        <w:tc>
          <w:tcPr>
            <w:tcW w:w="3942" w:type="dxa"/>
            <w:tcMar>
              <w:top w:w="137" w:type="dxa"/>
              <w:left w:w="120" w:type="dxa"/>
              <w:bottom w:w="137" w:type="dxa"/>
              <w:right w:w="120" w:type="dxa"/>
            </w:tcMar>
            <w:vAlign w:val="bottom"/>
          </w:tcPr>
          <w:p w14:paraId="103D3862"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Samples Classified as Anomalous</w:t>
            </w:r>
          </w:p>
        </w:tc>
        <w:tc>
          <w:tcPr>
            <w:tcW w:w="1841" w:type="dxa"/>
            <w:tcMar>
              <w:top w:w="137" w:type="dxa"/>
              <w:left w:w="120" w:type="dxa"/>
              <w:bottom w:w="137" w:type="dxa"/>
              <w:right w:w="120" w:type="dxa"/>
            </w:tcMar>
            <w:vAlign w:val="bottom"/>
          </w:tcPr>
          <w:p w14:paraId="17A8B084"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352 (22.0%)</w:t>
            </w:r>
          </w:p>
        </w:tc>
        <w:tc>
          <w:tcPr>
            <w:tcW w:w="3532" w:type="dxa"/>
            <w:tcMar>
              <w:top w:w="137" w:type="dxa"/>
              <w:left w:w="120" w:type="dxa"/>
              <w:bottom w:w="137" w:type="dxa"/>
              <w:right w:w="120" w:type="dxa"/>
            </w:tcMar>
            <w:vAlign w:val="bottom"/>
          </w:tcPr>
          <w:p w14:paraId="3D88722C"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Above threshold</w:t>
            </w:r>
          </w:p>
        </w:tc>
      </w:tr>
      <w:tr w:rsidR="00372E14" w14:paraId="6A49773C" w14:textId="77777777">
        <w:tc>
          <w:tcPr>
            <w:tcW w:w="3942" w:type="dxa"/>
            <w:tcMar>
              <w:top w:w="137" w:type="dxa"/>
              <w:left w:w="120" w:type="dxa"/>
              <w:bottom w:w="137" w:type="dxa"/>
              <w:right w:w="120" w:type="dxa"/>
            </w:tcMar>
            <w:vAlign w:val="bottom"/>
          </w:tcPr>
          <w:p w14:paraId="6F145666"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Confirmed True Anomalies</w:t>
            </w:r>
          </w:p>
        </w:tc>
        <w:tc>
          <w:tcPr>
            <w:tcW w:w="1841" w:type="dxa"/>
            <w:tcMar>
              <w:top w:w="137" w:type="dxa"/>
              <w:left w:w="120" w:type="dxa"/>
              <w:bottom w:w="137" w:type="dxa"/>
              <w:right w:w="120" w:type="dxa"/>
            </w:tcMar>
            <w:vAlign w:val="bottom"/>
          </w:tcPr>
          <w:p w14:paraId="7A4376FF"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67 (4.19%)</w:t>
            </w:r>
          </w:p>
        </w:tc>
        <w:tc>
          <w:tcPr>
            <w:tcW w:w="3532" w:type="dxa"/>
            <w:tcMar>
              <w:top w:w="137" w:type="dxa"/>
              <w:left w:w="120" w:type="dxa"/>
              <w:bottom w:w="137" w:type="dxa"/>
              <w:right w:w="120" w:type="dxa"/>
            </w:tcMar>
            <w:vAlign w:val="bottom"/>
          </w:tcPr>
          <w:p w14:paraId="0938FCDE"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Ground truth validation</w:t>
            </w:r>
          </w:p>
        </w:tc>
      </w:tr>
      <w:tr w:rsidR="00372E14" w14:paraId="1A71595C" w14:textId="77777777">
        <w:tc>
          <w:tcPr>
            <w:tcW w:w="3942" w:type="dxa"/>
            <w:tcMar>
              <w:top w:w="137" w:type="dxa"/>
              <w:left w:w="120" w:type="dxa"/>
              <w:bottom w:w="137" w:type="dxa"/>
              <w:right w:w="120" w:type="dxa"/>
            </w:tcMar>
            <w:vAlign w:val="bottom"/>
          </w:tcPr>
          <w:p w14:paraId="1F70278B"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Detection Precision</w:t>
            </w:r>
          </w:p>
        </w:tc>
        <w:tc>
          <w:tcPr>
            <w:tcW w:w="1841" w:type="dxa"/>
            <w:tcMar>
              <w:top w:w="137" w:type="dxa"/>
              <w:left w:w="120" w:type="dxa"/>
              <w:bottom w:w="137" w:type="dxa"/>
              <w:right w:w="120" w:type="dxa"/>
            </w:tcMar>
            <w:vAlign w:val="bottom"/>
          </w:tcPr>
          <w:p w14:paraId="2CA9C4CE"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0.1903</w:t>
            </w:r>
          </w:p>
        </w:tc>
        <w:tc>
          <w:tcPr>
            <w:tcW w:w="3532" w:type="dxa"/>
            <w:tcMar>
              <w:top w:w="137" w:type="dxa"/>
              <w:left w:w="120" w:type="dxa"/>
              <w:bottom w:w="137" w:type="dxa"/>
              <w:right w:w="120" w:type="dxa"/>
            </w:tcMar>
            <w:vAlign w:val="bottom"/>
          </w:tcPr>
          <w:p w14:paraId="07EFED5A"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Anomaly prediction accuracy</w:t>
            </w:r>
          </w:p>
        </w:tc>
      </w:tr>
      <w:tr w:rsidR="00372E14" w14:paraId="3E777753" w14:textId="77777777">
        <w:tc>
          <w:tcPr>
            <w:tcW w:w="3942" w:type="dxa"/>
            <w:tcMar>
              <w:top w:w="137" w:type="dxa"/>
              <w:left w:w="120" w:type="dxa"/>
              <w:bottom w:w="137" w:type="dxa"/>
              <w:right w:w="120" w:type="dxa"/>
            </w:tcMar>
            <w:vAlign w:val="bottom"/>
          </w:tcPr>
          <w:p w14:paraId="097DD2BA"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Detection Recall</w:t>
            </w:r>
          </w:p>
        </w:tc>
        <w:tc>
          <w:tcPr>
            <w:tcW w:w="1841" w:type="dxa"/>
            <w:tcMar>
              <w:top w:w="137" w:type="dxa"/>
              <w:left w:w="120" w:type="dxa"/>
              <w:bottom w:w="137" w:type="dxa"/>
              <w:right w:w="120" w:type="dxa"/>
            </w:tcMar>
            <w:vAlign w:val="bottom"/>
          </w:tcPr>
          <w:p w14:paraId="3B09D4CE"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0.9552</w:t>
            </w:r>
          </w:p>
        </w:tc>
        <w:tc>
          <w:tcPr>
            <w:tcW w:w="3532" w:type="dxa"/>
            <w:tcMar>
              <w:top w:w="137" w:type="dxa"/>
              <w:left w:w="120" w:type="dxa"/>
              <w:bottom w:w="137" w:type="dxa"/>
              <w:right w:w="120" w:type="dxa"/>
            </w:tcMar>
            <w:vAlign w:val="bottom"/>
          </w:tcPr>
          <w:p w14:paraId="0335B54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True anomaly capture rate</w:t>
            </w:r>
          </w:p>
        </w:tc>
      </w:tr>
      <w:tr w:rsidR="00372E14" w14:paraId="3625C9DD" w14:textId="77777777">
        <w:tc>
          <w:tcPr>
            <w:tcW w:w="3942" w:type="dxa"/>
            <w:tcBorders>
              <w:bottom w:val="single" w:sz="4" w:space="0" w:color="000000"/>
            </w:tcBorders>
            <w:tcMar>
              <w:top w:w="137" w:type="dxa"/>
              <w:left w:w="120" w:type="dxa"/>
              <w:bottom w:w="137" w:type="dxa"/>
              <w:right w:w="120" w:type="dxa"/>
            </w:tcMar>
            <w:vAlign w:val="bottom"/>
          </w:tcPr>
          <w:p w14:paraId="08297689"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False Positive Rate</w:t>
            </w:r>
          </w:p>
        </w:tc>
        <w:tc>
          <w:tcPr>
            <w:tcW w:w="1841" w:type="dxa"/>
            <w:tcBorders>
              <w:bottom w:val="single" w:sz="4" w:space="0" w:color="000000"/>
            </w:tcBorders>
            <w:tcMar>
              <w:top w:w="137" w:type="dxa"/>
              <w:left w:w="120" w:type="dxa"/>
              <w:bottom w:w="137" w:type="dxa"/>
              <w:right w:w="120" w:type="dxa"/>
            </w:tcMar>
            <w:vAlign w:val="bottom"/>
          </w:tcPr>
          <w:p w14:paraId="39B525E9"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22.94%</w:t>
            </w:r>
          </w:p>
        </w:tc>
        <w:tc>
          <w:tcPr>
            <w:tcW w:w="3532" w:type="dxa"/>
            <w:tcBorders>
              <w:bottom w:val="single" w:sz="4" w:space="0" w:color="000000"/>
            </w:tcBorders>
            <w:tcMar>
              <w:top w:w="137" w:type="dxa"/>
              <w:left w:w="120" w:type="dxa"/>
              <w:bottom w:w="137" w:type="dxa"/>
              <w:right w:w="120" w:type="dxa"/>
            </w:tcMar>
            <w:vAlign w:val="bottom"/>
          </w:tcPr>
          <w:p w14:paraId="757C21B3" w14:textId="77777777" w:rsidR="00372E14" w:rsidRDefault="00CC1D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Normal samples misclassified</w:t>
            </w:r>
          </w:p>
        </w:tc>
      </w:tr>
    </w:tbl>
    <w:p w14:paraId="62BDE43F" w14:textId="77777777" w:rsidR="00372E14" w:rsidRDefault="00CC1D8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Using a 0.5 threshold, about twenty-two percent of samples were flagged as anomalous. Detection performance included a rate of 95.52%, overall accuracy of 80.31%, area under the ROC curve of 0.86, </w:t>
      </w:r>
      <w:r>
        <w:rPr>
          <w:rFonts w:ascii="Times New Roman" w:eastAsia="Times New Roman" w:hAnsi="Times New Roman" w:cs="Times New Roman"/>
        </w:rPr>
        <w:t>and a false positive rate of 22.94%. These results are visualized in Figure 3 using precision–recall and ROC curves, illustrating the trade-off between sensitivity and precision (Liu et al., 2008; Tabassum et al., 2024).</w:t>
      </w:r>
    </w:p>
    <w:p w14:paraId="29EA313C" w14:textId="77777777" w:rsidR="00372E14" w:rsidRDefault="00372E14">
      <w:pPr>
        <w:spacing w:before="240" w:line="360" w:lineRule="auto"/>
        <w:jc w:val="both"/>
        <w:rPr>
          <w:rFonts w:ascii="Times New Roman" w:eastAsia="Times New Roman" w:hAnsi="Times New Roman" w:cs="Times New Roman"/>
        </w:rPr>
      </w:pPr>
    </w:p>
    <w:p w14:paraId="186F974D"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Figure 3</w:t>
      </w:r>
    </w:p>
    <w:p w14:paraId="0C0C29E9" w14:textId="77777777" w:rsidR="00372E14" w:rsidRDefault="00CC1D8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Detection Performance - </w:t>
      </w:r>
      <w:r>
        <w:rPr>
          <w:rFonts w:ascii="Times New Roman" w:eastAsia="Times New Roman" w:hAnsi="Times New Roman" w:cs="Times New Roman"/>
          <w:i/>
          <w:iCs/>
        </w:rPr>
        <w:t>Precision-recall curve</w:t>
      </w:r>
    </w:p>
    <w:p w14:paraId="49B08751"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3876921" wp14:editId="4CD8CAC3">
            <wp:extent cx="6054019" cy="380532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5701"/>
                    <a:stretch>
                      <a:fillRect/>
                    </a:stretch>
                  </pic:blipFill>
                  <pic:spPr>
                    <a:xfrm>
                      <a:off x="0" y="0"/>
                      <a:ext cx="6054019" cy="3805321"/>
                    </a:xfrm>
                    <a:prstGeom prst="rect">
                      <a:avLst/>
                    </a:prstGeom>
                    <a:ln/>
                  </pic:spPr>
                </pic:pic>
              </a:graphicData>
            </a:graphic>
          </wp:inline>
        </w:drawing>
      </w:r>
    </w:p>
    <w:p w14:paraId="144406B2"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governance-aware continuous adaptive trust score, defined on a 0 to 1 scale, integrates behavioral, cognitive, contextual, and inverse anomaly components. Component distributions show behavioral and cognitive scores in the </w:t>
      </w:r>
      <w:proofErr w:type="spellStart"/>
      <w:r>
        <w:rPr>
          <w:rFonts w:ascii="Times New Roman" w:eastAsia="Times New Roman" w:hAnsi="Times New Roman" w:cs="Times New Roman"/>
        </w:rPr>
        <w:t xml:space="preserve">mid </w:t>
      </w:r>
      <w:r>
        <w:rPr>
          <w:rFonts w:ascii="Times New Roman" w:eastAsia="Times New Roman" w:hAnsi="Times New Roman" w:cs="Times New Roman"/>
        </w:rPr>
        <w:t>0.7</w:t>
      </w:r>
      <w:proofErr w:type="spellEnd"/>
      <w:r>
        <w:rPr>
          <w:rFonts w:ascii="Times New Roman" w:eastAsia="Times New Roman" w:hAnsi="Times New Roman" w:cs="Times New Roman"/>
        </w:rPr>
        <w:t xml:space="preserve"> range, a stable contextual score around 0.92, and a more variable anomaly component near 0.52. </w:t>
      </w:r>
    </w:p>
    <w:p w14:paraId="10C18D18"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Trust-score stratification is illustrated in Figure 4, where approximately seventy-three percent of samples exceed 0.70, thirty-seven percent exceed 0.80, a</w:t>
      </w:r>
      <w:r>
        <w:rPr>
          <w:rFonts w:ascii="Times New Roman" w:eastAsia="Times New Roman" w:hAnsi="Times New Roman" w:cs="Times New Roman"/>
        </w:rPr>
        <w:t xml:space="preserve">nd about seven percent exceed 0.90. </w:t>
      </w:r>
    </w:p>
    <w:p w14:paraId="6C4E8E8F" w14:textId="77777777" w:rsidR="00372E14" w:rsidRDefault="00372E14">
      <w:pPr>
        <w:spacing w:line="360" w:lineRule="auto"/>
        <w:jc w:val="both"/>
        <w:rPr>
          <w:rFonts w:ascii="Times New Roman" w:eastAsia="Times New Roman" w:hAnsi="Times New Roman" w:cs="Times New Roman"/>
          <w:b/>
          <w:bCs/>
        </w:rPr>
      </w:pPr>
    </w:p>
    <w:p w14:paraId="1CBFF0AC" w14:textId="77777777" w:rsidR="00372E14" w:rsidRDefault="00372E14">
      <w:pPr>
        <w:spacing w:line="360" w:lineRule="auto"/>
        <w:jc w:val="both"/>
        <w:rPr>
          <w:rFonts w:ascii="Times New Roman" w:eastAsia="Times New Roman" w:hAnsi="Times New Roman" w:cs="Times New Roman"/>
          <w:b/>
          <w:bCs/>
        </w:rPr>
      </w:pPr>
    </w:p>
    <w:p w14:paraId="0A80BF8B"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Figure 4</w:t>
      </w:r>
    </w:p>
    <w:p w14:paraId="0840EECC" w14:textId="77777777" w:rsidR="00372E14" w:rsidRDefault="00CC1D8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Trust Score Distribution</w:t>
      </w:r>
    </w:p>
    <w:p w14:paraId="3E15BD89"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3E78863" wp14:editId="546806DF">
            <wp:extent cx="5974276" cy="398221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74276" cy="3982212"/>
                    </a:xfrm>
                    <a:prstGeom prst="rect">
                      <a:avLst/>
                    </a:prstGeom>
                    <a:ln/>
                  </pic:spPr>
                </pic:pic>
              </a:graphicData>
            </a:graphic>
          </wp:inline>
        </w:drawing>
      </w:r>
    </w:p>
    <w:p w14:paraId="6314F7CD"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Figure 5 visualizes approve, conditional, and escalate decisions across four authority classes, demonstrating graduated control aligned with decision risk (National Institute of Sta</w:t>
      </w:r>
      <w:r>
        <w:rPr>
          <w:rFonts w:ascii="Times New Roman" w:eastAsia="Times New Roman" w:hAnsi="Times New Roman" w:cs="Times New Roman"/>
        </w:rPr>
        <w:t xml:space="preserve">ndards and Technology, 2023; </w:t>
      </w:r>
      <w:proofErr w:type="spellStart"/>
      <w:r>
        <w:rPr>
          <w:rFonts w:ascii="Times New Roman" w:eastAsia="Times New Roman" w:hAnsi="Times New Roman" w:cs="Times New Roman"/>
        </w:rPr>
        <w:t>Premsai</w:t>
      </w:r>
      <w:proofErr w:type="spellEnd"/>
      <w:r>
        <w:rPr>
          <w:rFonts w:ascii="Times New Roman" w:eastAsia="Times New Roman" w:hAnsi="Times New Roman" w:cs="Times New Roman"/>
        </w:rPr>
        <w:t>, 2024).</w:t>
      </w:r>
    </w:p>
    <w:p w14:paraId="367354CE" w14:textId="77777777" w:rsidR="00372E14" w:rsidRDefault="00372E14">
      <w:pPr>
        <w:spacing w:line="360" w:lineRule="auto"/>
        <w:jc w:val="both"/>
        <w:rPr>
          <w:rFonts w:ascii="Times New Roman" w:eastAsia="Times New Roman" w:hAnsi="Times New Roman" w:cs="Times New Roman"/>
          <w:b/>
          <w:bCs/>
        </w:rPr>
      </w:pPr>
    </w:p>
    <w:p w14:paraId="01893ACE" w14:textId="77777777" w:rsidR="00372E14" w:rsidRDefault="00372E14">
      <w:pPr>
        <w:spacing w:line="360" w:lineRule="auto"/>
        <w:jc w:val="both"/>
        <w:rPr>
          <w:rFonts w:ascii="Times New Roman" w:eastAsia="Times New Roman" w:hAnsi="Times New Roman" w:cs="Times New Roman"/>
          <w:b/>
          <w:bCs/>
        </w:rPr>
      </w:pPr>
    </w:p>
    <w:p w14:paraId="08A1ADC2"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Figure 5</w:t>
      </w:r>
      <w:r>
        <w:rPr>
          <w:rFonts w:ascii="Times New Roman" w:eastAsia="Times New Roman" w:hAnsi="Times New Roman" w:cs="Times New Roman"/>
        </w:rPr>
        <w:t xml:space="preserve"> </w:t>
      </w:r>
    </w:p>
    <w:p w14:paraId="3D939271" w14:textId="77777777" w:rsidR="00372E14" w:rsidRDefault="00CC1D8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Access Decision Matrix</w:t>
      </w:r>
    </w:p>
    <w:p w14:paraId="6165C969"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5DC68BD" wp14:editId="63AAD853">
            <wp:extent cx="5976622" cy="398377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76622" cy="3983776"/>
                    </a:xfrm>
                    <a:prstGeom prst="rect">
                      <a:avLst/>
                    </a:prstGeom>
                    <a:ln/>
                  </pic:spPr>
                </pic:pic>
              </a:graphicData>
            </a:graphic>
          </wp:inline>
        </w:drawing>
      </w:r>
    </w:p>
    <w:p w14:paraId="18ECA6E6"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System performance includes low latency of roughly forty-five milliseconds, availability near 99.97%, and stable throughput. Attack-focused validation shows detection of </w:t>
      </w:r>
      <w:r>
        <w:rPr>
          <w:rFonts w:ascii="Times New Roman" w:eastAsia="Times New Roman" w:hAnsi="Times New Roman" w:cs="Times New Roman"/>
        </w:rPr>
        <w:t>93.75% of simulated impersonation samples and escalation of 97.5%, with markedly lower trust scores compared to benign activity (Liu et al., 2008; Tabassum et al., 2024).</w:t>
      </w:r>
    </w:p>
    <w:p w14:paraId="49CB92A8"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w:t>
      </w:r>
      <w:bookmarkStart w:id="2" w:name="_GoBack"/>
      <w:bookmarkEnd w:id="2"/>
    </w:p>
    <w:p w14:paraId="21C60D5A"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The behavioral authentication results provide strong empirical support for</w:t>
      </w:r>
      <w:r>
        <w:rPr>
          <w:rFonts w:ascii="Times New Roman" w:eastAsia="Times New Roman" w:hAnsi="Times New Roman" w:cs="Times New Roman"/>
        </w:rPr>
        <w:t xml:space="preserve"> using keystroke dynamics as a primary behavioral biometric in executive AI agent environments. Achieving an equal error rate of approximately six percent, a false acceptance rate below five percent, and accuracy above ninety-three percent positions the </w:t>
      </w:r>
      <w:proofErr w:type="spellStart"/>
      <w:r>
        <w:rPr>
          <w:rFonts w:ascii="Times New Roman" w:eastAsia="Times New Roman" w:hAnsi="Times New Roman" w:cs="Times New Roman"/>
        </w:rPr>
        <w:t>Ma</w:t>
      </w:r>
      <w:r>
        <w:rPr>
          <w:rFonts w:ascii="Times New Roman" w:eastAsia="Times New Roman" w:hAnsi="Times New Roman" w:cs="Times New Roman"/>
        </w:rPr>
        <w:t>halanobis</w:t>
      </w:r>
      <w:proofErr w:type="spellEnd"/>
      <w:r>
        <w:rPr>
          <w:rFonts w:ascii="Times New Roman" w:eastAsia="Times New Roman" w:hAnsi="Times New Roman" w:cs="Times New Roman"/>
        </w:rPr>
        <w:t>-based classifier within the mid-range of contemporary keystroke dynamics systems (</w:t>
      </w:r>
      <w:proofErr w:type="spellStart"/>
      <w:r>
        <w:rPr>
          <w:rFonts w:ascii="Times New Roman" w:eastAsia="Times New Roman" w:hAnsi="Times New Roman" w:cs="Times New Roman"/>
        </w:rPr>
        <w:t>AbdelRaouf</w:t>
      </w:r>
      <w:proofErr w:type="spellEnd"/>
      <w:r>
        <w:rPr>
          <w:rFonts w:ascii="Times New Roman" w:eastAsia="Times New Roman" w:hAnsi="Times New Roman" w:cs="Times New Roman"/>
        </w:rPr>
        <w:t xml:space="preserve"> et al., 2023; </w:t>
      </w:r>
      <w:proofErr w:type="spellStart"/>
      <w:r>
        <w:rPr>
          <w:rFonts w:ascii="Times New Roman" w:eastAsia="Times New Roman" w:hAnsi="Times New Roman" w:cs="Times New Roman"/>
        </w:rPr>
        <w:t>Bussabong</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Anusas-amornkul</w:t>
      </w:r>
      <w:proofErr w:type="spellEnd"/>
      <w:r>
        <w:rPr>
          <w:rFonts w:ascii="Times New Roman" w:eastAsia="Times New Roman" w:hAnsi="Times New Roman" w:cs="Times New Roman"/>
        </w:rPr>
        <w:t xml:space="preserve">, 2023). While deep learning approaches achieve lower error rates, occasionally below one percent, they require </w:t>
      </w:r>
      <w:r>
        <w:rPr>
          <w:rFonts w:ascii="Times New Roman" w:eastAsia="Times New Roman" w:hAnsi="Times New Roman" w:cs="Times New Roman"/>
        </w:rPr>
        <w:t xml:space="preserve">substantially larger datasets, heavier computation, and complex hyperparameter tuning, complicating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and regulatory acceptance in high-stakes executive contexts (</w:t>
      </w:r>
      <w:proofErr w:type="spellStart"/>
      <w:r>
        <w:rPr>
          <w:rFonts w:ascii="Times New Roman" w:eastAsia="Times New Roman" w:hAnsi="Times New Roman" w:cs="Times New Roman"/>
        </w:rPr>
        <w:t>AbdelRaouf</w:t>
      </w:r>
      <w:proofErr w:type="spellEnd"/>
      <w:r>
        <w:rPr>
          <w:rFonts w:ascii="Times New Roman" w:eastAsia="Times New Roman" w:hAnsi="Times New Roman" w:cs="Times New Roman"/>
        </w:rPr>
        <w:t xml:space="preserve"> et al., 2023). The </w:t>
      </w:r>
      <w:proofErr w:type="spellStart"/>
      <w:r>
        <w:rPr>
          <w:rFonts w:ascii="Times New Roman" w:eastAsia="Times New Roman" w:hAnsi="Times New Roman" w:cs="Times New Roman"/>
        </w:rPr>
        <w:t>Mahalanobis</w:t>
      </w:r>
      <w:proofErr w:type="spellEnd"/>
      <w:r>
        <w:rPr>
          <w:rFonts w:ascii="Times New Roman" w:eastAsia="Times New Roman" w:hAnsi="Times New Roman" w:cs="Times New Roman"/>
        </w:rPr>
        <w:t xml:space="preserve"> classifier offers a mathematically </w:t>
      </w:r>
      <w:r>
        <w:rPr>
          <w:rFonts w:ascii="Times New Roman" w:eastAsia="Times New Roman" w:hAnsi="Times New Roman" w:cs="Times New Roman"/>
        </w:rPr>
        <w:lastRenderedPageBreak/>
        <w:t>tra</w:t>
      </w:r>
      <w:r>
        <w:rPr>
          <w:rFonts w:ascii="Times New Roman" w:eastAsia="Times New Roman" w:hAnsi="Times New Roman" w:cs="Times New Roman"/>
        </w:rPr>
        <w:t>nsparent decision rule, expressed explicitly in terms of distances in a covariance-aware feature space, facilitating auditability and model risk management in line with emerging AI governance standards (National Institute of Standards and Technology, 2023)</w:t>
      </w:r>
      <w:r>
        <w:rPr>
          <w:rFonts w:ascii="Times New Roman" w:eastAsia="Times New Roman" w:hAnsi="Times New Roman" w:cs="Times New Roman"/>
        </w:rPr>
        <w:t>.</w:t>
      </w:r>
    </w:p>
    <w:p w14:paraId="45FAF2C3"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From a continuous authentication perspective, the moderately higher false rejection rate is acceptable because identity verification occurs repeatedly rather than once per session. Continuous systems tolerate false rejection rates in the mid-single-digit</w:t>
      </w:r>
      <w:r>
        <w:rPr>
          <w:rFonts w:ascii="Times New Roman" w:eastAsia="Times New Roman" w:hAnsi="Times New Roman" w:cs="Times New Roman"/>
        </w:rPr>
        <w:t xml:space="preserve"> range, as legitimate users are afforded multiple verification opportunities within a session. Recovery mechanisms such as secondary verification or brief re-authentication events mitigate user friction (</w:t>
      </w:r>
      <w:proofErr w:type="spellStart"/>
      <w:r>
        <w:rPr>
          <w:rFonts w:ascii="Times New Roman" w:eastAsia="Times New Roman" w:hAnsi="Times New Roman" w:cs="Times New Roman"/>
        </w:rPr>
        <w:t>Akitra</w:t>
      </w:r>
      <w:proofErr w:type="spellEnd"/>
      <w:r>
        <w:rPr>
          <w:rFonts w:ascii="Times New Roman" w:eastAsia="Times New Roman" w:hAnsi="Times New Roman" w:cs="Times New Roman"/>
        </w:rPr>
        <w:t>, 2024). In this research, false rejections re</w:t>
      </w:r>
      <w:r>
        <w:rPr>
          <w:rFonts w:ascii="Times New Roman" w:eastAsia="Times New Roman" w:hAnsi="Times New Roman" w:cs="Times New Roman"/>
        </w:rPr>
        <w:t>duce trust scores and trigger conditional or escalated decision states rather than outright denials, aligning with guidance that emphasizes leveraging continuous signals for adaptive risk assessment instead of rigid pass–fail thresholds (</w:t>
      </w:r>
      <w:proofErr w:type="spellStart"/>
      <w:r>
        <w:rPr>
          <w:rFonts w:ascii="Times New Roman" w:eastAsia="Times New Roman" w:hAnsi="Times New Roman" w:cs="Times New Roman"/>
        </w:rPr>
        <w:t>Vemou</w:t>
      </w:r>
      <w:proofErr w:type="spellEnd"/>
      <w:r>
        <w:rPr>
          <w:rFonts w:ascii="Times New Roman" w:eastAsia="Times New Roman" w:hAnsi="Times New Roman" w:cs="Times New Roman"/>
        </w:rPr>
        <w:t>, 2025).</w:t>
      </w:r>
    </w:p>
    <w:p w14:paraId="473FFE1A"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rPr>
        <w:t xml:space="preserve">trade-off between security and usability is particularly salient in executive environments exposed to AI impersonation threats. Analyses of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-enabled fraud demonstrate rising incident volumes and increasing financial impacts, including the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CFO incident at a multinational engineering firm, which illustrates how synthetic media can bypass traditional trust cues and induce high-value transfers (Alexis, 2026). Industry reports indicate that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-as-a-service offerings and generative tools ha</w:t>
      </w:r>
      <w:r>
        <w:rPr>
          <w:rFonts w:ascii="Times New Roman" w:eastAsia="Times New Roman" w:hAnsi="Times New Roman" w:cs="Times New Roman"/>
        </w:rPr>
        <w:t>ve driven a substantial increase in synthetic identity and impersonation attacks in recent years (</w:t>
      </w:r>
      <w:proofErr w:type="spellStart"/>
      <w:r>
        <w:rPr>
          <w:rFonts w:ascii="Times New Roman" w:eastAsia="Times New Roman" w:hAnsi="Times New Roman" w:cs="Times New Roman"/>
        </w:rPr>
        <w:t>Cyble</w:t>
      </w:r>
      <w:proofErr w:type="spellEnd"/>
      <w:r>
        <w:rPr>
          <w:rFonts w:ascii="Times New Roman" w:eastAsia="Times New Roman" w:hAnsi="Times New Roman" w:cs="Times New Roman"/>
        </w:rPr>
        <w:t>, 2025; Khalil, 2025). Against this backdrop, maintaining a false acceptance rate below five percent is a conservative yet justifiable target, as minimiz</w:t>
      </w:r>
      <w:r>
        <w:rPr>
          <w:rFonts w:ascii="Times New Roman" w:eastAsia="Times New Roman" w:hAnsi="Times New Roman" w:cs="Times New Roman"/>
        </w:rPr>
        <w:t>ing impostor success outweighs the cost of intermittent executive re-authentication, given that single incidents can produce multi-million-dollar losses and regulatory scrutiny (Colman, 2025).</w:t>
      </w:r>
    </w:p>
    <w:p w14:paraId="7D040E6C"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Anomaly detection results complement the behavioral classifier,</w:t>
      </w:r>
      <w:r>
        <w:rPr>
          <w:rFonts w:ascii="Times New Roman" w:eastAsia="Times New Roman" w:hAnsi="Times New Roman" w:cs="Times New Roman"/>
        </w:rPr>
        <w:t xml:space="preserve"> providing a second, unsupervised line of defense against novel or emerging threats. Isolation Forest demonstrated a high detection rate above ninety-five percent and robust ROC performance, confirming suitability for high-dimensional behavioral data where</w:t>
      </w:r>
      <w:r>
        <w:rPr>
          <w:rFonts w:ascii="Times New Roman" w:eastAsia="Times New Roman" w:hAnsi="Times New Roman" w:cs="Times New Roman"/>
        </w:rPr>
        <w:t xml:space="preserve"> anomalies are rare and structurally distinct (Liu et al., 2008; Tabassum et al., 2024). While this approach incurs elevated false positives, around one-quarter of events in this study, the integrated framework mitigates their impact by incorporating anoma</w:t>
      </w:r>
      <w:r>
        <w:rPr>
          <w:rFonts w:ascii="Times New Roman" w:eastAsia="Times New Roman" w:hAnsi="Times New Roman" w:cs="Times New Roman"/>
        </w:rPr>
        <w:t xml:space="preserve">ly scores as a component of the composite trust score rather than triggering hard denials. This </w:t>
      </w:r>
      <w:r>
        <w:rPr>
          <w:rFonts w:ascii="Times New Roman" w:eastAsia="Times New Roman" w:hAnsi="Times New Roman" w:cs="Times New Roman"/>
        </w:rPr>
        <w:lastRenderedPageBreak/>
        <w:t>preserves high recall while preventing user disruption, consistent with best practices in anomaly-based intrusion detection (Tabassum et al., 2024).</w:t>
      </w:r>
    </w:p>
    <w:p w14:paraId="1FAA436A"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The continu</w:t>
      </w:r>
      <w:r>
        <w:rPr>
          <w:rFonts w:ascii="Times New Roman" w:eastAsia="Times New Roman" w:hAnsi="Times New Roman" w:cs="Times New Roman"/>
        </w:rPr>
        <w:t>ous adaptive trust score fuses behavioral, cognitive, contextual, and anomaly-based evidence streams, enabling nuanced risk assessment beyond single-signal evaluation. Empirical distributions show that contextual consistency is typically high for legitimat</w:t>
      </w:r>
      <w:r>
        <w:rPr>
          <w:rFonts w:ascii="Times New Roman" w:eastAsia="Times New Roman" w:hAnsi="Times New Roman" w:cs="Times New Roman"/>
        </w:rPr>
        <w:t xml:space="preserve">e activity, while behavioral and cognitive components carry most discriminative power, and anomaly detection adds sensitivity to deviations. Weighting behavioral and cognitive evidence more heavily while assigning smaller yet nontrivial weights to context </w:t>
      </w:r>
      <w:r>
        <w:rPr>
          <w:rFonts w:ascii="Times New Roman" w:eastAsia="Times New Roman" w:hAnsi="Times New Roman" w:cs="Times New Roman"/>
        </w:rPr>
        <w:t>and anomaly aligns with continuous authentication literature and zero trust principles (</w:t>
      </w:r>
      <w:proofErr w:type="spellStart"/>
      <w:r>
        <w:rPr>
          <w:rFonts w:ascii="Times New Roman" w:eastAsia="Times New Roman" w:hAnsi="Times New Roman" w:cs="Times New Roman"/>
        </w:rPr>
        <w:t>Saevanee</w:t>
      </w:r>
      <w:proofErr w:type="spellEnd"/>
      <w:r>
        <w:rPr>
          <w:rFonts w:ascii="Times New Roman" w:eastAsia="Times New Roman" w:hAnsi="Times New Roman" w:cs="Times New Roman"/>
        </w:rPr>
        <w:t xml:space="preserve"> et al., 2015; National Institute of Standards and Technology, 2023). Trust-score stratification above seventy, eighty, and ninety percent supports stable thres</w:t>
      </w:r>
      <w:r>
        <w:rPr>
          <w:rFonts w:ascii="Times New Roman" w:eastAsia="Times New Roman" w:hAnsi="Times New Roman" w:cs="Times New Roman"/>
        </w:rPr>
        <w:t>holding across authority classes.</w:t>
      </w:r>
    </w:p>
    <w:p w14:paraId="61E90ED9"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The authority-threshold structure translates statistical measures into governance controls. Low-risk or low-value actions can be automated when trust scores exceed seventy percent, with a quarter of cases escalated for rev</w:t>
      </w:r>
      <w:r>
        <w:rPr>
          <w:rFonts w:ascii="Times New Roman" w:eastAsia="Times New Roman" w:hAnsi="Times New Roman" w:cs="Times New Roman"/>
        </w:rPr>
        <w:t>iew, while high-value or sensitive decisions require trust scores near ninety percent, ensuring escalation to human decision-makers. This tiered approach embodies the NIST AI RMF principle of contextual risk assessment and graded responses (National Instit</w:t>
      </w:r>
      <w:r>
        <w:rPr>
          <w:rFonts w:ascii="Times New Roman" w:eastAsia="Times New Roman" w:hAnsi="Times New Roman" w:cs="Times New Roman"/>
        </w:rPr>
        <w:t xml:space="preserve">ute of Standards and Technology, 2023; </w:t>
      </w:r>
      <w:proofErr w:type="spellStart"/>
      <w:r>
        <w:rPr>
          <w:rFonts w:ascii="Times New Roman" w:eastAsia="Times New Roman" w:hAnsi="Times New Roman" w:cs="Times New Roman"/>
        </w:rPr>
        <w:t>Premsai</w:t>
      </w:r>
      <w:proofErr w:type="spellEnd"/>
      <w:r>
        <w:rPr>
          <w:rFonts w:ascii="Times New Roman" w:eastAsia="Times New Roman" w:hAnsi="Times New Roman" w:cs="Times New Roman"/>
        </w:rPr>
        <w:t>, 2024).</w:t>
      </w:r>
    </w:p>
    <w:p w14:paraId="44EB96C3"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Simulated impersonation experiments indicate that the combined behavioral, anomaly, and trust-scoring pipeline effectively detects AI-enabled attacks, with over ninety-three percent of samples flagged </w:t>
      </w:r>
      <w:r>
        <w:rPr>
          <w:rFonts w:ascii="Times New Roman" w:eastAsia="Times New Roman" w:hAnsi="Times New Roman" w:cs="Times New Roman"/>
        </w:rPr>
        <w:t>and nearly all escalated for human review. Trust scores drop sharply for attack sequences, demonstrating defense-in-depth effects, although false negatives persist in low-deviation scenarios, highlighting that highly skilled adversaries may still circumven</w:t>
      </w:r>
      <w:r>
        <w:rPr>
          <w:rFonts w:ascii="Times New Roman" w:eastAsia="Times New Roman" w:hAnsi="Times New Roman" w:cs="Times New Roman"/>
        </w:rPr>
        <w:t>t statistical defenses (</w:t>
      </w:r>
      <w:proofErr w:type="spellStart"/>
      <w:r>
        <w:rPr>
          <w:rFonts w:ascii="Times New Roman" w:eastAsia="Times New Roman" w:hAnsi="Times New Roman" w:cs="Times New Roman"/>
        </w:rPr>
        <w:t>Bussabong</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Anusas-amornkul</w:t>
      </w:r>
      <w:proofErr w:type="spellEnd"/>
      <w:r>
        <w:rPr>
          <w:rFonts w:ascii="Times New Roman" w:eastAsia="Times New Roman" w:hAnsi="Times New Roman" w:cs="Times New Roman"/>
        </w:rPr>
        <w:t xml:space="preserve">, 2023; </w:t>
      </w:r>
      <w:proofErr w:type="spellStart"/>
      <w:r>
        <w:rPr>
          <w:rFonts w:ascii="Times New Roman" w:eastAsia="Times New Roman" w:hAnsi="Times New Roman" w:cs="Times New Roman"/>
        </w:rPr>
        <w:t>AbdelRaouf</w:t>
      </w:r>
      <w:proofErr w:type="spellEnd"/>
      <w:r>
        <w:rPr>
          <w:rFonts w:ascii="Times New Roman" w:eastAsia="Times New Roman" w:hAnsi="Times New Roman" w:cs="Times New Roman"/>
        </w:rPr>
        <w:t xml:space="preserve"> et al., 2023).</w:t>
      </w:r>
    </w:p>
    <w:p w14:paraId="1D03A151"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evolving threat landscape underscores the necessity of layered detection strategies.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proliferation, commercialization of AI-generated personas, and high-value</w:t>
      </w:r>
      <w:r>
        <w:rPr>
          <w:rFonts w:ascii="Times New Roman" w:eastAsia="Times New Roman" w:hAnsi="Times New Roman" w:cs="Times New Roman"/>
        </w:rPr>
        <w:t xml:space="preserve"> fraud emphasize that identity-based attacks evolve faster than most enterprise defenses (</w:t>
      </w:r>
      <w:proofErr w:type="spellStart"/>
      <w:r>
        <w:rPr>
          <w:rFonts w:ascii="Times New Roman" w:eastAsia="Times New Roman" w:hAnsi="Times New Roman" w:cs="Times New Roman"/>
        </w:rPr>
        <w:t>Cyble</w:t>
      </w:r>
      <w:proofErr w:type="spellEnd"/>
      <w:r>
        <w:rPr>
          <w:rFonts w:ascii="Times New Roman" w:eastAsia="Times New Roman" w:hAnsi="Times New Roman" w:cs="Times New Roman"/>
        </w:rPr>
        <w:t>, 2025; Khalil, 2025; Colman, 2025). This framework shifts identity assurance from superficial cues toward deeper cognitive and behavioral signatures. Deployment</w:t>
      </w:r>
      <w:r>
        <w:rPr>
          <w:rFonts w:ascii="Times New Roman" w:eastAsia="Times New Roman" w:hAnsi="Times New Roman" w:cs="Times New Roman"/>
        </w:rPr>
        <w:t xml:space="preserve"> feasibility is supported by modest computational requirements, real-time processing, and privacy-preserving design, using anonymized, aggregated templates in accordance with European data protection recommendations (</w:t>
      </w:r>
      <w:proofErr w:type="spellStart"/>
      <w:r>
        <w:rPr>
          <w:rFonts w:ascii="Times New Roman" w:eastAsia="Times New Roman" w:hAnsi="Times New Roman" w:cs="Times New Roman"/>
        </w:rPr>
        <w:t>Vemou</w:t>
      </w:r>
      <w:proofErr w:type="spellEnd"/>
      <w:r>
        <w:rPr>
          <w:rFonts w:ascii="Times New Roman" w:eastAsia="Times New Roman" w:hAnsi="Times New Roman" w:cs="Times New Roman"/>
        </w:rPr>
        <w:t xml:space="preserve">, 2025; </w:t>
      </w:r>
      <w:proofErr w:type="spellStart"/>
      <w:r>
        <w:rPr>
          <w:rFonts w:ascii="Times New Roman" w:eastAsia="Times New Roman" w:hAnsi="Times New Roman" w:cs="Times New Roman"/>
        </w:rPr>
        <w:t>Akitra</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2024). Robust encr</w:t>
      </w:r>
      <w:r>
        <w:rPr>
          <w:rFonts w:ascii="Times New Roman" w:eastAsia="Times New Roman" w:hAnsi="Times New Roman" w:cs="Times New Roman"/>
        </w:rPr>
        <w:t>yption, access control, and retention policies remain essential to protect behavioral templates as high-value assets.</w:t>
      </w:r>
    </w:p>
    <w:p w14:paraId="2F50582C"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Limitations of the Study</w:t>
      </w:r>
    </w:p>
    <w:p w14:paraId="38536F38"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Limitations of this study primarily concern ecological validity and threat realism. The use of synthetic keystrok</w:t>
      </w:r>
      <w:r>
        <w:rPr>
          <w:rFonts w:ascii="Times New Roman" w:eastAsia="Times New Roman" w:hAnsi="Times New Roman" w:cs="Times New Roman"/>
        </w:rPr>
        <w:t>e data, even when patterned on a benchmark corpus, cannot fully capture the diversity and drift of real executive behavior in situ, including effects of stress, multitasking, device heterogeneity, and long-term behavioral change. Similarly, the attack scen</w:t>
      </w:r>
      <w:r>
        <w:rPr>
          <w:rFonts w:ascii="Times New Roman" w:eastAsia="Times New Roman" w:hAnsi="Times New Roman" w:cs="Times New Roman"/>
        </w:rPr>
        <w:t>arios tested involve controlled perturbations rather than adaptive, human-led adversaries who iteratively probe system boundaries. These constraints mean that while the framework’s internal logic and relative performance are well supported, its absolute ef</w:t>
      </w:r>
      <w:r>
        <w:rPr>
          <w:rFonts w:ascii="Times New Roman" w:eastAsia="Times New Roman" w:hAnsi="Times New Roman" w:cs="Times New Roman"/>
        </w:rPr>
        <w:t>fectiveness in production environments must be confirmed through live pilots and adversarial exercises.</w:t>
      </w:r>
    </w:p>
    <w:p w14:paraId="73DE8C03"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Future Considerations </w:t>
      </w:r>
    </w:p>
    <w:p w14:paraId="3BAE32AC"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Future work should validate frameworks on longitudinal, real-world datasets from executives and AI agents in authentic workflows,</w:t>
      </w:r>
      <w:r>
        <w:rPr>
          <w:rFonts w:ascii="Times New Roman" w:eastAsia="Times New Roman" w:hAnsi="Times New Roman" w:cs="Times New Roman"/>
        </w:rPr>
        <w:t xml:space="preserve"> with proper consent and privacy protections. Multi-modal approaches combining keystrokes with mouse dynamics, mobile gestures, or gaze could further lower equal error rates and improve resilience against generative behavioral mimicry (</w:t>
      </w:r>
      <w:proofErr w:type="spellStart"/>
      <w:r>
        <w:rPr>
          <w:rFonts w:ascii="Times New Roman" w:eastAsia="Times New Roman" w:hAnsi="Times New Roman" w:cs="Times New Roman"/>
        </w:rPr>
        <w:t>Saevanee</w:t>
      </w:r>
      <w:proofErr w:type="spellEnd"/>
      <w:r>
        <w:rPr>
          <w:rFonts w:ascii="Times New Roman" w:eastAsia="Times New Roman" w:hAnsi="Times New Roman" w:cs="Times New Roman"/>
        </w:rPr>
        <w:t xml:space="preserve"> et al., 201</w:t>
      </w:r>
      <w:r>
        <w:rPr>
          <w:rFonts w:ascii="Times New Roman" w:eastAsia="Times New Roman" w:hAnsi="Times New Roman" w:cs="Times New Roman"/>
        </w:rPr>
        <w:t xml:space="preserve">5). Governance integration with AI risk management, incident-response playbooks, and federated learning, along with adversarial retraining of anomaly detectors and monitoring of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techniques, will sustain defensive relevance (Colman, 2025; Tabassum </w:t>
      </w:r>
      <w:r>
        <w:rPr>
          <w:rFonts w:ascii="Times New Roman" w:eastAsia="Times New Roman" w:hAnsi="Times New Roman" w:cs="Times New Roman"/>
        </w:rPr>
        <w:t>et al., 2024).</w:t>
      </w:r>
    </w:p>
    <w:p w14:paraId="24DAB366" w14:textId="77777777" w:rsidR="00372E14" w:rsidRDefault="00372E14">
      <w:pPr>
        <w:spacing w:line="360" w:lineRule="auto"/>
        <w:jc w:val="both"/>
        <w:rPr>
          <w:rFonts w:ascii="Times New Roman" w:eastAsia="Times New Roman" w:hAnsi="Times New Roman" w:cs="Times New Roman"/>
        </w:rPr>
      </w:pPr>
    </w:p>
    <w:p w14:paraId="75210B65"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5.</w:t>
      </w:r>
      <w:r>
        <w:rPr>
          <w:rFonts w:ascii="Times New Roman" w:eastAsia="Times New Roman" w:hAnsi="Times New Roman" w:cs="Times New Roman"/>
          <w:b/>
          <w:bCs/>
        </w:rPr>
        <w:tab/>
        <w:t>Conclusions and Recommendations</w:t>
      </w:r>
    </w:p>
    <w:p w14:paraId="0FBF1C81"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Conclusions</w:t>
      </w:r>
    </w:p>
    <w:p w14:paraId="31B52940"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developed and validated an adaptive cognitive profiling framework to protect executive identity and organizational resilience against AI-enabled impersonation in remote work environm</w:t>
      </w:r>
      <w:r>
        <w:rPr>
          <w:rFonts w:ascii="Times New Roman" w:eastAsia="Times New Roman" w:hAnsi="Times New Roman" w:cs="Times New Roman"/>
        </w:rPr>
        <w:t>ents. By integrating behavioral biometrics, cognitive-consistency analysis, and continuous adaptive trust scoring, the framework achieved authentication accuracy of 93.78%, anomaly detection sensitivity of 95.52%, and detection of 93.75% of simulated imper</w:t>
      </w:r>
      <w:r>
        <w:rPr>
          <w:rFonts w:ascii="Times New Roman" w:eastAsia="Times New Roman" w:hAnsi="Times New Roman" w:cs="Times New Roman"/>
        </w:rPr>
        <w:t xml:space="preserve">sonation attacks. Governance mechanisms enforced graded access controls aligned with executive authority </w:t>
      </w:r>
      <w:r>
        <w:rPr>
          <w:rFonts w:ascii="Times New Roman" w:eastAsia="Times New Roman" w:hAnsi="Times New Roman" w:cs="Times New Roman"/>
        </w:rPr>
        <w:lastRenderedPageBreak/>
        <w:t>and risk levels. However, challenges remain, including a 22.94% false-positive rate in anomaly detection and limited validation using real-world execut</w:t>
      </w:r>
      <w:r>
        <w:rPr>
          <w:rFonts w:ascii="Times New Roman" w:eastAsia="Times New Roman" w:hAnsi="Times New Roman" w:cs="Times New Roman"/>
        </w:rPr>
        <w:t>ive datasets, highlighting the need for broader deployment and evaluation.</w:t>
      </w:r>
    </w:p>
    <w:p w14:paraId="0DFC526C"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Recommendations</w:t>
      </w:r>
    </w:p>
    <w:p w14:paraId="23F2A85E"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Organizations adopting executive AI agents should prioritize collecting longitudinal behavioral data from real executives in operational settings to improve </w:t>
      </w:r>
      <w:r>
        <w:rPr>
          <w:rFonts w:ascii="Times New Roman" w:eastAsia="Times New Roman" w:hAnsi="Times New Roman" w:cs="Times New Roman"/>
        </w:rPr>
        <w:t xml:space="preserve">generalizability beyond synthetic datasets. Incorporating explainable AI techniques can enhance transparency, regulatory compliance, and executive trust. Live deployment and adversarial testing across financial, energy, and critical infrastructure sectors </w:t>
      </w:r>
      <w:r>
        <w:rPr>
          <w:rFonts w:ascii="Times New Roman" w:eastAsia="Times New Roman" w:hAnsi="Times New Roman" w:cs="Times New Roman"/>
        </w:rPr>
        <w:t xml:space="preserve">are recommended to assess scalability and resilience. Finally, collaboration among industry, academia, and government is needed to establish standardized benchmarks for cognitive profiling, alongside integrating adaptive learning and multimodal behavioral </w:t>
      </w:r>
      <w:r>
        <w:rPr>
          <w:rFonts w:ascii="Times New Roman" w:eastAsia="Times New Roman" w:hAnsi="Times New Roman" w:cs="Times New Roman"/>
        </w:rPr>
        <w:t xml:space="preserve">signals to address evolving generative AI and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-based threats.</w:t>
      </w:r>
    </w:p>
    <w:p w14:paraId="2F31DB4B" w14:textId="77777777" w:rsidR="00372E14" w:rsidRDefault="00372E14">
      <w:pPr>
        <w:spacing w:line="360" w:lineRule="auto"/>
        <w:jc w:val="both"/>
        <w:rPr>
          <w:rFonts w:ascii="Times New Roman" w:eastAsia="Times New Roman" w:hAnsi="Times New Roman" w:cs="Times New Roman"/>
          <w:b/>
          <w:bCs/>
        </w:rPr>
      </w:pPr>
    </w:p>
    <w:p w14:paraId="26B6881E" w14:textId="77777777" w:rsidR="00372E14" w:rsidRDefault="00372E14">
      <w:pPr>
        <w:spacing w:line="360" w:lineRule="auto"/>
        <w:jc w:val="both"/>
        <w:rPr>
          <w:rFonts w:ascii="Times New Roman" w:eastAsia="Times New Roman" w:hAnsi="Times New Roman" w:cs="Times New Roman"/>
          <w:b/>
          <w:bCs/>
        </w:rPr>
      </w:pPr>
    </w:p>
    <w:p w14:paraId="43909F65"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Disclaimer (Artificial intelligence)</w:t>
      </w:r>
    </w:p>
    <w:p w14:paraId="1E3FBDE2" w14:textId="77777777" w:rsidR="00372E14" w:rsidRDefault="00372E14">
      <w:pPr>
        <w:spacing w:line="360" w:lineRule="auto"/>
        <w:jc w:val="both"/>
        <w:rPr>
          <w:rFonts w:ascii="Times New Roman" w:eastAsia="Times New Roman" w:hAnsi="Times New Roman" w:cs="Times New Roman"/>
        </w:rPr>
      </w:pPr>
    </w:p>
    <w:p w14:paraId="0E6458ED" w14:textId="77777777" w:rsidR="00372E14" w:rsidRDefault="00CC1D80">
      <w:pPr>
        <w:spacing w:line="360" w:lineRule="auto"/>
        <w:jc w:val="both"/>
        <w:rPr>
          <w:rFonts w:ascii="Times New Roman" w:eastAsia="Times New Roman" w:hAnsi="Times New Roman" w:cs="Times New Roman"/>
        </w:rPr>
      </w:pPr>
      <w:r>
        <w:rPr>
          <w:rFonts w:ascii="Times New Roman" w:eastAsia="Times New Roman" w:hAnsi="Times New Roman" w:cs="Times New Roman"/>
        </w:rPr>
        <w:t>Author(s) hereby declare that NO generative AI technologies such as Large Language Models (</w:t>
      </w:r>
      <w:proofErr w:type="spellStart"/>
      <w:r>
        <w:rPr>
          <w:rFonts w:ascii="Times New Roman" w:eastAsia="Times New Roman" w:hAnsi="Times New Roman" w:cs="Times New Roman"/>
        </w:rPr>
        <w:t>ChatGPT</w:t>
      </w:r>
      <w:proofErr w:type="spellEnd"/>
      <w:r>
        <w:rPr>
          <w:rFonts w:ascii="Times New Roman" w:eastAsia="Times New Roman" w:hAnsi="Times New Roman" w:cs="Times New Roman"/>
        </w:rPr>
        <w:t>, COPILOT, etc.) and text-to-image generators ha</w:t>
      </w:r>
      <w:r>
        <w:rPr>
          <w:rFonts w:ascii="Times New Roman" w:eastAsia="Times New Roman" w:hAnsi="Times New Roman" w:cs="Times New Roman"/>
        </w:rPr>
        <w:t>ve been used during the writing or editing of this manuscript.</w:t>
      </w:r>
    </w:p>
    <w:p w14:paraId="3AB43D10" w14:textId="77777777" w:rsidR="00372E14" w:rsidRDefault="00372E14">
      <w:pPr>
        <w:spacing w:line="360" w:lineRule="auto"/>
        <w:jc w:val="both"/>
        <w:rPr>
          <w:rFonts w:ascii="Times New Roman" w:eastAsia="Times New Roman" w:hAnsi="Times New Roman" w:cs="Times New Roman"/>
        </w:rPr>
      </w:pPr>
    </w:p>
    <w:p w14:paraId="2F9754CC" w14:textId="77777777" w:rsidR="00372E14" w:rsidRDefault="00372E14">
      <w:pPr>
        <w:spacing w:line="360" w:lineRule="auto"/>
        <w:jc w:val="both"/>
        <w:rPr>
          <w:rFonts w:ascii="Times New Roman" w:eastAsia="Times New Roman" w:hAnsi="Times New Roman" w:cs="Times New Roman"/>
        </w:rPr>
      </w:pPr>
    </w:p>
    <w:p w14:paraId="5B9CE29C" w14:textId="77777777" w:rsidR="00372E14" w:rsidRDefault="00CC1D8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2CAE65F8"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AbdelRaouf</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Chelloug</w:t>
      </w:r>
      <w:proofErr w:type="spellEnd"/>
      <w:r>
        <w:rPr>
          <w:rFonts w:ascii="Times New Roman" w:eastAsia="Times New Roman" w:hAnsi="Times New Roman" w:cs="Times New Roman"/>
        </w:rPr>
        <w:t xml:space="preserve">, S. A., Muthanna, A., </w:t>
      </w:r>
      <w:proofErr w:type="spellStart"/>
      <w:r>
        <w:rPr>
          <w:rFonts w:ascii="Times New Roman" w:eastAsia="Times New Roman" w:hAnsi="Times New Roman" w:cs="Times New Roman"/>
        </w:rPr>
        <w:t>Semary</w:t>
      </w:r>
      <w:proofErr w:type="spellEnd"/>
      <w:r>
        <w:rPr>
          <w:rFonts w:ascii="Times New Roman" w:eastAsia="Times New Roman" w:hAnsi="Times New Roman" w:cs="Times New Roman"/>
        </w:rPr>
        <w:t xml:space="preserve">, N., Amin, K., &amp; Ibrahim, M. (2023). Efficient Convolutional Neural Network-Based Keystroke Dynamics for Boosting User Authentication. </w:t>
      </w:r>
      <w:r>
        <w:rPr>
          <w:rFonts w:ascii="Times New Roman" w:eastAsia="Times New Roman" w:hAnsi="Times New Roman" w:cs="Times New Roman"/>
          <w:i/>
          <w:iCs/>
        </w:rPr>
        <w:t>Sensors</w:t>
      </w:r>
      <w:r>
        <w:rPr>
          <w:rFonts w:ascii="Times New Roman" w:eastAsia="Times New Roman" w:hAnsi="Times New Roman" w:cs="Times New Roman"/>
        </w:rPr>
        <w:t xml:space="preserve">, </w:t>
      </w:r>
      <w:r>
        <w:rPr>
          <w:rFonts w:ascii="Times New Roman" w:eastAsia="Times New Roman" w:hAnsi="Times New Roman" w:cs="Times New Roman"/>
          <w:i/>
          <w:iCs/>
        </w:rPr>
        <w:t>23</w:t>
      </w:r>
      <w:r>
        <w:rPr>
          <w:rFonts w:ascii="Times New Roman" w:eastAsia="Times New Roman" w:hAnsi="Times New Roman" w:cs="Times New Roman"/>
        </w:rPr>
        <w:t>(10), 4898–4898. https://doi.org/10.3390/s23104898</w:t>
      </w:r>
    </w:p>
    <w:p w14:paraId="398AB921"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Abuha</w:t>
      </w:r>
      <w:r>
        <w:rPr>
          <w:rFonts w:ascii="Times New Roman" w:eastAsia="Times New Roman" w:hAnsi="Times New Roman" w:cs="Times New Roman"/>
        </w:rPr>
        <w:t>mad</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Abusnaina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Nyang</w:t>
      </w:r>
      <w:proofErr w:type="spellEnd"/>
      <w:r>
        <w:rPr>
          <w:rFonts w:ascii="Times New Roman" w:eastAsia="Times New Roman" w:hAnsi="Times New Roman" w:cs="Times New Roman"/>
        </w:rPr>
        <w:t xml:space="preserve">, D. H., &amp; </w:t>
      </w:r>
      <w:proofErr w:type="spellStart"/>
      <w:r>
        <w:rPr>
          <w:rFonts w:ascii="Times New Roman" w:eastAsia="Times New Roman" w:hAnsi="Times New Roman" w:cs="Times New Roman"/>
        </w:rPr>
        <w:t>Mohaisen</w:t>
      </w:r>
      <w:proofErr w:type="spellEnd"/>
      <w:r>
        <w:rPr>
          <w:rFonts w:ascii="Times New Roman" w:eastAsia="Times New Roman" w:hAnsi="Times New Roman" w:cs="Times New Roman"/>
        </w:rPr>
        <w:t xml:space="preserve">, D. (2020). Sensor-based Continuous Authentication of Smartphones’ Users Using Behavioral Biometrics: A Contemporary Survey. </w:t>
      </w:r>
      <w:r>
        <w:rPr>
          <w:rFonts w:ascii="Times New Roman" w:eastAsia="Times New Roman" w:hAnsi="Times New Roman" w:cs="Times New Roman"/>
          <w:i/>
          <w:iCs/>
        </w:rPr>
        <w:t>IEEE Internet of Things Journal</w:t>
      </w:r>
      <w:r>
        <w:rPr>
          <w:rFonts w:ascii="Times New Roman" w:eastAsia="Times New Roman" w:hAnsi="Times New Roman" w:cs="Times New Roman"/>
        </w:rPr>
        <w:t>, 1–1. https://doi.org/10.1109/jiot.2020.3020076</w:t>
      </w:r>
    </w:p>
    <w:p w14:paraId="19ECFF42"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Ak</w:t>
      </w:r>
      <w:r>
        <w:rPr>
          <w:rFonts w:ascii="Times New Roman" w:eastAsia="Times New Roman" w:hAnsi="Times New Roman" w:cs="Times New Roman"/>
        </w:rPr>
        <w:t>itra</w:t>
      </w:r>
      <w:proofErr w:type="spellEnd"/>
      <w:r>
        <w:rPr>
          <w:rFonts w:ascii="Times New Roman" w:eastAsia="Times New Roman" w:hAnsi="Times New Roman" w:cs="Times New Roman"/>
        </w:rPr>
        <w:t xml:space="preserve">. (2024). </w:t>
      </w:r>
      <w:r>
        <w:rPr>
          <w:rFonts w:ascii="Times New Roman" w:eastAsia="Times New Roman" w:hAnsi="Times New Roman" w:cs="Times New Roman"/>
          <w:i/>
          <w:iCs/>
        </w:rPr>
        <w:t>Continuous Authentication with Behavioral Biometrics</w:t>
      </w:r>
      <w:r>
        <w:rPr>
          <w:rFonts w:ascii="Times New Roman" w:eastAsia="Times New Roman" w:hAnsi="Times New Roman" w:cs="Times New Roman"/>
        </w:rPr>
        <w:t>. Akitra.com. https://akitra.com/blog/continuous-authentication-with-behavioral-biometrics/</w:t>
      </w:r>
    </w:p>
    <w:p w14:paraId="34093968"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Alexis, A. (2026). </w:t>
      </w:r>
      <w:r>
        <w:rPr>
          <w:rFonts w:ascii="Times New Roman" w:eastAsia="Times New Roman" w:hAnsi="Times New Roman" w:cs="Times New Roman"/>
          <w:i/>
          <w:iCs/>
        </w:rPr>
        <w:t>Fraud attacks expected to ramp up in AI “perfect storm.”</w:t>
      </w:r>
      <w:r>
        <w:rPr>
          <w:rFonts w:ascii="Times New Roman" w:eastAsia="Times New Roman" w:hAnsi="Times New Roman" w:cs="Times New Roman"/>
        </w:rPr>
        <w:t xml:space="preserve"> HR Dive. https://www.h</w:t>
      </w:r>
      <w:r>
        <w:rPr>
          <w:rFonts w:ascii="Times New Roman" w:eastAsia="Times New Roman" w:hAnsi="Times New Roman" w:cs="Times New Roman"/>
        </w:rPr>
        <w:t>rdive.com/news/fraud-attacks-expected-ramp-up-amid-ai-perfect-storm/808895/</w:t>
      </w:r>
    </w:p>
    <w:p w14:paraId="60EC079F"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Alliance, L. (2025). </w:t>
      </w:r>
      <w:proofErr w:type="spellStart"/>
      <w:r>
        <w:rPr>
          <w:rFonts w:ascii="Times New Roman" w:eastAsia="Times New Roman" w:hAnsi="Times New Roman" w:cs="Times New Roman"/>
          <w:i/>
          <w:iCs/>
        </w:rPr>
        <w:t>Deepfakes</w:t>
      </w:r>
      <w:proofErr w:type="spellEnd"/>
      <w:r>
        <w:rPr>
          <w:rFonts w:ascii="Times New Roman" w:eastAsia="Times New Roman" w:hAnsi="Times New Roman" w:cs="Times New Roman"/>
          <w:i/>
          <w:iCs/>
        </w:rPr>
        <w:t xml:space="preserve"> Are Rewriting the Rules of Biometric Security</w:t>
      </w:r>
      <w:r>
        <w:rPr>
          <w:rFonts w:ascii="Times New Roman" w:eastAsia="Times New Roman" w:hAnsi="Times New Roman" w:cs="Times New Roman"/>
        </w:rPr>
        <w:t>. Lazarus Alliance, Inc. https://lazarusalliance.com/deepfakes-are-rewriting-the-rules-of-biometric-secu</w:t>
      </w:r>
      <w:r>
        <w:rPr>
          <w:rFonts w:ascii="Times New Roman" w:eastAsia="Times New Roman" w:hAnsi="Times New Roman" w:cs="Times New Roman"/>
        </w:rPr>
        <w:t>rity/</w:t>
      </w:r>
    </w:p>
    <w:p w14:paraId="59ED4B7B"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Bronsdon</w:t>
      </w:r>
      <w:proofErr w:type="spellEnd"/>
      <w:r>
        <w:rPr>
          <w:rFonts w:ascii="Times New Roman" w:eastAsia="Times New Roman" w:hAnsi="Times New Roman" w:cs="Times New Roman"/>
        </w:rPr>
        <w:t xml:space="preserve">, C. (2025). </w:t>
      </w:r>
      <w:r>
        <w:rPr>
          <w:rFonts w:ascii="Times New Roman" w:eastAsia="Times New Roman" w:hAnsi="Times New Roman" w:cs="Times New Roman"/>
          <w:i/>
          <w:iCs/>
        </w:rPr>
        <w:t xml:space="preserve">7 Red Teaming Strategies </w:t>
      </w:r>
      <w:proofErr w:type="gramStart"/>
      <w:r>
        <w:rPr>
          <w:rFonts w:ascii="Times New Roman" w:eastAsia="Times New Roman" w:hAnsi="Times New Roman" w:cs="Times New Roman"/>
          <w:i/>
          <w:iCs/>
        </w:rPr>
        <w:t>To</w:t>
      </w:r>
      <w:proofErr w:type="gramEnd"/>
      <w:r>
        <w:rPr>
          <w:rFonts w:ascii="Times New Roman" w:eastAsia="Times New Roman" w:hAnsi="Times New Roman" w:cs="Times New Roman"/>
          <w:i/>
          <w:iCs/>
        </w:rPr>
        <w:t xml:space="preserve"> Prevent LLM Breaches | Galileo</w:t>
      </w:r>
      <w:r>
        <w:rPr>
          <w:rFonts w:ascii="Times New Roman" w:eastAsia="Times New Roman" w:hAnsi="Times New Roman" w:cs="Times New Roman"/>
        </w:rPr>
        <w:t>. Galileo AI; Galileo.AI. https://galileo.ai/blog/llm-red-teaming-strategies</w:t>
      </w:r>
    </w:p>
    <w:p w14:paraId="7F759D06"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Brundage, M., </w:t>
      </w:r>
      <w:proofErr w:type="spellStart"/>
      <w:r>
        <w:rPr>
          <w:rFonts w:ascii="Times New Roman" w:eastAsia="Times New Roman" w:hAnsi="Times New Roman" w:cs="Times New Roman"/>
        </w:rPr>
        <w:t>Avin</w:t>
      </w:r>
      <w:proofErr w:type="spellEnd"/>
      <w:r>
        <w:rPr>
          <w:rFonts w:ascii="Times New Roman" w:eastAsia="Times New Roman" w:hAnsi="Times New Roman" w:cs="Times New Roman"/>
        </w:rPr>
        <w:t xml:space="preserve">, S., Wang, J., Belfield, H., Krueger, G., Hadfield, G. K., </w:t>
      </w:r>
      <w:proofErr w:type="spellStart"/>
      <w:r>
        <w:rPr>
          <w:rFonts w:ascii="Times New Roman" w:eastAsia="Times New Roman" w:hAnsi="Times New Roman" w:cs="Times New Roman"/>
        </w:rPr>
        <w:t>Khlaaf</w:t>
      </w:r>
      <w:proofErr w:type="spellEnd"/>
      <w:r>
        <w:rPr>
          <w:rFonts w:ascii="Times New Roman" w:eastAsia="Times New Roman" w:hAnsi="Times New Roman" w:cs="Times New Roman"/>
        </w:rPr>
        <w:t>, H., Yang</w:t>
      </w:r>
      <w:r>
        <w:rPr>
          <w:rFonts w:ascii="Times New Roman" w:eastAsia="Times New Roman" w:hAnsi="Times New Roman" w:cs="Times New Roman"/>
        </w:rPr>
        <w:t xml:space="preserve">, J., Toner, H., Fong, R., Maharaj, T., Koh, P. W., Hooker, S., Leung, J., Trask, A., </w:t>
      </w:r>
      <w:proofErr w:type="spellStart"/>
      <w:r>
        <w:rPr>
          <w:rFonts w:ascii="Times New Roman" w:eastAsia="Times New Roman" w:hAnsi="Times New Roman" w:cs="Times New Roman"/>
        </w:rPr>
        <w:t>Bluemke</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Lebensbold</w:t>
      </w:r>
      <w:proofErr w:type="spellEnd"/>
      <w:r>
        <w:rPr>
          <w:rFonts w:ascii="Times New Roman" w:eastAsia="Times New Roman" w:hAnsi="Times New Roman" w:cs="Times New Roman"/>
        </w:rPr>
        <w:t xml:space="preserve">, J., Cullen O'Keefe, </w:t>
      </w:r>
      <w:proofErr w:type="spellStart"/>
      <w:r>
        <w:rPr>
          <w:rFonts w:ascii="Times New Roman" w:eastAsia="Times New Roman" w:hAnsi="Times New Roman" w:cs="Times New Roman"/>
        </w:rPr>
        <w:t>Koren</w:t>
      </w:r>
      <w:proofErr w:type="spellEnd"/>
      <w:r>
        <w:rPr>
          <w:rFonts w:ascii="Times New Roman" w:eastAsia="Times New Roman" w:hAnsi="Times New Roman" w:cs="Times New Roman"/>
        </w:rPr>
        <w:t xml:space="preserve">, M., &amp; T. </w:t>
      </w:r>
      <w:proofErr w:type="spellStart"/>
      <w:r>
        <w:rPr>
          <w:rFonts w:ascii="Times New Roman" w:eastAsia="Times New Roman" w:hAnsi="Times New Roman" w:cs="Times New Roman"/>
        </w:rPr>
        <w:t>Ryffel</w:t>
      </w:r>
      <w:proofErr w:type="spellEnd"/>
      <w:r>
        <w:rPr>
          <w:rFonts w:ascii="Times New Roman" w:eastAsia="Times New Roman" w:hAnsi="Times New Roman" w:cs="Times New Roman"/>
        </w:rPr>
        <w:t xml:space="preserve">. (2020). </w:t>
      </w:r>
      <w:r>
        <w:rPr>
          <w:rFonts w:ascii="Times New Roman" w:eastAsia="Times New Roman" w:hAnsi="Times New Roman" w:cs="Times New Roman"/>
          <w:i/>
          <w:iCs/>
        </w:rPr>
        <w:t>Toward Trustworthy AI Development: Mechanisms for Supporting Verifiable Claims</w:t>
      </w:r>
      <w:r>
        <w:rPr>
          <w:rFonts w:ascii="Times New Roman" w:eastAsia="Times New Roman" w:hAnsi="Times New Roman" w:cs="Times New Roman"/>
        </w:rPr>
        <w:t>. ArXiv.org. ht</w:t>
      </w:r>
      <w:r>
        <w:rPr>
          <w:rFonts w:ascii="Times New Roman" w:eastAsia="Times New Roman" w:hAnsi="Times New Roman" w:cs="Times New Roman"/>
        </w:rPr>
        <w:t>tps://www.semanticscholar.org/paper/Toward-Trustworthy-AI-Development%3A-Mechanisms-for-Brundage-Avin/62c3142956d54db158d190ce691e3c13e7897412</w:t>
      </w:r>
    </w:p>
    <w:p w14:paraId="5E15EC3C"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Bussabong</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rPr>
        <w:t>Anusas-amornkul</w:t>
      </w:r>
      <w:proofErr w:type="spellEnd"/>
      <w:r>
        <w:rPr>
          <w:rFonts w:ascii="Times New Roman" w:eastAsia="Times New Roman" w:hAnsi="Times New Roman" w:cs="Times New Roman"/>
        </w:rPr>
        <w:t xml:space="preserve">, T. (2023). </w:t>
      </w:r>
      <w:r>
        <w:rPr>
          <w:rFonts w:ascii="Times New Roman" w:eastAsia="Times New Roman" w:hAnsi="Times New Roman" w:cs="Times New Roman"/>
          <w:i/>
          <w:iCs/>
        </w:rPr>
        <w:t>Enhanced Keystroke Dynamics Authentication Using Keystroke Vector Di</w:t>
      </w:r>
      <w:r>
        <w:rPr>
          <w:rFonts w:ascii="Times New Roman" w:eastAsia="Times New Roman" w:hAnsi="Times New Roman" w:cs="Times New Roman"/>
          <w:i/>
          <w:iCs/>
        </w:rPr>
        <w:t>ssimilarity</w:t>
      </w:r>
      <w:r>
        <w:rPr>
          <w:rFonts w:ascii="Times New Roman" w:eastAsia="Times New Roman" w:hAnsi="Times New Roman" w:cs="Times New Roman"/>
        </w:rPr>
        <w:t>. 223–228. https://doi.org/10.1109/icitee59582.2023.10317643</w:t>
      </w:r>
    </w:p>
    <w:p w14:paraId="0A1499C9"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Colman, B. (2025). </w:t>
      </w:r>
      <w:r>
        <w:rPr>
          <w:rFonts w:ascii="Times New Roman" w:eastAsia="Times New Roman" w:hAnsi="Times New Roman" w:cs="Times New Roman"/>
          <w:i/>
          <w:iCs/>
        </w:rPr>
        <w:t xml:space="preserve">Detecting dangerous AI is essential in the </w:t>
      </w:r>
      <w:proofErr w:type="spellStart"/>
      <w:r>
        <w:rPr>
          <w:rFonts w:ascii="Times New Roman" w:eastAsia="Times New Roman" w:hAnsi="Times New Roman" w:cs="Times New Roman"/>
          <w:i/>
          <w:iCs/>
        </w:rPr>
        <w:t>deepfake</w:t>
      </w:r>
      <w:proofErr w:type="spellEnd"/>
      <w:r>
        <w:rPr>
          <w:rFonts w:ascii="Times New Roman" w:eastAsia="Times New Roman" w:hAnsi="Times New Roman" w:cs="Times New Roman"/>
          <w:i/>
          <w:iCs/>
        </w:rPr>
        <w:t xml:space="preserve"> era</w:t>
      </w:r>
      <w:r>
        <w:rPr>
          <w:rFonts w:ascii="Times New Roman" w:eastAsia="Times New Roman" w:hAnsi="Times New Roman" w:cs="Times New Roman"/>
        </w:rPr>
        <w:t>. World Economic Forum. https://www.weforum.org/stories/2025/07/why-detecting-dangerous-ai-is-key-to-keeping-t</w:t>
      </w:r>
      <w:r>
        <w:rPr>
          <w:rFonts w:ascii="Times New Roman" w:eastAsia="Times New Roman" w:hAnsi="Times New Roman" w:cs="Times New Roman"/>
        </w:rPr>
        <w:t>rust-alive/?gad_source=1&amp;gad_campaignid=22234048793&amp;gbraid=0AAAAAoVy5F44pfx3CVck301bNthTguo4Z&amp;gclid=CjwKCAiA95fLBhBPEiwATXUsxMNUK7XYtWhwysE256t6wfkHDCPhiSRhZ2epGAUdE0hzb_1BIZXSvhoCTHoQAvD_BwE</w:t>
      </w:r>
    </w:p>
    <w:p w14:paraId="535C5B48"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Cyble</w:t>
      </w:r>
      <w:proofErr w:type="spellEnd"/>
      <w:r>
        <w:rPr>
          <w:rFonts w:ascii="Times New Roman" w:eastAsia="Times New Roman" w:hAnsi="Times New Roman" w:cs="Times New Roman"/>
        </w:rPr>
        <w:t xml:space="preserve">. (2025). </w:t>
      </w:r>
      <w:proofErr w:type="spellStart"/>
      <w:r>
        <w:rPr>
          <w:rFonts w:ascii="Times New Roman" w:eastAsia="Times New Roman" w:hAnsi="Times New Roman" w:cs="Times New Roman"/>
          <w:i/>
          <w:iCs/>
        </w:rPr>
        <w:t>Deepfake</w:t>
      </w:r>
      <w:proofErr w:type="spellEnd"/>
      <w:r>
        <w:rPr>
          <w:rFonts w:ascii="Times New Roman" w:eastAsia="Times New Roman" w:hAnsi="Times New Roman" w:cs="Times New Roman"/>
          <w:i/>
          <w:iCs/>
        </w:rPr>
        <w:t>-as-a-Service Exploded In 2025: 2026 Thre</w:t>
      </w:r>
      <w:r>
        <w:rPr>
          <w:rFonts w:ascii="Times New Roman" w:eastAsia="Times New Roman" w:hAnsi="Times New Roman" w:cs="Times New Roman"/>
          <w:i/>
          <w:iCs/>
        </w:rPr>
        <w:t>ats Ahead</w:t>
      </w:r>
      <w:r>
        <w:rPr>
          <w:rFonts w:ascii="Times New Roman" w:eastAsia="Times New Roman" w:hAnsi="Times New Roman" w:cs="Times New Roman"/>
        </w:rPr>
        <w:t xml:space="preserve">. </w:t>
      </w:r>
      <w:proofErr w:type="spellStart"/>
      <w:r>
        <w:rPr>
          <w:rFonts w:ascii="Times New Roman" w:eastAsia="Times New Roman" w:hAnsi="Times New Roman" w:cs="Times New Roman"/>
        </w:rPr>
        <w:t>Cyble</w:t>
      </w:r>
      <w:proofErr w:type="spellEnd"/>
      <w:r>
        <w:rPr>
          <w:rFonts w:ascii="Times New Roman" w:eastAsia="Times New Roman" w:hAnsi="Times New Roman" w:cs="Times New Roman"/>
        </w:rPr>
        <w:t>. https://cyble.com/knowledge-hub/deepfake-as-a-service-exploded-in-2025/</w:t>
      </w:r>
    </w:p>
    <w:p w14:paraId="1926B9E4"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Dyson, D. (2025). </w:t>
      </w:r>
      <w:r>
        <w:rPr>
          <w:rFonts w:ascii="Times New Roman" w:eastAsia="Times New Roman" w:hAnsi="Times New Roman" w:cs="Times New Roman"/>
          <w:i/>
          <w:iCs/>
        </w:rPr>
        <w:t>LLM Red Teaming: A Guide for AI Security</w:t>
      </w:r>
      <w:r>
        <w:rPr>
          <w:rFonts w:ascii="Times New Roman" w:eastAsia="Times New Roman" w:hAnsi="Times New Roman" w:cs="Times New Roman"/>
        </w:rPr>
        <w:t xml:space="preserve">. </w:t>
      </w:r>
      <w:proofErr w:type="spellStart"/>
      <w:r>
        <w:rPr>
          <w:rFonts w:ascii="Times New Roman" w:eastAsia="Times New Roman" w:hAnsi="Times New Roman" w:cs="Times New Roman"/>
        </w:rPr>
        <w:t>OnSecurity</w:t>
      </w:r>
      <w:proofErr w:type="spellEnd"/>
      <w:r>
        <w:rPr>
          <w:rFonts w:ascii="Times New Roman" w:eastAsia="Times New Roman" w:hAnsi="Times New Roman" w:cs="Times New Roman"/>
        </w:rPr>
        <w:t>. https://onsecurity.io/article/llm-red-teaming-a-guide-for-ai-security/</w:t>
      </w:r>
    </w:p>
    <w:p w14:paraId="7DB62668"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Facia. (2024). </w:t>
      </w:r>
      <w:r>
        <w:rPr>
          <w:rFonts w:ascii="Times New Roman" w:eastAsia="Times New Roman" w:hAnsi="Times New Roman" w:cs="Times New Roman"/>
          <w:i/>
          <w:iCs/>
        </w:rPr>
        <w:t xml:space="preserve">Knowing </w:t>
      </w:r>
      <w:r>
        <w:rPr>
          <w:rFonts w:ascii="Times New Roman" w:eastAsia="Times New Roman" w:hAnsi="Times New Roman" w:cs="Times New Roman"/>
          <w:i/>
          <w:iCs/>
        </w:rPr>
        <w:t>the Equal Error Rate (EER) in Biometrics</w:t>
      </w:r>
      <w:r>
        <w:rPr>
          <w:rFonts w:ascii="Times New Roman" w:eastAsia="Times New Roman" w:hAnsi="Times New Roman" w:cs="Times New Roman"/>
        </w:rPr>
        <w:t>. Facia.ai. https://facia.ai/knowledgebase/knowing-the-equal-error-rate-eer-in-biometrics/</w:t>
      </w:r>
    </w:p>
    <w:p w14:paraId="4FEC6807"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Gipiškis</w:t>
      </w:r>
      <w:proofErr w:type="spellEnd"/>
      <w:r>
        <w:rPr>
          <w:rFonts w:ascii="Times New Roman" w:eastAsia="Times New Roman" w:hAnsi="Times New Roman" w:cs="Times New Roman"/>
        </w:rPr>
        <w:t xml:space="preserve">, R., Joaquin, A. S., Chin, Z. S., </w:t>
      </w:r>
      <w:proofErr w:type="spellStart"/>
      <w:r>
        <w:rPr>
          <w:rFonts w:ascii="Times New Roman" w:eastAsia="Times New Roman" w:hAnsi="Times New Roman" w:cs="Times New Roman"/>
        </w:rPr>
        <w:t>Regenfuß</w:t>
      </w:r>
      <w:proofErr w:type="spellEnd"/>
      <w:r>
        <w:rPr>
          <w:rFonts w:ascii="Times New Roman" w:eastAsia="Times New Roman" w:hAnsi="Times New Roman" w:cs="Times New Roman"/>
        </w:rPr>
        <w:t xml:space="preserve">, A., Gil, A., &amp; </w:t>
      </w:r>
      <w:proofErr w:type="spellStart"/>
      <w:r>
        <w:rPr>
          <w:rFonts w:ascii="Times New Roman" w:eastAsia="Times New Roman" w:hAnsi="Times New Roman" w:cs="Times New Roman"/>
        </w:rPr>
        <w:t>Holtman</w:t>
      </w:r>
      <w:proofErr w:type="spellEnd"/>
      <w:r>
        <w:rPr>
          <w:rFonts w:ascii="Times New Roman" w:eastAsia="Times New Roman" w:hAnsi="Times New Roman" w:cs="Times New Roman"/>
        </w:rPr>
        <w:t>, K. (2024). Risk Sources and Risk Management Meas</w:t>
      </w:r>
      <w:r>
        <w:rPr>
          <w:rFonts w:ascii="Times New Roman" w:eastAsia="Times New Roman" w:hAnsi="Times New Roman" w:cs="Times New Roman"/>
        </w:rPr>
        <w:t xml:space="preserve">ures in Support of Standards for General-Purpose AI Systems.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https://doi.org/10.48550/arxiv.2410.23472</w:t>
      </w:r>
    </w:p>
    <w:p w14:paraId="3B5FC550"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 xml:space="preserve">Herrick, J. (2025). </w:t>
      </w:r>
      <w:r>
        <w:rPr>
          <w:rFonts w:ascii="Times New Roman" w:eastAsia="Times New Roman" w:hAnsi="Times New Roman" w:cs="Times New Roman"/>
          <w:i/>
          <w:iCs/>
        </w:rPr>
        <w:t>How to Detect and Stop Executive Impersonation Attacks</w:t>
      </w:r>
      <w:r>
        <w:rPr>
          <w:rFonts w:ascii="Times New Roman" w:eastAsia="Times New Roman" w:hAnsi="Times New Roman" w:cs="Times New Roman"/>
        </w:rPr>
        <w:t>. Adaptivesecurity.com. https://www.adaptivesecurit</w:t>
      </w:r>
      <w:r>
        <w:rPr>
          <w:rFonts w:ascii="Times New Roman" w:eastAsia="Times New Roman" w:hAnsi="Times New Roman" w:cs="Times New Roman"/>
        </w:rPr>
        <w:t>y.com/blog/ai-executive-impersonation-attacks</w:t>
      </w:r>
    </w:p>
    <w:p w14:paraId="64214FB3"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Identity Management Institute. (2026). </w:t>
      </w:r>
      <w:r>
        <w:rPr>
          <w:rFonts w:ascii="Times New Roman" w:eastAsia="Times New Roman" w:hAnsi="Times New Roman" w:cs="Times New Roman"/>
          <w:i/>
          <w:iCs/>
        </w:rPr>
        <w:t xml:space="preserve">Dynamic Trust Scoring in </w:t>
      </w:r>
      <w:proofErr w:type="gramStart"/>
      <w:r>
        <w:rPr>
          <w:rFonts w:ascii="Times New Roman" w:eastAsia="Times New Roman" w:hAnsi="Times New Roman" w:cs="Times New Roman"/>
          <w:i/>
          <w:iCs/>
        </w:rPr>
        <w:t xml:space="preserve">IAM </w:t>
      </w:r>
      <w:r>
        <w:rPr>
          <w:rFonts w:ascii="Times New Roman" w:eastAsia="Times New Roman" w:hAnsi="Times New Roman" w:cs="Times New Roman"/>
        </w:rPr>
        <w:t>.</w:t>
      </w:r>
      <w:proofErr w:type="gramEnd"/>
      <w:r>
        <w:rPr>
          <w:rFonts w:ascii="Times New Roman" w:eastAsia="Times New Roman" w:hAnsi="Times New Roman" w:cs="Times New Roman"/>
        </w:rPr>
        <w:t xml:space="preserve"> Identity Management Institute®. https://identitymanagementinstitute.org/dynamic-trust-scoring-in-iam/</w:t>
      </w:r>
    </w:p>
    <w:p w14:paraId="6CFB645C"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IS Partners. (2025). </w:t>
      </w:r>
      <w:r>
        <w:rPr>
          <w:rFonts w:ascii="Times New Roman" w:eastAsia="Times New Roman" w:hAnsi="Times New Roman" w:cs="Times New Roman"/>
          <w:i/>
          <w:iCs/>
        </w:rPr>
        <w:t>Core Functions: G</w:t>
      </w:r>
      <w:r>
        <w:rPr>
          <w:rFonts w:ascii="Times New Roman" w:eastAsia="Times New Roman" w:hAnsi="Times New Roman" w:cs="Times New Roman"/>
          <w:i/>
          <w:iCs/>
        </w:rPr>
        <w:t>overn, Map, Measure, Manage</w:t>
      </w:r>
      <w:r>
        <w:rPr>
          <w:rFonts w:ascii="Times New Roman" w:eastAsia="Times New Roman" w:hAnsi="Times New Roman" w:cs="Times New Roman"/>
        </w:rPr>
        <w:t>. I.S. Partners. https://www.ispartnersllc.com/hubs/nist-ai-rmf/core-functions/</w:t>
      </w:r>
    </w:p>
    <w:p w14:paraId="03461191"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Janani, K. (2025). The Human-Machine Identity Blur: A Unified Framework for Cybersecurity Risk Management in 2025.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xml:space="preserve">. </w:t>
      </w:r>
      <w:r>
        <w:rPr>
          <w:rFonts w:ascii="Times New Roman" w:eastAsia="Times New Roman" w:hAnsi="Times New Roman" w:cs="Times New Roman"/>
        </w:rPr>
        <w:t>https://doi.org/10.48550/arxiv.2503.18255</w:t>
      </w:r>
    </w:p>
    <w:p w14:paraId="321C89C5"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Janus Associates. (2026). </w:t>
      </w:r>
      <w:r>
        <w:rPr>
          <w:rFonts w:ascii="Times New Roman" w:eastAsia="Times New Roman" w:hAnsi="Times New Roman" w:cs="Times New Roman"/>
          <w:i/>
          <w:iCs/>
        </w:rPr>
        <w:t>NIST.AI.100-1 AI Risk Management Framework - Cyber Security, Compliance &amp; Privacy Solutions | JANUS Associates | USA</w:t>
      </w:r>
      <w:r>
        <w:rPr>
          <w:rFonts w:ascii="Times New Roman" w:eastAsia="Times New Roman" w:hAnsi="Times New Roman" w:cs="Times New Roman"/>
        </w:rPr>
        <w:t>. Cyber Security, Compliance &amp; Privacy Solutions | JANUS Associates | US</w:t>
      </w:r>
      <w:r>
        <w:rPr>
          <w:rFonts w:ascii="Times New Roman" w:eastAsia="Times New Roman" w:hAnsi="Times New Roman" w:cs="Times New Roman"/>
        </w:rPr>
        <w:t>A. https://janusassociates.com/resources/nist-ai-risk-management-framework/</w:t>
      </w:r>
    </w:p>
    <w:p w14:paraId="0BDE16D9"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Jones, D. (2025). </w:t>
      </w:r>
      <w:r>
        <w:rPr>
          <w:rFonts w:ascii="Times New Roman" w:eastAsia="Times New Roman" w:hAnsi="Times New Roman" w:cs="Times New Roman"/>
          <w:i/>
          <w:iCs/>
        </w:rPr>
        <w:t>Corporate executives face mounting digital threats as AI drives impersonation</w:t>
      </w:r>
      <w:r>
        <w:rPr>
          <w:rFonts w:ascii="Times New Roman" w:eastAsia="Times New Roman" w:hAnsi="Times New Roman" w:cs="Times New Roman"/>
        </w:rPr>
        <w:t>. Cybersecurity Dive. https://www.cybersecuritydive.com/news/corporate-executives-thr</w:t>
      </w:r>
      <w:r>
        <w:rPr>
          <w:rFonts w:ascii="Times New Roman" w:eastAsia="Times New Roman" w:hAnsi="Times New Roman" w:cs="Times New Roman"/>
        </w:rPr>
        <w:t>eats-ai-impersonation/750064/</w:t>
      </w:r>
    </w:p>
    <w:p w14:paraId="621F49DD"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Khalil, M. (2025). </w:t>
      </w:r>
      <w:proofErr w:type="spellStart"/>
      <w:r>
        <w:rPr>
          <w:rFonts w:ascii="Times New Roman" w:eastAsia="Times New Roman" w:hAnsi="Times New Roman" w:cs="Times New Roman"/>
          <w:i/>
          <w:iCs/>
        </w:rPr>
        <w:t>Deepfake</w:t>
      </w:r>
      <w:proofErr w:type="spellEnd"/>
      <w:r>
        <w:rPr>
          <w:rFonts w:ascii="Times New Roman" w:eastAsia="Times New Roman" w:hAnsi="Times New Roman" w:cs="Times New Roman"/>
          <w:i/>
          <w:iCs/>
        </w:rPr>
        <w:t xml:space="preserve"> Statistics 2025: AI Fraud Data &amp; Trends</w:t>
      </w:r>
      <w:r>
        <w:rPr>
          <w:rFonts w:ascii="Times New Roman" w:eastAsia="Times New Roman" w:hAnsi="Times New Roman" w:cs="Times New Roman"/>
        </w:rPr>
        <w:t xml:space="preserve">. </w:t>
      </w:r>
      <w:proofErr w:type="spellStart"/>
      <w:r>
        <w:rPr>
          <w:rFonts w:ascii="Times New Roman" w:eastAsia="Times New Roman" w:hAnsi="Times New Roman" w:cs="Times New Roman"/>
        </w:rPr>
        <w:t>DeepStrike</w:t>
      </w:r>
      <w:proofErr w:type="spellEnd"/>
      <w:r>
        <w:rPr>
          <w:rFonts w:ascii="Times New Roman" w:eastAsia="Times New Roman" w:hAnsi="Times New Roman" w:cs="Times New Roman"/>
        </w:rPr>
        <w:t>. https://deepstrike.io/blog/deepfake-statistics-2025</w:t>
      </w:r>
    </w:p>
    <w:p w14:paraId="6561849D"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Killourhy</w:t>
      </w:r>
      <w:proofErr w:type="spellEnd"/>
      <w:r>
        <w:rPr>
          <w:rFonts w:ascii="Times New Roman" w:eastAsia="Times New Roman" w:hAnsi="Times New Roman" w:cs="Times New Roman"/>
        </w:rPr>
        <w:t xml:space="preserve">, K. S., &amp; </w:t>
      </w:r>
      <w:proofErr w:type="spellStart"/>
      <w:r>
        <w:rPr>
          <w:rFonts w:ascii="Times New Roman" w:eastAsia="Times New Roman" w:hAnsi="Times New Roman" w:cs="Times New Roman"/>
        </w:rPr>
        <w:t>Maxion</w:t>
      </w:r>
      <w:proofErr w:type="spellEnd"/>
      <w:r>
        <w:rPr>
          <w:rFonts w:ascii="Times New Roman" w:eastAsia="Times New Roman" w:hAnsi="Times New Roman" w:cs="Times New Roman"/>
        </w:rPr>
        <w:t>, R. A. (2009). Comparing anomaly-detection algorithms for keystrok</w:t>
      </w:r>
      <w:r>
        <w:rPr>
          <w:rFonts w:ascii="Times New Roman" w:eastAsia="Times New Roman" w:hAnsi="Times New Roman" w:cs="Times New Roman"/>
        </w:rPr>
        <w:t xml:space="preserve">e dynamics. </w:t>
      </w:r>
      <w:r>
        <w:rPr>
          <w:rFonts w:ascii="Times New Roman" w:eastAsia="Times New Roman" w:hAnsi="Times New Roman" w:cs="Times New Roman"/>
          <w:i/>
          <w:iCs/>
        </w:rPr>
        <w:t>2009 IEEE/IFIP International Conference on Dependable Systems &amp; Networks</w:t>
      </w:r>
      <w:r>
        <w:rPr>
          <w:rFonts w:ascii="Times New Roman" w:eastAsia="Times New Roman" w:hAnsi="Times New Roman" w:cs="Times New Roman"/>
        </w:rPr>
        <w:t>. https://doi.org/10.1109/dsn.2009.5270346</w:t>
      </w:r>
    </w:p>
    <w:p w14:paraId="6929795D"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Kim, Y., Kwon, N., &amp; Shin, D. (2025). </w:t>
      </w:r>
      <w:proofErr w:type="spellStart"/>
      <w:r>
        <w:rPr>
          <w:rFonts w:ascii="Times New Roman" w:eastAsia="Times New Roman" w:hAnsi="Times New Roman" w:cs="Times New Roman"/>
        </w:rPr>
        <w:t>KDPrint</w:t>
      </w:r>
      <w:proofErr w:type="spellEnd"/>
      <w:r>
        <w:rPr>
          <w:rFonts w:ascii="Times New Roman" w:eastAsia="Times New Roman" w:hAnsi="Times New Roman" w:cs="Times New Roman"/>
        </w:rPr>
        <w:t>: Passive authentication using keystroke dynamics-to-image encoding via standardizat</w:t>
      </w:r>
      <w:r>
        <w:rPr>
          <w:rFonts w:ascii="Times New Roman" w:eastAsia="Times New Roman" w:hAnsi="Times New Roman" w:cs="Times New Roman"/>
        </w:rPr>
        <w:t xml:space="preserve">ion. </w:t>
      </w:r>
      <w:r>
        <w:rPr>
          <w:rFonts w:ascii="Times New Roman" w:eastAsia="Times New Roman" w:hAnsi="Times New Roman" w:cs="Times New Roman"/>
          <w:i/>
          <w:iCs/>
        </w:rPr>
        <w:t>Computers &amp; Security</w:t>
      </w:r>
      <w:r>
        <w:rPr>
          <w:rFonts w:ascii="Times New Roman" w:eastAsia="Times New Roman" w:hAnsi="Times New Roman" w:cs="Times New Roman"/>
        </w:rPr>
        <w:t xml:space="preserve">, </w:t>
      </w:r>
      <w:r>
        <w:rPr>
          <w:rFonts w:ascii="Times New Roman" w:eastAsia="Times New Roman" w:hAnsi="Times New Roman" w:cs="Times New Roman"/>
          <w:i/>
          <w:iCs/>
        </w:rPr>
        <w:t>160</w:t>
      </w:r>
      <w:r>
        <w:rPr>
          <w:rFonts w:ascii="Times New Roman" w:eastAsia="Times New Roman" w:hAnsi="Times New Roman" w:cs="Times New Roman"/>
        </w:rPr>
        <w:t>, 104725. https://doi.org/10.1016/j.cose.2025.104725</w:t>
      </w:r>
    </w:p>
    <w:p w14:paraId="7721C810"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LaCroix, K. (2025). </w:t>
      </w:r>
      <w:r>
        <w:rPr>
          <w:rFonts w:ascii="Times New Roman" w:eastAsia="Times New Roman" w:hAnsi="Times New Roman" w:cs="Times New Roman"/>
          <w:i/>
          <w:iCs/>
        </w:rPr>
        <w:t xml:space="preserve">The Growing Threat of AI </w:t>
      </w:r>
      <w:proofErr w:type="spellStart"/>
      <w:r>
        <w:rPr>
          <w:rFonts w:ascii="Times New Roman" w:eastAsia="Times New Roman" w:hAnsi="Times New Roman" w:cs="Times New Roman"/>
          <w:i/>
          <w:iCs/>
        </w:rPr>
        <w:t>Deepfake</w:t>
      </w:r>
      <w:proofErr w:type="spellEnd"/>
      <w:r>
        <w:rPr>
          <w:rFonts w:ascii="Times New Roman" w:eastAsia="Times New Roman" w:hAnsi="Times New Roman" w:cs="Times New Roman"/>
          <w:i/>
          <w:iCs/>
        </w:rPr>
        <w:t xml:space="preserve"> Attacks</w:t>
      </w:r>
      <w:r>
        <w:rPr>
          <w:rFonts w:ascii="Times New Roman" w:eastAsia="Times New Roman" w:hAnsi="Times New Roman" w:cs="Times New Roman"/>
        </w:rPr>
        <w:t>. The D&amp;O Diary. https://www.dandodiary.com/2025/08/articles/cyber-liability/the-growing-threat-of-ai-deepfake-a</w:t>
      </w:r>
      <w:r>
        <w:rPr>
          <w:rFonts w:ascii="Times New Roman" w:eastAsia="Times New Roman" w:hAnsi="Times New Roman" w:cs="Times New Roman"/>
        </w:rPr>
        <w:t>ttacks/</w:t>
      </w:r>
    </w:p>
    <w:p w14:paraId="66050180"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 R., Wang, P., Ma, J., Zhang, D., Sha, L., &amp; Sui, Z. (2025). Be a Multitude to Itself: A Prompt Evolution Framework for Red Teaming.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https://doi.org/10.48550/arxiv.2502.16109</w:t>
      </w:r>
    </w:p>
    <w:p w14:paraId="691776B8"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Liu, F. T., Ting, K. M., &amp; Zhou, Z.-H. (2008). Isolation Forest. </w:t>
      </w:r>
      <w:r>
        <w:rPr>
          <w:rFonts w:ascii="Times New Roman" w:eastAsia="Times New Roman" w:hAnsi="Times New Roman" w:cs="Times New Roman"/>
          <w:i/>
          <w:iCs/>
        </w:rPr>
        <w:t>2008 Eighth IEEE International Conference on Data Mining</w:t>
      </w:r>
      <w:r>
        <w:rPr>
          <w:rFonts w:ascii="Times New Roman" w:eastAsia="Times New Roman" w:hAnsi="Times New Roman" w:cs="Times New Roman"/>
        </w:rPr>
        <w:t>. https://doi.org/10.1109/icdm.2008.17</w:t>
      </w:r>
    </w:p>
    <w:p w14:paraId="44326E46"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Mäntymäki</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Minkkinen</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Birkstedt</w:t>
      </w:r>
      <w:proofErr w:type="spellEnd"/>
      <w:r>
        <w:rPr>
          <w:rFonts w:ascii="Times New Roman" w:eastAsia="Times New Roman" w:hAnsi="Times New Roman" w:cs="Times New Roman"/>
        </w:rPr>
        <w:t xml:space="preserve">, T., &amp; </w:t>
      </w:r>
      <w:proofErr w:type="spellStart"/>
      <w:r>
        <w:rPr>
          <w:rFonts w:ascii="Times New Roman" w:eastAsia="Times New Roman" w:hAnsi="Times New Roman" w:cs="Times New Roman"/>
        </w:rPr>
        <w:t>Viljanen</w:t>
      </w:r>
      <w:proofErr w:type="spellEnd"/>
      <w:r>
        <w:rPr>
          <w:rFonts w:ascii="Times New Roman" w:eastAsia="Times New Roman" w:hAnsi="Times New Roman" w:cs="Times New Roman"/>
        </w:rPr>
        <w:t>, M. (2022). Putting AI Ethics into Pract</w:t>
      </w:r>
      <w:r>
        <w:rPr>
          <w:rFonts w:ascii="Times New Roman" w:eastAsia="Times New Roman" w:hAnsi="Times New Roman" w:cs="Times New Roman"/>
        </w:rPr>
        <w:t xml:space="preserve">ice: The Hourglass Model of Organizational AI Governance.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Preprint</w:t>
      </w:r>
      <w:r>
        <w:rPr>
          <w:rFonts w:ascii="Times New Roman" w:eastAsia="Times New Roman" w:hAnsi="Times New Roman" w:cs="Times New Roman"/>
        </w:rPr>
        <w:t>. https://doi.org/10.48550/arxiv.2206.00335</w:t>
      </w:r>
    </w:p>
    <w:p w14:paraId="5DBD4FD1"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Meimandi</w:t>
      </w:r>
      <w:proofErr w:type="spellEnd"/>
      <w:r>
        <w:rPr>
          <w:rFonts w:ascii="Times New Roman" w:eastAsia="Times New Roman" w:hAnsi="Times New Roman" w:cs="Times New Roman"/>
        </w:rPr>
        <w:t xml:space="preserve">, K. J., Reuel, A., </w:t>
      </w:r>
      <w:proofErr w:type="spellStart"/>
      <w:r>
        <w:rPr>
          <w:rFonts w:ascii="Times New Roman" w:eastAsia="Times New Roman" w:hAnsi="Times New Roman" w:cs="Times New Roman"/>
        </w:rPr>
        <w:t>Aranguiz</w:t>
      </w:r>
      <w:proofErr w:type="spellEnd"/>
      <w:r>
        <w:rPr>
          <w:rFonts w:ascii="Times New Roman" w:eastAsia="Times New Roman" w:hAnsi="Times New Roman" w:cs="Times New Roman"/>
        </w:rPr>
        <w:t xml:space="preserve">-Dias, G., </w:t>
      </w:r>
      <w:proofErr w:type="spellStart"/>
      <w:r>
        <w:rPr>
          <w:rFonts w:ascii="Times New Roman" w:eastAsia="Times New Roman" w:hAnsi="Times New Roman" w:cs="Times New Roman"/>
        </w:rPr>
        <w:t>Rahama</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Ayadi</w:t>
      </w:r>
      <w:proofErr w:type="spellEnd"/>
      <w:r>
        <w:rPr>
          <w:rFonts w:ascii="Times New Roman" w:eastAsia="Times New Roman" w:hAnsi="Times New Roman" w:cs="Times New Roman"/>
        </w:rPr>
        <w:t xml:space="preserve">, A.-E., </w:t>
      </w:r>
      <w:proofErr w:type="spellStart"/>
      <w:r>
        <w:rPr>
          <w:rFonts w:ascii="Times New Roman" w:eastAsia="Times New Roman" w:hAnsi="Times New Roman" w:cs="Times New Roman"/>
        </w:rPr>
        <w:t>Boullier</w:t>
      </w:r>
      <w:proofErr w:type="spellEnd"/>
      <w:r>
        <w:rPr>
          <w:rFonts w:ascii="Times New Roman" w:eastAsia="Times New Roman" w:hAnsi="Times New Roman" w:cs="Times New Roman"/>
        </w:rPr>
        <w:t xml:space="preserve">, X., </w:t>
      </w:r>
      <w:proofErr w:type="spellStart"/>
      <w:r>
        <w:rPr>
          <w:rFonts w:ascii="Times New Roman" w:eastAsia="Times New Roman" w:hAnsi="Times New Roman" w:cs="Times New Roman"/>
        </w:rPr>
        <w:t>Verdo</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Montanie</w:t>
      </w:r>
      <w:proofErr w:type="spellEnd"/>
      <w:r>
        <w:rPr>
          <w:rFonts w:ascii="Times New Roman" w:eastAsia="Times New Roman" w:hAnsi="Times New Roman" w:cs="Times New Roman"/>
        </w:rPr>
        <w:t xml:space="preserve">, L., &amp; </w:t>
      </w:r>
      <w:proofErr w:type="spellStart"/>
      <w:r>
        <w:rPr>
          <w:rFonts w:ascii="Times New Roman" w:eastAsia="Times New Roman" w:hAnsi="Times New Roman" w:cs="Times New Roman"/>
        </w:rPr>
        <w:t>Kochenderfer</w:t>
      </w:r>
      <w:proofErr w:type="spellEnd"/>
      <w:r>
        <w:rPr>
          <w:rFonts w:ascii="Times New Roman" w:eastAsia="Times New Roman" w:hAnsi="Times New Roman" w:cs="Times New Roman"/>
        </w:rPr>
        <w:t>, M. (2025). A</w:t>
      </w:r>
      <w:r>
        <w:rPr>
          <w:rFonts w:ascii="Times New Roman" w:eastAsia="Times New Roman" w:hAnsi="Times New Roman" w:cs="Times New Roman"/>
        </w:rPr>
        <w:t xml:space="preserve">n Adaptive Responsible AI Governance Framework for Decentralized Organizations. </w:t>
      </w:r>
      <w:r>
        <w:rPr>
          <w:rFonts w:ascii="Times New Roman" w:eastAsia="Times New Roman" w:hAnsi="Times New Roman" w:cs="Times New Roman"/>
          <w:i/>
          <w:iCs/>
        </w:rPr>
        <w:t>Proceedings of the AAAI/ACM Conference on AI, Ethics, and Society</w:t>
      </w:r>
      <w:r>
        <w:rPr>
          <w:rFonts w:ascii="Times New Roman" w:eastAsia="Times New Roman" w:hAnsi="Times New Roman" w:cs="Times New Roman"/>
        </w:rPr>
        <w:t xml:space="preserve">, </w:t>
      </w:r>
      <w:r>
        <w:rPr>
          <w:rFonts w:ascii="Times New Roman" w:eastAsia="Times New Roman" w:hAnsi="Times New Roman" w:cs="Times New Roman"/>
          <w:i/>
          <w:iCs/>
        </w:rPr>
        <w:t>8</w:t>
      </w:r>
      <w:r>
        <w:rPr>
          <w:rFonts w:ascii="Times New Roman" w:eastAsia="Times New Roman" w:hAnsi="Times New Roman" w:cs="Times New Roman"/>
        </w:rPr>
        <w:t>(2), 1324–1334. https://doi.org/10.1609/aies.v8i2.36633</w:t>
      </w:r>
    </w:p>
    <w:p w14:paraId="42ABDD57"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Mendelson, M. J., </w:t>
      </w:r>
      <w:proofErr w:type="spellStart"/>
      <w:r>
        <w:rPr>
          <w:rFonts w:ascii="Times New Roman" w:eastAsia="Times New Roman" w:hAnsi="Times New Roman" w:cs="Times New Roman"/>
        </w:rPr>
        <w:t>Azabou</w:t>
      </w:r>
      <w:proofErr w:type="spellEnd"/>
      <w:r>
        <w:rPr>
          <w:rFonts w:ascii="Times New Roman" w:eastAsia="Times New Roman" w:hAnsi="Times New Roman" w:cs="Times New Roman"/>
        </w:rPr>
        <w:t>, M., Jacob, S., Grissom, N.</w:t>
      </w:r>
      <w:r>
        <w:rPr>
          <w:rFonts w:ascii="Times New Roman" w:eastAsia="Times New Roman" w:hAnsi="Times New Roman" w:cs="Times New Roman"/>
        </w:rPr>
        <w:t xml:space="preserve">, Darrow, D., </w:t>
      </w:r>
      <w:proofErr w:type="spellStart"/>
      <w:r>
        <w:rPr>
          <w:rFonts w:ascii="Times New Roman" w:eastAsia="Times New Roman" w:hAnsi="Times New Roman" w:cs="Times New Roman"/>
        </w:rPr>
        <w:t>Ebitz</w:t>
      </w:r>
      <w:proofErr w:type="spellEnd"/>
      <w:r>
        <w:rPr>
          <w:rFonts w:ascii="Times New Roman" w:eastAsia="Times New Roman" w:hAnsi="Times New Roman" w:cs="Times New Roman"/>
        </w:rPr>
        <w:t xml:space="preserve">, B., Herman, A., &amp; Dyer, E. L. (2023). Learning signatures of decision making from many individuals playing the same game. </w:t>
      </w:r>
      <w:r>
        <w:rPr>
          <w:rFonts w:ascii="Times New Roman" w:eastAsia="Times New Roman" w:hAnsi="Times New Roman" w:cs="Times New Roman"/>
          <w:i/>
          <w:iCs/>
        </w:rPr>
        <w:t>PubMed</w:t>
      </w:r>
      <w:r>
        <w:rPr>
          <w:rFonts w:ascii="Times New Roman" w:eastAsia="Times New Roman" w:hAnsi="Times New Roman" w:cs="Times New Roman"/>
        </w:rPr>
        <w:t xml:space="preserve">, </w:t>
      </w:r>
      <w:r>
        <w:rPr>
          <w:rFonts w:ascii="Times New Roman" w:eastAsia="Times New Roman" w:hAnsi="Times New Roman" w:cs="Times New Roman"/>
          <w:i/>
          <w:iCs/>
        </w:rPr>
        <w:t>2023</w:t>
      </w:r>
      <w:r>
        <w:rPr>
          <w:rFonts w:ascii="Times New Roman" w:eastAsia="Times New Roman" w:hAnsi="Times New Roman" w:cs="Times New Roman"/>
        </w:rPr>
        <w:t>, 1–5. https://doi.org/10.1109/ner52421.2023.10123846</w:t>
      </w:r>
    </w:p>
    <w:p w14:paraId="56573955"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ModelOp</w:t>
      </w:r>
      <w:proofErr w:type="spellEnd"/>
      <w:r>
        <w:rPr>
          <w:rFonts w:ascii="Times New Roman" w:eastAsia="Times New Roman" w:hAnsi="Times New Roman" w:cs="Times New Roman"/>
        </w:rPr>
        <w:t xml:space="preserve">. (2023). </w:t>
      </w:r>
      <w:r>
        <w:rPr>
          <w:rFonts w:ascii="Times New Roman" w:eastAsia="Times New Roman" w:hAnsi="Times New Roman" w:cs="Times New Roman"/>
          <w:i/>
          <w:iCs/>
        </w:rPr>
        <w:t>NIST AI RMF</w:t>
      </w:r>
      <w:r>
        <w:rPr>
          <w:rFonts w:ascii="Times New Roman" w:eastAsia="Times New Roman" w:hAnsi="Times New Roman" w:cs="Times New Roman"/>
        </w:rPr>
        <w:t>. Modelop.com. http</w:t>
      </w:r>
      <w:r>
        <w:rPr>
          <w:rFonts w:ascii="Times New Roman" w:eastAsia="Times New Roman" w:hAnsi="Times New Roman" w:cs="Times New Roman"/>
        </w:rPr>
        <w:t>s://www.modelop.com/ai-governance/ai-regulations-standards/nist-ai-rmf</w:t>
      </w:r>
    </w:p>
    <w:p w14:paraId="6B3F4CD7"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NIST. (2023). AI Risk Management Framework. </w:t>
      </w:r>
      <w:r>
        <w:rPr>
          <w:rFonts w:ascii="Times New Roman" w:eastAsia="Times New Roman" w:hAnsi="Times New Roman" w:cs="Times New Roman"/>
          <w:i/>
          <w:iCs/>
        </w:rPr>
        <w:t>Artificial Intelligence Risk Management Framework (AI RMF 1.0)</w:t>
      </w:r>
      <w:r>
        <w:rPr>
          <w:rFonts w:ascii="Times New Roman" w:eastAsia="Times New Roman" w:hAnsi="Times New Roman" w:cs="Times New Roman"/>
        </w:rPr>
        <w:t xml:space="preserve">, </w:t>
      </w:r>
      <w:r>
        <w:rPr>
          <w:rFonts w:ascii="Times New Roman" w:eastAsia="Times New Roman" w:hAnsi="Times New Roman" w:cs="Times New Roman"/>
          <w:i/>
          <w:iCs/>
        </w:rPr>
        <w:t>1</w:t>
      </w:r>
      <w:r>
        <w:rPr>
          <w:rFonts w:ascii="Times New Roman" w:eastAsia="Times New Roman" w:hAnsi="Times New Roman" w:cs="Times New Roman"/>
        </w:rPr>
        <w:t>(1). https://doi.org/10.6028/nist.ai.100-1</w:t>
      </w:r>
    </w:p>
    <w:p w14:paraId="7673C193"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Ogunlade</w:t>
      </w:r>
      <w:proofErr w:type="spellEnd"/>
      <w:r>
        <w:rPr>
          <w:rFonts w:ascii="Times New Roman" w:eastAsia="Times New Roman" w:hAnsi="Times New Roman" w:cs="Times New Roman"/>
        </w:rPr>
        <w:t>, O. T. (2025). Role of A</w:t>
      </w:r>
      <w:r>
        <w:rPr>
          <w:rFonts w:ascii="Times New Roman" w:eastAsia="Times New Roman" w:hAnsi="Times New Roman" w:cs="Times New Roman"/>
        </w:rPr>
        <w:t xml:space="preserve">rtificial Intelligence in the Detection of Social Engineering Attacks. </w:t>
      </w:r>
      <w:r>
        <w:rPr>
          <w:rFonts w:ascii="Times New Roman" w:eastAsia="Times New Roman" w:hAnsi="Times New Roman" w:cs="Times New Roman"/>
          <w:i/>
          <w:iCs/>
        </w:rPr>
        <w:t>European Journal of Technology</w:t>
      </w:r>
      <w:r>
        <w:rPr>
          <w:rFonts w:ascii="Times New Roman" w:eastAsia="Times New Roman" w:hAnsi="Times New Roman" w:cs="Times New Roman"/>
        </w:rPr>
        <w:t xml:space="preserve">, </w:t>
      </w:r>
      <w:r>
        <w:rPr>
          <w:rFonts w:ascii="Times New Roman" w:eastAsia="Times New Roman" w:hAnsi="Times New Roman" w:cs="Times New Roman"/>
          <w:i/>
          <w:iCs/>
        </w:rPr>
        <w:t>9</w:t>
      </w:r>
      <w:r>
        <w:rPr>
          <w:rFonts w:ascii="Times New Roman" w:eastAsia="Times New Roman" w:hAnsi="Times New Roman" w:cs="Times New Roman"/>
        </w:rPr>
        <w:t>(1), 86–97. https://doi.org/10.47672/ejt.2790</w:t>
      </w:r>
    </w:p>
    <w:p w14:paraId="51D60CC7"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Premsai</w:t>
      </w:r>
      <w:proofErr w:type="spellEnd"/>
      <w:r>
        <w:rPr>
          <w:rFonts w:ascii="Times New Roman" w:eastAsia="Times New Roman" w:hAnsi="Times New Roman" w:cs="Times New Roman"/>
        </w:rPr>
        <w:t xml:space="preserve">, R. (2024). Cybersecurity Risks in Identity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Access Management Using An Adaptive trust Authenti</w:t>
      </w:r>
      <w:r>
        <w:rPr>
          <w:rFonts w:ascii="Times New Roman" w:eastAsia="Times New Roman" w:hAnsi="Times New Roman" w:cs="Times New Roman"/>
        </w:rPr>
        <w:t xml:space="preserve">cate Protocol. </w:t>
      </w:r>
      <w:r>
        <w:rPr>
          <w:rFonts w:ascii="Times New Roman" w:eastAsia="Times New Roman" w:hAnsi="Times New Roman" w:cs="Times New Roman"/>
          <w:i/>
          <w:iCs/>
        </w:rPr>
        <w:t>INTERANTIONAL JOURNAL of SCIENTIFIC RESEARCH in ENGINEERING and MANAGEMENT</w:t>
      </w:r>
      <w:r>
        <w:rPr>
          <w:rFonts w:ascii="Times New Roman" w:eastAsia="Times New Roman" w:hAnsi="Times New Roman" w:cs="Times New Roman"/>
        </w:rPr>
        <w:t xml:space="preserve">, </w:t>
      </w:r>
      <w:r>
        <w:rPr>
          <w:rFonts w:ascii="Times New Roman" w:eastAsia="Times New Roman" w:hAnsi="Times New Roman" w:cs="Times New Roman"/>
          <w:i/>
          <w:iCs/>
        </w:rPr>
        <w:t>08</w:t>
      </w:r>
      <w:r>
        <w:rPr>
          <w:rFonts w:ascii="Times New Roman" w:eastAsia="Times New Roman" w:hAnsi="Times New Roman" w:cs="Times New Roman"/>
        </w:rPr>
        <w:t>(12), 1–5. https://doi.org/10.55041/ijsrem25645</w:t>
      </w:r>
    </w:p>
    <w:p w14:paraId="1BB5092F"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Rodriguez, M., Popa, R. A., Flynn, F., Liang, L., &amp; Wang, A. (2025). </w:t>
      </w:r>
      <w:r>
        <w:rPr>
          <w:rFonts w:ascii="Times New Roman" w:eastAsia="Times New Roman" w:hAnsi="Times New Roman" w:cs="Times New Roman"/>
          <w:i/>
          <w:iCs/>
        </w:rPr>
        <w:t>A Framework for Evaluating Emerging Cyberattac</w:t>
      </w:r>
      <w:r>
        <w:rPr>
          <w:rFonts w:ascii="Times New Roman" w:eastAsia="Times New Roman" w:hAnsi="Times New Roman" w:cs="Times New Roman"/>
          <w:i/>
          <w:iCs/>
        </w:rPr>
        <w:t>k Capabilities of AI</w:t>
      </w:r>
      <w:r>
        <w:rPr>
          <w:rFonts w:ascii="Times New Roman" w:eastAsia="Times New Roman" w:hAnsi="Times New Roman" w:cs="Times New Roman"/>
        </w:rPr>
        <w:t>. https://doi.org/10.48550/arXiv.2503.11917</w:t>
      </w:r>
    </w:p>
    <w:p w14:paraId="0B2E1037"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Saevanee</w:t>
      </w:r>
      <w:proofErr w:type="spellEnd"/>
      <w:r>
        <w:rPr>
          <w:rFonts w:ascii="Times New Roman" w:eastAsia="Times New Roman" w:hAnsi="Times New Roman" w:cs="Times New Roman"/>
        </w:rPr>
        <w:t xml:space="preserve">, H., Clarke, N., </w:t>
      </w:r>
      <w:proofErr w:type="spellStart"/>
      <w:r>
        <w:rPr>
          <w:rFonts w:ascii="Times New Roman" w:eastAsia="Times New Roman" w:hAnsi="Times New Roman" w:cs="Times New Roman"/>
        </w:rPr>
        <w:t>Furnell</w:t>
      </w:r>
      <w:proofErr w:type="spellEnd"/>
      <w:r>
        <w:rPr>
          <w:rFonts w:ascii="Times New Roman" w:eastAsia="Times New Roman" w:hAnsi="Times New Roman" w:cs="Times New Roman"/>
        </w:rPr>
        <w:t xml:space="preserve">, S., &amp; </w:t>
      </w:r>
      <w:proofErr w:type="spellStart"/>
      <w:r>
        <w:rPr>
          <w:rFonts w:ascii="Times New Roman" w:eastAsia="Times New Roman" w:hAnsi="Times New Roman" w:cs="Times New Roman"/>
        </w:rPr>
        <w:t>Biscione</w:t>
      </w:r>
      <w:proofErr w:type="spellEnd"/>
      <w:r>
        <w:rPr>
          <w:rFonts w:ascii="Times New Roman" w:eastAsia="Times New Roman" w:hAnsi="Times New Roman" w:cs="Times New Roman"/>
        </w:rPr>
        <w:t xml:space="preserve">, V. (2015). Continuous user authentication using multi-modal biometrics. </w:t>
      </w:r>
      <w:r>
        <w:rPr>
          <w:rFonts w:ascii="Times New Roman" w:eastAsia="Times New Roman" w:hAnsi="Times New Roman" w:cs="Times New Roman"/>
          <w:i/>
          <w:iCs/>
        </w:rPr>
        <w:t>Computers &amp; Security</w:t>
      </w:r>
      <w:r>
        <w:rPr>
          <w:rFonts w:ascii="Times New Roman" w:eastAsia="Times New Roman" w:hAnsi="Times New Roman" w:cs="Times New Roman"/>
        </w:rPr>
        <w:t xml:space="preserve">, </w:t>
      </w:r>
      <w:r>
        <w:rPr>
          <w:rFonts w:ascii="Times New Roman" w:eastAsia="Times New Roman" w:hAnsi="Times New Roman" w:cs="Times New Roman"/>
          <w:i/>
          <w:iCs/>
        </w:rPr>
        <w:t>53</w:t>
      </w:r>
      <w:r>
        <w:rPr>
          <w:rFonts w:ascii="Times New Roman" w:eastAsia="Times New Roman" w:hAnsi="Times New Roman" w:cs="Times New Roman"/>
        </w:rPr>
        <w:t>, 234–246. https://doi.org/10.1016/j.cose.201</w:t>
      </w:r>
      <w:r>
        <w:rPr>
          <w:rFonts w:ascii="Times New Roman" w:eastAsia="Times New Roman" w:hAnsi="Times New Roman" w:cs="Times New Roman"/>
        </w:rPr>
        <w:t>5.06.001</w:t>
      </w:r>
    </w:p>
    <w:p w14:paraId="0130D40B"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Shrivastava, A., &amp; </w:t>
      </w:r>
      <w:proofErr w:type="spellStart"/>
      <w:r>
        <w:rPr>
          <w:rFonts w:ascii="Times New Roman" w:eastAsia="Times New Roman" w:hAnsi="Times New Roman" w:cs="Times New Roman"/>
        </w:rPr>
        <w:t>Bollavarapu</w:t>
      </w:r>
      <w:proofErr w:type="spellEnd"/>
      <w:r>
        <w:rPr>
          <w:rFonts w:ascii="Times New Roman" w:eastAsia="Times New Roman" w:hAnsi="Times New Roman" w:cs="Times New Roman"/>
        </w:rPr>
        <w:t xml:space="preserve">, S. (2025). Exploring Keystroke Dynamics: Enhancing Authentication Through Typing Patterns. </w:t>
      </w:r>
      <w:r>
        <w:rPr>
          <w:rFonts w:ascii="Times New Roman" w:eastAsia="Times New Roman" w:hAnsi="Times New Roman" w:cs="Times New Roman"/>
          <w:i/>
          <w:iCs/>
        </w:rPr>
        <w:t>Advances in Computer Science Research</w:t>
      </w:r>
      <w:r>
        <w:rPr>
          <w:rFonts w:ascii="Times New Roman" w:eastAsia="Times New Roman" w:hAnsi="Times New Roman" w:cs="Times New Roman"/>
        </w:rPr>
        <w:t>, 3127–3140. https://doi.org/10.2991/978-94-6463-858-5_261</w:t>
      </w:r>
    </w:p>
    <w:p w14:paraId="4943571A"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Tabassum, M., Mahmood, S., Bukhari, A., </w:t>
      </w:r>
      <w:proofErr w:type="spellStart"/>
      <w:r>
        <w:rPr>
          <w:rFonts w:ascii="Times New Roman" w:eastAsia="Times New Roman" w:hAnsi="Times New Roman" w:cs="Times New Roman"/>
        </w:rPr>
        <w:t>Alshemaimri</w:t>
      </w:r>
      <w:proofErr w:type="spellEnd"/>
      <w:r>
        <w:rPr>
          <w:rFonts w:ascii="Times New Roman" w:eastAsia="Times New Roman" w:hAnsi="Times New Roman" w:cs="Times New Roman"/>
        </w:rPr>
        <w:t xml:space="preserve">, B., </w:t>
      </w:r>
      <w:proofErr w:type="spellStart"/>
      <w:r>
        <w:rPr>
          <w:rFonts w:ascii="Times New Roman" w:eastAsia="Times New Roman" w:hAnsi="Times New Roman" w:cs="Times New Roman"/>
        </w:rPr>
        <w:t>Daud</w:t>
      </w:r>
      <w:proofErr w:type="spellEnd"/>
      <w:r>
        <w:rPr>
          <w:rFonts w:ascii="Times New Roman" w:eastAsia="Times New Roman" w:hAnsi="Times New Roman" w:cs="Times New Roman"/>
        </w:rPr>
        <w:t xml:space="preserve">, A., &amp; </w:t>
      </w:r>
      <w:proofErr w:type="spellStart"/>
      <w:r>
        <w:rPr>
          <w:rFonts w:ascii="Times New Roman" w:eastAsia="Times New Roman" w:hAnsi="Times New Roman" w:cs="Times New Roman"/>
        </w:rPr>
        <w:t>Khalique</w:t>
      </w:r>
      <w:proofErr w:type="spellEnd"/>
      <w:r>
        <w:rPr>
          <w:rFonts w:ascii="Times New Roman" w:eastAsia="Times New Roman" w:hAnsi="Times New Roman" w:cs="Times New Roman"/>
        </w:rPr>
        <w:t xml:space="preserve">, F. (2024). Anomaly-based threat detection in smart health using machine learning. </w:t>
      </w:r>
      <w:r>
        <w:rPr>
          <w:rFonts w:ascii="Times New Roman" w:eastAsia="Times New Roman" w:hAnsi="Times New Roman" w:cs="Times New Roman"/>
          <w:i/>
          <w:iCs/>
        </w:rPr>
        <w:t>BMC Medical Informatics and Decision Making</w:t>
      </w:r>
      <w:r>
        <w:rPr>
          <w:rFonts w:ascii="Times New Roman" w:eastAsia="Times New Roman" w:hAnsi="Times New Roman" w:cs="Times New Roman"/>
        </w:rPr>
        <w:t xml:space="preserve">, </w:t>
      </w:r>
      <w:r>
        <w:rPr>
          <w:rFonts w:ascii="Times New Roman" w:eastAsia="Times New Roman" w:hAnsi="Times New Roman" w:cs="Times New Roman"/>
          <w:i/>
          <w:iCs/>
        </w:rPr>
        <w:t>24</w:t>
      </w:r>
      <w:r>
        <w:rPr>
          <w:rFonts w:ascii="Times New Roman" w:eastAsia="Times New Roman" w:hAnsi="Times New Roman" w:cs="Times New Roman"/>
        </w:rPr>
        <w:t>(1), 347. https://doi.org/10.1186/s12911-024-027</w:t>
      </w:r>
      <w:r>
        <w:rPr>
          <w:rFonts w:ascii="Times New Roman" w:eastAsia="Times New Roman" w:hAnsi="Times New Roman" w:cs="Times New Roman"/>
        </w:rPr>
        <w:t>60-4</w:t>
      </w:r>
    </w:p>
    <w:p w14:paraId="377167A0"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Thurupati</w:t>
      </w:r>
      <w:proofErr w:type="spellEnd"/>
      <w:r>
        <w:rPr>
          <w:rFonts w:ascii="Times New Roman" w:eastAsia="Times New Roman" w:hAnsi="Times New Roman" w:cs="Times New Roman"/>
        </w:rPr>
        <w:t xml:space="preserve">, S. C. (2024). The Evolution of Identity and Access Management: Integrating Biometric and Behavioral Authentication. </w:t>
      </w:r>
      <w:r>
        <w:rPr>
          <w:rFonts w:ascii="Times New Roman" w:eastAsia="Times New Roman" w:hAnsi="Times New Roman" w:cs="Times New Roman"/>
          <w:i/>
          <w:iCs/>
        </w:rPr>
        <w:t>International Journal for Multidisciplinary Research</w:t>
      </w:r>
      <w:r>
        <w:rPr>
          <w:rFonts w:ascii="Times New Roman" w:eastAsia="Times New Roman" w:hAnsi="Times New Roman" w:cs="Times New Roman"/>
        </w:rPr>
        <w:t xml:space="preserve">, </w:t>
      </w:r>
      <w:r>
        <w:rPr>
          <w:rFonts w:ascii="Times New Roman" w:eastAsia="Times New Roman" w:hAnsi="Times New Roman" w:cs="Times New Roman"/>
          <w:i/>
          <w:iCs/>
        </w:rPr>
        <w:t>6</w:t>
      </w:r>
      <w:r>
        <w:rPr>
          <w:rFonts w:ascii="Times New Roman" w:eastAsia="Times New Roman" w:hAnsi="Times New Roman" w:cs="Times New Roman"/>
        </w:rPr>
        <w:t>(6). https://doi.org/10.36948/ijfmr.2024.v06i06.29986</w:t>
      </w:r>
    </w:p>
    <w:p w14:paraId="14A128A3"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Trio Content Te</w:t>
      </w:r>
      <w:r>
        <w:rPr>
          <w:rFonts w:ascii="Times New Roman" w:eastAsia="Times New Roman" w:hAnsi="Times New Roman" w:cs="Times New Roman"/>
        </w:rPr>
        <w:t xml:space="preserve">am. (2025). </w:t>
      </w:r>
      <w:r>
        <w:rPr>
          <w:rFonts w:ascii="Times New Roman" w:eastAsia="Times New Roman" w:hAnsi="Times New Roman" w:cs="Times New Roman"/>
          <w:i/>
          <w:iCs/>
        </w:rPr>
        <w:t>Understanding Continuous Adaptive Risk and Trust Assessment</w:t>
      </w:r>
      <w:r>
        <w:rPr>
          <w:rFonts w:ascii="Times New Roman" w:eastAsia="Times New Roman" w:hAnsi="Times New Roman" w:cs="Times New Roman"/>
        </w:rPr>
        <w:t>. Trio.so. https://www.trio.so/blog/continuous-adaptive-risk-and-trust-assessment</w:t>
      </w:r>
    </w:p>
    <w:p w14:paraId="05A0C1F2"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Vemou</w:t>
      </w:r>
      <w:proofErr w:type="spellEnd"/>
      <w:r>
        <w:rPr>
          <w:rFonts w:ascii="Times New Roman" w:eastAsia="Times New Roman" w:hAnsi="Times New Roman" w:cs="Times New Roman"/>
        </w:rPr>
        <w:t xml:space="preserve">, K. (2025). </w:t>
      </w:r>
      <w:r>
        <w:rPr>
          <w:rFonts w:ascii="Times New Roman" w:eastAsia="Times New Roman" w:hAnsi="Times New Roman" w:cs="Times New Roman"/>
          <w:i/>
          <w:iCs/>
        </w:rPr>
        <w:t xml:space="preserve">Biometric Continuous </w:t>
      </w:r>
      <w:proofErr w:type="gramStart"/>
      <w:r>
        <w:rPr>
          <w:rFonts w:ascii="Times New Roman" w:eastAsia="Times New Roman" w:hAnsi="Times New Roman" w:cs="Times New Roman"/>
          <w:i/>
          <w:iCs/>
        </w:rPr>
        <w:t>Authentication ]</w:t>
      </w:r>
      <w:proofErr w:type="gramEnd"/>
      <w:r>
        <w:rPr>
          <w:rFonts w:ascii="Times New Roman" w:eastAsia="Times New Roman" w:hAnsi="Times New Roman" w:cs="Times New Roman"/>
        </w:rPr>
        <w:t>. Www.edps.europa.eu. https://www.edps.europa.eu</w:t>
      </w:r>
      <w:r>
        <w:rPr>
          <w:rFonts w:ascii="Times New Roman" w:eastAsia="Times New Roman" w:hAnsi="Times New Roman" w:cs="Times New Roman"/>
        </w:rPr>
        <w:t>/press-publications/publications/techsonar/biometric-continuous-authentication_en</w:t>
      </w:r>
    </w:p>
    <w:p w14:paraId="033D1465"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Verma, S. (2025). Synthetic Identities and </w:t>
      </w:r>
      <w:proofErr w:type="spellStart"/>
      <w:r>
        <w:rPr>
          <w:rFonts w:ascii="Times New Roman" w:eastAsia="Times New Roman" w:hAnsi="Times New Roman" w:cs="Times New Roman"/>
        </w:rPr>
        <w:t>Deepfake</w:t>
      </w:r>
      <w:proofErr w:type="spellEnd"/>
      <w:r>
        <w:rPr>
          <w:rFonts w:ascii="Times New Roman" w:eastAsia="Times New Roman" w:hAnsi="Times New Roman" w:cs="Times New Roman"/>
        </w:rPr>
        <w:t xml:space="preserve"> Attacks: The Next Frontier in Enterprise AI Security. </w:t>
      </w:r>
      <w:r>
        <w:rPr>
          <w:rFonts w:ascii="Times New Roman" w:eastAsia="Times New Roman" w:hAnsi="Times New Roman" w:cs="Times New Roman"/>
          <w:i/>
          <w:iCs/>
        </w:rPr>
        <w:t>European Modern Studies Journal</w:t>
      </w:r>
      <w:r>
        <w:rPr>
          <w:rFonts w:ascii="Times New Roman" w:eastAsia="Times New Roman" w:hAnsi="Times New Roman" w:cs="Times New Roman"/>
        </w:rPr>
        <w:t xml:space="preserve">, </w:t>
      </w:r>
      <w:r>
        <w:rPr>
          <w:rFonts w:ascii="Times New Roman" w:eastAsia="Times New Roman" w:hAnsi="Times New Roman" w:cs="Times New Roman"/>
          <w:i/>
          <w:iCs/>
        </w:rPr>
        <w:t>9</w:t>
      </w:r>
      <w:r>
        <w:rPr>
          <w:rFonts w:ascii="Times New Roman" w:eastAsia="Times New Roman" w:hAnsi="Times New Roman" w:cs="Times New Roman"/>
        </w:rPr>
        <w:t>(5), 176–189. https://doi.org/10.5</w:t>
      </w:r>
      <w:r>
        <w:rPr>
          <w:rFonts w:ascii="Times New Roman" w:eastAsia="Times New Roman" w:hAnsi="Times New Roman" w:cs="Times New Roman"/>
        </w:rPr>
        <w:t>9573/emsj.9(5).2025.17</w:t>
      </w:r>
    </w:p>
    <w:p w14:paraId="59441200"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Villanueva, E. (2025). </w:t>
      </w:r>
      <w:r>
        <w:rPr>
          <w:rFonts w:ascii="Times New Roman" w:eastAsia="Times New Roman" w:hAnsi="Times New Roman" w:cs="Times New Roman"/>
          <w:i/>
          <w:iCs/>
        </w:rPr>
        <w:t>Safeguard the Future of AI: The Core Functions of the NIST AI RMF</w:t>
      </w:r>
      <w:r>
        <w:rPr>
          <w:rFonts w:ascii="Times New Roman" w:eastAsia="Times New Roman" w:hAnsi="Times New Roman" w:cs="Times New Roman"/>
        </w:rPr>
        <w:t>. Auditboard.com. https://auditboard.com/blog/nist-ai-rmf</w:t>
      </w:r>
    </w:p>
    <w:p w14:paraId="23736365" w14:textId="77777777" w:rsidR="00372E14" w:rsidRDefault="00CC1D80">
      <w:pPr>
        <w:spacing w:line="276"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Vongthongsri</w:t>
      </w:r>
      <w:proofErr w:type="spellEnd"/>
      <w:r>
        <w:rPr>
          <w:rFonts w:ascii="Times New Roman" w:eastAsia="Times New Roman" w:hAnsi="Times New Roman" w:cs="Times New Roman"/>
        </w:rPr>
        <w:t xml:space="preserve">, K. (2025). </w:t>
      </w:r>
      <w:r>
        <w:rPr>
          <w:rFonts w:ascii="Times New Roman" w:eastAsia="Times New Roman" w:hAnsi="Times New Roman" w:cs="Times New Roman"/>
          <w:i/>
          <w:iCs/>
        </w:rPr>
        <w:t xml:space="preserve">LLMs Red Teaming: The Complete Step-By-Step Guide </w:t>
      </w:r>
      <w:proofErr w:type="gramStart"/>
      <w:r>
        <w:rPr>
          <w:rFonts w:ascii="Times New Roman" w:eastAsia="Times New Roman" w:hAnsi="Times New Roman" w:cs="Times New Roman"/>
          <w:i/>
          <w:iCs/>
        </w:rPr>
        <w:t>To</w:t>
      </w:r>
      <w:proofErr w:type="gramEnd"/>
      <w:r>
        <w:rPr>
          <w:rFonts w:ascii="Times New Roman" w:eastAsia="Times New Roman" w:hAnsi="Times New Roman" w:cs="Times New Roman"/>
          <w:i/>
          <w:iCs/>
        </w:rPr>
        <w:t xml:space="preserve"> LLM Safet</w:t>
      </w:r>
      <w:r>
        <w:rPr>
          <w:rFonts w:ascii="Times New Roman" w:eastAsia="Times New Roman" w:hAnsi="Times New Roman" w:cs="Times New Roman"/>
          <w:i/>
          <w:iCs/>
        </w:rPr>
        <w:t>y</w:t>
      </w:r>
      <w:r>
        <w:rPr>
          <w:rFonts w:ascii="Times New Roman" w:eastAsia="Times New Roman" w:hAnsi="Times New Roman" w:cs="Times New Roman"/>
        </w:rPr>
        <w:t>. Confident-Ai.com. https://www.confident-ai.com/blog/red-teaming-llms-a-step-by-step-guide</w:t>
      </w:r>
    </w:p>
    <w:p w14:paraId="1CB8D88F" w14:textId="77777777" w:rsidR="00372E14" w:rsidRDefault="00CC1D8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Zhang, J., Zhou, Y., Liu, Y., Li, Z., &amp; Hu, S. (2024). Holistic Automated Red Teaming for Large Language Models through Top-Down Test Case Generation and Multi-tur</w:t>
      </w:r>
      <w:r>
        <w:rPr>
          <w:rFonts w:ascii="Times New Roman" w:eastAsia="Times New Roman" w:hAnsi="Times New Roman" w:cs="Times New Roman"/>
        </w:rPr>
        <w:t xml:space="preserve">n Interaction.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https://doi.org/10.48550/arxiv.2409.16783</w:t>
      </w:r>
    </w:p>
    <w:p w14:paraId="7A58A8A2" w14:textId="77777777" w:rsidR="00372E14" w:rsidRDefault="00372E14">
      <w:pPr>
        <w:spacing w:line="360" w:lineRule="auto"/>
        <w:jc w:val="both"/>
        <w:rPr>
          <w:rFonts w:ascii="Times New Roman" w:eastAsia="Times New Roman" w:hAnsi="Times New Roman" w:cs="Times New Roman"/>
        </w:rPr>
      </w:pPr>
    </w:p>
    <w:sectPr w:rsidR="00372E1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38B84" w14:textId="77777777" w:rsidR="00CC1D80" w:rsidRDefault="00CC1D80">
      <w:pPr>
        <w:spacing w:after="0" w:line="240" w:lineRule="auto"/>
      </w:pPr>
      <w:r>
        <w:separator/>
      </w:r>
    </w:p>
  </w:endnote>
  <w:endnote w:type="continuationSeparator" w:id="0">
    <w:p w14:paraId="5F96FC83" w14:textId="77777777" w:rsidR="00CC1D80" w:rsidRDefault="00CC1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18472210-5288-46C5-8659-C99207AE6916}"/>
    <w:embedItalic r:id="rId2" w:fontKey="{A9036C94-B0F3-4369-A27B-761301284409}"/>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enorite">
    <w:charset w:val="00"/>
    <w:family w:val="auto"/>
    <w:pitch w:val="variable"/>
    <w:sig w:usb0="80000003" w:usb1="00000001" w:usb2="00000000" w:usb3="00000000" w:csb0="00000001" w:csb1="00000000"/>
    <w:embedRegular r:id="rId3" w:fontKey="{2A12B6E7-834B-4832-BB97-185F1A72AAB1}"/>
  </w:font>
  <w:font w:name="Cambria Math">
    <w:panose1 w:val="02040503050406030204"/>
    <w:charset w:val="00"/>
    <w:family w:val="roman"/>
    <w:pitch w:val="variable"/>
    <w:sig w:usb0="E00006FF" w:usb1="420024FF" w:usb2="02000000" w:usb3="00000000" w:csb0="0000019F" w:csb1="00000000"/>
    <w:embedRegular r:id="rId4" w:fontKey="{D597BD2B-D341-47E4-B808-0960889F044D}"/>
    <w:embedItalic r:id="rId5" w:fontKey="{00F9D4D3-AA5F-4E5C-BDE5-B828BAAB6A1C}"/>
  </w:font>
  <w:font w:name="Calibri">
    <w:panose1 w:val="020F0502020204030204"/>
    <w:charset w:val="00"/>
    <w:family w:val="swiss"/>
    <w:pitch w:val="variable"/>
    <w:sig w:usb0="E4002EFF" w:usb1="C000247B" w:usb2="00000009" w:usb3="00000000" w:csb0="000001FF" w:csb1="00000000"/>
    <w:embedRegular r:id="rId6" w:fontKey="{036F068E-A304-4D2B-909C-881C31154423}"/>
  </w:font>
  <w:font w:name="Cambria">
    <w:panose1 w:val="02040503050406030204"/>
    <w:charset w:val="00"/>
    <w:family w:val="roman"/>
    <w:pitch w:val="variable"/>
    <w:sig w:usb0="E00006FF" w:usb1="420024FF" w:usb2="02000000" w:usb3="00000000" w:csb0="0000019F" w:csb1="00000000"/>
    <w:embedRegular r:id="rId7" w:fontKey="{52C24ACA-8007-4BF5-867C-3E787FF5D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18248" w14:textId="77777777" w:rsidR="00372E14" w:rsidRDefault="00372E1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8E6B6" w14:textId="77777777" w:rsidR="00372E14" w:rsidRDefault="00372E1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8D493" w14:textId="77777777" w:rsidR="00372E14" w:rsidRDefault="00372E1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31284" w14:textId="77777777" w:rsidR="00CC1D80" w:rsidRDefault="00CC1D80">
      <w:pPr>
        <w:spacing w:after="0" w:line="240" w:lineRule="auto"/>
      </w:pPr>
      <w:r>
        <w:separator/>
      </w:r>
    </w:p>
  </w:footnote>
  <w:footnote w:type="continuationSeparator" w:id="0">
    <w:p w14:paraId="3FCD1056" w14:textId="77777777" w:rsidR="00CC1D80" w:rsidRDefault="00CC1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C5908" w14:textId="77777777" w:rsidR="00372E14" w:rsidRDefault="00CC1D80">
    <w:pPr>
      <w:pBdr>
        <w:top w:val="nil"/>
        <w:left w:val="nil"/>
        <w:bottom w:val="nil"/>
        <w:right w:val="nil"/>
        <w:between w:val="nil"/>
      </w:pBdr>
      <w:tabs>
        <w:tab w:val="center" w:pos="4680"/>
        <w:tab w:val="right" w:pos="9360"/>
      </w:tabs>
      <w:spacing w:after="0" w:line="240" w:lineRule="auto"/>
      <w:rPr>
        <w:color w:val="000000"/>
      </w:rPr>
    </w:pPr>
    <w:r>
      <w:rPr>
        <w:color w:val="000000"/>
      </w:rPr>
      <w:pict w14:anchorId="211B7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351B2" w14:textId="77777777" w:rsidR="00372E14" w:rsidRDefault="00CC1D80">
    <w:pPr>
      <w:pBdr>
        <w:top w:val="nil"/>
        <w:left w:val="nil"/>
        <w:bottom w:val="nil"/>
        <w:right w:val="nil"/>
        <w:between w:val="nil"/>
      </w:pBdr>
      <w:tabs>
        <w:tab w:val="center" w:pos="4680"/>
        <w:tab w:val="right" w:pos="9360"/>
      </w:tabs>
      <w:spacing w:after="0" w:line="240" w:lineRule="auto"/>
      <w:rPr>
        <w:color w:val="000000"/>
      </w:rPr>
    </w:pPr>
    <w:r>
      <w:rPr>
        <w:color w:val="000000"/>
      </w:rPr>
      <w:pict w14:anchorId="34A49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E9663" w14:textId="77777777" w:rsidR="00372E14" w:rsidRDefault="00CC1D80">
    <w:pPr>
      <w:pBdr>
        <w:top w:val="nil"/>
        <w:left w:val="nil"/>
        <w:bottom w:val="nil"/>
        <w:right w:val="nil"/>
        <w:between w:val="nil"/>
      </w:pBdr>
      <w:tabs>
        <w:tab w:val="center" w:pos="4680"/>
        <w:tab w:val="right" w:pos="9360"/>
      </w:tabs>
      <w:spacing w:after="0" w:line="240" w:lineRule="auto"/>
      <w:rPr>
        <w:color w:val="000000"/>
      </w:rPr>
    </w:pPr>
    <w:r>
      <w:rPr>
        <w:color w:val="000000"/>
      </w:rPr>
      <w:pict w14:anchorId="2A22E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72E39"/>
    <w:multiLevelType w:val="multilevel"/>
    <w:tmpl w:val="F226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8153CC"/>
    <w:multiLevelType w:val="multilevel"/>
    <w:tmpl w:val="1138CE70"/>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E14"/>
    <w:rsid w:val="00372E14"/>
    <w:rsid w:val="00546073"/>
    <w:rsid w:val="006B7A57"/>
    <w:rsid w:val="009542D2"/>
    <w:rsid w:val="00BC584B"/>
    <w:rsid w:val="00CC1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00784D"/>
  <w15:docId w15:val="{110DF269-81D6-4F29-859B-D8278370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8317</Words>
  <Characters>47408</Characters>
  <Application>Microsoft Office Word</Application>
  <DocSecurity>0</DocSecurity>
  <Lines>395</Lines>
  <Paragraphs>111</Paragraphs>
  <ScaleCrop>false</ScaleCrop>
  <Company/>
  <LinksUpToDate>false</LinksUpToDate>
  <CharactersWithSpaces>55614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1019</cp:lastModifiedBy>
  <cp:revision>3</cp:revision>
  <dcterms:created xsi:type="dcterms:W3CDTF">2026-01-21T04:27:00Z</dcterms:created>
  <dcterms:modified xsi:type="dcterms:W3CDTF">2026-01-22T06:38:00Z</dcterms:modified>
</cp:coreProperties>
</file>