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35F60">
      <w:pPr>
        <w:pStyle w:val="21"/>
        <w:spacing w:line="240" w:lineRule="auto"/>
        <w:jc w:val="both"/>
        <w:rPr>
          <w:rFonts w:hint="default" w:ascii="Arial" w:hAnsi="Arial" w:cs="Arial"/>
          <w:bCs/>
          <w:iCs/>
          <w:kern w:val="28"/>
          <w:sz w:val="36"/>
          <w:lang w:val="en-US" w:eastAsia="zh-CN"/>
        </w:rPr>
      </w:pPr>
      <w:r>
        <w:rPr>
          <w:rFonts w:hint="default" w:ascii="Arial" w:hAnsi="Arial" w:cs="Arial"/>
          <w:bCs/>
          <w:iCs/>
          <w:kern w:val="28"/>
          <w:sz w:val="36"/>
          <w:lang w:val="en-US" w:eastAsia="zh-CN"/>
        </w:rPr>
        <w:t>Hinge Joints in Hollow-Core Slab Bridges: Failure Mechanisms, Load-Transfer Behavior, and Strengthening Techniques – A Comprehensive Review</w:t>
      </w:r>
    </w:p>
    <w:p w14:paraId="1CFE6D84">
      <w:pPr>
        <w:pStyle w:val="22"/>
        <w:spacing w:after="0" w:line="240" w:lineRule="auto"/>
        <w:jc w:val="both"/>
        <w:rPr>
          <w:rFonts w:ascii="Arial" w:hAnsi="Arial" w:cs="Arial"/>
        </w:rPr>
      </w:pPr>
      <w:bookmarkStart w:id="0" w:name="_Hlk140842555"/>
    </w:p>
    <w:p w14:paraId="4C757275">
      <w:pPr>
        <w:pStyle w:val="22"/>
        <w:spacing w:after="0" w:line="240" w:lineRule="auto"/>
        <w:jc w:val="both"/>
        <w:rPr>
          <w:rFonts w:ascii="Arial" w:hAnsi="Arial" w:cs="Arial"/>
        </w:rPr>
      </w:pPr>
    </w:p>
    <w:p w14:paraId="7F568354">
      <w:pPr>
        <w:pStyle w:val="33"/>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9" w:bottom="2019" w:left="2019" w:header="720" w:footer="1298" w:gutter="0"/>
          <w:cols w:space="720" w:num="1"/>
          <w:docGrid w:linePitch="272" w:charSpace="0"/>
        </w:sectPr>
      </w:pPr>
      <w:r>
        <w:rPr>
          <w:rFonts w:ascii="Arial" w:hAnsi="Arial" w:cs="Arial"/>
        </w:rPr>
        <mc:AlternateContent>
          <mc:Choice Requires="wps">
            <w:drawing>
              <wp:inline distT="0" distB="0" distL="0" distR="0">
                <wp:extent cx="5303520" cy="635"/>
                <wp:effectExtent l="15240" t="10795" r="15240" b="17780"/>
                <wp:docPr id="183910424" name="AutoShape 2"/>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14:paraId="3A2602AA">
      <w:pPr>
        <w:pStyle w:val="24"/>
        <w:spacing w:after="0"/>
        <w:jc w:val="both"/>
        <w:rPr>
          <w:rFonts w:ascii="Arial" w:hAnsi="Arial" w:cs="Arial"/>
        </w:rPr>
      </w:pPr>
      <w:r>
        <w:rPr>
          <w:rFonts w:ascii="Arial" w:hAnsi="Arial" w:cs="Arial"/>
        </w:rPr>
        <w:t xml:space="preserve">ABSTRACT </w:t>
      </w:r>
    </w:p>
    <w:bookmarkEnd w:id="0"/>
    <w:p w14:paraId="26E50EE5">
      <w:pPr>
        <w:pStyle w:val="24"/>
        <w:spacing w:after="0"/>
        <w:jc w:val="both"/>
        <w:rPr>
          <w:rFonts w:ascii="Arial" w:hAnsi="Arial" w:cs="Arial"/>
        </w:rPr>
      </w:pPr>
    </w:p>
    <w:tbl>
      <w:tblPr>
        <w:tblStyle w:val="12"/>
        <w:tblW w:w="85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549"/>
      </w:tblGrid>
      <w:tr w14:paraId="56748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rPr>
          <w:trHeight w:val="2796" w:hRule="atLeast"/>
        </w:trPr>
        <w:tc>
          <w:tcPr>
            <w:tcW w:w="8549" w:type="dxa"/>
            <w:shd w:val="clear" w:color="auto" w:fill="F2F2F2"/>
          </w:tcPr>
          <w:p w14:paraId="47035CEC">
            <w:pPr>
              <w:pStyle w:val="23"/>
              <w:keepNext w:val="0"/>
              <w:keepLines w:val="0"/>
              <w:widowControl/>
              <w:suppressLineNumbers w:val="0"/>
              <w:spacing w:before="0" w:beforeAutospacing="0" w:after="0" w:afterAutospacing="0"/>
              <w:ind w:left="0" w:right="0"/>
              <w:rPr>
                <w:rFonts w:hint="default" w:ascii="Arial" w:hAnsi="Arial" w:eastAsia="Calibri" w:cs="Arial"/>
                <w:sz w:val="20"/>
                <w:szCs w:val="22"/>
                <w:lang w:eastAsia="zh-CN"/>
              </w:rPr>
            </w:pPr>
            <w:r>
              <w:rPr>
                <w:rFonts w:hint="default" w:ascii="Arial" w:hAnsi="Arial" w:eastAsia="Calibri" w:cs="Arial"/>
                <w:sz w:val="20"/>
                <w:szCs w:val="22"/>
                <w:lang w:val="en-US" w:eastAsia="zh-CN"/>
              </w:rPr>
              <w:t>Hinge joints in hollow-core slab bridges are critical transverse links that integrate multiple slabs into a unified bridge structure, yet they are also the most vulnerable weak points prone to deterioration, potentially leading to structural crises through “single-slab behavior.” This comprehensive review systematically examines the global research trajectory across four key areas: joint typology, failure mechanisms, load-transfer theory, and strengthening techniques.</w:t>
            </w:r>
          </w:p>
          <w:p w14:paraId="5B9136A9">
            <w:pPr>
              <w:pStyle w:val="23"/>
              <w:keepNext w:val="0"/>
              <w:keepLines w:val="0"/>
              <w:widowControl/>
              <w:suppressLineNumbers w:val="0"/>
              <w:spacing w:before="0" w:beforeAutospacing="0" w:after="0" w:afterAutospacing="0"/>
              <w:ind w:left="0" w:right="0"/>
              <w:rPr>
                <w:rFonts w:hint="default" w:ascii="Arial" w:hAnsi="Arial" w:eastAsia="Calibri" w:cs="Arial"/>
                <w:sz w:val="20"/>
                <w:szCs w:val="22"/>
                <w:lang w:eastAsia="zh-CN"/>
              </w:rPr>
            </w:pPr>
            <w:r>
              <w:rPr>
                <w:rFonts w:hint="default" w:ascii="Arial" w:hAnsi="Arial" w:eastAsia="Calibri" w:cs="Arial"/>
                <w:sz w:val="20"/>
                <w:szCs w:val="22"/>
                <w:lang w:val="en-US" w:eastAsia="zh-CN"/>
              </w:rPr>
              <w:t>Joint Typology: Research has evolved from shallow joints to deeper configurations and further to composite designs, including tongue-and-groove with shear keys, full-depth UHPC replacements, Fe-SMA self-prestressing, and steel-concrete composites.</w:t>
            </w:r>
          </w:p>
          <w:p w14:paraId="47DA54EF">
            <w:pPr>
              <w:pStyle w:val="23"/>
              <w:keepNext w:val="0"/>
              <w:keepLines w:val="0"/>
              <w:widowControl/>
              <w:suppressLineNumbers w:val="0"/>
              <w:spacing w:before="0" w:beforeAutospacing="0" w:after="0" w:afterAutospacing="0"/>
              <w:ind w:left="0" w:right="0"/>
              <w:rPr>
                <w:rFonts w:hint="default" w:ascii="Arial" w:hAnsi="Arial" w:eastAsia="Calibri" w:cs="Arial"/>
                <w:sz w:val="20"/>
                <w:szCs w:val="22"/>
                <w:lang w:eastAsia="zh-CN"/>
              </w:rPr>
            </w:pPr>
            <w:r>
              <w:rPr>
                <w:rFonts w:hint="default" w:ascii="Arial" w:hAnsi="Arial" w:eastAsia="Calibri" w:cs="Arial"/>
                <w:sz w:val="20"/>
                <w:szCs w:val="22"/>
                <w:lang w:val="en-US" w:eastAsia="zh-CN"/>
              </w:rPr>
              <w:t>Failure Mechanisms: Dominant failure patterns include interfacial bond delamination and shear-uplift mixed-mode cracking, exacerbated by fatigue, freeze-thaw cycles, and overloading.</w:t>
            </w:r>
          </w:p>
          <w:p w14:paraId="1ECD37D8">
            <w:pPr>
              <w:pStyle w:val="23"/>
              <w:keepNext w:val="0"/>
              <w:keepLines w:val="0"/>
              <w:widowControl/>
              <w:suppressLineNumbers w:val="0"/>
              <w:spacing w:before="0" w:beforeAutospacing="0" w:after="0" w:afterAutospacing="0"/>
              <w:ind w:left="0" w:right="0"/>
              <w:rPr>
                <w:rFonts w:hint="default" w:ascii="Arial" w:hAnsi="Arial" w:eastAsia="Calibri" w:cs="Arial"/>
                <w:sz w:val="20"/>
                <w:szCs w:val="22"/>
                <w:lang w:eastAsia="zh-CN"/>
              </w:rPr>
            </w:pPr>
            <w:r>
              <w:rPr>
                <w:rFonts w:hint="default" w:ascii="Arial" w:hAnsi="Arial" w:eastAsia="Calibri" w:cs="Arial"/>
                <w:sz w:val="20"/>
                <w:szCs w:val="22"/>
                <w:lang w:val="en-US" w:eastAsia="zh-CN"/>
              </w:rPr>
              <w:t>Load-Transfer Theory: Various methods coexist, including hinge-joint slab methods, rigid-joint slab methods, and fracture mechanics models. The EU shear-uplift interface equation and the AASHTO shear-friction model represent two distinct systems, while Chinese codes lack specific provisions.</w:t>
            </w:r>
          </w:p>
          <w:p w14:paraId="00D2BE99">
            <w:pPr>
              <w:pStyle w:val="23"/>
              <w:keepNext w:val="0"/>
              <w:keepLines w:val="0"/>
              <w:widowControl/>
              <w:suppressLineNumbers w:val="0"/>
              <w:spacing w:before="0" w:beforeAutospacing="0" w:after="0" w:afterAutospacing="0"/>
              <w:ind w:left="0" w:right="0"/>
              <w:rPr>
                <w:rFonts w:hint="default" w:ascii="Arial" w:hAnsi="Arial" w:eastAsia="Calibri" w:cs="Arial"/>
                <w:sz w:val="20"/>
                <w:szCs w:val="22"/>
                <w:lang w:eastAsia="zh-CN"/>
              </w:rPr>
            </w:pPr>
            <w:r>
              <w:rPr>
                <w:rFonts w:hint="default" w:ascii="Arial" w:hAnsi="Arial" w:eastAsia="Calibri" w:cs="Arial"/>
                <w:sz w:val="20"/>
                <w:szCs w:val="22"/>
                <w:lang w:val="en-US" w:eastAsia="zh-CN"/>
              </w:rPr>
              <w:t>Strengthening Techniques: Promising techniques include UHPC overlays, Fe-SMA self-prestressing, and steel-concrete composites, which offer significant improvements in load capacity and durability.</w:t>
            </w:r>
          </w:p>
          <w:p w14:paraId="47B4A6DD">
            <w:pPr>
              <w:pStyle w:val="23"/>
              <w:keepNext w:val="0"/>
              <w:keepLines w:val="0"/>
              <w:widowControl/>
              <w:suppressLineNumbers w:val="0"/>
              <w:spacing w:before="0" w:beforeAutospacing="0" w:after="0" w:afterAutospacing="0"/>
              <w:ind w:left="0" w:right="0"/>
              <w:rPr>
                <w:rFonts w:hint="default" w:ascii="Arial" w:hAnsi="Arial" w:eastAsia="Calibri" w:cs="Arial"/>
                <w:sz w:val="20"/>
                <w:szCs w:val="22"/>
                <w:lang w:eastAsia="zh-CN"/>
              </w:rPr>
            </w:pPr>
            <w:r>
              <w:rPr>
                <w:rFonts w:hint="default" w:ascii="Arial" w:hAnsi="Arial" w:eastAsia="Calibri" w:cs="Arial"/>
                <w:sz w:val="20"/>
                <w:szCs w:val="22"/>
                <w:lang w:val="en-US" w:eastAsia="zh-CN"/>
              </w:rPr>
              <w:t>The comparative synthesis reveals a common trend towards enhanced durability through deep joints combined with local prestressing and high-performance materials. Differences among national codes reflect varying priorities in the trade-offs between service life, risk, and traffic interruption. The U.S. emphasizes material performance, Europe focuses on verification, and China prioritizes maintaining traffic flow. The persistent challenge across all techniques is achieving reliable bonding between old and new interfaces. Future research should focus on quantifying interface roughness, developing fatigue-life functions, and designing replaceable modular joints to address these challenges.</w:t>
            </w:r>
          </w:p>
        </w:tc>
      </w:tr>
    </w:tbl>
    <w:p w14:paraId="732AB2D5">
      <w:pPr>
        <w:pStyle w:val="23"/>
        <w:spacing w:after="0"/>
        <w:rPr>
          <w:rFonts w:ascii="Arial" w:hAnsi="Arial" w:cs="Arial"/>
          <w:i/>
          <w:lang w:eastAsia="zh-CN"/>
        </w:rPr>
      </w:pPr>
    </w:p>
    <w:p w14:paraId="59313980">
      <w:pPr>
        <w:pStyle w:val="23"/>
        <w:ind w:left="1000" w:hanging="1000" w:hangingChars="500"/>
        <w:rPr>
          <w:rFonts w:ascii="Arial" w:hAnsi="Arial" w:cs="Arial"/>
          <w:i/>
        </w:rPr>
      </w:pPr>
      <w:r>
        <w:rPr>
          <w:rFonts w:ascii="Arial" w:hAnsi="Arial" w:cs="Arial"/>
          <w:i/>
        </w:rPr>
        <w:t xml:space="preserve">Keywords: </w:t>
      </w:r>
      <w:r>
        <w:rPr>
          <w:rFonts w:hint="eastAsia" w:ascii="Arial" w:hAnsi="Arial" w:cs="Arial"/>
          <w:i/>
        </w:rPr>
        <w:t>hollow-core slab bridge; hinge joint; UHPC; shape memory alloy; steel-shape–concrete composite strengthening; interface bonding; crack control</w:t>
      </w:r>
    </w:p>
    <w:p w14:paraId="455BB699">
      <w:pPr>
        <w:pStyle w:val="23"/>
        <w:spacing w:after="0"/>
        <w:rPr>
          <w:rFonts w:ascii="Arial" w:hAnsi="Arial" w:cs="Arial"/>
          <w:b/>
          <w:iCs/>
          <w:sz w:val="24"/>
          <w:szCs w:val="24"/>
        </w:rPr>
      </w:pPr>
      <w:r>
        <w:rPr>
          <w:rFonts w:ascii="Arial" w:hAnsi="Arial" w:cs="Arial"/>
          <w:b/>
          <w:iCs/>
          <w:sz w:val="24"/>
          <w:szCs w:val="24"/>
        </w:rPr>
        <w:t xml:space="preserve">Introduction </w:t>
      </w:r>
    </w:p>
    <w:p w14:paraId="584C569A">
      <w:pPr>
        <w:pStyle w:val="23"/>
        <w:spacing w:after="0"/>
        <w:rPr>
          <w:rFonts w:ascii="Arial" w:hAnsi="Arial" w:cs="Arial"/>
          <w:iCs/>
          <w:sz w:val="24"/>
          <w:szCs w:val="24"/>
        </w:rPr>
      </w:pPr>
    </w:p>
    <w:p w14:paraId="346FE350">
      <w:pPr>
        <w:pStyle w:val="23"/>
        <w:bidi w:val="0"/>
      </w:pPr>
      <w:r>
        <w:t>Hollow slab bridges are among the most widely used bridge types due to their fast and convenient construction, environmental benefits, low space requirements, and cost-effectiveness (Guo et al., 2023). These bridges feature prefabricated slabs that are assembled on-site, facilitating efficient construction processes (Liu et al., 2024). In such structures, hinge joints serve as critical horizontal load-bearing components, subjected to complex stresses including bending, tension, and shear (Chen et al., 2023).</w:t>
      </w:r>
    </w:p>
    <w:p w14:paraId="0286029B">
      <w:pPr>
        <w:pStyle w:val="23"/>
        <w:spacing w:after="0"/>
        <w:rPr>
          <w:rFonts w:ascii="Arial" w:hAnsi="Arial" w:cs="Arial"/>
          <w:i/>
        </w:rPr>
      </w:pPr>
    </w:p>
    <w:p w14:paraId="7DF455F5">
      <w:pPr>
        <w:pStyle w:val="24"/>
        <w:numPr>
          <w:ilvl w:val="0"/>
          <w:numId w:val="2"/>
        </w:numPr>
        <w:spacing w:after="0"/>
        <w:jc w:val="both"/>
        <w:rPr>
          <w:rFonts w:ascii="Arial" w:hAnsi="Arial" w:cs="Arial"/>
        </w:rPr>
      </w:pPr>
      <w:r>
        <w:rPr>
          <w:rFonts w:ascii="Arial" w:hAnsi="Arial" w:cs="Arial"/>
          <w:lang w:eastAsia="zh-CN"/>
        </w:rPr>
        <w:t>Research significance</w:t>
      </w:r>
    </w:p>
    <w:p w14:paraId="5F5DBEB6">
      <w:pPr>
        <w:pStyle w:val="24"/>
        <w:spacing w:after="0"/>
        <w:jc w:val="both"/>
        <w:rPr>
          <w:rFonts w:ascii="Arial" w:hAnsi="Arial" w:cs="Arial"/>
          <w:lang w:eastAsia="zh-CN"/>
        </w:rPr>
      </w:pPr>
    </w:p>
    <w:p w14:paraId="21BCB377">
      <w:pPr>
        <w:pStyle w:val="24"/>
        <w:numPr>
          <w:ilvl w:val="1"/>
          <w:numId w:val="2"/>
        </w:numPr>
        <w:rPr>
          <w:lang w:eastAsia="zh-CN"/>
        </w:rPr>
      </w:pPr>
      <w:r>
        <w:rPr>
          <w:lang w:eastAsia="zh-CN"/>
        </w:rPr>
        <w:t>Main types of hinge joints in hollow-core slab bridges</w:t>
      </w:r>
    </w:p>
    <w:p w14:paraId="0FDC2EAC">
      <w:pPr>
        <w:pStyle w:val="23"/>
        <w:spacing w:after="0"/>
        <w:rPr>
          <w:rFonts w:ascii="Arial" w:hAnsi="Arial" w:cs="Arial"/>
          <w:lang w:eastAsia="zh-CN"/>
        </w:rPr>
      </w:pPr>
      <w:r>
        <w:rPr>
          <w:rFonts w:ascii="Arial" w:hAnsi="Arial" w:cs="Arial"/>
          <w:lang w:eastAsia="zh-CN"/>
        </w:rPr>
        <w:t>Field investigations indicate that the ratio of hinge-joint height to the adjacent hollow-core slab height varies, leading to the classification of funnel-shaped joints as shallow, medium, or deep [1]. As shown in Fig. 1, a shallow tongue-and-groove joint is filled with cast-in-place concrete to form the connection. This shear-transfer link integrates individual slabs into a monolithic system that shares the load. Medium-depth joints extend the vertical leg but exhibit the same load-transfer mechanism as shallow joints. Deep joints, which provide the deepest tongue, became the preferred option by the end of the twentieth century due to their superior concrete placement quality, which prevents both over- and under-vibration.</w:t>
      </w:r>
    </w:p>
    <w:p w14:paraId="14857088">
      <w:pPr>
        <w:bidi w:val="0"/>
      </w:pPr>
      <w:r>
        <w:rPr>
          <w:rFonts w:hint="eastAsia"/>
        </w:rPr>
        <w:drawing>
          <wp:inline distT="0" distB="0" distL="114300" distR="114300">
            <wp:extent cx="1620520" cy="900430"/>
            <wp:effectExtent l="0" t="0" r="17780" b="13970"/>
            <wp:docPr id="6" name="图片 1" descr="1111"/>
            <wp:cNvGraphicFramePr/>
            <a:graphic xmlns:a="http://schemas.openxmlformats.org/drawingml/2006/main">
              <a:graphicData uri="http://schemas.openxmlformats.org/drawingml/2006/picture">
                <pic:pic xmlns:pic="http://schemas.openxmlformats.org/drawingml/2006/picture">
                  <pic:nvPicPr>
                    <pic:cNvPr id="6" name="图片 1" descr="1111"/>
                    <pic:cNvPicPr/>
                  </pic:nvPicPr>
                  <pic:blipFill>
                    <a:blip r:embed="rId14"/>
                    <a:stretch>
                      <a:fillRect/>
                    </a:stretch>
                  </pic:blipFill>
                  <pic:spPr>
                    <a:xfrm>
                      <a:off x="0" y="0"/>
                      <a:ext cx="1620520" cy="900430"/>
                    </a:xfrm>
                    <a:prstGeom prst="rect">
                      <a:avLst/>
                    </a:prstGeom>
                    <a:noFill/>
                    <a:ln>
                      <a:noFill/>
                    </a:ln>
                  </pic:spPr>
                </pic:pic>
              </a:graphicData>
            </a:graphic>
          </wp:inline>
        </w:drawing>
      </w:r>
      <w:r>
        <w:rPr>
          <w:rFonts w:hint="eastAsia"/>
        </w:rPr>
        <w:drawing>
          <wp:inline distT="0" distB="0" distL="114300" distR="114300">
            <wp:extent cx="1620520" cy="900430"/>
            <wp:effectExtent l="0" t="0" r="17780" b="13970"/>
            <wp:docPr id="7" name="图片 2" descr="2222"/>
            <wp:cNvGraphicFramePr/>
            <a:graphic xmlns:a="http://schemas.openxmlformats.org/drawingml/2006/main">
              <a:graphicData uri="http://schemas.openxmlformats.org/drawingml/2006/picture">
                <pic:pic xmlns:pic="http://schemas.openxmlformats.org/drawingml/2006/picture">
                  <pic:nvPicPr>
                    <pic:cNvPr id="7" name="图片 2" descr="2222"/>
                    <pic:cNvPicPr/>
                  </pic:nvPicPr>
                  <pic:blipFill>
                    <a:blip r:embed="rId15"/>
                    <a:stretch>
                      <a:fillRect/>
                    </a:stretch>
                  </pic:blipFill>
                  <pic:spPr>
                    <a:xfrm>
                      <a:off x="0" y="0"/>
                      <a:ext cx="1620520" cy="900430"/>
                    </a:xfrm>
                    <a:prstGeom prst="rect">
                      <a:avLst/>
                    </a:prstGeom>
                    <a:noFill/>
                    <a:ln>
                      <a:noFill/>
                    </a:ln>
                  </pic:spPr>
                </pic:pic>
              </a:graphicData>
            </a:graphic>
          </wp:inline>
        </w:drawing>
      </w:r>
      <w:r>
        <w:rPr>
          <w:rFonts w:hint="eastAsia"/>
        </w:rPr>
        <w:drawing>
          <wp:inline distT="0" distB="0" distL="114300" distR="114300">
            <wp:extent cx="1620520" cy="900430"/>
            <wp:effectExtent l="0" t="0" r="17780" b="13970"/>
            <wp:docPr id="4" name="图片 4" descr="3333"/>
            <wp:cNvGraphicFramePr/>
            <a:graphic xmlns:a="http://schemas.openxmlformats.org/drawingml/2006/main">
              <a:graphicData uri="http://schemas.openxmlformats.org/drawingml/2006/picture">
                <pic:pic xmlns:pic="http://schemas.openxmlformats.org/drawingml/2006/picture">
                  <pic:nvPicPr>
                    <pic:cNvPr id="4" name="图片 4" descr="3333"/>
                    <pic:cNvPicPr/>
                  </pic:nvPicPr>
                  <pic:blipFill>
                    <a:blip r:embed="rId16"/>
                    <a:stretch>
                      <a:fillRect/>
                    </a:stretch>
                  </pic:blipFill>
                  <pic:spPr>
                    <a:xfrm>
                      <a:off x="0" y="0"/>
                      <a:ext cx="1620520" cy="900430"/>
                    </a:xfrm>
                    <a:prstGeom prst="rect">
                      <a:avLst/>
                    </a:prstGeom>
                    <a:noFill/>
                    <a:ln>
                      <a:noFill/>
                    </a:ln>
                  </pic:spPr>
                </pic:pic>
              </a:graphicData>
            </a:graphic>
          </wp:inline>
        </w:drawing>
      </w:r>
    </w:p>
    <w:p w14:paraId="512498AB">
      <w:pPr>
        <w:ind w:firstLine="420"/>
        <w:rPr>
          <w:sz w:val="21"/>
          <w:szCs w:val="21"/>
        </w:rPr>
      </w:pPr>
      <w:r>
        <w:rPr>
          <w:sz w:val="21"/>
          <w:szCs w:val="21"/>
        </w:rPr>
        <w:t xml:space="preserve">（a）shallow hinge joint   </w:t>
      </w:r>
      <w:r>
        <w:rPr>
          <w:rFonts w:hint="eastAsia"/>
          <w:sz w:val="21"/>
          <w:szCs w:val="21"/>
        </w:rPr>
        <w:t xml:space="preserve"> </w:t>
      </w:r>
      <w:r>
        <w:rPr>
          <w:sz w:val="21"/>
          <w:szCs w:val="21"/>
        </w:rPr>
        <w:t xml:space="preserve"> （b）middle hinge joint      （c）deep hinge joint</w:t>
      </w:r>
    </w:p>
    <w:p w14:paraId="65F8237D">
      <w:pPr>
        <w:jc w:val="center"/>
        <w:rPr>
          <w:sz w:val="21"/>
          <w:szCs w:val="21"/>
        </w:rPr>
      </w:pPr>
      <w:r>
        <w:rPr>
          <w:sz w:val="21"/>
          <w:szCs w:val="21"/>
        </w:rPr>
        <w:t>Fig.1</w:t>
      </w:r>
      <w:r>
        <w:rPr>
          <w:rFonts w:hint="eastAsia"/>
          <w:sz w:val="21"/>
          <w:szCs w:val="21"/>
        </w:rPr>
        <w:t xml:space="preserve"> </w:t>
      </w:r>
      <w:r>
        <w:rPr>
          <w:sz w:val="21"/>
          <w:szCs w:val="21"/>
        </w:rPr>
        <w:t>The type of hinge joint</w:t>
      </w:r>
    </w:p>
    <w:p w14:paraId="2AD9FDCE">
      <w:pPr>
        <w:jc w:val="center"/>
        <w:rPr>
          <w:sz w:val="21"/>
          <w:szCs w:val="21"/>
        </w:rPr>
      </w:pPr>
    </w:p>
    <w:p w14:paraId="11D387A4">
      <w:pPr>
        <w:pStyle w:val="24"/>
        <w:numPr>
          <w:ilvl w:val="1"/>
          <w:numId w:val="2"/>
        </w:numPr>
        <w:spacing w:after="0"/>
        <w:jc w:val="both"/>
        <w:rPr>
          <w:rFonts w:ascii="Arial" w:hAnsi="Arial" w:cs="Arial"/>
          <w:lang w:eastAsia="zh-CN"/>
        </w:rPr>
      </w:pPr>
      <w:r>
        <w:rPr>
          <w:rFonts w:ascii="Arial" w:hAnsi="Arial" w:cs="Arial"/>
          <w:lang w:eastAsia="zh-CN"/>
        </w:rPr>
        <w:t xml:space="preserve"> Primary distress patterns in hollow-core slab bridge hinge joints</w:t>
      </w:r>
    </w:p>
    <w:p w14:paraId="4F3E4A65">
      <w:pPr>
        <w:pStyle w:val="23"/>
        <w:spacing w:after="0"/>
        <w:rPr>
          <w:rFonts w:ascii="Arial" w:hAnsi="Arial" w:cs="Arial"/>
          <w:lang w:eastAsia="zh-CN"/>
        </w:rPr>
      </w:pPr>
    </w:p>
    <w:p w14:paraId="768C8F41">
      <w:pPr>
        <w:bidi w:val="0"/>
      </w:pPr>
      <w:r>
        <w:rPr>
          <w:rFonts w:hint="default"/>
          <w:lang w:val="en-US" w:eastAsia="zh-CN"/>
        </w:rPr>
        <w:t>Among all bridge components, hinge joints are the most vulnerable during normal service. National surveys of bridge defects consistently rank hinge-joint damage as the most frequent ailment in hollow-core slab bridges. The distress manifests chiefly as:</w:t>
      </w:r>
    </w:p>
    <w:p w14:paraId="1A0BE769">
      <w:pPr>
        <w:bidi w:val="0"/>
        <w:rPr>
          <w:rFonts w:hint="default"/>
        </w:rPr>
      </w:pPr>
      <w:r>
        <w:rPr>
          <w:rFonts w:ascii="Arial" w:hAnsi="Arial" w:cs="Arial"/>
          <w:lang w:eastAsia="zh-CN"/>
        </w:rPr>
        <w:t>(</w:t>
      </w:r>
      <w:r>
        <w:rPr>
          <w:rFonts w:hint="eastAsia" w:ascii="Arial" w:hAnsi="Arial" w:cs="Arial"/>
          <w:lang w:val="en-US" w:eastAsia="zh-CN"/>
        </w:rPr>
        <w:t>1</w:t>
      </w:r>
      <w:r>
        <w:rPr>
          <w:rFonts w:ascii="Arial" w:hAnsi="Arial" w:cs="Arial"/>
          <w:lang w:eastAsia="zh-CN"/>
        </w:rPr>
        <w:t>)</w:t>
      </w:r>
      <w:r>
        <w:rPr>
          <w:rFonts w:hint="default"/>
          <w:lang w:val="en-US" w:eastAsia="zh-CN"/>
        </w:rPr>
        <w:t>Cracking, leakage, and spalling at the joint</w:t>
      </w:r>
      <w:r>
        <w:rPr>
          <w:rFonts w:hint="default"/>
          <w:lang w:val="en-US" w:eastAsia="zh-CN"/>
        </w:rPr>
        <w:br w:type="textWrapping"/>
      </w:r>
      <w:r>
        <w:rPr>
          <w:rFonts w:hint="default"/>
          <w:lang w:val="en-US" w:eastAsia="zh-CN"/>
        </w:rPr>
        <w:t>The first indication of joint cracking is often water seepage [2], making incipient cracks difficult to detect by visual inspection alone. Once open, cracks allow corrosive rainwater to penetrate, triggering reinforcement corrosion and concrete degradation. Rust stains eventually appear on the soffit immediately beneath the joint. Continued leakage accelerates structural deterioration, causing the joint concrete to loosen, spall, and expose the reinforcement (Fig. 2).</w:t>
      </w:r>
    </w:p>
    <w:p w14:paraId="25E2924C">
      <w:pPr>
        <w:jc w:val="center"/>
      </w:pPr>
      <w:r>
        <w:rPr>
          <w:rFonts w:hint="eastAsia"/>
        </w:rPr>
        <w:drawing>
          <wp:inline distT="0" distB="0" distL="114300" distR="114300">
            <wp:extent cx="2160905" cy="1440815"/>
            <wp:effectExtent l="0" t="0" r="10795" b="6985"/>
            <wp:docPr id="5" name="图片 4" descr="铰缝渗水"/>
            <wp:cNvGraphicFramePr/>
            <a:graphic xmlns:a="http://schemas.openxmlformats.org/drawingml/2006/main">
              <a:graphicData uri="http://schemas.openxmlformats.org/drawingml/2006/picture">
                <pic:pic xmlns:pic="http://schemas.openxmlformats.org/drawingml/2006/picture">
                  <pic:nvPicPr>
                    <pic:cNvPr id="5" name="图片 4" descr="铰缝渗水"/>
                    <pic:cNvPicPr/>
                  </pic:nvPicPr>
                  <pic:blipFill>
                    <a:blip r:embed="rId17"/>
                    <a:stretch>
                      <a:fillRect/>
                    </a:stretch>
                  </pic:blipFill>
                  <pic:spPr>
                    <a:xfrm>
                      <a:off x="0" y="0"/>
                      <a:ext cx="2160905" cy="1440815"/>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2160905" cy="1440815"/>
            <wp:effectExtent l="0" t="0" r="10795" b="6985"/>
            <wp:docPr id="8" name="图片 5" descr="铰缝混凝土脱落"/>
            <wp:cNvGraphicFramePr/>
            <a:graphic xmlns:a="http://schemas.openxmlformats.org/drawingml/2006/main">
              <a:graphicData uri="http://schemas.openxmlformats.org/drawingml/2006/picture">
                <pic:pic xmlns:pic="http://schemas.openxmlformats.org/drawingml/2006/picture">
                  <pic:nvPicPr>
                    <pic:cNvPr id="8" name="图片 5" descr="铰缝混凝土脱落"/>
                    <pic:cNvPicPr/>
                  </pic:nvPicPr>
                  <pic:blipFill>
                    <a:blip r:embed="rId18"/>
                    <a:stretch>
                      <a:fillRect/>
                    </a:stretch>
                  </pic:blipFill>
                  <pic:spPr>
                    <a:xfrm>
                      <a:off x="0" y="0"/>
                      <a:ext cx="2160905" cy="1440815"/>
                    </a:xfrm>
                    <a:prstGeom prst="rect">
                      <a:avLst/>
                    </a:prstGeom>
                    <a:noFill/>
                    <a:ln>
                      <a:noFill/>
                    </a:ln>
                  </pic:spPr>
                </pic:pic>
              </a:graphicData>
            </a:graphic>
          </wp:inline>
        </w:drawing>
      </w:r>
    </w:p>
    <w:p w14:paraId="2EAD232A">
      <w:pPr>
        <w:jc w:val="both"/>
        <w:rPr>
          <w:sz w:val="21"/>
          <w:szCs w:val="21"/>
        </w:rPr>
      </w:pPr>
      <w:r>
        <w:rPr>
          <w:rFonts w:hint="eastAsia"/>
          <w:sz w:val="21"/>
          <w:szCs w:val="21"/>
        </w:rPr>
        <w:t>（a）The crack and seepage of hinge joint   （b）Abscission of concrete and reinforced</w:t>
      </w:r>
    </w:p>
    <w:p w14:paraId="14236121">
      <w:pPr>
        <w:jc w:val="center"/>
        <w:rPr>
          <w:rFonts w:hint="eastAsia"/>
          <w:sz w:val="21"/>
          <w:szCs w:val="21"/>
        </w:rPr>
      </w:pPr>
      <w:r>
        <w:rPr>
          <w:rFonts w:hint="eastAsia"/>
          <w:sz w:val="21"/>
          <w:szCs w:val="21"/>
        </w:rPr>
        <w:t>Fig.2 Typical distress pattern in Type 1 hinge joints</w:t>
      </w:r>
    </w:p>
    <w:p w14:paraId="18DBCDDD">
      <w:pPr>
        <w:bidi w:val="0"/>
      </w:pPr>
      <w:r>
        <w:rPr>
          <w:rFonts w:ascii="Arial" w:hAnsi="Arial" w:cs="Arial"/>
          <w:lang w:eastAsia="zh-CN"/>
        </w:rPr>
        <w:t>(</w:t>
      </w:r>
      <w:r>
        <w:rPr>
          <w:rFonts w:hint="eastAsia" w:ascii="Arial" w:hAnsi="Arial" w:cs="Arial"/>
          <w:lang w:val="en-US" w:eastAsia="zh-CN"/>
        </w:rPr>
        <w:t>2</w:t>
      </w:r>
      <w:r>
        <w:rPr>
          <w:rFonts w:ascii="Arial" w:hAnsi="Arial" w:cs="Arial"/>
          <w:lang w:eastAsia="zh-CN"/>
        </w:rPr>
        <w:t>)</w:t>
      </w:r>
      <w:r>
        <w:rPr>
          <w:rFonts w:hint="default"/>
          <w:lang w:val="en-US" w:eastAsia="zh-CN"/>
        </w:rPr>
        <w:t>Longitudinal cracking of the wearing course above hinge joints</w:t>
      </w:r>
      <w:r>
        <w:rPr>
          <w:rFonts w:hint="default"/>
          <w:lang w:val="en-US" w:eastAsia="zh-CN"/>
        </w:rPr>
        <w:br w:type="textWrapping"/>
      </w:r>
      <w:r>
        <w:rPr>
          <w:rFonts w:hint="default"/>
          <w:lang w:val="en-US" w:eastAsia="zh-CN"/>
        </w:rPr>
        <w:t>Under repeated traffic loading, a regular longitudinal crack often develops directly above the hinge joint within the wheel-path zone of the deck [3]. If left unaddressed, the crack can propagate through the asphalt layer, forming continuous slots and eventually potholes. In severe cases, the progressive loss of composite action between the slabs can lead to the collapse of the outermost precast slab and, ultimately, the entire bridge (Fig. 3).</w:t>
      </w:r>
    </w:p>
    <w:p w14:paraId="24A99ED5">
      <w:pPr>
        <w:ind w:firstLine="480"/>
      </w:pPr>
      <w:r>
        <w:rPr>
          <w:rFonts w:hint="eastAsia"/>
        </w:rPr>
        <w:drawing>
          <wp:inline distT="0" distB="0" distL="114300" distR="114300">
            <wp:extent cx="2160270" cy="1440180"/>
            <wp:effectExtent l="0" t="0" r="11430" b="7620"/>
            <wp:docPr id="9" name="图片 6" descr="铺装层纵向开裂"/>
            <wp:cNvGraphicFramePr/>
            <a:graphic xmlns:a="http://schemas.openxmlformats.org/drawingml/2006/main">
              <a:graphicData uri="http://schemas.openxmlformats.org/drawingml/2006/picture">
                <pic:pic xmlns:pic="http://schemas.openxmlformats.org/drawingml/2006/picture">
                  <pic:nvPicPr>
                    <pic:cNvPr id="9" name="图片 6" descr="铺装层纵向开裂"/>
                    <pic:cNvPicPr/>
                  </pic:nvPicPr>
                  <pic:blipFill>
                    <a:blip r:embed="rId19"/>
                    <a:srcRect t="16011" r="25421" b="22049"/>
                    <a:stretch>
                      <a:fillRect/>
                    </a:stretch>
                  </pic:blipFill>
                  <pic:spPr>
                    <a:xfrm>
                      <a:off x="0" y="0"/>
                      <a:ext cx="2160270" cy="1440180"/>
                    </a:xfrm>
                    <a:prstGeom prst="rect">
                      <a:avLst/>
                    </a:prstGeom>
                    <a:noFill/>
                    <a:ln>
                      <a:noFill/>
                    </a:ln>
                  </pic:spPr>
                </pic:pic>
              </a:graphicData>
            </a:graphic>
          </wp:inline>
        </w:drawing>
      </w:r>
      <w:r>
        <w:rPr>
          <w:rFonts w:hint="eastAsia"/>
        </w:rPr>
        <w:t xml:space="preserve">   </w:t>
      </w:r>
      <w:r>
        <w:drawing>
          <wp:inline distT="0" distB="0" distL="114300" distR="114300">
            <wp:extent cx="2160270" cy="1440815"/>
            <wp:effectExtent l="0" t="0" r="11430" b="6985"/>
            <wp:docPr id="10" name="图片 7"/>
            <wp:cNvGraphicFramePr/>
            <a:graphic xmlns:a="http://schemas.openxmlformats.org/drawingml/2006/main">
              <a:graphicData uri="http://schemas.openxmlformats.org/drawingml/2006/picture">
                <pic:pic xmlns:pic="http://schemas.openxmlformats.org/drawingml/2006/picture">
                  <pic:nvPicPr>
                    <pic:cNvPr id="10" name="图片 7"/>
                    <pic:cNvPicPr preferRelativeResize="0"/>
                  </pic:nvPicPr>
                  <pic:blipFill>
                    <a:blip r:embed="rId20"/>
                    <a:stretch>
                      <a:fillRect/>
                    </a:stretch>
                  </pic:blipFill>
                  <pic:spPr>
                    <a:xfrm>
                      <a:off x="0" y="0"/>
                      <a:ext cx="2160270" cy="1440815"/>
                    </a:xfrm>
                    <a:prstGeom prst="rect">
                      <a:avLst/>
                    </a:prstGeom>
                    <a:noFill/>
                    <a:ln>
                      <a:noFill/>
                    </a:ln>
                  </pic:spPr>
                </pic:pic>
              </a:graphicData>
            </a:graphic>
          </wp:inline>
        </w:drawing>
      </w:r>
    </w:p>
    <w:p w14:paraId="403FA514">
      <w:pPr>
        <w:rPr>
          <w:sz w:val="21"/>
          <w:szCs w:val="21"/>
        </w:rPr>
      </w:pPr>
      <w:r>
        <w:rPr>
          <w:rFonts w:hint="eastAsia"/>
          <w:sz w:val="21"/>
          <w:szCs w:val="21"/>
        </w:rPr>
        <w:t>（a）</w:t>
      </w:r>
      <w:r>
        <w:rPr>
          <w:sz w:val="21"/>
          <w:szCs w:val="21"/>
        </w:rPr>
        <w:t>Longitudinal cracking of pavemen</w:t>
      </w:r>
      <w:r>
        <w:rPr>
          <w:rFonts w:hint="eastAsia"/>
          <w:sz w:val="21"/>
          <w:szCs w:val="21"/>
        </w:rPr>
        <w:t xml:space="preserve">   （b）</w:t>
      </w:r>
      <w:r>
        <w:rPr>
          <w:sz w:val="21"/>
          <w:szCs w:val="21"/>
        </w:rPr>
        <w:t>Pit slot of Hinge joints crack formation</w:t>
      </w:r>
    </w:p>
    <w:p w14:paraId="60787F08">
      <w:pPr>
        <w:ind w:firstLine="480"/>
      </w:pPr>
      <w:r>
        <w:drawing>
          <wp:inline distT="0" distB="0" distL="114300" distR="114300">
            <wp:extent cx="2160905" cy="1440180"/>
            <wp:effectExtent l="0" t="0" r="10795" b="7620"/>
            <wp:docPr id="11" name="图片 11"/>
            <wp:cNvGraphicFramePr/>
            <a:graphic xmlns:a="http://schemas.openxmlformats.org/drawingml/2006/main">
              <a:graphicData uri="http://schemas.openxmlformats.org/drawingml/2006/picture">
                <pic:pic xmlns:pic="http://schemas.openxmlformats.org/drawingml/2006/picture">
                  <pic:nvPicPr>
                    <pic:cNvPr id="11" name="图片 11"/>
                    <pic:cNvPicPr preferRelativeResize="0"/>
                  </pic:nvPicPr>
                  <pic:blipFill>
                    <a:blip r:embed="rId21"/>
                    <a:stretch>
                      <a:fillRect/>
                    </a:stretch>
                  </pic:blipFill>
                  <pic:spPr>
                    <a:xfrm>
                      <a:off x="0" y="0"/>
                      <a:ext cx="2160905" cy="1440180"/>
                    </a:xfrm>
                    <a:prstGeom prst="rect">
                      <a:avLst/>
                    </a:prstGeom>
                    <a:noFill/>
                    <a:ln>
                      <a:noFill/>
                    </a:ln>
                  </pic:spPr>
                </pic:pic>
              </a:graphicData>
            </a:graphic>
          </wp:inline>
        </w:drawing>
      </w:r>
    </w:p>
    <w:p w14:paraId="56DAC15A">
      <w:pPr>
        <w:ind w:firstLine="1050" w:firstLineChars="500"/>
        <w:rPr>
          <w:sz w:val="21"/>
          <w:szCs w:val="21"/>
        </w:rPr>
      </w:pPr>
      <w:r>
        <w:rPr>
          <w:rFonts w:hint="eastAsia"/>
          <w:sz w:val="21"/>
          <w:szCs w:val="21"/>
        </w:rPr>
        <w:t>（c）</w:t>
      </w:r>
      <w:r>
        <w:rPr>
          <w:sz w:val="21"/>
          <w:szCs w:val="21"/>
        </w:rPr>
        <w:t>Slab edge collapse</w:t>
      </w:r>
      <w:r>
        <w:rPr>
          <w:rFonts w:hint="eastAsia"/>
          <w:sz w:val="21"/>
          <w:szCs w:val="21"/>
        </w:rPr>
        <w:t xml:space="preserve">                </w:t>
      </w:r>
    </w:p>
    <w:p w14:paraId="50839CEB">
      <w:pPr>
        <w:jc w:val="center"/>
        <w:rPr>
          <w:rFonts w:hint="eastAsia"/>
          <w:sz w:val="21"/>
          <w:szCs w:val="21"/>
        </w:rPr>
      </w:pPr>
      <w:r>
        <w:rPr>
          <w:rFonts w:hint="eastAsia"/>
          <w:sz w:val="21"/>
          <w:szCs w:val="21"/>
        </w:rPr>
        <w:t>Fig.3 Typical distress pattern in Type 2 hinge joints</w:t>
      </w:r>
    </w:p>
    <w:p w14:paraId="09921DC6">
      <w:pPr>
        <w:pStyle w:val="24"/>
        <w:numPr>
          <w:ilvl w:val="1"/>
          <w:numId w:val="2"/>
        </w:numPr>
        <w:rPr>
          <w:rFonts w:ascii="Segoe UI" w:hAnsi="Segoe UI" w:eastAsia="Segoe UI" w:cs="Segoe UI"/>
          <w:caps w:val="0"/>
          <w:szCs w:val="24"/>
          <w:shd w:val="clear" w:color="auto" w:fill="FFFFFF"/>
          <w:lang w:eastAsia="zh-CN" w:bidi="ar"/>
        </w:rPr>
      </w:pPr>
      <w:r>
        <w:rPr>
          <w:rFonts w:ascii="Segoe UI" w:hAnsi="Segoe UI" w:eastAsia="Segoe UI" w:cs="Segoe UI"/>
          <w:caps w:val="0"/>
          <w:szCs w:val="24"/>
          <w:shd w:val="clear" w:color="auto" w:fill="FFFFFF"/>
          <w:lang w:eastAsia="zh-CN" w:bidi="ar"/>
        </w:rPr>
        <w:t>Causes of hinge-joint failure in hollow-core slab bridges</w:t>
      </w:r>
    </w:p>
    <w:p w14:paraId="01E333F3">
      <w:pPr>
        <w:pStyle w:val="23"/>
        <w:spacing w:after="0"/>
        <w:rPr>
          <w:rFonts w:ascii="Arial" w:hAnsi="Arial" w:cs="Arial"/>
          <w:lang w:eastAsia="zh-CN"/>
        </w:rPr>
      </w:pPr>
      <w:r>
        <w:rPr>
          <w:rFonts w:hint="default" w:ascii="Arial" w:hAnsi="Arial" w:cs="Arial"/>
          <w:lang w:val="en-US" w:eastAsia="zh-CN"/>
        </w:rPr>
        <w:t>Investigations show that failure originates from three inter-related groups of factors: structural design, construction quality, and service conditions [4–5].</w:t>
      </w:r>
    </w:p>
    <w:p w14:paraId="5C6A07D6">
      <w:pPr>
        <w:pStyle w:val="23"/>
        <w:numPr>
          <w:ilvl w:val="0"/>
          <w:numId w:val="3"/>
        </w:numPr>
        <w:spacing w:after="0"/>
        <w:rPr>
          <w:rFonts w:hint="default" w:ascii="Arial" w:hAnsi="Arial" w:cs="Arial"/>
          <w:lang w:eastAsia="zh-CN"/>
        </w:rPr>
      </w:pPr>
      <w:r>
        <w:rPr>
          <w:rFonts w:hint="default" w:ascii="Arial" w:hAnsi="Arial" w:cs="Arial"/>
          <w:lang w:val="en-US" w:eastAsia="zh-CN"/>
        </w:rPr>
        <w:t>Structural Design</w:t>
      </w:r>
      <w:r>
        <w:rPr>
          <w:rFonts w:hint="default" w:ascii="Arial" w:hAnsi="Arial" w:cs="Arial"/>
          <w:lang w:val="en-US" w:eastAsia="zh-CN"/>
        </w:rPr>
        <w:br w:type="textWrapping"/>
      </w:r>
      <w:r>
        <w:rPr>
          <w:rFonts w:hint="default" w:ascii="Arial" w:hAnsi="Arial" w:cs="Arial"/>
          <w:lang w:val="en-US" w:eastAsia="zh-CN"/>
        </w:rPr>
        <w:t>Early bridges employed shallow hinge joints. Due to the small joint depth and lack of tie bars, the shear keys were only weakly anchored to the adjacent slabs, resulting in insufficient transverse tie force. Although hinge-slab theory indicated that shallow joints could carry design loads, field evidence revealed rapid and widespread deterioration [6–7]. The narrow gap also prevented effective internal vibration; concrete could only be compacted from the top, leading to poor compaction and weak bond.</w:t>
      </w:r>
      <w:bookmarkStart w:id="1" w:name="_GoBack"/>
      <w:bookmarkEnd w:id="1"/>
      <w:r>
        <w:rPr>
          <w:rFonts w:hint="default" w:ascii="Arial" w:hAnsi="Arial" w:cs="Arial"/>
          <w:lang w:val="en-US" w:eastAsia="zh-CN"/>
        </w:rPr>
        <w:t>From the 1990s onward, deep joints became standard, improving concrete placement and quality. However, the multi-sided geometry restrains relative rotation, subjecting the joint to combined shear and moment. Factors such as shrinkage, creep, and the bond between old and new concretes are seldom explicitly considered, yet they introduce tensile stresses that precipitate cracking.</w:t>
      </w:r>
    </w:p>
    <w:p w14:paraId="5FF44C09">
      <w:pPr>
        <w:pStyle w:val="23"/>
        <w:spacing w:after="0"/>
        <w:rPr>
          <w:rFonts w:hint="default" w:ascii="Arial" w:hAnsi="Arial" w:cs="Arial"/>
          <w:lang w:eastAsia="zh-CN"/>
        </w:rPr>
      </w:pPr>
      <w:r>
        <w:rPr>
          <w:rFonts w:hint="eastAsia" w:ascii="Arial" w:hAnsi="Arial" w:cs="Arial"/>
          <w:lang w:val="en-US" w:eastAsia="zh-CN"/>
        </w:rPr>
        <w:t>2.</w:t>
      </w:r>
      <w:r>
        <w:rPr>
          <w:rFonts w:hint="default" w:ascii="Arial" w:hAnsi="Arial" w:cs="Arial"/>
          <w:lang w:val="en-US" w:eastAsia="zh-CN"/>
        </w:rPr>
        <w:t>Construction Quality</w:t>
      </w:r>
    </w:p>
    <w:p w14:paraId="329283E6">
      <w:pPr>
        <w:pStyle w:val="23"/>
        <w:spacing w:after="0"/>
        <w:rPr>
          <w:rFonts w:hint="default" w:ascii="Arial" w:hAnsi="Arial" w:cs="Arial"/>
          <w:lang w:eastAsia="zh-CN"/>
        </w:rPr>
      </w:pPr>
      <w:r>
        <w:rPr>
          <w:rFonts w:hint="default" w:ascii="Arial" w:hAnsi="Arial" w:cs="Arial"/>
          <w:lang w:val="en-US" w:eastAsia="zh-CN"/>
        </w:rPr>
        <w:t>Joint width is often too small to allow proper compaction and strength.Slab edges are either left un-roughened or the loosened grout is not removed, reducing interface bond.Dry substrate absorbs mixing water, further weakening the interface.Tie bars cannot be reliably lapped or welded in the confined gap; common issues include the wrong steel grade or concrete class, leaky formwork, and premature loading [8].</w:t>
      </w:r>
    </w:p>
    <w:p w14:paraId="4792A02D">
      <w:pPr>
        <w:pStyle w:val="23"/>
        <w:spacing w:after="0"/>
        <w:rPr>
          <w:rFonts w:hint="default" w:ascii="Arial" w:hAnsi="Arial" w:cs="Arial"/>
          <w:lang w:eastAsia="zh-CN"/>
        </w:rPr>
      </w:pPr>
      <w:r>
        <w:rPr>
          <w:rFonts w:hint="eastAsia" w:ascii="Arial" w:hAnsi="Arial" w:cs="Arial"/>
          <w:lang w:val="en-US" w:eastAsia="zh-CN"/>
        </w:rPr>
        <w:t>3.</w:t>
      </w:r>
      <w:r>
        <w:rPr>
          <w:rFonts w:hint="default" w:ascii="Arial" w:hAnsi="Arial" w:cs="Arial"/>
          <w:lang w:val="en-US" w:eastAsia="zh-CN"/>
        </w:rPr>
        <w:t>Service Conditions</w:t>
      </w:r>
    </w:p>
    <w:p w14:paraId="61FF581B">
      <w:pPr>
        <w:pStyle w:val="23"/>
        <w:spacing w:after="0"/>
        <w:rPr>
          <w:rFonts w:hint="default" w:ascii="Arial" w:hAnsi="Arial" w:cs="Arial"/>
          <w:lang w:val="en-US" w:eastAsia="zh-CN"/>
        </w:rPr>
      </w:pPr>
      <w:r>
        <w:rPr>
          <w:rFonts w:hint="default" w:ascii="Arial" w:hAnsi="Arial" w:cs="Arial"/>
          <w:lang w:val="en-US" w:eastAsia="zh-CN"/>
        </w:rPr>
        <w:t>Overloading: With continuous growth in traffic and allowable axle loads, local shear stress in the joint rises sharply. On short-span bridges, the vehicle contribution to total load effect is disproportionately large due to poor transverse load distribution; overload therefore concentrates on the joint [9,10].Fatigue and Dynamic Effects: Repeated vehicle passages induce cyclic stresses. Rough deck profiles excite vehicle–bridge resonance, amplifying impact forces and reducing transverse clamping force.Thermal and Shrinkage Action: The cast-in-place joint and overlay are placed long after the precast girders have cooled and shortened. Differential temperature and long-term creep create tension in the joint. Friction at the interface, although restraining rotation, also pulls the joint apart. Full-scale tests by Zhao et al. identified thermal stress as the primary cracking agent, with live load merely accelerating propagation [11].Lane-Specific Deterioration: Traffic segregation (light cars on the left lane, heavy trucks on the right) fixes the position of wheel loads. Joints beneath the right lane therefore endure higher cumulative damage. Once the wearing course cracks, water and de-icing salts penetrate; freeze–thaw cycles and reinforcement corrosion rapidly complete the loss of transverse integrity [12,13].</w:t>
      </w:r>
    </w:p>
    <w:p w14:paraId="1A1E3EA5">
      <w:pPr>
        <w:pStyle w:val="23"/>
        <w:spacing w:after="0"/>
        <w:rPr>
          <w:rFonts w:hint="default" w:ascii="Arial" w:hAnsi="Arial" w:cs="Arial"/>
          <w:lang w:val="en-US" w:eastAsia="zh-CN"/>
        </w:rPr>
      </w:pPr>
    </w:p>
    <w:p w14:paraId="609024DF">
      <w:pPr>
        <w:pStyle w:val="24"/>
        <w:numPr>
          <w:ilvl w:val="0"/>
          <w:numId w:val="2"/>
        </w:numPr>
        <w:rPr>
          <w:lang w:eastAsia="zh-CN"/>
        </w:rPr>
      </w:pPr>
      <w:r>
        <w:t>Research Status of Hollow-Core Slab Bridge Hinge Joints at Home and Abroad</w:t>
      </w:r>
    </w:p>
    <w:p w14:paraId="4F84C9A3">
      <w:pPr>
        <w:pStyle w:val="24"/>
        <w:numPr>
          <w:ilvl w:val="1"/>
          <w:numId w:val="2"/>
        </w:numPr>
        <w:rPr>
          <w:rFonts w:ascii="Segoe UI" w:hAnsi="Segoe UI" w:eastAsia="Segoe UI" w:cs="Segoe UI"/>
          <w:caps w:val="0"/>
          <w:szCs w:val="24"/>
          <w:shd w:val="clear" w:color="auto" w:fill="FFFFFF"/>
          <w:lang w:eastAsia="zh-CN" w:bidi="ar"/>
        </w:rPr>
      </w:pPr>
      <w:r>
        <w:rPr>
          <w:rFonts w:ascii="Segoe UI" w:hAnsi="Segoe UI" w:eastAsia="Segoe UI" w:cs="Segoe UI"/>
          <w:caps w:val="0"/>
          <w:szCs w:val="24"/>
          <w:shd w:val="clear" w:color="auto" w:fill="FFFFFF"/>
          <w:lang w:eastAsia="zh-CN" w:bidi="ar"/>
        </w:rPr>
        <w:t>Mechanical Transfer Theory Analysis of Hinge Joints in Hollow-Core Slab Bridges​</w:t>
      </w:r>
    </w:p>
    <w:p w14:paraId="02463D04">
      <w:pPr>
        <w:pStyle w:val="23"/>
        <w:spacing w:after="0"/>
        <w:rPr>
          <w:rFonts w:ascii="Arial" w:hAnsi="Arial" w:cs="Arial"/>
          <w:lang w:eastAsia="zh-CN"/>
        </w:rPr>
      </w:pPr>
    </w:p>
    <w:p w14:paraId="708A61C6">
      <w:pPr>
        <w:pStyle w:val="23"/>
        <w:spacing w:after="0"/>
        <w:rPr>
          <w:rFonts w:ascii="Arial" w:hAnsi="Arial" w:cs="Arial"/>
        </w:rPr>
      </w:pPr>
      <w:r>
        <w:rPr>
          <w:rFonts w:ascii="Arial" w:hAnsi="Arial" w:cs="Arial"/>
          <w:lang w:eastAsia="zh-CN"/>
        </w:rPr>
        <w:t>With respect to hinge-joint detailing and geometry, engineers have traditionally selected details straight from standard drawing collections. Field experience soon showed that the catalogue requirements were inadequate, prompting focused research on hinge-joint behaviour. Zeng Qiang [14] pointed out that the two prevailing analytical models are the “hinged-slab” method and the “rigidly connected slab” method, explained their respective calculation principles, and used software to check the transverse load-distribution coefficients. The hinged-slab approach assumes that the joint transfers shear only, whereas the rigid-connection approach accounts for combined shear and moment transfer.</w:t>
      </w:r>
    </w:p>
    <w:p w14:paraId="48180B55">
      <w:pPr>
        <w:pStyle w:val="23"/>
        <w:spacing w:after="0"/>
        <w:rPr>
          <w:rFonts w:ascii="Arial" w:hAnsi="Arial" w:cs="Arial"/>
        </w:rPr>
      </w:pPr>
      <w:r>
        <w:rPr>
          <w:rFonts w:ascii="Arial" w:hAnsi="Arial" w:cs="Arial"/>
          <w:lang w:eastAsia="zh-CN"/>
        </w:rPr>
        <w:t>Yu Bo et al. [15] idealised a hinged-slab bridge as an orthotropic plate with zero torsional and transverse flexural rigidity, and studied the resulting shear distribution. They concluded that hinge-joint shear is essentially a local effect governed by cross-sectional properties and span length.</w:t>
      </w:r>
    </w:p>
    <w:p w14:paraId="7799A9A3">
      <w:pPr>
        <w:pStyle w:val="23"/>
        <w:spacing w:after="0"/>
        <w:rPr>
          <w:rFonts w:ascii="Arial" w:hAnsi="Arial" w:cs="Arial"/>
        </w:rPr>
      </w:pPr>
      <w:r>
        <w:rPr>
          <w:rFonts w:ascii="Arial" w:hAnsi="Arial" w:cs="Arial"/>
          <w:lang w:eastAsia="zh-CN"/>
        </w:rPr>
        <w:t>Wei Yan et al. [16], after surveying field damage and running finite-element simulations, identified interface failure as the dominant hinge-joint failure mode. They recommended adopting the European Union formula for checking the interface and proposed a simplified version.</w:t>
      </w:r>
    </w:p>
    <w:p w14:paraId="24556562">
      <w:pPr>
        <w:pStyle w:val="23"/>
        <w:spacing w:after="0"/>
        <w:rPr>
          <w:rFonts w:ascii="Arial" w:hAnsi="Arial" w:cs="Arial"/>
        </w:rPr>
      </w:pPr>
      <w:r>
        <w:rPr>
          <w:rFonts w:ascii="Arial" w:hAnsi="Arial" w:cs="Arial"/>
          <w:lang w:eastAsia="zh-CN"/>
        </w:rPr>
        <w:t>Qiao Xueli [17] re-examined the classical hinge-joint calculation theory with the aid of ANSYS, clarified parts of the load-transfer mechanism and suggested partial modifications to the usual assumptions.</w:t>
      </w:r>
    </w:p>
    <w:p w14:paraId="03A62948">
      <w:pPr>
        <w:pStyle w:val="23"/>
        <w:spacing w:after="0"/>
        <w:rPr>
          <w:rFonts w:ascii="Arial" w:hAnsi="Arial" w:cs="Arial"/>
        </w:rPr>
      </w:pPr>
      <w:r>
        <w:rPr>
          <w:rFonts w:ascii="Arial" w:hAnsi="Arial" w:cs="Arial"/>
          <w:lang w:eastAsia="zh-CN"/>
        </w:rPr>
        <w:t>Kaneko et al. [18, 19] (1993) analysed hinge-joint failure within the framework of fracture mechanics and derived an expression for shear strength based on that approach.</w:t>
      </w:r>
    </w:p>
    <w:p w14:paraId="19A5F3C5">
      <w:pPr>
        <w:pStyle w:val="23"/>
        <w:spacing w:after="0"/>
        <w:rPr>
          <w:rFonts w:ascii="Arial" w:hAnsi="Arial" w:cs="Arial"/>
        </w:rPr>
      </w:pPr>
    </w:p>
    <w:p w14:paraId="54E691D7">
      <w:pPr>
        <w:pStyle w:val="24"/>
        <w:numPr>
          <w:ilvl w:val="1"/>
          <w:numId w:val="2"/>
        </w:numPr>
        <w:rPr>
          <w:rFonts w:ascii="Arial" w:hAnsi="Arial" w:cs="Arial"/>
          <w:caps w:val="0"/>
          <w:lang w:eastAsia="zh-CN"/>
        </w:rPr>
      </w:pPr>
      <w:r>
        <w:rPr>
          <w:rFonts w:ascii="Segoe UI" w:hAnsi="Segoe UI" w:eastAsia="Segoe UI" w:cs="Segoe UI"/>
          <w:caps w:val="0"/>
          <w:szCs w:val="24"/>
          <w:shd w:val="clear" w:color="auto" w:fill="FFFFFF"/>
          <w:lang w:eastAsia="zh-CN" w:bidi="ar"/>
        </w:rPr>
        <w:t>Numerical Simulation Analysis of Load Transfer in Hollow-Core Slab Bridge Hinge Joints</w:t>
      </w:r>
      <w:r>
        <w:rPr>
          <w:rFonts w:ascii="Arial" w:hAnsi="Arial" w:cs="Arial"/>
          <w:bCs/>
          <w:caps w:val="0"/>
          <w:lang w:eastAsia="zh-CN"/>
        </w:rPr>
        <w:t>​</w:t>
      </w:r>
    </w:p>
    <w:p w14:paraId="0C0DB8A3">
      <w:pPr>
        <w:pStyle w:val="23"/>
        <w:spacing w:after="0"/>
        <w:rPr>
          <w:rFonts w:ascii="Arial" w:hAnsi="Arial" w:cs="Arial"/>
        </w:rPr>
      </w:pPr>
    </w:p>
    <w:p w14:paraId="34C631A6">
      <w:pPr>
        <w:pStyle w:val="23"/>
        <w:spacing w:after="0"/>
        <w:rPr>
          <w:rFonts w:ascii="Arial" w:hAnsi="Arial" w:cs="Arial"/>
          <w:lang w:eastAsia="zh-CN"/>
        </w:rPr>
      </w:pPr>
      <w:r>
        <w:rPr>
          <w:rFonts w:ascii="Arial" w:hAnsi="Arial" w:cs="Arial"/>
          <w:lang w:eastAsia="zh-CN"/>
        </w:rPr>
        <w:t>Song Yao et al. [20] simulated progressive hinge-joint damage by progressively reducing the joint’s elastic modulus, applied influence-line loading to obtain the most unfavourable load cases, and quantified how the degree of joint deterioration affects transverse load distribution.Chen Yuechi et al. [21] built a solid-element model of a precast hollow-core slab bridge, tracked the joint response under vehicle loads, and reproduced the complete failure process, failure mode and crack location.Liu Peilin et al. [22] performed finite-element contact-stress analysis of the hinge-joint interface, identified the critical stress-control points and the weakest regions, and proposed detailing improvements accordingly.Zhou, Xiangjun, et al. [23] In response to issues such as poor force transmission of hinge joints and difficult-to-guarantee construction quality in traditional hollow slab bridges, a hingeless hollow slab bridge design method is proposed. By increasing the width of individual hollow slab beams and enhancing the bridge deck pavement, and through finite element model analysis to verify the improvement of structural force performance, theoretical basis is provided for the design and promotion of this type of bridge.Zhang, Yiming [24] In response to issues such as monitoring delays, untimely early warnings, and low monitoring frequency in bridge construction monitoring, the author integrated BIM (Building Information Modeling) and FEA (Finite Element Analysis) models to propose a new bridge construction monitoring model. The significant advantages of this model in improving monitoring accuracy, reducing economic costs, and eliminating monitoring and early warning delays were verified through simulation experiments and practical applications.Cao, Xiaozhe. [25] Through theoretical analysis and experimental research, the impact of the overall pavement layer on the force and deformation of the bridge's main girder was explored, and a calculation method for the deformation of the main girder considering the effect of the overall pavement layer was proposed, providing a theoretical basis and engineering application value for bridge design.Chen, Maorong [26] A nonlinear finite element model of the entire bridge was established using ABAQUS software, and this model was utilized to simulate and analyze the mechanical performance of a horizontally prestressed precast voided slab bridge with partial-depth shear keys under load. The accuracy of the model was verified, and the impact of transverse prestressing on the failure mode of the shear key interface was also analyzed.Zhang, Wenha</w:t>
      </w:r>
      <w:r>
        <w:rPr>
          <w:rFonts w:hint="eastAsia" w:ascii="Arial" w:hAnsi="Arial" w:cs="Arial"/>
          <w:lang w:val="en-US" w:eastAsia="zh-CN"/>
        </w:rPr>
        <w:t>o</w:t>
      </w:r>
      <w:r>
        <w:rPr>
          <w:rFonts w:ascii="Arial" w:hAnsi="Arial" w:cs="Arial"/>
          <w:lang w:eastAsia="zh-CN"/>
        </w:rPr>
        <w:t>. [27] A study on the experimental research and finite element analysis of hollow slab bridges reinforced with prestressed carbon fiber-reinforced polymer (CFRP) was conducted, aiming to evaluate and verify the effectiveness of this reinforcement technique in enhancing the load-bearing capacity and stiffness of bridges.</w:t>
      </w:r>
    </w:p>
    <w:p w14:paraId="53C7038F">
      <w:pPr>
        <w:pStyle w:val="24"/>
        <w:numPr>
          <w:ilvl w:val="1"/>
          <w:numId w:val="2"/>
        </w:numPr>
        <w:rPr>
          <w:rFonts w:ascii="Segoe UI" w:hAnsi="Segoe UI" w:eastAsia="Segoe UI" w:cs="Segoe UI"/>
          <w:caps w:val="0"/>
          <w:szCs w:val="24"/>
          <w:shd w:val="clear" w:color="auto" w:fill="FFFFFF"/>
          <w:lang w:eastAsia="zh-CN" w:bidi="ar"/>
        </w:rPr>
      </w:pPr>
      <w:r>
        <w:rPr>
          <w:rFonts w:ascii="Segoe UI" w:hAnsi="Segoe UI" w:eastAsia="Segoe UI" w:cs="Segoe UI"/>
          <w:caps w:val="0"/>
          <w:szCs w:val="24"/>
          <w:shd w:val="clear" w:color="auto" w:fill="FFFFFF"/>
          <w:lang w:eastAsia="zh-CN" w:bidi="ar"/>
        </w:rPr>
        <w:t xml:space="preserve"> Experimental Studies on Load Transfer in Hollow-Core Slab Bridge Hinge Joints</w:t>
      </w:r>
    </w:p>
    <w:p w14:paraId="1D512314">
      <w:pPr>
        <w:pStyle w:val="23"/>
        <w:spacing w:after="0"/>
        <w:rPr>
          <w:rFonts w:ascii="Arial" w:hAnsi="Arial" w:cs="Arial"/>
          <w:lang w:eastAsia="zh-CN"/>
        </w:rPr>
      </w:pPr>
      <w:r>
        <w:rPr>
          <w:rFonts w:ascii="Arial" w:hAnsi="Arial" w:cs="Arial"/>
          <w:lang w:eastAsia="zh-CN"/>
        </w:rPr>
        <w:t xml:space="preserve">Liu, Liang et al. [28] The study examined the failure patterns of the joints in prefabricated hollow slab bridges and proposed a reinforcement scheme using transverse prestressed steel strand cables. By simulating and comparing the effects of different reinforcement plans, the study evaluated the effectiveness of the reinforcement measures in improving the load-bearing performance of the bridge joints.Chong Yongfeng [29] compared three joint details; the specimen with crossed bars plus portal-shaped reinforcement gave the highest shear capacity and best load-distribution performance.Chen, Ying [30] carried out shear tests on normal-strength concrete joints of different depths and reinforcement layouts, quantified the gain in shear strength and proposed an ultimate-load formula.Mangat, P. S [31] tested local, full-depth models to examine how the thickness of the cast-in-situ overlay and the connection detail affect internal forces.Wang </w:t>
      </w:r>
      <w:r>
        <w:rPr>
          <w:rFonts w:hint="default" w:ascii="Arial" w:hAnsi="Arial" w:cs="Arial"/>
          <w:lang w:eastAsia="zh-CN"/>
        </w:rPr>
        <w:t>Talbot, C</w:t>
      </w:r>
      <w:r>
        <w:rPr>
          <w:rFonts w:hint="eastAsia" w:ascii="Arial" w:hAnsi="Arial" w:cs="Arial"/>
          <w:lang w:val="en-US" w:eastAsia="zh-CN"/>
        </w:rPr>
        <w:t xml:space="preserve">. </w:t>
      </w:r>
      <w:r>
        <w:rPr>
          <w:rFonts w:ascii="Arial" w:hAnsi="Arial" w:cs="Arial"/>
          <w:lang w:eastAsia="zh-CN"/>
        </w:rPr>
        <w:t>et al. [32] monitored strain, deflection and crack propagation in three joint configurations, evaluated transverse load distribution and identified the optimum detail.</w:t>
      </w:r>
      <w:r>
        <w:rPr>
          <w:rFonts w:hint="default" w:ascii="Arial" w:hAnsi="Arial" w:cs="Arial"/>
          <w:lang w:eastAsia="zh-CN"/>
        </w:rPr>
        <w:t>Wei, Jun, et al.</w:t>
      </w:r>
      <w:r>
        <w:rPr>
          <w:rFonts w:ascii="Arial" w:hAnsi="Arial" w:cs="Arial"/>
          <w:lang w:eastAsia="zh-CN"/>
        </w:rPr>
        <w:t xml:space="preserve"> [33] used factor </w:t>
      </w:r>
      <w:r>
        <w:rPr>
          <w:rFonts w:ascii="Segoe UI" w:hAnsi="Segoe UI" w:eastAsia="Segoe UI" w:cs="Segoe UI"/>
          <w:i w:val="0"/>
          <w:iCs w:val="0"/>
          <w:caps w:val="0"/>
          <w:spacing w:val="0"/>
          <w:sz w:val="24"/>
          <w:szCs w:val="24"/>
          <w:shd w:val="clear" w:fill="FFFFFF"/>
          <w:lang w:eastAsia="zh-CN"/>
        </w:rPr>
        <w:t xml:space="preserve">analysis </w:t>
      </w:r>
      <w:r>
        <w:rPr>
          <w:rFonts w:ascii="Arial" w:hAnsi="Arial" w:cs="Arial"/>
          <w:lang w:eastAsia="zh-CN"/>
        </w:rPr>
        <w:t>to show that reinforcement ratio, joint type and joint-to-slab concrete strength ratio govern composite action; deep joints outperform medium or shallow ones</w:t>
      </w:r>
      <w:r>
        <w:rPr>
          <w:rFonts w:hint="eastAsia" w:ascii="Arial" w:hAnsi="Arial" w:cs="Arial"/>
          <w:lang w:val="en-US" w:eastAsia="zh-CN"/>
        </w:rPr>
        <w:t>.</w:t>
      </w:r>
      <w:r>
        <w:rPr>
          <w:color w:val="000000"/>
          <w:kern w:val="0"/>
        </w:rPr>
        <w:t>Issa M A</w:t>
      </w:r>
      <w:r>
        <w:rPr>
          <w:rFonts w:hint="eastAsia"/>
          <w:color w:val="000000"/>
          <w:kern w:val="0"/>
          <w:lang w:val="en-US" w:eastAsia="zh-CN"/>
        </w:rPr>
        <w:t>.</w:t>
      </w:r>
      <w:r>
        <w:rPr>
          <w:rFonts w:ascii="Arial" w:hAnsi="Arial" w:cs="Arial"/>
          <w:lang w:eastAsia="zh-CN"/>
        </w:rPr>
        <w:t xml:space="preserve"> et al. [34] performed shear, flexure and tension tests on joint nodes and compared the effect of different materials.Wang, Hongjie. [35] ran full-scale bridge tests to quantify how joint material and geometry influence load transfer.Li, G. Y et al. [36, 37] replaced the joint concrete with high-performance concrete and recorded markedly higher stiffness and cracking load.Wang, Liyuan</w:t>
      </w:r>
      <w:r>
        <w:rPr>
          <w:rFonts w:hint="eastAsia" w:ascii="Arial" w:hAnsi="Arial" w:cs="Arial"/>
          <w:lang w:val="en-US" w:eastAsia="zh-CN"/>
        </w:rPr>
        <w:t>.</w:t>
      </w:r>
      <w:r>
        <w:rPr>
          <w:rFonts w:ascii="Arial" w:hAnsi="Arial" w:cs="Arial"/>
          <w:lang w:eastAsia="zh-CN"/>
        </w:rPr>
        <w:t xml:space="preserve"> et al. [38, 39] tested a local node that used large-headed transverse bars as the sole shear-transfer device.</w:t>
      </w:r>
      <w:r>
        <w:rPr>
          <w:rFonts w:hint="eastAsia" w:ascii="Arial" w:hAnsi="Arial" w:cs="Arial"/>
          <w:lang w:val="en-US" w:eastAsia="zh-CN"/>
        </w:rPr>
        <w:t>L</w:t>
      </w:r>
      <w:r>
        <w:rPr>
          <w:rFonts w:ascii="Arial" w:hAnsi="Arial" w:cs="Arial"/>
          <w:lang w:eastAsia="zh-CN"/>
        </w:rPr>
        <w:t>ssa, M. Aet al. [40] duplicated the shear/flexure/tension programme of Issa but on full-scale T-girders.In summary, classical hinged-slab or rigid-slab theories only give the magnitude of load transferred; they reveal nothing about the joint’s own performance. Overseas researchers combined theory with tests to clarify how material, dimensions and prestress affect behaviour, and subsequently improved durability by upgrading materials, thickening the overlay or applying transverse prestress [41].In China, existing bridges are usually strengthened by post-tensioned transverse bars, steel plates or additional pavement thickness. Although recommended details exist, both field data [28, 42] and laboratory reports [43] show that joints still lack long-term durability. Domestic tests [28, 33, 30, 44] have concentrated on shear capacity or on the joint in full-scale decks; proposed improvements in detailing and reinforcement [45-47] have not been fully validated and their load-transfer mechanism remains unclear. Neither Chinese bridge design code [48, 49] gives explicit provisions for joint configuration, force characteristics or resistance values. Foreign practice is mature, but the transverse joint types differ from those in China and cannot be adopted directly. There is therefore an urgent need to quantify how joint material, reinforcement, geometry and overlay thickness influence cracking load, crack propagation and failure mode, so that reliable load-transfer performance can be achieved.</w:t>
      </w:r>
    </w:p>
    <w:p w14:paraId="6B9EDDD3">
      <w:pPr>
        <w:pStyle w:val="23"/>
        <w:spacing w:after="0"/>
        <w:rPr>
          <w:rFonts w:ascii="Arial" w:hAnsi="Arial" w:cs="Arial"/>
          <w:lang w:eastAsia="zh-CN"/>
        </w:rPr>
      </w:pPr>
    </w:p>
    <w:p w14:paraId="11BFA462">
      <w:pPr>
        <w:pStyle w:val="24"/>
        <w:numPr>
          <w:ilvl w:val="0"/>
          <w:numId w:val="2"/>
        </w:numPr>
        <w:rPr>
          <w:rFonts w:ascii="Segoe UI" w:hAnsi="Segoe UI" w:eastAsia="Segoe UI" w:cs="Segoe UI"/>
          <w:caps w:val="0"/>
          <w:szCs w:val="24"/>
          <w:shd w:val="clear" w:color="auto" w:fill="FFFFFF"/>
          <w:lang w:eastAsia="zh-CN" w:bidi="ar"/>
        </w:rPr>
      </w:pPr>
      <w:r>
        <w:rPr>
          <w:rFonts w:ascii="Segoe UI" w:hAnsi="Segoe UI" w:eastAsia="Segoe UI" w:cs="Segoe UI"/>
          <w:caps w:val="0"/>
          <w:szCs w:val="24"/>
          <w:shd w:val="clear" w:color="auto" w:fill="FFFFFF"/>
          <w:lang w:eastAsia="zh-CN" w:bidi="ar"/>
        </w:rPr>
        <w:t>Comparison of Worldwide Codes</w:t>
      </w:r>
    </w:p>
    <w:p w14:paraId="139AC2A7">
      <w:pPr>
        <w:pStyle w:val="23"/>
        <w:rPr>
          <w:rFonts w:ascii="Arial" w:hAnsi="Arial" w:cs="Arial"/>
        </w:rPr>
      </w:pPr>
      <w:r>
        <w:rPr>
          <w:lang w:eastAsia="zh-CN"/>
        </w:rPr>
        <w:t>The difference in philosophy among international hinge-joint strengthening codes can be summed up in one sentence: the United States “cures once and for all,” Europe “calculates for a century,” and China “does new bridges in one step and keeps old bridges alive first.”</w:t>
      </w:r>
      <w:r>
        <w:rPr>
          <w:rFonts w:ascii="Arial" w:hAnsi="Arial" w:cs="Arial"/>
          <w:lang w:eastAsia="zh-CN"/>
        </w:rPr>
        <w:t>AASHTO LRFD treats the hinge joint as part of the deck pavement and demands “maintenance-free for life,” so its clauses are crisp: step limit 0.3 mm, joint width ≥ 150 mm, through reinforcement 0.2 % in one go; if UHPC replacement is used, a 4-hour pull-off ≥ 2 MPa is enough for release—read on site and start work.Eurocode is more like a “longevity insurance policy”: interface shear is included in seismic redundancy, 100-year fatigue curve (D ≤ 1), 300 freeze–thaw–salt cycles, roughness 3 mm quantified; “how to calculate, how to verify, how to live long” is written as a chain of formulas. It even allows steel fibres to fully replace bars, provided fibre ≥ 30 kg/m³ and cover increased by 10 mm—numbers so detailed that the contractor can simply follow the table.Back in China, JTG D62 directly aligns new bridges with US–European service life, but keeps “Chinese compactness”—joint width 140 mm, steel 0.18 %, strictest step 0.2 mm. JTG/T J21, facing existing bridges, lowers its stance: joint can be only 80 mm, planted bars Φ12@150 act like “nails,” strength just adequate, 4-hour reopening, later replaceable; “keep traffic moving” is written into the clauses.Behind these differences lies each country’s distinct trade-off in the “risk–life–traffic interruption” triangle: the United States bets on materials, Europe calculates probabilities, China first saves old bridges and then plans the long-term account for new ones.</w:t>
      </w:r>
    </w:p>
    <w:p w14:paraId="03237725">
      <w:pPr>
        <w:pStyle w:val="24"/>
        <w:numPr>
          <w:ilvl w:val="0"/>
          <w:numId w:val="2"/>
        </w:numPr>
        <w:rPr>
          <w:rFonts w:ascii="Segoe UI" w:hAnsi="Segoe UI" w:eastAsia="Segoe UI" w:cs="Segoe UI"/>
          <w:caps w:val="0"/>
          <w:szCs w:val="24"/>
          <w:shd w:val="clear" w:color="auto" w:fill="FFFFFF"/>
          <w:lang w:eastAsia="zh-CN" w:bidi="ar"/>
        </w:rPr>
      </w:pPr>
      <w:r>
        <w:rPr>
          <w:rFonts w:ascii="Segoe UI" w:hAnsi="Segoe UI" w:eastAsia="Segoe UI" w:cs="Segoe UI"/>
          <w:caps w:val="0"/>
          <w:szCs w:val="24"/>
          <w:shd w:val="clear" w:color="auto" w:fill="FFFFFF"/>
          <w:lang w:eastAsia="zh-CN" w:bidi="ar"/>
        </w:rPr>
        <w:t>Overview of Conventional Strengthening Techniques</w:t>
      </w:r>
    </w:p>
    <w:p w14:paraId="6E8797CF">
      <w:pPr>
        <w:pStyle w:val="23"/>
        <w:numPr>
          <w:ilvl w:val="1"/>
          <w:numId w:val="2"/>
        </w:numPr>
        <w:rPr>
          <w:rFonts w:ascii="Segoe UI" w:hAnsi="Segoe UI" w:eastAsia="Segoe UI" w:cs="Segoe UI"/>
          <w:b/>
          <w:sz w:val="22"/>
          <w:szCs w:val="24"/>
          <w:shd w:val="clear" w:color="auto" w:fill="FFFFFF"/>
          <w:lang w:eastAsia="zh-CN" w:bidi="ar"/>
        </w:rPr>
      </w:pPr>
      <w:r>
        <w:rPr>
          <w:rFonts w:ascii="Segoe UI" w:hAnsi="Segoe UI" w:eastAsia="Segoe UI" w:cs="Segoe UI"/>
          <w:b/>
          <w:sz w:val="22"/>
          <w:szCs w:val="24"/>
          <w:shd w:val="clear" w:color="auto" w:fill="FFFFFF"/>
          <w:lang w:eastAsia="zh-CN" w:bidi="ar"/>
        </w:rPr>
        <w:t>Hinge-Joint Concrete Replacement</w:t>
      </w:r>
    </w:p>
    <w:p w14:paraId="5B055DE2">
      <w:pPr>
        <w:pStyle w:val="23"/>
        <w:rPr>
          <w:lang w:eastAsia="zh-CN"/>
        </w:rPr>
      </w:pPr>
      <w:r>
        <w:rPr>
          <w:lang w:eastAsia="zh-CN"/>
        </w:rPr>
        <w:t>Xu Yulong [50] has moved the technology from “proof-of-concept” to a full “mechanism–design–construction” chain. His latest tests spotlight the shallow hinge joint—the most overlooked yet most brittle link. After milling out the damaged joint and the adjacent 50 mm of deck in one pass, a single pour of UHPC was cast, topped with a transverse bar mesh, creating an integral “overlay–joint” thin layer. Cracking load rose 37 % and ultimate flexural capacity jumped 194 %, while crack width was held to 0.04 mm. The fibre-bridging action, combined with a 143.9 MPa cube strength, suppressed shear–uplift mixed cracks and markedly delayed the onset of the fatal “single-slab behaviour” stage.</w:t>
      </w:r>
    </w:p>
    <w:p w14:paraId="2B5EF0C1">
      <w:pPr>
        <w:pStyle w:val="23"/>
        <w:rPr>
          <w:lang w:eastAsia="zh-CN"/>
        </w:rPr>
      </w:pPr>
      <w:r>
        <w:rPr>
          <w:lang w:eastAsia="zh-CN"/>
        </w:rPr>
        <w:t>UHPC, however, is no “universal glue.” The tests also revealed its Achilles heel: the old-to-new interface remained the weakest plane; first cracking still occurred in the parent concrete, proving that bond strength does not automatically “rise with the tide” of the upgraded material. When UHPC was used only as a wearing course while the joint core remained ordinary concrete, interface separation was visible and global integrity actually dropped. In short, to exploit UHPC’s high toughness the entire cross-section must participate—either fill the whole joint void or lengthen the force path with added bars and a thicker overlay so that fibres, steel and SRB (local shear reinforcement) form a “triple-lock” tension–compression redistribution system.</w:t>
      </w:r>
    </w:p>
    <w:p w14:paraId="19CB6BB3">
      <w:pPr>
        <w:pStyle w:val="23"/>
        <w:rPr>
          <w:lang w:eastAsia="zh-CN"/>
        </w:rPr>
      </w:pPr>
      <w:r>
        <w:rPr>
          <w:lang w:eastAsia="zh-CN"/>
        </w:rPr>
        <w:t>Wang Shujian et al. [51] took the “thin UHPC overlay” from the lab to an in-service 4×13m coastal bridge and answered the three questions contractors ask most: (i) Is 5 cm enough? (ii) Can we just overlay the deck and leave the joint untouched? (iii) Is the extra cost versus conventional concrete worthwhile? FE results were unequivocal: a 5 cm UHPC overlay alone raised elastic moment by 13.1 %, ultimate moment by 32.2 % and flexural stiffness by 15.1 %. If the joint was also removed and replaced with UHPC, the figures climbed to 14.2 %, 41.0 % and 17.9 %, while the displacement ductility factor rose from 3.72 to 6.54—meaning crack widths under the same load are roughly halved and ride comfort is markedly improved.</w:t>
      </w:r>
    </w:p>
    <w:p w14:paraId="507778BE">
      <w:pPr>
        <w:pStyle w:val="23"/>
        <w:numPr>
          <w:ilvl w:val="1"/>
          <w:numId w:val="2"/>
        </w:numPr>
        <w:rPr>
          <w:rFonts w:ascii="Segoe UI" w:hAnsi="Segoe UI" w:eastAsia="Segoe UI" w:cs="Segoe UI"/>
          <w:b/>
          <w:sz w:val="22"/>
          <w:szCs w:val="24"/>
          <w:shd w:val="clear" w:color="auto" w:fill="FFFFFF"/>
          <w:lang w:eastAsia="zh-CN" w:bidi="ar"/>
        </w:rPr>
      </w:pPr>
      <w:r>
        <w:rPr>
          <w:rFonts w:ascii="Segoe UI" w:hAnsi="Segoe UI" w:eastAsia="Segoe UI" w:cs="Segoe UI"/>
          <w:b/>
          <w:sz w:val="22"/>
          <w:szCs w:val="24"/>
          <w:shd w:val="clear" w:color="auto" w:fill="FFFFFF"/>
          <w:lang w:eastAsia="zh-CN" w:bidi="ar"/>
        </w:rPr>
        <w:t>Application of Shape-Memory Alloys</w:t>
      </w:r>
    </w:p>
    <w:p w14:paraId="1D7125B8">
      <w:pPr>
        <w:pStyle w:val="23"/>
        <w:rPr>
          <w:lang w:eastAsia="zh-CN"/>
        </w:rPr>
      </w:pPr>
      <w:r>
        <w:rPr>
          <w:lang w:eastAsia="zh-CN"/>
        </w:rPr>
        <w:t>Sun et al. [52] transplanted the aerospace material Fe-SMA into hinge joints, creating a “self-prestressing” scenario. U-shaped Fe-SMA bars replaced conventional HRB400 steel; no jacks were needed—only 60 s of 200 °C electro-thermal activation generated about 330 MPa of recovery stress, equivalent to clamping the old-to-new interface with an “invisible shoulder pole.” Tests showed the 10 m span specimen’s through-crack load rose from 154 kN to 253 kN (+64 %); the 20 m span jumped from 380 kN to 571 kN (+50 %), with no loss in ultimate capacity. Failure shifted from brittle shear to ductile slip, crack widths were almost halved, and the fatal “single-slab” trigger was successfully postponed.</w:t>
      </w:r>
    </w:p>
    <w:p w14:paraId="5AB085AC">
      <w:pPr>
        <w:pStyle w:val="23"/>
        <w:numPr>
          <w:ilvl w:val="1"/>
          <w:numId w:val="2"/>
        </w:numPr>
        <w:rPr>
          <w:rFonts w:ascii="Segoe UI" w:hAnsi="Segoe UI" w:eastAsia="Segoe UI" w:cs="Segoe UI"/>
          <w:b/>
          <w:sz w:val="22"/>
          <w:szCs w:val="24"/>
          <w:shd w:val="clear" w:color="auto" w:fill="FFFFFF"/>
          <w:lang w:eastAsia="zh-CN" w:bidi="ar"/>
        </w:rPr>
      </w:pPr>
      <w:r>
        <w:rPr>
          <w:rFonts w:ascii="Segoe UI" w:hAnsi="Segoe UI" w:eastAsia="Segoe UI" w:cs="Segoe UI"/>
          <w:b/>
          <w:sz w:val="22"/>
          <w:szCs w:val="24"/>
          <w:shd w:val="clear" w:color="auto" w:fill="FFFFFF"/>
          <w:lang w:eastAsia="zh-CN" w:bidi="ar"/>
        </w:rPr>
        <w:t>Steel-Plate–Concrete Composite Strengthening</w:t>
      </w:r>
    </w:p>
    <w:p w14:paraId="6E2601F1">
      <w:pPr>
        <w:pStyle w:val="23"/>
        <w:rPr>
          <w:lang w:eastAsia="zh-CN"/>
        </w:rPr>
      </w:pPr>
      <w:r>
        <w:rPr>
          <w:lang w:eastAsia="zh-CN"/>
        </w:rPr>
        <w:t>Wang Yinhui et al. [53] shrunk the “steel–concrete composite beam” concept into a 30 cm wide hinge joint, proposing a “channel + cast-in-situ concrete” method: an 8# channel is epoxied and bolted across the joint on the deck, then used as shear keys together with additional reinforcement and 8 cm of C40 micro-expansive concrete, forming a monolithic new diaphragm consisting of “top flange–shear key–integral overlay.” Static tests showed this “steel belt” doubled the first-cracking load and raised ultimate capacity by 130 %. Failure switched from “interface brittle tearing” to “diagonal bending–shear” with cracks turning 45° instead of running straight through; the post-cracking deflection curve remained flat and the ductility factor nearly doubled.</w:t>
      </w:r>
    </w:p>
    <w:p w14:paraId="674832AB">
      <w:pPr>
        <w:pStyle w:val="23"/>
        <w:spacing w:after="0"/>
        <w:rPr>
          <w:rFonts w:ascii="Arial" w:hAnsi="Arial" w:cs="Arial"/>
          <w:lang w:eastAsia="zh-CN"/>
        </w:rPr>
      </w:pPr>
    </w:p>
    <w:p w14:paraId="68787D9E">
      <w:pPr>
        <w:pStyle w:val="24"/>
        <w:numPr>
          <w:ilvl w:val="0"/>
          <w:numId w:val="2"/>
        </w:numPr>
        <w:rPr>
          <w:rFonts w:ascii="Segoe UI" w:hAnsi="Segoe UI" w:eastAsia="Segoe UI" w:cs="Segoe UI"/>
          <w:caps w:val="0"/>
          <w:szCs w:val="24"/>
          <w:shd w:val="clear" w:color="auto" w:fill="FFFFFF"/>
          <w:lang w:eastAsia="zh-CN" w:bidi="ar"/>
        </w:rPr>
      </w:pPr>
      <w:r>
        <w:rPr>
          <w:rFonts w:ascii="Segoe UI" w:hAnsi="Segoe UI" w:eastAsia="Segoe UI" w:cs="Segoe UI"/>
          <w:caps w:val="0"/>
          <w:szCs w:val="24"/>
          <w:shd w:val="clear" w:color="auto" w:fill="FFFFFF"/>
          <w:lang w:eastAsia="zh-CN" w:bidi="ar"/>
        </w:rPr>
        <w:t>Conclusions</w:t>
      </w:r>
    </w:p>
    <w:p w14:paraId="75815BDA">
      <w:pPr>
        <w:pStyle w:val="23"/>
        <w:rPr>
          <w:lang w:eastAsia="zh-CN"/>
        </w:rPr>
      </w:pPr>
      <w:r>
        <w:rPr>
          <w:rFonts w:ascii="Arial" w:hAnsi="Arial" w:cs="Arial"/>
          <w:lang w:eastAsia="zh-CN"/>
        </w:rPr>
        <w:t xml:space="preserve">(1) </w:t>
      </w:r>
      <w:r>
        <w:rPr>
          <w:lang w:eastAsia="zh-CN"/>
        </w:rPr>
        <w:t>Hinge-joint failure is not a single shear event but a three-stage coupled process: “interface debonding → shear-uplift propagation → single-slab behaviour”; raising the first-cracking load is more critical than increasing the ultimate capacity.</w:t>
      </w:r>
    </w:p>
    <w:p w14:paraId="2D0A2E2D">
      <w:pPr>
        <w:pStyle w:val="23"/>
        <w:rPr>
          <w:lang w:eastAsia="zh-CN"/>
        </w:rPr>
      </w:pPr>
      <w:r>
        <w:rPr>
          <w:rFonts w:ascii="Arial" w:hAnsi="Arial" w:cs="Arial"/>
          <w:lang w:eastAsia="zh-CN"/>
        </w:rPr>
        <w:t>(</w:t>
      </w:r>
      <w:r>
        <w:rPr>
          <w:rFonts w:hint="eastAsia" w:ascii="Arial" w:hAnsi="Arial" w:cs="Arial"/>
          <w:lang w:eastAsia="zh-CN"/>
        </w:rPr>
        <w:t>2</w:t>
      </w:r>
      <w:r>
        <w:rPr>
          <w:rFonts w:ascii="Arial" w:hAnsi="Arial" w:cs="Arial"/>
          <w:lang w:eastAsia="zh-CN"/>
        </w:rPr>
        <w:t xml:space="preserve">) </w:t>
      </w:r>
      <w:r>
        <w:rPr>
          <w:lang w:eastAsia="zh-CN"/>
        </w:rPr>
        <w:t>Deep joint geometry combined with high-performance materials (UHPC, Fe-SMA, steel shapes) markedly delays crack initiation; either a 5 cm full-depth UHPC replacement or 200 °C electro-thermal activation of Fe-SMA increases the cracking load by &gt;50 % without reducing ultimate strength.</w:t>
      </w:r>
    </w:p>
    <w:p w14:paraId="3C3CE7D3">
      <w:pPr>
        <w:pStyle w:val="23"/>
        <w:rPr>
          <w:lang w:eastAsia="zh-CN"/>
        </w:rPr>
      </w:pPr>
      <w:r>
        <w:rPr>
          <w:rFonts w:ascii="Arial" w:hAnsi="Arial" w:cs="Arial"/>
          <w:lang w:eastAsia="zh-CN"/>
        </w:rPr>
        <w:t>(</w:t>
      </w:r>
      <w:r>
        <w:rPr>
          <w:rFonts w:hint="eastAsia" w:ascii="Arial" w:hAnsi="Arial" w:cs="Arial"/>
          <w:lang w:eastAsia="zh-CN"/>
        </w:rPr>
        <w:t>3</w:t>
      </w:r>
      <w:r>
        <w:rPr>
          <w:rFonts w:ascii="Arial" w:hAnsi="Arial" w:cs="Arial"/>
          <w:lang w:eastAsia="zh-CN"/>
        </w:rPr>
        <w:t xml:space="preserve">) </w:t>
      </w:r>
      <w:r>
        <w:rPr>
          <w:lang w:eastAsia="zh-CN"/>
        </w:rPr>
        <w:t>The steel–concrete composite method (“channel shear keys + micro-expansive cast-in-situ concrete”) boosts ultimate capacity by 130 %, changes failure from brittle debonding to diagonal bending-shear, requires no soffit work, and costs only ~15 % more than steel-plate bonding—making it the most suitable rapid strengthening for bridges in service.</w:t>
      </w:r>
    </w:p>
    <w:p w14:paraId="6A240E04">
      <w:pPr>
        <w:pStyle w:val="23"/>
        <w:rPr>
          <w:lang w:eastAsia="zh-CN"/>
        </w:rPr>
      </w:pPr>
      <w:r>
        <w:rPr>
          <w:rFonts w:ascii="Arial" w:hAnsi="Arial" w:cs="Arial"/>
          <w:lang w:eastAsia="zh-CN"/>
        </w:rPr>
        <w:t>(</w:t>
      </w:r>
      <w:r>
        <w:rPr>
          <w:rFonts w:hint="eastAsia" w:ascii="Arial" w:hAnsi="Arial" w:cs="Arial"/>
          <w:lang w:eastAsia="zh-CN"/>
        </w:rPr>
        <w:t>4</w:t>
      </w:r>
      <w:r>
        <w:rPr>
          <w:rFonts w:ascii="Arial" w:hAnsi="Arial" w:cs="Arial"/>
          <w:lang w:eastAsia="zh-CN"/>
        </w:rPr>
        <w:t xml:space="preserve">) </w:t>
      </w:r>
      <w:r>
        <w:rPr>
          <w:lang w:eastAsia="zh-CN"/>
        </w:rPr>
        <w:t>Differences among national codes in step limits, reinforcement ratio and interface shear stress amplitude reflect different weightings of “service life-risk-traffic interruption”; China’s existing bridge upgrades can draw on US/European experience but should retain the redundancy concept of “replaceable and re-activatable”.</w:t>
      </w:r>
    </w:p>
    <w:p w14:paraId="7C9950C2">
      <w:pPr>
        <w:pStyle w:val="23"/>
        <w:rPr>
          <w:lang w:eastAsia="zh-CN"/>
        </w:rPr>
      </w:pPr>
      <w:r>
        <w:rPr>
          <w:rFonts w:ascii="Arial" w:hAnsi="Arial" w:cs="Arial"/>
          <w:lang w:eastAsia="zh-CN"/>
        </w:rPr>
        <w:t>(</w:t>
      </w:r>
      <w:r>
        <w:rPr>
          <w:rFonts w:hint="eastAsia" w:ascii="Arial" w:hAnsi="Arial" w:cs="Arial"/>
          <w:lang w:eastAsia="zh-CN"/>
        </w:rPr>
        <w:t>5</w:t>
      </w:r>
      <w:r>
        <w:rPr>
          <w:rFonts w:ascii="Arial" w:hAnsi="Arial" w:cs="Arial"/>
          <w:lang w:eastAsia="zh-CN"/>
        </w:rPr>
        <w:t xml:space="preserve">) </w:t>
      </w:r>
      <w:r>
        <w:rPr>
          <w:lang w:eastAsia="zh-CN"/>
        </w:rPr>
        <w:t>Bond strength between old and new concrete remains the weakest link in all strengthening techniques; the next step is to establish a three-dimensional degradation model of “roughness-freeze-thaw cycles-fatigue次数” and develop detachable hinge-joint modules to achieve the dual goals of “design life + maintainability”.</w:t>
      </w:r>
    </w:p>
    <w:p w14:paraId="5F9E41B1">
      <w:pPr>
        <w:rPr>
          <w:highlight w:val="yellow"/>
        </w:rPr>
      </w:pPr>
      <w:r>
        <w:rPr>
          <w:highlight w:val="yellow"/>
        </w:rPr>
        <w:t>Disclaimer (Artificial intelligence)</w:t>
      </w:r>
    </w:p>
    <w:p w14:paraId="09DFBBB3">
      <w:pPr>
        <w:rPr>
          <w:highlight w:val="yellow"/>
        </w:rPr>
      </w:pPr>
      <w:r>
        <w:rPr>
          <w:highlight w:val="yellow"/>
        </w:rPr>
        <w:t xml:space="preserve">Option 1: </w:t>
      </w:r>
    </w:p>
    <w:p w14:paraId="051EA27C">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21180523">
      <w:pPr>
        <w:ind w:left="-360"/>
        <w:textAlignment w:val="baseline"/>
      </w:pPr>
    </w:p>
    <w:p w14:paraId="681C0340">
      <w:pPr>
        <w:pStyle w:val="23"/>
        <w:spacing w:after="0"/>
        <w:jc w:val="left"/>
        <w:rPr>
          <w:rFonts w:ascii="Arial" w:hAnsi="Arial" w:cs="Arial"/>
        </w:rPr>
      </w:pPr>
    </w:p>
    <w:p w14:paraId="210DF23A">
      <w:pPr>
        <w:pStyle w:val="42"/>
        <w:spacing w:after="0"/>
        <w:jc w:val="both"/>
      </w:pPr>
      <w:r>
        <w:t>REFERENCES</w:t>
      </w:r>
    </w:p>
    <w:p w14:paraId="2CE0FCF6">
      <w:pPr>
        <w:pStyle w:val="42"/>
        <w:spacing w:after="0"/>
        <w:jc w:val="both"/>
      </w:pPr>
    </w:p>
    <w:p w14:paraId="517F84B7">
      <w:pPr>
        <w:snapToGrid w:val="0"/>
        <w:ind w:left="-320" w:leftChars="-160"/>
        <w:rPr>
          <w:rFonts w:ascii="Arial" w:hAnsi="Arial" w:cs="Arial"/>
        </w:rPr>
      </w:pPr>
    </w:p>
    <w:p w14:paraId="374031FB">
      <w:pPr>
        <w:numPr>
          <w:ilvl w:val="0"/>
          <w:numId w:val="4"/>
        </w:numPr>
        <w:snapToGrid w:val="0"/>
        <w:ind w:left="360" w:hanging="360"/>
        <w:rPr>
          <w:rFonts w:ascii="Arial" w:hAnsi="Arial" w:cs="Arial"/>
        </w:rPr>
      </w:pPr>
      <w:r>
        <w:rPr>
          <w:rFonts w:ascii="Arial" w:hAnsi="Arial" w:cs="Arial"/>
          <w:lang w:eastAsia="zh-CN"/>
        </w:rPr>
        <w:t xml:space="preserve">Ministry of Transport of the People's Republic of China. (2019). Statistical Bulletin on the Development of the Transport Industry in 2018. </w:t>
      </w:r>
      <w:r>
        <w:fldChar w:fldCharType="begin"/>
      </w:r>
      <w:r>
        <w:instrText xml:space="preserve"> HYPERLINK "http://xxgk.mot.gov.cn/jigou/zhghs/201904/t20190412_3186720.html" </w:instrText>
      </w:r>
      <w:r>
        <w:fldChar w:fldCharType="separate"/>
      </w:r>
      <w:r>
        <w:rPr>
          <w:rStyle w:val="19"/>
          <w:rFonts w:ascii="Arial" w:hAnsi="Arial" w:cs="Arial"/>
          <w:lang w:eastAsia="zh-CN"/>
        </w:rPr>
        <w:t>http://xxgk.mot.gov.cn/jigou/zhghs/201904/t20190412_3186720.html</w:t>
      </w:r>
      <w:r>
        <w:rPr>
          <w:rStyle w:val="19"/>
          <w:rFonts w:ascii="Arial" w:hAnsi="Arial" w:cs="Arial"/>
          <w:lang w:eastAsia="zh-CN"/>
        </w:rPr>
        <w:fldChar w:fldCharType="end"/>
      </w:r>
      <w:r>
        <w:rPr>
          <w:rFonts w:ascii="Arial" w:hAnsi="Arial" w:cs="Arial"/>
          <w:lang w:eastAsia="zh-CN"/>
        </w:rPr>
        <w:t xml:space="preserve"> </w:t>
      </w:r>
    </w:p>
    <w:p w14:paraId="68FD9BF3">
      <w:pPr>
        <w:numPr>
          <w:ilvl w:val="0"/>
          <w:numId w:val="4"/>
        </w:numPr>
        <w:snapToGrid w:val="0"/>
        <w:ind w:left="360" w:hanging="360"/>
        <w:rPr>
          <w:rFonts w:ascii="Arial" w:hAnsi="Arial" w:cs="Arial"/>
          <w:lang w:eastAsia="zh-CN"/>
        </w:rPr>
      </w:pPr>
      <w:r>
        <w:rPr>
          <w:rFonts w:ascii="Arial" w:hAnsi="Arial" w:cs="Arial"/>
          <w:lang w:eastAsia="zh-CN"/>
        </w:rPr>
        <w:t xml:space="preserve">Zhang, Guanghui, and Xindong Qin. "Comparison of Treatment Plans for Single Slab Force in Highway Small Bridges." </w:t>
      </w:r>
      <w:r>
        <w:rPr>
          <w:rFonts w:hint="default" w:ascii="Arial" w:hAnsi="Arial" w:cs="Arial"/>
          <w:lang w:eastAsia="zh-CN"/>
        </w:rPr>
        <w:t>China Highway 07 (2023): 98-99. doi:10.13468/j.cnki.chw.2023.07.004.</w:t>
      </w:r>
    </w:p>
    <w:p w14:paraId="2EDF9111">
      <w:pPr>
        <w:numPr>
          <w:ilvl w:val="0"/>
          <w:numId w:val="4"/>
        </w:numPr>
        <w:snapToGrid w:val="0"/>
        <w:ind w:left="360" w:hanging="360"/>
        <w:rPr>
          <w:rFonts w:ascii="Arial" w:hAnsi="Arial" w:cs="Arial"/>
          <w:lang w:eastAsia="zh-CN"/>
        </w:rPr>
      </w:pPr>
      <w:r>
        <w:rPr>
          <w:rFonts w:ascii="Arial" w:hAnsi="Arial" w:cs="Arial"/>
          <w:lang w:eastAsia="zh-CN"/>
        </w:rPr>
        <w:t xml:space="preserve">Wu, Qingxiong, Yuechi Chen, and Kangming Chen. "Analysis of the Failure Mode of Hinged Hollow Slab with Portal Reinforcement at the Bottom of the Interface." </w:t>
      </w:r>
      <w:r>
        <w:rPr>
          <w:rFonts w:hint="default" w:ascii="Arial" w:hAnsi="Arial" w:cs="Arial"/>
          <w:lang w:eastAsia="zh-CN"/>
        </w:rPr>
        <w:t>Journal of Traffic and Transportation Engineering 15.5 (2015): 15-25. doi:10.19818/j.cnki.1671-1637.2015.05.003</w:t>
      </w:r>
      <w:r>
        <w:rPr>
          <w:rFonts w:ascii="Arial" w:hAnsi="Arial" w:cs="Arial"/>
          <w:lang w:eastAsia="zh-CN"/>
        </w:rPr>
        <w:t>.</w:t>
      </w:r>
    </w:p>
    <w:p w14:paraId="417547DC">
      <w:pPr>
        <w:numPr>
          <w:ilvl w:val="0"/>
          <w:numId w:val="4"/>
        </w:numPr>
        <w:snapToGrid w:val="0"/>
        <w:ind w:left="360" w:hanging="360"/>
        <w:rPr>
          <w:rFonts w:ascii="Arial" w:hAnsi="Arial" w:cs="Arial"/>
          <w:lang w:eastAsia="zh-CN"/>
        </w:rPr>
      </w:pPr>
      <w:r>
        <w:rPr>
          <w:rFonts w:ascii="Arial" w:hAnsi="Arial" w:cs="Arial"/>
          <w:lang w:eastAsia="zh-CN"/>
        </w:rPr>
        <w:t>Li, Xin. "Study on the Mechanism of Force Transfer and Damage Evolution of Deep Hinges in Precast Hollow Slab Bridges." Master’s thesis, North China University of Water Resources and Electric Power, 2023. DOI: 10.27144/d.cnki.ghbsc.2023.000292.</w:t>
      </w:r>
    </w:p>
    <w:p w14:paraId="20B269E0">
      <w:pPr>
        <w:numPr>
          <w:ilvl w:val="0"/>
          <w:numId w:val="4"/>
        </w:numPr>
        <w:snapToGrid w:val="0"/>
        <w:ind w:left="360" w:hanging="360"/>
        <w:rPr>
          <w:rFonts w:ascii="Arial" w:hAnsi="Arial" w:cs="Arial"/>
        </w:rPr>
      </w:pPr>
      <w:r>
        <w:rPr>
          <w:rFonts w:ascii="Arial" w:hAnsi="Arial" w:cs="Arial"/>
          <w:lang w:eastAsia="zh-CN"/>
        </w:rPr>
        <w:t xml:space="preserve">Choi, J., Park, S., Kim, H., &amp; Hong, S. (2015). Behavior of high-performance mortar and concrete connections in precast concrete elements: Experimental investigation under static and cyclic loadings. Engineering Structures, 100, 633–644. </w:t>
      </w:r>
      <w:r>
        <w:fldChar w:fldCharType="begin"/>
      </w:r>
      <w:r>
        <w:instrText xml:space="preserve"> HYPERLINK "https://doi.org/10.1016/j.engstruct.2015.06.009" </w:instrText>
      </w:r>
      <w:r>
        <w:fldChar w:fldCharType="separate"/>
      </w:r>
      <w:r>
        <w:rPr>
          <w:rStyle w:val="19"/>
          <w:rFonts w:ascii="Arial" w:hAnsi="Arial" w:cs="Arial"/>
          <w:lang w:eastAsia="zh-CN"/>
        </w:rPr>
        <w:t>https://doi.org/10.1016/j.engstruct.2015.06.009</w:t>
      </w:r>
      <w:r>
        <w:rPr>
          <w:rStyle w:val="19"/>
          <w:rFonts w:ascii="Arial" w:hAnsi="Arial" w:cs="Arial"/>
          <w:lang w:eastAsia="zh-CN"/>
        </w:rPr>
        <w:fldChar w:fldCharType="end"/>
      </w:r>
      <w:r>
        <w:rPr>
          <w:rFonts w:ascii="Arial" w:hAnsi="Arial" w:cs="Arial"/>
          <w:lang w:eastAsia="zh-CN"/>
        </w:rPr>
        <w:t xml:space="preserve"> </w:t>
      </w:r>
    </w:p>
    <w:p w14:paraId="28B6EAD6">
      <w:pPr>
        <w:numPr>
          <w:ilvl w:val="0"/>
          <w:numId w:val="4"/>
        </w:numPr>
        <w:snapToGrid w:val="0"/>
        <w:ind w:left="360" w:hanging="360"/>
        <w:rPr>
          <w:rFonts w:ascii="Arial" w:hAnsi="Arial" w:cs="Arial"/>
          <w:lang w:eastAsia="zh-CN"/>
        </w:rPr>
      </w:pPr>
      <w:r>
        <w:rPr>
          <w:rFonts w:ascii="Arial" w:hAnsi="Arial" w:cs="Arial"/>
          <w:lang w:eastAsia="zh-CN"/>
        </w:rPr>
        <w:t xml:space="preserve">Zhu, P.; Ma, Z. J.; Cao, Q.; French, C. E. Fatigue Evaluation of Transverse U-Bar Joint Details for Accelerated Bridge Construction. J. Bridge Eng. 2012, 17 (2), 191–200. </w:t>
      </w:r>
      <w:r>
        <w:rPr>
          <w:rFonts w:ascii="Arial" w:hAnsi="Arial" w:cs="Arial"/>
          <w:lang w:eastAsia="zh-CN"/>
        </w:rPr>
        <w:fldChar w:fldCharType="begin"/>
      </w:r>
      <w:r>
        <w:rPr>
          <w:rFonts w:ascii="Arial" w:hAnsi="Arial" w:cs="Arial"/>
          <w:lang w:eastAsia="zh-CN"/>
        </w:rPr>
        <w:instrText xml:space="preserve"> HYPERLINK "https://doi.org/10.1061/(ASCE)BE.1943-5592.0000257" </w:instrText>
      </w:r>
      <w:r>
        <w:rPr>
          <w:rFonts w:ascii="Arial" w:hAnsi="Arial" w:cs="Arial"/>
          <w:lang w:eastAsia="zh-CN"/>
        </w:rPr>
        <w:fldChar w:fldCharType="separate"/>
      </w:r>
      <w:r>
        <w:rPr>
          <w:rFonts w:ascii="Arial" w:hAnsi="Arial" w:cs="Arial"/>
          <w:lang w:eastAsia="zh-CN"/>
        </w:rPr>
        <w:t>https://doi.org/10.1061/(ASCE)BE.1943-5592.0000257</w:t>
      </w:r>
      <w:r>
        <w:rPr>
          <w:rFonts w:ascii="Arial" w:hAnsi="Arial" w:cs="Arial"/>
          <w:lang w:eastAsia="zh-CN"/>
        </w:rPr>
        <w:fldChar w:fldCharType="end"/>
      </w:r>
      <w:r>
        <w:rPr>
          <w:rFonts w:ascii="Arial" w:hAnsi="Arial" w:cs="Arial"/>
          <w:lang w:eastAsia="zh-CN"/>
        </w:rPr>
        <w:t>.</w:t>
      </w:r>
    </w:p>
    <w:p w14:paraId="138CDC67">
      <w:pPr>
        <w:numPr>
          <w:ilvl w:val="0"/>
          <w:numId w:val="4"/>
        </w:numPr>
        <w:snapToGrid w:val="0"/>
        <w:ind w:left="360" w:hanging="360"/>
        <w:rPr>
          <w:rFonts w:ascii="Arial" w:hAnsi="Arial" w:cs="Arial"/>
        </w:rPr>
      </w:pPr>
      <w:r>
        <w:rPr>
          <w:rFonts w:ascii="Arial" w:hAnsi="Arial" w:cs="Arial"/>
          <w:lang w:eastAsia="zh-CN"/>
        </w:rPr>
        <w:t>Lee, S., Lee, J., Kim, H., et al. (2012). Analytical study on longitudinal joints of slab-type modular bridges. World Academy of Science, Engineering and Technology, 6(2), 164–169.</w:t>
      </w:r>
    </w:p>
    <w:p w14:paraId="5948C7D8">
      <w:pPr>
        <w:numPr>
          <w:ilvl w:val="0"/>
          <w:numId w:val="4"/>
        </w:numPr>
        <w:snapToGrid w:val="0"/>
        <w:ind w:left="360" w:hanging="360"/>
        <w:rPr>
          <w:rFonts w:ascii="Arial" w:hAnsi="Arial" w:cs="Arial"/>
        </w:rPr>
      </w:pPr>
      <w:r>
        <w:rPr>
          <w:rFonts w:ascii="Arial" w:hAnsi="Arial" w:cs="Arial"/>
          <w:lang w:eastAsia="zh-CN"/>
        </w:rPr>
        <w:t>Liu, P. L. (2010). Study on mechanical performance of hinge joints in fabricated reinforced concrete simply-supported slab beam bridges [Master’s thesis]. Tsinghua University, Beijing, China.</w:t>
      </w:r>
    </w:p>
    <w:p w14:paraId="6C41B56B">
      <w:pPr>
        <w:numPr>
          <w:ilvl w:val="0"/>
          <w:numId w:val="4"/>
        </w:numPr>
        <w:snapToGrid w:val="0"/>
        <w:ind w:left="360" w:hanging="360"/>
        <w:rPr>
          <w:rFonts w:ascii="Arial" w:hAnsi="Arial" w:cs="Arial"/>
        </w:rPr>
      </w:pPr>
      <w:r>
        <w:rPr>
          <w:rFonts w:ascii="Arial" w:hAnsi="Arial" w:cs="Arial"/>
          <w:lang w:eastAsia="zh-CN"/>
        </w:rPr>
        <w:t xml:space="preserve">Han, X. D. (2010). </w:t>
      </w:r>
      <w:r>
        <w:rPr>
          <w:rFonts w:hint="eastAsia" w:ascii="Arial" w:hAnsi="Arial" w:cs="Arial"/>
          <w:lang w:eastAsia="zh-CN"/>
        </w:rPr>
        <w:t>Analyze, comparison and application on the hingedjiont forms of hollow plank girder bridge</w:t>
      </w:r>
      <w:r>
        <w:rPr>
          <w:rFonts w:ascii="Arial" w:hAnsi="Arial" w:cs="Arial"/>
          <w:lang w:eastAsia="zh-CN"/>
        </w:rPr>
        <w:t xml:space="preserve"> [Master’s thesis, Chang’an University]. </w:t>
      </w:r>
    </w:p>
    <w:p w14:paraId="42A8A40D">
      <w:pPr>
        <w:numPr>
          <w:ilvl w:val="0"/>
          <w:numId w:val="4"/>
        </w:numPr>
        <w:snapToGrid w:val="0"/>
        <w:ind w:left="360" w:hanging="360"/>
        <w:rPr>
          <w:rFonts w:ascii="Arial" w:hAnsi="Arial" w:cs="Arial"/>
          <w:lang w:eastAsia="zh-CN"/>
        </w:rPr>
      </w:pPr>
      <w:r>
        <w:rPr>
          <w:rFonts w:ascii="Arial" w:hAnsi="Arial" w:cs="Arial"/>
          <w:lang w:eastAsia="zh-CN"/>
        </w:rPr>
        <w:t>Zhao, S. J. (2003). Analysis of single-panel loading behavior of bridge deck slabs. Journal of China &amp; Foreign Highway</w:t>
      </w:r>
      <w:r>
        <w:rPr>
          <w:rFonts w:hint="eastAsia" w:ascii="Arial" w:hAnsi="Arial" w:cs="Arial"/>
          <w:lang w:val="en-US" w:eastAsia="zh-CN"/>
        </w:rPr>
        <w:t xml:space="preserve"> </w:t>
      </w:r>
      <w:r>
        <w:rPr>
          <w:rFonts w:ascii="Arial" w:hAnsi="Arial" w:cs="Arial"/>
          <w:lang w:eastAsia="zh-CN"/>
        </w:rPr>
        <w:t>04(2003):29-30.doi:10.14048/j.issn.1671-2579.2003.04.011﻿.</w:t>
      </w:r>
    </w:p>
    <w:p w14:paraId="38D85718">
      <w:pPr>
        <w:numPr>
          <w:ilvl w:val="0"/>
          <w:numId w:val="4"/>
        </w:numPr>
        <w:snapToGrid w:val="0"/>
        <w:ind w:left="360" w:hanging="360"/>
        <w:rPr>
          <w:rFonts w:ascii="Arial" w:hAnsi="Arial" w:cs="Arial"/>
          <w:lang w:eastAsia="zh-CN"/>
        </w:rPr>
      </w:pPr>
      <w:r>
        <w:rPr>
          <w:rFonts w:ascii="Arial" w:hAnsi="Arial" w:cs="Arial"/>
          <w:lang w:eastAsia="zh-CN"/>
        </w:rPr>
        <w:t>Zhao, M., Wang, X. M., &amp; Zhao, Y. K. (2004). Numerical analysis of "single-panel loading" in slab-beam bridges. China Safety Science Journal,</w:t>
      </w:r>
      <w:r>
        <w:rPr>
          <w:rFonts w:hint="eastAsia" w:ascii="Arial" w:hAnsi="Arial" w:cs="Arial"/>
          <w:lang w:val="en-US" w:eastAsia="zh-CN"/>
        </w:rPr>
        <w:t xml:space="preserve"> </w:t>
      </w:r>
      <w:r>
        <w:rPr>
          <w:rFonts w:ascii="Arial" w:hAnsi="Arial" w:cs="Arial"/>
          <w:lang w:eastAsia="zh-CN"/>
        </w:rPr>
        <w:t>11(2004):28-32+1.doi:10.16265/j.cnki.issn1003-3033.2004.11.006.</w:t>
      </w:r>
    </w:p>
    <w:p w14:paraId="41B91F1D">
      <w:pPr>
        <w:numPr>
          <w:ilvl w:val="0"/>
          <w:numId w:val="4"/>
        </w:numPr>
        <w:snapToGrid w:val="0"/>
        <w:ind w:left="360" w:hanging="360"/>
        <w:rPr>
          <w:rFonts w:ascii="Arial" w:hAnsi="Arial" w:cs="Arial"/>
          <w:lang w:eastAsia="zh-CN"/>
        </w:rPr>
      </w:pPr>
      <w:r>
        <w:rPr>
          <w:rFonts w:ascii="Arial" w:hAnsi="Arial" w:cs="Arial"/>
          <w:lang w:eastAsia="zh-CN"/>
        </w:rPr>
        <w:t xml:space="preserve">Lin, Li. "Analysis of Load Damage and Maintenance Reinforcement Measures of Single Panels in Precast Reinforced Concrete Simply Supported Slab Bridges with Medium and Small Spans." </w:t>
      </w:r>
      <w:r>
        <w:rPr>
          <w:rFonts w:hint="default" w:ascii="Arial" w:hAnsi="Arial" w:cs="Arial"/>
          <w:lang w:eastAsia="zh-CN"/>
        </w:rPr>
        <w:t>Jiaotong Biaozhunhua 13 (2011): 83-85. doi:10.16503/j.cnki.2095-9931.2011.13.041.</w:t>
      </w:r>
    </w:p>
    <w:p w14:paraId="6EF8E75C">
      <w:pPr>
        <w:numPr>
          <w:ilvl w:val="0"/>
          <w:numId w:val="4"/>
        </w:numPr>
        <w:snapToGrid w:val="0"/>
        <w:ind w:left="360" w:hanging="360"/>
        <w:rPr>
          <w:rFonts w:ascii="Arial" w:hAnsi="Arial" w:cs="Arial"/>
          <w:lang w:eastAsia="zh-CN"/>
        </w:rPr>
      </w:pPr>
      <w:r>
        <w:rPr>
          <w:rFonts w:ascii="Arial" w:hAnsi="Arial" w:cs="Arial"/>
          <w:lang w:eastAsia="zh-CN"/>
        </w:rPr>
        <w:t>Shi, J. F. (2004). Cause analysis and prevention of single-panel loading in bridges. Highway, (10), 71–73.</w:t>
      </w:r>
    </w:p>
    <w:p w14:paraId="23229500">
      <w:pPr>
        <w:numPr>
          <w:ilvl w:val="0"/>
          <w:numId w:val="4"/>
        </w:numPr>
        <w:snapToGrid w:val="0"/>
        <w:ind w:left="360" w:hanging="360"/>
        <w:rPr>
          <w:rFonts w:ascii="Arial" w:hAnsi="Arial" w:cs="Arial"/>
          <w:lang w:eastAsia="zh-CN"/>
        </w:rPr>
      </w:pPr>
      <w:r>
        <w:rPr>
          <w:rFonts w:ascii="Arial" w:hAnsi="Arial" w:cs="Arial"/>
          <w:lang w:eastAsia="zh-CN"/>
        </w:rPr>
        <w:t xml:space="preserve">Yang, J. X. (2009). </w:t>
      </w:r>
      <w:r>
        <w:rPr>
          <w:rFonts w:hint="eastAsia" w:ascii="Arial" w:hAnsi="Arial" w:cs="Arial"/>
          <w:lang w:eastAsia="zh-CN"/>
        </w:rPr>
        <w:t>Study on Mechanical Properties ofFabricated Hollow Slab BridgeHinge Joints Under the Load</w:t>
      </w:r>
      <w:r>
        <w:rPr>
          <w:rFonts w:ascii="Arial" w:hAnsi="Arial" w:cs="Arial"/>
          <w:lang w:eastAsia="zh-CN"/>
        </w:rPr>
        <w:t xml:space="preserve"> [Master’s thesis]. Inner Mongolia University of Technology, Hohhot, China.</w:t>
      </w:r>
    </w:p>
    <w:p w14:paraId="6171CC00">
      <w:pPr>
        <w:numPr>
          <w:ilvl w:val="0"/>
          <w:numId w:val="4"/>
        </w:numPr>
        <w:snapToGrid w:val="0"/>
        <w:ind w:left="360" w:hanging="360"/>
        <w:rPr>
          <w:rFonts w:ascii="Arial" w:hAnsi="Arial" w:cs="Arial"/>
          <w:lang w:eastAsia="zh-CN"/>
        </w:rPr>
      </w:pPr>
      <w:r>
        <w:rPr>
          <w:rFonts w:ascii="Arial" w:hAnsi="Arial" w:cs="Arial"/>
          <w:lang w:eastAsia="zh-CN"/>
        </w:rPr>
        <w:t xml:space="preserve">Ling, W. (2013). </w:t>
      </w:r>
      <w:r>
        <w:rPr>
          <w:rFonts w:hint="eastAsia" w:ascii="Arial" w:hAnsi="Arial" w:cs="Arial"/>
          <w:lang w:eastAsia="zh-CN"/>
        </w:rPr>
        <w:t>Mechanical Behavior of Hinge Joints forFabricated Hollow Slab Bridges</w:t>
      </w:r>
      <w:r>
        <w:rPr>
          <w:rFonts w:ascii="Arial" w:hAnsi="Arial" w:cs="Arial"/>
          <w:lang w:eastAsia="zh-CN"/>
        </w:rPr>
        <w:t xml:space="preserve"> [Master’s thesis]. Fuzhou University, Fuzhou, China.</w:t>
      </w:r>
    </w:p>
    <w:p w14:paraId="762DA665">
      <w:pPr>
        <w:numPr>
          <w:ilvl w:val="0"/>
          <w:numId w:val="4"/>
        </w:numPr>
        <w:snapToGrid w:val="0"/>
        <w:ind w:left="360" w:hanging="360"/>
        <w:rPr>
          <w:rFonts w:ascii="Arial" w:hAnsi="Arial" w:cs="Arial"/>
          <w:lang w:eastAsia="zh-CN"/>
        </w:rPr>
      </w:pPr>
      <w:r>
        <w:rPr>
          <w:rFonts w:ascii="Arial" w:hAnsi="Arial" w:cs="Arial"/>
          <w:lang w:eastAsia="zh-CN"/>
        </w:rPr>
        <w:t xml:space="preserve">Ministry of Transport of the People's Republic of China. </w:t>
      </w:r>
      <w:r>
        <w:rPr>
          <w:rFonts w:hint="default" w:ascii="Arial" w:hAnsi="Arial" w:cs="Arial"/>
          <w:lang w:eastAsia="zh-CN"/>
        </w:rPr>
        <w:t>General Code for Design of Highway Bridges and Culverts (JTG D60-2015). China Communications Press, 2015.</w:t>
      </w:r>
      <w:r>
        <w:rPr>
          <w:rFonts w:ascii="Arial" w:hAnsi="Arial" w:cs="Arial"/>
          <w:lang w:eastAsia="zh-CN"/>
        </w:rPr>
        <w:t xml:space="preserve"> </w:t>
      </w:r>
      <w:r>
        <w:fldChar w:fldCharType="begin"/>
      </w:r>
      <w:r>
        <w:instrText xml:space="preserve"> HYPERLINK "https://www.ccpress.com.cn/" </w:instrText>
      </w:r>
      <w:r>
        <w:fldChar w:fldCharType="separate"/>
      </w:r>
      <w:r>
        <w:rPr>
          <w:rStyle w:val="19"/>
          <w:rFonts w:ascii="Arial" w:hAnsi="Arial" w:cs="Arial"/>
          <w:lang w:eastAsia="zh-CN"/>
        </w:rPr>
        <w:t>https://www.ccpress.com.cn/</w:t>
      </w:r>
      <w:r>
        <w:rPr>
          <w:rStyle w:val="19"/>
          <w:rFonts w:ascii="Arial" w:hAnsi="Arial" w:cs="Arial"/>
          <w:lang w:eastAsia="zh-CN"/>
        </w:rPr>
        <w:fldChar w:fldCharType="end"/>
      </w:r>
      <w:r>
        <w:rPr>
          <w:rFonts w:ascii="Arial" w:hAnsi="Arial" w:cs="Arial"/>
          <w:lang w:eastAsia="zh-CN"/>
        </w:rPr>
        <w:t xml:space="preserve"> </w:t>
      </w:r>
    </w:p>
    <w:p w14:paraId="1C4DB18F">
      <w:pPr>
        <w:numPr>
          <w:ilvl w:val="0"/>
          <w:numId w:val="4"/>
        </w:numPr>
        <w:snapToGrid w:val="0"/>
        <w:ind w:left="360" w:hanging="360"/>
        <w:rPr>
          <w:rFonts w:ascii="Arial" w:hAnsi="Arial" w:cs="Arial"/>
          <w:lang w:eastAsia="zh-CN"/>
        </w:rPr>
      </w:pPr>
      <w:r>
        <w:rPr>
          <w:rFonts w:ascii="Arial" w:hAnsi="Arial" w:cs="Arial"/>
          <w:lang w:eastAsia="zh-CN"/>
        </w:rPr>
        <w:t xml:space="preserve">Zhang, X., Liu, G., Ma, J., Wu, H., Fu, B., &amp; Gao, Y. (2016). Status and prospects of technical development for bridges in China. Chinese Science Bulletin, 61(4-5), 415–425. </w:t>
      </w:r>
      <w:r>
        <w:fldChar w:fldCharType="begin"/>
      </w:r>
      <w:r>
        <w:instrText xml:space="preserve"> HYPERLINK "https://doi.org/10.1360/N972015-00912" </w:instrText>
      </w:r>
      <w:r>
        <w:fldChar w:fldCharType="separate"/>
      </w:r>
      <w:r>
        <w:rPr>
          <w:rStyle w:val="19"/>
          <w:rFonts w:ascii="Arial" w:hAnsi="Arial" w:cs="Arial"/>
          <w:lang w:eastAsia="zh-CN"/>
        </w:rPr>
        <w:t>https://doi.org/10.1360/N972015-00912</w:t>
      </w:r>
      <w:r>
        <w:rPr>
          <w:rStyle w:val="19"/>
          <w:rFonts w:ascii="Arial" w:hAnsi="Arial" w:cs="Arial"/>
          <w:lang w:eastAsia="zh-CN"/>
        </w:rPr>
        <w:fldChar w:fldCharType="end"/>
      </w:r>
      <w:r>
        <w:rPr>
          <w:rFonts w:ascii="Arial" w:hAnsi="Arial" w:cs="Arial"/>
          <w:lang w:eastAsia="zh-CN"/>
        </w:rPr>
        <w:t xml:space="preserve"> </w:t>
      </w:r>
    </w:p>
    <w:p w14:paraId="453BC383">
      <w:pPr>
        <w:numPr>
          <w:ilvl w:val="0"/>
          <w:numId w:val="4"/>
        </w:numPr>
        <w:snapToGrid w:val="0"/>
        <w:ind w:left="360" w:hanging="360"/>
        <w:rPr>
          <w:rFonts w:ascii="Arial" w:hAnsi="Arial" w:cs="Arial"/>
          <w:lang w:eastAsia="zh-CN"/>
        </w:rPr>
      </w:pPr>
      <w:r>
        <w:rPr>
          <w:rFonts w:ascii="Arial" w:hAnsi="Arial" w:cs="Arial"/>
          <w:lang w:eastAsia="zh-CN"/>
        </w:rPr>
        <w:t xml:space="preserve">Tang, X. X. (2010). </w:t>
      </w:r>
      <w:r>
        <w:rPr>
          <w:rFonts w:hint="eastAsia" w:ascii="Arial" w:hAnsi="Arial" w:cs="Arial"/>
          <w:lang w:eastAsia="zh-CN"/>
        </w:rPr>
        <w:t xml:space="preserve">Research of Applicable and Durable Configurations of Concrete Bridge </w:t>
      </w:r>
      <w:r>
        <w:rPr>
          <w:rFonts w:ascii="Arial" w:hAnsi="Arial" w:cs="Arial"/>
          <w:lang w:eastAsia="zh-CN"/>
        </w:rPr>
        <w:t xml:space="preserve"> [PhD dissertation]. Chang’an University, Xi’an, China.</w:t>
      </w:r>
    </w:p>
    <w:p w14:paraId="6F5FF773">
      <w:pPr>
        <w:numPr>
          <w:ilvl w:val="0"/>
          <w:numId w:val="4"/>
        </w:numPr>
        <w:snapToGrid w:val="0"/>
        <w:ind w:left="360" w:hanging="360"/>
        <w:rPr>
          <w:rFonts w:ascii="Arial" w:hAnsi="Arial" w:cs="Arial"/>
          <w:lang w:eastAsia="zh-CN"/>
        </w:rPr>
      </w:pPr>
      <w:r>
        <w:rPr>
          <w:rFonts w:ascii="Arial" w:hAnsi="Arial" w:cs="Arial"/>
          <w:lang w:eastAsia="zh-CN"/>
        </w:rPr>
        <w:t xml:space="preserve">Rahman, M. K., Mahmoud, I. A., &amp; Baluch, M. H. (2009). Finite element modeling of prestressed hollow core slab strengthened with CFRP sheets in flexure and shear. Key Engineering Materials, 400, 531–536. </w:t>
      </w:r>
      <w:r>
        <w:fldChar w:fldCharType="begin"/>
      </w:r>
      <w:r>
        <w:instrText xml:space="preserve"> HYPERLINK "https://doi.org/10.4028/www.scientific.net/KEM.400-402.531" </w:instrText>
      </w:r>
      <w:r>
        <w:fldChar w:fldCharType="separate"/>
      </w:r>
      <w:r>
        <w:rPr>
          <w:rStyle w:val="19"/>
          <w:rFonts w:ascii="Arial" w:hAnsi="Arial" w:cs="Arial"/>
          <w:lang w:eastAsia="zh-CN"/>
        </w:rPr>
        <w:t>https://doi.org/10.4028/www.scientific.net/KEM.400-402.531</w:t>
      </w:r>
      <w:r>
        <w:rPr>
          <w:rStyle w:val="19"/>
          <w:rFonts w:ascii="Arial" w:hAnsi="Arial" w:cs="Arial"/>
          <w:lang w:eastAsia="zh-CN"/>
        </w:rPr>
        <w:fldChar w:fldCharType="end"/>
      </w:r>
      <w:r>
        <w:rPr>
          <w:rFonts w:ascii="Arial" w:hAnsi="Arial" w:cs="Arial"/>
          <w:lang w:eastAsia="zh-CN"/>
        </w:rPr>
        <w:t xml:space="preserve"> </w:t>
      </w:r>
    </w:p>
    <w:p w14:paraId="409B0CF7">
      <w:pPr>
        <w:numPr>
          <w:ilvl w:val="0"/>
          <w:numId w:val="4"/>
        </w:numPr>
        <w:snapToGrid w:val="0"/>
        <w:ind w:left="360" w:hanging="360"/>
        <w:rPr>
          <w:rFonts w:ascii="Arial" w:hAnsi="Arial" w:cs="Arial"/>
          <w:lang w:eastAsia="zh-CN"/>
        </w:rPr>
      </w:pPr>
      <w:r>
        <w:rPr>
          <w:rFonts w:ascii="Arial" w:hAnsi="Arial" w:cs="Arial"/>
          <w:lang w:eastAsia="zh-CN"/>
        </w:rPr>
        <w:t xml:space="preserve">Mostafa, A. (2015). Numerical analysis on the effect of shear keys pitch on the shear performance of foamed sandwich panels. Engineering Structures, 101, 216–232. </w:t>
      </w:r>
      <w:r>
        <w:fldChar w:fldCharType="begin"/>
      </w:r>
      <w:r>
        <w:instrText xml:space="preserve"> HYPERLINK "https://doi.org/10.1016/j.engstruct.2015.07.010" </w:instrText>
      </w:r>
      <w:r>
        <w:fldChar w:fldCharType="separate"/>
      </w:r>
      <w:r>
        <w:rPr>
          <w:rStyle w:val="19"/>
          <w:rFonts w:ascii="Arial" w:hAnsi="Arial" w:cs="Arial"/>
          <w:lang w:eastAsia="zh-CN"/>
        </w:rPr>
        <w:t>https://doi.org/10.1016/j.engstruct.2015.07.010</w:t>
      </w:r>
      <w:r>
        <w:rPr>
          <w:rStyle w:val="19"/>
          <w:rFonts w:ascii="Arial" w:hAnsi="Arial" w:cs="Arial"/>
          <w:lang w:eastAsia="zh-CN"/>
        </w:rPr>
        <w:fldChar w:fldCharType="end"/>
      </w:r>
      <w:r>
        <w:rPr>
          <w:rFonts w:ascii="Arial" w:hAnsi="Arial" w:cs="Arial"/>
          <w:lang w:eastAsia="zh-CN"/>
        </w:rPr>
        <w:t xml:space="preserve"> </w:t>
      </w:r>
    </w:p>
    <w:p w14:paraId="1129989E">
      <w:pPr>
        <w:numPr>
          <w:ilvl w:val="0"/>
          <w:numId w:val="4"/>
        </w:numPr>
        <w:snapToGrid w:val="0"/>
        <w:ind w:left="360" w:hanging="360"/>
        <w:rPr>
          <w:rFonts w:ascii="Arial" w:hAnsi="Arial" w:cs="Arial"/>
          <w:lang w:eastAsia="zh-CN"/>
        </w:rPr>
      </w:pPr>
      <w:r>
        <w:rPr>
          <w:rFonts w:ascii="Arial" w:hAnsi="Arial" w:cs="Arial"/>
          <w:lang w:eastAsia="zh-CN"/>
        </w:rPr>
        <w:t xml:space="preserve">Fu, C. C., Pan, Z., &amp; Ahmed, M. S. (2011). Transverse posttensioning design of adjacent precast solid multibeam bridges. Journal of Performance of Constructed Facilities, 25(3), 223–230. </w:t>
      </w:r>
      <w:r>
        <w:fldChar w:fldCharType="begin"/>
      </w:r>
      <w:r>
        <w:instrText xml:space="preserve"> HYPERLINK "https://doi.org/10.1061/(ASCE)CF.1943-5509.0000147" </w:instrText>
      </w:r>
      <w:r>
        <w:fldChar w:fldCharType="separate"/>
      </w:r>
      <w:r>
        <w:rPr>
          <w:rStyle w:val="19"/>
          <w:rFonts w:ascii="Arial" w:hAnsi="Arial" w:cs="Arial"/>
          <w:lang w:eastAsia="zh-CN"/>
        </w:rPr>
        <w:t>https://doi.org/10.1061/(ASCE)CF.1943-5509.0000147</w:t>
      </w:r>
      <w:r>
        <w:rPr>
          <w:rStyle w:val="19"/>
          <w:rFonts w:ascii="Arial" w:hAnsi="Arial" w:cs="Arial"/>
          <w:lang w:eastAsia="zh-CN"/>
        </w:rPr>
        <w:fldChar w:fldCharType="end"/>
      </w:r>
      <w:r>
        <w:rPr>
          <w:rFonts w:ascii="Arial" w:hAnsi="Arial" w:cs="Arial"/>
          <w:lang w:eastAsia="zh-CN"/>
        </w:rPr>
        <w:t xml:space="preserve"> </w:t>
      </w:r>
    </w:p>
    <w:p w14:paraId="4C63F434">
      <w:pPr>
        <w:numPr>
          <w:ilvl w:val="0"/>
          <w:numId w:val="4"/>
        </w:numPr>
        <w:snapToGrid w:val="0"/>
        <w:ind w:left="360" w:hanging="360"/>
        <w:rPr>
          <w:rFonts w:ascii="Arial" w:hAnsi="Arial" w:cs="Arial"/>
          <w:lang w:eastAsia="zh-CN"/>
        </w:rPr>
      </w:pPr>
      <w:r>
        <w:rPr>
          <w:rFonts w:ascii="Arial" w:hAnsi="Arial" w:cs="Arial"/>
          <w:lang w:eastAsia="zh-CN"/>
        </w:rPr>
        <w:t xml:space="preserve">Badwan, I. Z., &amp; Liang, R. Y. (2007). Performance evaluation of precast posttensioned concrete multibeam deck. Journal of Performance of Constructed Facilities, 21(5), 368–374. </w:t>
      </w:r>
      <w:r>
        <w:fldChar w:fldCharType="begin"/>
      </w:r>
      <w:r>
        <w:instrText xml:space="preserve"> HYPERLINK "https://doi.org/10.1061/(ASCE)0887-3828(2007)21:5(368)" </w:instrText>
      </w:r>
      <w:r>
        <w:fldChar w:fldCharType="separate"/>
      </w:r>
      <w:r>
        <w:rPr>
          <w:rStyle w:val="19"/>
          <w:rFonts w:ascii="Arial" w:hAnsi="Arial" w:cs="Arial"/>
          <w:lang w:eastAsia="zh-CN"/>
        </w:rPr>
        <w:t>https://doi.org/10.1061/(ASCE)0887-3828(2007)21:5(368)</w:t>
      </w:r>
      <w:r>
        <w:rPr>
          <w:rStyle w:val="19"/>
          <w:rFonts w:ascii="Arial" w:hAnsi="Arial" w:cs="Arial"/>
          <w:lang w:eastAsia="zh-CN"/>
        </w:rPr>
        <w:fldChar w:fldCharType="end"/>
      </w:r>
      <w:r>
        <w:rPr>
          <w:rFonts w:ascii="Arial" w:hAnsi="Arial" w:cs="Arial"/>
          <w:lang w:eastAsia="zh-CN"/>
        </w:rPr>
        <w:t xml:space="preserve"> </w:t>
      </w:r>
    </w:p>
    <w:p w14:paraId="437AA66F">
      <w:pPr>
        <w:numPr>
          <w:ilvl w:val="0"/>
          <w:numId w:val="4"/>
        </w:numPr>
        <w:snapToGrid w:val="0"/>
        <w:ind w:left="360" w:hanging="360"/>
        <w:rPr>
          <w:rFonts w:ascii="Arial" w:hAnsi="Arial" w:cs="Arial"/>
          <w:lang w:eastAsia="zh-CN"/>
        </w:rPr>
      </w:pPr>
      <w:r>
        <w:rPr>
          <w:rFonts w:ascii="Arial" w:hAnsi="Arial" w:cs="Arial"/>
          <w:lang w:eastAsia="zh-CN"/>
        </w:rPr>
        <w:t xml:space="preserve">Zhou, Xiangjun, et al. "Design and Simulation Analysis of Hinged Hollow Slab Bridges." </w:t>
      </w:r>
      <w:r>
        <w:rPr>
          <w:rFonts w:hint="default" w:ascii="Arial" w:hAnsi="Arial" w:cs="Arial"/>
          <w:lang w:eastAsia="zh-CN"/>
        </w:rPr>
        <w:t>Journal of Nanchang University (Engineering Science) 45.3 (2023): 261-267. doi:10.13764/j.cnki.ncdg.2023.03.002.</w:t>
      </w:r>
    </w:p>
    <w:p w14:paraId="7965AD3F">
      <w:pPr>
        <w:numPr>
          <w:ilvl w:val="0"/>
          <w:numId w:val="4"/>
        </w:numPr>
        <w:snapToGrid w:val="0"/>
        <w:ind w:left="360" w:hanging="360"/>
        <w:rPr>
          <w:rFonts w:ascii="Arial" w:hAnsi="Arial" w:cs="Arial"/>
          <w:lang w:eastAsia="zh-CN"/>
        </w:rPr>
      </w:pPr>
      <w:r>
        <w:rPr>
          <w:rFonts w:ascii="Arial" w:hAnsi="Arial" w:cs="Arial"/>
          <w:lang w:eastAsia="zh-CN"/>
        </w:rPr>
        <w:t xml:space="preserve">Zhang, Yiming. "Research on Bridge Construction Monitoring Based on BIM-FEA Model." </w:t>
      </w:r>
      <w:r>
        <w:rPr>
          <w:rFonts w:hint="default" w:ascii="Arial" w:hAnsi="Arial" w:cs="Arial"/>
          <w:lang w:eastAsia="zh-CN"/>
        </w:rPr>
        <w:t xml:space="preserve">Western Transportation Science and Technology 2025.09: 117-119+126. </w:t>
      </w:r>
      <w:r>
        <w:rPr>
          <w:rFonts w:hint="default"/>
          <w:lang w:eastAsia="zh-CN"/>
        </w:rPr>
        <w:t>DOI: 10.13282/j.cnki.wccst.2025.09.033.</w:t>
      </w:r>
    </w:p>
    <w:p w14:paraId="22B6198E">
      <w:pPr>
        <w:numPr>
          <w:ilvl w:val="0"/>
          <w:numId w:val="4"/>
        </w:numPr>
        <w:snapToGrid w:val="0"/>
        <w:ind w:left="360" w:hanging="360"/>
        <w:rPr>
          <w:rFonts w:ascii="Arial" w:hAnsi="Arial" w:cs="Arial"/>
          <w:lang w:eastAsia="zh-CN"/>
        </w:rPr>
      </w:pPr>
      <w:r>
        <w:rPr>
          <w:rFonts w:ascii="Arial" w:hAnsi="Arial" w:cs="Arial"/>
          <w:lang w:eastAsia="zh-CN"/>
        </w:rPr>
        <w:t>Cao, Xiaozhe. "Static Performance Analysis of Skew Hollow Slab Bridges Considering the Influence of the Overall Pavement Layer." Master's thesis, Chang'an University, 2020. doi:10.26976/d.cnki.gchau.2020.000592..</w:t>
      </w:r>
    </w:p>
    <w:p w14:paraId="1DB35AB8">
      <w:pPr>
        <w:numPr>
          <w:ilvl w:val="0"/>
          <w:numId w:val="4"/>
        </w:numPr>
        <w:snapToGrid w:val="0"/>
        <w:ind w:left="360" w:hanging="360"/>
        <w:rPr>
          <w:rFonts w:ascii="Arial" w:hAnsi="Arial" w:cs="Arial"/>
          <w:lang w:eastAsia="zh-CN"/>
        </w:rPr>
      </w:pPr>
      <w:r>
        <w:rPr>
          <w:rFonts w:ascii="Arial" w:hAnsi="Arial" w:cs="Arial"/>
          <w:lang w:eastAsia="zh-CN"/>
        </w:rPr>
        <w:t xml:space="preserve">Chen, Maorong, Li, Xuehong, Cao, Xiaolong, et al. "Mechanical Performance of Transverse Prestressed Hollow Slab Bridges with Shallow Hinges." </w:t>
      </w:r>
      <w:r>
        <w:rPr>
          <w:rFonts w:hint="default" w:ascii="Arial" w:hAnsi="Arial" w:cs="Arial"/>
          <w:lang w:eastAsia="zh-CN"/>
        </w:rPr>
        <w:t>Journal of Guangxi University (Natural Science Edition) 49.4 (2024): 703-713. DOI: 10.13624/j.cnki.issn.1001-7445.2024.0703.</w:t>
      </w:r>
      <w:r>
        <w:rPr>
          <w:rFonts w:ascii="Arial" w:hAnsi="Arial" w:cs="Arial"/>
          <w:lang w:eastAsia="zh-CN"/>
        </w:rPr>
        <w:t>.</w:t>
      </w:r>
    </w:p>
    <w:p w14:paraId="1A876194">
      <w:pPr>
        <w:numPr>
          <w:ilvl w:val="0"/>
          <w:numId w:val="4"/>
        </w:numPr>
        <w:snapToGrid w:val="0"/>
        <w:ind w:left="360" w:hanging="360"/>
        <w:rPr>
          <w:rFonts w:ascii="Arial" w:hAnsi="Arial" w:cs="Arial"/>
          <w:lang w:eastAsia="zh-CN"/>
        </w:rPr>
      </w:pPr>
      <w:r>
        <w:rPr>
          <w:rFonts w:ascii="Arial" w:hAnsi="Arial" w:cs="Arial"/>
          <w:lang w:eastAsia="zh-CN"/>
        </w:rPr>
        <w:t>Zhang, Wenhao. "Experimental Study and Finite Element Analysis on Prestressed CFRP Reinforced Hollow Slab Bridges." Master's thesis, Hebei University of Engineering, 2020. doi:10.27104/d.cnki.ghbjy.2020.000058.</w:t>
      </w:r>
    </w:p>
    <w:p w14:paraId="0DDF6B85">
      <w:pPr>
        <w:numPr>
          <w:ilvl w:val="0"/>
          <w:numId w:val="4"/>
        </w:numPr>
        <w:snapToGrid w:val="0"/>
        <w:ind w:left="360" w:hanging="360"/>
        <w:rPr>
          <w:rFonts w:ascii="Arial" w:hAnsi="Arial" w:cs="Arial"/>
          <w:lang w:eastAsia="zh-CN"/>
        </w:rPr>
      </w:pPr>
      <w:r>
        <w:rPr>
          <w:rFonts w:ascii="Arial" w:hAnsi="Arial" w:cs="Arial"/>
          <w:lang w:eastAsia="zh-CN"/>
        </w:rPr>
        <w:t xml:space="preserve">Liu, Liang. "Study on the Hinge Failure Modes and Reinforcement Treatment of Precast Hollow Slab Bridges." </w:t>
      </w:r>
      <w:r>
        <w:rPr>
          <w:rFonts w:hint="default" w:ascii="Arial" w:hAnsi="Arial" w:cs="Arial"/>
          <w:lang w:eastAsia="zh-CN"/>
        </w:rPr>
        <w:t>World Transportation 8 (2025): 155-157. doi:10.16248/j.cnki.11-3723/u.2025.08.055</w:t>
      </w:r>
      <w:r>
        <w:rPr>
          <w:rFonts w:ascii="Arial" w:hAnsi="Arial" w:cs="Arial"/>
          <w:lang w:eastAsia="zh-CN"/>
        </w:rPr>
        <w:t>.</w:t>
      </w:r>
    </w:p>
    <w:p w14:paraId="1A108BD3">
      <w:pPr>
        <w:numPr>
          <w:ilvl w:val="0"/>
          <w:numId w:val="4"/>
        </w:numPr>
        <w:snapToGrid w:val="0"/>
        <w:ind w:left="360" w:hanging="360"/>
        <w:rPr>
          <w:rFonts w:ascii="Arial" w:hAnsi="Arial" w:cs="Arial"/>
          <w:lang w:eastAsia="zh-CN"/>
        </w:rPr>
      </w:pPr>
      <w:r>
        <w:rPr>
          <w:rFonts w:ascii="Arial" w:hAnsi="Arial" w:cs="Arial"/>
          <w:lang w:eastAsia="zh-CN"/>
        </w:rPr>
        <w:t xml:space="preserve">Chong, Yongfeng. "Analysis of Shear Lag Effect in Variable Cross-Section Cantilever Box Beams." </w:t>
      </w:r>
      <w:r>
        <w:rPr>
          <w:rFonts w:hint="default" w:ascii="Arial" w:hAnsi="Arial" w:cs="Arial"/>
          <w:lang w:eastAsia="zh-CN"/>
        </w:rPr>
        <w:t>Shanxi Architecture 28 (2008): 97-98. doi:10.13719/j.cnki.cn14-1279/tu.2008.28.016.</w:t>
      </w:r>
    </w:p>
    <w:p w14:paraId="08633700">
      <w:pPr>
        <w:numPr>
          <w:ilvl w:val="0"/>
          <w:numId w:val="4"/>
        </w:numPr>
        <w:snapToGrid w:val="0"/>
        <w:ind w:left="360" w:hanging="360"/>
        <w:rPr>
          <w:rFonts w:ascii="Arial" w:hAnsi="Arial" w:cs="Arial"/>
          <w:lang w:eastAsia="zh-CN"/>
        </w:rPr>
      </w:pPr>
      <w:r>
        <w:rPr>
          <w:rFonts w:ascii="Arial" w:hAnsi="Arial" w:cs="Arial"/>
          <w:lang w:eastAsia="zh-CN"/>
        </w:rPr>
        <w:t xml:space="preserve">Chen, Ying. "Experimental Study on the Shear Resistance of High-Performance Concrete Hinges in Precast Hollow Slab Beams." </w:t>
      </w:r>
      <w:r>
        <w:rPr>
          <w:rFonts w:hint="default" w:ascii="Arial" w:hAnsi="Arial" w:cs="Arial"/>
          <w:lang w:eastAsia="zh-CN"/>
        </w:rPr>
        <w:t>Master's Thesis, Guangdong University of Technology, 2019. DOI: 10.27029/d.cnki.ggdgu.2019.000404.</w:t>
      </w:r>
    </w:p>
    <w:p w14:paraId="5E5492E5">
      <w:pPr>
        <w:numPr>
          <w:ilvl w:val="0"/>
          <w:numId w:val="4"/>
        </w:numPr>
        <w:snapToGrid w:val="0"/>
        <w:ind w:left="360" w:hanging="360"/>
        <w:rPr>
          <w:rFonts w:ascii="Arial" w:hAnsi="Arial" w:cs="Arial"/>
          <w:lang w:eastAsia="zh-CN"/>
        </w:rPr>
      </w:pPr>
      <w:r>
        <w:rPr>
          <w:rFonts w:ascii="Arial" w:hAnsi="Arial" w:cs="Arial"/>
          <w:lang w:eastAsia="zh-CN"/>
        </w:rPr>
        <w:t xml:space="preserve">Mangat, P. S., &amp; O'Flaherty, F. J. (1999). Long-term performance of high-stiffness repairs in highway structures. Magazine of Concrete Research, 51(5), 325–339. </w:t>
      </w:r>
      <w:r>
        <w:fldChar w:fldCharType="begin"/>
      </w:r>
      <w:r>
        <w:instrText xml:space="preserve"> HYPERLINK "https://doi.org/10.1680/macr.1999.51.5.325" </w:instrText>
      </w:r>
      <w:r>
        <w:fldChar w:fldCharType="separate"/>
      </w:r>
      <w:r>
        <w:rPr>
          <w:rStyle w:val="19"/>
          <w:rFonts w:ascii="Arial" w:hAnsi="Arial" w:cs="Arial"/>
          <w:lang w:eastAsia="zh-CN"/>
        </w:rPr>
        <w:t>https://doi.org/10.1680/macr.1999.51.5.325</w:t>
      </w:r>
      <w:r>
        <w:rPr>
          <w:rStyle w:val="19"/>
          <w:rFonts w:ascii="Arial" w:hAnsi="Arial" w:cs="Arial"/>
          <w:lang w:eastAsia="zh-CN"/>
        </w:rPr>
        <w:fldChar w:fldCharType="end"/>
      </w:r>
      <w:r>
        <w:rPr>
          <w:rFonts w:ascii="Arial" w:hAnsi="Arial" w:cs="Arial"/>
          <w:lang w:eastAsia="zh-CN"/>
        </w:rPr>
        <w:t xml:space="preserve"> </w:t>
      </w:r>
    </w:p>
    <w:p w14:paraId="0720E509">
      <w:pPr>
        <w:numPr>
          <w:ilvl w:val="0"/>
          <w:numId w:val="4"/>
        </w:numPr>
        <w:snapToGrid w:val="0"/>
        <w:ind w:left="360" w:hanging="360"/>
        <w:rPr>
          <w:rFonts w:ascii="Arial" w:hAnsi="Arial" w:cs="Arial"/>
          <w:lang w:eastAsia="zh-CN"/>
        </w:rPr>
      </w:pPr>
      <w:r>
        <w:rPr>
          <w:rFonts w:hint="default" w:ascii="Arial" w:hAnsi="Arial" w:cs="Arial"/>
          <w:lang w:eastAsia="zh-CN"/>
        </w:rPr>
        <w:t>Talbot, C., M. Pigeon, D. Beaupré, and D. R. Morgan. "Influence of Surface Preparation on Long-Term Bonding of Shotcrete." ACI Materials Journal 91.6 (1995): 560-566.</w:t>
      </w:r>
      <w:r>
        <w:rPr>
          <w:rFonts w:hint="eastAsia" w:ascii="Arial" w:hAnsi="Arial" w:cs="Arial"/>
          <w:lang w:val="en-US" w:eastAsia="zh-CN"/>
        </w:rPr>
        <w:t xml:space="preserve"> </w:t>
      </w:r>
      <w:r>
        <w:fldChar w:fldCharType="begin"/>
      </w:r>
      <w:r>
        <w:instrText xml:space="preserve"> HYPERLINK "https://doi.org/10.14359/1376" </w:instrText>
      </w:r>
      <w:r>
        <w:fldChar w:fldCharType="separate"/>
      </w:r>
      <w:r>
        <w:rPr>
          <w:rStyle w:val="19"/>
          <w:rFonts w:ascii="Arial" w:hAnsi="Arial" w:cs="Arial"/>
          <w:lang w:eastAsia="zh-CN"/>
        </w:rPr>
        <w:t>https://doi.org/10.14359/1376</w:t>
      </w:r>
      <w:r>
        <w:rPr>
          <w:rStyle w:val="19"/>
          <w:rFonts w:ascii="Arial" w:hAnsi="Arial" w:cs="Arial"/>
          <w:lang w:eastAsia="zh-CN"/>
        </w:rPr>
        <w:fldChar w:fldCharType="end"/>
      </w:r>
      <w:r>
        <w:rPr>
          <w:rFonts w:ascii="Arial" w:hAnsi="Arial" w:cs="Arial"/>
          <w:lang w:eastAsia="zh-CN"/>
        </w:rPr>
        <w:t xml:space="preserve"> </w:t>
      </w:r>
    </w:p>
    <w:p w14:paraId="7802AD69">
      <w:pPr>
        <w:numPr>
          <w:ilvl w:val="0"/>
          <w:numId w:val="4"/>
        </w:numPr>
        <w:snapToGrid w:val="0"/>
        <w:ind w:left="360" w:hanging="360"/>
        <w:rPr>
          <w:rFonts w:ascii="Arial" w:hAnsi="Arial" w:cs="Arial"/>
          <w:lang w:eastAsia="zh-CN"/>
        </w:rPr>
      </w:pPr>
      <w:r>
        <w:rPr>
          <w:rFonts w:hint="default" w:ascii="Arial" w:hAnsi="Arial" w:cs="Arial"/>
          <w:lang w:eastAsia="zh-CN"/>
        </w:rPr>
        <w:t>Wei, Jun, et al. "Analysis of Factors Affecting the Cooperative Performance of Hinge Joints in Hollow Slab Bridges." Journal of Highway Engineering 24.2 (2011): 29-33. doi:10.19721/j.cnki.1001-7372.2011.02.006.</w:t>
      </w:r>
    </w:p>
    <w:p w14:paraId="2F9F10D0">
      <w:pPr>
        <w:numPr>
          <w:ilvl w:val="0"/>
          <w:numId w:val="4"/>
        </w:numPr>
        <w:snapToGrid w:val="0"/>
        <w:ind w:left="360" w:hanging="360"/>
        <w:rPr>
          <w:rFonts w:ascii="Arial" w:hAnsi="Arial" w:cs="Arial"/>
          <w:lang w:eastAsia="zh-CN"/>
        </w:rPr>
      </w:pPr>
      <w:r>
        <w:rPr>
          <w:color w:val="000000"/>
          <w:kern w:val="0"/>
        </w:rPr>
        <w:t>Issa M A, Valle C L R D, Abdalla H A, et al. Performance of Transverse Joint Grout Materials in Full-Depth Precast Concrete Bridge Deck Systems[J]. Pci Journal, 2003, 48(4):92-103.</w:t>
      </w:r>
    </w:p>
    <w:p w14:paraId="04517A65">
      <w:pPr>
        <w:numPr>
          <w:ilvl w:val="0"/>
          <w:numId w:val="4"/>
        </w:numPr>
        <w:snapToGrid w:val="0"/>
        <w:ind w:left="360" w:hanging="360"/>
        <w:rPr>
          <w:rFonts w:ascii="Arial" w:hAnsi="Arial" w:cs="Arial"/>
          <w:lang w:eastAsia="zh-CN"/>
        </w:rPr>
      </w:pPr>
      <w:r>
        <w:rPr>
          <w:rFonts w:ascii="Arial" w:hAnsi="Arial" w:cs="Arial"/>
          <w:lang w:eastAsia="zh-CN"/>
        </w:rPr>
        <w:t>Wang, Hongjie. "Research on the Bending Performance of Precast Steel-UHPC Composite Hollow Slab Beams." Master's thesis, Chongqing Jiaotong University, 2024. doi:10.27671/d.cnki.gcjtc.2024.001024.</w:t>
      </w:r>
    </w:p>
    <w:p w14:paraId="1CF4FD71">
      <w:pPr>
        <w:numPr>
          <w:ilvl w:val="0"/>
          <w:numId w:val="4"/>
        </w:numPr>
        <w:snapToGrid w:val="0"/>
        <w:ind w:left="360" w:hanging="360"/>
        <w:rPr>
          <w:rFonts w:ascii="Arial" w:hAnsi="Arial" w:cs="Arial"/>
          <w:lang w:eastAsia="zh-CN"/>
        </w:rPr>
      </w:pPr>
      <w:r>
        <w:rPr>
          <w:rFonts w:ascii="Arial" w:hAnsi="Arial" w:cs="Arial"/>
          <w:lang w:eastAsia="zh-CN"/>
        </w:rPr>
        <w:t xml:space="preserve">Li, G. Y. (2003). A new way to increase the long-term bond strength of new-to-old concrete by the use of fly ash. Cement and Concrete Research, 33(6), 799–806. </w:t>
      </w:r>
      <w:r>
        <w:fldChar w:fldCharType="begin"/>
      </w:r>
      <w:r>
        <w:instrText xml:space="preserve"> HYPERLINK "https://doi.org/10.1016/S0008-8846(02)01064-5" </w:instrText>
      </w:r>
      <w:r>
        <w:fldChar w:fldCharType="separate"/>
      </w:r>
      <w:r>
        <w:rPr>
          <w:rStyle w:val="19"/>
          <w:rFonts w:ascii="Arial" w:hAnsi="Arial" w:cs="Arial"/>
          <w:lang w:eastAsia="zh-CN"/>
        </w:rPr>
        <w:t>https://doi.org/10.1016/S0008-8846(02)01064-5</w:t>
      </w:r>
      <w:r>
        <w:rPr>
          <w:rStyle w:val="19"/>
          <w:rFonts w:ascii="Arial" w:hAnsi="Arial" w:cs="Arial"/>
          <w:lang w:eastAsia="zh-CN"/>
        </w:rPr>
        <w:fldChar w:fldCharType="end"/>
      </w:r>
      <w:r>
        <w:rPr>
          <w:rFonts w:ascii="Arial" w:hAnsi="Arial" w:cs="Arial"/>
          <w:lang w:eastAsia="zh-CN"/>
        </w:rPr>
        <w:t xml:space="preserve"> </w:t>
      </w:r>
    </w:p>
    <w:p w14:paraId="5870F9EB">
      <w:pPr>
        <w:numPr>
          <w:ilvl w:val="0"/>
          <w:numId w:val="4"/>
        </w:numPr>
        <w:snapToGrid w:val="0"/>
        <w:ind w:left="360" w:hanging="360"/>
        <w:rPr>
          <w:rFonts w:ascii="Arial" w:hAnsi="Arial" w:cs="Arial"/>
          <w:lang w:eastAsia="zh-CN"/>
        </w:rPr>
      </w:pPr>
      <w:r>
        <w:rPr>
          <w:rFonts w:ascii="Arial" w:hAnsi="Arial" w:cs="Arial"/>
          <w:lang w:eastAsia="zh-CN"/>
        </w:rPr>
        <w:t xml:space="preserve">Gillum, A. J., Shahrooz, B. M., &amp; Cole, J. R. (2001). Bond strength between sealed bridge decks and concrete overlays. ACI Structural Journal, 98(6), 872–879. </w:t>
      </w:r>
      <w:r>
        <w:fldChar w:fldCharType="begin"/>
      </w:r>
      <w:r>
        <w:instrText xml:space="preserve"> HYPERLINK "https://doi.org/10.14359/10754" </w:instrText>
      </w:r>
      <w:r>
        <w:fldChar w:fldCharType="separate"/>
      </w:r>
      <w:r>
        <w:rPr>
          <w:rStyle w:val="19"/>
          <w:rFonts w:ascii="Arial" w:hAnsi="Arial" w:cs="Arial"/>
          <w:lang w:eastAsia="zh-CN"/>
        </w:rPr>
        <w:t>https://doi.org/10.14359/10754</w:t>
      </w:r>
      <w:r>
        <w:rPr>
          <w:rStyle w:val="19"/>
          <w:rFonts w:ascii="Arial" w:hAnsi="Arial" w:cs="Arial"/>
          <w:lang w:eastAsia="zh-CN"/>
        </w:rPr>
        <w:fldChar w:fldCharType="end"/>
      </w:r>
      <w:r>
        <w:rPr>
          <w:rFonts w:ascii="Arial" w:hAnsi="Arial" w:cs="Arial"/>
          <w:lang w:eastAsia="zh-CN"/>
        </w:rPr>
        <w:t xml:space="preserve"> </w:t>
      </w:r>
    </w:p>
    <w:p w14:paraId="1F8886EF">
      <w:pPr>
        <w:numPr>
          <w:ilvl w:val="0"/>
          <w:numId w:val="4"/>
        </w:numPr>
        <w:snapToGrid w:val="0"/>
        <w:ind w:left="360" w:hanging="360"/>
        <w:rPr>
          <w:rFonts w:ascii="Arial" w:hAnsi="Arial" w:cs="Arial"/>
          <w:lang w:eastAsia="zh-CN"/>
        </w:rPr>
      </w:pPr>
      <w:r>
        <w:rPr>
          <w:rFonts w:ascii="Arial" w:hAnsi="Arial" w:cs="Arial"/>
          <w:lang w:eastAsia="zh-CN"/>
        </w:rPr>
        <w:t>Giurgiutiu, V., Lyons, J., Petrou, M., Laub, D., &amp; Whitley, S. (2001). Fracture mechanics testing of the bond between composite overlays and a concrete substrate. Journal of Adhesion Science and Technology, 15(11), 1351–1371.</w:t>
      </w:r>
    </w:p>
    <w:p w14:paraId="1DA96F4D">
      <w:pPr>
        <w:numPr>
          <w:ilvl w:val="0"/>
          <w:numId w:val="4"/>
        </w:numPr>
        <w:snapToGrid w:val="0"/>
        <w:ind w:left="360" w:hanging="360"/>
        <w:rPr>
          <w:rFonts w:ascii="Arial" w:hAnsi="Arial" w:cs="Arial"/>
          <w:lang w:eastAsia="zh-CN"/>
        </w:rPr>
      </w:pPr>
      <w:r>
        <w:rPr>
          <w:rFonts w:ascii="Arial" w:hAnsi="Arial" w:cs="Arial"/>
          <w:lang w:eastAsia="zh-CN"/>
        </w:rPr>
        <w:t xml:space="preserve">Wang, Liyuan, et al. "Experimental Study on the Hinges of Hollow Slab Beams with Anchored Plate Reinforcement." </w:t>
      </w:r>
      <w:r>
        <w:rPr>
          <w:rFonts w:hint="default" w:ascii="Arial" w:hAnsi="Arial" w:cs="Arial"/>
          <w:lang w:eastAsia="zh-CN"/>
        </w:rPr>
        <w:t>Earthquake Engineering and Engineering Vibration 40.4 (2020): 140-147. doi:10.13197/j.eeev.2020.04.140.wangly.017</w:t>
      </w:r>
      <w:r>
        <w:rPr>
          <w:rFonts w:ascii="Arial" w:hAnsi="Arial" w:cs="Arial"/>
          <w:lang w:eastAsia="zh-CN"/>
        </w:rPr>
        <w:t>.</w:t>
      </w:r>
    </w:p>
    <w:p w14:paraId="24010342">
      <w:pPr>
        <w:numPr>
          <w:ilvl w:val="0"/>
          <w:numId w:val="4"/>
        </w:numPr>
        <w:snapToGrid w:val="0"/>
        <w:ind w:left="360" w:hanging="360"/>
        <w:rPr>
          <w:rFonts w:ascii="Arial" w:hAnsi="Arial" w:cs="Arial"/>
          <w:lang w:eastAsia="zh-CN"/>
        </w:rPr>
      </w:pPr>
      <w:r>
        <w:rPr>
          <w:rFonts w:ascii="Arial" w:hAnsi="Arial" w:cs="Arial"/>
          <w:lang w:eastAsia="zh-CN"/>
        </w:rPr>
        <w:t xml:space="preserve">Issa, M. A., Ribeiro do Valle, C. L., Abdalla, H. A., Islam, S., &amp; Issa, M. A. (2003). Performance of transverse joint grout materials in full-depth precast concrete bridge deck systems. PCI Journal, 48(4), 92–103. </w:t>
      </w:r>
      <w:r>
        <w:fldChar w:fldCharType="begin"/>
      </w:r>
      <w:r>
        <w:instrText xml:space="preserve"> HYPERLINK "https://doi.org/10.15554/pcij.07012003.92.103" </w:instrText>
      </w:r>
      <w:r>
        <w:fldChar w:fldCharType="separate"/>
      </w:r>
      <w:r>
        <w:rPr>
          <w:rStyle w:val="19"/>
          <w:rFonts w:ascii="Arial" w:hAnsi="Arial" w:cs="Arial"/>
          <w:lang w:eastAsia="zh-CN"/>
        </w:rPr>
        <w:t>https://doi.org/10.15554/pcij.07012003.92.103</w:t>
      </w:r>
      <w:r>
        <w:rPr>
          <w:rStyle w:val="19"/>
          <w:rFonts w:ascii="Arial" w:hAnsi="Arial" w:cs="Arial"/>
          <w:lang w:eastAsia="zh-CN"/>
        </w:rPr>
        <w:fldChar w:fldCharType="end"/>
      </w:r>
      <w:r>
        <w:rPr>
          <w:rFonts w:ascii="Arial" w:hAnsi="Arial" w:cs="Arial"/>
          <w:lang w:eastAsia="zh-CN"/>
        </w:rPr>
        <w:t xml:space="preserve"> </w:t>
      </w:r>
    </w:p>
    <w:p w14:paraId="24ED4A18">
      <w:pPr>
        <w:numPr>
          <w:ilvl w:val="0"/>
          <w:numId w:val="4"/>
        </w:numPr>
        <w:snapToGrid w:val="0"/>
        <w:ind w:left="360" w:hanging="360"/>
        <w:rPr>
          <w:rFonts w:ascii="Arial" w:hAnsi="Arial" w:cs="Arial"/>
          <w:lang w:eastAsia="zh-CN"/>
        </w:rPr>
      </w:pPr>
      <w:r>
        <w:rPr>
          <w:rFonts w:ascii="Arial" w:hAnsi="Arial" w:cs="Arial"/>
          <w:lang w:val="en-US" w:eastAsia="zh-CN"/>
        </w:rPr>
        <w:t xml:space="preserve">Hu, M.; Jia, Z.; Xu, L.; Han, Q.; Jiao, C.; Long, P. Flexural Performance Predictions of Prefabricated Bridge Deck Panels Connected with CFRP Tendons and UHPC Grout. Eng. Struct. 2023, 285, 116024. </w:t>
      </w:r>
      <w:r>
        <w:rPr>
          <w:rFonts w:ascii="Arial" w:hAnsi="Arial" w:cs="Arial"/>
          <w:lang w:val="en-US" w:eastAsia="zh-CN"/>
        </w:rPr>
        <w:fldChar w:fldCharType="begin"/>
      </w:r>
      <w:r>
        <w:rPr>
          <w:rFonts w:ascii="Arial" w:hAnsi="Arial" w:cs="Arial"/>
          <w:lang w:val="en-US" w:eastAsia="zh-CN"/>
        </w:rPr>
        <w:instrText xml:space="preserve"> HYPERLINK "https://doi.org/10.1016/j.engstruct.2023.116024" </w:instrText>
      </w:r>
      <w:r>
        <w:rPr>
          <w:rFonts w:ascii="Arial" w:hAnsi="Arial" w:cs="Arial"/>
          <w:lang w:val="en-US" w:eastAsia="zh-CN"/>
        </w:rPr>
        <w:fldChar w:fldCharType="separate"/>
      </w:r>
      <w:r>
        <w:rPr>
          <w:rFonts w:ascii="Arial" w:hAnsi="Arial" w:cs="Arial"/>
          <w:lang w:eastAsia="zh-CN"/>
        </w:rPr>
        <w:t>https://doi.org/10.1016/j.engstruct.2023.116024</w:t>
      </w:r>
      <w:r>
        <w:rPr>
          <w:rFonts w:ascii="Arial" w:hAnsi="Arial" w:cs="Arial"/>
          <w:lang w:val="en-US" w:eastAsia="zh-CN"/>
        </w:rPr>
        <w:fldChar w:fldCharType="end"/>
      </w:r>
      <w:r>
        <w:rPr>
          <w:rFonts w:ascii="Arial" w:hAnsi="Arial" w:cs="Arial"/>
          <w:lang w:val="en-US" w:eastAsia="zh-CN"/>
        </w:rPr>
        <w:t>.</w:t>
      </w:r>
    </w:p>
    <w:p w14:paraId="3E1B1D0C">
      <w:pPr>
        <w:numPr>
          <w:ilvl w:val="0"/>
          <w:numId w:val="4"/>
        </w:numPr>
        <w:snapToGrid w:val="0"/>
        <w:ind w:left="360" w:hanging="360"/>
        <w:rPr>
          <w:rFonts w:ascii="Arial" w:hAnsi="Arial" w:cs="Arial"/>
          <w:lang w:eastAsia="zh-CN"/>
        </w:rPr>
      </w:pPr>
      <w:r>
        <w:rPr>
          <w:rFonts w:ascii="Arial" w:hAnsi="Arial" w:cs="Arial"/>
          <w:lang w:eastAsia="zh-CN"/>
        </w:rPr>
        <w:t xml:space="preserve">Han, Xiaozhi. "Analysis of the Causes of Urban Bridge Diseases and Maintenance Measures Based on Regular Periodic Inspection." </w:t>
      </w:r>
      <w:r>
        <w:rPr>
          <w:rFonts w:hint="default" w:ascii="Arial" w:hAnsi="Arial" w:cs="Arial"/>
          <w:lang w:eastAsia="zh-CN"/>
        </w:rPr>
        <w:t>Sichuan Cement 10 (2025): 206-208. doi:10.20198/j.cnki.scsn.2025.10.063.</w:t>
      </w:r>
    </w:p>
    <w:p w14:paraId="2CAEA960">
      <w:pPr>
        <w:numPr>
          <w:ilvl w:val="0"/>
          <w:numId w:val="4"/>
        </w:numPr>
        <w:snapToGrid w:val="0"/>
        <w:ind w:left="360" w:hanging="360"/>
        <w:rPr>
          <w:rFonts w:ascii="Arial" w:hAnsi="Arial" w:cs="Arial"/>
          <w:lang w:eastAsia="zh-CN"/>
        </w:rPr>
      </w:pPr>
      <w:r>
        <w:rPr>
          <w:rFonts w:ascii="Arial" w:hAnsi="Arial" w:cs="Arial"/>
          <w:lang w:eastAsia="zh-CN"/>
        </w:rPr>
        <w:t>Meng, Tao. "Research on the Load-Carrying Capacity Evaluation Method of Hollow Slab Beams Based on Technical Condition Indicators." Master's thesis, Hefei University of Technology, 2024. doi:10.27101/d.cnki.ghfgu.2024.003215.</w:t>
      </w:r>
    </w:p>
    <w:p w14:paraId="18922EE8">
      <w:pPr>
        <w:numPr>
          <w:ilvl w:val="0"/>
          <w:numId w:val="4"/>
        </w:numPr>
        <w:snapToGrid w:val="0"/>
        <w:ind w:left="360" w:hanging="360"/>
        <w:rPr>
          <w:rFonts w:ascii="Arial" w:hAnsi="Arial" w:cs="Arial"/>
          <w:lang w:eastAsia="zh-CN"/>
        </w:rPr>
      </w:pPr>
      <w:r>
        <w:rPr>
          <w:rFonts w:ascii="Arial" w:hAnsi="Arial" w:cs="Arial"/>
          <w:lang w:eastAsia="zh-CN"/>
        </w:rPr>
        <w:t xml:space="preserve">Wu, Qingxiong, Yuechi Chen, and Kangming Chen. "Analysis of the Failure Mode of Hinged Hollow Slab with Portal Reinforcement at the Bottom of the Interface." </w:t>
      </w:r>
      <w:r>
        <w:rPr>
          <w:rFonts w:hint="default" w:ascii="Arial" w:hAnsi="Arial" w:cs="Arial"/>
          <w:lang w:eastAsia="zh-CN"/>
        </w:rPr>
        <w:t>Journal of Traffic and Transportation Engineering 15.5 (2015): 15-25. doi:10.19818/j.cnki.1671-1637.2015.05.003.</w:t>
      </w:r>
      <w:r>
        <w:rPr>
          <w:rFonts w:ascii="Arial" w:hAnsi="Arial" w:cs="Arial"/>
          <w:lang w:eastAsia="zh-CN"/>
        </w:rPr>
        <w:t>.</w:t>
      </w:r>
    </w:p>
    <w:p w14:paraId="631BCB5A">
      <w:pPr>
        <w:numPr>
          <w:ilvl w:val="0"/>
          <w:numId w:val="4"/>
        </w:numPr>
        <w:snapToGrid w:val="0"/>
        <w:ind w:left="360" w:hanging="360"/>
        <w:rPr>
          <w:rFonts w:ascii="Arial" w:hAnsi="Arial" w:cs="Arial"/>
          <w:lang w:eastAsia="zh-CN"/>
        </w:rPr>
      </w:pPr>
      <w:r>
        <w:rPr>
          <w:rFonts w:ascii="Arial" w:hAnsi="Arial" w:cs="Arial"/>
          <w:lang w:eastAsia="zh-CN"/>
        </w:rPr>
        <w:t>Wan Shui, Lu Wenchao, Zhang Yubo, et al. "A Reinforcement Structure of a Hinge Seam." Patent CN 201410001320.9, filed April 16, 2014.</w:t>
      </w:r>
    </w:p>
    <w:p w14:paraId="40C230BE">
      <w:pPr>
        <w:numPr>
          <w:ilvl w:val="0"/>
          <w:numId w:val="4"/>
        </w:numPr>
        <w:snapToGrid w:val="0"/>
        <w:ind w:left="360" w:hanging="360"/>
        <w:rPr>
          <w:rFonts w:ascii="Arial" w:hAnsi="Arial" w:cs="Arial"/>
          <w:lang w:eastAsia="zh-CN"/>
        </w:rPr>
      </w:pPr>
      <w:r>
        <w:rPr>
          <w:rFonts w:ascii="Arial" w:hAnsi="Arial" w:cs="Arial"/>
          <w:lang w:eastAsia="zh-CN"/>
        </w:rPr>
        <w:t>Xue, Xingwei, Longsheng Bao, and Fuchun Song. "A New Type of Hinged Hollow Slab Structure and Its Construction Method." Patent CN201510071804.5, filed June 3, 2015.</w:t>
      </w:r>
    </w:p>
    <w:p w14:paraId="04AB0F38">
      <w:pPr>
        <w:numPr>
          <w:ilvl w:val="0"/>
          <w:numId w:val="4"/>
        </w:numPr>
        <w:snapToGrid w:val="0"/>
        <w:ind w:left="360" w:hanging="360"/>
        <w:rPr>
          <w:rFonts w:ascii="Arial" w:hAnsi="Arial" w:cs="Arial"/>
          <w:lang w:eastAsia="zh-CN"/>
        </w:rPr>
      </w:pPr>
      <w:r>
        <w:rPr>
          <w:rFonts w:ascii="Arial" w:hAnsi="Arial" w:cs="Arial"/>
          <w:lang w:eastAsia="zh-CN"/>
        </w:rPr>
        <w:t>Chen, Huai, Ge, Sujuan, Wang, Yan, et al. "A Type of Hollow Slab Bridge and Its Construction Method." Patent CN201210055911.5, applied July 11, 2012.</w:t>
      </w:r>
    </w:p>
    <w:p w14:paraId="1C5711DE">
      <w:pPr>
        <w:numPr>
          <w:ilvl w:val="0"/>
          <w:numId w:val="4"/>
        </w:numPr>
        <w:snapToGrid w:val="0"/>
        <w:ind w:left="360" w:hanging="360"/>
        <w:rPr>
          <w:rFonts w:ascii="Arial" w:hAnsi="Arial" w:cs="Arial"/>
          <w:lang w:eastAsia="zh-CN"/>
        </w:rPr>
      </w:pPr>
      <w:r>
        <w:rPr>
          <w:rFonts w:ascii="Arial" w:hAnsi="Arial" w:cs="Arial"/>
          <w:lang w:eastAsia="zh-CN"/>
        </w:rPr>
        <w:t>National Standard of the People's Republic of China. "General Specifications for the Design of Highway Bridges and Culverts JTJ 021-89." Beijing: People's Communications Publishing House, 1989.</w:t>
      </w:r>
    </w:p>
    <w:p w14:paraId="620F59A2">
      <w:pPr>
        <w:numPr>
          <w:ilvl w:val="0"/>
          <w:numId w:val="4"/>
        </w:numPr>
        <w:snapToGrid w:val="0"/>
        <w:ind w:left="360" w:hanging="360"/>
        <w:rPr>
          <w:rFonts w:ascii="Arial" w:hAnsi="Arial" w:cs="Arial"/>
          <w:lang w:eastAsia="zh-CN"/>
        </w:rPr>
      </w:pPr>
      <w:r>
        <w:rPr>
          <w:rFonts w:ascii="Arial" w:hAnsi="Arial" w:cs="Arial"/>
          <w:lang w:eastAsia="zh-CN"/>
        </w:rPr>
        <w:t xml:space="preserve">National Standard of the People's Republic of China. </w:t>
      </w:r>
      <w:r>
        <w:rPr>
          <w:rFonts w:hint="default" w:ascii="Arial" w:hAnsi="Arial" w:cs="Arial"/>
          <w:lang w:eastAsia="zh-CN"/>
        </w:rPr>
        <w:t>General Code for Design of Highway Bridges and Culverts JTG D60-2015 [S]. Beijing: People's Transportation Press, 2015.</w:t>
      </w:r>
    </w:p>
    <w:p w14:paraId="16081477">
      <w:pPr>
        <w:numPr>
          <w:ilvl w:val="0"/>
          <w:numId w:val="4"/>
        </w:numPr>
        <w:snapToGrid w:val="0"/>
        <w:ind w:left="360" w:hanging="360"/>
        <w:rPr>
          <w:rFonts w:ascii="Arial" w:hAnsi="Arial" w:cs="Arial"/>
          <w:lang w:eastAsia="zh-CN"/>
        </w:rPr>
      </w:pPr>
      <w:r>
        <w:rPr>
          <w:rFonts w:hint="default" w:ascii="Arial" w:hAnsi="Arial" w:cs="Arial"/>
          <w:lang w:val="en-US" w:eastAsia="zh-CN"/>
        </w:rPr>
        <w:t>Xu, Yulong, et al. "Experimental Study on the Bending Resistance of Shallow Hinges in Precast Hollow Slab Beam Bridges Reinforced with UHPC." Journal of Civil Engineering (forthcoming). doi:10.15951/j.tmgcxb.24070592.</w:t>
      </w:r>
    </w:p>
    <w:p w14:paraId="58444A66">
      <w:pPr>
        <w:numPr>
          <w:ilvl w:val="0"/>
          <w:numId w:val="4"/>
        </w:numPr>
        <w:snapToGrid w:val="0"/>
        <w:ind w:left="360" w:hanging="360"/>
        <w:rPr>
          <w:rFonts w:ascii="Arial" w:hAnsi="Arial" w:cs="Arial"/>
          <w:lang w:eastAsia="zh-CN"/>
        </w:rPr>
      </w:pPr>
      <w:r>
        <w:rPr>
          <w:rFonts w:ascii="Arial" w:hAnsi="Arial" w:cs="Arial"/>
          <w:lang w:eastAsia="zh-CN"/>
        </w:rPr>
        <w:t xml:space="preserve">Wang, Shujian, et al. "Analysis of the Bending Performance Enhancement of Hollow Slab Bridges Reinforced with UHPC Thin Layer." </w:t>
      </w:r>
      <w:r>
        <w:rPr>
          <w:rFonts w:hint="default" w:ascii="Arial" w:hAnsi="Arial" w:cs="Arial"/>
          <w:lang w:eastAsia="zh-CN"/>
        </w:rPr>
        <w:t>Journal of Highway 70.2 (2025): 217-222.</w:t>
      </w:r>
    </w:p>
    <w:p w14:paraId="13E5A583">
      <w:pPr>
        <w:numPr>
          <w:ilvl w:val="0"/>
          <w:numId w:val="4"/>
        </w:numPr>
        <w:snapToGrid w:val="0"/>
        <w:ind w:left="360" w:hanging="360"/>
        <w:rPr>
          <w:rFonts w:ascii="Arial" w:hAnsi="Arial" w:cs="Arial"/>
          <w:lang w:eastAsia="zh-CN"/>
        </w:rPr>
      </w:pPr>
      <w:r>
        <w:rPr>
          <w:rFonts w:ascii="Arial" w:hAnsi="Arial" w:cs="Arial"/>
          <w:lang w:eastAsia="zh-CN"/>
        </w:rPr>
        <w:t xml:space="preserve">Sun, X., Dong, Z., Zou, C., Zhu, H., Wu, G., &amp; Pan, Y. (2024). Performance of hinge joints in hollow-core slab bridges reinforced with iron-based shape memory alloy U-bars. Structures, 70, 107613. </w:t>
      </w:r>
      <w:r>
        <w:fldChar w:fldCharType="begin"/>
      </w:r>
      <w:r>
        <w:instrText xml:space="preserve"> HYPERLINK "https://doi.org/10.1016/j.istruc.2024.107613" </w:instrText>
      </w:r>
      <w:r>
        <w:fldChar w:fldCharType="separate"/>
      </w:r>
      <w:r>
        <w:rPr>
          <w:rStyle w:val="19"/>
          <w:rFonts w:ascii="Arial" w:hAnsi="Arial" w:cs="Arial"/>
          <w:lang w:eastAsia="zh-CN"/>
        </w:rPr>
        <w:t>https://doi.org/10.1016/j.istruc.2024.107613</w:t>
      </w:r>
      <w:r>
        <w:rPr>
          <w:rStyle w:val="19"/>
          <w:rFonts w:ascii="Arial" w:hAnsi="Arial" w:cs="Arial"/>
          <w:lang w:eastAsia="zh-CN"/>
        </w:rPr>
        <w:fldChar w:fldCharType="end"/>
      </w:r>
      <w:r>
        <w:rPr>
          <w:rFonts w:ascii="Arial" w:hAnsi="Arial" w:cs="Arial"/>
          <w:lang w:eastAsia="zh-CN"/>
        </w:rPr>
        <w:t xml:space="preserve"> </w:t>
      </w:r>
    </w:p>
    <w:p w14:paraId="1B7C78D7">
      <w:pPr>
        <w:numPr>
          <w:ilvl w:val="0"/>
          <w:numId w:val="4"/>
        </w:numPr>
        <w:snapToGrid w:val="0"/>
        <w:ind w:left="360" w:hanging="360"/>
        <w:rPr>
          <w:rFonts w:ascii="Arial" w:hAnsi="Arial" w:cs="Arial"/>
          <w:lang w:eastAsia="zh-CN"/>
        </w:rPr>
      </w:pPr>
      <w:r>
        <w:rPr>
          <w:rFonts w:ascii="Arial" w:hAnsi="Arial" w:cs="Arial"/>
          <w:lang w:eastAsia="zh-CN"/>
        </w:rPr>
        <w:t xml:space="preserve">Wang, Yinhui, et al. "Experiments on the Hinges of Precast Slab Bridges Reinforced with Steel-Concrete Composite." </w:t>
      </w:r>
      <w:r>
        <w:rPr>
          <w:rFonts w:hint="default" w:ascii="Arial" w:hAnsi="Arial" w:cs="Arial"/>
          <w:lang w:eastAsia="zh-CN"/>
        </w:rPr>
        <w:t>Journal of Highway Engineering 28.9 (2015): 38-45. doi:10.19721/j.cnki.1001-7372.2015.09.006.</w:t>
      </w:r>
    </w:p>
    <w:p w14:paraId="694EBA9B">
      <w:pPr>
        <w:numPr>
          <w:ilvl w:val="0"/>
          <w:numId w:val="4"/>
        </w:numPr>
        <w:snapToGrid w:val="0"/>
        <w:rPr>
          <w:rFonts w:ascii="Arial" w:hAnsi="Arial" w:cs="Arial"/>
          <w:lang w:eastAsia="zh-CN"/>
        </w:rPr>
      </w:pPr>
      <w:r>
        <w:rPr>
          <w:rFonts w:ascii="Arial" w:hAnsi="Arial" w:cs="Arial"/>
          <w:lang w:eastAsia="zh-CN"/>
        </w:rPr>
        <w:t xml:space="preserve"> Guo, A., Zhu, H., &amp; Jiang, A. (2023). Detection and Damage Evaluation of Hinge Joints in Hollow Slab Bridges Based on a Light-Load Field Test. Buildings </w:t>
      </w:r>
      <w:r>
        <w:fldChar w:fldCharType="begin"/>
      </w:r>
      <w:r>
        <w:instrText xml:space="preserve"> HYPERLINK "https://doi.org/10.3390/buildings13030699" </w:instrText>
      </w:r>
      <w:r>
        <w:fldChar w:fldCharType="separate"/>
      </w:r>
      <w:r>
        <w:rPr>
          <w:rStyle w:val="19"/>
          <w:rFonts w:ascii="Arial" w:hAnsi="Arial" w:cs="Arial"/>
          <w:lang w:eastAsia="zh-CN"/>
        </w:rPr>
        <w:t>https://doi.org/10.3390/buildings13030699</w:t>
      </w:r>
      <w:r>
        <w:rPr>
          <w:rStyle w:val="19"/>
          <w:rFonts w:ascii="Arial" w:hAnsi="Arial" w:cs="Arial"/>
          <w:lang w:eastAsia="zh-CN"/>
        </w:rPr>
        <w:fldChar w:fldCharType="end"/>
      </w:r>
      <w:r>
        <w:rPr>
          <w:rFonts w:ascii="Arial" w:hAnsi="Arial" w:cs="Arial"/>
          <w:lang w:eastAsia="zh-CN"/>
        </w:rPr>
        <w:t xml:space="preserve"> </w:t>
      </w:r>
    </w:p>
    <w:p w14:paraId="78FD880A">
      <w:pPr>
        <w:numPr>
          <w:ilvl w:val="0"/>
          <w:numId w:val="4"/>
        </w:numPr>
        <w:snapToGrid w:val="0"/>
        <w:rPr>
          <w:rFonts w:ascii="Arial" w:hAnsi="Arial" w:cs="Arial"/>
          <w:lang w:eastAsia="zh-CN"/>
        </w:rPr>
      </w:pPr>
      <w:r>
        <w:rPr>
          <w:rFonts w:ascii="Arial" w:hAnsi="Arial" w:cs="Arial"/>
          <w:lang w:eastAsia="zh-CN"/>
        </w:rPr>
        <w:t xml:space="preserve">  Liu, H.-k., Li, J., Tao, X.-w., &amp; Zhang, H.-l. (2024). Research on assessment of hollow slab bridge hinge joint damage and reinforcement method based on steel strip-tie rod clamping. Case Studies in Construction Materials, 20, e02885. </w:t>
      </w:r>
      <w:r>
        <w:fldChar w:fldCharType="begin"/>
      </w:r>
      <w:r>
        <w:instrText xml:space="preserve"> HYPERLINK "https://doi.org/10.1016/j.cscm.2024.e02885" </w:instrText>
      </w:r>
      <w:r>
        <w:fldChar w:fldCharType="separate"/>
      </w:r>
      <w:r>
        <w:rPr>
          <w:rStyle w:val="19"/>
          <w:rFonts w:ascii="Arial" w:hAnsi="Arial" w:cs="Arial"/>
          <w:lang w:eastAsia="zh-CN"/>
        </w:rPr>
        <w:t>https://doi.org/10.1016/j.cscm.2024.e02885</w:t>
      </w:r>
      <w:r>
        <w:rPr>
          <w:rStyle w:val="19"/>
          <w:rFonts w:ascii="Arial" w:hAnsi="Arial" w:cs="Arial"/>
          <w:lang w:eastAsia="zh-CN"/>
        </w:rPr>
        <w:fldChar w:fldCharType="end"/>
      </w:r>
      <w:r>
        <w:rPr>
          <w:rFonts w:ascii="Arial" w:hAnsi="Arial" w:cs="Arial"/>
          <w:lang w:eastAsia="zh-CN"/>
        </w:rPr>
        <w:t xml:space="preserve">  </w:t>
      </w:r>
    </w:p>
    <w:p w14:paraId="23CE9F7F">
      <w:pPr>
        <w:numPr>
          <w:ilvl w:val="0"/>
          <w:numId w:val="4"/>
        </w:numPr>
        <w:snapToGrid w:val="0"/>
        <w:rPr>
          <w:rFonts w:ascii="Arial" w:hAnsi="Arial" w:cs="Arial"/>
          <w:lang w:eastAsia="zh-CN"/>
        </w:rPr>
      </w:pPr>
      <w:r>
        <w:rPr>
          <w:rFonts w:ascii="Arial" w:hAnsi="Arial" w:cs="Arial"/>
          <w:lang w:eastAsia="zh-CN"/>
        </w:rPr>
        <w:t xml:space="preserve">Chen, J., Li, X., &amp; Zhu, Q. (2023). Study on Mechanical Behavior of Hollow-Core Slab Bridge with Pinned Reinforcement. Materials (Basel, Switzerland), 16(14), 4949. </w:t>
      </w:r>
      <w:r>
        <w:fldChar w:fldCharType="begin"/>
      </w:r>
      <w:r>
        <w:instrText xml:space="preserve"> HYPERLINK "https://doi.org/10.3390/ma16144949" </w:instrText>
      </w:r>
      <w:r>
        <w:fldChar w:fldCharType="separate"/>
      </w:r>
      <w:r>
        <w:rPr>
          <w:rStyle w:val="19"/>
          <w:rFonts w:ascii="Arial" w:hAnsi="Arial" w:cs="Arial"/>
          <w:lang w:eastAsia="zh-CN"/>
        </w:rPr>
        <w:t>https://doi.org/10.3390/ma16144949</w:t>
      </w:r>
      <w:r>
        <w:rPr>
          <w:rStyle w:val="19"/>
          <w:rFonts w:ascii="Arial" w:hAnsi="Arial" w:cs="Arial"/>
          <w:lang w:eastAsia="zh-CN"/>
        </w:rPr>
        <w:fldChar w:fldCharType="end"/>
      </w:r>
      <w:r>
        <w:rPr>
          <w:rFonts w:ascii="Arial" w:hAnsi="Arial" w:cs="Arial"/>
          <w:lang w:eastAsia="zh-CN"/>
        </w:rPr>
        <w:t xml:space="preserve"> </w:t>
      </w:r>
    </w:p>
    <w:p w14:paraId="344B1121">
      <w:pPr>
        <w:snapToGrid w:val="0"/>
        <w:ind w:left="400"/>
        <w:rPr>
          <w:rFonts w:ascii="Arial" w:hAnsi="Arial" w:cs="Arial"/>
          <w:lang w:eastAsia="zh-CN"/>
        </w:rPr>
      </w:pPr>
    </w:p>
    <w:p w14:paraId="02171E58">
      <w:pPr>
        <w:snapToGrid w:val="0"/>
        <w:ind w:left="320" w:hanging="320" w:hangingChars="160"/>
        <w:rPr>
          <w:rFonts w:ascii="Arial" w:hAnsi="Arial" w:cs="Arial"/>
        </w:rPr>
      </w:pPr>
    </w:p>
    <w:sectPr>
      <w:headerReference r:id="rId11" w:type="first"/>
      <w:headerReference r:id="rId9" w:type="default"/>
      <w:footerReference r:id="rId12" w:type="default"/>
      <w:headerReference r:id="rId10" w:type="even"/>
      <w:type w:val="continuous"/>
      <w:pgSz w:w="12240" w:h="15840"/>
      <w:pgMar w:top="1440" w:right="2019" w:bottom="2019" w:left="2019"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A854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760F8">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1DCEF">
    <w:pPr>
      <w:pStyle w:val="7"/>
      <w:rPr>
        <w:rFonts w:ascii="Arial" w:hAnsi="Arial" w:cs="Arial"/>
        <w:sz w:val="16"/>
      </w:rPr>
    </w:pPr>
  </w:p>
  <w:p w14:paraId="4BE464CA">
    <w:pPr>
      <w:pStyle w:val="7"/>
      <w:jc w:val="center"/>
      <w:rPr>
        <w:rFonts w:ascii="Arial" w:hAnsi="Arial" w:cs="Arial"/>
        <w:sz w:val="16"/>
      </w:rPr>
    </w:pPr>
    <w:r>
      <w:rPr>
        <w:rFonts w:ascii="Arial" w:hAnsi="Arial" w:cs="Arial"/>
        <w:sz w:val="16"/>
      </w:rPr>
      <w:t>____________________________________________________________________________________________</w:t>
    </w:r>
  </w:p>
  <w:p w14:paraId="254271F0">
    <w:pPr>
      <w:pStyle w:val="7"/>
      <w:rPr>
        <w:rFonts w:ascii="Arial" w:hAnsi="Arial" w:cs="Arial"/>
        <w:sz w:val="16"/>
      </w:rPr>
    </w:pPr>
  </w:p>
  <w:p w14:paraId="4D5A36FE">
    <w:pPr>
      <w:pStyle w:val="7"/>
      <w:rPr>
        <w:rFonts w:ascii="Arial" w:hAnsi="Arial" w:cs="Arial"/>
        <w:i/>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99194">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BD99">
    <w:pPr>
      <w:pStyle w:val="8"/>
    </w:pPr>
    <w:r>
      <w:pict>
        <v:shape id="PowerPlusWaterMarkObject896440486" o:spid="_x0000_s2051" o:spt="136" type="#_x0000_t136" style="position:absolute;left:0pt;height:57.8pt;width:520.2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A75D">
    <w:pPr>
      <w:pStyle w:val="8"/>
    </w:pPr>
    <w:r>
      <w:pict>
        <v:shape id="PowerPlusWaterMarkObject896440485" o:spid="_x0000_s2050" o:spt="136" type="#_x0000_t136" style="position:absolute;left:0pt;height:57.8pt;width:520.2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A8378">
    <w:pPr>
      <w:ind w:left="2160"/>
      <w:jc w:val="center"/>
      <w:rPr>
        <w:rFonts w:ascii="Times New Roman" w:hAnsi="Times New Roman" w:eastAsia="Calibri"/>
        <w:i/>
        <w:sz w:val="18"/>
        <w:szCs w:val="22"/>
      </w:rPr>
    </w:pPr>
    <w:r>
      <w:pict>
        <v:shape id="PowerPlusWaterMarkObject896440484" o:spid="_x0000_s2049" o:spt="136" type="#_x0000_t136" style="position:absolute;left:0pt;height:57.8pt;width:520.2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534F8CB8">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597EDC51">
    <w:pPr>
      <w:jc w:val="center"/>
      <w:rPr>
        <w:rFonts w:ascii="Times New Roman" w:hAnsi="Times New Roman" w:eastAsia="Calibri"/>
        <w:i/>
        <w:sz w:val="18"/>
        <w:szCs w:val="22"/>
      </w:rPr>
    </w:pPr>
    <w:r>
      <w:rPr>
        <w:rFonts w:ascii="Times New Roman" w:hAnsi="Times New Roman" w:eastAsia="Calibri"/>
        <w:i/>
        <w:sz w:val="18"/>
        <w:szCs w:val="22"/>
      </w:rPr>
      <w:t>.</w:t>
    </w:r>
  </w:p>
  <w:p w14:paraId="37852D63">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5B339DCD">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4C0D97A">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7F04556">
    <w:pPr>
      <w:pStyle w:val="8"/>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AF48">
    <w:pPr>
      <w:pStyle w:val="8"/>
    </w:pPr>
    <w:r>
      <w:pict>
        <v:shape id="PowerPlusWaterMarkObject896440489" o:spid="_x0000_s2054" o:spt="136" type="#_x0000_t136" style="position:absolute;left:0pt;height:57.8pt;width:520.2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907E7">
    <w:pPr>
      <w:pStyle w:val="8"/>
    </w:pPr>
    <w:r>
      <w:pict>
        <v:shape id="PowerPlusWaterMarkObject896440488" o:spid="_x0000_s2053" o:spt="136" type="#_x0000_t136" style="position:absolute;left:0pt;height:57.8pt;width:520.2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D4E6E">
    <w:pPr>
      <w:pStyle w:val="8"/>
    </w:pPr>
    <w:r>
      <w:pict>
        <v:shape id="PowerPlusWaterMarkObject896440487" o:spid="_x0000_s2052" o:spt="136" type="#_x0000_t136" style="position:absolute;left:0pt;height:57.8pt;width:520.2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EC2F33"/>
    <w:multiLevelType w:val="singleLevel"/>
    <w:tmpl w:val="23EC2F33"/>
    <w:lvl w:ilvl="0" w:tentative="0">
      <w:start w:val="1"/>
      <w:numFmt w:val="decimal"/>
      <w:lvlText w:val="%1."/>
      <w:lvlJc w:val="left"/>
      <w:pPr>
        <w:tabs>
          <w:tab w:val="left" w:pos="312"/>
        </w:tabs>
      </w:pPr>
    </w:lvl>
  </w:abstractNum>
  <w:abstractNum w:abstractNumId="1">
    <w:nsid w:val="44F70C84"/>
    <w:multiLevelType w:val="multilevel"/>
    <w:tmpl w:val="44F70C84"/>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800" w:hanging="1800"/>
      </w:pPr>
      <w:rPr>
        <w:rFonts w:hint="default"/>
      </w:rPr>
    </w:lvl>
  </w:abstractNum>
  <w:abstractNum w:abstractNumId="2">
    <w:nsid w:val="593F25C0"/>
    <w:multiLevelType w:val="singleLevel"/>
    <w:tmpl w:val="593F25C0"/>
    <w:lvl w:ilvl="0" w:tentative="0">
      <w:start w:val="1"/>
      <w:numFmt w:val="decimal"/>
      <w:suff w:val="nothing"/>
      <w:lvlText w:val="%1．"/>
      <w:lvlJc w:val="left"/>
      <w:pPr>
        <w:ind w:left="26" w:firstLine="400"/>
      </w:pPr>
      <w:rPr>
        <w:rFonts w:hint="default"/>
      </w:rPr>
    </w:lvl>
  </w:abstractNum>
  <w:abstractNum w:abstractNumId="3">
    <w:nsid w:val="71604DCD"/>
    <w:multiLevelType w:val="singleLevel"/>
    <w:tmpl w:val="71604DCD"/>
    <w:lvl w:ilvl="0" w:tentative="0">
      <w:start w:val="1"/>
      <w:numFmt w:val="decimal"/>
      <w:pStyle w:val="34"/>
      <w:lvlText w:val="%1."/>
      <w:lvlJc w:val="left"/>
      <w:pPr>
        <w:tabs>
          <w:tab w:val="left" w:pos="360"/>
        </w:tabs>
        <w:ind w:left="36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autoHyphenation/>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Q0MDM0NTUyMrUwszBR0lEKTi0uzszPAykwrAUA7Sq6uiwAAAA="/>
  </w:docVars>
  <w:rsids>
    <w:rsidRoot w:val="00AA6219"/>
    <w:rsid w:val="0000045D"/>
    <w:rsid w:val="00000F8F"/>
    <w:rsid w:val="0000410E"/>
    <w:rsid w:val="00015674"/>
    <w:rsid w:val="00030174"/>
    <w:rsid w:val="00034E81"/>
    <w:rsid w:val="00037997"/>
    <w:rsid w:val="0004579C"/>
    <w:rsid w:val="00052931"/>
    <w:rsid w:val="00053CBA"/>
    <w:rsid w:val="00064F3B"/>
    <w:rsid w:val="000839CC"/>
    <w:rsid w:val="000A47FA"/>
    <w:rsid w:val="000A65D3"/>
    <w:rsid w:val="000B1ACD"/>
    <w:rsid w:val="000B1E33"/>
    <w:rsid w:val="000D3524"/>
    <w:rsid w:val="000D689F"/>
    <w:rsid w:val="000E3F2F"/>
    <w:rsid w:val="000E7B7B"/>
    <w:rsid w:val="000E7D62"/>
    <w:rsid w:val="00101D06"/>
    <w:rsid w:val="00103357"/>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05479"/>
    <w:rsid w:val="0022310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512C2"/>
    <w:rsid w:val="00351551"/>
    <w:rsid w:val="00371FB6"/>
    <w:rsid w:val="003763C1"/>
    <w:rsid w:val="00376BBE"/>
    <w:rsid w:val="0039224F"/>
    <w:rsid w:val="0039329C"/>
    <w:rsid w:val="003A43A4"/>
    <w:rsid w:val="003A7E18"/>
    <w:rsid w:val="003C4C86"/>
    <w:rsid w:val="003C6258"/>
    <w:rsid w:val="003D26A8"/>
    <w:rsid w:val="003E2904"/>
    <w:rsid w:val="003E62D0"/>
    <w:rsid w:val="003F5A18"/>
    <w:rsid w:val="00401927"/>
    <w:rsid w:val="00404C90"/>
    <w:rsid w:val="0041027F"/>
    <w:rsid w:val="004121A0"/>
    <w:rsid w:val="00412475"/>
    <w:rsid w:val="00414520"/>
    <w:rsid w:val="00423789"/>
    <w:rsid w:val="00432BBB"/>
    <w:rsid w:val="00437CE4"/>
    <w:rsid w:val="00440F43"/>
    <w:rsid w:val="00441B6F"/>
    <w:rsid w:val="00446221"/>
    <w:rsid w:val="00450E62"/>
    <w:rsid w:val="004539DB"/>
    <w:rsid w:val="00457CD1"/>
    <w:rsid w:val="00470700"/>
    <w:rsid w:val="00471A80"/>
    <w:rsid w:val="00472F21"/>
    <w:rsid w:val="00481CE3"/>
    <w:rsid w:val="004B42AC"/>
    <w:rsid w:val="004D305E"/>
    <w:rsid w:val="004D4277"/>
    <w:rsid w:val="004D63F4"/>
    <w:rsid w:val="004F6A68"/>
    <w:rsid w:val="00502516"/>
    <w:rsid w:val="005038BE"/>
    <w:rsid w:val="00505F06"/>
    <w:rsid w:val="00506828"/>
    <w:rsid w:val="00512BC0"/>
    <w:rsid w:val="00514F4D"/>
    <w:rsid w:val="00522A8A"/>
    <w:rsid w:val="0053056E"/>
    <w:rsid w:val="00531BF9"/>
    <w:rsid w:val="00544DD4"/>
    <w:rsid w:val="00554FDA"/>
    <w:rsid w:val="00557178"/>
    <w:rsid w:val="0056233C"/>
    <w:rsid w:val="00563D5C"/>
    <w:rsid w:val="005703BA"/>
    <w:rsid w:val="005913A4"/>
    <w:rsid w:val="005A4B0A"/>
    <w:rsid w:val="005C784C"/>
    <w:rsid w:val="005D17F6"/>
    <w:rsid w:val="005E5539"/>
    <w:rsid w:val="00602BF5"/>
    <w:rsid w:val="00617FDD"/>
    <w:rsid w:val="00633614"/>
    <w:rsid w:val="00633F68"/>
    <w:rsid w:val="00636EB2"/>
    <w:rsid w:val="006375B8"/>
    <w:rsid w:val="006466A1"/>
    <w:rsid w:val="0065301B"/>
    <w:rsid w:val="00657DF9"/>
    <w:rsid w:val="00660ECA"/>
    <w:rsid w:val="0066510A"/>
    <w:rsid w:val="00673F9F"/>
    <w:rsid w:val="006769B4"/>
    <w:rsid w:val="00680F14"/>
    <w:rsid w:val="00686953"/>
    <w:rsid w:val="00687DEA"/>
    <w:rsid w:val="00687E67"/>
    <w:rsid w:val="006967F7"/>
    <w:rsid w:val="006A250C"/>
    <w:rsid w:val="006B21D3"/>
    <w:rsid w:val="006B57D0"/>
    <w:rsid w:val="006C138D"/>
    <w:rsid w:val="006C1CF1"/>
    <w:rsid w:val="006D30FF"/>
    <w:rsid w:val="006D6940"/>
    <w:rsid w:val="006D7AE1"/>
    <w:rsid w:val="006E7AD9"/>
    <w:rsid w:val="006F11EC"/>
    <w:rsid w:val="006F4C9A"/>
    <w:rsid w:val="0070082C"/>
    <w:rsid w:val="00731E39"/>
    <w:rsid w:val="007369E6"/>
    <w:rsid w:val="00742EAA"/>
    <w:rsid w:val="00746E59"/>
    <w:rsid w:val="00754C9A"/>
    <w:rsid w:val="0075599A"/>
    <w:rsid w:val="00761D52"/>
    <w:rsid w:val="0076392B"/>
    <w:rsid w:val="0077749E"/>
    <w:rsid w:val="00790ADA"/>
    <w:rsid w:val="007936B6"/>
    <w:rsid w:val="007B6AB0"/>
    <w:rsid w:val="007C4481"/>
    <w:rsid w:val="007D2288"/>
    <w:rsid w:val="007E088F"/>
    <w:rsid w:val="007F520A"/>
    <w:rsid w:val="007F7B32"/>
    <w:rsid w:val="00804BC2"/>
    <w:rsid w:val="008112EE"/>
    <w:rsid w:val="0081431A"/>
    <w:rsid w:val="00816232"/>
    <w:rsid w:val="008269DE"/>
    <w:rsid w:val="0083216F"/>
    <w:rsid w:val="00833610"/>
    <w:rsid w:val="008363C6"/>
    <w:rsid w:val="00845512"/>
    <w:rsid w:val="00860000"/>
    <w:rsid w:val="00863BD3"/>
    <w:rsid w:val="00866D66"/>
    <w:rsid w:val="008671C6"/>
    <w:rsid w:val="00875803"/>
    <w:rsid w:val="00890753"/>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C79AF"/>
    <w:rsid w:val="009D35A0"/>
    <w:rsid w:val="009D7EB7"/>
    <w:rsid w:val="009E048A"/>
    <w:rsid w:val="009E08E9"/>
    <w:rsid w:val="009E3DB9"/>
    <w:rsid w:val="009E6E35"/>
    <w:rsid w:val="009F0EDA"/>
    <w:rsid w:val="009F18CA"/>
    <w:rsid w:val="009F4006"/>
    <w:rsid w:val="00A03B96"/>
    <w:rsid w:val="00A05B19"/>
    <w:rsid w:val="00A074C1"/>
    <w:rsid w:val="00A1134E"/>
    <w:rsid w:val="00A13D25"/>
    <w:rsid w:val="00A24E7E"/>
    <w:rsid w:val="00A258C3"/>
    <w:rsid w:val="00A347C0"/>
    <w:rsid w:val="00A51431"/>
    <w:rsid w:val="00A539AD"/>
    <w:rsid w:val="00A630CC"/>
    <w:rsid w:val="00A64E3B"/>
    <w:rsid w:val="00A673B6"/>
    <w:rsid w:val="00A80EB9"/>
    <w:rsid w:val="00A818A3"/>
    <w:rsid w:val="00A94063"/>
    <w:rsid w:val="00AA6219"/>
    <w:rsid w:val="00AA74E0"/>
    <w:rsid w:val="00AB703F"/>
    <w:rsid w:val="00AC6BB8"/>
    <w:rsid w:val="00AD1C1C"/>
    <w:rsid w:val="00AE008F"/>
    <w:rsid w:val="00B0000F"/>
    <w:rsid w:val="00B01FCD"/>
    <w:rsid w:val="00B0264D"/>
    <w:rsid w:val="00B046A7"/>
    <w:rsid w:val="00B1776C"/>
    <w:rsid w:val="00B40C81"/>
    <w:rsid w:val="00B52896"/>
    <w:rsid w:val="00B53ACB"/>
    <w:rsid w:val="00B73EC1"/>
    <w:rsid w:val="00B91515"/>
    <w:rsid w:val="00B91C32"/>
    <w:rsid w:val="00B95236"/>
    <w:rsid w:val="00B96BD9"/>
    <w:rsid w:val="00BA1B01"/>
    <w:rsid w:val="00BA2641"/>
    <w:rsid w:val="00BA51D5"/>
    <w:rsid w:val="00BB37AA"/>
    <w:rsid w:val="00BB3DB8"/>
    <w:rsid w:val="00BC53A0"/>
    <w:rsid w:val="00BC53BC"/>
    <w:rsid w:val="00BC681C"/>
    <w:rsid w:val="00BD2CE1"/>
    <w:rsid w:val="00BE18DD"/>
    <w:rsid w:val="00BE62AD"/>
    <w:rsid w:val="00BF121F"/>
    <w:rsid w:val="00BF1F80"/>
    <w:rsid w:val="00C06A72"/>
    <w:rsid w:val="00C166EF"/>
    <w:rsid w:val="00C17EB0"/>
    <w:rsid w:val="00C27F5F"/>
    <w:rsid w:val="00C30A0F"/>
    <w:rsid w:val="00C37E61"/>
    <w:rsid w:val="00C4210C"/>
    <w:rsid w:val="00C4324C"/>
    <w:rsid w:val="00C45A77"/>
    <w:rsid w:val="00C518FE"/>
    <w:rsid w:val="00C70F1B"/>
    <w:rsid w:val="00C71A47"/>
    <w:rsid w:val="00C7464C"/>
    <w:rsid w:val="00C8291D"/>
    <w:rsid w:val="00C85588"/>
    <w:rsid w:val="00C95A67"/>
    <w:rsid w:val="00CC38AA"/>
    <w:rsid w:val="00CD3D2C"/>
    <w:rsid w:val="00CD6755"/>
    <w:rsid w:val="00CD6856"/>
    <w:rsid w:val="00CE0089"/>
    <w:rsid w:val="00CE793C"/>
    <w:rsid w:val="00CF3C69"/>
    <w:rsid w:val="00D05A8F"/>
    <w:rsid w:val="00D05B98"/>
    <w:rsid w:val="00D173F1"/>
    <w:rsid w:val="00D52C8F"/>
    <w:rsid w:val="00D60979"/>
    <w:rsid w:val="00D76B9D"/>
    <w:rsid w:val="00D8295D"/>
    <w:rsid w:val="00D83F17"/>
    <w:rsid w:val="00DC2A65"/>
    <w:rsid w:val="00DD0E5E"/>
    <w:rsid w:val="00DE15F0"/>
    <w:rsid w:val="00DE230A"/>
    <w:rsid w:val="00DE5663"/>
    <w:rsid w:val="00DE78AA"/>
    <w:rsid w:val="00DF2BED"/>
    <w:rsid w:val="00DF55E5"/>
    <w:rsid w:val="00E03037"/>
    <w:rsid w:val="00E053D0"/>
    <w:rsid w:val="00E05F7E"/>
    <w:rsid w:val="00E15994"/>
    <w:rsid w:val="00E21DBF"/>
    <w:rsid w:val="00E30235"/>
    <w:rsid w:val="00E3114E"/>
    <w:rsid w:val="00E31A70"/>
    <w:rsid w:val="00E35B02"/>
    <w:rsid w:val="00E37294"/>
    <w:rsid w:val="00E50970"/>
    <w:rsid w:val="00E65AE1"/>
    <w:rsid w:val="00E66496"/>
    <w:rsid w:val="00E66B35"/>
    <w:rsid w:val="00E66E10"/>
    <w:rsid w:val="00E769F6"/>
    <w:rsid w:val="00E8407C"/>
    <w:rsid w:val="00E847EF"/>
    <w:rsid w:val="00E84F3C"/>
    <w:rsid w:val="00E90378"/>
    <w:rsid w:val="00E903CA"/>
    <w:rsid w:val="00E9382C"/>
    <w:rsid w:val="00EA012C"/>
    <w:rsid w:val="00ED0288"/>
    <w:rsid w:val="00ED0B39"/>
    <w:rsid w:val="00EE52CB"/>
    <w:rsid w:val="00EF3070"/>
    <w:rsid w:val="00EF581D"/>
    <w:rsid w:val="00EF7FD8"/>
    <w:rsid w:val="00F06F59"/>
    <w:rsid w:val="00F17988"/>
    <w:rsid w:val="00F469F0"/>
    <w:rsid w:val="00F53273"/>
    <w:rsid w:val="00F55A37"/>
    <w:rsid w:val="00F67D7E"/>
    <w:rsid w:val="00F755E4"/>
    <w:rsid w:val="00F77D02"/>
    <w:rsid w:val="00F91C96"/>
    <w:rsid w:val="00FB2731"/>
    <w:rsid w:val="00FB3A86"/>
    <w:rsid w:val="00FD2329"/>
    <w:rsid w:val="00FD2DDA"/>
    <w:rsid w:val="00FD36C8"/>
    <w:rsid w:val="00FF03F8"/>
    <w:rsid w:val="04A11C2B"/>
    <w:rsid w:val="04D24398"/>
    <w:rsid w:val="064362D7"/>
    <w:rsid w:val="09A635A3"/>
    <w:rsid w:val="0DBF3B4C"/>
    <w:rsid w:val="12FD628C"/>
    <w:rsid w:val="15EB7286"/>
    <w:rsid w:val="18CC7AFC"/>
    <w:rsid w:val="1A9C52C6"/>
    <w:rsid w:val="1BF259E0"/>
    <w:rsid w:val="22326017"/>
    <w:rsid w:val="22F92434"/>
    <w:rsid w:val="2CED6E16"/>
    <w:rsid w:val="34B8182C"/>
    <w:rsid w:val="36740D59"/>
    <w:rsid w:val="36BB5061"/>
    <w:rsid w:val="3CF92C20"/>
    <w:rsid w:val="3EA056B7"/>
    <w:rsid w:val="40051BF8"/>
    <w:rsid w:val="42317883"/>
    <w:rsid w:val="433075B5"/>
    <w:rsid w:val="44703FF8"/>
    <w:rsid w:val="44C11041"/>
    <w:rsid w:val="44FC0F9C"/>
    <w:rsid w:val="4B174379"/>
    <w:rsid w:val="55642E8C"/>
    <w:rsid w:val="59656C1C"/>
    <w:rsid w:val="5DAA00A6"/>
    <w:rsid w:val="625665CD"/>
    <w:rsid w:val="70D80888"/>
    <w:rsid w:val="7D661701"/>
    <w:rsid w:val="7E836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cs="Times New Roman" w:eastAsiaTheme="minorEastAsia"/>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3"/>
    <w:basedOn w:val="1"/>
    <w:next w:val="1"/>
    <w:link w:val="66"/>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14">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4">
    <w:name w:val="annotation text"/>
    <w:basedOn w:val="1"/>
    <w:link w:val="61"/>
    <w:unhideWhenUsed/>
    <w:qFormat/>
    <w:uiPriority w:val="99"/>
    <w:rPr>
      <w:rFonts w:ascii="Times New Roman" w:hAnsi="Times New Roman"/>
      <w:lang w:val="nb-NO" w:eastAsia="nb-NO"/>
    </w:rPr>
  </w:style>
  <w:style w:type="paragraph" w:styleId="5">
    <w:name w:val="Body Text 3"/>
    <w:basedOn w:val="1"/>
    <w:link w:val="63"/>
    <w:qFormat/>
    <w:uiPriority w:val="0"/>
    <w:pPr>
      <w:spacing w:after="120"/>
    </w:pPr>
    <w:rPr>
      <w:sz w:val="16"/>
      <w:szCs w:val="16"/>
    </w:rPr>
  </w:style>
  <w:style w:type="paragraph" w:styleId="6">
    <w:name w:val="Balloon Text"/>
    <w:basedOn w:val="1"/>
    <w:link w:val="62"/>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qFormat/>
    <w:uiPriority w:val="0"/>
    <w:pPr>
      <w:tabs>
        <w:tab w:val="center" w:pos="4320"/>
        <w:tab w:val="right" w:pos="8640"/>
      </w:tabs>
    </w:pPr>
  </w:style>
  <w:style w:type="paragraph" w:styleId="9">
    <w:name w:val="Signature"/>
    <w:basedOn w:val="1"/>
    <w:qFormat/>
    <w:uiPriority w:val="0"/>
    <w:pPr>
      <w:ind w:left="4320"/>
    </w:pPr>
  </w:style>
  <w:style w:type="paragraph" w:styleId="10">
    <w:name w:val="Body Text 2"/>
    <w:basedOn w:val="1"/>
    <w:link w:val="60"/>
    <w:qFormat/>
    <w:uiPriority w:val="0"/>
    <w:pPr>
      <w:spacing w:after="120" w:line="480" w:lineRule="auto"/>
    </w:pPr>
  </w:style>
  <w:style w:type="paragraph" w:styleId="11">
    <w:name w:val="Title"/>
    <w:basedOn w:val="1"/>
    <w:qFormat/>
    <w:uiPriority w:val="0"/>
    <w:pPr>
      <w:spacing w:after="360"/>
      <w:jc w:val="right"/>
    </w:pPr>
    <w:rPr>
      <w:b/>
      <w:kern w:val="28"/>
      <w:sz w:val="36"/>
    </w:rPr>
  </w:style>
  <w:style w:type="table" w:styleId="13">
    <w:name w:val="Table Grid"/>
    <w:basedOn w:val="12"/>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5">
    <w:name w:val="Strong"/>
    <w:basedOn w:val="14"/>
    <w:qFormat/>
    <w:uiPriority w:val="0"/>
    <w:rPr>
      <w:b/>
    </w:rPr>
  </w:style>
  <w:style w:type="character" w:styleId="16">
    <w:name w:val="FollowedHyperlink"/>
    <w:basedOn w:val="14"/>
    <w:qFormat/>
    <w:uiPriority w:val="0"/>
    <w:rPr>
      <w:color w:val="800080"/>
      <w:u w:val="single"/>
    </w:rPr>
  </w:style>
  <w:style w:type="character" w:styleId="17">
    <w:name w:val="Emphasis"/>
    <w:basedOn w:val="14"/>
    <w:qFormat/>
    <w:uiPriority w:val="20"/>
    <w:rPr>
      <w:i/>
      <w:iCs/>
    </w:rPr>
  </w:style>
  <w:style w:type="character" w:styleId="18">
    <w:name w:val="line number"/>
    <w:basedOn w:val="14"/>
    <w:qFormat/>
    <w:uiPriority w:val="0"/>
  </w:style>
  <w:style w:type="character" w:styleId="19">
    <w:name w:val="Hyperlink"/>
    <w:basedOn w:val="14"/>
    <w:qFormat/>
    <w:uiPriority w:val="0"/>
    <w:rPr>
      <w:color w:val="FF0080"/>
      <w:u w:val="single"/>
    </w:rPr>
  </w:style>
  <w:style w:type="character" w:styleId="20">
    <w:name w:val="annotation reference"/>
    <w:basedOn w:val="14"/>
    <w:unhideWhenUsed/>
    <w:qFormat/>
    <w:uiPriority w:val="99"/>
    <w:rPr>
      <w:sz w:val="16"/>
      <w:szCs w:val="16"/>
    </w:rPr>
  </w:style>
  <w:style w:type="paragraph" w:customStyle="1" w:styleId="21">
    <w:name w:val="Author"/>
    <w:basedOn w:val="1"/>
    <w:qFormat/>
    <w:uiPriority w:val="0"/>
    <w:pPr>
      <w:spacing w:line="280" w:lineRule="exact"/>
      <w:jc w:val="right"/>
    </w:pPr>
    <w:rPr>
      <w:b/>
      <w:sz w:val="24"/>
    </w:rPr>
  </w:style>
  <w:style w:type="paragraph" w:customStyle="1" w:styleId="22">
    <w:name w:val="Affiliation"/>
    <w:basedOn w:val="1"/>
    <w:qFormat/>
    <w:uiPriority w:val="0"/>
    <w:pPr>
      <w:spacing w:after="240" w:line="240" w:lineRule="exact"/>
      <w:jc w:val="right"/>
    </w:pPr>
  </w:style>
  <w:style w:type="paragraph" w:customStyle="1" w:styleId="23">
    <w:name w:val="Body"/>
    <w:basedOn w:val="1"/>
    <w:qFormat/>
    <w:uiPriority w:val="0"/>
    <w:pPr>
      <w:spacing w:after="240"/>
      <w:jc w:val="both"/>
    </w:pPr>
  </w:style>
  <w:style w:type="paragraph" w:customStyle="1" w:styleId="24">
    <w:name w:val="Abst Head"/>
    <w:basedOn w:val="25"/>
    <w:link w:val="65"/>
    <w:qFormat/>
    <w:uiPriority w:val="0"/>
    <w:rPr>
      <w:sz w:val="22"/>
    </w:rPr>
  </w:style>
  <w:style w:type="paragraph" w:customStyle="1" w:styleId="25">
    <w:name w:val="Main Head"/>
    <w:basedOn w:val="1"/>
    <w:qFormat/>
    <w:uiPriority w:val="0"/>
    <w:pPr>
      <w:keepNext/>
      <w:spacing w:after="240"/>
    </w:pPr>
    <w:rPr>
      <w:b/>
      <w:caps/>
    </w:rPr>
  </w:style>
  <w:style w:type="paragraph" w:customStyle="1" w:styleId="26">
    <w:name w:val="Intro Head"/>
    <w:basedOn w:val="25"/>
    <w:qFormat/>
    <w:uiPriority w:val="0"/>
    <w:rPr>
      <w:sz w:val="22"/>
    </w:rPr>
  </w:style>
  <w:style w:type="paragraph" w:customStyle="1" w:styleId="27">
    <w:name w:val="Paper Number"/>
    <w:basedOn w:val="1"/>
    <w:qFormat/>
    <w:uiPriority w:val="0"/>
    <w:pPr>
      <w:spacing w:after="280" w:line="280" w:lineRule="exact"/>
      <w:jc w:val="right"/>
    </w:pPr>
    <w:rPr>
      <w:b/>
      <w:sz w:val="28"/>
    </w:rPr>
  </w:style>
  <w:style w:type="paragraph" w:customStyle="1" w:styleId="28">
    <w:name w:val="Conc Head"/>
    <w:basedOn w:val="25"/>
    <w:qFormat/>
    <w:uiPriority w:val="0"/>
    <w:rPr>
      <w:sz w:val="22"/>
    </w:rPr>
  </w:style>
  <w:style w:type="paragraph" w:customStyle="1" w:styleId="29">
    <w:name w:val="Ackn Head"/>
    <w:basedOn w:val="25"/>
    <w:qFormat/>
    <w:uiPriority w:val="0"/>
    <w:rPr>
      <w:sz w:val="22"/>
    </w:rPr>
  </w:style>
  <w:style w:type="paragraph" w:customStyle="1" w:styleId="30">
    <w:name w:val="Refer Head"/>
    <w:basedOn w:val="25"/>
    <w:qFormat/>
    <w:uiPriority w:val="0"/>
    <w:rPr>
      <w:sz w:val="22"/>
    </w:rPr>
  </w:style>
  <w:style w:type="paragraph" w:customStyle="1" w:styleId="31">
    <w:name w:val="AddSrc Head"/>
    <w:basedOn w:val="25"/>
    <w:qFormat/>
    <w:uiPriority w:val="0"/>
    <w:rPr>
      <w:sz w:val="22"/>
    </w:rPr>
  </w:style>
  <w:style w:type="paragraph" w:customStyle="1" w:styleId="32">
    <w:name w:val="DefAcrHead"/>
    <w:basedOn w:val="25"/>
    <w:qFormat/>
    <w:uiPriority w:val="0"/>
    <w:rPr>
      <w:sz w:val="22"/>
    </w:rPr>
  </w:style>
  <w:style w:type="paragraph" w:customStyle="1" w:styleId="33">
    <w:name w:val="Copyright"/>
    <w:basedOn w:val="1"/>
    <w:qFormat/>
    <w:uiPriority w:val="0"/>
    <w:pPr>
      <w:spacing w:after="960" w:line="200" w:lineRule="exact"/>
    </w:pPr>
    <w:rPr>
      <w:sz w:val="16"/>
    </w:rPr>
  </w:style>
  <w:style w:type="paragraph" w:customStyle="1" w:styleId="34">
    <w:name w:val="Reference"/>
    <w:basedOn w:val="23"/>
    <w:qFormat/>
    <w:uiPriority w:val="0"/>
    <w:pPr>
      <w:numPr>
        <w:ilvl w:val="0"/>
        <w:numId w:val="1"/>
      </w:numPr>
      <w:spacing w:after="0" w:line="240" w:lineRule="exact"/>
    </w:pPr>
  </w:style>
  <w:style w:type="paragraph" w:customStyle="1" w:styleId="35">
    <w:name w:val="Head1"/>
    <w:basedOn w:val="25"/>
    <w:qFormat/>
    <w:uiPriority w:val="0"/>
    <w:rPr>
      <w:sz w:val="22"/>
    </w:rPr>
  </w:style>
  <w:style w:type="paragraph" w:customStyle="1" w:styleId="36">
    <w:name w:val="Contact Head"/>
    <w:basedOn w:val="25"/>
    <w:qFormat/>
    <w:uiPriority w:val="0"/>
    <w:rPr>
      <w:sz w:val="22"/>
    </w:rPr>
  </w:style>
  <w:style w:type="paragraph" w:customStyle="1" w:styleId="37">
    <w:name w:val="Head3"/>
    <w:basedOn w:val="38"/>
    <w:qFormat/>
    <w:uiPriority w:val="0"/>
    <w:rPr>
      <w:caps w:val="0"/>
      <w:u w:val="single"/>
    </w:rPr>
  </w:style>
  <w:style w:type="paragraph" w:customStyle="1" w:styleId="38">
    <w:name w:val="Head2"/>
    <w:basedOn w:val="1"/>
    <w:next w:val="23"/>
    <w:qFormat/>
    <w:uiPriority w:val="0"/>
    <w:pPr>
      <w:keepNext/>
      <w:spacing w:after="240"/>
    </w:pPr>
    <w:rPr>
      <w:caps/>
    </w:rPr>
  </w:style>
  <w:style w:type="paragraph" w:customStyle="1" w:styleId="39">
    <w:name w:val="Head4"/>
    <w:basedOn w:val="37"/>
    <w:qFormat/>
    <w:uiPriority w:val="0"/>
    <w:rPr>
      <w:u w:val="none"/>
    </w:rPr>
  </w:style>
  <w:style w:type="paragraph" w:customStyle="1" w:styleId="40">
    <w:name w:val="Unord List"/>
    <w:basedOn w:val="23"/>
    <w:qFormat/>
    <w:uiPriority w:val="0"/>
    <w:pPr>
      <w:spacing w:after="0"/>
      <w:ind w:left="360" w:hanging="360"/>
    </w:pPr>
  </w:style>
  <w:style w:type="paragraph" w:customStyle="1" w:styleId="41">
    <w:name w:val="Ord List"/>
    <w:basedOn w:val="40"/>
    <w:qFormat/>
    <w:uiPriority w:val="0"/>
    <w:pPr>
      <w:jc w:val="left"/>
    </w:pPr>
  </w:style>
  <w:style w:type="paragraph" w:customStyle="1" w:styleId="42">
    <w:name w:val="Appendix"/>
    <w:basedOn w:val="25"/>
    <w:qFormat/>
    <w:uiPriority w:val="0"/>
    <w:rPr>
      <w:sz w:val="22"/>
    </w:rPr>
  </w:style>
  <w:style w:type="paragraph" w:customStyle="1" w:styleId="43">
    <w:name w:val="Term"/>
    <w:basedOn w:val="23"/>
    <w:qFormat/>
    <w:uiPriority w:val="0"/>
    <w:pPr>
      <w:spacing w:after="0"/>
    </w:pPr>
    <w:rPr>
      <w:b/>
    </w:rPr>
  </w:style>
  <w:style w:type="paragraph" w:customStyle="1" w:styleId="44">
    <w:name w:val="Definition"/>
    <w:basedOn w:val="23"/>
    <w:qFormat/>
    <w:uiPriority w:val="0"/>
  </w:style>
  <w:style w:type="character" w:customStyle="1" w:styleId="45">
    <w:name w:val="Bold"/>
    <w:qFormat/>
    <w:uiPriority w:val="0"/>
    <w:rPr>
      <w:b/>
    </w:rPr>
  </w:style>
  <w:style w:type="character" w:customStyle="1" w:styleId="46">
    <w:name w:val="Italic"/>
    <w:qFormat/>
    <w:uiPriority w:val="0"/>
    <w:rPr>
      <w:i/>
    </w:rPr>
  </w:style>
  <w:style w:type="character" w:customStyle="1" w:styleId="47">
    <w:name w:val="Underline"/>
    <w:qFormat/>
    <w:uiPriority w:val="0"/>
    <w:rPr>
      <w:u w:val="single"/>
    </w:rPr>
  </w:style>
  <w:style w:type="paragraph" w:customStyle="1" w:styleId="48">
    <w:name w:val="Equation"/>
    <w:basedOn w:val="23"/>
    <w:qFormat/>
    <w:uiPriority w:val="0"/>
  </w:style>
  <w:style w:type="paragraph" w:customStyle="1" w:styleId="49">
    <w:name w:val="Figure"/>
    <w:basedOn w:val="33"/>
    <w:qFormat/>
    <w:uiPriority w:val="0"/>
    <w:pPr>
      <w:spacing w:after="240"/>
    </w:pPr>
    <w:rPr>
      <w:sz w:val="20"/>
    </w:rPr>
  </w:style>
  <w:style w:type="paragraph" w:customStyle="1" w:styleId="50">
    <w:name w:val="Head 4"/>
    <w:basedOn w:val="37"/>
    <w:qFormat/>
    <w:uiPriority w:val="0"/>
    <w:rPr>
      <w:u w:val="none"/>
    </w:rPr>
  </w:style>
  <w:style w:type="paragraph" w:customStyle="1" w:styleId="51">
    <w:name w:val="Paper"/>
    <w:basedOn w:val="1"/>
    <w:qFormat/>
    <w:uiPriority w:val="0"/>
    <w:pPr>
      <w:spacing w:after="360" w:line="440" w:lineRule="exact"/>
      <w:jc w:val="right"/>
    </w:pPr>
    <w:rPr>
      <w:b/>
      <w:sz w:val="36"/>
    </w:rPr>
  </w:style>
  <w:style w:type="character" w:customStyle="1" w:styleId="52">
    <w:name w:val="Subscript"/>
    <w:qFormat/>
    <w:uiPriority w:val="0"/>
    <w:rPr>
      <w:vertAlign w:val="subscript"/>
    </w:rPr>
  </w:style>
  <w:style w:type="character" w:customStyle="1" w:styleId="53">
    <w:name w:val="Superscript"/>
    <w:qFormat/>
    <w:uiPriority w:val="0"/>
    <w:rPr>
      <w:vertAlign w:val="superscript"/>
    </w:rPr>
  </w:style>
  <w:style w:type="character" w:customStyle="1" w:styleId="54">
    <w:name w:val="Symbol"/>
    <w:qFormat/>
    <w:uiPriority w:val="0"/>
    <w:rPr>
      <w:rFonts w:ascii="Symbol" w:hAnsi="Symbol"/>
    </w:rPr>
  </w:style>
  <w:style w:type="paragraph" w:customStyle="1" w:styleId="55">
    <w:name w:val="Symbol P"/>
    <w:basedOn w:val="23"/>
    <w:qFormat/>
    <w:uiPriority w:val="0"/>
    <w:pPr>
      <w:tabs>
        <w:tab w:val="left" w:pos="720"/>
        <w:tab w:val="left" w:pos="3780"/>
      </w:tabs>
      <w:spacing w:after="0"/>
    </w:pPr>
    <w:rPr>
      <w:sz w:val="24"/>
    </w:rPr>
  </w:style>
  <w:style w:type="character" w:customStyle="1" w:styleId="56">
    <w:name w:val="BoldItal"/>
    <w:basedOn w:val="14"/>
    <w:qFormat/>
    <w:uiPriority w:val="0"/>
    <w:rPr>
      <w:b/>
      <w:i/>
    </w:rPr>
  </w:style>
  <w:style w:type="character" w:customStyle="1" w:styleId="57">
    <w:name w:val="SubItal"/>
    <w:qFormat/>
    <w:uiPriority w:val="0"/>
    <w:rPr>
      <w:i/>
      <w:vertAlign w:val="subscript"/>
    </w:rPr>
  </w:style>
  <w:style w:type="character" w:customStyle="1" w:styleId="58">
    <w:name w:val="SuperItal"/>
    <w:qFormat/>
    <w:uiPriority w:val="0"/>
    <w:rPr>
      <w:i/>
      <w:vertAlign w:val="superscript"/>
    </w:rPr>
  </w:style>
  <w:style w:type="character" w:customStyle="1" w:styleId="59">
    <w:name w:val="SymItal"/>
    <w:qFormat/>
    <w:uiPriority w:val="0"/>
    <w:rPr>
      <w:rFonts w:ascii="Symbol" w:hAnsi="Symbol"/>
      <w:i/>
    </w:rPr>
  </w:style>
  <w:style w:type="character" w:customStyle="1" w:styleId="60">
    <w:name w:val="Body Text 2 Char"/>
    <w:basedOn w:val="14"/>
    <w:link w:val="10"/>
    <w:qFormat/>
    <w:uiPriority w:val="0"/>
    <w:rPr>
      <w:rFonts w:ascii="Helvetica" w:hAnsi="Helvetica"/>
    </w:rPr>
  </w:style>
  <w:style w:type="character" w:customStyle="1" w:styleId="61">
    <w:name w:val="Comment Text Char"/>
    <w:basedOn w:val="14"/>
    <w:link w:val="4"/>
    <w:qFormat/>
    <w:uiPriority w:val="99"/>
    <w:rPr>
      <w:lang w:val="nb-NO" w:eastAsia="nb-NO"/>
    </w:rPr>
  </w:style>
  <w:style w:type="character" w:customStyle="1" w:styleId="62">
    <w:name w:val="Balloon Text Char"/>
    <w:basedOn w:val="14"/>
    <w:link w:val="6"/>
    <w:qFormat/>
    <w:uiPriority w:val="0"/>
    <w:rPr>
      <w:rFonts w:ascii="Tahoma" w:hAnsi="Tahoma" w:cs="Tahoma"/>
      <w:sz w:val="16"/>
      <w:szCs w:val="16"/>
    </w:rPr>
  </w:style>
  <w:style w:type="character" w:customStyle="1" w:styleId="63">
    <w:name w:val="Body Text 3 Char"/>
    <w:basedOn w:val="14"/>
    <w:link w:val="5"/>
    <w:qFormat/>
    <w:uiPriority w:val="0"/>
    <w:rPr>
      <w:rFonts w:ascii="Helvetica" w:hAnsi="Helvetica"/>
      <w:sz w:val="16"/>
      <w:szCs w:val="16"/>
    </w:rPr>
  </w:style>
  <w:style w:type="paragraph" w:styleId="64">
    <w:name w:val="List Paragraph"/>
    <w:basedOn w:val="1"/>
    <w:qFormat/>
    <w:uiPriority w:val="34"/>
    <w:pPr>
      <w:ind w:firstLine="420" w:firstLineChars="200"/>
    </w:pPr>
  </w:style>
  <w:style w:type="character" w:customStyle="1" w:styleId="65">
    <w:name w:val="Abst Head Char"/>
    <w:link w:val="24"/>
    <w:qFormat/>
    <w:uiPriority w:val="0"/>
    <w:rPr>
      <w:sz w:val="22"/>
    </w:rPr>
  </w:style>
  <w:style w:type="character" w:customStyle="1" w:styleId="66">
    <w:name w:val="Heading 3 Char"/>
    <w:basedOn w:val="14"/>
    <w:link w:val="3"/>
    <w:semiHidden/>
    <w:qFormat/>
    <w:uiPriority w:val="0"/>
    <w:rPr>
      <w:rFonts w:asciiTheme="majorHAnsi" w:hAnsiTheme="majorHAnsi" w:eastAsiaTheme="majorEastAsia" w:cstheme="majorBidi"/>
      <w:color w:val="254061" w:themeColor="accent1" w:themeShade="80"/>
      <w:sz w:val="24"/>
      <w:szCs w:val="24"/>
      <w:lang w:val="en-US" w:eastAsia="en-US"/>
    </w:rPr>
  </w:style>
  <w:style w:type="character" w:customStyle="1" w:styleId="67">
    <w:name w:val="Unresolved Mention1"/>
    <w:basedOn w:val="14"/>
    <w:semiHidden/>
    <w:unhideWhenUsed/>
    <w:qFormat/>
    <w:uiPriority w:val="99"/>
    <w:rPr>
      <w:color w:val="605E5C"/>
      <w:shd w:val="clear" w:color="auto" w:fill="E1DFDD"/>
    </w:rPr>
  </w:style>
  <w:style w:type="character" w:customStyle="1" w:styleId="68">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png"/><Relationship Id="rId20" Type="http://schemas.openxmlformats.org/officeDocument/2006/relationships/image" Target="media/image7.png"/><Relationship Id="rId2" Type="http://schemas.openxmlformats.org/officeDocument/2006/relationships/settings" Target="settings.xml"/><Relationship Id="rId19" Type="http://schemas.openxmlformats.org/officeDocument/2006/relationships/image" Target="media/image6.jpeg"/><Relationship Id="rId18" Type="http://schemas.openxmlformats.org/officeDocument/2006/relationships/image" Target="media/image5.png"/><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E0093C-9287-47B9-AE66-EC89A7CF76CA}">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4897</Words>
  <Characters>30594</Characters>
  <Lines>248</Lines>
  <Paragraphs>69</Paragraphs>
  <TotalTime>86</TotalTime>
  <ScaleCrop>false</ScaleCrop>
  <LinksUpToDate>false</LinksUpToDate>
  <CharactersWithSpaces>35393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2023-07-21T09:01:00Z</dcterms:created>
  <dc:creator>SDI</dc:creator>
  <cp:lastModifiedBy>赤盎常</cp:lastModifiedBy>
  <cp:lastPrinted>1999-07-06T11:00:00Z</cp:lastPrinted>
  <dcterms:modified xsi:type="dcterms:W3CDTF">2026-01-09T09:41:20Z</dcterms:modified>
  <dc:title>Paper Template</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eyJoZGlkIjoiMWJiNzZjNGVlZTYzY2RmOGJmZTYyZWZiNTIwOTVkZjAiLCJ1c2VySWQiOiI2MjI3OTg2NzQifQ==</vt:lpwstr>
  </property>
  <property fmtid="{D5CDD505-2E9C-101B-9397-08002B2CF9AE}" pid="3" name="KSOProductBuildVer">
    <vt:lpwstr>2052-12.1.0.24034</vt:lpwstr>
  </property>
  <property fmtid="{D5CDD505-2E9C-101B-9397-08002B2CF9AE}" pid="4" name="ICV">
    <vt:lpwstr>802704F9B2C94918A19F605768638D6F_13</vt:lpwstr>
  </property>
</Properties>
</file>